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3F7F5">
      <w:pPr>
        <w:numPr>
          <w:ilvl w:val="0"/>
          <w:numId w:val="1"/>
        </w:numPr>
        <w:spacing w:line="360" w:lineRule="auto"/>
        <w:jc w:val="center"/>
        <w:rPr>
          <w:rStyle w:val="13"/>
          <w:rFonts w:hint="eastAsia" w:ascii="宋体" w:hAnsi="宋体" w:eastAsia="宋体" w:cs="宋体"/>
          <w:bCs/>
          <w:kern w:val="2"/>
          <w:sz w:val="28"/>
          <w:szCs w:val="28"/>
          <w:lang w:val="en-US" w:eastAsia="zh-CN" w:bidi="ar-SA"/>
        </w:rPr>
      </w:pPr>
      <w:r>
        <w:rPr>
          <w:rStyle w:val="13"/>
          <w:rFonts w:hint="eastAsia" w:ascii="宋体" w:hAnsi="宋体" w:eastAsia="宋体" w:cs="宋体"/>
          <w:bCs/>
          <w:kern w:val="2"/>
          <w:sz w:val="28"/>
          <w:szCs w:val="28"/>
          <w:lang w:val="en-US" w:eastAsia="zh-CN" w:bidi="ar-SA"/>
        </w:rPr>
        <w:t>项目基本概况：</w:t>
      </w:r>
    </w:p>
    <w:p w14:paraId="39F8401E">
      <w:pPr>
        <w:spacing w:line="360" w:lineRule="auto"/>
        <w:ind w:firstLine="480" w:firstLineChars="200"/>
        <w:rPr>
          <w:rStyle w:val="13"/>
          <w:rFonts w:hint="eastAsia" w:ascii="宋体" w:hAnsi="宋体" w:eastAsia="宋体" w:cs="宋体"/>
          <w:b w:val="0"/>
          <w:bCs/>
          <w:sz w:val="24"/>
          <w:szCs w:val="24"/>
          <w:highlight w:val="none"/>
          <w:lang w:val="zh-CN" w:eastAsia="zh-CN"/>
        </w:rPr>
      </w:pPr>
      <w:r>
        <w:rPr>
          <w:rStyle w:val="13"/>
          <w:rFonts w:hint="eastAsia" w:ascii="宋体" w:hAnsi="宋体" w:eastAsia="宋体" w:cs="宋体"/>
          <w:b w:val="0"/>
          <w:bCs/>
          <w:sz w:val="24"/>
          <w:szCs w:val="24"/>
          <w:highlight w:val="none"/>
          <w:lang w:val="en-US" w:eastAsia="zh-CN"/>
        </w:rPr>
        <w:t>1</w:t>
      </w:r>
      <w:r>
        <w:rPr>
          <w:rStyle w:val="13"/>
          <w:rFonts w:hint="eastAsia" w:ascii="宋体" w:hAnsi="宋体" w:eastAsia="宋体" w:cs="宋体"/>
          <w:b w:val="0"/>
          <w:bCs/>
          <w:sz w:val="24"/>
          <w:szCs w:val="24"/>
          <w:highlight w:val="none"/>
          <w:lang w:val="zh-CN" w:eastAsia="zh-CN"/>
        </w:rPr>
        <w:t>.1工程名称：S202线K106+098-K113+870(太阳山转盘-塘坊梁)段计7.772km修复养护工程</w:t>
      </w:r>
      <w:r>
        <w:rPr>
          <w:rStyle w:val="13"/>
          <w:rFonts w:hint="eastAsia" w:ascii="宋体" w:hAnsi="宋体" w:eastAsia="宋体" w:cs="宋体"/>
          <w:b w:val="0"/>
          <w:bCs/>
          <w:sz w:val="24"/>
          <w:szCs w:val="24"/>
          <w:highlight w:val="none"/>
          <w:lang w:val="en-US" w:eastAsia="zh-CN"/>
        </w:rPr>
        <w:t>。</w:t>
      </w:r>
    </w:p>
    <w:p w14:paraId="0D687445">
      <w:pPr>
        <w:spacing w:line="360" w:lineRule="auto"/>
        <w:ind w:firstLine="480" w:firstLineChars="200"/>
        <w:rPr>
          <w:rStyle w:val="13"/>
          <w:rFonts w:hint="eastAsia" w:ascii="宋体" w:hAnsi="宋体" w:eastAsia="宋体" w:cs="宋体"/>
          <w:b w:val="0"/>
          <w:bCs/>
          <w:sz w:val="24"/>
          <w:szCs w:val="24"/>
          <w:highlight w:val="none"/>
          <w:lang w:val="en-US" w:eastAsia="zh-CN"/>
        </w:rPr>
      </w:pPr>
      <w:r>
        <w:rPr>
          <w:rStyle w:val="13"/>
          <w:rFonts w:hint="eastAsia" w:ascii="宋体" w:hAnsi="宋体" w:eastAsia="宋体" w:cs="宋体"/>
          <w:b w:val="0"/>
          <w:bCs/>
          <w:sz w:val="24"/>
          <w:szCs w:val="24"/>
          <w:highlight w:val="none"/>
          <w:lang w:val="en-US" w:eastAsia="zh-CN"/>
        </w:rPr>
        <w:t>1</w:t>
      </w:r>
      <w:r>
        <w:rPr>
          <w:rStyle w:val="13"/>
          <w:rFonts w:hint="eastAsia" w:ascii="宋体" w:hAnsi="宋体" w:eastAsia="宋体" w:cs="宋体"/>
          <w:b w:val="0"/>
          <w:bCs/>
          <w:sz w:val="24"/>
          <w:szCs w:val="24"/>
          <w:highlight w:val="none"/>
          <w:lang w:val="zh-CN" w:eastAsia="zh-CN"/>
        </w:rPr>
        <w:t>.2工程地点：</w:t>
      </w:r>
      <w:r>
        <w:rPr>
          <w:rStyle w:val="13"/>
          <w:rFonts w:hint="eastAsia" w:ascii="宋体" w:hAnsi="宋体" w:eastAsia="宋体" w:cs="宋体"/>
          <w:b w:val="0"/>
          <w:bCs/>
          <w:sz w:val="24"/>
          <w:szCs w:val="24"/>
          <w:highlight w:val="none"/>
          <w:lang w:val="en-US" w:eastAsia="zh-CN"/>
        </w:rPr>
        <w:t>宁夏</w:t>
      </w:r>
      <w:r>
        <w:rPr>
          <w:rStyle w:val="13"/>
          <w:rFonts w:hint="eastAsia" w:ascii="宋体" w:hAnsi="宋体" w:eastAsia="宋体" w:cs="宋体"/>
          <w:b w:val="0"/>
          <w:bCs/>
          <w:sz w:val="24"/>
          <w:szCs w:val="24"/>
          <w:highlight w:val="none"/>
          <w:lang w:val="zh-CN" w:eastAsia="zh-CN"/>
        </w:rPr>
        <w:t>吴忠</w:t>
      </w:r>
      <w:r>
        <w:rPr>
          <w:rStyle w:val="13"/>
          <w:rFonts w:hint="eastAsia" w:ascii="宋体" w:hAnsi="宋体" w:eastAsia="宋体" w:cs="宋体"/>
          <w:b w:val="0"/>
          <w:bCs/>
          <w:sz w:val="24"/>
          <w:szCs w:val="24"/>
          <w:highlight w:val="none"/>
          <w:lang w:val="en-US" w:eastAsia="zh-CN"/>
        </w:rPr>
        <w:t>市。</w:t>
      </w:r>
    </w:p>
    <w:p w14:paraId="09C5CAB1">
      <w:pPr>
        <w:spacing w:line="360" w:lineRule="auto"/>
        <w:ind w:firstLine="480" w:firstLineChars="200"/>
        <w:rPr>
          <w:rStyle w:val="13"/>
          <w:rFonts w:hint="default" w:ascii="宋体" w:hAnsi="宋体" w:eastAsia="宋体" w:cs="宋体"/>
          <w:b w:val="0"/>
          <w:bCs/>
          <w:sz w:val="24"/>
          <w:szCs w:val="24"/>
          <w:highlight w:val="none"/>
          <w:lang w:val="en-US" w:eastAsia="zh-CN"/>
        </w:rPr>
      </w:pPr>
      <w:r>
        <w:rPr>
          <w:rStyle w:val="13"/>
          <w:rFonts w:hint="eastAsia" w:ascii="宋体" w:hAnsi="宋体" w:eastAsia="宋体" w:cs="宋体"/>
          <w:b w:val="0"/>
          <w:bCs/>
          <w:sz w:val="24"/>
          <w:szCs w:val="24"/>
          <w:highlight w:val="none"/>
          <w:lang w:val="en-US" w:eastAsia="zh-CN"/>
        </w:rPr>
        <w:t>1</w:t>
      </w:r>
      <w:r>
        <w:rPr>
          <w:rStyle w:val="13"/>
          <w:rFonts w:hint="eastAsia" w:ascii="宋体" w:hAnsi="宋体" w:eastAsia="宋体" w:cs="宋体"/>
          <w:b w:val="0"/>
          <w:bCs/>
          <w:sz w:val="24"/>
          <w:szCs w:val="24"/>
          <w:highlight w:val="none"/>
          <w:lang w:val="zh-CN" w:eastAsia="zh-CN"/>
        </w:rPr>
        <w:t>.3工程概况：对</w:t>
      </w:r>
      <w:r>
        <w:rPr>
          <w:rStyle w:val="13"/>
          <w:rFonts w:hint="eastAsia" w:ascii="宋体" w:hAnsi="宋体" w:eastAsia="宋体" w:cs="宋体"/>
          <w:b w:val="0"/>
          <w:bCs/>
          <w:sz w:val="24"/>
          <w:szCs w:val="24"/>
          <w:highlight w:val="none"/>
          <w:lang w:val="zh-CN" w:eastAsia="zh-CN"/>
        </w:rPr>
        <w:tab/>
      </w:r>
      <w:r>
        <w:rPr>
          <w:rStyle w:val="13"/>
          <w:rFonts w:hint="eastAsia" w:ascii="宋体" w:hAnsi="宋体" w:eastAsia="宋体" w:cs="宋体"/>
          <w:b w:val="0"/>
          <w:bCs/>
          <w:sz w:val="24"/>
          <w:szCs w:val="24"/>
          <w:highlight w:val="none"/>
          <w:lang w:val="zh-CN" w:eastAsia="zh-CN"/>
        </w:rPr>
        <w:t>S202线K106+098-K113+870(太阳山转盘-塘坊梁)段路面进行修复养护，同步完善交通安全设施</w:t>
      </w:r>
      <w:r>
        <w:rPr>
          <w:rStyle w:val="13"/>
          <w:rFonts w:hint="eastAsia" w:ascii="宋体" w:hAnsi="宋体" w:eastAsia="宋体" w:cs="宋体"/>
          <w:b w:val="0"/>
          <w:bCs/>
          <w:sz w:val="24"/>
          <w:szCs w:val="24"/>
          <w:highlight w:val="none"/>
          <w:lang w:val="en-US" w:eastAsia="zh-CN"/>
        </w:rPr>
        <w:t>.</w:t>
      </w:r>
    </w:p>
    <w:p w14:paraId="7459E845">
      <w:pPr>
        <w:spacing w:line="360" w:lineRule="auto"/>
        <w:ind w:firstLine="480" w:firstLineChars="200"/>
        <w:rPr>
          <w:rStyle w:val="13"/>
          <w:rFonts w:hint="eastAsia" w:ascii="宋体" w:hAnsi="宋体" w:eastAsia="宋体" w:cs="宋体"/>
          <w:b w:val="0"/>
          <w:bCs/>
          <w:sz w:val="24"/>
          <w:szCs w:val="24"/>
          <w:highlight w:val="none"/>
          <w:lang w:val="en-US" w:eastAsia="zh-CN"/>
        </w:rPr>
      </w:pPr>
      <w:r>
        <w:rPr>
          <w:rStyle w:val="13"/>
          <w:rFonts w:hint="eastAsia" w:ascii="宋体" w:hAnsi="宋体" w:eastAsia="宋体" w:cs="宋体"/>
          <w:b w:val="0"/>
          <w:bCs/>
          <w:sz w:val="24"/>
          <w:szCs w:val="24"/>
          <w:highlight w:val="none"/>
          <w:lang w:val="en-US" w:eastAsia="zh-CN"/>
        </w:rPr>
        <w:t>1.4招标范围：</w:t>
      </w:r>
      <w:bookmarkStart w:id="0" w:name="EB8119b3a891534e4b98512d4f8f09b10f"/>
      <w:r>
        <w:rPr>
          <w:rStyle w:val="13"/>
          <w:rFonts w:hint="eastAsia" w:ascii="宋体" w:hAnsi="宋体" w:eastAsia="宋体" w:cs="宋体"/>
          <w:b w:val="0"/>
          <w:bCs/>
          <w:sz w:val="24"/>
          <w:szCs w:val="24"/>
          <w:highlight w:val="none"/>
          <w:lang w:val="en-US" w:eastAsia="zh-CN"/>
        </w:rPr>
        <w:t>设计图纸所设计的内容、工程量清单中所反映出来的实际工程量、技术规范和工程量清单计量规则中要求的计价不计量的工程量以及为完成以上工程所消耗的劳务、材料、机械、设备等所有附属工程量。</w:t>
      </w:r>
      <w:bookmarkEnd w:id="0"/>
    </w:p>
    <w:p w14:paraId="74CD824C">
      <w:pPr>
        <w:spacing w:line="360" w:lineRule="auto"/>
        <w:ind w:firstLine="480" w:firstLineChars="200"/>
        <w:rPr>
          <w:rStyle w:val="13"/>
          <w:rFonts w:hint="eastAsia" w:ascii="宋体" w:hAnsi="宋体" w:eastAsia="宋体" w:cs="宋体"/>
          <w:b w:val="0"/>
          <w:bCs/>
          <w:sz w:val="24"/>
          <w:szCs w:val="24"/>
          <w:highlight w:val="none"/>
          <w:lang w:val="en-US" w:eastAsia="zh-CN"/>
        </w:rPr>
      </w:pPr>
      <w:r>
        <w:rPr>
          <w:rStyle w:val="13"/>
          <w:rFonts w:hint="eastAsia" w:ascii="宋体" w:hAnsi="宋体" w:eastAsia="宋体" w:cs="宋体"/>
          <w:b w:val="0"/>
          <w:bCs/>
          <w:sz w:val="24"/>
          <w:szCs w:val="24"/>
          <w:highlight w:val="none"/>
          <w:lang w:val="en-US" w:eastAsia="zh-CN"/>
        </w:rPr>
        <w:t>1.5计划工期：120日历天</w:t>
      </w:r>
    </w:p>
    <w:p w14:paraId="7F6A66D9">
      <w:pPr>
        <w:pStyle w:val="5"/>
        <w:rPr>
          <w:rFonts w:hint="eastAsia"/>
          <w:lang w:val="en-US" w:eastAsia="zh-CN"/>
        </w:rPr>
      </w:pPr>
      <w:r>
        <w:rPr>
          <w:rFonts w:hint="eastAsia"/>
          <w:lang w:val="en-US" w:eastAsia="zh-CN"/>
        </w:rPr>
        <w:t>计划开工日期： 2026 年 05 月 08 日</w:t>
      </w:r>
    </w:p>
    <w:p w14:paraId="07C6E09C">
      <w:pPr>
        <w:pStyle w:val="5"/>
        <w:rPr>
          <w:rFonts w:hint="eastAsia"/>
          <w:lang w:val="en-US" w:eastAsia="zh-CN"/>
        </w:rPr>
      </w:pPr>
      <w:r>
        <w:rPr>
          <w:rFonts w:hint="eastAsia"/>
          <w:lang w:val="en-US" w:eastAsia="zh-CN"/>
        </w:rPr>
        <w:t>计划交工日期： 2026 年 09 月 05 日（实际开竣工时间以合同签订为准）</w:t>
      </w:r>
    </w:p>
    <w:p w14:paraId="38BE4CF6">
      <w:pPr>
        <w:spacing w:line="360" w:lineRule="auto"/>
        <w:ind w:firstLine="480" w:firstLineChars="200"/>
        <w:rPr>
          <w:rStyle w:val="13"/>
          <w:rFonts w:hint="eastAsia" w:ascii="宋体" w:hAnsi="宋体" w:eastAsia="宋体" w:cs="宋体"/>
          <w:b w:val="0"/>
          <w:bCs/>
          <w:sz w:val="24"/>
          <w:szCs w:val="24"/>
          <w:highlight w:val="none"/>
          <w:lang w:val="en-US" w:eastAsia="zh-CN"/>
        </w:rPr>
      </w:pPr>
      <w:r>
        <w:rPr>
          <w:rStyle w:val="13"/>
          <w:rFonts w:hint="eastAsia" w:ascii="宋体" w:hAnsi="宋体" w:eastAsia="宋体" w:cs="宋体"/>
          <w:b w:val="0"/>
          <w:bCs/>
          <w:sz w:val="24"/>
          <w:szCs w:val="24"/>
          <w:highlight w:val="none"/>
          <w:lang w:val="en-US" w:eastAsia="zh-CN"/>
        </w:rPr>
        <w:t>1</w:t>
      </w:r>
      <w:r>
        <w:rPr>
          <w:rStyle w:val="13"/>
          <w:rFonts w:hint="eastAsia" w:ascii="宋体" w:hAnsi="宋体" w:eastAsia="宋体" w:cs="宋体"/>
          <w:b w:val="0"/>
          <w:bCs/>
          <w:sz w:val="24"/>
          <w:szCs w:val="24"/>
          <w:highlight w:val="none"/>
          <w:lang w:val="zh-CN" w:eastAsia="zh-CN"/>
        </w:rPr>
        <w:t>.6标段划分：本次招标划分为 1 个标段，为不见面的电子标。</w:t>
      </w:r>
    </w:p>
    <w:p w14:paraId="6D2175D6">
      <w:pPr>
        <w:spacing w:line="360" w:lineRule="auto"/>
        <w:ind w:firstLine="480" w:firstLineChars="200"/>
        <w:rPr>
          <w:rStyle w:val="13"/>
          <w:rFonts w:hint="eastAsia" w:ascii="宋体" w:hAnsi="宋体" w:eastAsia="宋体" w:cs="宋体"/>
          <w:b w:val="0"/>
          <w:bCs/>
          <w:sz w:val="24"/>
          <w:szCs w:val="24"/>
          <w:highlight w:val="none"/>
          <w:lang w:val="en-US" w:eastAsia="zh-CN"/>
        </w:rPr>
      </w:pPr>
      <w:bookmarkStart w:id="1" w:name="EBc77649e1a1e6481b89418948ca88b47b"/>
      <w:r>
        <w:rPr>
          <w:rStyle w:val="13"/>
          <w:rFonts w:hint="eastAsia" w:ascii="宋体" w:hAnsi="宋体" w:eastAsia="宋体" w:cs="宋体"/>
          <w:b w:val="0"/>
          <w:bCs/>
          <w:sz w:val="24"/>
          <w:szCs w:val="24"/>
          <w:highlight w:val="none"/>
          <w:lang w:val="en-US" w:eastAsia="zh-CN"/>
        </w:rPr>
        <w:t>工程内容包括：</w:t>
      </w:r>
    </w:p>
    <w:p w14:paraId="24B4D699">
      <w:pPr>
        <w:spacing w:line="360" w:lineRule="auto"/>
        <w:ind w:firstLine="480" w:firstLineChars="200"/>
        <w:rPr>
          <w:rStyle w:val="13"/>
          <w:rFonts w:hint="eastAsia" w:ascii="宋体" w:hAnsi="宋体" w:eastAsia="宋体" w:cs="宋体"/>
          <w:b w:val="0"/>
          <w:bCs/>
          <w:sz w:val="24"/>
          <w:szCs w:val="24"/>
          <w:highlight w:val="none"/>
          <w:lang w:val="en-US" w:eastAsia="zh-CN"/>
        </w:rPr>
      </w:pPr>
      <w:r>
        <w:rPr>
          <w:rStyle w:val="13"/>
          <w:rFonts w:hint="eastAsia" w:ascii="宋体" w:hAnsi="宋体" w:eastAsia="宋体" w:cs="宋体"/>
          <w:b w:val="0"/>
          <w:bCs/>
          <w:sz w:val="24"/>
          <w:szCs w:val="24"/>
          <w:highlight w:val="none"/>
          <w:lang w:val="en-US" w:eastAsia="zh-CN"/>
        </w:rPr>
        <w:t>路面一般裂缝病害路段，采用直接或扩缝灌注聚合物高分子密封胶处理，路面病害处治后进行4厘米AC一13C细粒式SBS改性沥青混凝土罩面。路面基层局部车辙、坑槽、龟裂病害路段，对旧路面层进行铣刨，按照病害实际尺寸对基层进行开挖清理，用水泥稳定碎石铺筑或水泥混凝土回填，接缝采用密封胶灌缝处理，恢复路面结构为:4厘米AC-13C细粒式SBS改性沥青混凝土上面层+6厘米EME一16高模量沥青混凝土下面层+8厘米厂拌乳化沥青冷再生柔性基层。路面病害发展至基层路段，挖除旧路面，新建路面结构为:4厘米AC一13C细粒式SBS改性沥青混凝土上面层+6厘米EME一16高模量沥青混凝土下面层+36厘米水泥稳定碎石基层+20厘米级配砂砾底基层。一般路基沉陷病害，采用压路机“高频低幅”振动模式补碾压实处理。桥梁和涵洞台背两侧路基过渡段，采用液态粉煤灰换填处理。</w:t>
      </w:r>
    </w:p>
    <w:p w14:paraId="7A0D8569">
      <w:pPr>
        <w:spacing w:line="360" w:lineRule="auto"/>
        <w:ind w:firstLine="480" w:firstLineChars="200"/>
        <w:rPr>
          <w:rStyle w:val="13"/>
          <w:rFonts w:hint="eastAsia" w:ascii="宋体" w:hAnsi="宋体" w:eastAsia="宋体" w:cs="宋体"/>
          <w:b w:val="0"/>
          <w:bCs/>
          <w:sz w:val="24"/>
          <w:szCs w:val="24"/>
          <w:highlight w:val="none"/>
          <w:lang w:val="en-US" w:eastAsia="zh-CN"/>
        </w:rPr>
      </w:pPr>
      <w:r>
        <w:rPr>
          <w:rStyle w:val="13"/>
          <w:rFonts w:hint="eastAsia" w:ascii="宋体" w:hAnsi="宋体" w:eastAsia="宋体" w:cs="宋体"/>
          <w:b w:val="0"/>
          <w:bCs/>
          <w:sz w:val="24"/>
          <w:szCs w:val="24"/>
          <w:highlight w:val="none"/>
          <w:lang w:val="en-US" w:eastAsia="zh-CN"/>
        </w:rPr>
        <w:t>维修利用K107+228.7大河桥桥梁1座，拉毛桥面混凝土铺装1厘米，封闭裂缝并新做5厘米AC-13C细粒式SBS改性沥青混凝土铺装及防水层，对桥梁伸缩缝止水带破损、伸缩缝锚固区裂缝及破损、桥板底部破损漏筋、桥墩立柱和桥台盖梁局部破损漏筋、支座脱空等病害处治。维修利用涵洞2道，拆除新建涵洞1道，并完善排水和交通安全设施。</w:t>
      </w:r>
    </w:p>
    <w:p w14:paraId="14E43569">
      <w:pPr>
        <w:spacing w:line="360" w:lineRule="auto"/>
        <w:ind w:firstLine="480" w:firstLineChars="200"/>
        <w:rPr>
          <w:rStyle w:val="13"/>
          <w:rFonts w:hint="eastAsia" w:ascii="宋体" w:hAnsi="宋体" w:eastAsia="宋体" w:cs="宋体"/>
          <w:b w:val="0"/>
          <w:bCs/>
          <w:sz w:val="24"/>
          <w:szCs w:val="24"/>
          <w:highlight w:val="none"/>
          <w:lang w:val="en-US" w:eastAsia="zh-CN"/>
        </w:rPr>
      </w:pPr>
      <w:r>
        <w:rPr>
          <w:rStyle w:val="13"/>
          <w:rFonts w:hint="eastAsia" w:ascii="宋体" w:hAnsi="宋体" w:eastAsia="宋体" w:cs="宋体"/>
          <w:b w:val="0"/>
          <w:bCs/>
          <w:sz w:val="24"/>
          <w:szCs w:val="24"/>
          <w:highlight w:val="none"/>
          <w:lang w:val="en-US" w:eastAsia="zh-CN"/>
        </w:rPr>
        <w:t>主要工程量：铺筑4厘米AC-13C细粒式SBS改性沥青混凝土上面层89622平方米、6厘米EME一16高模量沥青混凝土下面层66501平方米，铺筑(回填)18厘米水泥稳定碎石上基层16171平方米、18厘米水泥稳定碎石下基层9080平方米，施划热熔反光型标线3550.75平方米，设置Gr-A-4E护栏1787米、Gr-B-2E护栏1397米等。</w:t>
      </w:r>
    </w:p>
    <w:p w14:paraId="03E97E74">
      <w:pPr>
        <w:spacing w:line="360" w:lineRule="auto"/>
        <w:ind w:firstLine="480" w:firstLineChars="200"/>
        <w:rPr>
          <w:rStyle w:val="13"/>
          <w:rFonts w:hint="eastAsia" w:ascii="宋体" w:hAnsi="宋体" w:eastAsia="宋体" w:cs="宋体"/>
          <w:b w:val="0"/>
          <w:bCs/>
          <w:sz w:val="24"/>
          <w:szCs w:val="24"/>
          <w:highlight w:val="none"/>
          <w:lang w:val="en-US" w:eastAsia="zh-CN"/>
        </w:rPr>
      </w:pPr>
      <w:r>
        <w:rPr>
          <w:rStyle w:val="13"/>
          <w:rFonts w:hint="eastAsia" w:ascii="宋体" w:hAnsi="宋体" w:eastAsia="宋体" w:cs="宋体"/>
          <w:b w:val="0"/>
          <w:bCs/>
          <w:sz w:val="24"/>
          <w:szCs w:val="24"/>
          <w:highlight w:val="none"/>
          <w:lang w:val="en-US" w:eastAsia="zh-CN"/>
        </w:rPr>
        <w:t>以上工程量确切数量及内容详见工程量清单和施工图设计文件。</w:t>
      </w:r>
    </w:p>
    <w:bookmarkEnd w:id="1"/>
    <w:p w14:paraId="5FD072D8">
      <w:pPr>
        <w:spacing w:line="360" w:lineRule="auto"/>
        <w:ind w:firstLine="480" w:firstLineChars="200"/>
        <w:rPr>
          <w:rStyle w:val="13"/>
          <w:rFonts w:hint="eastAsia" w:ascii="宋体" w:hAnsi="宋体" w:eastAsia="宋体" w:cs="宋体"/>
          <w:b w:val="0"/>
          <w:bCs/>
          <w:sz w:val="24"/>
          <w:szCs w:val="24"/>
          <w:highlight w:val="none"/>
          <w:lang w:val="zh-CN" w:eastAsia="zh-CN"/>
        </w:rPr>
      </w:pPr>
      <w:r>
        <w:rPr>
          <w:rStyle w:val="13"/>
          <w:rFonts w:hint="eastAsia" w:ascii="宋体" w:hAnsi="宋体" w:eastAsia="宋体" w:cs="宋体"/>
          <w:b w:val="0"/>
          <w:bCs/>
          <w:sz w:val="24"/>
          <w:szCs w:val="24"/>
          <w:highlight w:val="none"/>
          <w:lang w:val="en-US" w:eastAsia="zh-CN"/>
        </w:rPr>
        <w:t>1.7资格审查办法：</w:t>
      </w:r>
      <w:bookmarkStart w:id="2" w:name="EB410b2449321b49e7a5898e11f3232d95"/>
      <w:r>
        <w:rPr>
          <w:rStyle w:val="13"/>
          <w:rFonts w:hint="eastAsia" w:ascii="宋体" w:hAnsi="宋体" w:eastAsia="宋体" w:cs="宋体"/>
          <w:b w:val="0"/>
          <w:bCs/>
          <w:sz w:val="24"/>
          <w:szCs w:val="24"/>
          <w:highlight w:val="none"/>
          <w:lang w:val="en-US" w:eastAsia="zh-CN"/>
        </w:rPr>
        <w:t>资格后审。</w:t>
      </w:r>
      <w:bookmarkEnd w:id="2"/>
    </w:p>
    <w:p w14:paraId="72491651">
      <w:pPr>
        <w:pStyle w:val="14"/>
        <w:spacing w:line="360" w:lineRule="auto"/>
        <w:jc w:val="left"/>
        <w:outlineLvl w:val="2"/>
        <w:rPr>
          <w:rFonts w:hint="eastAsia" w:ascii="宋体" w:hAnsi="宋体" w:eastAsia="宋体" w:cs="宋体"/>
          <w:b/>
          <w:bCs/>
          <w:color w:val="auto"/>
          <w:sz w:val="28"/>
          <w:szCs w:val="28"/>
          <w:highlight w:val="none"/>
        </w:rPr>
      </w:pPr>
      <w:bookmarkStart w:id="3" w:name="_Toc4457"/>
    </w:p>
    <w:p w14:paraId="76B550B6">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78E12B3">
      <w:pPr>
        <w:pStyle w:val="14"/>
        <w:spacing w:line="360" w:lineRule="auto"/>
        <w:jc w:val="left"/>
        <w:outlineLvl w:val="2"/>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二、资格条件</w:t>
      </w:r>
    </w:p>
    <w:bookmarkEnd w:id="3"/>
    <w:p w14:paraId="749DFE50">
      <w:pPr>
        <w:pStyle w:val="14"/>
        <w:spacing w:line="360" w:lineRule="auto"/>
        <w:jc w:val="center"/>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附录1   资格审查条件</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资质最低条件</w:t>
      </w:r>
      <w:r>
        <w:rPr>
          <w:rFonts w:hint="eastAsia" w:ascii="宋体" w:hAnsi="宋体" w:eastAsia="宋体" w:cs="宋体"/>
          <w:b/>
          <w:bCs/>
          <w:color w:val="auto"/>
          <w:sz w:val="30"/>
          <w:szCs w:val="30"/>
          <w:highlight w:val="none"/>
          <w:lang w:eastAsia="zh-CN"/>
        </w:rPr>
        <w:t>）</w:t>
      </w:r>
    </w:p>
    <w:tbl>
      <w:tblPr>
        <w:tblStyle w:val="17"/>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8"/>
        <w:gridCol w:w="7017"/>
      </w:tblGrid>
      <w:tr w14:paraId="43788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78" w:type="dxa"/>
            <w:noWrap w:val="0"/>
            <w:vAlign w:val="center"/>
          </w:tcPr>
          <w:p w14:paraId="143D654A">
            <w:pPr>
              <w:pStyle w:val="16"/>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color w:val="auto"/>
                <w:sz w:val="24"/>
                <w:szCs w:val="24"/>
              </w:rPr>
            </w:pPr>
            <w:r>
              <w:rPr>
                <w:color w:val="auto"/>
                <w:spacing w:val="7"/>
                <w:sz w:val="24"/>
                <w:szCs w:val="24"/>
              </w:rPr>
              <w:t>标段号</w:t>
            </w:r>
          </w:p>
        </w:tc>
        <w:tc>
          <w:tcPr>
            <w:tcW w:w="7017" w:type="dxa"/>
            <w:noWrap w:val="0"/>
            <w:vAlign w:val="center"/>
          </w:tcPr>
          <w:p w14:paraId="5BC8169F">
            <w:pPr>
              <w:pStyle w:val="16"/>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color w:val="auto"/>
                <w:sz w:val="24"/>
                <w:szCs w:val="24"/>
              </w:rPr>
            </w:pPr>
            <w:r>
              <w:rPr>
                <w:color w:val="auto"/>
                <w:spacing w:val="9"/>
                <w:sz w:val="24"/>
                <w:szCs w:val="24"/>
              </w:rPr>
              <w:t>施工企业资质等级要求</w:t>
            </w:r>
          </w:p>
        </w:tc>
      </w:tr>
      <w:tr w14:paraId="2BE82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78" w:type="dxa"/>
            <w:noWrap w:val="0"/>
            <w:vAlign w:val="center"/>
          </w:tcPr>
          <w:p w14:paraId="4778836F">
            <w:pPr>
              <w:pStyle w:val="16"/>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0"/>
                <w:sz w:val="24"/>
                <w:szCs w:val="24"/>
                <w:highlight w:val="none"/>
                <w:lang w:val="en-US" w:eastAsia="zh-CN" w:bidi="ar-SA"/>
              </w:rPr>
            </w:pPr>
          </w:p>
          <w:p w14:paraId="7DC46FF0">
            <w:pPr>
              <w:pStyle w:val="16"/>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0"/>
                <w:sz w:val="24"/>
                <w:szCs w:val="24"/>
                <w:highlight w:val="none"/>
                <w:lang w:val="en-US" w:eastAsia="zh-CN" w:bidi="ar-SA"/>
              </w:rPr>
            </w:pPr>
          </w:p>
        </w:tc>
        <w:tc>
          <w:tcPr>
            <w:tcW w:w="7017" w:type="dxa"/>
            <w:noWrap w:val="0"/>
            <w:vAlign w:val="top"/>
          </w:tcPr>
          <w:p w14:paraId="65AAD0CD">
            <w:pPr>
              <w:pStyle w:val="16"/>
              <w:keepNext w:val="0"/>
              <w:keepLines w:val="0"/>
              <w:pageBreakBefore w:val="0"/>
              <w:widowControl w:val="0"/>
              <w:kinsoku/>
              <w:wordWrap/>
              <w:overflowPunct/>
              <w:topLinePunct w:val="0"/>
              <w:autoSpaceDE/>
              <w:autoSpaceDN/>
              <w:bidi w:val="0"/>
              <w:adjustRightInd/>
              <w:snapToGrid/>
              <w:spacing w:line="360" w:lineRule="auto"/>
              <w:ind w:left="0" w:right="0" w:firstLine="518" w:firstLineChars="200"/>
              <w:textAlignment w:val="auto"/>
              <w:rPr>
                <w:b/>
                <w:bCs/>
                <w:color w:val="auto"/>
                <w:spacing w:val="9"/>
                <w:sz w:val="24"/>
                <w:szCs w:val="24"/>
                <w:highlight w:val="none"/>
              </w:rPr>
            </w:pPr>
            <w:r>
              <w:rPr>
                <w:b/>
                <w:bCs/>
                <w:color w:val="auto"/>
                <w:spacing w:val="9"/>
                <w:sz w:val="24"/>
                <w:szCs w:val="24"/>
                <w:highlight w:val="none"/>
              </w:rPr>
              <w:t>投标人需满足以下要求：</w:t>
            </w:r>
          </w:p>
          <w:p w14:paraId="0288D400">
            <w:pPr>
              <w:pStyle w:val="16"/>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color w:val="auto"/>
                <w:spacing w:val="9"/>
                <w:sz w:val="24"/>
                <w:szCs w:val="24"/>
                <w:highlight w:val="none"/>
              </w:rPr>
            </w:pPr>
            <w:r>
              <w:rPr>
                <w:color w:val="auto"/>
                <w:spacing w:val="9"/>
                <w:sz w:val="24"/>
                <w:szCs w:val="24"/>
                <w:highlight w:val="none"/>
              </w:rPr>
              <w:t>1.投标人须具备法人或其他组织资格，持有工商行政管理部门核发的有效企业营 业执照或事业单位法人证书或社会团体法人登记证书；</w:t>
            </w:r>
          </w:p>
          <w:p w14:paraId="34BC4E56">
            <w:pPr>
              <w:pStyle w:val="16"/>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color w:val="auto"/>
                <w:spacing w:val="9"/>
                <w:sz w:val="24"/>
                <w:szCs w:val="24"/>
                <w:highlight w:val="none"/>
              </w:rPr>
            </w:pPr>
            <w:r>
              <w:rPr>
                <w:color w:val="auto"/>
                <w:spacing w:val="9"/>
                <w:sz w:val="24"/>
                <w:szCs w:val="24"/>
                <w:highlight w:val="none"/>
              </w:rPr>
              <w:t>2.</w:t>
            </w:r>
            <w:r>
              <w:rPr>
                <w:rFonts w:hint="eastAsia"/>
                <w:color w:val="auto"/>
                <w:spacing w:val="9"/>
                <w:sz w:val="24"/>
                <w:szCs w:val="24"/>
                <w:highlight w:val="none"/>
                <w:lang w:val="en-US" w:eastAsia="zh-CN"/>
              </w:rPr>
              <w:t>具备交通运输主管部门颁发的路基路面养护乙级及以上资质并同时具有交通安全设施养护资质或具备交通运输主管部门颁发的二类公路养护工程乙级资质且在有效期内</w:t>
            </w:r>
            <w:r>
              <w:rPr>
                <w:color w:val="auto"/>
                <w:spacing w:val="9"/>
                <w:sz w:val="24"/>
                <w:szCs w:val="24"/>
                <w:highlight w:val="none"/>
              </w:rPr>
              <w:t>，且所有资质证书</w:t>
            </w:r>
            <w:r>
              <w:rPr>
                <w:rFonts w:hint="eastAsia"/>
                <w:color w:val="auto"/>
                <w:spacing w:val="9"/>
                <w:sz w:val="24"/>
                <w:szCs w:val="24"/>
                <w:highlight w:val="none"/>
                <w:lang w:val="en-US" w:eastAsia="zh-CN"/>
              </w:rPr>
              <w:t>都</w:t>
            </w:r>
            <w:r>
              <w:rPr>
                <w:color w:val="auto"/>
                <w:spacing w:val="9"/>
                <w:sz w:val="24"/>
                <w:szCs w:val="24"/>
                <w:highlight w:val="none"/>
              </w:rPr>
              <w:t>在有效期内；</w:t>
            </w:r>
          </w:p>
          <w:p w14:paraId="2D3CC8C0">
            <w:pPr>
              <w:pStyle w:val="16"/>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color w:val="auto"/>
                <w:spacing w:val="9"/>
                <w:sz w:val="24"/>
                <w:szCs w:val="24"/>
                <w:highlight w:val="none"/>
              </w:rPr>
            </w:pPr>
            <w:r>
              <w:rPr>
                <w:color w:val="auto"/>
                <w:spacing w:val="9"/>
                <w:sz w:val="24"/>
                <w:szCs w:val="24"/>
                <w:highlight w:val="none"/>
              </w:rPr>
              <w:t>3.投标人具备建设主管部门颁发的有效安全生产许可证，并在人员、设备、资金等方面具有相应的施工能力。</w:t>
            </w:r>
          </w:p>
          <w:p w14:paraId="52251A36">
            <w:pPr>
              <w:pStyle w:val="16"/>
              <w:keepNext w:val="0"/>
              <w:keepLines w:val="0"/>
              <w:pageBreakBefore w:val="0"/>
              <w:widowControl w:val="0"/>
              <w:kinsoku/>
              <w:wordWrap/>
              <w:overflowPunct/>
              <w:topLinePunct w:val="0"/>
              <w:autoSpaceDE/>
              <w:autoSpaceDN/>
              <w:bidi w:val="0"/>
              <w:adjustRightInd/>
              <w:snapToGrid/>
              <w:spacing w:line="360" w:lineRule="auto"/>
              <w:ind w:left="0" w:right="0" w:firstLine="518" w:firstLineChars="200"/>
              <w:textAlignment w:val="auto"/>
              <w:rPr>
                <w:color w:val="auto"/>
                <w:spacing w:val="9"/>
                <w:sz w:val="24"/>
                <w:szCs w:val="24"/>
                <w:highlight w:val="none"/>
              </w:rPr>
            </w:pPr>
            <w:r>
              <w:rPr>
                <w:b/>
                <w:bCs/>
                <w:color w:val="auto"/>
                <w:spacing w:val="9"/>
                <w:sz w:val="24"/>
                <w:szCs w:val="24"/>
                <w:highlight w:val="none"/>
              </w:rPr>
              <w:t>注：补充投标人须知正文第 3.5.1 项：</w:t>
            </w:r>
          </w:p>
          <w:p w14:paraId="33F8AB1F">
            <w:pPr>
              <w:pStyle w:val="16"/>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color w:val="auto"/>
                <w:spacing w:val="9"/>
                <w:sz w:val="24"/>
                <w:szCs w:val="24"/>
                <w:highlight w:val="none"/>
              </w:rPr>
            </w:pPr>
            <w:r>
              <w:rPr>
                <w:color w:val="auto"/>
                <w:spacing w:val="9"/>
                <w:sz w:val="24"/>
                <w:szCs w:val="24"/>
                <w:highlight w:val="none"/>
              </w:rPr>
              <w:t>（1） “投标人基本情况表 ”应附营业执照副本和组织机构代码证（按照“三证  合一 ”或“五证合一 ”登记制度进行登记的，可仅提供营业执照，下同）或事业单位 法人证书或社会团体法人登记证书、施工资质证书副本、安全生产许可证副本、基本 账户信息的扫描件，投标人在国家企业信用信息公示系统中基础信息（体现股东及出 资详细信息）的网页截图。</w:t>
            </w:r>
          </w:p>
          <w:p w14:paraId="39CCFC0F">
            <w:pPr>
              <w:pStyle w:val="16"/>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color w:val="auto"/>
                <w:spacing w:val="9"/>
                <w:sz w:val="24"/>
                <w:szCs w:val="24"/>
                <w:highlight w:val="none"/>
              </w:rPr>
            </w:pPr>
            <w:r>
              <w:rPr>
                <w:color w:val="auto"/>
                <w:spacing w:val="9"/>
                <w:sz w:val="24"/>
                <w:szCs w:val="24"/>
                <w:highlight w:val="none"/>
              </w:rPr>
              <w:t>（2）营业执照副本和组织机构代码证或事业单位法人证书或社会团体法人登记  证书、施工资质证书副本、安全生产许可证副本的扫描件应提供全本（证书封面、封 底、空白页除外），应包括投标人名称、投标人其他相关信息、颁发机构名称、投标 人信息变更情况等关键页在内，并逐页加盖投标人单位章。</w:t>
            </w:r>
          </w:p>
          <w:p w14:paraId="19D6E699">
            <w:pPr>
              <w:pStyle w:val="16"/>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color w:val="auto"/>
                <w:spacing w:val="9"/>
                <w:sz w:val="24"/>
                <w:szCs w:val="24"/>
                <w:highlight w:val="none"/>
              </w:rPr>
            </w:pPr>
            <w:r>
              <w:rPr>
                <w:color w:val="auto"/>
                <w:spacing w:val="9"/>
                <w:sz w:val="24"/>
                <w:szCs w:val="24"/>
                <w:highlight w:val="none"/>
              </w:rPr>
              <w:t>（3）对于法人发生重组或变更的投标人，应在投标文件中提供附有法人重组或变更时相关部门的合法批件、变更时的企业法人营业执照和资质证书的变更记录彩色 扫描件。</w:t>
            </w:r>
          </w:p>
          <w:p w14:paraId="15067EEC">
            <w:pPr>
              <w:pStyle w:val="16"/>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color w:val="auto"/>
                <w:spacing w:val="9"/>
                <w:sz w:val="24"/>
                <w:szCs w:val="24"/>
                <w:highlight w:val="none"/>
              </w:rPr>
            </w:pPr>
            <w:r>
              <w:rPr>
                <w:color w:val="auto"/>
                <w:spacing w:val="9"/>
                <w:sz w:val="24"/>
                <w:szCs w:val="24"/>
                <w:highlight w:val="none"/>
              </w:rPr>
              <w:t>（4）各证照如根据相关法律法规实现电子证照的，可以提供电子证照截图。</w:t>
            </w:r>
          </w:p>
          <w:p w14:paraId="44BC8642">
            <w:pPr>
              <w:pStyle w:val="16"/>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color w:val="auto"/>
                <w:spacing w:val="9"/>
                <w:sz w:val="24"/>
                <w:szCs w:val="24"/>
                <w:highlight w:val="none"/>
              </w:rPr>
            </w:pPr>
            <w:r>
              <w:rPr>
                <w:color w:val="auto"/>
                <w:spacing w:val="9"/>
                <w:sz w:val="24"/>
                <w:szCs w:val="24"/>
                <w:highlight w:val="none"/>
              </w:rPr>
              <w:t>（5）因公告格式无法修改，招标公告投标人资格要求中“根据《关于发布公路工程从业企业资质名录的通知》（厅公路字〔2011〕114 号）要求，投标人如为应通过名录对其资质条件进行审核的公路施工企业，则应进入交通运输部“全国公路建设 市场监督管理系统（https://hwdms.mot.gov.cn）”中的公路工程施工资质企业名录， 且投标人名称和资质与该名录中的相应企业名称和资质完全一致 ”不适用于本项目，本项目投标人无需进入交通运输部“全国公路建设市场监督管理系统”中的公路工程 施工资质企业名录。</w:t>
            </w:r>
          </w:p>
          <w:p w14:paraId="5BEA5CC8">
            <w:pPr>
              <w:pStyle w:val="16"/>
              <w:keepNext w:val="0"/>
              <w:keepLines w:val="0"/>
              <w:pageBreakBefore w:val="0"/>
              <w:widowControl w:val="0"/>
              <w:kinsoku/>
              <w:wordWrap/>
              <w:overflowPunct/>
              <w:topLinePunct w:val="0"/>
              <w:autoSpaceDE/>
              <w:autoSpaceDN/>
              <w:bidi w:val="0"/>
              <w:adjustRightInd/>
              <w:snapToGrid/>
              <w:spacing w:line="360" w:lineRule="auto"/>
              <w:ind w:left="0" w:right="0" w:firstLine="518" w:firstLineChars="200"/>
              <w:textAlignment w:val="auto"/>
              <w:rPr>
                <w:color w:val="auto"/>
                <w:spacing w:val="9"/>
                <w:sz w:val="24"/>
                <w:szCs w:val="24"/>
                <w:highlight w:val="none"/>
              </w:rPr>
            </w:pPr>
            <w:r>
              <w:rPr>
                <w:b/>
                <w:bCs/>
                <w:color w:val="auto"/>
                <w:spacing w:val="9"/>
                <w:sz w:val="24"/>
                <w:szCs w:val="24"/>
                <w:highlight w:val="none"/>
              </w:rPr>
              <w:t>（6）招标文件中其他地方与此处不一致时，以此处为准。</w:t>
            </w:r>
          </w:p>
        </w:tc>
      </w:tr>
    </w:tbl>
    <w:p w14:paraId="6C37E03A">
      <w:pPr>
        <w:pStyle w:val="14"/>
        <w:spacing w:line="360" w:lineRule="auto"/>
        <w:jc w:val="center"/>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rPr>
        <w:br w:type="page"/>
      </w:r>
      <w:bookmarkStart w:id="4" w:name="_Toc13459"/>
      <w:r>
        <w:rPr>
          <w:rFonts w:hint="eastAsia" w:ascii="宋体" w:hAnsi="宋体" w:eastAsia="宋体" w:cs="宋体"/>
          <w:b/>
          <w:bCs/>
          <w:color w:val="auto"/>
          <w:sz w:val="30"/>
          <w:szCs w:val="30"/>
          <w:highlight w:val="none"/>
        </w:rPr>
        <w:t>附录2   资格审查条件</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财务最低要求</w:t>
      </w:r>
      <w:r>
        <w:rPr>
          <w:rFonts w:hint="eastAsia" w:ascii="宋体" w:hAnsi="宋体" w:eastAsia="宋体" w:cs="宋体"/>
          <w:b/>
          <w:bCs/>
          <w:color w:val="auto"/>
          <w:sz w:val="30"/>
          <w:szCs w:val="30"/>
          <w:highlight w:val="none"/>
          <w:lang w:eastAsia="zh-CN"/>
        </w:rPr>
        <w:t>）</w:t>
      </w:r>
      <w:bookmarkEnd w:id="4"/>
    </w:p>
    <w:tbl>
      <w:tblPr>
        <w:tblStyle w:val="17"/>
        <w:tblW w:w="8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8"/>
        <w:gridCol w:w="6715"/>
      </w:tblGrid>
      <w:tr w14:paraId="6DA39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178" w:type="dxa"/>
            <w:noWrap w:val="0"/>
            <w:vAlign w:val="top"/>
          </w:tcPr>
          <w:p w14:paraId="5A76D26A">
            <w:pPr>
              <w:pStyle w:val="16"/>
              <w:spacing w:before="154" w:line="360" w:lineRule="auto"/>
              <w:jc w:val="center"/>
              <w:rPr>
                <w:rFonts w:hint="eastAsia" w:ascii="宋体" w:hAnsi="宋体" w:eastAsia="宋体" w:cs="宋体"/>
                <w:sz w:val="24"/>
                <w:szCs w:val="24"/>
              </w:rPr>
            </w:pPr>
            <w:r>
              <w:rPr>
                <w:rFonts w:hint="eastAsia" w:ascii="宋体" w:hAnsi="宋体" w:eastAsia="宋体" w:cs="宋体"/>
                <w:spacing w:val="7"/>
                <w:sz w:val="24"/>
                <w:szCs w:val="24"/>
              </w:rPr>
              <w:t>标段号</w:t>
            </w:r>
          </w:p>
        </w:tc>
        <w:tc>
          <w:tcPr>
            <w:tcW w:w="6715" w:type="dxa"/>
            <w:noWrap w:val="0"/>
            <w:vAlign w:val="top"/>
          </w:tcPr>
          <w:p w14:paraId="2B507838">
            <w:pPr>
              <w:pStyle w:val="16"/>
              <w:spacing w:before="154" w:line="360" w:lineRule="auto"/>
              <w:ind w:left="2740"/>
              <w:rPr>
                <w:rFonts w:hint="eastAsia" w:ascii="宋体" w:hAnsi="宋体" w:eastAsia="宋体" w:cs="宋体"/>
                <w:sz w:val="24"/>
                <w:szCs w:val="24"/>
              </w:rPr>
            </w:pPr>
            <w:r>
              <w:rPr>
                <w:rFonts w:hint="eastAsia" w:ascii="宋体" w:hAnsi="宋体" w:eastAsia="宋体" w:cs="宋体"/>
                <w:spacing w:val="7"/>
                <w:sz w:val="24"/>
                <w:szCs w:val="24"/>
              </w:rPr>
              <w:t>财务要求</w:t>
            </w:r>
          </w:p>
        </w:tc>
      </w:tr>
      <w:tr w14:paraId="6E8F0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178" w:type="dxa"/>
            <w:noWrap w:val="0"/>
            <w:vAlign w:val="center"/>
          </w:tcPr>
          <w:p w14:paraId="43B2662E">
            <w:pPr>
              <w:pStyle w:val="16"/>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0000FF"/>
                <w:kern w:val="0"/>
                <w:sz w:val="24"/>
                <w:szCs w:val="24"/>
                <w:highlight w:val="none"/>
                <w:lang w:val="en-US" w:eastAsia="zh-CN" w:bidi="ar-SA"/>
              </w:rPr>
            </w:pPr>
          </w:p>
          <w:p w14:paraId="5DB865A5">
            <w:pPr>
              <w:pStyle w:val="16"/>
              <w:spacing w:before="62" w:line="360" w:lineRule="auto"/>
              <w:ind w:left="108"/>
              <w:jc w:val="center"/>
              <w:rPr>
                <w:rFonts w:hint="eastAsia" w:ascii="宋体" w:hAnsi="宋体" w:eastAsia="宋体" w:cs="宋体"/>
                <w:sz w:val="24"/>
                <w:szCs w:val="24"/>
              </w:rPr>
            </w:pPr>
          </w:p>
        </w:tc>
        <w:tc>
          <w:tcPr>
            <w:tcW w:w="6715" w:type="dxa"/>
            <w:noWrap w:val="0"/>
            <w:vAlign w:val="top"/>
          </w:tcPr>
          <w:p w14:paraId="7232409F">
            <w:pPr>
              <w:pStyle w:val="16"/>
              <w:keepNext w:val="0"/>
              <w:keepLines w:val="0"/>
              <w:pageBreakBefore w:val="0"/>
              <w:widowControl w:val="0"/>
              <w:kinsoku/>
              <w:wordWrap/>
              <w:overflowPunct/>
              <w:topLinePunct w:val="0"/>
              <w:autoSpaceDE/>
              <w:autoSpaceDN/>
              <w:bidi w:val="0"/>
              <w:adjustRightInd/>
              <w:snapToGrid/>
              <w:spacing w:line="360" w:lineRule="auto"/>
              <w:ind w:left="0" w:firstLine="508"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投标人需满足以下要求：</w:t>
            </w:r>
          </w:p>
          <w:p w14:paraId="7A23BA3A">
            <w:pPr>
              <w:pStyle w:val="16"/>
              <w:keepNext w:val="0"/>
              <w:keepLines w:val="0"/>
              <w:pageBreakBefore w:val="0"/>
              <w:widowControl w:val="0"/>
              <w:kinsoku/>
              <w:wordWrap/>
              <w:overflowPunct/>
              <w:topLinePunct w:val="0"/>
              <w:autoSpaceDE/>
              <w:autoSpaceDN/>
              <w:bidi w:val="0"/>
              <w:adjustRightInd/>
              <w:snapToGrid/>
              <w:spacing w:line="360" w:lineRule="auto"/>
              <w:ind w:left="0" w:right="110" w:firstLine="51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投标人在近3年</w:t>
            </w:r>
            <w:r>
              <w:rPr>
                <w:rFonts w:hint="eastAsia" w:ascii="宋体" w:hAnsi="宋体" w:eastAsia="宋体" w:cs="宋体"/>
                <w:color w:val="auto"/>
                <w:spacing w:val="9"/>
                <w:sz w:val="24"/>
                <w:szCs w:val="24"/>
                <w:lang w:eastAsia="zh-CN"/>
              </w:rPr>
              <w:t>（</w:t>
            </w:r>
            <w:r>
              <w:rPr>
                <w:rFonts w:hint="eastAsia" w:ascii="宋体" w:hAnsi="宋体" w:eastAsia="宋体" w:cs="宋体"/>
                <w:color w:val="auto"/>
                <w:spacing w:val="9"/>
                <w:sz w:val="24"/>
                <w:szCs w:val="24"/>
                <w:lang w:val="en-US" w:eastAsia="zh-CN"/>
              </w:rPr>
              <w:t>2022年至2024年）</w:t>
            </w:r>
            <w:r>
              <w:rPr>
                <w:rFonts w:hint="eastAsia" w:ascii="宋体" w:hAnsi="宋体" w:eastAsia="宋体" w:cs="宋体"/>
                <w:color w:val="auto"/>
                <w:spacing w:val="9"/>
                <w:sz w:val="24"/>
                <w:szCs w:val="24"/>
                <w:lang w:eastAsia="zh-CN"/>
              </w:rPr>
              <w:t>每一年度末的流动资产与流动负债比均不小于1</w:t>
            </w:r>
            <w:r>
              <w:rPr>
                <w:rFonts w:hint="eastAsia" w:ascii="宋体" w:hAnsi="宋体" w:eastAsia="宋体" w:cs="宋体"/>
                <w:color w:val="auto"/>
                <w:spacing w:val="5"/>
                <w:sz w:val="24"/>
                <w:szCs w:val="24"/>
              </w:rPr>
              <w:t>。</w:t>
            </w:r>
          </w:p>
          <w:p w14:paraId="484D519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rPr>
              <w:t>注：</w:t>
            </w:r>
            <w:r>
              <w:rPr>
                <w:rFonts w:hint="eastAsia" w:ascii="宋体" w:hAnsi="宋体" w:eastAsia="宋体" w:cs="宋体"/>
                <w:color w:val="auto"/>
                <w:sz w:val="24"/>
                <w:szCs w:val="24"/>
                <w:highlight w:val="none"/>
                <w:lang w:val="en-US" w:eastAsia="zh-CN"/>
              </w:rPr>
              <w:t>修改补充投标人须知正文第3.5.2项：</w:t>
            </w:r>
          </w:p>
          <w:p w14:paraId="006068C5">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（1）各标段投标人应在投标文件中附近 3 年经会计师事务所或审计机构审计的财务会计报表，包括资产负债表、现金流量表、利润表和财务情况说明书的彩色影印件； </w:t>
            </w:r>
          </w:p>
          <w:p w14:paraId="5FD7CB5A">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（2）新成立的单位，提供成立以来至递交截止时间年度的财务情况证明材料，且投标人所提供的所有年份的财务报表均需满足以上要求； </w:t>
            </w:r>
          </w:p>
          <w:p w14:paraId="2BDBBF02">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（3）投标人如为集团公司，财务会计报表指合并财务会计报表； </w:t>
            </w:r>
          </w:p>
          <w:p w14:paraId="70E1D58F">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（4）投标截止时间在 5 月 1 日之前的，近 3 年指递交截止时间推算前 4 年，上一年指递交截止时间推算前 2 年；投标截止时间在 5 月 1 日之后的，近 3 年指递交截止时间推算前 3 年，上一年指递交截止时间推算前 1 年。 </w:t>
            </w:r>
          </w:p>
          <w:p w14:paraId="78B869F0">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
              </w:rPr>
              <w:t>（5）招标文件中其他地方与此处不一致时，以此处为准。</w:t>
            </w:r>
          </w:p>
          <w:p w14:paraId="0503B36E">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p>
        </w:tc>
      </w:tr>
    </w:tbl>
    <w:p w14:paraId="3512DAF8">
      <w:pPr>
        <w:pStyle w:val="14"/>
        <w:spacing w:line="360" w:lineRule="auto"/>
        <w:jc w:val="center"/>
        <w:outlineLvl w:val="9"/>
        <w:rPr>
          <w:rFonts w:hint="eastAsia" w:ascii="宋体" w:hAnsi="宋体" w:eastAsia="宋体" w:cs="宋体"/>
          <w:b/>
          <w:bCs/>
          <w:color w:val="auto"/>
          <w:sz w:val="30"/>
          <w:szCs w:val="30"/>
          <w:highlight w:val="none"/>
        </w:rPr>
      </w:pPr>
    </w:p>
    <w:p w14:paraId="7AF7E58B">
      <w:pPr>
        <w:pStyle w:val="14"/>
        <w:spacing w:before="120" w:after="120" w:line="360" w:lineRule="auto"/>
        <w:jc w:val="center"/>
        <w:outlineLvl w:val="2"/>
        <w:rPr>
          <w:rFonts w:hint="eastAsia" w:ascii="宋体" w:hAnsi="宋体" w:eastAsia="宋体" w:cs="宋体"/>
          <w:color w:val="auto"/>
          <w:sz w:val="24"/>
          <w:highlight w:val="none"/>
          <w:vertAlign w:val="superscript"/>
        </w:rPr>
      </w:pPr>
      <w:r>
        <w:rPr>
          <w:rFonts w:hint="eastAsia" w:ascii="宋体" w:hAnsi="宋体" w:eastAsia="宋体" w:cs="宋体"/>
          <w:b/>
          <w:bCs/>
          <w:color w:val="auto"/>
          <w:kern w:val="44"/>
          <w:sz w:val="30"/>
          <w:szCs w:val="30"/>
          <w:highlight w:val="none"/>
        </w:rPr>
        <w:br w:type="page"/>
      </w:r>
      <w:bookmarkStart w:id="5" w:name="_Toc16312"/>
      <w:r>
        <w:rPr>
          <w:rFonts w:hint="eastAsia" w:ascii="宋体" w:hAnsi="宋体" w:eastAsia="宋体" w:cs="宋体"/>
          <w:b/>
          <w:bCs/>
          <w:color w:val="auto"/>
          <w:kern w:val="44"/>
          <w:sz w:val="30"/>
          <w:szCs w:val="30"/>
          <w:highlight w:val="none"/>
        </w:rPr>
        <w:t>附录3   资格审查条件</w:t>
      </w:r>
      <w:r>
        <w:rPr>
          <w:rFonts w:hint="eastAsia" w:ascii="宋体" w:hAnsi="宋体" w:eastAsia="宋体" w:cs="宋体"/>
          <w:b/>
          <w:bCs/>
          <w:color w:val="auto"/>
          <w:kern w:val="44"/>
          <w:sz w:val="30"/>
          <w:szCs w:val="30"/>
          <w:highlight w:val="none"/>
          <w:lang w:eastAsia="zh-CN"/>
        </w:rPr>
        <w:t>（</w:t>
      </w:r>
      <w:r>
        <w:rPr>
          <w:rFonts w:hint="eastAsia" w:ascii="宋体" w:hAnsi="宋体" w:eastAsia="宋体" w:cs="宋体"/>
          <w:b/>
          <w:bCs/>
          <w:color w:val="auto"/>
          <w:kern w:val="44"/>
          <w:sz w:val="30"/>
          <w:szCs w:val="30"/>
          <w:highlight w:val="none"/>
        </w:rPr>
        <w:t>业绩最低要求</w:t>
      </w:r>
      <w:r>
        <w:rPr>
          <w:rFonts w:hint="eastAsia" w:ascii="宋体" w:hAnsi="宋体" w:eastAsia="宋体" w:cs="宋体"/>
          <w:b/>
          <w:bCs/>
          <w:color w:val="auto"/>
          <w:kern w:val="44"/>
          <w:sz w:val="30"/>
          <w:szCs w:val="30"/>
          <w:highlight w:val="none"/>
          <w:lang w:eastAsia="zh-CN"/>
        </w:rPr>
        <w:t>）</w:t>
      </w:r>
      <w:bookmarkEnd w:id="5"/>
    </w:p>
    <w:tbl>
      <w:tblPr>
        <w:tblStyle w:val="17"/>
        <w:tblW w:w="93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5"/>
        <w:gridCol w:w="7266"/>
      </w:tblGrid>
      <w:tr w14:paraId="4B3E9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055" w:type="dxa"/>
            <w:noWrap w:val="0"/>
            <w:vAlign w:val="top"/>
          </w:tcPr>
          <w:p w14:paraId="1866F563">
            <w:pPr>
              <w:pStyle w:val="16"/>
              <w:spacing w:before="154" w:line="229" w:lineRule="auto"/>
              <w:jc w:val="center"/>
              <w:rPr>
                <w:sz w:val="21"/>
                <w:szCs w:val="21"/>
              </w:rPr>
            </w:pPr>
            <w:r>
              <w:rPr>
                <w:spacing w:val="7"/>
                <w:sz w:val="21"/>
                <w:szCs w:val="21"/>
              </w:rPr>
              <w:t>标段号</w:t>
            </w:r>
          </w:p>
        </w:tc>
        <w:tc>
          <w:tcPr>
            <w:tcW w:w="7266" w:type="dxa"/>
            <w:noWrap w:val="0"/>
            <w:vAlign w:val="top"/>
          </w:tcPr>
          <w:p w14:paraId="2CB3BA3E">
            <w:pPr>
              <w:pStyle w:val="16"/>
              <w:spacing w:before="154" w:line="360" w:lineRule="auto"/>
              <w:ind w:left="2740"/>
              <w:rPr>
                <w:rFonts w:hint="eastAsia" w:ascii="宋体" w:hAnsi="宋体" w:eastAsia="宋体" w:cs="宋体"/>
                <w:color w:val="auto"/>
                <w:sz w:val="24"/>
                <w:szCs w:val="24"/>
              </w:rPr>
            </w:pPr>
            <w:r>
              <w:rPr>
                <w:rFonts w:hint="eastAsia" w:ascii="宋体" w:hAnsi="宋体" w:eastAsia="宋体" w:cs="宋体"/>
                <w:color w:val="auto"/>
                <w:spacing w:val="7"/>
                <w:sz w:val="24"/>
                <w:szCs w:val="24"/>
                <w:lang w:eastAsia="zh-CN"/>
              </w:rPr>
              <w:t>业绩</w:t>
            </w:r>
            <w:r>
              <w:rPr>
                <w:rFonts w:hint="eastAsia" w:ascii="宋体" w:hAnsi="宋体" w:eastAsia="宋体" w:cs="宋体"/>
                <w:color w:val="auto"/>
                <w:spacing w:val="7"/>
                <w:sz w:val="24"/>
                <w:szCs w:val="24"/>
              </w:rPr>
              <w:t>要求</w:t>
            </w:r>
          </w:p>
        </w:tc>
      </w:tr>
      <w:tr w14:paraId="11289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055" w:type="dxa"/>
            <w:noWrap w:val="0"/>
            <w:vAlign w:val="center"/>
          </w:tcPr>
          <w:p w14:paraId="3E59BDFE">
            <w:pPr>
              <w:pStyle w:val="16"/>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0000FF"/>
                <w:kern w:val="0"/>
                <w:sz w:val="21"/>
                <w:szCs w:val="21"/>
                <w:highlight w:val="none"/>
                <w:lang w:val="en-US" w:eastAsia="zh-CN" w:bidi="ar-SA"/>
              </w:rPr>
            </w:pPr>
          </w:p>
          <w:p w14:paraId="6D4E2537">
            <w:pPr>
              <w:pStyle w:val="16"/>
              <w:spacing w:before="62" w:line="191" w:lineRule="auto"/>
              <w:ind w:left="108"/>
              <w:jc w:val="center"/>
              <w:rPr>
                <w:sz w:val="21"/>
                <w:szCs w:val="21"/>
              </w:rPr>
            </w:pPr>
          </w:p>
        </w:tc>
        <w:tc>
          <w:tcPr>
            <w:tcW w:w="7266" w:type="dxa"/>
            <w:noWrap w:val="0"/>
            <w:vAlign w:val="top"/>
          </w:tcPr>
          <w:p w14:paraId="3DABCE75">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投标人需满足以下要求：</w:t>
            </w:r>
          </w:p>
          <w:p w14:paraId="601999D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投标人至少完成过 1 个二级及以上等级公路路面养护工程施工业绩。</w:t>
            </w:r>
          </w:p>
          <w:p w14:paraId="2023895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注： </w:t>
            </w:r>
          </w:p>
          <w:p w14:paraId="399B03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投标人应按资格审查资料中的表（四）（近年完成的类似项目情况表）填写所提供的业绩，提供的每个业绩均应填写，未按照表（四）（近年完成的类似项目情况表）规定的格式填报的业绩，其业绩审查将不予认可。 </w:t>
            </w:r>
          </w:p>
          <w:p w14:paraId="3C32CB3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（2）“近年完成的类似项目情况表”应是“全国公路建设市场监督管理系统”或工程所在地省级公路建设与养护市场信用信息管理系统中公开的主包已建业绩或分包已建业绩。 </w:t>
            </w:r>
          </w:p>
          <w:p w14:paraId="6E1A45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3）“近年完成的类似项目情况表”应附在“全国公路建设市场监督管理系统”中查询到的企业“业绩信息”相关项目网页截图（即包括“工程名称”“项目类型”“合同价”“主要工程量”“人员履约信息”等栏目在内的项目详细信息网页截图）。在“全国公路建设市场监督管理系统”中无法查询的，应附工程所在地省级交通运输主管部门公路建设与养护市场信用信息管理系统中查询到的网页截图。除网页截图外，投标人无须再提供任何业绩证明资料。 </w:t>
            </w:r>
          </w:p>
          <w:p w14:paraId="1D50CBE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（4）如投标人未提供相关项目网页截图或相关项目网页截图中的信息无法证实投标人满足招标文件规定的资格审查条件（业绩最低要求），则该项目业绩不予认定。</w:t>
            </w:r>
          </w:p>
          <w:p w14:paraId="687D8B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对投标人所提供的企业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招标人一经查实将不予退还投标保证金，并认定为失信投标行为（如中标同时取消其中标资格），并依据《宁夏回族自治区公路建设与养护市场信用评价管理办法》的通知（宁交规发〔2024〕1号）文件对投标人本次投标行为进行评价，同时将评价结果上报宁夏回族自治区交通运输厅，并在宁夏回族自治区交通运输厅网站予以公布。</w:t>
            </w:r>
          </w:p>
          <w:p w14:paraId="55082C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（6）投标人须在业绩证明材料显著位置标注该业绩的官方查询链接，并确保评标委员会可通过该链接核验业绩真实性。</w:t>
            </w:r>
          </w:p>
          <w:p w14:paraId="32DE78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（7）主要人员业绩须单独列表，并附对应项目的官方查询链接。</w:t>
            </w:r>
          </w:p>
          <w:p w14:paraId="63B3E3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bidi="ar-SA"/>
              </w:rPr>
              <w:t>（8）招标文件中其他地方与此处不一致时，以此处为准。</w:t>
            </w:r>
          </w:p>
        </w:tc>
      </w:tr>
    </w:tbl>
    <w:p w14:paraId="4E853D31">
      <w:pPr>
        <w:pStyle w:val="14"/>
        <w:spacing w:line="360" w:lineRule="auto"/>
        <w:rPr>
          <w:rFonts w:hint="eastAsia" w:ascii="宋体" w:hAnsi="宋体" w:eastAsia="宋体" w:cs="宋体"/>
          <w:b/>
          <w:bCs/>
          <w:color w:val="auto"/>
          <w:sz w:val="22"/>
          <w:szCs w:val="22"/>
          <w:highlight w:val="none"/>
        </w:rPr>
      </w:pPr>
    </w:p>
    <w:p w14:paraId="014B0B11">
      <w:pPr>
        <w:pStyle w:val="14"/>
        <w:spacing w:before="120" w:after="120" w:line="360" w:lineRule="auto"/>
        <w:jc w:val="center"/>
        <w:outlineLvl w:val="2"/>
        <w:rPr>
          <w:rFonts w:hint="eastAsia" w:ascii="宋体" w:hAnsi="宋体" w:eastAsia="宋体" w:cs="宋体"/>
          <w:b/>
          <w:bCs/>
          <w:color w:val="auto"/>
          <w:kern w:val="44"/>
          <w:sz w:val="30"/>
          <w:szCs w:val="30"/>
          <w:highlight w:val="none"/>
        </w:rPr>
      </w:pPr>
      <w:r>
        <w:rPr>
          <w:rFonts w:hint="eastAsia" w:ascii="宋体" w:hAnsi="宋体" w:eastAsia="宋体" w:cs="宋体"/>
          <w:b/>
          <w:bCs/>
          <w:color w:val="auto"/>
          <w:kern w:val="44"/>
          <w:sz w:val="30"/>
          <w:szCs w:val="30"/>
          <w:highlight w:val="none"/>
        </w:rPr>
        <w:br w:type="page"/>
      </w:r>
      <w:bookmarkStart w:id="6" w:name="_Toc1865"/>
      <w:r>
        <w:rPr>
          <w:rFonts w:hint="eastAsia" w:ascii="宋体" w:hAnsi="宋体" w:eastAsia="宋体" w:cs="宋体"/>
          <w:b/>
          <w:bCs/>
          <w:color w:val="auto"/>
          <w:kern w:val="44"/>
          <w:sz w:val="30"/>
          <w:szCs w:val="30"/>
          <w:highlight w:val="none"/>
        </w:rPr>
        <w:t>附录4   资格审查条件</w:t>
      </w:r>
      <w:r>
        <w:rPr>
          <w:rFonts w:hint="eastAsia" w:ascii="宋体" w:hAnsi="宋体" w:eastAsia="宋体" w:cs="宋体"/>
          <w:b/>
          <w:bCs/>
          <w:color w:val="auto"/>
          <w:kern w:val="44"/>
          <w:sz w:val="30"/>
          <w:szCs w:val="30"/>
          <w:highlight w:val="none"/>
          <w:lang w:eastAsia="zh-CN"/>
        </w:rPr>
        <w:t>（</w:t>
      </w:r>
      <w:r>
        <w:rPr>
          <w:rFonts w:hint="eastAsia" w:ascii="宋体" w:hAnsi="宋体" w:eastAsia="宋体" w:cs="宋体"/>
          <w:b/>
          <w:bCs/>
          <w:color w:val="auto"/>
          <w:kern w:val="44"/>
          <w:sz w:val="30"/>
          <w:szCs w:val="30"/>
          <w:highlight w:val="none"/>
        </w:rPr>
        <w:t>信誉最低要求</w:t>
      </w:r>
      <w:r>
        <w:rPr>
          <w:rFonts w:hint="eastAsia" w:ascii="宋体" w:hAnsi="宋体" w:eastAsia="宋体" w:cs="宋体"/>
          <w:b/>
          <w:bCs/>
          <w:color w:val="auto"/>
          <w:kern w:val="44"/>
          <w:sz w:val="30"/>
          <w:szCs w:val="30"/>
          <w:highlight w:val="none"/>
          <w:lang w:eastAsia="zh-CN"/>
        </w:rPr>
        <w:t>）</w:t>
      </w:r>
      <w:bookmarkEnd w:id="6"/>
    </w:p>
    <w:tbl>
      <w:tblPr>
        <w:tblStyle w:val="10"/>
        <w:tblW w:w="0" w:type="auto"/>
        <w:tblInd w:w="1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45"/>
      </w:tblGrid>
      <w:tr w14:paraId="5FCB1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3" w:hRule="atLeast"/>
        </w:trPr>
        <w:tc>
          <w:tcPr>
            <w:tcW w:w="9445" w:type="dxa"/>
            <w:noWrap w:val="0"/>
            <w:vAlign w:val="center"/>
          </w:tcPr>
          <w:p w14:paraId="4414DAC7">
            <w:pPr>
              <w:pStyle w:val="1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 誉 要 求</w:t>
            </w:r>
          </w:p>
        </w:tc>
      </w:tr>
      <w:tr w14:paraId="5EA6A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5" w:hRule="atLeast"/>
        </w:trPr>
        <w:tc>
          <w:tcPr>
            <w:tcW w:w="9445" w:type="dxa"/>
            <w:noWrap w:val="0"/>
            <w:vAlign w:val="center"/>
          </w:tcPr>
          <w:p w14:paraId="2E4907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color w:val="auto"/>
                <w:spacing w:val="7"/>
                <w:sz w:val="24"/>
                <w:szCs w:val="24"/>
                <w:lang w:val="en-US" w:eastAsia="zh-CN"/>
              </w:rPr>
            </w:pPr>
            <w:r>
              <w:rPr>
                <w:rFonts w:hint="default" w:ascii="宋体" w:hAnsi="宋体" w:eastAsia="宋体" w:cs="Times New Roman"/>
                <w:color w:val="auto"/>
                <w:spacing w:val="7"/>
                <w:sz w:val="24"/>
                <w:szCs w:val="24"/>
                <w:lang w:val="zh-CN" w:eastAsia="zh-CN"/>
              </w:rPr>
              <w:t>投标人不得存在下列不良状况或不良信用记录</w:t>
            </w:r>
            <w:r>
              <w:rPr>
                <w:rFonts w:hint="eastAsia" w:ascii="宋体" w:hAnsi="宋体" w:eastAsia="宋体" w:cs="Times New Roman"/>
                <w:color w:val="auto"/>
                <w:spacing w:val="7"/>
                <w:sz w:val="24"/>
                <w:szCs w:val="24"/>
                <w:lang w:val="en-US" w:eastAsia="zh-CN"/>
              </w:rPr>
              <w:t>：</w:t>
            </w:r>
          </w:p>
          <w:p w14:paraId="043CD43B">
            <w:pPr>
              <w:spacing w:beforeLines="0" w:afterLines="0" w:line="360" w:lineRule="auto"/>
              <w:ind w:firstLine="480"/>
              <w:rPr>
                <w:rFonts w:hint="default" w:ascii="宋体" w:hAnsi="宋体" w:eastAsia="宋体" w:cs="Times New Roman"/>
                <w:color w:val="auto"/>
                <w:spacing w:val="7"/>
                <w:kern w:val="0"/>
                <w:sz w:val="24"/>
                <w:szCs w:val="24"/>
                <w:lang w:val="zh-CN" w:eastAsia="zh-CN" w:bidi="ar-SA"/>
              </w:rPr>
            </w:pPr>
            <w:r>
              <w:rPr>
                <w:rFonts w:hint="eastAsia" w:ascii="宋体" w:hAnsi="宋体" w:eastAsia="宋体" w:cs="Times New Roman"/>
                <w:color w:val="auto"/>
                <w:spacing w:val="7"/>
                <w:kern w:val="0"/>
                <w:sz w:val="24"/>
                <w:szCs w:val="24"/>
                <w:lang w:val="en-US" w:eastAsia="zh-CN" w:bidi="ar-SA"/>
              </w:rPr>
              <w:t>（1）被省级及以上交通运输主管部门取消招标项目所在地的投标资格且处于有效期内（</w:t>
            </w:r>
            <w:r>
              <w:rPr>
                <w:rFonts w:hint="default" w:ascii="宋体" w:hAnsi="宋体" w:eastAsia="宋体" w:cs="Times New Roman"/>
                <w:color w:val="auto"/>
                <w:spacing w:val="7"/>
                <w:kern w:val="0"/>
                <w:sz w:val="24"/>
                <w:szCs w:val="24"/>
                <w:lang w:val="zh-CN" w:eastAsia="zh-CN" w:bidi="ar-SA"/>
              </w:rPr>
              <w:t>以“全国公路建设市场监督管理系统、宁夏回族自治区公路建设与养护市场信用信息管理系统”中查询结果为准）：</w:t>
            </w:r>
          </w:p>
          <w:p w14:paraId="20BE04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color w:val="auto"/>
                <w:spacing w:val="7"/>
                <w:kern w:val="0"/>
                <w:sz w:val="24"/>
                <w:szCs w:val="24"/>
                <w:lang w:val="en-US" w:eastAsia="zh-CN" w:bidi="ar-SA"/>
              </w:rPr>
            </w:pPr>
            <w:r>
              <w:rPr>
                <w:rFonts w:hint="eastAsia" w:ascii="宋体" w:hAnsi="宋体" w:eastAsia="宋体" w:cs="Times New Roman"/>
                <w:color w:val="auto"/>
                <w:spacing w:val="7"/>
                <w:kern w:val="0"/>
                <w:sz w:val="24"/>
                <w:szCs w:val="24"/>
                <w:lang w:val="en-US" w:eastAsia="zh-CN" w:bidi="ar-SA"/>
              </w:rPr>
              <w:t>（2）被责令停业，暂扣或吊销执照，或吊销资质证书；</w:t>
            </w:r>
          </w:p>
          <w:p w14:paraId="1B2DC6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color w:val="auto"/>
                <w:spacing w:val="7"/>
                <w:kern w:val="0"/>
                <w:sz w:val="24"/>
                <w:szCs w:val="24"/>
                <w:lang w:val="en-US" w:eastAsia="zh-CN" w:bidi="ar-SA"/>
              </w:rPr>
            </w:pPr>
            <w:r>
              <w:rPr>
                <w:rFonts w:hint="eastAsia" w:ascii="宋体" w:hAnsi="宋体" w:eastAsia="宋体" w:cs="Times New Roman"/>
                <w:color w:val="auto"/>
                <w:spacing w:val="7"/>
                <w:kern w:val="0"/>
                <w:sz w:val="24"/>
                <w:szCs w:val="24"/>
                <w:lang w:val="en-US" w:eastAsia="zh-CN" w:bidi="ar-SA"/>
              </w:rPr>
              <w:t>（3）进入清算程序，或被宣告破产，或其他丧失履约能力的情形；</w:t>
            </w:r>
          </w:p>
          <w:p w14:paraId="649AB665">
            <w:pPr>
              <w:keepNext w:val="0"/>
              <w:keepLines w:val="0"/>
              <w:widowControl/>
              <w:suppressLineNumbers w:val="0"/>
              <w:spacing w:line="360" w:lineRule="auto"/>
              <w:ind w:firstLine="508" w:firstLineChars="200"/>
              <w:jc w:val="left"/>
              <w:rPr>
                <w:rFonts w:hint="eastAsia" w:ascii="宋体" w:hAnsi="宋体" w:eastAsia="宋体" w:cs="Times New Roman"/>
                <w:color w:val="auto"/>
                <w:spacing w:val="7"/>
                <w:kern w:val="0"/>
                <w:sz w:val="24"/>
                <w:szCs w:val="24"/>
                <w:lang w:val="en-US" w:eastAsia="zh-CN" w:bidi="ar-SA"/>
              </w:rPr>
            </w:pPr>
            <w:r>
              <w:rPr>
                <w:rFonts w:hint="eastAsia" w:ascii="宋体" w:hAnsi="宋体" w:eastAsia="宋体" w:cs="Times New Roman"/>
                <w:color w:val="auto"/>
                <w:spacing w:val="7"/>
                <w:kern w:val="0"/>
                <w:sz w:val="24"/>
                <w:szCs w:val="24"/>
                <w:lang w:val="en-US" w:eastAsia="zh-CN" w:bidi="ar-SA"/>
              </w:rPr>
              <w:t>（4）在国家企业信用信息公示系统（http：//www.gsxt.gov.cn/）中被列入严重违法失信企业名单</w:t>
            </w:r>
            <w:r>
              <w:rPr>
                <w:rFonts w:hint="default" w:ascii="宋体" w:hAnsi="宋体" w:eastAsia="宋体" w:cs="Times New Roman"/>
                <w:color w:val="auto"/>
                <w:spacing w:val="7"/>
                <w:kern w:val="0"/>
                <w:sz w:val="24"/>
                <w:szCs w:val="24"/>
                <w:lang w:val="zh-CN" w:eastAsia="zh-CN" w:bidi="ar-SA"/>
              </w:rPr>
              <w:t>（附网站查询截图）</w:t>
            </w:r>
            <w:r>
              <w:rPr>
                <w:rFonts w:hint="eastAsia" w:ascii="宋体" w:hAnsi="宋体" w:eastAsia="宋体" w:cs="Times New Roman"/>
                <w:color w:val="auto"/>
                <w:spacing w:val="7"/>
                <w:kern w:val="0"/>
                <w:sz w:val="24"/>
                <w:szCs w:val="24"/>
                <w:lang w:val="en-US" w:eastAsia="zh-CN" w:bidi="ar-SA"/>
              </w:rPr>
              <w:t>；</w:t>
            </w:r>
          </w:p>
          <w:p w14:paraId="691EFC55">
            <w:pPr>
              <w:keepNext w:val="0"/>
              <w:keepLines w:val="0"/>
              <w:widowControl/>
              <w:suppressLineNumbers w:val="0"/>
              <w:spacing w:line="360" w:lineRule="auto"/>
              <w:ind w:firstLine="508" w:firstLineChars="200"/>
              <w:jc w:val="left"/>
              <w:rPr>
                <w:rFonts w:hint="eastAsia" w:ascii="宋体" w:hAnsi="宋体" w:eastAsia="宋体" w:cs="Times New Roman"/>
                <w:color w:val="auto"/>
                <w:spacing w:val="7"/>
                <w:kern w:val="0"/>
                <w:sz w:val="24"/>
                <w:szCs w:val="24"/>
                <w:lang w:val="en-US" w:eastAsia="zh-CN" w:bidi="ar-SA"/>
              </w:rPr>
            </w:pPr>
            <w:r>
              <w:rPr>
                <w:rFonts w:hint="eastAsia" w:ascii="宋体" w:hAnsi="宋体" w:eastAsia="宋体" w:cs="Times New Roman"/>
                <w:color w:val="auto"/>
                <w:spacing w:val="7"/>
                <w:kern w:val="0"/>
                <w:sz w:val="24"/>
                <w:szCs w:val="24"/>
                <w:lang w:val="en-US" w:eastAsia="zh-CN" w:bidi="ar-SA"/>
              </w:rPr>
              <w:t>（5）在“信用中国”网站（http：//www.creditchina.gov.cn）中被列入失信被执行人名单</w:t>
            </w:r>
            <w:r>
              <w:rPr>
                <w:rFonts w:hint="default" w:ascii="宋体" w:hAnsi="宋体" w:eastAsia="宋体" w:cs="Times New Roman"/>
                <w:color w:val="auto"/>
                <w:spacing w:val="7"/>
                <w:kern w:val="0"/>
                <w:sz w:val="24"/>
                <w:szCs w:val="24"/>
                <w:lang w:val="zh-CN" w:eastAsia="zh-CN" w:bidi="ar-SA"/>
              </w:rPr>
              <w:t>（附网站查询截图）</w:t>
            </w:r>
            <w:r>
              <w:rPr>
                <w:rFonts w:hint="eastAsia" w:ascii="宋体" w:hAnsi="宋体" w:eastAsia="宋体" w:cs="Times New Roman"/>
                <w:color w:val="auto"/>
                <w:spacing w:val="7"/>
                <w:kern w:val="0"/>
                <w:sz w:val="24"/>
                <w:szCs w:val="24"/>
                <w:lang w:val="en-US" w:eastAsia="zh-CN" w:bidi="ar-SA"/>
              </w:rPr>
              <w:t>；</w:t>
            </w:r>
          </w:p>
          <w:p w14:paraId="344C2C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color w:val="auto"/>
                <w:spacing w:val="7"/>
                <w:kern w:val="0"/>
                <w:sz w:val="24"/>
                <w:szCs w:val="24"/>
                <w:lang w:val="en-US" w:eastAsia="zh-CN" w:bidi="ar-SA"/>
              </w:rPr>
            </w:pPr>
            <w:r>
              <w:rPr>
                <w:rFonts w:hint="eastAsia" w:ascii="宋体" w:hAnsi="宋体" w:eastAsia="宋体" w:cs="Times New Roman"/>
                <w:color w:val="auto"/>
                <w:spacing w:val="7"/>
                <w:kern w:val="0"/>
                <w:sz w:val="24"/>
                <w:szCs w:val="24"/>
                <w:lang w:val="en-US" w:eastAsia="zh-CN" w:bidi="ar-SA"/>
              </w:rPr>
              <w:t>（6）投标人或其法定代表人、拟委任的项目经理和项目总工在近三年内（(自招标公告发布之日起向前计算3年至投标截止日，精确到天，以交工日期为准),）有行贿犯罪行为的（</w:t>
            </w:r>
            <w:r>
              <w:rPr>
                <w:rFonts w:hint="default" w:ascii="宋体" w:hAnsi="宋体" w:eastAsia="宋体" w:cs="Times New Roman"/>
                <w:color w:val="auto"/>
                <w:spacing w:val="7"/>
                <w:kern w:val="0"/>
                <w:sz w:val="24"/>
                <w:szCs w:val="24"/>
                <w:lang w:val="zh-CN" w:eastAsia="zh-CN" w:bidi="ar-SA"/>
              </w:rPr>
              <w:t>附</w:t>
            </w:r>
            <w:r>
              <w:rPr>
                <w:rFonts w:hint="eastAsia" w:ascii="宋体" w:hAnsi="宋体" w:eastAsia="宋体" w:cs="Times New Roman"/>
                <w:color w:val="auto"/>
                <w:spacing w:val="7"/>
                <w:kern w:val="0"/>
                <w:sz w:val="24"/>
                <w:szCs w:val="24"/>
                <w:lang w:val="en-US" w:eastAsia="zh-CN" w:bidi="ar-SA"/>
              </w:rPr>
              <w:t>承诺函）；</w:t>
            </w:r>
          </w:p>
          <w:p w14:paraId="09DC90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color w:val="auto"/>
                <w:spacing w:val="7"/>
                <w:kern w:val="0"/>
                <w:sz w:val="24"/>
                <w:szCs w:val="24"/>
                <w:lang w:val="en-US" w:eastAsia="zh-CN" w:bidi="ar-SA"/>
              </w:rPr>
            </w:pPr>
            <w:r>
              <w:rPr>
                <w:rFonts w:hint="eastAsia" w:ascii="宋体" w:hAnsi="宋体" w:eastAsia="宋体" w:cs="Times New Roman"/>
                <w:color w:val="auto"/>
                <w:spacing w:val="7"/>
                <w:kern w:val="0"/>
                <w:sz w:val="24"/>
                <w:szCs w:val="24"/>
                <w:lang w:val="en-US" w:eastAsia="zh-CN" w:bidi="ar-SA"/>
              </w:rPr>
              <w:t>（7）投标人在投标截止时间前最新的公路建设市场全国综合信用评价结果或宁夏回族自治区公路建设与养护市场从业单位施工企业信用等级评价结果公示中被评为D级（</w:t>
            </w:r>
            <w:r>
              <w:rPr>
                <w:rFonts w:hint="default" w:ascii="宋体" w:hAnsi="宋体" w:eastAsia="宋体" w:cs="Times New Roman"/>
                <w:color w:val="auto"/>
                <w:spacing w:val="7"/>
                <w:kern w:val="0"/>
                <w:sz w:val="24"/>
                <w:szCs w:val="24"/>
                <w:lang w:val="zh-CN" w:eastAsia="zh-CN" w:bidi="ar-SA"/>
              </w:rPr>
              <w:t>附网站查询截图）</w:t>
            </w:r>
            <w:r>
              <w:rPr>
                <w:rFonts w:hint="eastAsia" w:ascii="宋体" w:hAnsi="宋体" w:eastAsia="宋体" w:cs="Times New Roman"/>
                <w:color w:val="auto"/>
                <w:spacing w:val="7"/>
                <w:kern w:val="0"/>
                <w:sz w:val="24"/>
                <w:szCs w:val="24"/>
                <w:lang w:val="en-US" w:eastAsia="zh-CN" w:bidi="ar-SA"/>
              </w:rPr>
              <w:t>；</w:t>
            </w:r>
          </w:p>
          <w:p w14:paraId="1E9D4ED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color w:val="auto"/>
                <w:spacing w:val="7"/>
                <w:kern w:val="0"/>
                <w:sz w:val="24"/>
                <w:szCs w:val="24"/>
                <w:lang w:val="en-US" w:eastAsia="zh-CN" w:bidi="ar-SA"/>
              </w:rPr>
            </w:pPr>
            <w:r>
              <w:rPr>
                <w:rFonts w:hint="eastAsia" w:ascii="宋体" w:hAnsi="宋体" w:eastAsia="宋体" w:cs="Times New Roman"/>
                <w:color w:val="auto"/>
                <w:spacing w:val="7"/>
                <w:kern w:val="0"/>
                <w:sz w:val="24"/>
                <w:szCs w:val="24"/>
                <w:lang w:val="en-US" w:eastAsia="zh-CN" w:bidi="ar-SA"/>
              </w:rPr>
              <w:t>（8）法律法规或投标人须知前附表规定的其他情形。</w:t>
            </w:r>
          </w:p>
          <w:p w14:paraId="73BAC0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b/>
                <w:bCs/>
                <w:color w:val="auto"/>
                <w:spacing w:val="7"/>
                <w:kern w:val="0"/>
                <w:sz w:val="24"/>
                <w:szCs w:val="24"/>
                <w:lang w:val="en-US" w:eastAsia="zh-CN" w:bidi="ar-SA"/>
              </w:rPr>
            </w:pPr>
            <w:r>
              <w:rPr>
                <w:rFonts w:hint="eastAsia" w:ascii="宋体" w:hAnsi="宋体" w:eastAsia="宋体" w:cs="Times New Roman"/>
                <w:b/>
                <w:bCs/>
                <w:color w:val="auto"/>
                <w:spacing w:val="7"/>
                <w:kern w:val="0"/>
                <w:sz w:val="24"/>
                <w:szCs w:val="24"/>
                <w:lang w:val="en-US" w:eastAsia="zh-CN" w:bidi="ar-SA"/>
              </w:rPr>
              <w:t>注：</w:t>
            </w:r>
          </w:p>
          <w:p w14:paraId="357F4F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b/>
                <w:bCs/>
                <w:color w:val="auto"/>
                <w:spacing w:val="7"/>
                <w:kern w:val="0"/>
                <w:sz w:val="24"/>
                <w:szCs w:val="24"/>
                <w:lang w:val="en-US" w:eastAsia="zh-CN" w:bidi="ar-SA"/>
              </w:rPr>
            </w:pPr>
            <w:r>
              <w:rPr>
                <w:rFonts w:hint="eastAsia" w:ascii="宋体" w:hAnsi="宋体" w:eastAsia="宋体" w:cs="Times New Roman"/>
                <w:b/>
                <w:bCs/>
                <w:color w:val="auto"/>
                <w:spacing w:val="7"/>
                <w:kern w:val="0"/>
                <w:sz w:val="24"/>
                <w:szCs w:val="24"/>
                <w:lang w:val="en-US" w:eastAsia="zh-CN" w:bidi="ar-SA"/>
              </w:rPr>
              <w:t xml:space="preserve">（1）投标人提供“投标人信誉情况表”时，按照以上内容及投标文件格式中的要求提供证明资料； </w:t>
            </w:r>
          </w:p>
          <w:p w14:paraId="1B2D42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b/>
                <w:bCs/>
                <w:color w:val="auto"/>
                <w:spacing w:val="7"/>
                <w:kern w:val="0"/>
                <w:sz w:val="24"/>
                <w:szCs w:val="24"/>
                <w:lang w:val="en-US" w:eastAsia="zh-CN" w:bidi="ar-SA"/>
              </w:rPr>
            </w:pPr>
            <w:r>
              <w:rPr>
                <w:rFonts w:hint="eastAsia" w:ascii="宋体" w:hAnsi="宋体" w:eastAsia="宋体" w:cs="Times New Roman"/>
                <w:b/>
                <w:bCs/>
                <w:color w:val="auto"/>
                <w:spacing w:val="7"/>
                <w:kern w:val="0"/>
                <w:sz w:val="24"/>
                <w:szCs w:val="24"/>
                <w:lang w:val="en-US" w:eastAsia="zh-CN" w:bidi="ar-SA"/>
              </w:rPr>
              <w:t>（2）招标文件中其他地方与此处不一致时，以此处为准。</w:t>
            </w:r>
          </w:p>
          <w:p w14:paraId="6093DA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Times New Roman"/>
                <w:color w:val="auto"/>
                <w:spacing w:val="7"/>
                <w:kern w:val="0"/>
                <w:sz w:val="24"/>
                <w:szCs w:val="24"/>
                <w:lang w:val="en-US" w:eastAsia="zh-CN" w:bidi="ar-SA"/>
              </w:rPr>
            </w:pPr>
          </w:p>
        </w:tc>
      </w:tr>
    </w:tbl>
    <w:p w14:paraId="4DF73FA2">
      <w:pPr>
        <w:pStyle w:val="14"/>
        <w:spacing w:before="120" w:after="120" w:line="360" w:lineRule="auto"/>
        <w:jc w:val="center"/>
        <w:outlineLvl w:val="2"/>
        <w:rPr>
          <w:rFonts w:hint="eastAsia" w:ascii="宋体" w:hAnsi="宋体" w:eastAsia="宋体" w:cs="宋体"/>
          <w:color w:val="auto"/>
          <w:sz w:val="24"/>
          <w:highlight w:val="none"/>
          <w:vertAlign w:val="superscript"/>
        </w:rPr>
      </w:pPr>
      <w:r>
        <w:rPr>
          <w:rFonts w:hint="eastAsia" w:ascii="宋体" w:hAnsi="宋体" w:eastAsia="宋体" w:cs="宋体"/>
          <w:b/>
          <w:bCs/>
          <w:color w:val="auto"/>
          <w:kern w:val="44"/>
          <w:sz w:val="30"/>
          <w:szCs w:val="30"/>
          <w:highlight w:val="none"/>
        </w:rPr>
        <w:br w:type="page"/>
      </w:r>
      <w:bookmarkStart w:id="7" w:name="_Toc24771"/>
      <w:r>
        <w:rPr>
          <w:rFonts w:hint="eastAsia" w:ascii="宋体" w:hAnsi="宋体" w:eastAsia="宋体" w:cs="宋体"/>
          <w:b/>
          <w:bCs/>
          <w:color w:val="auto"/>
          <w:kern w:val="44"/>
          <w:sz w:val="30"/>
          <w:szCs w:val="30"/>
          <w:highlight w:val="none"/>
        </w:rPr>
        <w:t>附录5   资格审查条件</w:t>
      </w:r>
      <w:r>
        <w:rPr>
          <w:rFonts w:hint="eastAsia" w:ascii="宋体" w:hAnsi="宋体" w:eastAsia="宋体" w:cs="宋体"/>
          <w:b/>
          <w:bCs/>
          <w:color w:val="auto"/>
          <w:kern w:val="44"/>
          <w:sz w:val="30"/>
          <w:szCs w:val="30"/>
          <w:highlight w:val="none"/>
          <w:lang w:eastAsia="zh-CN"/>
        </w:rPr>
        <w:t>（</w:t>
      </w:r>
      <w:r>
        <w:rPr>
          <w:rFonts w:hint="eastAsia" w:ascii="宋体" w:hAnsi="宋体" w:eastAsia="宋体" w:cs="宋体"/>
          <w:b/>
          <w:bCs/>
          <w:color w:val="auto"/>
          <w:kern w:val="44"/>
          <w:sz w:val="30"/>
          <w:szCs w:val="30"/>
          <w:highlight w:val="none"/>
        </w:rPr>
        <w:t>项目经理和项目总工最低要求</w:t>
      </w:r>
      <w:r>
        <w:rPr>
          <w:rFonts w:hint="eastAsia" w:ascii="宋体" w:hAnsi="宋体" w:eastAsia="宋体" w:cs="宋体"/>
          <w:b/>
          <w:bCs/>
          <w:color w:val="auto"/>
          <w:kern w:val="44"/>
          <w:sz w:val="30"/>
          <w:szCs w:val="30"/>
          <w:highlight w:val="none"/>
          <w:lang w:eastAsia="zh-CN"/>
        </w:rPr>
        <w:t>）</w:t>
      </w:r>
      <w:bookmarkEnd w:id="7"/>
    </w:p>
    <w:tbl>
      <w:tblPr>
        <w:tblStyle w:val="10"/>
        <w:tblW w:w="10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709"/>
        <w:gridCol w:w="653"/>
        <w:gridCol w:w="6764"/>
        <w:gridCol w:w="1123"/>
      </w:tblGrid>
      <w:tr w14:paraId="118F8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1135" w:type="dxa"/>
            <w:noWrap w:val="0"/>
            <w:vAlign w:val="center"/>
          </w:tcPr>
          <w:p w14:paraId="6699E347">
            <w:pPr>
              <w:pStyle w:val="18"/>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标段</w:t>
            </w:r>
          </w:p>
        </w:tc>
        <w:tc>
          <w:tcPr>
            <w:tcW w:w="709" w:type="dxa"/>
            <w:noWrap w:val="0"/>
            <w:vAlign w:val="center"/>
          </w:tcPr>
          <w:p w14:paraId="1DAEB414">
            <w:pPr>
              <w:pStyle w:val="1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人员</w:t>
            </w:r>
          </w:p>
        </w:tc>
        <w:tc>
          <w:tcPr>
            <w:tcW w:w="653" w:type="dxa"/>
            <w:noWrap w:val="0"/>
            <w:vAlign w:val="center"/>
          </w:tcPr>
          <w:p w14:paraId="6E642171">
            <w:pPr>
              <w:pStyle w:val="1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6764" w:type="dxa"/>
            <w:noWrap w:val="0"/>
            <w:vAlign w:val="center"/>
          </w:tcPr>
          <w:p w14:paraId="68FE6E1E">
            <w:pPr>
              <w:pStyle w:val="1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 格 要 求</w:t>
            </w:r>
          </w:p>
        </w:tc>
        <w:tc>
          <w:tcPr>
            <w:tcW w:w="1123" w:type="dxa"/>
            <w:noWrap w:val="0"/>
            <w:vAlign w:val="center"/>
          </w:tcPr>
          <w:p w14:paraId="759E9A99">
            <w:pPr>
              <w:pStyle w:val="1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在岗要求</w:t>
            </w:r>
          </w:p>
        </w:tc>
      </w:tr>
      <w:tr w14:paraId="243C1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6" w:hRule="atLeast"/>
          <w:jc w:val="center"/>
        </w:trPr>
        <w:tc>
          <w:tcPr>
            <w:tcW w:w="1135" w:type="dxa"/>
            <w:vMerge w:val="restart"/>
            <w:noWrap w:val="0"/>
            <w:vAlign w:val="center"/>
          </w:tcPr>
          <w:p w14:paraId="19054CD8">
            <w:pPr>
              <w:pStyle w:val="18"/>
              <w:spacing w:line="360" w:lineRule="auto"/>
              <w:jc w:val="center"/>
              <w:rPr>
                <w:rFonts w:hint="eastAsia" w:ascii="宋体" w:hAnsi="宋体" w:eastAsia="宋体" w:cs="宋体"/>
                <w:color w:val="auto"/>
                <w:sz w:val="24"/>
                <w:szCs w:val="24"/>
                <w:highlight w:val="none"/>
                <w:lang w:val="en-US" w:eastAsia="zh-CN"/>
              </w:rPr>
            </w:pPr>
          </w:p>
        </w:tc>
        <w:tc>
          <w:tcPr>
            <w:tcW w:w="709" w:type="dxa"/>
            <w:tcBorders>
              <w:bottom w:val="single" w:color="auto" w:sz="4" w:space="0"/>
            </w:tcBorders>
            <w:noWrap w:val="0"/>
            <w:vAlign w:val="center"/>
          </w:tcPr>
          <w:p w14:paraId="3E54FACA">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653" w:type="dxa"/>
            <w:noWrap w:val="0"/>
            <w:vAlign w:val="center"/>
          </w:tcPr>
          <w:p w14:paraId="6615757A">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64" w:type="dxa"/>
            <w:noWrap w:val="0"/>
            <w:vAlign w:val="center"/>
          </w:tcPr>
          <w:p w14:paraId="23A8A4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SA"/>
              </w:rPr>
              <w:t>具有公路工程相关专业中级及以上职称，并具有目前注册在投标人单位的住房和城乡建设部门颁发的公路工程专业二级及以上等级注册建造师证，持有交通行业主管部门颁发的 B 类安全生产考核证书</w:t>
            </w:r>
            <w:r>
              <w:rPr>
                <w:rFonts w:hint="eastAsia" w:ascii="宋体" w:hAnsi="宋体" w:eastAsia="宋体" w:cs="宋体"/>
                <w:color w:val="auto"/>
                <w:kern w:val="0"/>
                <w:sz w:val="24"/>
                <w:szCs w:val="24"/>
                <w:highlight w:val="none"/>
                <w:lang w:val="en-US" w:eastAsia="zh-CN" w:bidi="ar"/>
              </w:rPr>
              <w:t>并在有效期内</w:t>
            </w:r>
            <w:r>
              <w:rPr>
                <w:rFonts w:hint="eastAsia" w:ascii="宋体" w:hAnsi="宋体" w:eastAsia="宋体" w:cs="宋体"/>
                <w:color w:val="auto"/>
                <w:kern w:val="0"/>
                <w:sz w:val="24"/>
                <w:szCs w:val="24"/>
                <w:highlight w:val="none"/>
                <w:lang w:val="en-US" w:eastAsia="zh-CN" w:bidi="ar-SA"/>
              </w:rPr>
              <w:t>。</w:t>
            </w:r>
          </w:p>
          <w:p w14:paraId="54AF84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2、至少担任过 1 个二级及以上等级公路路面养护工程施工的项目经理职务（或 2 个项目副经理职务）。</w:t>
            </w:r>
          </w:p>
          <w:p w14:paraId="252AC37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注：</w:t>
            </w:r>
            <w:r>
              <w:rPr>
                <w:rFonts w:hint="eastAsia" w:ascii="宋体" w:hAnsi="宋体" w:eastAsia="宋体" w:cs="宋体"/>
                <w:color w:val="auto"/>
                <w:spacing w:val="9"/>
                <w:sz w:val="24"/>
                <w:szCs w:val="24"/>
                <w:highlight w:val="none"/>
              </w:rPr>
              <w:t>所有资质证书</w:t>
            </w:r>
            <w:r>
              <w:rPr>
                <w:rFonts w:hint="eastAsia" w:ascii="宋体" w:hAnsi="宋体" w:eastAsia="宋体" w:cs="宋体"/>
                <w:color w:val="auto"/>
                <w:spacing w:val="9"/>
                <w:sz w:val="24"/>
                <w:szCs w:val="24"/>
                <w:highlight w:val="none"/>
                <w:lang w:val="en-US" w:eastAsia="zh-CN"/>
              </w:rPr>
              <w:t>都</w:t>
            </w:r>
            <w:r>
              <w:rPr>
                <w:rFonts w:hint="eastAsia" w:ascii="宋体" w:hAnsi="宋体" w:eastAsia="宋体" w:cs="宋体"/>
                <w:color w:val="auto"/>
                <w:spacing w:val="9"/>
                <w:sz w:val="24"/>
                <w:szCs w:val="24"/>
                <w:highlight w:val="none"/>
              </w:rPr>
              <w:t>在有效期内；</w:t>
            </w:r>
          </w:p>
        </w:tc>
        <w:tc>
          <w:tcPr>
            <w:tcW w:w="1123" w:type="dxa"/>
            <w:vMerge w:val="restart"/>
            <w:noWrap w:val="0"/>
            <w:vAlign w:val="center"/>
          </w:tcPr>
          <w:p w14:paraId="08BC147C">
            <w:pPr>
              <w:pStyle w:val="18"/>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rPr>
              <w:t>无在岗项目</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指目前未在其他项目上任职，或虽在其他项目上任职但本项目中标后能够从该项目撤离</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w:t>
            </w:r>
          </w:p>
        </w:tc>
      </w:tr>
      <w:tr w14:paraId="51674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7" w:hRule="atLeast"/>
          <w:jc w:val="center"/>
        </w:trPr>
        <w:tc>
          <w:tcPr>
            <w:tcW w:w="1135" w:type="dxa"/>
            <w:vMerge w:val="continue"/>
            <w:noWrap w:val="0"/>
            <w:vAlign w:val="center"/>
          </w:tcPr>
          <w:p w14:paraId="24834863">
            <w:pPr>
              <w:pStyle w:val="18"/>
              <w:spacing w:line="360" w:lineRule="auto"/>
              <w:jc w:val="center"/>
              <w:rPr>
                <w:rFonts w:hint="eastAsia" w:ascii="宋体" w:hAnsi="宋体" w:eastAsia="宋体" w:cs="宋体"/>
                <w:color w:val="auto"/>
                <w:sz w:val="24"/>
                <w:szCs w:val="24"/>
                <w:highlight w:val="none"/>
              </w:rPr>
            </w:pPr>
          </w:p>
        </w:tc>
        <w:tc>
          <w:tcPr>
            <w:tcW w:w="709" w:type="dxa"/>
            <w:tcBorders>
              <w:top w:val="single" w:color="auto" w:sz="4" w:space="0"/>
              <w:bottom w:val="single" w:color="auto" w:sz="4" w:space="0"/>
            </w:tcBorders>
            <w:noWrap w:val="0"/>
            <w:vAlign w:val="center"/>
          </w:tcPr>
          <w:p w14:paraId="066550BA">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项目总工</w:t>
            </w:r>
          </w:p>
        </w:tc>
        <w:tc>
          <w:tcPr>
            <w:tcW w:w="653" w:type="dxa"/>
            <w:noWrap w:val="0"/>
            <w:vAlign w:val="center"/>
          </w:tcPr>
          <w:p w14:paraId="6A04DC5F">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64" w:type="dxa"/>
            <w:noWrap w:val="0"/>
            <w:vAlign w:val="center"/>
          </w:tcPr>
          <w:p w14:paraId="0D7099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1、公路工程相关专业中级及以上技术职称。</w:t>
            </w:r>
          </w:p>
          <w:p w14:paraId="7FDB85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2、至少担任过 1 个二级及以上等级公路路面养护工程施工的项目总工职务（或 2 个项目副总工职务）。</w:t>
            </w:r>
          </w:p>
          <w:p w14:paraId="259183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注：</w:t>
            </w:r>
            <w:r>
              <w:rPr>
                <w:rFonts w:hint="eastAsia" w:ascii="宋体" w:hAnsi="宋体" w:eastAsia="宋体" w:cs="宋体"/>
                <w:color w:val="auto"/>
                <w:spacing w:val="9"/>
                <w:sz w:val="24"/>
                <w:szCs w:val="24"/>
                <w:highlight w:val="none"/>
              </w:rPr>
              <w:t>所有资质证书</w:t>
            </w:r>
            <w:r>
              <w:rPr>
                <w:rFonts w:hint="eastAsia" w:ascii="宋体" w:hAnsi="宋体" w:eastAsia="宋体" w:cs="宋体"/>
                <w:color w:val="auto"/>
                <w:spacing w:val="9"/>
                <w:sz w:val="24"/>
                <w:szCs w:val="24"/>
                <w:highlight w:val="none"/>
                <w:lang w:val="en-US" w:eastAsia="zh-CN"/>
              </w:rPr>
              <w:t>都</w:t>
            </w:r>
            <w:r>
              <w:rPr>
                <w:rFonts w:hint="eastAsia" w:ascii="宋体" w:hAnsi="宋体" w:eastAsia="宋体" w:cs="宋体"/>
                <w:color w:val="auto"/>
                <w:spacing w:val="9"/>
                <w:sz w:val="24"/>
                <w:szCs w:val="24"/>
                <w:highlight w:val="none"/>
              </w:rPr>
              <w:t>在有效期内；</w:t>
            </w:r>
          </w:p>
        </w:tc>
        <w:tc>
          <w:tcPr>
            <w:tcW w:w="1123" w:type="dxa"/>
            <w:vMerge w:val="continue"/>
            <w:noWrap w:val="0"/>
            <w:vAlign w:val="center"/>
          </w:tcPr>
          <w:p w14:paraId="640EEE20">
            <w:pPr>
              <w:pStyle w:val="18"/>
              <w:spacing w:line="360" w:lineRule="auto"/>
              <w:rPr>
                <w:rFonts w:hint="eastAsia" w:ascii="宋体" w:hAnsi="宋体" w:eastAsia="宋体" w:cs="宋体"/>
                <w:color w:val="auto"/>
                <w:sz w:val="24"/>
                <w:szCs w:val="24"/>
                <w:highlight w:val="none"/>
              </w:rPr>
            </w:pPr>
          </w:p>
        </w:tc>
      </w:tr>
      <w:tr w14:paraId="0B3C9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7" w:hRule="atLeast"/>
          <w:jc w:val="center"/>
        </w:trPr>
        <w:tc>
          <w:tcPr>
            <w:tcW w:w="10384" w:type="dxa"/>
            <w:gridSpan w:val="5"/>
            <w:noWrap w:val="0"/>
            <w:vAlign w:val="center"/>
          </w:tcPr>
          <w:p w14:paraId="2641D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（1）投标人应按“拟委任的项目经理和项目总工资历表”的格式要求分别填写项目经理和项目总工的资历，还应后附相关资格证明材料的彩色扫描件。 </w:t>
            </w:r>
          </w:p>
          <w:p w14:paraId="7E2F9B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项目经理须提供的资格证明材料：身份证、职称资格证书、建造师注册证书、安全生产考核合格证书彩色扫描件，其中：建造师注册证书及安全生产考核合格证书还需提供在政府相关部门网站上公开信息的网页截图；投标人所属社保机构出具的2025年10月至今任意连续3个月社保缴费证明或其他能够证明参加社保的有效证明材料、在岗撤离承诺书（如需）。 </w:t>
            </w:r>
          </w:p>
          <w:p w14:paraId="045C67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（3）项目总工须提供的资格证明材料：身份证、职称资格证书，投标人所属社保机构出具的2025年10月至今任意连续 3 个月社保缴费证明或其他能够证明参加社保的有效证明材料、在岗撤离承诺书（如需）。 </w:t>
            </w:r>
          </w:p>
          <w:p w14:paraId="36296F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项目经理和项目总工其他要求：必须是在投标人单位参加社会保险的全日制从业人员：注册建造师证书注册的单位必须为投标人，社保缴费单位与投标人名称必须一致；所有证件需清楚的反映有效期、年检情况及单位变更情况信息（如有）；所附人员的各类证书、证照以及各种证明材料中该人员的姓名应完全一致（除曾用名）。 </w:t>
            </w:r>
          </w:p>
          <w:p w14:paraId="4F8E82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拟委任的项目经理和项目总工资历表”还应附“全国公路建设市场监督管理系统”中载明的、能够证明项目经理和项目总工具有相关业绩的网页截图复印件。在“全国公路建设市场监督管理系统”中无法查询，但可在工程所在地省级交通运输主管部门公路建设与养护市场信用信息管理系统中查询的，应附工程所在地省级交通运输主管部门公路建设与养护市场信用信息管理系统中查询到的网页截图复印件。除网页截图复印件外，投标人无须再提供任何业绩证明资料。如投标人未提供相关业绩网页截图复印件或相关业绩网页截图中的信息无法证实投标人满足招标文件规定的资格审查条件(项目经理和项目总工最低要求),则该项目业绩不予认定。</w:t>
            </w:r>
          </w:p>
          <w:p w14:paraId="0EAAAE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在评审过程中招标人将通过网上核实投标人所提供的网页截图的内容、建造师注册证书、安全生产考核合格证书等相关信息，核实后如发现投标人提供的网页截图、信息与招标人核实的内容不一致的，或投标人提供虚假截屏信息的，招标人将视为该投标文件不符合招标文件的规定，在资格评审中不予通过。 </w:t>
            </w:r>
          </w:p>
          <w:p w14:paraId="4DF2AE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（7）公路工程相关专业职称包括：公路工程、桥梁工程、公路与桥梁工程、交通土建工程、隧道（地下结构）工程、交通工程、公路工程管理、土木工程等专业职称。</w:t>
            </w:r>
          </w:p>
          <w:p w14:paraId="15EFDA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（8）投标人对投标文件中拟委任的项目经理、项目总工是否在岗必须如实填报，在评标过程中或公示期间，若招标人收到有关反映投标人项目经理、项目总工有在岗项目的投诉，招标人一经查实 将认定为失信投标行为，取消其中标资格。</w:t>
            </w:r>
          </w:p>
          <w:p w14:paraId="4EB8FC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（9）业绩要求中的施工内容包含路面养护内容即可</w:t>
            </w:r>
            <w:r>
              <w:rPr>
                <w:rFonts w:hint="eastAsia" w:ascii="宋体" w:hAnsi="宋体" w:eastAsia="宋体" w:cs="宋体"/>
                <w:color w:val="auto"/>
                <w:kern w:val="0"/>
                <w:sz w:val="24"/>
                <w:szCs w:val="24"/>
                <w:highlight w:val="none"/>
                <w:lang w:val="en-US" w:eastAsia="zh-CN" w:bidi="ar-SA"/>
              </w:rPr>
              <w:t>。</w:t>
            </w:r>
          </w:p>
          <w:p w14:paraId="088EE5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SA"/>
              </w:rPr>
              <w:t>（10）主要人员业绩须单独列表，并附对应项目的官方查询链接。</w:t>
            </w:r>
          </w:p>
          <w:p w14:paraId="4E2AF3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（11）招标文件中其他地方与此处不一致时，以此处为准。</w:t>
            </w:r>
          </w:p>
        </w:tc>
      </w:tr>
    </w:tbl>
    <w:p w14:paraId="02F95C5A">
      <w:pPr>
        <w:spacing w:before="166" w:line="360" w:lineRule="auto"/>
        <w:ind w:left="1170"/>
        <w:outlineLvl w:val="2"/>
        <w:rPr>
          <w:rFonts w:ascii="宋体" w:hAnsi="宋体" w:eastAsia="宋体" w:cs="宋体"/>
          <w:color w:val="auto"/>
          <w:sz w:val="30"/>
          <w:szCs w:val="30"/>
          <w:highlight w:val="none"/>
        </w:rPr>
      </w:pPr>
      <w:r>
        <w:rPr>
          <w:rFonts w:hint="eastAsia" w:ascii="宋体" w:hAnsi="宋体" w:eastAsia="宋体" w:cs="宋体"/>
          <w:b/>
          <w:color w:val="auto"/>
          <w:sz w:val="24"/>
          <w:szCs w:val="24"/>
          <w:highlight w:val="none"/>
          <w:u w:val="single"/>
        </w:rPr>
        <w:br w:type="page"/>
      </w:r>
      <w:bookmarkStart w:id="8" w:name="_Toc16959"/>
      <w:r>
        <w:rPr>
          <w:rFonts w:hint="eastAsia" w:ascii="宋体" w:hAnsi="宋体" w:eastAsia="宋体" w:cs="宋体"/>
          <w:b/>
          <w:bCs/>
          <w:color w:val="auto"/>
          <w:kern w:val="44"/>
          <w:sz w:val="30"/>
          <w:szCs w:val="30"/>
          <w:highlight w:val="none"/>
          <w:lang w:val="en-US" w:eastAsia="zh-CN" w:bidi="ar-SA"/>
        </w:rPr>
        <w:t>附录 6  资格审查条件（其他管理和技术人员最低要求）</w:t>
      </w:r>
      <w:bookmarkEnd w:id="8"/>
    </w:p>
    <w:p w14:paraId="223C921A">
      <w:pPr>
        <w:spacing w:line="193" w:lineRule="exact"/>
        <w:rPr>
          <w:color w:val="auto"/>
          <w:highlight w:val="none"/>
        </w:rPr>
      </w:pPr>
    </w:p>
    <w:tbl>
      <w:tblPr>
        <w:tblStyle w:val="17"/>
        <w:tblW w:w="95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2"/>
        <w:gridCol w:w="2114"/>
        <w:gridCol w:w="5049"/>
      </w:tblGrid>
      <w:tr w14:paraId="19083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12" w:type="dxa"/>
            <w:noWrap w:val="0"/>
            <w:vAlign w:val="center"/>
          </w:tcPr>
          <w:p w14:paraId="292F9A17">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其他管理与技术人员</w:t>
            </w:r>
            <w:r>
              <w:rPr>
                <w:rFonts w:hint="eastAsia" w:ascii="宋体" w:hAnsi="宋体" w:eastAsia="宋体" w:cs="宋体"/>
                <w:b/>
                <w:bCs/>
                <w:color w:val="auto"/>
                <w:spacing w:val="-18"/>
                <w:sz w:val="24"/>
                <w:szCs w:val="24"/>
                <w:highlight w:val="none"/>
              </w:rPr>
              <w:t>岗位</w:t>
            </w:r>
          </w:p>
        </w:tc>
        <w:tc>
          <w:tcPr>
            <w:tcW w:w="2114" w:type="dxa"/>
            <w:noWrap w:val="0"/>
            <w:vAlign w:val="center"/>
          </w:tcPr>
          <w:p w14:paraId="35DC39A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6"/>
                <w:sz w:val="24"/>
                <w:szCs w:val="24"/>
                <w:highlight w:val="none"/>
              </w:rPr>
              <w:t>数量</w:t>
            </w:r>
          </w:p>
        </w:tc>
        <w:tc>
          <w:tcPr>
            <w:tcW w:w="5049" w:type="dxa"/>
            <w:noWrap w:val="0"/>
            <w:vAlign w:val="center"/>
          </w:tcPr>
          <w:p w14:paraId="4DE101C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6"/>
                <w:sz w:val="24"/>
                <w:szCs w:val="24"/>
                <w:highlight w:val="none"/>
              </w:rPr>
              <w:t>要求</w:t>
            </w:r>
          </w:p>
        </w:tc>
      </w:tr>
      <w:tr w14:paraId="0539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12" w:type="dxa"/>
            <w:noWrap w:val="0"/>
            <w:vAlign w:val="center"/>
          </w:tcPr>
          <w:p w14:paraId="32D338A4">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专职安全员</w:t>
            </w:r>
          </w:p>
        </w:tc>
        <w:tc>
          <w:tcPr>
            <w:tcW w:w="2114" w:type="dxa"/>
            <w:noWrap w:val="0"/>
            <w:vAlign w:val="center"/>
          </w:tcPr>
          <w:p w14:paraId="50108AC6">
            <w:pPr>
              <w:spacing w:line="36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w:t>
            </w:r>
          </w:p>
        </w:tc>
        <w:tc>
          <w:tcPr>
            <w:tcW w:w="5049" w:type="dxa"/>
            <w:noWrap w:val="0"/>
            <w:vAlign w:val="center"/>
          </w:tcPr>
          <w:p w14:paraId="670F32A4">
            <w:pPr>
              <w:pageBreakBefore w:val="0"/>
              <w:bidi w:val="0"/>
              <w:spacing w:line="360" w:lineRule="auto"/>
              <w:ind w:left="0" w:leftChars="0" w:right="0" w:rightChars="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en-US" w:eastAsia="zh-CN" w:bidi="ar-SA"/>
              </w:rPr>
              <w:t>从事类似项目安全管理工作3年及以上，持有C类安全生产考核合格证。</w:t>
            </w:r>
          </w:p>
        </w:tc>
      </w:tr>
      <w:tr w14:paraId="19879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12" w:type="dxa"/>
            <w:noWrap w:val="0"/>
            <w:vAlign w:val="center"/>
          </w:tcPr>
          <w:p w14:paraId="72E1CE09">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路面工程师</w:t>
            </w:r>
          </w:p>
        </w:tc>
        <w:tc>
          <w:tcPr>
            <w:tcW w:w="2114" w:type="dxa"/>
            <w:noWrap w:val="0"/>
            <w:vAlign w:val="center"/>
          </w:tcPr>
          <w:p w14:paraId="5EA7FA06">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5049" w:type="dxa"/>
            <w:noWrap w:val="0"/>
            <w:vAlign w:val="center"/>
          </w:tcPr>
          <w:p w14:paraId="5C294240">
            <w:pPr>
              <w:pageBreakBefore w:val="0"/>
              <w:bidi w:val="0"/>
              <w:spacing w:line="360" w:lineRule="auto"/>
              <w:ind w:left="0" w:leftChars="0" w:right="0" w:rightChars="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公路工程相关专业工程师及以上，从事类似项目施工3年及以上。至少担任过1条二级及以上等级公路养护工程施工的路面工程师。</w:t>
            </w:r>
          </w:p>
        </w:tc>
      </w:tr>
      <w:tr w14:paraId="0BA77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12" w:type="dxa"/>
            <w:noWrap w:val="0"/>
            <w:vAlign w:val="center"/>
          </w:tcPr>
          <w:p w14:paraId="2E94B28E">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交通安全设施工程师</w:t>
            </w:r>
          </w:p>
        </w:tc>
        <w:tc>
          <w:tcPr>
            <w:tcW w:w="2114" w:type="dxa"/>
            <w:noWrap w:val="0"/>
            <w:vAlign w:val="center"/>
          </w:tcPr>
          <w:p w14:paraId="7EE1B486">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5049" w:type="dxa"/>
            <w:noWrap w:val="0"/>
            <w:vAlign w:val="center"/>
          </w:tcPr>
          <w:p w14:paraId="42CF781B">
            <w:pPr>
              <w:pageBreakBefore w:val="0"/>
              <w:bidi w:val="0"/>
              <w:spacing w:line="360" w:lineRule="auto"/>
              <w:ind w:left="0" w:leftChars="0" w:right="0" w:rightChars="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公路工程相关专业工程师及以上，从事类似项目施工3年及以上。至少担任过1条二级及以上等级公路养护工程施工的交通安全设施工程师。</w:t>
            </w:r>
          </w:p>
        </w:tc>
      </w:tr>
      <w:tr w14:paraId="3FDC1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12" w:type="dxa"/>
            <w:noWrap w:val="0"/>
            <w:vAlign w:val="center"/>
          </w:tcPr>
          <w:p w14:paraId="6E2A8030">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质检工程师</w:t>
            </w:r>
          </w:p>
        </w:tc>
        <w:tc>
          <w:tcPr>
            <w:tcW w:w="2114" w:type="dxa"/>
            <w:noWrap w:val="0"/>
            <w:vAlign w:val="center"/>
          </w:tcPr>
          <w:p w14:paraId="49CE4CAF">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5049" w:type="dxa"/>
            <w:noWrap w:val="0"/>
            <w:vAlign w:val="center"/>
          </w:tcPr>
          <w:p w14:paraId="37599C79">
            <w:pPr>
              <w:pageBreakBefore w:val="0"/>
              <w:bidi w:val="0"/>
              <w:spacing w:line="360" w:lineRule="auto"/>
              <w:ind w:left="0" w:leftChars="0" w:right="0" w:rightChars="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公路工程相关专业工程师及以上，从事公路工程项目质检工作3年及以上。至少担任过1条二级及以上等级公路养护工程施工的质检工程师。</w:t>
            </w:r>
          </w:p>
        </w:tc>
      </w:tr>
      <w:tr w14:paraId="443D8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12" w:type="dxa"/>
            <w:noWrap w:val="0"/>
            <w:vAlign w:val="center"/>
          </w:tcPr>
          <w:p w14:paraId="3EEA01ED">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测量工程师</w:t>
            </w:r>
          </w:p>
        </w:tc>
        <w:tc>
          <w:tcPr>
            <w:tcW w:w="2114" w:type="dxa"/>
            <w:noWrap w:val="0"/>
            <w:vAlign w:val="center"/>
          </w:tcPr>
          <w:p w14:paraId="3B9039BA">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5049" w:type="dxa"/>
            <w:noWrap w:val="0"/>
            <w:vAlign w:val="center"/>
          </w:tcPr>
          <w:p w14:paraId="2F115D9C">
            <w:pPr>
              <w:pageBreakBefore w:val="0"/>
              <w:bidi w:val="0"/>
              <w:spacing w:line="360" w:lineRule="auto"/>
              <w:ind w:left="0" w:leftChars="0" w:right="0" w:rightChars="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公路工程相关专业助理工程师及以上，从事类似项目测量工作3年及以上。至少担任过1条二级及以上等级公路养护工程施工的测量工程师。</w:t>
            </w:r>
          </w:p>
        </w:tc>
      </w:tr>
      <w:tr w14:paraId="5DA77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12" w:type="dxa"/>
            <w:noWrap w:val="0"/>
            <w:vAlign w:val="center"/>
          </w:tcPr>
          <w:p w14:paraId="07F08626">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农民工劳资专管员</w:t>
            </w:r>
          </w:p>
        </w:tc>
        <w:tc>
          <w:tcPr>
            <w:tcW w:w="2114" w:type="dxa"/>
            <w:noWrap w:val="0"/>
            <w:vAlign w:val="center"/>
          </w:tcPr>
          <w:p w14:paraId="03A754D4">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5049" w:type="dxa"/>
            <w:noWrap w:val="0"/>
            <w:vAlign w:val="center"/>
          </w:tcPr>
          <w:p w14:paraId="684AE0E2">
            <w:pPr>
              <w:pageBreakBefore w:val="0"/>
              <w:bidi w:val="0"/>
              <w:spacing w:line="360" w:lineRule="auto"/>
              <w:ind w:left="0" w:leftChars="0" w:right="0" w:rightChars="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从事类似工作3年及以上。</w:t>
            </w:r>
          </w:p>
        </w:tc>
      </w:tr>
      <w:tr w14:paraId="667D0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12" w:type="dxa"/>
            <w:noWrap w:val="0"/>
            <w:vAlign w:val="center"/>
          </w:tcPr>
          <w:p w14:paraId="2AD0FB5D">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档案管理负责人</w:t>
            </w:r>
          </w:p>
        </w:tc>
        <w:tc>
          <w:tcPr>
            <w:tcW w:w="2114" w:type="dxa"/>
            <w:noWrap w:val="0"/>
            <w:vAlign w:val="center"/>
          </w:tcPr>
          <w:p w14:paraId="147B1D66">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5049" w:type="dxa"/>
            <w:noWrap w:val="0"/>
            <w:vAlign w:val="center"/>
          </w:tcPr>
          <w:p w14:paraId="7A0FE82C">
            <w:pPr>
              <w:pageBreakBefore w:val="0"/>
              <w:bidi w:val="0"/>
              <w:spacing w:line="360" w:lineRule="auto"/>
              <w:ind w:left="0" w:leftChars="0" w:right="0" w:rightChars="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相关专业助理工程师及以上，至少担任过1条二级及以上等级公路养护工程施工的档案管理负责人。</w:t>
            </w:r>
          </w:p>
        </w:tc>
      </w:tr>
      <w:tr w14:paraId="34CAB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12" w:type="dxa"/>
            <w:noWrap w:val="0"/>
            <w:vAlign w:val="center"/>
          </w:tcPr>
          <w:p w14:paraId="30E8BEA4">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合计</w:t>
            </w:r>
          </w:p>
        </w:tc>
        <w:tc>
          <w:tcPr>
            <w:tcW w:w="2114" w:type="dxa"/>
            <w:noWrap w:val="0"/>
            <w:vAlign w:val="center"/>
          </w:tcPr>
          <w:p w14:paraId="548D7331">
            <w:pPr>
              <w:pageBreakBefore w:val="0"/>
              <w:bidi w:val="0"/>
              <w:spacing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9</w:t>
            </w:r>
          </w:p>
        </w:tc>
        <w:tc>
          <w:tcPr>
            <w:tcW w:w="5049" w:type="dxa"/>
            <w:noWrap w:val="0"/>
            <w:vAlign w:val="center"/>
          </w:tcPr>
          <w:p w14:paraId="19882599">
            <w:pPr>
              <w:pageBreakBefore w:val="0"/>
              <w:bidi w:val="0"/>
              <w:spacing w:line="360" w:lineRule="auto"/>
              <w:ind w:left="0" w:leftChars="0" w:right="0" w:rightChars="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人员不得重复，缺陷责任期委派施工期担任过工程师职务的人员。</w:t>
            </w:r>
          </w:p>
        </w:tc>
      </w:tr>
      <w:tr w14:paraId="079C3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575" w:type="dxa"/>
            <w:gridSpan w:val="3"/>
            <w:noWrap w:val="0"/>
            <w:vAlign w:val="top"/>
          </w:tcPr>
          <w:p w14:paraId="27ABA974">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注：修改补充投标人须知正文第3.5.6项：</w:t>
            </w:r>
          </w:p>
          <w:p w14:paraId="7DEB0BB5">
            <w:pPr>
              <w:keepNext w:val="0"/>
              <w:keepLines w:val="0"/>
              <w:pageBreakBefore w:val="0"/>
              <w:widowControl w:val="0"/>
              <w:kinsoku/>
              <w:wordWrap/>
              <w:overflowPunct/>
              <w:topLinePunct w:val="0"/>
              <w:autoSpaceDE/>
              <w:autoSpaceDN/>
              <w:bidi w:val="0"/>
              <w:adjustRightInd/>
              <w:snapToGrid/>
              <w:spacing w:line="360" w:lineRule="auto"/>
              <w:ind w:left="0" w:right="0" w:firstLine="11"/>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1）投标人拟投入的其他主要管理人员和技术人员在投标文件中不需填报，但须按招标文件中规定的格式、内容和要求做出相关承诺。具体的人员名单在合同谈判期间确定，但必须满足本表中所列数量及资格要求，并和本</w:t>
            </w:r>
            <w:bookmarkStart w:id="12" w:name="_GoBack"/>
            <w:bookmarkEnd w:id="12"/>
            <w:r>
              <w:rPr>
                <w:rFonts w:hint="eastAsia" w:ascii="宋体" w:hAnsi="宋体" w:eastAsia="宋体" w:cs="宋体"/>
                <w:color w:val="auto"/>
                <w:spacing w:val="2"/>
                <w:sz w:val="24"/>
                <w:szCs w:val="24"/>
                <w:highlight w:val="none"/>
              </w:rPr>
              <w:t>表一起作为合同文件的组成部分，是发包人进行履约检查的依据。同时，拟投入的所有其他主要管理人员和技术人员须满足工程实际需要。合同谈判后，合同内明确的项目管理机构主要人员，除重大疾病或离职外，不允许更换，如需更换或派驻人员不能胜任该项工作，发包人将按专用合同条款视为承包人违约，并按专用合同条款对承包人予以处罚。如中标人拟派驻的人员数量和资格条件不满足本表要求，招标人应取消其中标资格</w:t>
            </w:r>
            <w:r>
              <w:rPr>
                <w:rFonts w:hint="eastAsia" w:ascii="宋体" w:hAnsi="宋体" w:eastAsia="宋体" w:cs="宋体"/>
                <w:color w:val="auto"/>
                <w:spacing w:val="2"/>
                <w:sz w:val="24"/>
                <w:szCs w:val="24"/>
                <w:highlight w:val="none"/>
                <w:lang w:eastAsia="zh-CN"/>
              </w:rPr>
              <w:t>。</w:t>
            </w:r>
          </w:p>
          <w:p w14:paraId="66351E0A">
            <w:pPr>
              <w:keepNext w:val="0"/>
              <w:keepLines w:val="0"/>
              <w:pageBreakBefore w:val="0"/>
              <w:widowControl w:val="0"/>
              <w:kinsoku/>
              <w:wordWrap/>
              <w:overflowPunct/>
              <w:topLinePunct w:val="0"/>
              <w:autoSpaceDE/>
              <w:autoSpaceDN/>
              <w:bidi w:val="0"/>
              <w:adjustRightInd/>
              <w:snapToGrid/>
              <w:spacing w:line="360" w:lineRule="auto"/>
              <w:ind w:left="0" w:right="0" w:firstLine="12"/>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（2）本表为强制性最低限度要求，投标阶段无需填报，投标人除满足本表要求外，应根</w:t>
            </w:r>
            <w:r>
              <w:rPr>
                <w:rFonts w:hint="eastAsia" w:ascii="宋体" w:hAnsi="宋体" w:eastAsia="宋体" w:cs="宋体"/>
                <w:color w:val="auto"/>
                <w:sz w:val="24"/>
                <w:szCs w:val="24"/>
                <w:highlight w:val="none"/>
              </w:rPr>
              <w:t>据项目实际工程数量及进度自主投入，发包</w:t>
            </w:r>
            <w:r>
              <w:rPr>
                <w:rFonts w:hint="eastAsia" w:ascii="宋体" w:hAnsi="宋体" w:eastAsia="宋体" w:cs="宋体"/>
                <w:color w:val="auto"/>
                <w:spacing w:val="-1"/>
                <w:sz w:val="24"/>
                <w:szCs w:val="24"/>
                <w:highlight w:val="none"/>
              </w:rPr>
              <w:t>人不再额外支付费用。</w:t>
            </w:r>
          </w:p>
          <w:p w14:paraId="4756627B">
            <w:pPr>
              <w:keepNext w:val="0"/>
              <w:keepLines w:val="0"/>
              <w:pageBreakBefore w:val="0"/>
              <w:widowControl w:val="0"/>
              <w:kinsoku/>
              <w:wordWrap/>
              <w:overflowPunct/>
              <w:topLinePunct w:val="0"/>
              <w:autoSpaceDE/>
              <w:autoSpaceDN/>
              <w:bidi w:val="0"/>
              <w:adjustRightInd/>
              <w:snapToGrid/>
              <w:spacing w:line="360" w:lineRule="auto"/>
              <w:ind w:left="0" w:right="0" w:firstLine="13"/>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（3）“拟投入的其他管理和技术人员”在合同签订时应附身份证、职称证书以及相关资</w:t>
            </w:r>
            <w:r>
              <w:rPr>
                <w:rFonts w:hint="eastAsia" w:ascii="宋体" w:hAnsi="宋体" w:eastAsia="宋体" w:cs="宋体"/>
                <w:color w:val="auto"/>
                <w:spacing w:val="3"/>
                <w:sz w:val="24"/>
                <w:szCs w:val="24"/>
                <w:highlight w:val="none"/>
              </w:rPr>
              <w:t>格证书复印件，以及投标人所属社保机构出具的</w:t>
            </w:r>
            <w:r>
              <w:rPr>
                <w:rFonts w:hint="eastAsia" w:ascii="宋体" w:hAnsi="宋体" w:eastAsia="宋体" w:cs="宋体"/>
                <w:color w:val="auto"/>
                <w:spacing w:val="3"/>
                <w:sz w:val="24"/>
                <w:szCs w:val="24"/>
                <w:highlight w:val="none"/>
                <w:lang w:eastAsia="zh-CN"/>
              </w:rPr>
              <w:t>2025年</w:t>
            </w:r>
            <w:r>
              <w:rPr>
                <w:rFonts w:hint="eastAsia" w:ascii="宋体" w:hAnsi="宋体" w:eastAsia="宋体" w:cs="宋体"/>
                <w:color w:val="auto"/>
                <w:spacing w:val="3"/>
                <w:sz w:val="24"/>
                <w:szCs w:val="24"/>
                <w:highlight w:val="none"/>
                <w:lang w:val="en-US" w:eastAsia="zh-CN"/>
              </w:rPr>
              <w:t>10</w:t>
            </w:r>
            <w:r>
              <w:rPr>
                <w:rFonts w:hint="eastAsia" w:ascii="宋体" w:hAnsi="宋体" w:eastAsia="宋体" w:cs="宋体"/>
                <w:color w:val="auto"/>
                <w:spacing w:val="3"/>
                <w:sz w:val="24"/>
                <w:szCs w:val="24"/>
                <w:highlight w:val="none"/>
                <w:lang w:eastAsia="zh-CN"/>
              </w:rPr>
              <w:t>月</w:t>
            </w:r>
            <w:r>
              <w:rPr>
                <w:rFonts w:hint="eastAsia" w:ascii="宋体" w:hAnsi="宋体" w:eastAsia="宋体" w:cs="宋体"/>
                <w:color w:val="auto"/>
                <w:spacing w:val="3"/>
                <w:sz w:val="24"/>
                <w:szCs w:val="24"/>
                <w:highlight w:val="none"/>
              </w:rPr>
              <w:t>至今任意连续</w:t>
            </w:r>
            <w:r>
              <w:rPr>
                <w:rFonts w:hint="eastAsia" w:ascii="宋体" w:hAnsi="宋体" w:eastAsia="宋体" w:cs="宋体"/>
                <w:color w:val="auto"/>
                <w:spacing w:val="3"/>
                <w:sz w:val="24"/>
                <w:szCs w:val="24"/>
                <w:highlight w:val="none"/>
                <w:lang w:val="en-US" w:eastAsia="zh-CN"/>
              </w:rPr>
              <w:t>三</w:t>
            </w:r>
            <w:r>
              <w:rPr>
                <w:rFonts w:hint="eastAsia" w:ascii="宋体" w:hAnsi="宋体" w:eastAsia="宋体" w:cs="宋体"/>
                <w:color w:val="auto"/>
                <w:spacing w:val="3"/>
                <w:sz w:val="24"/>
                <w:szCs w:val="24"/>
                <w:highlight w:val="none"/>
              </w:rPr>
              <w:t>个月社保</w:t>
            </w:r>
            <w:r>
              <w:rPr>
                <w:rFonts w:hint="eastAsia" w:ascii="宋体" w:hAnsi="宋体" w:eastAsia="宋体" w:cs="宋体"/>
                <w:color w:val="auto"/>
                <w:spacing w:val="-1"/>
                <w:sz w:val="24"/>
                <w:szCs w:val="24"/>
                <w:highlight w:val="none"/>
              </w:rPr>
              <w:t>缴费证明或其他能够证明参加社保的有效证明材料。</w:t>
            </w:r>
          </w:p>
          <w:p w14:paraId="172D1F37">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（4）招标文件中其他地方与此处不一致时，以此处为准。</w:t>
            </w:r>
          </w:p>
        </w:tc>
      </w:tr>
    </w:tbl>
    <w:p w14:paraId="46EF8260">
      <w:pPr>
        <w:spacing w:line="36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4"/>
          <w:szCs w:val="24"/>
          <w:lang w:val="en-US" w:eastAsia="zh-CN" w:bidi="ar-SA"/>
        </w:rPr>
        <w:br w:type="page"/>
      </w:r>
    </w:p>
    <w:p w14:paraId="18240361">
      <w:pPr>
        <w:pStyle w:val="2"/>
        <w:spacing w:line="360" w:lineRule="auto"/>
        <w:jc w:val="center"/>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三、评标办法（双信封技术评分最低标价法）</w:t>
      </w:r>
    </w:p>
    <w:p w14:paraId="47A2BF1F">
      <w:pPr>
        <w:ind w:firstLine="482" w:firstLineChars="150"/>
        <w:jc w:val="center"/>
        <w:outlineLvl w:val="2"/>
        <w:rPr>
          <w:rFonts w:hint="eastAsia" w:ascii="宋体" w:hAnsi="宋体" w:eastAsia="宋体" w:cs="宋体"/>
          <w:color w:val="000080"/>
          <w:sz w:val="20"/>
          <w:highlight w:val="none"/>
        </w:rPr>
      </w:pPr>
      <w:bookmarkStart w:id="9" w:name="_Toc5719"/>
      <w:r>
        <w:rPr>
          <w:rFonts w:hint="eastAsia" w:ascii="宋体" w:hAnsi="宋体" w:eastAsia="宋体" w:cs="宋体"/>
          <w:b/>
          <w:bCs/>
          <w:color w:val="auto"/>
          <w:sz w:val="32"/>
          <w:szCs w:val="28"/>
          <w:highlight w:val="none"/>
        </w:rPr>
        <w:t>评标办法前附表</w:t>
      </w:r>
      <w:bookmarkEnd w:id="9"/>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892"/>
        <w:gridCol w:w="7518"/>
      </w:tblGrid>
      <w:tr w14:paraId="5C2BC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744" w:type="dxa"/>
            <w:gridSpan w:val="2"/>
            <w:tcBorders>
              <w:top w:val="single" w:color="000000" w:sz="4" w:space="0"/>
              <w:left w:val="single" w:color="000000" w:sz="4" w:space="0"/>
              <w:bottom w:val="single" w:color="000000" w:sz="4" w:space="0"/>
              <w:right w:val="single" w:color="000000" w:sz="6" w:space="0"/>
            </w:tcBorders>
            <w:noWrap w:val="0"/>
            <w:vAlign w:val="top"/>
          </w:tcPr>
          <w:p w14:paraId="37FA8332">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color w:val="auto"/>
                <w:spacing w:val="0"/>
                <w:w w:val="100"/>
                <w:kern w:val="2"/>
                <w:sz w:val="22"/>
                <w:szCs w:val="22"/>
                <w:highlight w:val="none"/>
                <w:lang w:val="en-US" w:eastAsia="zh-CN" w:bidi="ar-SA"/>
              </w:rPr>
            </w:pPr>
            <w:r>
              <w:rPr>
                <w:rFonts w:hint="eastAsia" w:ascii="宋体" w:hAnsi="宋体" w:eastAsia="宋体" w:cs="宋体"/>
                <w:b/>
                <w:color w:val="auto"/>
                <w:spacing w:val="0"/>
                <w:w w:val="100"/>
                <w:kern w:val="2"/>
                <w:sz w:val="22"/>
                <w:szCs w:val="22"/>
                <w:highlight w:val="none"/>
                <w:lang w:val="en-US" w:eastAsia="zh-CN" w:bidi="ar-SA"/>
              </w:rPr>
              <w:t>条款号</w:t>
            </w:r>
          </w:p>
        </w:tc>
        <w:tc>
          <w:tcPr>
            <w:tcW w:w="8219" w:type="dxa"/>
            <w:tcBorders>
              <w:top w:val="single" w:color="000000" w:sz="4" w:space="0"/>
              <w:left w:val="single" w:color="000000" w:sz="6" w:space="0"/>
              <w:bottom w:val="single" w:color="000000" w:sz="4" w:space="0"/>
              <w:right w:val="single" w:color="000000" w:sz="4" w:space="0"/>
            </w:tcBorders>
            <w:noWrap w:val="0"/>
            <w:vAlign w:val="top"/>
          </w:tcPr>
          <w:p w14:paraId="7232FA94">
            <w:pPr>
              <w:pStyle w:val="20"/>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b/>
                <w:color w:val="auto"/>
                <w:spacing w:val="0"/>
                <w:w w:val="100"/>
                <w:kern w:val="2"/>
                <w:sz w:val="22"/>
                <w:szCs w:val="22"/>
                <w:highlight w:val="none"/>
                <w:lang w:val="en-US" w:eastAsia="zh-CN" w:bidi="ar-SA"/>
              </w:rPr>
            </w:pPr>
            <w:r>
              <w:rPr>
                <w:rFonts w:hint="eastAsia" w:ascii="宋体" w:hAnsi="宋体" w:eastAsia="宋体" w:cs="宋体"/>
                <w:b/>
                <w:color w:val="auto"/>
                <w:spacing w:val="0"/>
                <w:w w:val="100"/>
                <w:kern w:val="2"/>
                <w:sz w:val="22"/>
                <w:szCs w:val="22"/>
                <w:highlight w:val="none"/>
                <w:lang w:val="en-US" w:eastAsia="zh-CN" w:bidi="ar-SA"/>
              </w:rPr>
              <w:t>评审因素与评审标准</w:t>
            </w:r>
          </w:p>
        </w:tc>
      </w:tr>
      <w:tr w14:paraId="4F1E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486C43">
            <w:pPr>
              <w:pStyle w:val="21"/>
              <w:spacing w:line="360" w:lineRule="auto"/>
              <w:jc w:val="center"/>
              <w:rPr>
                <w:rStyle w:val="12"/>
                <w:rFonts w:hint="eastAsia" w:ascii="宋体" w:hAnsi="宋体" w:eastAsia="宋体" w:cs="宋体"/>
                <w:b w:val="0"/>
                <w:color w:val="auto"/>
                <w:spacing w:val="0"/>
                <w:w w:val="100"/>
                <w:sz w:val="22"/>
                <w:szCs w:val="22"/>
                <w:highlight w:val="none"/>
              </w:rPr>
            </w:pPr>
            <w:bookmarkStart w:id="10" w:name="EB3dc53a6a36804525a318f913af3ef74d"/>
            <w:r>
              <w:rPr>
                <w:rStyle w:val="12"/>
                <w:rFonts w:hint="eastAsia" w:ascii="宋体" w:hAnsi="宋体" w:eastAsia="宋体" w:cs="宋体"/>
                <w:b w:val="0"/>
                <w:color w:val="auto"/>
                <w:spacing w:val="0"/>
                <w:w w:val="100"/>
                <w:sz w:val="22"/>
                <w:szCs w:val="22"/>
                <w:highlight w:val="none"/>
              </w:rPr>
              <w:t>2.1.1</w:t>
            </w:r>
          </w:p>
        </w:tc>
        <w:tc>
          <w:tcPr>
            <w:tcW w:w="97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4195A87">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Style w:val="12"/>
                <w:rFonts w:hint="eastAsia" w:ascii="宋体" w:hAnsi="宋体" w:eastAsia="宋体" w:cs="宋体"/>
                <w:b w:val="0"/>
                <w:color w:val="auto"/>
                <w:spacing w:val="0"/>
                <w:w w:val="100"/>
                <w:kern w:val="0"/>
                <w:sz w:val="22"/>
                <w:szCs w:val="22"/>
                <w:highlight w:val="none"/>
                <w:lang w:eastAsia="zh-CN"/>
              </w:rPr>
            </w:pPr>
            <w:r>
              <w:rPr>
                <w:rStyle w:val="12"/>
                <w:rFonts w:hint="eastAsia" w:ascii="宋体" w:hAnsi="宋体" w:eastAsia="宋体" w:cs="宋体"/>
                <w:b w:val="0"/>
                <w:color w:val="auto"/>
                <w:spacing w:val="0"/>
                <w:w w:val="100"/>
                <w:kern w:val="0"/>
                <w:sz w:val="22"/>
                <w:szCs w:val="22"/>
                <w:highlight w:val="none"/>
                <w:lang w:eastAsia="zh-CN"/>
              </w:rPr>
              <w:t>形式与响应性</w:t>
            </w:r>
          </w:p>
          <w:p w14:paraId="6FEFDD07">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pacing w:val="0"/>
                <w:w w:val="100"/>
                <w:sz w:val="22"/>
                <w:szCs w:val="22"/>
                <w:highlight w:val="none"/>
                <w:lang w:eastAsia="zh-CN"/>
              </w:rPr>
            </w:pPr>
            <w:r>
              <w:rPr>
                <w:rStyle w:val="12"/>
                <w:rFonts w:hint="eastAsia" w:ascii="宋体" w:hAnsi="宋体" w:eastAsia="宋体" w:cs="宋体"/>
                <w:b w:val="0"/>
                <w:color w:val="auto"/>
                <w:spacing w:val="0"/>
                <w:w w:val="100"/>
                <w:kern w:val="0"/>
                <w:sz w:val="22"/>
                <w:szCs w:val="22"/>
                <w:highlight w:val="none"/>
                <w:lang w:eastAsia="zh-CN"/>
              </w:rPr>
              <w:t>评审</w:t>
            </w:r>
          </w:p>
        </w:tc>
        <w:tc>
          <w:tcPr>
            <w:tcW w:w="821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08DA5F">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第一个信封（商务及技术文件）评审标准：</w:t>
            </w:r>
          </w:p>
          <w:p w14:paraId="783E450B">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1</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投标文件按照招标文件规定的格式、内容填写，字迹清晰可辨:</w:t>
            </w:r>
          </w:p>
          <w:p w14:paraId="4DE2993F">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a.投标函按招标文件规定填报了项目名称、</w:t>
            </w:r>
            <w:r>
              <w:rPr>
                <w:rStyle w:val="12"/>
                <w:rFonts w:hint="eastAsia" w:ascii="宋体" w:hAnsi="宋体" w:eastAsia="宋体" w:cs="宋体"/>
                <w:b w:val="0"/>
                <w:color w:val="auto"/>
                <w:spacing w:val="0"/>
                <w:w w:val="100"/>
                <w:sz w:val="22"/>
                <w:szCs w:val="22"/>
                <w:highlight w:val="none"/>
                <w:lang w:eastAsia="zh-CN"/>
              </w:rPr>
              <w:t>标段、</w:t>
            </w:r>
            <w:r>
              <w:rPr>
                <w:rStyle w:val="12"/>
                <w:rFonts w:hint="eastAsia" w:ascii="宋体" w:hAnsi="宋体" w:eastAsia="宋体" w:cs="宋体"/>
                <w:b w:val="0"/>
                <w:color w:val="auto"/>
                <w:spacing w:val="0"/>
                <w:w w:val="100"/>
                <w:sz w:val="22"/>
                <w:szCs w:val="22"/>
                <w:highlight w:val="none"/>
              </w:rPr>
              <w:t>补遗书编号（如有）、工期、工程质量要求、安全目标等；</w:t>
            </w:r>
          </w:p>
          <w:p w14:paraId="7C6314BC">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b.投标函附录的所有内容和数据均符合招标文件规定；</w:t>
            </w:r>
          </w:p>
          <w:p w14:paraId="480B74DB">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c.投标文件组成齐全完整，内容均按规定填写。</w:t>
            </w:r>
          </w:p>
          <w:p w14:paraId="45BFEC6F">
            <w:pPr>
              <w:pStyle w:val="21"/>
              <w:spacing w:line="360" w:lineRule="auto"/>
              <w:jc w:val="left"/>
              <w:rPr>
                <w:rStyle w:val="12"/>
                <w:rFonts w:hint="eastAsia" w:ascii="宋体" w:hAnsi="宋体" w:eastAsia="宋体" w:cs="宋体"/>
                <w:b w:val="0"/>
                <w:color w:val="auto"/>
                <w:spacing w:val="0"/>
                <w:w w:val="100"/>
                <w:sz w:val="22"/>
                <w:szCs w:val="22"/>
                <w:highlight w:val="none"/>
                <w:lang w:eastAsia="zh-CN"/>
              </w:rPr>
            </w:pP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2</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投标文件上法定代表人或其授权代理人的签字、投标人的单位章盖章齐全，符合招标文件规定</w:t>
            </w:r>
            <w:r>
              <w:rPr>
                <w:rStyle w:val="12"/>
                <w:rFonts w:hint="eastAsia" w:ascii="宋体" w:hAnsi="宋体" w:eastAsia="宋体" w:cs="宋体"/>
                <w:b w:val="0"/>
                <w:color w:val="auto"/>
                <w:spacing w:val="0"/>
                <w:w w:val="100"/>
                <w:sz w:val="22"/>
                <w:szCs w:val="22"/>
                <w:highlight w:val="none"/>
                <w:lang w:eastAsia="zh-CN"/>
              </w:rPr>
              <w:t>。</w:t>
            </w:r>
          </w:p>
          <w:p w14:paraId="389237C1">
            <w:pPr>
              <w:pStyle w:val="21"/>
              <w:spacing w:line="360" w:lineRule="auto"/>
              <w:jc w:val="left"/>
              <w:rPr>
                <w:rStyle w:val="12"/>
                <w:rFonts w:hint="eastAsia" w:ascii="宋体" w:hAnsi="宋体" w:eastAsia="宋体" w:cs="宋体"/>
                <w:b w:val="0"/>
                <w:color w:val="auto"/>
                <w:spacing w:val="0"/>
                <w:w w:val="100"/>
                <w:sz w:val="22"/>
                <w:szCs w:val="22"/>
                <w:highlight w:val="none"/>
                <w:lang w:eastAsia="zh-CN"/>
              </w:rPr>
            </w:pP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3</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投标人按照招标文件的规定提供了投标保证金</w:t>
            </w:r>
            <w:r>
              <w:rPr>
                <w:rStyle w:val="12"/>
                <w:rFonts w:hint="eastAsia" w:ascii="宋体" w:hAnsi="宋体" w:eastAsia="宋体" w:cs="宋体"/>
                <w:b w:val="0"/>
                <w:color w:val="auto"/>
                <w:spacing w:val="0"/>
                <w:w w:val="100"/>
                <w:sz w:val="22"/>
                <w:szCs w:val="22"/>
                <w:highlight w:val="none"/>
                <w:lang w:eastAsia="zh-CN"/>
              </w:rPr>
              <w:t>：</w:t>
            </w:r>
          </w:p>
          <w:p w14:paraId="4F45EE20">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a.投标保证金金额符合招标文件规定的金额，且投标保证金有效期不少于投标有效期；</w:t>
            </w:r>
          </w:p>
          <w:p w14:paraId="335662CD">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b.若投标保证金采用现金或支票形式提交，投标人应在递交投标文件截止时间之前，将投标保证金由投标人的基本账户转入招标人指定账户；</w:t>
            </w:r>
          </w:p>
          <w:p w14:paraId="161BDA54">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c.若投标保证金采用</w:t>
            </w:r>
            <w:r>
              <w:rPr>
                <w:rStyle w:val="12"/>
                <w:rFonts w:hint="eastAsia" w:ascii="宋体" w:hAnsi="宋体" w:eastAsia="宋体" w:cs="宋体"/>
                <w:b w:val="0"/>
                <w:color w:val="auto"/>
                <w:spacing w:val="0"/>
                <w:w w:val="100"/>
                <w:sz w:val="22"/>
                <w:szCs w:val="22"/>
                <w:highlight w:val="none"/>
                <w:lang w:eastAsia="zh-CN"/>
              </w:rPr>
              <w:t>银行保函</w:t>
            </w:r>
            <w:r>
              <w:rPr>
                <w:rStyle w:val="12"/>
                <w:rFonts w:hint="eastAsia" w:ascii="宋体" w:hAnsi="宋体" w:eastAsia="宋体" w:cs="宋体"/>
                <w:b w:val="0"/>
                <w:color w:val="auto"/>
                <w:spacing w:val="0"/>
                <w:w w:val="100"/>
                <w:sz w:val="22"/>
                <w:szCs w:val="22"/>
                <w:highlight w:val="none"/>
              </w:rPr>
              <w:t>形式提交，</w:t>
            </w:r>
            <w:r>
              <w:rPr>
                <w:rStyle w:val="12"/>
                <w:rFonts w:hint="eastAsia" w:ascii="宋体" w:hAnsi="宋体" w:eastAsia="宋体" w:cs="宋体"/>
                <w:b w:val="0"/>
                <w:color w:val="auto"/>
                <w:spacing w:val="0"/>
                <w:w w:val="100"/>
                <w:sz w:val="22"/>
                <w:szCs w:val="22"/>
                <w:highlight w:val="none"/>
                <w:lang w:eastAsia="zh-CN"/>
              </w:rPr>
              <w:t>银行</w:t>
            </w:r>
            <w:r>
              <w:rPr>
                <w:rStyle w:val="12"/>
                <w:rFonts w:hint="eastAsia" w:ascii="宋体" w:hAnsi="宋体" w:eastAsia="宋体" w:cs="宋体"/>
                <w:b w:val="0"/>
                <w:color w:val="auto"/>
                <w:spacing w:val="0"/>
                <w:w w:val="100"/>
                <w:sz w:val="22"/>
                <w:szCs w:val="22"/>
                <w:highlight w:val="none"/>
              </w:rPr>
              <w:t>保函的格式、开具保函的银行、保函的有效期均满足招标文件</w:t>
            </w:r>
            <w:r>
              <w:rPr>
                <w:rStyle w:val="12"/>
                <w:rFonts w:hint="eastAsia" w:ascii="宋体" w:hAnsi="宋体" w:eastAsia="宋体" w:cs="宋体"/>
                <w:b w:val="0"/>
                <w:color w:val="auto"/>
                <w:spacing w:val="0"/>
                <w:w w:val="100"/>
                <w:sz w:val="22"/>
                <w:szCs w:val="22"/>
                <w:highlight w:val="none"/>
                <w:lang w:eastAsia="zh-CN"/>
              </w:rPr>
              <w:t>要求</w:t>
            </w:r>
            <w:r>
              <w:rPr>
                <w:rStyle w:val="12"/>
                <w:rFonts w:hint="eastAsia" w:ascii="宋体" w:hAnsi="宋体" w:eastAsia="宋体" w:cs="宋体"/>
                <w:b w:val="0"/>
                <w:color w:val="auto"/>
                <w:spacing w:val="0"/>
                <w:w w:val="100"/>
                <w:sz w:val="22"/>
                <w:szCs w:val="22"/>
                <w:highlight w:val="none"/>
                <w:lang w:val="en-US" w:eastAsia="zh-CN"/>
              </w:rPr>
              <w:t>，且在递交投标文件截止时间之前向招标人提交了银行保函原件。</w:t>
            </w:r>
          </w:p>
          <w:p w14:paraId="1BB6A41D">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lang w:val="zh-CN"/>
              </w:rPr>
              <w:t>d.若采用其他形式，满足招标文件的规定。</w:t>
            </w:r>
          </w:p>
          <w:p w14:paraId="24B753B9">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4</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投标人法定代表人授权代理人签署投标文件的，须提交授权委托书，且授权人和被授权人均在授权委托书上签名，</w:t>
            </w:r>
            <w:r>
              <w:rPr>
                <w:rStyle w:val="12"/>
                <w:rFonts w:hint="eastAsia" w:ascii="宋体" w:hAnsi="宋体" w:eastAsia="宋体" w:cs="宋体"/>
                <w:b w:val="0"/>
                <w:color w:val="auto"/>
                <w:spacing w:val="0"/>
                <w:w w:val="100"/>
                <w:sz w:val="22"/>
                <w:szCs w:val="22"/>
                <w:highlight w:val="none"/>
                <w:lang w:val="en-US" w:eastAsia="zh-CN"/>
              </w:rPr>
              <w:t>签字盖章符合招标文件第二章“投标人须知”第3.7.3项规定。</w:t>
            </w:r>
          </w:p>
          <w:p w14:paraId="23FF8E22">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（5）投标人法定代表人亲自签署投标文件的，提供了法定代表人身份证明，且法定代表人在法定代表人身份证明上签名，</w:t>
            </w:r>
            <w:r>
              <w:rPr>
                <w:rStyle w:val="12"/>
                <w:rFonts w:hint="eastAsia" w:ascii="宋体" w:hAnsi="宋体" w:eastAsia="宋体" w:cs="宋体"/>
                <w:b w:val="0"/>
                <w:color w:val="auto"/>
                <w:spacing w:val="0"/>
                <w:w w:val="100"/>
                <w:sz w:val="22"/>
                <w:szCs w:val="22"/>
                <w:highlight w:val="none"/>
                <w:lang w:val="en-US" w:eastAsia="zh-CN"/>
              </w:rPr>
              <w:t>签字盖章符合招标文件第二章“投标人须知”第3.7.3项规定。</w:t>
            </w:r>
          </w:p>
          <w:p w14:paraId="70BE7685">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6</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本项目不接受联合体投标。</w:t>
            </w:r>
          </w:p>
          <w:p w14:paraId="6186829A">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lang w:eastAsia="zh-CN"/>
              </w:rPr>
              <w:t>（7）</w:t>
            </w:r>
            <w:r>
              <w:rPr>
                <w:rStyle w:val="12"/>
                <w:rFonts w:hint="eastAsia" w:ascii="宋体" w:hAnsi="宋体" w:eastAsia="宋体" w:cs="宋体"/>
                <w:b w:val="0"/>
                <w:color w:val="auto"/>
                <w:spacing w:val="0"/>
                <w:w w:val="100"/>
                <w:sz w:val="22"/>
                <w:szCs w:val="22"/>
                <w:highlight w:val="none"/>
                <w:lang w:val="en-US" w:eastAsia="zh-CN"/>
              </w:rPr>
              <w:t>本项目不允许分包</w:t>
            </w:r>
            <w:r>
              <w:rPr>
                <w:rStyle w:val="12"/>
                <w:rFonts w:hint="default" w:ascii="宋体" w:hAnsi="宋体" w:eastAsia="宋体" w:cs="宋体"/>
                <w:b w:val="0"/>
                <w:color w:val="auto"/>
                <w:spacing w:val="0"/>
                <w:w w:val="100"/>
                <w:sz w:val="22"/>
                <w:szCs w:val="22"/>
                <w:highlight w:val="none"/>
                <w:lang w:val="zh-CN" w:eastAsia="zh-CN"/>
              </w:rPr>
              <w:t>。</w:t>
            </w:r>
          </w:p>
          <w:p w14:paraId="027D7062">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8</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同一投标人未提交两个以上不同的投标文件</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lang w:val="zh-CN"/>
              </w:rPr>
              <w:t>但招标文件要求提交备选投标的除外。</w:t>
            </w:r>
          </w:p>
          <w:p w14:paraId="159900D4">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9</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投标文件中未出现有关投标报价的内容。</w:t>
            </w:r>
          </w:p>
          <w:p w14:paraId="3C62FC1C">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10</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投标文件载明的招标项目完成期限未超过招标文件规定的时限。</w:t>
            </w:r>
          </w:p>
          <w:p w14:paraId="3128B3F9">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11</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投标文件对招标文件的实质性要求和条件作出了响应。</w:t>
            </w:r>
          </w:p>
          <w:p w14:paraId="041644AE">
            <w:pPr>
              <w:pStyle w:val="21"/>
              <w:spacing w:line="360" w:lineRule="auto"/>
              <w:jc w:val="left"/>
              <w:rPr>
                <w:rStyle w:val="12"/>
                <w:rFonts w:hint="eastAsia" w:ascii="宋体" w:hAnsi="宋体" w:eastAsia="宋体" w:cs="宋体"/>
                <w:b w:val="0"/>
                <w:color w:val="auto"/>
                <w:spacing w:val="0"/>
                <w:w w:val="100"/>
                <w:sz w:val="22"/>
                <w:szCs w:val="22"/>
                <w:highlight w:val="none"/>
                <w:lang w:eastAsia="zh-CN"/>
              </w:rPr>
            </w:pP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12</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权利义务符合招标文件规定</w:t>
            </w:r>
            <w:r>
              <w:rPr>
                <w:rStyle w:val="12"/>
                <w:rFonts w:hint="eastAsia" w:ascii="宋体" w:hAnsi="宋体" w:eastAsia="宋体" w:cs="宋体"/>
                <w:b w:val="0"/>
                <w:color w:val="auto"/>
                <w:spacing w:val="0"/>
                <w:w w:val="100"/>
                <w:sz w:val="22"/>
                <w:szCs w:val="22"/>
                <w:highlight w:val="none"/>
                <w:lang w:eastAsia="zh-CN"/>
              </w:rPr>
              <w:t>。</w:t>
            </w:r>
          </w:p>
          <w:p w14:paraId="5D93480C">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a.投标人应接受招标文件规定的风险划分原则，未提出新的风险划分办法；</w:t>
            </w:r>
          </w:p>
          <w:p w14:paraId="35641779">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b.投标人未增加发包人的责任范围，或减少投标人义务；</w:t>
            </w:r>
          </w:p>
          <w:p w14:paraId="24E75996">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c.投标人未提出不同的工程验收、计量、支付办法；</w:t>
            </w:r>
          </w:p>
          <w:p w14:paraId="39954B07">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d.投标人对合同纠纷、事故处理办法未提出异议；</w:t>
            </w:r>
          </w:p>
          <w:p w14:paraId="0C545BD5">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e.投标人在投标活动中无欺诈行为；</w:t>
            </w:r>
          </w:p>
          <w:p w14:paraId="7A2FE5FB">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f.投标人未对合同条款有重要保留。</w:t>
            </w:r>
          </w:p>
          <w:p w14:paraId="64694EB6">
            <w:pPr>
              <w:pStyle w:val="21"/>
              <w:spacing w:line="360" w:lineRule="auto"/>
              <w:jc w:val="left"/>
              <w:rPr>
                <w:rStyle w:val="12"/>
                <w:rFonts w:hint="eastAsia" w:ascii="宋体" w:hAnsi="宋体" w:eastAsia="宋体" w:cs="宋体"/>
                <w:b w:val="0"/>
                <w:color w:val="auto"/>
                <w:spacing w:val="0"/>
                <w:w w:val="100"/>
                <w:sz w:val="22"/>
                <w:szCs w:val="22"/>
                <w:highlight w:val="none"/>
                <w:lang w:eastAsia="zh-CN"/>
              </w:rPr>
            </w:pP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13</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lang w:val="zh-CN"/>
              </w:rPr>
              <w:t>围标、串标审查：如果有证据显示投标人以他人名义投标、与他人串通投标、以行贿手段谋取中标，以及投标弄虚作假的，评标委员会应对该投标文件作无效投标处理</w:t>
            </w:r>
            <w:r>
              <w:rPr>
                <w:rStyle w:val="12"/>
                <w:rFonts w:hint="eastAsia" w:ascii="宋体" w:hAnsi="宋体" w:eastAsia="宋体" w:cs="宋体"/>
                <w:b w:val="0"/>
                <w:color w:val="auto"/>
                <w:spacing w:val="0"/>
                <w:w w:val="100"/>
                <w:sz w:val="22"/>
                <w:szCs w:val="22"/>
                <w:highlight w:val="none"/>
                <w:lang w:eastAsia="zh-CN"/>
              </w:rPr>
              <w:t>。</w:t>
            </w:r>
          </w:p>
          <w:p w14:paraId="563AF2AA">
            <w:pPr>
              <w:pStyle w:val="21"/>
              <w:spacing w:line="360" w:lineRule="auto"/>
              <w:jc w:val="left"/>
              <w:rPr>
                <w:rStyle w:val="12"/>
                <w:rFonts w:hint="eastAsia" w:ascii="宋体" w:hAnsi="宋体" w:eastAsia="宋体" w:cs="宋体"/>
                <w:b w:val="0"/>
                <w:color w:val="auto"/>
                <w:spacing w:val="0"/>
                <w:w w:val="100"/>
                <w:sz w:val="22"/>
                <w:szCs w:val="22"/>
                <w:highlight w:val="none"/>
                <w:lang w:val="zh-CN"/>
              </w:rPr>
            </w:pP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rPr>
              <w:t>14</w:t>
            </w:r>
            <w:r>
              <w:rPr>
                <w:rStyle w:val="12"/>
                <w:rFonts w:hint="eastAsia" w:ascii="宋体" w:hAnsi="宋体" w:eastAsia="宋体" w:cs="宋体"/>
                <w:b w:val="0"/>
                <w:color w:val="auto"/>
                <w:spacing w:val="0"/>
                <w:w w:val="100"/>
                <w:sz w:val="22"/>
                <w:szCs w:val="22"/>
                <w:highlight w:val="none"/>
                <w:lang w:eastAsia="zh-CN"/>
              </w:rPr>
              <w:t>）</w:t>
            </w:r>
            <w:r>
              <w:rPr>
                <w:rStyle w:val="12"/>
                <w:rFonts w:hint="eastAsia" w:ascii="宋体" w:hAnsi="宋体" w:eastAsia="宋体" w:cs="宋体"/>
                <w:b w:val="0"/>
                <w:color w:val="auto"/>
                <w:spacing w:val="0"/>
                <w:w w:val="100"/>
                <w:sz w:val="22"/>
                <w:szCs w:val="22"/>
                <w:highlight w:val="none"/>
                <w:lang w:val="zh-CN"/>
              </w:rPr>
              <w:t>评标委员会要对投标人的财务能力、管理水平和以往施工业绩及履约信誉进行详细评审。如发现投标文件有以下情况之一的，评标委员会将对其作无效投标处理：</w:t>
            </w:r>
          </w:p>
          <w:p w14:paraId="3C5EDAFB">
            <w:pPr>
              <w:pStyle w:val="21"/>
              <w:spacing w:line="360" w:lineRule="auto"/>
              <w:jc w:val="left"/>
              <w:rPr>
                <w:rStyle w:val="12"/>
                <w:rFonts w:hint="eastAsia" w:ascii="宋体" w:hAnsi="宋体" w:eastAsia="宋体" w:cs="宋体"/>
                <w:b w:val="0"/>
                <w:color w:val="auto"/>
                <w:spacing w:val="0"/>
                <w:w w:val="100"/>
                <w:sz w:val="22"/>
                <w:szCs w:val="22"/>
                <w:highlight w:val="none"/>
                <w:lang w:val="zh-CN"/>
              </w:rPr>
            </w:pPr>
            <w:r>
              <w:rPr>
                <w:rStyle w:val="12"/>
                <w:rFonts w:hint="eastAsia" w:ascii="宋体" w:hAnsi="宋体" w:eastAsia="宋体" w:cs="宋体"/>
                <w:b w:val="0"/>
                <w:color w:val="auto"/>
                <w:spacing w:val="0"/>
                <w:w w:val="100"/>
                <w:sz w:val="22"/>
                <w:szCs w:val="22"/>
                <w:highlight w:val="none"/>
                <w:lang w:val="zh-CN"/>
              </w:rPr>
              <w:t>a.承诺的质量标准低于招标文件或国家强制性标准要求；</w:t>
            </w:r>
          </w:p>
          <w:p w14:paraId="08A287E7">
            <w:pPr>
              <w:pStyle w:val="21"/>
              <w:spacing w:line="360" w:lineRule="auto"/>
              <w:jc w:val="left"/>
              <w:rPr>
                <w:rStyle w:val="12"/>
                <w:rFonts w:hint="eastAsia" w:ascii="宋体" w:hAnsi="宋体" w:eastAsia="宋体" w:cs="宋体"/>
                <w:b w:val="0"/>
                <w:color w:val="auto"/>
                <w:spacing w:val="0"/>
                <w:w w:val="100"/>
                <w:sz w:val="22"/>
                <w:szCs w:val="22"/>
                <w:highlight w:val="none"/>
                <w:lang w:val="zh-CN"/>
              </w:rPr>
            </w:pPr>
            <w:r>
              <w:rPr>
                <w:rStyle w:val="12"/>
                <w:rFonts w:hint="eastAsia" w:ascii="宋体" w:hAnsi="宋体" w:eastAsia="宋体" w:cs="宋体"/>
                <w:b w:val="0"/>
                <w:color w:val="auto"/>
                <w:spacing w:val="0"/>
                <w:w w:val="100"/>
                <w:sz w:val="22"/>
                <w:szCs w:val="22"/>
                <w:highlight w:val="none"/>
                <w:lang w:val="zh-CN"/>
              </w:rPr>
              <w:t>b.提供虚假施工业绩及履约信誉证明材料。</w:t>
            </w:r>
          </w:p>
          <w:p w14:paraId="11620C3F">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zh-CN" w:bidi="ar-SA"/>
              </w:rPr>
            </w:pPr>
            <w:r>
              <w:rPr>
                <w:rStyle w:val="12"/>
                <w:rFonts w:hint="eastAsia" w:ascii="宋体" w:hAnsi="宋体" w:eastAsia="宋体" w:cs="宋体"/>
                <w:b w:val="0"/>
                <w:color w:val="auto"/>
                <w:spacing w:val="0"/>
                <w:w w:val="100"/>
                <w:sz w:val="22"/>
                <w:szCs w:val="22"/>
                <w:highlight w:val="none"/>
                <w:lang w:val="zh-CN"/>
              </w:rPr>
              <w:t>（</w:t>
            </w:r>
            <w:r>
              <w:rPr>
                <w:rStyle w:val="12"/>
                <w:rFonts w:hint="eastAsia" w:ascii="宋体" w:hAnsi="宋体" w:eastAsia="宋体" w:cs="宋体"/>
                <w:b w:val="0"/>
                <w:color w:val="auto"/>
                <w:spacing w:val="0"/>
                <w:w w:val="100"/>
                <w:sz w:val="22"/>
                <w:szCs w:val="22"/>
                <w:highlight w:val="none"/>
                <w:lang w:val="en-US" w:eastAsia="zh-CN"/>
              </w:rPr>
              <w:t>15</w:t>
            </w:r>
            <w:r>
              <w:rPr>
                <w:rStyle w:val="12"/>
                <w:rFonts w:hint="eastAsia" w:ascii="宋体" w:hAnsi="宋体" w:eastAsia="宋体" w:cs="宋体"/>
                <w:b w:val="0"/>
                <w:color w:val="auto"/>
                <w:spacing w:val="0"/>
                <w:w w:val="100"/>
                <w:sz w:val="22"/>
                <w:szCs w:val="22"/>
                <w:highlight w:val="none"/>
                <w:lang w:val="zh-CN"/>
              </w:rPr>
              <w:t>）</w:t>
            </w:r>
            <w:r>
              <w:rPr>
                <w:rStyle w:val="12"/>
                <w:rFonts w:hint="eastAsia" w:ascii="宋体" w:hAnsi="宋体" w:eastAsia="宋体" w:cs="宋体"/>
                <w:b w:val="0"/>
                <w:color w:val="auto"/>
                <w:spacing w:val="0"/>
                <w:w w:val="100"/>
                <w:sz w:val="22"/>
                <w:szCs w:val="22"/>
                <w:highlight w:val="none"/>
                <w:lang w:val="en-US" w:eastAsia="zh-CN" w:bidi="ar-SA"/>
              </w:rPr>
              <w:t>投标函上填写的标段号与所投标段号一致。</w:t>
            </w:r>
          </w:p>
          <w:p w14:paraId="5C684C87">
            <w:pPr>
              <w:pStyle w:val="21"/>
              <w:spacing w:line="360" w:lineRule="auto"/>
              <w:jc w:val="left"/>
              <w:rPr>
                <w:rStyle w:val="12"/>
                <w:rFonts w:hint="eastAsia" w:ascii="宋体" w:hAnsi="宋体" w:eastAsia="宋体" w:cs="宋体"/>
                <w:b w:val="0"/>
                <w:color w:val="auto"/>
                <w:spacing w:val="0"/>
                <w:w w:val="100"/>
                <w:sz w:val="22"/>
                <w:szCs w:val="22"/>
                <w:highlight w:val="none"/>
                <w:lang w:val="zh-CN"/>
              </w:rPr>
            </w:pPr>
            <w:r>
              <w:rPr>
                <w:rStyle w:val="12"/>
                <w:rFonts w:hint="eastAsia" w:ascii="宋体" w:hAnsi="宋体" w:eastAsia="宋体" w:cs="宋体"/>
                <w:b w:val="0"/>
                <w:color w:val="auto"/>
                <w:spacing w:val="0"/>
                <w:w w:val="100"/>
                <w:sz w:val="22"/>
                <w:szCs w:val="22"/>
                <w:highlight w:val="none"/>
                <w:lang w:val="zh-CN"/>
              </w:rPr>
              <w:t>（</w:t>
            </w:r>
            <w:r>
              <w:rPr>
                <w:rStyle w:val="12"/>
                <w:rFonts w:hint="eastAsia" w:ascii="宋体" w:hAnsi="宋体" w:eastAsia="宋体" w:cs="宋体"/>
                <w:b w:val="0"/>
                <w:color w:val="auto"/>
                <w:spacing w:val="0"/>
                <w:w w:val="100"/>
                <w:sz w:val="22"/>
                <w:szCs w:val="22"/>
                <w:highlight w:val="none"/>
                <w:lang w:val="en-US" w:eastAsia="zh-CN"/>
              </w:rPr>
              <w:t>16</w:t>
            </w:r>
            <w:r>
              <w:rPr>
                <w:rStyle w:val="12"/>
                <w:rFonts w:hint="eastAsia" w:ascii="宋体" w:hAnsi="宋体" w:eastAsia="宋体" w:cs="宋体"/>
                <w:b w:val="0"/>
                <w:color w:val="auto"/>
                <w:spacing w:val="0"/>
                <w:w w:val="100"/>
                <w:sz w:val="22"/>
                <w:szCs w:val="22"/>
                <w:highlight w:val="none"/>
                <w:lang w:val="zh-CN"/>
              </w:rPr>
              <w:t>）按照评标委员会的要求进行了澄清、说明或补正。</w:t>
            </w:r>
          </w:p>
          <w:p w14:paraId="1527A8B9">
            <w:pPr>
              <w:pStyle w:val="21"/>
              <w:spacing w:line="360" w:lineRule="auto"/>
              <w:jc w:val="left"/>
              <w:rPr>
                <w:rStyle w:val="12"/>
                <w:rFonts w:hint="eastAsia" w:ascii="宋体" w:hAnsi="宋体" w:eastAsia="宋体" w:cs="宋体"/>
                <w:b w:val="0"/>
                <w:color w:val="auto"/>
                <w:spacing w:val="0"/>
                <w:w w:val="100"/>
                <w:sz w:val="22"/>
                <w:szCs w:val="22"/>
                <w:highlight w:val="none"/>
                <w:lang w:val="zh-CN"/>
              </w:rPr>
            </w:pPr>
            <w:r>
              <w:rPr>
                <w:rStyle w:val="12"/>
                <w:rFonts w:hint="eastAsia" w:ascii="宋体" w:hAnsi="宋体" w:eastAsia="宋体" w:cs="宋体"/>
                <w:b w:val="0"/>
                <w:color w:val="auto"/>
                <w:spacing w:val="0"/>
                <w:w w:val="100"/>
                <w:sz w:val="22"/>
                <w:szCs w:val="22"/>
                <w:highlight w:val="none"/>
                <w:lang w:val="zh-CN"/>
              </w:rPr>
              <w:t>（</w:t>
            </w:r>
            <w:r>
              <w:rPr>
                <w:rStyle w:val="12"/>
                <w:rFonts w:hint="eastAsia" w:ascii="宋体" w:hAnsi="宋体" w:eastAsia="宋体" w:cs="宋体"/>
                <w:b w:val="0"/>
                <w:color w:val="auto"/>
                <w:spacing w:val="0"/>
                <w:w w:val="100"/>
                <w:sz w:val="22"/>
                <w:szCs w:val="22"/>
                <w:highlight w:val="none"/>
                <w:lang w:val="en-US" w:eastAsia="zh-CN"/>
              </w:rPr>
              <w:t>17</w:t>
            </w:r>
            <w:r>
              <w:rPr>
                <w:rStyle w:val="12"/>
                <w:rFonts w:hint="eastAsia" w:ascii="宋体" w:hAnsi="宋体" w:eastAsia="宋体" w:cs="宋体"/>
                <w:b w:val="0"/>
                <w:color w:val="auto"/>
                <w:spacing w:val="0"/>
                <w:w w:val="100"/>
                <w:sz w:val="22"/>
                <w:szCs w:val="22"/>
                <w:highlight w:val="none"/>
                <w:lang w:val="zh-CN"/>
              </w:rPr>
              <w:t>）未附有招标人不能接受的其他条件。</w:t>
            </w:r>
          </w:p>
          <w:p w14:paraId="00E05EF7">
            <w:pPr>
              <w:pStyle w:val="21"/>
              <w:spacing w:line="360" w:lineRule="auto"/>
              <w:jc w:val="left"/>
              <w:rPr>
                <w:rStyle w:val="12"/>
                <w:rFonts w:hint="eastAsia" w:ascii="宋体" w:hAnsi="宋体" w:eastAsia="宋体" w:cs="宋体"/>
                <w:b w:val="0"/>
                <w:color w:val="auto"/>
                <w:spacing w:val="0"/>
                <w:w w:val="100"/>
                <w:sz w:val="22"/>
                <w:szCs w:val="22"/>
                <w:highlight w:val="none"/>
                <w:lang w:val="zh-CN"/>
              </w:rPr>
            </w:pPr>
            <w:r>
              <w:rPr>
                <w:rStyle w:val="12"/>
                <w:rFonts w:hint="eastAsia" w:ascii="宋体" w:hAnsi="宋体" w:eastAsia="宋体" w:cs="宋体"/>
                <w:b w:val="0"/>
                <w:color w:val="auto"/>
                <w:spacing w:val="0"/>
                <w:w w:val="100"/>
                <w:sz w:val="22"/>
                <w:szCs w:val="22"/>
                <w:highlight w:val="none"/>
                <w:lang w:val="en-US" w:eastAsia="zh-CN"/>
              </w:rPr>
              <w:t>（18）投标文件符合招标文件的其他相关规定。</w:t>
            </w:r>
          </w:p>
          <w:p w14:paraId="6CAD72DE">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投标文件未满足以上任一条件的，其投标视为无效，评标委员会将否决其投标。</w:t>
            </w:r>
          </w:p>
          <w:p w14:paraId="1C44A6B2">
            <w:pPr>
              <w:pStyle w:val="21"/>
              <w:spacing w:line="360" w:lineRule="auto"/>
              <w:jc w:val="left"/>
              <w:rPr>
                <w:rStyle w:val="12"/>
                <w:rFonts w:hint="eastAsia" w:ascii="宋体" w:hAnsi="宋体" w:eastAsia="宋体" w:cs="宋体"/>
                <w:b w:val="0"/>
                <w:color w:val="auto"/>
                <w:spacing w:val="0"/>
                <w:w w:val="100"/>
                <w:sz w:val="22"/>
                <w:szCs w:val="22"/>
                <w:highlight w:val="none"/>
              </w:rPr>
            </w:pPr>
          </w:p>
          <w:p w14:paraId="6E8FF03D">
            <w:pPr>
              <w:pStyle w:val="21"/>
              <w:spacing w:line="360" w:lineRule="auto"/>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第二个信封（报价文件）评审标准：</w:t>
            </w:r>
          </w:p>
          <w:p w14:paraId="6CF94168">
            <w:pPr>
              <w:pStyle w:val="21"/>
              <w:spacing w:line="360" w:lineRule="auto"/>
              <w:jc w:val="left"/>
              <w:rPr>
                <w:rStyle w:val="12"/>
                <w:rFonts w:hint="eastAsia" w:ascii="宋体" w:hAnsi="宋体" w:eastAsia="宋体" w:cs="宋体"/>
                <w:b w:val="0"/>
                <w:color w:val="auto"/>
                <w:spacing w:val="0"/>
                <w:w w:val="100"/>
                <w:sz w:val="22"/>
                <w:szCs w:val="22"/>
                <w:highlight w:val="none"/>
                <w:lang w:val="en-US" w:eastAsia="zh-CN"/>
              </w:rPr>
            </w:pPr>
            <w:r>
              <w:rPr>
                <w:rStyle w:val="12"/>
                <w:rFonts w:hint="eastAsia" w:ascii="宋体" w:hAnsi="宋体" w:eastAsia="宋体" w:cs="宋体"/>
                <w:b w:val="0"/>
                <w:color w:val="auto"/>
                <w:spacing w:val="0"/>
                <w:w w:val="100"/>
                <w:sz w:val="22"/>
                <w:szCs w:val="22"/>
                <w:highlight w:val="none"/>
                <w:lang w:val="en-US" w:eastAsia="zh-CN"/>
              </w:rPr>
              <w:t>（1）投标文件按照招标文件规定的格式、内容填写，字迹清晰可辨：</w:t>
            </w:r>
          </w:p>
          <w:p w14:paraId="5C9C4E42">
            <w:pPr>
              <w:pStyle w:val="21"/>
              <w:spacing w:line="360" w:lineRule="auto"/>
              <w:jc w:val="left"/>
              <w:rPr>
                <w:rStyle w:val="12"/>
                <w:rFonts w:hint="eastAsia" w:ascii="宋体" w:hAnsi="宋体" w:eastAsia="宋体" w:cs="宋体"/>
                <w:b w:val="0"/>
                <w:color w:val="auto"/>
                <w:spacing w:val="0"/>
                <w:w w:val="100"/>
                <w:sz w:val="22"/>
                <w:szCs w:val="22"/>
                <w:highlight w:val="none"/>
                <w:lang w:val="en-US" w:eastAsia="zh-CN"/>
              </w:rPr>
            </w:pPr>
            <w:r>
              <w:rPr>
                <w:rStyle w:val="12"/>
                <w:rFonts w:hint="eastAsia" w:ascii="宋体" w:hAnsi="宋体" w:eastAsia="宋体" w:cs="宋体"/>
                <w:b w:val="0"/>
                <w:color w:val="auto"/>
                <w:spacing w:val="0"/>
                <w:w w:val="100"/>
                <w:sz w:val="22"/>
                <w:szCs w:val="22"/>
                <w:highlight w:val="none"/>
                <w:lang w:val="en-US" w:eastAsia="zh-CN"/>
              </w:rPr>
              <w:t>a、投标函按招标文件规定填报了项目名称、标段号（如有）、补遗书编号（如有）、投标价（包括大写金额和小写金额）；</w:t>
            </w:r>
          </w:p>
          <w:p w14:paraId="51D20C6F">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rPr>
              <w:t>b、</w:t>
            </w:r>
            <w:r>
              <w:rPr>
                <w:rStyle w:val="12"/>
                <w:rFonts w:hint="eastAsia" w:ascii="宋体" w:hAnsi="宋体" w:eastAsia="宋体" w:cs="宋体"/>
                <w:b w:val="0"/>
                <w:color w:val="auto"/>
                <w:spacing w:val="0"/>
                <w:w w:val="100"/>
                <w:sz w:val="22"/>
                <w:szCs w:val="22"/>
                <w:highlight w:val="none"/>
                <w:lang w:val="en-US" w:eastAsia="zh-CN" w:bidi="ar-SA"/>
              </w:rPr>
              <w:t>已标价工程量清单说明文字与招标文件规定一致，未进行实质性修改和删减；</w:t>
            </w:r>
          </w:p>
          <w:p w14:paraId="1437330D">
            <w:pPr>
              <w:pStyle w:val="21"/>
              <w:spacing w:line="360" w:lineRule="auto"/>
              <w:jc w:val="left"/>
              <w:rPr>
                <w:rStyle w:val="12"/>
                <w:rFonts w:hint="eastAsia" w:ascii="宋体" w:hAnsi="宋体" w:eastAsia="宋体" w:cs="宋体"/>
                <w:b w:val="0"/>
                <w:color w:val="auto"/>
                <w:spacing w:val="0"/>
                <w:w w:val="100"/>
                <w:sz w:val="22"/>
                <w:szCs w:val="22"/>
                <w:highlight w:val="none"/>
                <w:lang w:val="en-US" w:eastAsia="zh-CN"/>
              </w:rPr>
            </w:pPr>
            <w:r>
              <w:rPr>
                <w:rStyle w:val="12"/>
                <w:rFonts w:hint="eastAsia" w:ascii="宋体" w:hAnsi="宋体" w:eastAsia="宋体" w:cs="宋体"/>
                <w:b w:val="0"/>
                <w:color w:val="auto"/>
                <w:spacing w:val="0"/>
                <w:w w:val="100"/>
                <w:sz w:val="22"/>
                <w:szCs w:val="22"/>
                <w:highlight w:val="none"/>
                <w:lang w:val="en-US" w:eastAsia="zh-CN"/>
              </w:rPr>
              <w:t>c、投标文件组成齐全完整，内容均按规定填写。</w:t>
            </w:r>
          </w:p>
          <w:p w14:paraId="790E426A">
            <w:pPr>
              <w:pStyle w:val="21"/>
              <w:spacing w:line="360" w:lineRule="auto"/>
              <w:jc w:val="left"/>
              <w:rPr>
                <w:rStyle w:val="12"/>
                <w:rFonts w:hint="eastAsia" w:ascii="宋体" w:hAnsi="宋体" w:eastAsia="宋体" w:cs="宋体"/>
                <w:b w:val="0"/>
                <w:color w:val="auto"/>
                <w:spacing w:val="0"/>
                <w:w w:val="100"/>
                <w:sz w:val="22"/>
                <w:szCs w:val="22"/>
                <w:highlight w:val="none"/>
                <w:lang w:val="en-US" w:eastAsia="zh-CN"/>
              </w:rPr>
            </w:pPr>
            <w:r>
              <w:rPr>
                <w:rStyle w:val="12"/>
                <w:rFonts w:hint="eastAsia" w:ascii="宋体" w:hAnsi="宋体" w:eastAsia="宋体" w:cs="宋体"/>
                <w:b w:val="0"/>
                <w:color w:val="auto"/>
                <w:spacing w:val="0"/>
                <w:w w:val="100"/>
                <w:sz w:val="22"/>
                <w:szCs w:val="22"/>
                <w:highlight w:val="none"/>
                <w:lang w:val="en-US" w:eastAsia="zh-CN"/>
              </w:rPr>
              <w:t>（2）投标文件上法定代表人或其授权代理人的签名、投标人的单位章盖章齐全，符合招标文件规定。</w:t>
            </w:r>
          </w:p>
          <w:p w14:paraId="4A21D15A">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 xml:space="preserve">（3）投标报价未超过招标文件设定的最高投标限价（如有）。 </w:t>
            </w:r>
          </w:p>
          <w:p w14:paraId="7FF13E52">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 xml:space="preserve">（4）投标报价的大写金额能够确定具体数值。 </w:t>
            </w:r>
          </w:p>
          <w:p w14:paraId="4A8EAA0E">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 xml:space="preserve">（5）同一投标人未提交两个以上不同的投标报价，但招标文件要求提交备选投标的除外。 </w:t>
            </w:r>
          </w:p>
          <w:p w14:paraId="42EDC8F7">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 xml:space="preserve">（6）投标人若填写工程量固化清单，填写完毕的工程量固化清单未对工程量固化清单电子文件中的数据、格式和运算定义进行修改；工程量固化清单中的投标报价和投标函大写金额报价一致。 </w:t>
            </w:r>
          </w:p>
          <w:p w14:paraId="7F8822E5">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 xml:space="preserve">（7）未修改招标人给定的暂估价（如有）或暂列金额（如有）。 </w:t>
            </w:r>
          </w:p>
          <w:p w14:paraId="037B8E3B">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（8）投标函上填写的标段号与所投标段号一致。</w:t>
            </w:r>
          </w:p>
          <w:p w14:paraId="1C3D4586">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lang w:val="en-US" w:eastAsia="zh-CN" w:bidi="ar-SA"/>
              </w:rPr>
              <w:t>投标文件未满足以上任一条件的，其投标视为无效，评标委员会将否决其投标。</w:t>
            </w:r>
          </w:p>
        </w:tc>
      </w:tr>
      <w:tr w14:paraId="72FC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1" w:hRule="atLeast"/>
        </w:trPr>
        <w:tc>
          <w:tcPr>
            <w:tcW w:w="769" w:type="dxa"/>
            <w:tcBorders>
              <w:top w:val="single" w:color="000000" w:sz="2" w:space="0"/>
              <w:left w:val="single" w:color="000000" w:sz="2" w:space="0"/>
              <w:right w:val="single" w:color="000000" w:sz="2" w:space="0"/>
            </w:tcBorders>
            <w:noWrap w:val="0"/>
            <w:tcMar>
              <w:top w:w="100" w:type="dxa"/>
              <w:bottom w:w="100" w:type="dxa"/>
            </w:tcMar>
            <w:vAlign w:val="center"/>
          </w:tcPr>
          <w:p w14:paraId="1888F681">
            <w:pPr>
              <w:pStyle w:val="21"/>
              <w:spacing w:line="360" w:lineRule="auto"/>
              <w:jc w:val="center"/>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2.1.2</w:t>
            </w:r>
          </w:p>
        </w:tc>
        <w:tc>
          <w:tcPr>
            <w:tcW w:w="975" w:type="dxa"/>
            <w:tcBorders>
              <w:top w:val="single" w:color="000000" w:sz="2" w:space="0"/>
              <w:left w:val="single" w:color="000000" w:sz="2" w:space="0"/>
              <w:right w:val="single" w:color="000000" w:sz="2" w:space="0"/>
            </w:tcBorders>
            <w:noWrap w:val="0"/>
            <w:tcMar>
              <w:top w:w="100" w:type="dxa"/>
              <w:bottom w:w="100" w:type="dxa"/>
            </w:tcMar>
            <w:vAlign w:val="center"/>
          </w:tcPr>
          <w:p w14:paraId="46F992BC">
            <w:pPr>
              <w:pStyle w:val="21"/>
              <w:keepNext w:val="0"/>
              <w:keepLines w:val="0"/>
              <w:pageBreakBefore w:val="0"/>
              <w:widowControl w:val="0"/>
              <w:kinsoku w:val="0"/>
              <w:wordWrap/>
              <w:overflowPunct w:val="0"/>
              <w:topLinePunct w:val="0"/>
              <w:autoSpaceDE w:val="0"/>
              <w:autoSpaceDN w:val="0"/>
              <w:bidi w:val="0"/>
              <w:adjustRightInd/>
              <w:snapToGrid/>
              <w:spacing w:line="360" w:lineRule="auto"/>
              <w:jc w:val="center"/>
              <w:textAlignment w:val="auto"/>
              <w:rPr>
                <w:rStyle w:val="12"/>
                <w:rFonts w:hint="eastAsia" w:ascii="宋体" w:hAnsi="宋体" w:eastAsia="宋体" w:cs="宋体"/>
                <w:b w:val="0"/>
                <w:color w:val="auto"/>
                <w:spacing w:val="0"/>
                <w:w w:val="100"/>
                <w:sz w:val="22"/>
                <w:szCs w:val="22"/>
                <w:highlight w:val="none"/>
              </w:rPr>
            </w:pPr>
            <w:r>
              <w:rPr>
                <w:rStyle w:val="12"/>
                <w:rFonts w:hint="eastAsia" w:ascii="宋体" w:hAnsi="宋体" w:eastAsia="宋体" w:cs="宋体"/>
                <w:b w:val="0"/>
                <w:color w:val="auto"/>
                <w:spacing w:val="0"/>
                <w:w w:val="100"/>
                <w:sz w:val="22"/>
                <w:szCs w:val="22"/>
                <w:highlight w:val="none"/>
              </w:rPr>
              <w:t>资格评审标准</w:t>
            </w:r>
          </w:p>
        </w:tc>
        <w:tc>
          <w:tcPr>
            <w:tcW w:w="8219" w:type="dxa"/>
            <w:tcBorders>
              <w:top w:val="single" w:color="000000" w:sz="2" w:space="0"/>
              <w:left w:val="single" w:color="000000" w:sz="2" w:space="0"/>
              <w:bottom w:val="single" w:color="000000" w:sz="2" w:space="0"/>
              <w:right w:val="single" w:color="000000" w:sz="2" w:space="0"/>
            </w:tcBorders>
            <w:noWrap w:val="0"/>
            <w:vAlign w:val="center"/>
          </w:tcPr>
          <w:p w14:paraId="7C898098">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 xml:space="preserve">（1）投标人具备有效的企业法人营业执照副本、资质证书、安全生产许可证和基本账户信息扫描件。 </w:t>
            </w:r>
          </w:p>
          <w:p w14:paraId="40B03B76">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 xml:space="preserve">（2）投标人的资质等级符合招标文件投标人须知前附表附录 1 的规定。 </w:t>
            </w:r>
          </w:p>
          <w:p w14:paraId="7835F8F3">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 xml:space="preserve">（3）投标人的财务状况符合招标文件投标人须知前附表附录 2 的规定。 </w:t>
            </w:r>
          </w:p>
          <w:p w14:paraId="5A7D6329">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 xml:space="preserve">（4）投标人的类似项目业绩符合招标文件投标人须知前附表附录 3 的规定。 </w:t>
            </w:r>
          </w:p>
          <w:p w14:paraId="55D66A1D">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 xml:space="preserve">（5）投标人的信誉符合招标文件投标人须知前附表附录 4 的规定。 </w:t>
            </w:r>
          </w:p>
          <w:p w14:paraId="34380F9B">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 xml:space="preserve">（6）投标人的项目经理和项目总工资格、在岗情况符合招标文件投标人须知前附表附录 5 的规定。 </w:t>
            </w:r>
          </w:p>
          <w:p w14:paraId="4A89B0DA">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val="en-US" w:eastAsia="zh-CN" w:bidi="ar-SA"/>
              </w:rPr>
            </w:pPr>
            <w:r>
              <w:rPr>
                <w:rStyle w:val="12"/>
                <w:rFonts w:hint="eastAsia" w:ascii="宋体" w:hAnsi="宋体" w:eastAsia="宋体" w:cs="宋体"/>
                <w:b w:val="0"/>
                <w:color w:val="auto"/>
                <w:spacing w:val="0"/>
                <w:w w:val="100"/>
                <w:sz w:val="22"/>
                <w:szCs w:val="22"/>
                <w:highlight w:val="none"/>
                <w:lang w:val="en-US" w:eastAsia="zh-CN" w:bidi="ar-SA"/>
              </w:rPr>
              <w:t xml:space="preserve">（7）投标人不存在第二章“投标人须知”第 1.4.3 项或第 1.4.4 项规定的任何一种情形。 </w:t>
            </w:r>
          </w:p>
          <w:p w14:paraId="6555801B">
            <w:pPr>
              <w:keepNext w:val="0"/>
              <w:keepLines w:val="0"/>
              <w:widowControl/>
              <w:suppressLineNumbers w:val="0"/>
              <w:jc w:val="left"/>
              <w:rPr>
                <w:rStyle w:val="12"/>
                <w:rFonts w:hint="eastAsia" w:ascii="宋体" w:hAnsi="宋体" w:eastAsia="宋体" w:cs="宋体"/>
                <w:b w:val="0"/>
                <w:color w:val="auto"/>
                <w:spacing w:val="0"/>
                <w:w w:val="100"/>
                <w:sz w:val="22"/>
                <w:szCs w:val="22"/>
                <w:highlight w:val="none"/>
                <w:lang w:eastAsia="zh-CN"/>
              </w:rPr>
            </w:pPr>
            <w:r>
              <w:rPr>
                <w:rStyle w:val="12"/>
                <w:rFonts w:hint="eastAsia" w:ascii="宋体" w:hAnsi="宋体" w:eastAsia="宋体" w:cs="宋体"/>
                <w:b w:val="0"/>
                <w:color w:val="auto"/>
                <w:spacing w:val="0"/>
                <w:w w:val="100"/>
                <w:sz w:val="22"/>
                <w:szCs w:val="22"/>
                <w:highlight w:val="none"/>
                <w:lang w:val="en-US" w:eastAsia="zh-CN" w:bidi="ar-SA"/>
              </w:rPr>
              <w:t>投标文件未满足以上任一条件的，其投标视为无效，评标委员会将否决其投标。</w:t>
            </w:r>
          </w:p>
        </w:tc>
      </w:tr>
      <w:tr w14:paraId="32B2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278B693">
            <w:pPr>
              <w:pStyle w:val="21"/>
              <w:spacing w:line="360" w:lineRule="auto"/>
              <w:jc w:val="left"/>
              <w:rPr>
                <w:rStyle w:val="12"/>
                <w:rFonts w:hint="eastAsia" w:ascii="宋体" w:hAnsi="宋体" w:eastAsia="宋体" w:cs="宋体"/>
                <w:b/>
                <w:color w:val="auto"/>
                <w:spacing w:val="0"/>
                <w:w w:val="100"/>
                <w:sz w:val="22"/>
                <w:szCs w:val="22"/>
                <w:highlight w:val="none"/>
              </w:rPr>
            </w:pPr>
            <w:r>
              <w:rPr>
                <w:rStyle w:val="12"/>
                <w:rFonts w:hint="eastAsia" w:ascii="宋体" w:hAnsi="宋体" w:eastAsia="宋体" w:cs="宋体"/>
                <w:b/>
                <w:color w:val="auto"/>
                <w:spacing w:val="0"/>
                <w:w w:val="100"/>
                <w:sz w:val="22"/>
                <w:szCs w:val="22"/>
                <w:highlight w:val="none"/>
              </w:rPr>
              <w:t>投标人递交的投标文件不满足形式评审与响应性评审标准中任意一项要求的，其投标文件不通过初步审查，评标委员会将否决其投标。</w:t>
            </w:r>
          </w:p>
        </w:tc>
      </w:tr>
      <w:bookmarkEnd w:id="10"/>
    </w:tbl>
    <w:p w14:paraId="42313B89">
      <w:pPr>
        <w:pStyle w:val="22"/>
        <w:spacing w:line="360" w:lineRule="auto"/>
        <w:ind w:firstLine="424" w:firstLineChars="202"/>
        <w:rPr>
          <w:rFonts w:hint="eastAsia" w:ascii="宋体" w:hAnsi="宋体" w:eastAsia="宋体" w:cs="宋体"/>
          <w:color w:val="auto"/>
          <w:sz w:val="21"/>
          <w:highlight w:val="none"/>
        </w:rPr>
      </w:pPr>
    </w:p>
    <w:p w14:paraId="2C3065C7">
      <w:pPr>
        <w:pStyle w:val="22"/>
        <w:spacing w:line="360" w:lineRule="auto"/>
        <w:ind w:firstLine="424" w:firstLineChars="202"/>
        <w:rPr>
          <w:rFonts w:hint="eastAsia" w:ascii="宋体" w:hAnsi="宋体" w:eastAsia="宋体" w:cs="宋体"/>
          <w:color w:val="auto"/>
          <w:sz w:val="21"/>
          <w:highlight w:val="none"/>
        </w:rPr>
      </w:pPr>
    </w:p>
    <w:p w14:paraId="151B0F2E">
      <w:pPr>
        <w:pStyle w:val="22"/>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br w:type="page"/>
      </w:r>
    </w:p>
    <w:tbl>
      <w:tblPr>
        <w:tblStyle w:val="17"/>
        <w:tblW w:w="88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914"/>
        <w:gridCol w:w="13"/>
        <w:gridCol w:w="1718"/>
        <w:gridCol w:w="13"/>
        <w:gridCol w:w="1310"/>
        <w:gridCol w:w="14"/>
        <w:gridCol w:w="1309"/>
        <w:gridCol w:w="13"/>
        <w:gridCol w:w="941"/>
        <w:gridCol w:w="14"/>
        <w:gridCol w:w="2629"/>
      </w:tblGrid>
      <w:tr w14:paraId="10A42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29" w:type="dxa"/>
            <w:gridSpan w:val="3"/>
            <w:noWrap w:val="0"/>
            <w:vAlign w:val="center"/>
          </w:tcPr>
          <w:p w14:paraId="0357DD81">
            <w:pPr>
              <w:pStyle w:val="16"/>
              <w:spacing w:before="131" w:line="228" w:lineRule="auto"/>
              <w:jc w:val="center"/>
              <w:rPr>
                <w:sz w:val="24"/>
                <w:szCs w:val="24"/>
              </w:rPr>
            </w:pPr>
            <w:bookmarkStart w:id="11" w:name="EB33d07ae736ca4206a4f89a3636cfaa64"/>
            <w:bookmarkEnd w:id="11"/>
            <w:r>
              <w:rPr>
                <w:spacing w:val="6"/>
                <w:sz w:val="24"/>
                <w:szCs w:val="24"/>
              </w:rPr>
              <w:t>条款号</w:t>
            </w:r>
          </w:p>
        </w:tc>
        <w:tc>
          <w:tcPr>
            <w:tcW w:w="1731" w:type="dxa"/>
            <w:gridSpan w:val="2"/>
            <w:noWrap w:val="0"/>
            <w:vAlign w:val="center"/>
          </w:tcPr>
          <w:p w14:paraId="5008A5BD">
            <w:pPr>
              <w:pStyle w:val="16"/>
              <w:spacing w:before="131" w:line="228" w:lineRule="auto"/>
              <w:ind w:left="293"/>
              <w:jc w:val="center"/>
              <w:rPr>
                <w:sz w:val="24"/>
                <w:szCs w:val="24"/>
              </w:rPr>
            </w:pPr>
            <w:r>
              <w:rPr>
                <w:spacing w:val="6"/>
                <w:sz w:val="24"/>
                <w:szCs w:val="24"/>
              </w:rPr>
              <w:t>条款内容</w:t>
            </w:r>
          </w:p>
        </w:tc>
        <w:tc>
          <w:tcPr>
            <w:tcW w:w="6230" w:type="dxa"/>
            <w:gridSpan w:val="7"/>
            <w:noWrap w:val="0"/>
            <w:vAlign w:val="center"/>
          </w:tcPr>
          <w:p w14:paraId="2F69EB85">
            <w:pPr>
              <w:pStyle w:val="16"/>
              <w:spacing w:before="131" w:line="228" w:lineRule="auto"/>
              <w:ind w:left="2701"/>
              <w:jc w:val="center"/>
              <w:rPr>
                <w:sz w:val="24"/>
                <w:szCs w:val="24"/>
              </w:rPr>
            </w:pPr>
            <w:r>
              <w:rPr>
                <w:spacing w:val="6"/>
                <w:sz w:val="24"/>
                <w:szCs w:val="24"/>
              </w:rPr>
              <w:t>编列内容</w:t>
            </w:r>
          </w:p>
        </w:tc>
      </w:tr>
      <w:tr w14:paraId="50F3A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929" w:type="dxa"/>
            <w:gridSpan w:val="3"/>
            <w:noWrap w:val="0"/>
            <w:vAlign w:val="center"/>
          </w:tcPr>
          <w:p w14:paraId="52361BD6">
            <w:pPr>
              <w:pStyle w:val="16"/>
              <w:spacing w:before="65" w:line="268" w:lineRule="exact"/>
              <w:jc w:val="center"/>
              <w:rPr>
                <w:sz w:val="24"/>
                <w:szCs w:val="24"/>
              </w:rPr>
            </w:pPr>
            <w:r>
              <w:rPr>
                <w:spacing w:val="2"/>
                <w:position w:val="1"/>
                <w:sz w:val="24"/>
                <w:szCs w:val="24"/>
              </w:rPr>
              <w:t>2.2.1</w:t>
            </w:r>
          </w:p>
        </w:tc>
        <w:tc>
          <w:tcPr>
            <w:tcW w:w="1731" w:type="dxa"/>
            <w:gridSpan w:val="2"/>
            <w:noWrap w:val="0"/>
            <w:vAlign w:val="center"/>
          </w:tcPr>
          <w:p w14:paraId="53C5DDBC">
            <w:pPr>
              <w:pStyle w:val="16"/>
              <w:spacing w:before="65" w:line="228" w:lineRule="auto"/>
              <w:ind w:left="188"/>
              <w:jc w:val="center"/>
              <w:rPr>
                <w:sz w:val="24"/>
                <w:szCs w:val="24"/>
              </w:rPr>
            </w:pPr>
            <w:r>
              <w:rPr>
                <w:spacing w:val="8"/>
                <w:sz w:val="24"/>
                <w:szCs w:val="24"/>
              </w:rPr>
              <w:t>第一个信封评分分值构</w:t>
            </w:r>
            <w:r>
              <w:rPr>
                <w:spacing w:val="7"/>
                <w:sz w:val="24"/>
                <w:szCs w:val="24"/>
              </w:rPr>
              <w:t>成③（总分</w:t>
            </w:r>
            <w:r>
              <w:rPr>
                <w:spacing w:val="-1"/>
                <w:sz w:val="24"/>
                <w:szCs w:val="24"/>
              </w:rPr>
              <w:t>100.00分）</w:t>
            </w:r>
          </w:p>
        </w:tc>
        <w:tc>
          <w:tcPr>
            <w:tcW w:w="6230" w:type="dxa"/>
            <w:gridSpan w:val="7"/>
            <w:noWrap w:val="0"/>
            <w:vAlign w:val="center"/>
          </w:tcPr>
          <w:p w14:paraId="2A93104C">
            <w:pPr>
              <w:pStyle w:val="16"/>
              <w:spacing w:before="130" w:line="228" w:lineRule="auto"/>
              <w:jc w:val="center"/>
              <w:rPr>
                <w:sz w:val="24"/>
                <w:szCs w:val="24"/>
              </w:rPr>
            </w:pPr>
            <w:r>
              <w:rPr>
                <w:spacing w:val="6"/>
                <w:sz w:val="24"/>
                <w:szCs w:val="24"/>
              </w:rPr>
              <w:t>施工组织设计：35.00分</w:t>
            </w:r>
            <w:r>
              <w:rPr>
                <w:spacing w:val="5"/>
                <w:sz w:val="24"/>
                <w:szCs w:val="24"/>
              </w:rPr>
              <w:t>主要人员：25.00分</w:t>
            </w:r>
            <w:r>
              <w:rPr>
                <w:spacing w:val="6"/>
                <w:sz w:val="24"/>
                <w:szCs w:val="24"/>
              </w:rPr>
              <w:t>技术能力：10.00分</w:t>
            </w:r>
            <w:r>
              <w:rPr>
                <w:spacing w:val="5"/>
                <w:sz w:val="24"/>
                <w:szCs w:val="24"/>
              </w:rPr>
              <w:t>履约信誉：15.00分业绩：15.00分</w:t>
            </w:r>
          </w:p>
        </w:tc>
      </w:tr>
      <w:tr w14:paraId="14E81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29" w:type="dxa"/>
            <w:gridSpan w:val="3"/>
            <w:noWrap w:val="0"/>
            <w:vAlign w:val="center"/>
          </w:tcPr>
          <w:p w14:paraId="33A8A8B4">
            <w:pPr>
              <w:pStyle w:val="16"/>
              <w:spacing w:before="65" w:line="268" w:lineRule="exact"/>
              <w:jc w:val="center"/>
              <w:rPr>
                <w:sz w:val="24"/>
                <w:szCs w:val="24"/>
              </w:rPr>
            </w:pPr>
            <w:r>
              <w:rPr>
                <w:spacing w:val="2"/>
                <w:position w:val="1"/>
                <w:sz w:val="24"/>
                <w:szCs w:val="24"/>
              </w:rPr>
              <w:t>2.2.3</w:t>
            </w:r>
          </w:p>
        </w:tc>
        <w:tc>
          <w:tcPr>
            <w:tcW w:w="1731" w:type="dxa"/>
            <w:gridSpan w:val="2"/>
            <w:noWrap w:val="0"/>
            <w:vAlign w:val="center"/>
          </w:tcPr>
          <w:p w14:paraId="5C3A13C7">
            <w:pPr>
              <w:pStyle w:val="16"/>
              <w:spacing w:before="130" w:line="228" w:lineRule="auto"/>
              <w:ind w:left="188"/>
              <w:jc w:val="center"/>
              <w:rPr>
                <w:sz w:val="24"/>
                <w:szCs w:val="24"/>
              </w:rPr>
            </w:pPr>
            <w:r>
              <w:rPr>
                <w:spacing w:val="8"/>
                <w:sz w:val="24"/>
                <w:szCs w:val="24"/>
              </w:rPr>
              <w:t>第二个信封</w:t>
            </w:r>
            <w:r>
              <w:rPr>
                <w:spacing w:val="7"/>
                <w:sz w:val="24"/>
                <w:szCs w:val="24"/>
              </w:rPr>
              <w:t>详细评审标</w:t>
            </w:r>
            <w:r>
              <w:rPr>
                <w:sz w:val="24"/>
                <w:szCs w:val="24"/>
              </w:rPr>
              <w:t>准</w:t>
            </w:r>
          </w:p>
        </w:tc>
        <w:tc>
          <w:tcPr>
            <w:tcW w:w="6230" w:type="dxa"/>
            <w:gridSpan w:val="7"/>
            <w:noWrap w:val="0"/>
            <w:vAlign w:val="center"/>
          </w:tcPr>
          <w:p w14:paraId="4124A376">
            <w:pPr>
              <w:pStyle w:val="16"/>
              <w:spacing w:before="130" w:line="226" w:lineRule="auto"/>
              <w:jc w:val="center"/>
              <w:rPr>
                <w:sz w:val="24"/>
                <w:szCs w:val="24"/>
              </w:rPr>
            </w:pPr>
            <w:r>
              <w:rPr>
                <w:spacing w:val="7"/>
                <w:sz w:val="24"/>
                <w:szCs w:val="24"/>
              </w:rPr>
              <w:t>评标价计算公式：</w:t>
            </w:r>
            <w:r>
              <w:rPr>
                <w:spacing w:val="9"/>
                <w:sz w:val="24"/>
                <w:szCs w:val="24"/>
              </w:rPr>
              <w:t>评标价＝修正后的投标报价－暂估价－暂列金额（不含计日工总</w:t>
            </w:r>
            <w:r>
              <w:rPr>
                <w:spacing w:val="6"/>
                <w:sz w:val="24"/>
                <w:szCs w:val="24"/>
              </w:rPr>
              <w:t>额）</w:t>
            </w:r>
          </w:p>
        </w:tc>
      </w:tr>
      <w:tr w14:paraId="0C287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929" w:type="dxa"/>
            <w:gridSpan w:val="3"/>
            <w:noWrap w:val="0"/>
            <w:vAlign w:val="center"/>
          </w:tcPr>
          <w:p w14:paraId="4C34BE82">
            <w:pPr>
              <w:pStyle w:val="16"/>
              <w:spacing w:before="65" w:line="267" w:lineRule="exact"/>
              <w:jc w:val="center"/>
              <w:rPr>
                <w:sz w:val="24"/>
                <w:szCs w:val="24"/>
              </w:rPr>
            </w:pPr>
            <w:r>
              <w:rPr>
                <w:spacing w:val="2"/>
                <w:position w:val="1"/>
                <w:sz w:val="24"/>
                <w:szCs w:val="24"/>
              </w:rPr>
              <w:t>3.2.4</w:t>
            </w:r>
          </w:p>
        </w:tc>
        <w:tc>
          <w:tcPr>
            <w:tcW w:w="1731" w:type="dxa"/>
            <w:gridSpan w:val="2"/>
            <w:noWrap w:val="0"/>
            <w:vAlign w:val="center"/>
          </w:tcPr>
          <w:p w14:paraId="2BF59FC2">
            <w:pPr>
              <w:pStyle w:val="16"/>
              <w:spacing w:before="130" w:line="228" w:lineRule="auto"/>
              <w:ind w:left="188"/>
              <w:jc w:val="center"/>
              <w:rPr>
                <w:sz w:val="24"/>
                <w:szCs w:val="24"/>
              </w:rPr>
            </w:pPr>
            <w:r>
              <w:rPr>
                <w:spacing w:val="8"/>
                <w:sz w:val="24"/>
                <w:szCs w:val="24"/>
              </w:rPr>
              <w:t>通过第一个信封详细评</w:t>
            </w:r>
            <w:r>
              <w:rPr>
                <w:spacing w:val="6"/>
                <w:sz w:val="24"/>
                <w:szCs w:val="24"/>
              </w:rPr>
              <w:t>审的投标人</w:t>
            </w:r>
            <w:r>
              <w:rPr>
                <w:spacing w:val="3"/>
                <w:sz w:val="24"/>
                <w:szCs w:val="24"/>
              </w:rPr>
              <w:t>数量</w:t>
            </w:r>
          </w:p>
        </w:tc>
        <w:tc>
          <w:tcPr>
            <w:tcW w:w="6230" w:type="dxa"/>
            <w:gridSpan w:val="7"/>
            <w:noWrap w:val="0"/>
            <w:vAlign w:val="center"/>
          </w:tcPr>
          <w:p w14:paraId="3EC1D887">
            <w:pPr>
              <w:pStyle w:val="16"/>
              <w:spacing w:before="65" w:line="221" w:lineRule="auto"/>
              <w:ind w:left="128"/>
              <w:jc w:val="center"/>
              <w:rPr>
                <w:sz w:val="24"/>
                <w:szCs w:val="24"/>
              </w:rPr>
            </w:pPr>
            <w:r>
              <w:rPr>
                <w:spacing w:val="9"/>
                <w:sz w:val="24"/>
                <w:szCs w:val="24"/>
              </w:rPr>
              <w:t>按照投</w:t>
            </w:r>
            <w:r>
              <w:rPr>
                <w:spacing w:val="9"/>
                <w:sz w:val="24"/>
                <w:szCs w:val="24"/>
                <w:highlight w:val="none"/>
              </w:rPr>
              <w:t>标人的商务和技术得分由高到低排序，选择前</w:t>
            </w:r>
            <w:r>
              <w:rPr>
                <w:rFonts w:hint="eastAsia"/>
                <w:spacing w:val="9"/>
                <w:sz w:val="24"/>
                <w:szCs w:val="24"/>
                <w:highlight w:val="none"/>
                <w:lang w:val="en-US" w:eastAsia="zh-CN"/>
              </w:rPr>
              <w:t>5</w:t>
            </w:r>
            <w:r>
              <w:rPr>
                <w:spacing w:val="9"/>
                <w:sz w:val="24"/>
                <w:szCs w:val="24"/>
                <w:highlight w:val="none"/>
              </w:rPr>
              <w:t>名</w:t>
            </w:r>
            <w:r>
              <w:rPr>
                <w:spacing w:val="7"/>
                <w:sz w:val="24"/>
                <w:szCs w:val="24"/>
                <w:highlight w:val="none"/>
              </w:rPr>
              <w:t>通过详细评审。</w:t>
            </w:r>
          </w:p>
        </w:tc>
      </w:tr>
      <w:tr w14:paraId="23466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261" w:type="dxa"/>
            <w:gridSpan w:val="11"/>
            <w:noWrap w:val="0"/>
            <w:vAlign w:val="center"/>
          </w:tcPr>
          <w:p w14:paraId="26BB5116">
            <w:pPr>
              <w:pStyle w:val="16"/>
              <w:spacing w:before="131" w:line="225" w:lineRule="auto"/>
              <w:ind w:left="2690"/>
              <w:jc w:val="center"/>
              <w:rPr>
                <w:sz w:val="24"/>
                <w:szCs w:val="24"/>
              </w:rPr>
            </w:pPr>
            <w:r>
              <w:rPr>
                <w:spacing w:val="9"/>
                <w:sz w:val="24"/>
                <w:szCs w:val="24"/>
              </w:rPr>
              <w:t>评分因素与权重分值</w:t>
            </w:r>
          </w:p>
        </w:tc>
        <w:tc>
          <w:tcPr>
            <w:tcW w:w="2629" w:type="dxa"/>
            <w:vMerge w:val="restart"/>
            <w:tcBorders>
              <w:bottom w:val="nil"/>
            </w:tcBorders>
            <w:noWrap w:val="0"/>
            <w:vAlign w:val="center"/>
          </w:tcPr>
          <w:p w14:paraId="5830818F">
            <w:pPr>
              <w:pStyle w:val="16"/>
              <w:spacing w:before="65" w:line="225" w:lineRule="auto"/>
              <w:ind w:left="190"/>
              <w:jc w:val="center"/>
              <w:rPr>
                <w:sz w:val="24"/>
                <w:szCs w:val="24"/>
              </w:rPr>
            </w:pPr>
            <w:r>
              <w:rPr>
                <w:spacing w:val="8"/>
                <w:sz w:val="24"/>
                <w:szCs w:val="24"/>
              </w:rPr>
              <w:t>评分标准</w:t>
            </w:r>
          </w:p>
        </w:tc>
      </w:tr>
      <w:tr w14:paraId="166C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929" w:type="dxa"/>
            <w:gridSpan w:val="3"/>
            <w:noWrap w:val="0"/>
            <w:vAlign w:val="center"/>
          </w:tcPr>
          <w:p w14:paraId="3937F2D7">
            <w:pPr>
              <w:pStyle w:val="16"/>
              <w:spacing w:before="265" w:line="228" w:lineRule="auto"/>
              <w:ind w:left="312"/>
              <w:jc w:val="center"/>
              <w:rPr>
                <w:sz w:val="24"/>
                <w:szCs w:val="24"/>
              </w:rPr>
            </w:pPr>
            <w:r>
              <w:rPr>
                <w:spacing w:val="6"/>
                <w:sz w:val="24"/>
                <w:szCs w:val="24"/>
              </w:rPr>
              <w:t>条款号</w:t>
            </w:r>
          </w:p>
        </w:tc>
        <w:tc>
          <w:tcPr>
            <w:tcW w:w="1731" w:type="dxa"/>
            <w:gridSpan w:val="2"/>
            <w:noWrap w:val="0"/>
            <w:vAlign w:val="center"/>
          </w:tcPr>
          <w:p w14:paraId="4949FE64">
            <w:pPr>
              <w:pStyle w:val="16"/>
              <w:spacing w:before="265" w:line="228" w:lineRule="auto"/>
              <w:jc w:val="center"/>
              <w:rPr>
                <w:sz w:val="24"/>
                <w:szCs w:val="24"/>
              </w:rPr>
            </w:pPr>
            <w:r>
              <w:rPr>
                <w:spacing w:val="7"/>
                <w:sz w:val="24"/>
                <w:szCs w:val="24"/>
              </w:rPr>
              <w:t>评分因素</w:t>
            </w:r>
          </w:p>
        </w:tc>
        <w:tc>
          <w:tcPr>
            <w:tcW w:w="1324" w:type="dxa"/>
            <w:gridSpan w:val="2"/>
            <w:noWrap w:val="0"/>
            <w:vAlign w:val="center"/>
          </w:tcPr>
          <w:p w14:paraId="4A188036">
            <w:pPr>
              <w:pStyle w:val="16"/>
              <w:spacing w:before="130" w:line="252" w:lineRule="auto"/>
              <w:ind w:left="114" w:right="179" w:hanging="1"/>
              <w:jc w:val="center"/>
              <w:rPr>
                <w:sz w:val="24"/>
                <w:szCs w:val="24"/>
              </w:rPr>
            </w:pPr>
            <w:r>
              <w:rPr>
                <w:spacing w:val="8"/>
                <w:sz w:val="24"/>
                <w:szCs w:val="24"/>
              </w:rPr>
              <w:t>评分因素权</w:t>
            </w:r>
            <w:r>
              <w:rPr>
                <w:spacing w:val="6"/>
                <w:sz w:val="24"/>
                <w:szCs w:val="24"/>
              </w:rPr>
              <w:t>重分值</w:t>
            </w:r>
          </w:p>
        </w:tc>
        <w:tc>
          <w:tcPr>
            <w:tcW w:w="1322" w:type="dxa"/>
            <w:gridSpan w:val="2"/>
            <w:noWrap w:val="0"/>
            <w:vAlign w:val="center"/>
          </w:tcPr>
          <w:p w14:paraId="4A9FE999">
            <w:pPr>
              <w:pStyle w:val="16"/>
              <w:spacing w:before="131" w:line="228" w:lineRule="auto"/>
              <w:ind w:left="120"/>
              <w:jc w:val="center"/>
              <w:rPr>
                <w:sz w:val="24"/>
                <w:szCs w:val="24"/>
              </w:rPr>
            </w:pPr>
            <w:r>
              <w:rPr>
                <w:spacing w:val="6"/>
                <w:sz w:val="24"/>
                <w:szCs w:val="24"/>
              </w:rPr>
              <w:t>各评分因素细分项</w:t>
            </w:r>
          </w:p>
        </w:tc>
        <w:tc>
          <w:tcPr>
            <w:tcW w:w="955" w:type="dxa"/>
            <w:gridSpan w:val="2"/>
            <w:noWrap w:val="0"/>
            <w:vAlign w:val="center"/>
          </w:tcPr>
          <w:p w14:paraId="6EBA0986">
            <w:pPr>
              <w:pStyle w:val="16"/>
              <w:spacing w:before="265" w:line="228" w:lineRule="auto"/>
              <w:ind w:left="332"/>
              <w:jc w:val="center"/>
              <w:rPr>
                <w:sz w:val="24"/>
                <w:szCs w:val="24"/>
              </w:rPr>
            </w:pPr>
            <w:r>
              <w:rPr>
                <w:spacing w:val="3"/>
                <w:sz w:val="24"/>
                <w:szCs w:val="24"/>
              </w:rPr>
              <w:t>分值</w:t>
            </w:r>
          </w:p>
        </w:tc>
        <w:tc>
          <w:tcPr>
            <w:tcW w:w="2629" w:type="dxa"/>
            <w:vMerge w:val="continue"/>
            <w:tcBorders>
              <w:top w:val="nil"/>
            </w:tcBorders>
            <w:noWrap w:val="0"/>
            <w:vAlign w:val="center"/>
          </w:tcPr>
          <w:p w14:paraId="4469CE08">
            <w:pPr>
              <w:jc w:val="center"/>
              <w:rPr>
                <w:rFonts w:ascii="Arial"/>
                <w:sz w:val="24"/>
                <w:szCs w:val="24"/>
              </w:rPr>
            </w:pPr>
          </w:p>
        </w:tc>
      </w:tr>
      <w:tr w14:paraId="14295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929" w:type="dxa"/>
            <w:gridSpan w:val="3"/>
            <w:vMerge w:val="restart"/>
            <w:noWrap w:val="0"/>
            <w:vAlign w:val="center"/>
          </w:tcPr>
          <w:p w14:paraId="2EF9B3F8">
            <w:pPr>
              <w:pStyle w:val="16"/>
              <w:spacing w:before="65"/>
              <w:ind w:left="116"/>
              <w:jc w:val="center"/>
              <w:rPr>
                <w:sz w:val="24"/>
                <w:szCs w:val="24"/>
              </w:rPr>
            </w:pPr>
            <w:r>
              <w:rPr>
                <w:spacing w:val="3"/>
                <w:sz w:val="24"/>
                <w:szCs w:val="24"/>
              </w:rPr>
              <w:t>2.2.2（1）</w:t>
            </w:r>
          </w:p>
        </w:tc>
        <w:tc>
          <w:tcPr>
            <w:tcW w:w="1731" w:type="dxa"/>
            <w:gridSpan w:val="2"/>
            <w:vMerge w:val="restart"/>
            <w:tcBorders>
              <w:bottom w:val="nil"/>
            </w:tcBorders>
            <w:noWrap w:val="0"/>
            <w:vAlign w:val="center"/>
          </w:tcPr>
          <w:p w14:paraId="67CA12E0">
            <w:pPr>
              <w:pStyle w:val="16"/>
              <w:spacing w:before="65" w:line="229" w:lineRule="auto"/>
              <w:jc w:val="center"/>
              <w:rPr>
                <w:sz w:val="24"/>
                <w:szCs w:val="24"/>
              </w:rPr>
            </w:pPr>
            <w:r>
              <w:rPr>
                <w:spacing w:val="8"/>
                <w:sz w:val="24"/>
                <w:szCs w:val="24"/>
              </w:rPr>
              <w:t>施工组织设计</w:t>
            </w:r>
          </w:p>
        </w:tc>
        <w:tc>
          <w:tcPr>
            <w:tcW w:w="1324" w:type="dxa"/>
            <w:gridSpan w:val="2"/>
            <w:vMerge w:val="restart"/>
            <w:tcBorders>
              <w:bottom w:val="nil"/>
            </w:tcBorders>
            <w:noWrap w:val="0"/>
            <w:vAlign w:val="center"/>
          </w:tcPr>
          <w:p w14:paraId="0C87A64A">
            <w:pPr>
              <w:pStyle w:val="16"/>
              <w:spacing w:before="65" w:line="268" w:lineRule="exact"/>
              <w:ind w:left="418"/>
              <w:jc w:val="center"/>
              <w:rPr>
                <w:sz w:val="24"/>
                <w:szCs w:val="24"/>
              </w:rPr>
            </w:pPr>
            <w:r>
              <w:rPr>
                <w:spacing w:val="2"/>
                <w:position w:val="1"/>
                <w:sz w:val="24"/>
                <w:szCs w:val="24"/>
              </w:rPr>
              <w:t>35.00</w:t>
            </w:r>
          </w:p>
        </w:tc>
        <w:tc>
          <w:tcPr>
            <w:tcW w:w="1322" w:type="dxa"/>
            <w:gridSpan w:val="2"/>
            <w:noWrap w:val="0"/>
            <w:vAlign w:val="center"/>
          </w:tcPr>
          <w:p w14:paraId="0BCFFB73">
            <w:pPr>
              <w:pStyle w:val="16"/>
              <w:spacing w:before="65" w:line="229" w:lineRule="auto"/>
              <w:ind w:left="119"/>
              <w:jc w:val="center"/>
              <w:rPr>
                <w:sz w:val="24"/>
                <w:szCs w:val="24"/>
              </w:rPr>
            </w:pPr>
            <w:r>
              <w:rPr>
                <w:spacing w:val="5"/>
                <w:sz w:val="24"/>
                <w:szCs w:val="24"/>
              </w:rPr>
              <w:t>总体施工</w:t>
            </w:r>
            <w:r>
              <w:rPr>
                <w:spacing w:val="6"/>
                <w:sz w:val="24"/>
                <w:szCs w:val="24"/>
              </w:rPr>
              <w:t>组织布置</w:t>
            </w:r>
            <w:r>
              <w:rPr>
                <w:spacing w:val="7"/>
                <w:sz w:val="24"/>
                <w:szCs w:val="24"/>
              </w:rPr>
              <w:t>及规划</w:t>
            </w:r>
          </w:p>
        </w:tc>
        <w:tc>
          <w:tcPr>
            <w:tcW w:w="955" w:type="dxa"/>
            <w:gridSpan w:val="2"/>
            <w:noWrap w:val="0"/>
            <w:vAlign w:val="center"/>
          </w:tcPr>
          <w:p w14:paraId="7C52DDDF">
            <w:pPr>
              <w:pStyle w:val="16"/>
              <w:spacing w:before="65" w:line="268" w:lineRule="exact"/>
              <w:ind w:left="387"/>
              <w:jc w:val="center"/>
              <w:rPr>
                <w:sz w:val="24"/>
                <w:szCs w:val="24"/>
              </w:rPr>
            </w:pPr>
            <w:r>
              <w:rPr>
                <w:spacing w:val="1"/>
                <w:position w:val="1"/>
                <w:sz w:val="24"/>
                <w:szCs w:val="24"/>
              </w:rPr>
              <w:t>5.0</w:t>
            </w:r>
          </w:p>
        </w:tc>
        <w:tc>
          <w:tcPr>
            <w:tcW w:w="2629" w:type="dxa"/>
            <w:noWrap w:val="0"/>
            <w:vAlign w:val="center"/>
          </w:tcPr>
          <w:p w14:paraId="18003677">
            <w:pPr>
              <w:pStyle w:val="16"/>
              <w:spacing w:before="129" w:line="228" w:lineRule="auto"/>
              <w:ind w:left="116"/>
              <w:jc w:val="center"/>
              <w:rPr>
                <w:sz w:val="24"/>
                <w:szCs w:val="24"/>
              </w:rPr>
            </w:pPr>
            <w:r>
              <w:rPr>
                <w:spacing w:val="16"/>
                <w:sz w:val="24"/>
                <w:szCs w:val="24"/>
              </w:rPr>
              <w:t>优：得4.5~</w:t>
            </w:r>
            <w:r>
              <w:rPr>
                <w:sz w:val="24"/>
                <w:szCs w:val="24"/>
              </w:rPr>
              <w:t>5.0分；</w:t>
            </w:r>
          </w:p>
          <w:p w14:paraId="58B6F21E">
            <w:pPr>
              <w:pStyle w:val="16"/>
              <w:spacing w:before="129" w:line="228" w:lineRule="auto"/>
              <w:ind w:left="116"/>
              <w:jc w:val="center"/>
              <w:rPr>
                <w:spacing w:val="1"/>
                <w:sz w:val="24"/>
                <w:szCs w:val="24"/>
              </w:rPr>
            </w:pPr>
            <w:r>
              <w:rPr>
                <w:spacing w:val="10"/>
                <w:sz w:val="24"/>
                <w:szCs w:val="24"/>
              </w:rPr>
              <w:t>良：得3.5~</w:t>
            </w:r>
            <w:r>
              <w:rPr>
                <w:spacing w:val="1"/>
                <w:sz w:val="24"/>
                <w:szCs w:val="24"/>
              </w:rPr>
              <w:t>4.5分；</w:t>
            </w:r>
          </w:p>
          <w:p w14:paraId="19A33954">
            <w:pPr>
              <w:pStyle w:val="16"/>
              <w:spacing w:before="129" w:line="228" w:lineRule="auto"/>
              <w:ind w:left="116"/>
              <w:jc w:val="center"/>
              <w:rPr>
                <w:sz w:val="24"/>
                <w:szCs w:val="24"/>
              </w:rPr>
            </w:pPr>
            <w:r>
              <w:rPr>
                <w:spacing w:val="12"/>
                <w:sz w:val="24"/>
                <w:szCs w:val="24"/>
              </w:rPr>
              <w:t>中：得3.0~</w:t>
            </w:r>
            <w:r>
              <w:rPr>
                <w:sz w:val="24"/>
                <w:szCs w:val="24"/>
              </w:rPr>
              <w:t>3.5分；</w:t>
            </w:r>
          </w:p>
          <w:p w14:paraId="7A5D5815">
            <w:pPr>
              <w:pStyle w:val="16"/>
              <w:spacing w:before="129" w:line="228" w:lineRule="auto"/>
              <w:ind w:left="116"/>
              <w:jc w:val="center"/>
              <w:rPr>
                <w:sz w:val="24"/>
                <w:szCs w:val="24"/>
              </w:rPr>
            </w:pPr>
            <w:r>
              <w:rPr>
                <w:spacing w:val="-2"/>
                <w:sz w:val="24"/>
                <w:szCs w:val="24"/>
              </w:rPr>
              <w:t>差：评分低于</w:t>
            </w:r>
            <w:r>
              <w:rPr>
                <w:spacing w:val="3"/>
                <w:sz w:val="24"/>
                <w:szCs w:val="24"/>
              </w:rPr>
              <w:t>3.0分，且作</w:t>
            </w:r>
            <w:r>
              <w:rPr>
                <w:spacing w:val="1"/>
                <w:sz w:val="24"/>
                <w:szCs w:val="24"/>
              </w:rPr>
              <w:t>出评审说明。</w:t>
            </w:r>
          </w:p>
        </w:tc>
      </w:tr>
      <w:tr w14:paraId="74F00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929" w:type="dxa"/>
            <w:gridSpan w:val="3"/>
            <w:vMerge w:val="continue"/>
            <w:noWrap w:val="0"/>
            <w:vAlign w:val="center"/>
          </w:tcPr>
          <w:p w14:paraId="2AE8A0A8">
            <w:pPr>
              <w:jc w:val="center"/>
              <w:rPr>
                <w:rFonts w:ascii="Arial"/>
                <w:sz w:val="24"/>
                <w:szCs w:val="24"/>
              </w:rPr>
            </w:pPr>
          </w:p>
        </w:tc>
        <w:tc>
          <w:tcPr>
            <w:tcW w:w="1731" w:type="dxa"/>
            <w:gridSpan w:val="2"/>
            <w:vMerge w:val="continue"/>
            <w:tcBorders>
              <w:top w:val="nil"/>
              <w:bottom w:val="nil"/>
            </w:tcBorders>
            <w:noWrap w:val="0"/>
            <w:vAlign w:val="center"/>
          </w:tcPr>
          <w:p w14:paraId="2FFDB679">
            <w:pPr>
              <w:jc w:val="center"/>
              <w:rPr>
                <w:rFonts w:ascii="Arial"/>
                <w:sz w:val="24"/>
                <w:szCs w:val="24"/>
              </w:rPr>
            </w:pPr>
          </w:p>
        </w:tc>
        <w:tc>
          <w:tcPr>
            <w:tcW w:w="1324" w:type="dxa"/>
            <w:gridSpan w:val="2"/>
            <w:vMerge w:val="continue"/>
            <w:tcBorders>
              <w:top w:val="nil"/>
              <w:bottom w:val="nil"/>
            </w:tcBorders>
            <w:noWrap w:val="0"/>
            <w:vAlign w:val="center"/>
          </w:tcPr>
          <w:p w14:paraId="46690D8E">
            <w:pPr>
              <w:jc w:val="center"/>
              <w:rPr>
                <w:rFonts w:ascii="Arial"/>
                <w:sz w:val="24"/>
                <w:szCs w:val="24"/>
              </w:rPr>
            </w:pPr>
          </w:p>
        </w:tc>
        <w:tc>
          <w:tcPr>
            <w:tcW w:w="1322" w:type="dxa"/>
            <w:gridSpan w:val="2"/>
            <w:noWrap w:val="0"/>
            <w:vAlign w:val="center"/>
          </w:tcPr>
          <w:p w14:paraId="7875FD7E">
            <w:pPr>
              <w:pStyle w:val="16"/>
              <w:spacing w:before="65" w:line="228" w:lineRule="auto"/>
              <w:ind w:left="116"/>
              <w:jc w:val="center"/>
              <w:rPr>
                <w:sz w:val="24"/>
                <w:szCs w:val="24"/>
              </w:rPr>
            </w:pPr>
            <w:r>
              <w:rPr>
                <w:spacing w:val="5"/>
                <w:sz w:val="24"/>
                <w:szCs w:val="24"/>
              </w:rPr>
              <w:t>项目重</w:t>
            </w:r>
            <w:r>
              <w:rPr>
                <w:spacing w:val="4"/>
                <w:sz w:val="24"/>
                <w:szCs w:val="24"/>
              </w:rPr>
              <w:t>点、难点</w:t>
            </w:r>
            <w:r>
              <w:rPr>
                <w:spacing w:val="6"/>
                <w:sz w:val="24"/>
                <w:szCs w:val="24"/>
              </w:rPr>
              <w:t>工程的施工方案及</w:t>
            </w:r>
            <w:r>
              <w:rPr>
                <w:spacing w:val="7"/>
                <w:sz w:val="24"/>
                <w:szCs w:val="24"/>
              </w:rPr>
              <w:t>技术措施</w:t>
            </w:r>
          </w:p>
        </w:tc>
        <w:tc>
          <w:tcPr>
            <w:tcW w:w="955" w:type="dxa"/>
            <w:gridSpan w:val="2"/>
            <w:noWrap w:val="0"/>
            <w:vAlign w:val="center"/>
          </w:tcPr>
          <w:p w14:paraId="1C265206">
            <w:pPr>
              <w:pStyle w:val="16"/>
              <w:spacing w:before="65" w:line="268" w:lineRule="exact"/>
              <w:ind w:left="387"/>
              <w:jc w:val="center"/>
              <w:rPr>
                <w:sz w:val="24"/>
                <w:szCs w:val="24"/>
              </w:rPr>
            </w:pPr>
            <w:r>
              <w:rPr>
                <w:position w:val="1"/>
                <w:sz w:val="24"/>
                <w:szCs w:val="24"/>
              </w:rPr>
              <w:t>7.0</w:t>
            </w:r>
          </w:p>
        </w:tc>
        <w:tc>
          <w:tcPr>
            <w:tcW w:w="2629" w:type="dxa"/>
            <w:noWrap w:val="0"/>
            <w:vAlign w:val="center"/>
          </w:tcPr>
          <w:p w14:paraId="072997D8">
            <w:pPr>
              <w:pStyle w:val="16"/>
              <w:spacing w:before="131" w:line="228" w:lineRule="auto"/>
              <w:ind w:left="116"/>
              <w:jc w:val="center"/>
              <w:rPr>
                <w:sz w:val="24"/>
                <w:szCs w:val="24"/>
              </w:rPr>
            </w:pPr>
            <w:r>
              <w:rPr>
                <w:spacing w:val="15"/>
                <w:sz w:val="24"/>
                <w:szCs w:val="24"/>
              </w:rPr>
              <w:t>优：得6.3~</w:t>
            </w:r>
            <w:r>
              <w:rPr>
                <w:sz w:val="24"/>
                <w:szCs w:val="24"/>
              </w:rPr>
              <w:t>7.0分；</w:t>
            </w:r>
          </w:p>
          <w:p w14:paraId="1C25A9BF">
            <w:pPr>
              <w:pStyle w:val="16"/>
              <w:spacing w:before="131" w:line="228" w:lineRule="auto"/>
              <w:ind w:left="116"/>
              <w:jc w:val="center"/>
              <w:rPr>
                <w:sz w:val="24"/>
                <w:szCs w:val="24"/>
              </w:rPr>
            </w:pPr>
            <w:r>
              <w:rPr>
                <w:spacing w:val="11"/>
                <w:sz w:val="24"/>
                <w:szCs w:val="24"/>
              </w:rPr>
              <w:t>良：得4.9~</w:t>
            </w:r>
            <w:r>
              <w:rPr>
                <w:sz w:val="24"/>
                <w:szCs w:val="24"/>
              </w:rPr>
              <w:t>6.3分；</w:t>
            </w:r>
          </w:p>
          <w:p w14:paraId="79697F23">
            <w:pPr>
              <w:pStyle w:val="16"/>
              <w:spacing w:before="131" w:line="228" w:lineRule="auto"/>
              <w:ind w:left="116"/>
              <w:jc w:val="center"/>
              <w:rPr>
                <w:spacing w:val="1"/>
                <w:sz w:val="24"/>
                <w:szCs w:val="24"/>
              </w:rPr>
            </w:pPr>
            <w:r>
              <w:rPr>
                <w:spacing w:val="13"/>
                <w:sz w:val="24"/>
                <w:szCs w:val="24"/>
              </w:rPr>
              <w:t>中：得4.2~</w:t>
            </w:r>
            <w:r>
              <w:rPr>
                <w:spacing w:val="1"/>
                <w:sz w:val="24"/>
                <w:szCs w:val="24"/>
              </w:rPr>
              <w:t>4.9分；</w:t>
            </w:r>
          </w:p>
          <w:p w14:paraId="174D9B40">
            <w:pPr>
              <w:pStyle w:val="16"/>
              <w:spacing w:before="131" w:line="228" w:lineRule="auto"/>
              <w:ind w:left="116"/>
              <w:jc w:val="center"/>
              <w:rPr>
                <w:sz w:val="24"/>
                <w:szCs w:val="24"/>
              </w:rPr>
            </w:pPr>
            <w:r>
              <w:rPr>
                <w:spacing w:val="-2"/>
                <w:sz w:val="24"/>
                <w:szCs w:val="24"/>
              </w:rPr>
              <w:t>差：评分低于</w:t>
            </w:r>
            <w:r>
              <w:rPr>
                <w:spacing w:val="4"/>
                <w:sz w:val="24"/>
                <w:szCs w:val="24"/>
              </w:rPr>
              <w:t>4.2分，且作</w:t>
            </w:r>
            <w:r>
              <w:rPr>
                <w:spacing w:val="3"/>
                <w:sz w:val="24"/>
                <w:szCs w:val="24"/>
              </w:rPr>
              <w:t>出评审说明。</w:t>
            </w:r>
          </w:p>
        </w:tc>
      </w:tr>
      <w:tr w14:paraId="4C51F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3" w:hRule="atLeast"/>
        </w:trPr>
        <w:tc>
          <w:tcPr>
            <w:tcW w:w="929" w:type="dxa"/>
            <w:gridSpan w:val="3"/>
            <w:vMerge w:val="continue"/>
            <w:noWrap w:val="0"/>
            <w:vAlign w:val="center"/>
          </w:tcPr>
          <w:p w14:paraId="2CCCB2B7">
            <w:pPr>
              <w:jc w:val="center"/>
              <w:rPr>
                <w:rFonts w:ascii="Arial"/>
                <w:sz w:val="24"/>
                <w:szCs w:val="24"/>
              </w:rPr>
            </w:pPr>
          </w:p>
        </w:tc>
        <w:tc>
          <w:tcPr>
            <w:tcW w:w="1731" w:type="dxa"/>
            <w:gridSpan w:val="2"/>
            <w:vMerge w:val="continue"/>
            <w:tcBorders>
              <w:top w:val="nil"/>
            </w:tcBorders>
            <w:noWrap w:val="0"/>
            <w:vAlign w:val="center"/>
          </w:tcPr>
          <w:p w14:paraId="08D154F7">
            <w:pPr>
              <w:jc w:val="center"/>
              <w:rPr>
                <w:rFonts w:ascii="Arial"/>
                <w:sz w:val="24"/>
                <w:szCs w:val="24"/>
              </w:rPr>
            </w:pPr>
          </w:p>
        </w:tc>
        <w:tc>
          <w:tcPr>
            <w:tcW w:w="1324" w:type="dxa"/>
            <w:gridSpan w:val="2"/>
            <w:vMerge w:val="continue"/>
            <w:tcBorders>
              <w:top w:val="nil"/>
            </w:tcBorders>
            <w:noWrap w:val="0"/>
            <w:vAlign w:val="center"/>
          </w:tcPr>
          <w:p w14:paraId="279244FC">
            <w:pPr>
              <w:jc w:val="center"/>
              <w:rPr>
                <w:rFonts w:ascii="Arial"/>
                <w:sz w:val="24"/>
                <w:szCs w:val="24"/>
              </w:rPr>
            </w:pPr>
          </w:p>
        </w:tc>
        <w:tc>
          <w:tcPr>
            <w:tcW w:w="1322" w:type="dxa"/>
            <w:gridSpan w:val="2"/>
            <w:noWrap w:val="0"/>
            <w:vAlign w:val="center"/>
          </w:tcPr>
          <w:p w14:paraId="28350972">
            <w:pPr>
              <w:pStyle w:val="16"/>
              <w:spacing w:before="65" w:line="228" w:lineRule="auto"/>
              <w:ind w:left="116"/>
              <w:jc w:val="center"/>
              <w:rPr>
                <w:sz w:val="24"/>
                <w:szCs w:val="24"/>
              </w:rPr>
            </w:pPr>
            <w:r>
              <w:rPr>
                <w:spacing w:val="6"/>
                <w:sz w:val="24"/>
                <w:szCs w:val="24"/>
              </w:rPr>
              <w:t>工程质量管理体系</w:t>
            </w:r>
            <w:r>
              <w:rPr>
                <w:spacing w:val="7"/>
                <w:sz w:val="24"/>
                <w:szCs w:val="24"/>
              </w:rPr>
              <w:t>及保证措</w:t>
            </w:r>
            <w:r>
              <w:rPr>
                <w:spacing w:val="1"/>
                <w:sz w:val="24"/>
                <w:szCs w:val="24"/>
              </w:rPr>
              <w:t>施</w:t>
            </w:r>
          </w:p>
        </w:tc>
        <w:tc>
          <w:tcPr>
            <w:tcW w:w="955" w:type="dxa"/>
            <w:gridSpan w:val="2"/>
            <w:noWrap w:val="0"/>
            <w:vAlign w:val="center"/>
          </w:tcPr>
          <w:p w14:paraId="373D4C86">
            <w:pPr>
              <w:pStyle w:val="16"/>
              <w:spacing w:before="65" w:line="267" w:lineRule="exact"/>
              <w:ind w:left="387"/>
              <w:jc w:val="center"/>
              <w:rPr>
                <w:sz w:val="24"/>
                <w:szCs w:val="24"/>
              </w:rPr>
            </w:pPr>
            <w:r>
              <w:rPr>
                <w:spacing w:val="1"/>
                <w:position w:val="1"/>
                <w:sz w:val="24"/>
                <w:szCs w:val="24"/>
              </w:rPr>
              <w:t>5.0</w:t>
            </w:r>
          </w:p>
        </w:tc>
        <w:tc>
          <w:tcPr>
            <w:tcW w:w="2629" w:type="dxa"/>
            <w:noWrap w:val="0"/>
            <w:vAlign w:val="center"/>
          </w:tcPr>
          <w:p w14:paraId="34043BF5">
            <w:pPr>
              <w:pStyle w:val="16"/>
              <w:spacing w:before="133" w:line="228" w:lineRule="auto"/>
              <w:ind w:left="116"/>
              <w:jc w:val="center"/>
              <w:rPr>
                <w:sz w:val="24"/>
                <w:szCs w:val="24"/>
              </w:rPr>
            </w:pPr>
            <w:r>
              <w:rPr>
                <w:spacing w:val="16"/>
                <w:sz w:val="24"/>
                <w:szCs w:val="24"/>
              </w:rPr>
              <w:t>优：得4.5~</w:t>
            </w:r>
            <w:r>
              <w:rPr>
                <w:sz w:val="24"/>
                <w:szCs w:val="24"/>
              </w:rPr>
              <w:t>5.0分；</w:t>
            </w:r>
          </w:p>
          <w:p w14:paraId="61AE570E">
            <w:pPr>
              <w:pStyle w:val="16"/>
              <w:spacing w:before="133" w:line="228" w:lineRule="auto"/>
              <w:ind w:left="116"/>
              <w:jc w:val="center"/>
              <w:rPr>
                <w:spacing w:val="1"/>
                <w:sz w:val="24"/>
                <w:szCs w:val="24"/>
              </w:rPr>
            </w:pPr>
            <w:r>
              <w:rPr>
                <w:spacing w:val="10"/>
                <w:sz w:val="24"/>
                <w:szCs w:val="24"/>
              </w:rPr>
              <w:t>良：得3.5~</w:t>
            </w:r>
            <w:r>
              <w:rPr>
                <w:spacing w:val="1"/>
                <w:sz w:val="24"/>
                <w:szCs w:val="24"/>
              </w:rPr>
              <w:t>4.5分；</w:t>
            </w:r>
          </w:p>
          <w:p w14:paraId="2AE9D91C">
            <w:pPr>
              <w:pStyle w:val="16"/>
              <w:spacing w:before="133" w:line="228" w:lineRule="auto"/>
              <w:ind w:left="116"/>
              <w:jc w:val="center"/>
              <w:rPr>
                <w:sz w:val="24"/>
                <w:szCs w:val="24"/>
              </w:rPr>
            </w:pPr>
            <w:r>
              <w:rPr>
                <w:spacing w:val="12"/>
                <w:sz w:val="24"/>
                <w:szCs w:val="24"/>
              </w:rPr>
              <w:t>中：得3.0~</w:t>
            </w:r>
            <w:r>
              <w:rPr>
                <w:sz w:val="24"/>
                <w:szCs w:val="24"/>
              </w:rPr>
              <w:t>3.5分；</w:t>
            </w:r>
          </w:p>
          <w:p w14:paraId="33A3F9D1">
            <w:pPr>
              <w:pStyle w:val="16"/>
              <w:spacing w:before="133" w:line="228" w:lineRule="auto"/>
              <w:ind w:left="116"/>
              <w:jc w:val="center"/>
              <w:rPr>
                <w:sz w:val="24"/>
                <w:szCs w:val="24"/>
              </w:rPr>
            </w:pPr>
            <w:r>
              <w:rPr>
                <w:spacing w:val="-2"/>
                <w:sz w:val="24"/>
                <w:szCs w:val="24"/>
              </w:rPr>
              <w:t>差：评分低于</w:t>
            </w:r>
            <w:r>
              <w:rPr>
                <w:spacing w:val="3"/>
                <w:sz w:val="24"/>
                <w:szCs w:val="24"/>
              </w:rPr>
              <w:t>3.0分，且作出评审说明。</w:t>
            </w:r>
          </w:p>
        </w:tc>
      </w:tr>
      <w:tr w14:paraId="66218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042" w:hRule="atLeast"/>
        </w:trPr>
        <w:tc>
          <w:tcPr>
            <w:tcW w:w="927" w:type="dxa"/>
            <w:gridSpan w:val="2"/>
            <w:vMerge w:val="restart"/>
            <w:noWrap w:val="0"/>
            <w:vAlign w:val="center"/>
          </w:tcPr>
          <w:p w14:paraId="5080487A">
            <w:pPr>
              <w:jc w:val="center"/>
              <w:rPr>
                <w:rFonts w:ascii="Arial"/>
                <w:sz w:val="24"/>
                <w:szCs w:val="24"/>
              </w:rPr>
            </w:pPr>
          </w:p>
        </w:tc>
        <w:tc>
          <w:tcPr>
            <w:tcW w:w="1731" w:type="dxa"/>
            <w:gridSpan w:val="2"/>
            <w:vMerge w:val="continue"/>
            <w:tcBorders>
              <w:top w:val="nil"/>
              <w:bottom w:val="nil"/>
            </w:tcBorders>
            <w:noWrap w:val="0"/>
            <w:vAlign w:val="center"/>
          </w:tcPr>
          <w:p w14:paraId="20B9E3CE">
            <w:pPr>
              <w:jc w:val="center"/>
              <w:rPr>
                <w:rFonts w:ascii="Arial"/>
                <w:sz w:val="24"/>
                <w:szCs w:val="24"/>
              </w:rPr>
            </w:pPr>
          </w:p>
        </w:tc>
        <w:tc>
          <w:tcPr>
            <w:tcW w:w="1324" w:type="dxa"/>
            <w:gridSpan w:val="2"/>
            <w:vMerge w:val="continue"/>
            <w:tcBorders>
              <w:top w:val="nil"/>
              <w:bottom w:val="nil"/>
            </w:tcBorders>
            <w:noWrap w:val="0"/>
            <w:vAlign w:val="center"/>
          </w:tcPr>
          <w:p w14:paraId="3133DAB4">
            <w:pPr>
              <w:jc w:val="center"/>
              <w:rPr>
                <w:rFonts w:ascii="Arial"/>
                <w:sz w:val="24"/>
                <w:szCs w:val="24"/>
              </w:rPr>
            </w:pPr>
          </w:p>
        </w:tc>
        <w:tc>
          <w:tcPr>
            <w:tcW w:w="1322" w:type="dxa"/>
            <w:gridSpan w:val="2"/>
            <w:noWrap w:val="0"/>
            <w:vAlign w:val="center"/>
          </w:tcPr>
          <w:p w14:paraId="26C30778">
            <w:pPr>
              <w:pStyle w:val="16"/>
              <w:spacing w:before="65" w:line="252" w:lineRule="auto"/>
              <w:ind w:left="113" w:right="116" w:firstLine="2"/>
              <w:jc w:val="center"/>
              <w:rPr>
                <w:sz w:val="24"/>
                <w:szCs w:val="24"/>
              </w:rPr>
            </w:pPr>
            <w:r>
              <w:rPr>
                <w:spacing w:val="6"/>
                <w:sz w:val="24"/>
                <w:szCs w:val="24"/>
              </w:rPr>
              <w:t>工期保证</w:t>
            </w:r>
            <w:r>
              <w:rPr>
                <w:spacing w:val="4"/>
                <w:sz w:val="24"/>
                <w:szCs w:val="24"/>
              </w:rPr>
              <w:t>措施</w:t>
            </w:r>
          </w:p>
        </w:tc>
        <w:tc>
          <w:tcPr>
            <w:tcW w:w="955" w:type="dxa"/>
            <w:gridSpan w:val="2"/>
            <w:noWrap w:val="0"/>
            <w:vAlign w:val="center"/>
          </w:tcPr>
          <w:p w14:paraId="1F5443BF">
            <w:pPr>
              <w:pStyle w:val="16"/>
              <w:spacing w:before="65" w:line="268" w:lineRule="exact"/>
              <w:ind w:left="387"/>
              <w:jc w:val="center"/>
              <w:rPr>
                <w:sz w:val="24"/>
                <w:szCs w:val="24"/>
              </w:rPr>
            </w:pPr>
            <w:r>
              <w:rPr>
                <w:spacing w:val="1"/>
                <w:position w:val="1"/>
                <w:sz w:val="24"/>
                <w:szCs w:val="24"/>
              </w:rPr>
              <w:t>5.0</w:t>
            </w:r>
          </w:p>
        </w:tc>
        <w:tc>
          <w:tcPr>
            <w:tcW w:w="2629" w:type="dxa"/>
            <w:noWrap w:val="0"/>
            <w:vAlign w:val="center"/>
          </w:tcPr>
          <w:p w14:paraId="47829ED5">
            <w:pPr>
              <w:pStyle w:val="16"/>
              <w:spacing w:before="129" w:line="228" w:lineRule="auto"/>
              <w:ind w:left="116"/>
              <w:jc w:val="center"/>
              <w:rPr>
                <w:sz w:val="24"/>
                <w:szCs w:val="24"/>
              </w:rPr>
            </w:pPr>
            <w:r>
              <w:rPr>
                <w:spacing w:val="16"/>
                <w:sz w:val="24"/>
                <w:szCs w:val="24"/>
              </w:rPr>
              <w:t>优：得4.5~</w:t>
            </w:r>
            <w:r>
              <w:rPr>
                <w:sz w:val="24"/>
                <w:szCs w:val="24"/>
              </w:rPr>
              <w:t>5.0分；</w:t>
            </w:r>
          </w:p>
          <w:p w14:paraId="01E12FC9">
            <w:pPr>
              <w:pStyle w:val="16"/>
              <w:spacing w:before="129" w:line="228" w:lineRule="auto"/>
              <w:ind w:left="116"/>
              <w:jc w:val="center"/>
              <w:rPr>
                <w:spacing w:val="1"/>
                <w:sz w:val="24"/>
                <w:szCs w:val="24"/>
              </w:rPr>
            </w:pPr>
            <w:r>
              <w:rPr>
                <w:spacing w:val="10"/>
                <w:sz w:val="24"/>
                <w:szCs w:val="24"/>
              </w:rPr>
              <w:t>良：得3.5~</w:t>
            </w:r>
            <w:r>
              <w:rPr>
                <w:spacing w:val="1"/>
                <w:sz w:val="24"/>
                <w:szCs w:val="24"/>
              </w:rPr>
              <w:t>4.5分；</w:t>
            </w:r>
          </w:p>
          <w:p w14:paraId="47A2970D">
            <w:pPr>
              <w:pStyle w:val="16"/>
              <w:spacing w:before="129" w:line="228" w:lineRule="auto"/>
              <w:ind w:left="116"/>
              <w:jc w:val="center"/>
              <w:rPr>
                <w:sz w:val="24"/>
                <w:szCs w:val="24"/>
              </w:rPr>
            </w:pPr>
            <w:r>
              <w:rPr>
                <w:spacing w:val="12"/>
                <w:sz w:val="24"/>
                <w:szCs w:val="24"/>
              </w:rPr>
              <w:t>中：得3.0~</w:t>
            </w:r>
            <w:r>
              <w:rPr>
                <w:sz w:val="24"/>
                <w:szCs w:val="24"/>
              </w:rPr>
              <w:t>3.5分；</w:t>
            </w:r>
          </w:p>
          <w:p w14:paraId="2D1713DA">
            <w:pPr>
              <w:pStyle w:val="16"/>
              <w:spacing w:before="129" w:line="228" w:lineRule="auto"/>
              <w:ind w:left="116"/>
              <w:jc w:val="center"/>
              <w:rPr>
                <w:sz w:val="24"/>
                <w:szCs w:val="24"/>
              </w:rPr>
            </w:pPr>
            <w:r>
              <w:rPr>
                <w:spacing w:val="-2"/>
                <w:sz w:val="24"/>
                <w:szCs w:val="24"/>
              </w:rPr>
              <w:t>差：评分低于</w:t>
            </w:r>
            <w:r>
              <w:rPr>
                <w:spacing w:val="3"/>
                <w:sz w:val="24"/>
                <w:szCs w:val="24"/>
              </w:rPr>
              <w:t>3.0分，且作</w:t>
            </w:r>
            <w:r>
              <w:rPr>
                <w:spacing w:val="1"/>
                <w:sz w:val="24"/>
                <w:szCs w:val="24"/>
              </w:rPr>
              <w:t>出评审说明。</w:t>
            </w:r>
          </w:p>
        </w:tc>
      </w:tr>
      <w:tr w14:paraId="1B481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042" w:hRule="atLeast"/>
        </w:trPr>
        <w:tc>
          <w:tcPr>
            <w:tcW w:w="927" w:type="dxa"/>
            <w:gridSpan w:val="2"/>
            <w:vMerge w:val="continue"/>
            <w:noWrap w:val="0"/>
            <w:vAlign w:val="center"/>
          </w:tcPr>
          <w:p w14:paraId="6DC00249">
            <w:pPr>
              <w:jc w:val="center"/>
              <w:rPr>
                <w:rFonts w:ascii="Arial"/>
                <w:sz w:val="24"/>
                <w:szCs w:val="24"/>
              </w:rPr>
            </w:pPr>
          </w:p>
        </w:tc>
        <w:tc>
          <w:tcPr>
            <w:tcW w:w="1731" w:type="dxa"/>
            <w:gridSpan w:val="2"/>
            <w:vMerge w:val="continue"/>
            <w:tcBorders>
              <w:top w:val="nil"/>
              <w:bottom w:val="nil"/>
            </w:tcBorders>
            <w:noWrap w:val="0"/>
            <w:vAlign w:val="center"/>
          </w:tcPr>
          <w:p w14:paraId="6A0A25A4">
            <w:pPr>
              <w:jc w:val="center"/>
              <w:rPr>
                <w:rFonts w:ascii="Arial"/>
                <w:sz w:val="24"/>
                <w:szCs w:val="24"/>
              </w:rPr>
            </w:pPr>
          </w:p>
        </w:tc>
        <w:tc>
          <w:tcPr>
            <w:tcW w:w="1324" w:type="dxa"/>
            <w:gridSpan w:val="2"/>
            <w:vMerge w:val="continue"/>
            <w:tcBorders>
              <w:top w:val="nil"/>
              <w:bottom w:val="nil"/>
            </w:tcBorders>
            <w:noWrap w:val="0"/>
            <w:vAlign w:val="center"/>
          </w:tcPr>
          <w:p w14:paraId="65F18068">
            <w:pPr>
              <w:jc w:val="center"/>
              <w:rPr>
                <w:rFonts w:ascii="Arial"/>
                <w:sz w:val="24"/>
                <w:szCs w:val="24"/>
              </w:rPr>
            </w:pPr>
          </w:p>
        </w:tc>
        <w:tc>
          <w:tcPr>
            <w:tcW w:w="1322" w:type="dxa"/>
            <w:gridSpan w:val="2"/>
            <w:noWrap w:val="0"/>
            <w:vAlign w:val="center"/>
          </w:tcPr>
          <w:p w14:paraId="0D95C25E">
            <w:pPr>
              <w:pStyle w:val="16"/>
              <w:spacing w:before="65" w:line="228" w:lineRule="auto"/>
              <w:ind w:left="117"/>
              <w:jc w:val="center"/>
              <w:rPr>
                <w:sz w:val="24"/>
                <w:szCs w:val="24"/>
              </w:rPr>
            </w:pPr>
            <w:r>
              <w:rPr>
                <w:spacing w:val="6"/>
                <w:sz w:val="24"/>
                <w:szCs w:val="24"/>
              </w:rPr>
              <w:t>安全生产</w:t>
            </w:r>
            <w:r>
              <w:rPr>
                <w:spacing w:val="7"/>
                <w:sz w:val="24"/>
                <w:szCs w:val="24"/>
              </w:rPr>
              <w:t>保证措施</w:t>
            </w:r>
          </w:p>
        </w:tc>
        <w:tc>
          <w:tcPr>
            <w:tcW w:w="955" w:type="dxa"/>
            <w:gridSpan w:val="2"/>
            <w:noWrap w:val="0"/>
            <w:vAlign w:val="center"/>
          </w:tcPr>
          <w:p w14:paraId="6A85C200">
            <w:pPr>
              <w:pStyle w:val="16"/>
              <w:spacing w:before="65" w:line="267" w:lineRule="exact"/>
              <w:ind w:left="387"/>
              <w:jc w:val="center"/>
              <w:rPr>
                <w:sz w:val="24"/>
                <w:szCs w:val="24"/>
              </w:rPr>
            </w:pPr>
            <w:r>
              <w:rPr>
                <w:spacing w:val="1"/>
                <w:position w:val="1"/>
                <w:sz w:val="24"/>
                <w:szCs w:val="24"/>
              </w:rPr>
              <w:t>3.0</w:t>
            </w:r>
          </w:p>
        </w:tc>
        <w:tc>
          <w:tcPr>
            <w:tcW w:w="2629" w:type="dxa"/>
            <w:noWrap w:val="0"/>
            <w:vAlign w:val="center"/>
          </w:tcPr>
          <w:p w14:paraId="610E8770">
            <w:pPr>
              <w:pStyle w:val="16"/>
              <w:spacing w:before="129" w:line="228" w:lineRule="auto"/>
              <w:ind w:left="116"/>
              <w:jc w:val="center"/>
              <w:rPr>
                <w:sz w:val="24"/>
                <w:szCs w:val="24"/>
              </w:rPr>
            </w:pPr>
            <w:r>
              <w:rPr>
                <w:spacing w:val="15"/>
                <w:sz w:val="24"/>
                <w:szCs w:val="24"/>
              </w:rPr>
              <w:t>优：得2.7~</w:t>
            </w:r>
            <w:r>
              <w:rPr>
                <w:sz w:val="24"/>
                <w:szCs w:val="24"/>
              </w:rPr>
              <w:t>3.0分；</w:t>
            </w:r>
          </w:p>
          <w:p w14:paraId="0F6D35A5">
            <w:pPr>
              <w:pStyle w:val="16"/>
              <w:spacing w:before="129" w:line="228" w:lineRule="auto"/>
              <w:ind w:left="116"/>
              <w:jc w:val="center"/>
              <w:rPr>
                <w:sz w:val="24"/>
                <w:szCs w:val="24"/>
              </w:rPr>
            </w:pPr>
            <w:r>
              <w:rPr>
                <w:spacing w:val="10"/>
                <w:sz w:val="24"/>
                <w:szCs w:val="24"/>
              </w:rPr>
              <w:t>良：得2.1~</w:t>
            </w:r>
            <w:r>
              <w:rPr>
                <w:sz w:val="24"/>
                <w:szCs w:val="24"/>
              </w:rPr>
              <w:t>2.7分；</w:t>
            </w:r>
          </w:p>
          <w:p w14:paraId="704B9A8E">
            <w:pPr>
              <w:pStyle w:val="16"/>
              <w:spacing w:before="129" w:line="228" w:lineRule="auto"/>
              <w:ind w:left="116"/>
              <w:jc w:val="center"/>
              <w:rPr>
                <w:sz w:val="24"/>
                <w:szCs w:val="24"/>
              </w:rPr>
            </w:pPr>
            <w:r>
              <w:rPr>
                <w:spacing w:val="10"/>
                <w:sz w:val="24"/>
                <w:szCs w:val="24"/>
              </w:rPr>
              <w:t>中：得1.8~</w:t>
            </w:r>
            <w:r>
              <w:rPr>
                <w:sz w:val="24"/>
                <w:szCs w:val="24"/>
              </w:rPr>
              <w:t>2.1分；</w:t>
            </w:r>
          </w:p>
          <w:p w14:paraId="70178C3C">
            <w:pPr>
              <w:pStyle w:val="16"/>
              <w:spacing w:before="129" w:line="228" w:lineRule="auto"/>
              <w:ind w:left="116"/>
              <w:jc w:val="center"/>
              <w:rPr>
                <w:sz w:val="24"/>
                <w:szCs w:val="24"/>
              </w:rPr>
            </w:pPr>
            <w:r>
              <w:rPr>
                <w:spacing w:val="-2"/>
                <w:sz w:val="24"/>
                <w:szCs w:val="24"/>
              </w:rPr>
              <w:t>差：评分低于</w:t>
            </w:r>
            <w:r>
              <w:rPr>
                <w:spacing w:val="2"/>
                <w:sz w:val="24"/>
                <w:szCs w:val="24"/>
              </w:rPr>
              <w:t>1.8分，且作</w:t>
            </w:r>
            <w:r>
              <w:rPr>
                <w:spacing w:val="3"/>
                <w:sz w:val="24"/>
                <w:szCs w:val="24"/>
              </w:rPr>
              <w:t>出评审说明。</w:t>
            </w:r>
          </w:p>
        </w:tc>
      </w:tr>
      <w:tr w14:paraId="5D2D4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922" w:hRule="atLeast"/>
        </w:trPr>
        <w:tc>
          <w:tcPr>
            <w:tcW w:w="927" w:type="dxa"/>
            <w:gridSpan w:val="2"/>
            <w:vMerge w:val="continue"/>
            <w:noWrap w:val="0"/>
            <w:vAlign w:val="center"/>
          </w:tcPr>
          <w:p w14:paraId="0D88EECC">
            <w:pPr>
              <w:jc w:val="center"/>
              <w:rPr>
                <w:rFonts w:ascii="Arial"/>
                <w:sz w:val="24"/>
                <w:szCs w:val="24"/>
              </w:rPr>
            </w:pPr>
          </w:p>
        </w:tc>
        <w:tc>
          <w:tcPr>
            <w:tcW w:w="1731" w:type="dxa"/>
            <w:gridSpan w:val="2"/>
            <w:vMerge w:val="continue"/>
            <w:tcBorders>
              <w:top w:val="nil"/>
              <w:bottom w:val="nil"/>
            </w:tcBorders>
            <w:noWrap w:val="0"/>
            <w:vAlign w:val="center"/>
          </w:tcPr>
          <w:p w14:paraId="16EE5BE0">
            <w:pPr>
              <w:jc w:val="center"/>
              <w:rPr>
                <w:rFonts w:ascii="Arial"/>
                <w:sz w:val="24"/>
                <w:szCs w:val="24"/>
              </w:rPr>
            </w:pPr>
          </w:p>
        </w:tc>
        <w:tc>
          <w:tcPr>
            <w:tcW w:w="1324" w:type="dxa"/>
            <w:gridSpan w:val="2"/>
            <w:vMerge w:val="continue"/>
            <w:tcBorders>
              <w:top w:val="nil"/>
              <w:bottom w:val="nil"/>
            </w:tcBorders>
            <w:noWrap w:val="0"/>
            <w:vAlign w:val="center"/>
          </w:tcPr>
          <w:p w14:paraId="31F70378">
            <w:pPr>
              <w:jc w:val="center"/>
              <w:rPr>
                <w:rFonts w:ascii="Arial"/>
                <w:sz w:val="24"/>
                <w:szCs w:val="24"/>
              </w:rPr>
            </w:pPr>
          </w:p>
        </w:tc>
        <w:tc>
          <w:tcPr>
            <w:tcW w:w="1322" w:type="dxa"/>
            <w:gridSpan w:val="2"/>
            <w:noWrap w:val="0"/>
            <w:vAlign w:val="center"/>
          </w:tcPr>
          <w:p w14:paraId="4D9851BF">
            <w:pPr>
              <w:pStyle w:val="16"/>
              <w:spacing w:before="130" w:line="228" w:lineRule="auto"/>
              <w:ind w:left="113"/>
              <w:jc w:val="center"/>
              <w:rPr>
                <w:sz w:val="24"/>
                <w:szCs w:val="24"/>
              </w:rPr>
            </w:pPr>
            <w:r>
              <w:rPr>
                <w:spacing w:val="6"/>
                <w:sz w:val="24"/>
                <w:szCs w:val="24"/>
              </w:rPr>
              <w:t>环境保</w:t>
            </w:r>
            <w:r>
              <w:rPr>
                <w:spacing w:val="7"/>
                <w:sz w:val="24"/>
                <w:szCs w:val="24"/>
              </w:rPr>
              <w:t>护、水土保持、施</w:t>
            </w:r>
            <w:r>
              <w:rPr>
                <w:spacing w:val="6"/>
                <w:sz w:val="24"/>
                <w:szCs w:val="24"/>
              </w:rPr>
              <w:t>工后期的</w:t>
            </w:r>
            <w:r>
              <w:rPr>
                <w:spacing w:val="7"/>
                <w:sz w:val="24"/>
                <w:szCs w:val="24"/>
              </w:rPr>
              <w:t>场地恢复措施及文</w:t>
            </w:r>
            <w:r>
              <w:rPr>
                <w:spacing w:val="2"/>
                <w:sz w:val="24"/>
                <w:szCs w:val="24"/>
              </w:rPr>
              <w:t>明施工保</w:t>
            </w:r>
            <w:r>
              <w:rPr>
                <w:spacing w:val="7"/>
                <w:sz w:val="24"/>
                <w:szCs w:val="24"/>
              </w:rPr>
              <w:t>证措施道</w:t>
            </w:r>
            <w:r>
              <w:rPr>
                <w:spacing w:val="6"/>
                <w:sz w:val="24"/>
                <w:szCs w:val="24"/>
              </w:rPr>
              <w:t>路保畅措</w:t>
            </w:r>
            <w:r>
              <w:rPr>
                <w:spacing w:val="1"/>
                <w:sz w:val="24"/>
                <w:szCs w:val="24"/>
              </w:rPr>
              <w:t>施</w:t>
            </w:r>
          </w:p>
        </w:tc>
        <w:tc>
          <w:tcPr>
            <w:tcW w:w="955" w:type="dxa"/>
            <w:gridSpan w:val="2"/>
            <w:noWrap w:val="0"/>
            <w:vAlign w:val="center"/>
          </w:tcPr>
          <w:p w14:paraId="5BDDBD4D">
            <w:pPr>
              <w:pStyle w:val="16"/>
              <w:spacing w:before="65" w:line="268" w:lineRule="exact"/>
              <w:ind w:left="387"/>
              <w:jc w:val="center"/>
              <w:rPr>
                <w:sz w:val="24"/>
                <w:szCs w:val="24"/>
              </w:rPr>
            </w:pPr>
            <w:r>
              <w:rPr>
                <w:spacing w:val="1"/>
                <w:position w:val="1"/>
                <w:sz w:val="24"/>
                <w:szCs w:val="24"/>
              </w:rPr>
              <w:t>5.0</w:t>
            </w:r>
          </w:p>
        </w:tc>
        <w:tc>
          <w:tcPr>
            <w:tcW w:w="2629" w:type="dxa"/>
            <w:noWrap w:val="0"/>
            <w:vAlign w:val="center"/>
          </w:tcPr>
          <w:p w14:paraId="506E8B6D">
            <w:pPr>
              <w:pStyle w:val="16"/>
              <w:spacing w:before="264" w:line="228" w:lineRule="auto"/>
              <w:ind w:left="116"/>
              <w:jc w:val="center"/>
              <w:rPr>
                <w:sz w:val="24"/>
                <w:szCs w:val="24"/>
              </w:rPr>
            </w:pPr>
            <w:r>
              <w:rPr>
                <w:spacing w:val="16"/>
                <w:sz w:val="24"/>
                <w:szCs w:val="24"/>
              </w:rPr>
              <w:t>优：得4.5~</w:t>
            </w:r>
            <w:r>
              <w:rPr>
                <w:sz w:val="24"/>
                <w:szCs w:val="24"/>
              </w:rPr>
              <w:t>5.0分；</w:t>
            </w:r>
          </w:p>
          <w:p w14:paraId="7859F600">
            <w:pPr>
              <w:pStyle w:val="16"/>
              <w:spacing w:before="264" w:line="228" w:lineRule="auto"/>
              <w:ind w:left="116"/>
              <w:jc w:val="center"/>
              <w:rPr>
                <w:spacing w:val="1"/>
                <w:sz w:val="24"/>
                <w:szCs w:val="24"/>
              </w:rPr>
            </w:pPr>
            <w:r>
              <w:rPr>
                <w:spacing w:val="10"/>
                <w:sz w:val="24"/>
                <w:szCs w:val="24"/>
              </w:rPr>
              <w:t>良：得3.5~</w:t>
            </w:r>
            <w:r>
              <w:rPr>
                <w:spacing w:val="1"/>
                <w:sz w:val="24"/>
                <w:szCs w:val="24"/>
              </w:rPr>
              <w:t>4.5分；</w:t>
            </w:r>
          </w:p>
          <w:p w14:paraId="39600A5F">
            <w:pPr>
              <w:pStyle w:val="16"/>
              <w:spacing w:before="264" w:line="228" w:lineRule="auto"/>
              <w:ind w:left="116"/>
              <w:jc w:val="center"/>
              <w:rPr>
                <w:sz w:val="24"/>
                <w:szCs w:val="24"/>
              </w:rPr>
            </w:pPr>
            <w:r>
              <w:rPr>
                <w:spacing w:val="12"/>
                <w:sz w:val="24"/>
                <w:szCs w:val="24"/>
              </w:rPr>
              <w:t>中：得3.0~</w:t>
            </w:r>
            <w:r>
              <w:rPr>
                <w:sz w:val="24"/>
                <w:szCs w:val="24"/>
              </w:rPr>
              <w:t>3.5分；</w:t>
            </w:r>
          </w:p>
          <w:p w14:paraId="3435252A">
            <w:pPr>
              <w:pStyle w:val="16"/>
              <w:spacing w:before="264" w:line="228" w:lineRule="auto"/>
              <w:ind w:left="116"/>
              <w:jc w:val="center"/>
              <w:rPr>
                <w:sz w:val="24"/>
                <w:szCs w:val="24"/>
              </w:rPr>
            </w:pPr>
            <w:r>
              <w:rPr>
                <w:spacing w:val="-2"/>
                <w:sz w:val="24"/>
                <w:szCs w:val="24"/>
              </w:rPr>
              <w:t>差：评分低于</w:t>
            </w:r>
            <w:r>
              <w:rPr>
                <w:spacing w:val="3"/>
                <w:sz w:val="24"/>
                <w:szCs w:val="24"/>
              </w:rPr>
              <w:t>3.0分，且作</w:t>
            </w:r>
            <w:r>
              <w:rPr>
                <w:spacing w:val="1"/>
                <w:sz w:val="24"/>
                <w:szCs w:val="24"/>
              </w:rPr>
              <w:t>出评审说明。</w:t>
            </w:r>
          </w:p>
        </w:tc>
      </w:tr>
      <w:tr w14:paraId="7A930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650" w:hRule="atLeast"/>
        </w:trPr>
        <w:tc>
          <w:tcPr>
            <w:tcW w:w="927" w:type="dxa"/>
            <w:gridSpan w:val="2"/>
            <w:vMerge w:val="continue"/>
            <w:noWrap w:val="0"/>
            <w:vAlign w:val="center"/>
          </w:tcPr>
          <w:p w14:paraId="15E0E11E">
            <w:pPr>
              <w:jc w:val="center"/>
              <w:rPr>
                <w:rFonts w:ascii="Arial"/>
                <w:sz w:val="24"/>
                <w:szCs w:val="24"/>
              </w:rPr>
            </w:pPr>
          </w:p>
        </w:tc>
        <w:tc>
          <w:tcPr>
            <w:tcW w:w="1731" w:type="dxa"/>
            <w:gridSpan w:val="2"/>
            <w:vMerge w:val="continue"/>
            <w:tcBorders>
              <w:top w:val="nil"/>
            </w:tcBorders>
            <w:noWrap w:val="0"/>
            <w:vAlign w:val="center"/>
          </w:tcPr>
          <w:p w14:paraId="313E58F2">
            <w:pPr>
              <w:jc w:val="center"/>
              <w:rPr>
                <w:rFonts w:ascii="Arial"/>
                <w:sz w:val="24"/>
                <w:szCs w:val="24"/>
              </w:rPr>
            </w:pPr>
          </w:p>
        </w:tc>
        <w:tc>
          <w:tcPr>
            <w:tcW w:w="1324" w:type="dxa"/>
            <w:gridSpan w:val="2"/>
            <w:vMerge w:val="continue"/>
            <w:tcBorders>
              <w:top w:val="nil"/>
            </w:tcBorders>
            <w:noWrap w:val="0"/>
            <w:vAlign w:val="center"/>
          </w:tcPr>
          <w:p w14:paraId="2C5CEA57">
            <w:pPr>
              <w:jc w:val="center"/>
              <w:rPr>
                <w:rFonts w:ascii="Arial"/>
                <w:sz w:val="24"/>
                <w:szCs w:val="24"/>
              </w:rPr>
            </w:pPr>
          </w:p>
        </w:tc>
        <w:tc>
          <w:tcPr>
            <w:tcW w:w="1322" w:type="dxa"/>
            <w:gridSpan w:val="2"/>
            <w:noWrap w:val="0"/>
            <w:vAlign w:val="center"/>
          </w:tcPr>
          <w:p w14:paraId="009C3DAE">
            <w:pPr>
              <w:pStyle w:val="16"/>
              <w:spacing w:before="65" w:line="228" w:lineRule="auto"/>
              <w:ind w:left="116"/>
              <w:jc w:val="center"/>
              <w:rPr>
                <w:sz w:val="24"/>
                <w:szCs w:val="24"/>
              </w:rPr>
            </w:pPr>
            <w:r>
              <w:rPr>
                <w:spacing w:val="6"/>
                <w:sz w:val="24"/>
                <w:szCs w:val="24"/>
              </w:rPr>
              <w:t>项目风险预测与防范，事故应急预案，支付</w:t>
            </w:r>
            <w:r>
              <w:rPr>
                <w:spacing w:val="7"/>
                <w:sz w:val="24"/>
                <w:szCs w:val="24"/>
              </w:rPr>
              <w:t>保障措施</w:t>
            </w:r>
          </w:p>
        </w:tc>
        <w:tc>
          <w:tcPr>
            <w:tcW w:w="955" w:type="dxa"/>
            <w:gridSpan w:val="2"/>
            <w:noWrap w:val="0"/>
            <w:vAlign w:val="center"/>
          </w:tcPr>
          <w:p w14:paraId="3D30C0E7">
            <w:pPr>
              <w:pStyle w:val="16"/>
              <w:spacing w:before="65" w:line="268" w:lineRule="exact"/>
              <w:ind w:left="387"/>
              <w:jc w:val="center"/>
              <w:rPr>
                <w:sz w:val="24"/>
                <w:szCs w:val="24"/>
              </w:rPr>
            </w:pPr>
            <w:r>
              <w:rPr>
                <w:spacing w:val="1"/>
                <w:position w:val="1"/>
                <w:sz w:val="24"/>
                <w:szCs w:val="24"/>
              </w:rPr>
              <w:t>5.0</w:t>
            </w:r>
          </w:p>
        </w:tc>
        <w:tc>
          <w:tcPr>
            <w:tcW w:w="2629" w:type="dxa"/>
            <w:noWrap w:val="0"/>
            <w:vAlign w:val="center"/>
          </w:tcPr>
          <w:p w14:paraId="628ED660">
            <w:pPr>
              <w:pStyle w:val="16"/>
              <w:spacing w:before="131" w:line="228" w:lineRule="auto"/>
              <w:ind w:left="116"/>
              <w:jc w:val="center"/>
              <w:rPr>
                <w:sz w:val="24"/>
                <w:szCs w:val="24"/>
              </w:rPr>
            </w:pPr>
            <w:r>
              <w:rPr>
                <w:spacing w:val="16"/>
                <w:sz w:val="24"/>
                <w:szCs w:val="24"/>
              </w:rPr>
              <w:t>优：得4.5~</w:t>
            </w:r>
            <w:r>
              <w:rPr>
                <w:sz w:val="24"/>
                <w:szCs w:val="24"/>
              </w:rPr>
              <w:t>5.0分；</w:t>
            </w:r>
          </w:p>
          <w:p w14:paraId="0EC345B7">
            <w:pPr>
              <w:pStyle w:val="16"/>
              <w:spacing w:before="131" w:line="228" w:lineRule="auto"/>
              <w:ind w:left="116"/>
              <w:jc w:val="center"/>
              <w:rPr>
                <w:spacing w:val="1"/>
                <w:sz w:val="24"/>
                <w:szCs w:val="24"/>
              </w:rPr>
            </w:pPr>
            <w:r>
              <w:rPr>
                <w:spacing w:val="10"/>
                <w:sz w:val="24"/>
                <w:szCs w:val="24"/>
              </w:rPr>
              <w:t>良：得3.5~</w:t>
            </w:r>
            <w:r>
              <w:rPr>
                <w:spacing w:val="1"/>
                <w:sz w:val="24"/>
                <w:szCs w:val="24"/>
              </w:rPr>
              <w:t>4.5分；</w:t>
            </w:r>
          </w:p>
          <w:p w14:paraId="5865FB3C">
            <w:pPr>
              <w:pStyle w:val="16"/>
              <w:spacing w:before="131" w:line="228" w:lineRule="auto"/>
              <w:ind w:left="116"/>
              <w:jc w:val="center"/>
              <w:rPr>
                <w:sz w:val="24"/>
                <w:szCs w:val="24"/>
              </w:rPr>
            </w:pPr>
            <w:r>
              <w:rPr>
                <w:spacing w:val="12"/>
                <w:sz w:val="24"/>
                <w:szCs w:val="24"/>
              </w:rPr>
              <w:t>中：得3.0~</w:t>
            </w:r>
            <w:r>
              <w:rPr>
                <w:sz w:val="24"/>
                <w:szCs w:val="24"/>
              </w:rPr>
              <w:t>3.5分；</w:t>
            </w:r>
          </w:p>
          <w:p w14:paraId="2CAEDA1A">
            <w:pPr>
              <w:pStyle w:val="16"/>
              <w:spacing w:before="131" w:line="228" w:lineRule="auto"/>
              <w:ind w:left="116"/>
              <w:jc w:val="center"/>
              <w:rPr>
                <w:sz w:val="24"/>
                <w:szCs w:val="24"/>
              </w:rPr>
            </w:pPr>
            <w:r>
              <w:rPr>
                <w:spacing w:val="-2"/>
                <w:sz w:val="24"/>
                <w:szCs w:val="24"/>
              </w:rPr>
              <w:t>差：评分低于</w:t>
            </w:r>
            <w:r>
              <w:rPr>
                <w:spacing w:val="3"/>
                <w:sz w:val="24"/>
                <w:szCs w:val="24"/>
              </w:rPr>
              <w:t>3.0分，且作</w:t>
            </w:r>
            <w:r>
              <w:rPr>
                <w:spacing w:val="1"/>
                <w:sz w:val="24"/>
                <w:szCs w:val="24"/>
              </w:rPr>
              <w:t>出评审说明。</w:t>
            </w:r>
          </w:p>
        </w:tc>
      </w:tr>
      <w:tr w14:paraId="6B831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189" w:hRule="atLeast"/>
        </w:trPr>
        <w:tc>
          <w:tcPr>
            <w:tcW w:w="927" w:type="dxa"/>
            <w:gridSpan w:val="2"/>
            <w:noWrap w:val="0"/>
            <w:vAlign w:val="center"/>
          </w:tcPr>
          <w:p w14:paraId="67EB1778">
            <w:pPr>
              <w:pStyle w:val="16"/>
              <w:spacing w:before="65"/>
              <w:ind w:left="116"/>
              <w:jc w:val="center"/>
              <w:rPr>
                <w:sz w:val="24"/>
                <w:szCs w:val="24"/>
              </w:rPr>
            </w:pPr>
            <w:r>
              <w:rPr>
                <w:spacing w:val="3"/>
                <w:sz w:val="24"/>
                <w:szCs w:val="24"/>
              </w:rPr>
              <w:t>2.2.2（2）</w:t>
            </w:r>
          </w:p>
        </w:tc>
        <w:tc>
          <w:tcPr>
            <w:tcW w:w="1731" w:type="dxa"/>
            <w:gridSpan w:val="2"/>
            <w:noWrap w:val="0"/>
            <w:vAlign w:val="center"/>
          </w:tcPr>
          <w:p w14:paraId="7C2E5A23">
            <w:pPr>
              <w:pStyle w:val="16"/>
              <w:spacing w:before="65" w:line="229" w:lineRule="auto"/>
              <w:jc w:val="center"/>
              <w:rPr>
                <w:sz w:val="24"/>
                <w:szCs w:val="24"/>
              </w:rPr>
            </w:pPr>
            <w:r>
              <w:rPr>
                <w:spacing w:val="6"/>
                <w:sz w:val="24"/>
                <w:szCs w:val="24"/>
              </w:rPr>
              <w:t>主要人员</w:t>
            </w:r>
          </w:p>
        </w:tc>
        <w:tc>
          <w:tcPr>
            <w:tcW w:w="1324" w:type="dxa"/>
            <w:gridSpan w:val="2"/>
            <w:noWrap w:val="0"/>
            <w:vAlign w:val="center"/>
          </w:tcPr>
          <w:p w14:paraId="1E23D92F">
            <w:pPr>
              <w:pStyle w:val="16"/>
              <w:spacing w:before="65" w:line="268" w:lineRule="exact"/>
              <w:jc w:val="center"/>
              <w:rPr>
                <w:sz w:val="24"/>
                <w:szCs w:val="24"/>
              </w:rPr>
            </w:pPr>
            <w:r>
              <w:rPr>
                <w:spacing w:val="2"/>
                <w:position w:val="1"/>
                <w:sz w:val="24"/>
                <w:szCs w:val="24"/>
              </w:rPr>
              <w:t>25.00</w:t>
            </w:r>
          </w:p>
        </w:tc>
        <w:tc>
          <w:tcPr>
            <w:tcW w:w="1322" w:type="dxa"/>
            <w:gridSpan w:val="2"/>
            <w:noWrap w:val="0"/>
            <w:vAlign w:val="center"/>
          </w:tcPr>
          <w:p w14:paraId="189F5792">
            <w:pPr>
              <w:pStyle w:val="16"/>
              <w:spacing w:before="65" w:line="228" w:lineRule="auto"/>
              <w:jc w:val="center"/>
              <w:rPr>
                <w:sz w:val="24"/>
                <w:szCs w:val="24"/>
              </w:rPr>
            </w:pPr>
            <w:r>
              <w:rPr>
                <w:spacing w:val="6"/>
                <w:sz w:val="24"/>
                <w:szCs w:val="24"/>
              </w:rPr>
              <w:t>项目经理</w:t>
            </w:r>
          </w:p>
        </w:tc>
        <w:tc>
          <w:tcPr>
            <w:tcW w:w="955" w:type="dxa"/>
            <w:gridSpan w:val="2"/>
            <w:noWrap w:val="0"/>
            <w:vAlign w:val="center"/>
          </w:tcPr>
          <w:p w14:paraId="683A4B73">
            <w:pPr>
              <w:pStyle w:val="16"/>
              <w:spacing w:before="65" w:line="268" w:lineRule="exact"/>
              <w:jc w:val="center"/>
              <w:rPr>
                <w:sz w:val="24"/>
                <w:szCs w:val="24"/>
              </w:rPr>
            </w:pPr>
            <w:r>
              <w:rPr>
                <w:spacing w:val="-1"/>
                <w:position w:val="1"/>
                <w:sz w:val="24"/>
                <w:szCs w:val="24"/>
              </w:rPr>
              <w:t>15.0</w:t>
            </w:r>
          </w:p>
        </w:tc>
        <w:tc>
          <w:tcPr>
            <w:tcW w:w="2629" w:type="dxa"/>
            <w:noWrap w:val="0"/>
            <w:vAlign w:val="center"/>
          </w:tcPr>
          <w:p w14:paraId="70378A9A">
            <w:pPr>
              <w:pStyle w:val="16"/>
              <w:spacing w:before="133" w:line="238" w:lineRule="auto"/>
              <w:jc w:val="center"/>
              <w:rPr>
                <w:spacing w:val="-1"/>
                <w:sz w:val="24"/>
                <w:szCs w:val="24"/>
              </w:rPr>
            </w:pPr>
            <w:r>
              <w:rPr>
                <w:rFonts w:hint="eastAsia"/>
                <w:spacing w:val="4"/>
                <w:sz w:val="24"/>
                <w:szCs w:val="24"/>
                <w:lang w:val="en-US" w:eastAsia="zh-CN"/>
              </w:rPr>
              <w:t>1.</w:t>
            </w:r>
            <w:r>
              <w:rPr>
                <w:spacing w:val="4"/>
                <w:sz w:val="24"/>
                <w:szCs w:val="24"/>
              </w:rPr>
              <w:t>满足资格</w:t>
            </w:r>
            <w:r>
              <w:rPr>
                <w:spacing w:val="-4"/>
                <w:sz w:val="24"/>
                <w:szCs w:val="24"/>
              </w:rPr>
              <w:t>审查条件（项</w:t>
            </w:r>
            <w:r>
              <w:rPr>
                <w:sz w:val="24"/>
                <w:szCs w:val="24"/>
              </w:rPr>
              <w:t>目经理和项目总工最低</w:t>
            </w:r>
            <w:r>
              <w:rPr>
                <w:spacing w:val="5"/>
                <w:sz w:val="24"/>
                <w:szCs w:val="24"/>
              </w:rPr>
              <w:t>要求）得9</w:t>
            </w:r>
            <w:r>
              <w:rPr>
                <w:spacing w:val="-1"/>
                <w:sz w:val="24"/>
                <w:szCs w:val="24"/>
              </w:rPr>
              <w:t>分；</w:t>
            </w:r>
          </w:p>
          <w:p w14:paraId="67155B9D">
            <w:pPr>
              <w:pStyle w:val="16"/>
              <w:spacing w:before="133" w:line="238" w:lineRule="auto"/>
              <w:jc w:val="center"/>
              <w:rPr>
                <w:rFonts w:hint="eastAsia" w:ascii="宋体" w:hAnsi="宋体" w:eastAsia="宋体" w:cs="宋体"/>
                <w:spacing w:val="-4"/>
                <w:sz w:val="24"/>
                <w:szCs w:val="24"/>
              </w:rPr>
            </w:pPr>
            <w:r>
              <w:rPr>
                <w:spacing w:val="6"/>
                <w:sz w:val="24"/>
                <w:szCs w:val="24"/>
              </w:rPr>
              <w:t>2.</w:t>
            </w:r>
            <w:r>
              <w:rPr>
                <w:rFonts w:hint="eastAsia" w:ascii="宋体" w:hAnsi="宋体" w:eastAsia="宋体" w:cs="宋体"/>
                <w:spacing w:val="-4"/>
                <w:sz w:val="24"/>
                <w:szCs w:val="24"/>
              </w:rPr>
              <w:t>在满足资格审查条件的基础上，近5年(任职时段在自招标公告发布之日起向前计算5年至投标截止之日，精确到天，以交工日期为准),每增加1个</w:t>
            </w:r>
            <w:r>
              <w:rPr>
                <w:rFonts w:hint="eastAsia" w:ascii="宋体" w:hAnsi="宋体" w:eastAsia="宋体" w:cs="宋体"/>
                <w:spacing w:val="-4"/>
                <w:sz w:val="24"/>
                <w:szCs w:val="24"/>
                <w:lang w:val="en-US" w:eastAsia="zh-CN"/>
              </w:rPr>
              <w:t>一</w:t>
            </w:r>
            <w:r>
              <w:rPr>
                <w:rFonts w:hint="eastAsia" w:ascii="宋体" w:hAnsi="宋体" w:eastAsia="宋体" w:cs="宋体"/>
                <w:spacing w:val="-4"/>
                <w:sz w:val="24"/>
                <w:szCs w:val="24"/>
              </w:rPr>
              <w:t>级及以上等级</w:t>
            </w:r>
            <w:r>
              <w:rPr>
                <w:rFonts w:hint="eastAsia" w:ascii="宋体" w:hAnsi="宋体" w:eastAsia="宋体" w:cs="宋体"/>
                <w:spacing w:val="-4"/>
                <w:sz w:val="24"/>
                <w:szCs w:val="24"/>
                <w:lang w:val="en-US" w:eastAsia="zh-CN"/>
              </w:rPr>
              <w:t>公路路基养护工程</w:t>
            </w:r>
            <w:r>
              <w:rPr>
                <w:rFonts w:hint="eastAsia" w:ascii="宋体" w:hAnsi="宋体" w:eastAsia="宋体" w:cs="宋体"/>
                <w:spacing w:val="-4"/>
                <w:sz w:val="24"/>
                <w:szCs w:val="24"/>
              </w:rPr>
              <w:t>施工的项目经理职务业绩加6分；在满足资格审查条件的基础上，近5年(任职时段在自招标公告发布之日起向前计算5年至投标截止之日，精确到天，以交工日期为准),每增加1个</w:t>
            </w:r>
            <w:r>
              <w:rPr>
                <w:rFonts w:hint="eastAsia" w:ascii="宋体" w:hAnsi="宋体" w:eastAsia="宋体" w:cs="宋体"/>
                <w:spacing w:val="-4"/>
                <w:sz w:val="24"/>
                <w:szCs w:val="24"/>
                <w:lang w:val="en-US" w:eastAsia="zh-CN"/>
              </w:rPr>
              <w:t>一</w:t>
            </w:r>
            <w:r>
              <w:rPr>
                <w:rFonts w:hint="eastAsia" w:ascii="宋体" w:hAnsi="宋体" w:eastAsia="宋体" w:cs="宋体"/>
                <w:spacing w:val="-4"/>
                <w:sz w:val="24"/>
                <w:szCs w:val="24"/>
              </w:rPr>
              <w:t>级及以上等级</w:t>
            </w:r>
            <w:r>
              <w:rPr>
                <w:rFonts w:hint="eastAsia" w:ascii="宋体" w:hAnsi="宋体" w:eastAsia="宋体" w:cs="宋体"/>
                <w:spacing w:val="-4"/>
                <w:sz w:val="24"/>
                <w:szCs w:val="24"/>
                <w:lang w:val="en-US" w:eastAsia="zh-CN"/>
              </w:rPr>
              <w:t>公路路基养护工程</w:t>
            </w:r>
            <w:r>
              <w:rPr>
                <w:rFonts w:hint="eastAsia" w:ascii="宋体" w:hAnsi="宋体" w:eastAsia="宋体" w:cs="宋体"/>
                <w:spacing w:val="-4"/>
                <w:sz w:val="24"/>
                <w:szCs w:val="24"/>
              </w:rPr>
              <w:t>施工的项目副经理职务的加3分。此项</w:t>
            </w:r>
          </w:p>
          <w:p w14:paraId="01AA0C53">
            <w:pPr>
              <w:pStyle w:val="16"/>
              <w:spacing w:before="133" w:line="238" w:lineRule="auto"/>
              <w:jc w:val="center"/>
              <w:rPr>
                <w:rFonts w:ascii="宋体" w:hAnsi="宋体" w:eastAsia="宋体" w:cs="宋体"/>
                <w:spacing w:val="-4"/>
                <w:sz w:val="24"/>
                <w:szCs w:val="24"/>
              </w:rPr>
            </w:pPr>
            <w:r>
              <w:rPr>
                <w:rFonts w:hint="eastAsia" w:ascii="宋体" w:hAnsi="宋体" w:eastAsia="宋体" w:cs="宋体"/>
                <w:spacing w:val="-4"/>
                <w:sz w:val="24"/>
                <w:szCs w:val="24"/>
              </w:rPr>
              <w:t>最多加6分。</w:t>
            </w:r>
          </w:p>
          <w:p w14:paraId="20E0137E">
            <w:pPr>
              <w:pStyle w:val="16"/>
              <w:spacing w:before="133" w:line="238" w:lineRule="auto"/>
              <w:jc w:val="center"/>
              <w:rPr>
                <w:rFonts w:hint="eastAsia" w:eastAsia="宋体"/>
                <w:spacing w:val="6"/>
                <w:sz w:val="24"/>
                <w:szCs w:val="24"/>
                <w:lang w:val="en-US" w:eastAsia="zh-CN"/>
              </w:rPr>
            </w:pPr>
            <w:r>
              <w:rPr>
                <w:spacing w:val="6"/>
                <w:sz w:val="24"/>
                <w:szCs w:val="24"/>
                <w:highlight w:val="none"/>
              </w:rPr>
              <w:t>3.业绩证明材料同招标文件资格审查附录5要求。</w:t>
            </w:r>
          </w:p>
        </w:tc>
      </w:tr>
      <w:tr w14:paraId="21BFD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195" w:hRule="atLeast"/>
        </w:trPr>
        <w:tc>
          <w:tcPr>
            <w:tcW w:w="914" w:type="dxa"/>
            <w:tcBorders>
              <w:top w:val="nil"/>
            </w:tcBorders>
            <w:noWrap w:val="0"/>
            <w:vAlign w:val="center"/>
          </w:tcPr>
          <w:p w14:paraId="77D74C9A">
            <w:pPr>
              <w:jc w:val="center"/>
              <w:rPr>
                <w:rFonts w:ascii="Arial"/>
                <w:sz w:val="21"/>
              </w:rPr>
            </w:pPr>
          </w:p>
        </w:tc>
        <w:tc>
          <w:tcPr>
            <w:tcW w:w="1731" w:type="dxa"/>
            <w:gridSpan w:val="2"/>
            <w:tcBorders>
              <w:top w:val="nil"/>
            </w:tcBorders>
            <w:noWrap w:val="0"/>
            <w:vAlign w:val="center"/>
          </w:tcPr>
          <w:p w14:paraId="2C7D3F1A">
            <w:pPr>
              <w:jc w:val="center"/>
              <w:rPr>
                <w:rFonts w:ascii="Arial"/>
                <w:sz w:val="21"/>
              </w:rPr>
            </w:pPr>
          </w:p>
        </w:tc>
        <w:tc>
          <w:tcPr>
            <w:tcW w:w="1323" w:type="dxa"/>
            <w:gridSpan w:val="2"/>
            <w:tcBorders>
              <w:top w:val="nil"/>
            </w:tcBorders>
            <w:noWrap w:val="0"/>
            <w:vAlign w:val="center"/>
          </w:tcPr>
          <w:p w14:paraId="703C50AD">
            <w:pPr>
              <w:jc w:val="center"/>
              <w:rPr>
                <w:rFonts w:ascii="Arial"/>
                <w:sz w:val="21"/>
              </w:rPr>
            </w:pPr>
          </w:p>
        </w:tc>
        <w:tc>
          <w:tcPr>
            <w:tcW w:w="1323" w:type="dxa"/>
            <w:gridSpan w:val="2"/>
            <w:noWrap w:val="0"/>
            <w:vAlign w:val="center"/>
          </w:tcPr>
          <w:p w14:paraId="60A9F7CC">
            <w:pPr>
              <w:pStyle w:val="16"/>
              <w:spacing w:before="65" w:line="228" w:lineRule="auto"/>
              <w:ind w:left="116"/>
              <w:jc w:val="center"/>
              <w:rPr>
                <w:sz w:val="24"/>
                <w:szCs w:val="24"/>
              </w:rPr>
            </w:pPr>
            <w:r>
              <w:rPr>
                <w:spacing w:val="6"/>
                <w:sz w:val="24"/>
                <w:szCs w:val="24"/>
              </w:rPr>
              <w:t>项目总工</w:t>
            </w:r>
          </w:p>
        </w:tc>
        <w:tc>
          <w:tcPr>
            <w:tcW w:w="954" w:type="dxa"/>
            <w:gridSpan w:val="2"/>
            <w:noWrap w:val="0"/>
            <w:vAlign w:val="center"/>
          </w:tcPr>
          <w:p w14:paraId="6C8097B9">
            <w:pPr>
              <w:pStyle w:val="16"/>
              <w:spacing w:before="65" w:line="268" w:lineRule="exact"/>
              <w:ind w:left="345"/>
              <w:jc w:val="center"/>
              <w:rPr>
                <w:sz w:val="24"/>
                <w:szCs w:val="24"/>
              </w:rPr>
            </w:pPr>
            <w:r>
              <w:rPr>
                <w:spacing w:val="-1"/>
                <w:position w:val="1"/>
                <w:sz w:val="24"/>
                <w:szCs w:val="24"/>
              </w:rPr>
              <w:t>10.0</w:t>
            </w:r>
          </w:p>
        </w:tc>
        <w:tc>
          <w:tcPr>
            <w:tcW w:w="2643" w:type="dxa"/>
            <w:gridSpan w:val="2"/>
            <w:noWrap w:val="0"/>
            <w:vAlign w:val="center"/>
          </w:tcPr>
          <w:p w14:paraId="54757FF8">
            <w:pPr>
              <w:pStyle w:val="16"/>
              <w:numPr>
                <w:ilvl w:val="0"/>
                <w:numId w:val="0"/>
              </w:numPr>
              <w:spacing w:before="132" w:line="238" w:lineRule="auto"/>
              <w:jc w:val="center"/>
              <w:rPr>
                <w:spacing w:val="-1"/>
                <w:sz w:val="24"/>
                <w:szCs w:val="24"/>
              </w:rPr>
            </w:pPr>
            <w:r>
              <w:rPr>
                <w:rFonts w:hint="eastAsia"/>
                <w:spacing w:val="4"/>
                <w:sz w:val="24"/>
                <w:szCs w:val="24"/>
                <w:lang w:val="en-US" w:eastAsia="zh-CN"/>
              </w:rPr>
              <w:t>1.</w:t>
            </w:r>
            <w:r>
              <w:rPr>
                <w:spacing w:val="4"/>
                <w:sz w:val="24"/>
                <w:szCs w:val="24"/>
              </w:rPr>
              <w:t>满足资格</w:t>
            </w:r>
            <w:r>
              <w:rPr>
                <w:spacing w:val="-4"/>
                <w:sz w:val="24"/>
                <w:szCs w:val="24"/>
              </w:rPr>
              <w:t>审查条件（项</w:t>
            </w:r>
            <w:r>
              <w:rPr>
                <w:sz w:val="24"/>
                <w:szCs w:val="24"/>
              </w:rPr>
              <w:t>目经理和项目总工最低</w:t>
            </w:r>
            <w:r>
              <w:rPr>
                <w:spacing w:val="5"/>
                <w:sz w:val="24"/>
                <w:szCs w:val="24"/>
              </w:rPr>
              <w:t>要求）得6</w:t>
            </w:r>
            <w:r>
              <w:rPr>
                <w:spacing w:val="-1"/>
                <w:sz w:val="24"/>
                <w:szCs w:val="24"/>
              </w:rPr>
              <w:t>分；</w:t>
            </w:r>
          </w:p>
          <w:p w14:paraId="39FA72FA">
            <w:pPr>
              <w:pStyle w:val="16"/>
              <w:numPr>
                <w:ilvl w:val="0"/>
                <w:numId w:val="0"/>
              </w:numPr>
              <w:spacing w:before="132" w:line="238" w:lineRule="auto"/>
              <w:jc w:val="center"/>
              <w:rPr>
                <w:spacing w:val="4"/>
                <w:sz w:val="24"/>
                <w:szCs w:val="24"/>
              </w:rPr>
            </w:pPr>
            <w:r>
              <w:rPr>
                <w:spacing w:val="6"/>
                <w:sz w:val="24"/>
                <w:szCs w:val="24"/>
              </w:rPr>
              <w:t>2.</w:t>
            </w:r>
            <w:r>
              <w:rPr>
                <w:rFonts w:hint="eastAsia"/>
                <w:spacing w:val="6"/>
                <w:sz w:val="24"/>
                <w:szCs w:val="24"/>
              </w:rPr>
              <w:t>在满足资格审查条件的基础上，近5年(任职时段在自招标公告发布之日起向前计算5年至投标截止之日，精确到天，以交工日期为准),每增加1个</w:t>
            </w:r>
            <w:r>
              <w:rPr>
                <w:rFonts w:hint="eastAsia"/>
                <w:spacing w:val="6"/>
                <w:sz w:val="24"/>
                <w:szCs w:val="24"/>
                <w:lang w:val="en-US" w:eastAsia="zh-CN"/>
              </w:rPr>
              <w:t>一</w:t>
            </w:r>
            <w:r>
              <w:rPr>
                <w:rFonts w:hint="eastAsia"/>
                <w:spacing w:val="6"/>
                <w:sz w:val="24"/>
                <w:szCs w:val="24"/>
              </w:rPr>
              <w:t>级及以上等级</w:t>
            </w:r>
            <w:r>
              <w:rPr>
                <w:rFonts w:hint="eastAsia"/>
                <w:spacing w:val="6"/>
                <w:sz w:val="24"/>
                <w:szCs w:val="24"/>
                <w:lang w:val="en-US" w:eastAsia="zh-CN"/>
              </w:rPr>
              <w:t>公路路基养护工程</w:t>
            </w:r>
            <w:r>
              <w:rPr>
                <w:rFonts w:hint="eastAsia"/>
                <w:spacing w:val="6"/>
                <w:sz w:val="24"/>
                <w:szCs w:val="24"/>
              </w:rPr>
              <w:t>施工的项目总工职务业绩加4分；在满足资格审查条件的基础上，近5年(任职时段在自招标公告发布之日起向前计算5年至投标截止之日，精确到天，以交工日期为准),每增加1个</w:t>
            </w:r>
            <w:r>
              <w:rPr>
                <w:rFonts w:hint="eastAsia"/>
                <w:spacing w:val="6"/>
                <w:sz w:val="24"/>
                <w:szCs w:val="24"/>
                <w:lang w:val="en-US" w:eastAsia="zh-CN"/>
              </w:rPr>
              <w:t>一</w:t>
            </w:r>
            <w:r>
              <w:rPr>
                <w:rFonts w:hint="eastAsia"/>
                <w:spacing w:val="6"/>
                <w:sz w:val="24"/>
                <w:szCs w:val="24"/>
              </w:rPr>
              <w:t>级及以上等级</w:t>
            </w:r>
            <w:r>
              <w:rPr>
                <w:rFonts w:hint="eastAsia"/>
                <w:spacing w:val="6"/>
                <w:sz w:val="24"/>
                <w:szCs w:val="24"/>
                <w:lang w:val="en-US" w:eastAsia="zh-CN"/>
              </w:rPr>
              <w:t>公路路基养护工程</w:t>
            </w:r>
            <w:r>
              <w:rPr>
                <w:rFonts w:hint="eastAsia"/>
                <w:spacing w:val="6"/>
                <w:sz w:val="24"/>
                <w:szCs w:val="24"/>
              </w:rPr>
              <w:t>施工的项目副总工职务的加2分。此项最多加4分。</w:t>
            </w:r>
          </w:p>
          <w:p w14:paraId="03F9E701">
            <w:pPr>
              <w:pStyle w:val="16"/>
              <w:numPr>
                <w:ilvl w:val="0"/>
                <w:numId w:val="0"/>
              </w:numPr>
              <w:spacing w:before="132" w:line="238" w:lineRule="auto"/>
              <w:jc w:val="center"/>
              <w:rPr>
                <w:spacing w:val="4"/>
                <w:sz w:val="24"/>
                <w:szCs w:val="24"/>
              </w:rPr>
            </w:pPr>
            <w:r>
              <w:rPr>
                <w:spacing w:val="4"/>
                <w:sz w:val="24"/>
                <w:szCs w:val="24"/>
                <w:highlight w:val="none"/>
              </w:rPr>
              <w:t>3.业绩证明材料同招标文件资格审查附录5要求。</w:t>
            </w:r>
          </w:p>
        </w:tc>
      </w:tr>
    </w:tbl>
    <w:p w14:paraId="4C8A609C">
      <w:pPr>
        <w:jc w:val="center"/>
        <w:rPr>
          <w:rFonts w:hint="eastAsia" w:ascii="Arial" w:hAnsi="Arial" w:eastAsia="宋体" w:cs="Arial"/>
          <w:sz w:val="21"/>
          <w:szCs w:val="21"/>
          <w:lang w:eastAsia="zh-CN"/>
        </w:rPr>
        <w:sectPr>
          <w:footerReference r:id="rId3" w:type="default"/>
          <w:pgSz w:w="11907" w:h="16840"/>
          <w:pgMar w:top="1431" w:right="1477" w:bottom="1064" w:left="1533" w:header="0" w:footer="831" w:gutter="0"/>
          <w:pgNumType w:fmt="decimal"/>
          <w:cols w:space="720" w:num="1"/>
        </w:sectPr>
      </w:pPr>
    </w:p>
    <w:tbl>
      <w:tblPr>
        <w:tblStyle w:val="17"/>
        <w:tblW w:w="8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
        <w:gridCol w:w="1432"/>
        <w:gridCol w:w="1227"/>
        <w:gridCol w:w="818"/>
        <w:gridCol w:w="4337"/>
      </w:tblGrid>
      <w:tr w14:paraId="47F03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2" w:hRule="atLeast"/>
        </w:trPr>
        <w:tc>
          <w:tcPr>
            <w:tcW w:w="968" w:type="dxa"/>
            <w:noWrap w:val="0"/>
            <w:vAlign w:val="center"/>
          </w:tcPr>
          <w:p w14:paraId="6189F90A">
            <w:pPr>
              <w:pStyle w:val="16"/>
              <w:spacing w:before="65"/>
              <w:ind w:left="116"/>
              <w:jc w:val="center"/>
              <w:rPr>
                <w:sz w:val="24"/>
                <w:szCs w:val="24"/>
              </w:rPr>
            </w:pPr>
            <w:r>
              <w:rPr>
                <w:spacing w:val="3"/>
                <w:sz w:val="24"/>
                <w:szCs w:val="24"/>
              </w:rPr>
              <w:t>2.2.2（3）</w:t>
            </w:r>
          </w:p>
        </w:tc>
        <w:tc>
          <w:tcPr>
            <w:tcW w:w="1432" w:type="dxa"/>
            <w:noWrap w:val="0"/>
            <w:vAlign w:val="center"/>
          </w:tcPr>
          <w:p w14:paraId="22C04234">
            <w:pPr>
              <w:pStyle w:val="16"/>
              <w:spacing w:before="65" w:line="228" w:lineRule="auto"/>
              <w:ind w:left="292"/>
              <w:jc w:val="center"/>
              <w:rPr>
                <w:sz w:val="24"/>
                <w:szCs w:val="24"/>
              </w:rPr>
            </w:pPr>
            <w:r>
              <w:rPr>
                <w:spacing w:val="7"/>
                <w:sz w:val="24"/>
                <w:szCs w:val="24"/>
              </w:rPr>
              <w:t>其他因素</w:t>
            </w:r>
          </w:p>
        </w:tc>
        <w:tc>
          <w:tcPr>
            <w:tcW w:w="1227" w:type="dxa"/>
            <w:noWrap w:val="0"/>
            <w:vAlign w:val="center"/>
          </w:tcPr>
          <w:p w14:paraId="7DA58672">
            <w:pPr>
              <w:pStyle w:val="16"/>
              <w:spacing w:before="65" w:line="228" w:lineRule="auto"/>
              <w:jc w:val="center"/>
              <w:rPr>
                <w:sz w:val="24"/>
                <w:szCs w:val="24"/>
              </w:rPr>
            </w:pPr>
            <w:r>
              <w:rPr>
                <w:spacing w:val="7"/>
                <w:sz w:val="24"/>
                <w:szCs w:val="24"/>
              </w:rPr>
              <w:t>技术能力</w:t>
            </w:r>
          </w:p>
        </w:tc>
        <w:tc>
          <w:tcPr>
            <w:tcW w:w="818" w:type="dxa"/>
            <w:noWrap w:val="0"/>
            <w:vAlign w:val="center"/>
          </w:tcPr>
          <w:p w14:paraId="1DD3C676">
            <w:pPr>
              <w:pStyle w:val="16"/>
              <w:spacing w:before="65" w:line="267" w:lineRule="exact"/>
              <w:jc w:val="center"/>
              <w:rPr>
                <w:sz w:val="24"/>
                <w:szCs w:val="24"/>
              </w:rPr>
            </w:pPr>
            <w:r>
              <w:rPr>
                <w:spacing w:val="-1"/>
                <w:position w:val="1"/>
                <w:sz w:val="24"/>
                <w:szCs w:val="24"/>
              </w:rPr>
              <w:t>10.0</w:t>
            </w:r>
          </w:p>
        </w:tc>
        <w:tc>
          <w:tcPr>
            <w:tcW w:w="4337" w:type="dxa"/>
            <w:noWrap w:val="0"/>
            <w:vAlign w:val="center"/>
          </w:tcPr>
          <w:p w14:paraId="156B10D0">
            <w:pPr>
              <w:pStyle w:val="16"/>
              <w:numPr>
                <w:ilvl w:val="0"/>
                <w:numId w:val="2"/>
              </w:numPr>
              <w:spacing w:before="134" w:line="251" w:lineRule="auto"/>
              <w:ind w:right="129"/>
              <w:jc w:val="center"/>
              <w:rPr>
                <w:sz w:val="24"/>
                <w:szCs w:val="24"/>
              </w:rPr>
            </w:pPr>
            <w:r>
              <w:rPr>
                <w:spacing w:val="5"/>
                <w:sz w:val="24"/>
                <w:szCs w:val="24"/>
              </w:rPr>
              <w:t>满足资格</w:t>
            </w:r>
            <w:r>
              <w:rPr>
                <w:spacing w:val="6"/>
                <w:sz w:val="24"/>
                <w:szCs w:val="24"/>
              </w:rPr>
              <w:t>审查最低要</w:t>
            </w:r>
            <w:r>
              <w:rPr>
                <w:spacing w:val="5"/>
                <w:sz w:val="24"/>
                <w:szCs w:val="24"/>
              </w:rPr>
              <w:t>求的，得8</w:t>
            </w:r>
            <w:r>
              <w:rPr>
                <w:spacing w:val="-1"/>
                <w:sz w:val="24"/>
                <w:szCs w:val="24"/>
              </w:rPr>
              <w:t>分；</w:t>
            </w:r>
            <w:r>
              <w:rPr>
                <w:spacing w:val="7"/>
                <w:sz w:val="24"/>
                <w:szCs w:val="24"/>
              </w:rPr>
              <w:t>2、在此基础上以下内容</w:t>
            </w:r>
            <w:r>
              <w:rPr>
                <w:spacing w:val="14"/>
                <w:sz w:val="24"/>
                <w:szCs w:val="24"/>
              </w:rPr>
              <w:t>累计最多加2</w:t>
            </w:r>
            <w:r>
              <w:rPr>
                <w:spacing w:val="-1"/>
                <w:sz w:val="24"/>
                <w:szCs w:val="24"/>
              </w:rPr>
              <w:t>分：</w:t>
            </w:r>
            <w:r>
              <w:rPr>
                <w:spacing w:val="8"/>
                <w:sz w:val="24"/>
                <w:szCs w:val="24"/>
              </w:rPr>
              <w:t>①工法或专</w:t>
            </w:r>
            <w:r>
              <w:rPr>
                <w:spacing w:val="-2"/>
                <w:sz w:val="24"/>
                <w:szCs w:val="24"/>
              </w:rPr>
              <w:t>利：获得的与</w:t>
            </w:r>
            <w:r>
              <w:rPr>
                <w:spacing w:val="22"/>
                <w:sz w:val="24"/>
                <w:szCs w:val="24"/>
              </w:rPr>
              <w:t>项目施工有</w:t>
            </w:r>
            <w:r>
              <w:rPr>
                <w:spacing w:val="7"/>
                <w:sz w:val="24"/>
                <w:szCs w:val="24"/>
              </w:rPr>
              <w:t>关的国家级</w:t>
            </w:r>
            <w:r>
              <w:rPr>
                <w:spacing w:val="-2"/>
                <w:sz w:val="24"/>
                <w:szCs w:val="24"/>
              </w:rPr>
              <w:t>工法，根据项</w:t>
            </w:r>
            <w:r>
              <w:rPr>
                <w:sz w:val="24"/>
                <w:szCs w:val="24"/>
              </w:rPr>
              <w:t>目类型选择</w:t>
            </w:r>
            <w:r>
              <w:rPr>
                <w:rFonts w:hint="eastAsia"/>
                <w:spacing w:val="6"/>
                <w:sz w:val="24"/>
                <w:szCs w:val="24"/>
                <w:lang w:eastAsia="zh-CN"/>
              </w:rPr>
              <w:t>路基</w:t>
            </w:r>
            <w:r>
              <w:rPr>
                <w:spacing w:val="6"/>
                <w:sz w:val="24"/>
                <w:szCs w:val="24"/>
              </w:rPr>
              <w:t>、</w:t>
            </w:r>
            <w:r>
              <w:rPr>
                <w:spacing w:val="2"/>
                <w:sz w:val="24"/>
                <w:szCs w:val="24"/>
              </w:rPr>
              <w:t>桥涵、隧道、</w:t>
            </w:r>
            <w:r>
              <w:rPr>
                <w:spacing w:val="23"/>
                <w:sz w:val="24"/>
                <w:szCs w:val="24"/>
              </w:rPr>
              <w:t>交通工程门</w:t>
            </w:r>
            <w:r>
              <w:rPr>
                <w:spacing w:val="-2"/>
                <w:sz w:val="24"/>
                <w:szCs w:val="24"/>
              </w:rPr>
              <w:t>类，以交通运</w:t>
            </w:r>
            <w:r>
              <w:rPr>
                <w:spacing w:val="23"/>
                <w:sz w:val="24"/>
                <w:szCs w:val="24"/>
              </w:rPr>
              <w:t>输部或中国</w:t>
            </w:r>
            <w:r>
              <w:rPr>
                <w:spacing w:val="6"/>
                <w:sz w:val="24"/>
                <w:szCs w:val="24"/>
              </w:rPr>
              <w:t>公路建设行</w:t>
            </w:r>
            <w:r>
              <w:rPr>
                <w:spacing w:val="8"/>
                <w:sz w:val="24"/>
                <w:szCs w:val="24"/>
              </w:rPr>
              <w:t>业协会网站</w:t>
            </w:r>
            <w:r>
              <w:rPr>
                <w:spacing w:val="-3"/>
                <w:sz w:val="24"/>
                <w:szCs w:val="24"/>
              </w:rPr>
              <w:t>公示为准（提</w:t>
            </w:r>
            <w:r>
              <w:rPr>
                <w:spacing w:val="5"/>
                <w:sz w:val="24"/>
                <w:szCs w:val="24"/>
              </w:rPr>
              <w:t>供截图</w:t>
            </w:r>
            <w:r>
              <w:rPr>
                <w:spacing w:val="-15"/>
                <w:sz w:val="24"/>
                <w:szCs w:val="24"/>
              </w:rPr>
              <w:t>），</w:t>
            </w:r>
            <w:r>
              <w:rPr>
                <w:spacing w:val="5"/>
                <w:sz w:val="24"/>
                <w:szCs w:val="24"/>
              </w:rPr>
              <w:t>且</w:t>
            </w:r>
            <w:r>
              <w:rPr>
                <w:spacing w:val="-1"/>
                <w:sz w:val="24"/>
                <w:szCs w:val="24"/>
              </w:rPr>
              <w:t>在有效期内；</w:t>
            </w:r>
            <w:r>
              <w:rPr>
                <w:spacing w:val="7"/>
                <w:sz w:val="24"/>
                <w:szCs w:val="24"/>
              </w:rPr>
              <w:t>或获得的国家知识产权局审批认定</w:t>
            </w:r>
            <w:r>
              <w:rPr>
                <w:spacing w:val="4"/>
                <w:sz w:val="24"/>
                <w:szCs w:val="24"/>
              </w:rPr>
              <w:t>的与项目施</w:t>
            </w:r>
            <w:r>
              <w:rPr>
                <w:spacing w:val="7"/>
                <w:sz w:val="24"/>
                <w:szCs w:val="24"/>
              </w:rPr>
              <w:t>工有关的专</w:t>
            </w:r>
            <w:r>
              <w:rPr>
                <w:spacing w:val="-2"/>
                <w:sz w:val="24"/>
                <w:szCs w:val="24"/>
              </w:rPr>
              <w:t>利，且在有效期内（提供专</w:t>
            </w:r>
            <w:r>
              <w:rPr>
                <w:spacing w:val="5"/>
                <w:sz w:val="24"/>
                <w:szCs w:val="24"/>
              </w:rPr>
              <w:t>利证书</w:t>
            </w:r>
            <w:r>
              <w:rPr>
                <w:spacing w:val="-15"/>
                <w:sz w:val="24"/>
                <w:szCs w:val="24"/>
              </w:rPr>
              <w:t>）；</w:t>
            </w:r>
            <w:r>
              <w:rPr>
                <w:spacing w:val="5"/>
                <w:sz w:val="24"/>
                <w:szCs w:val="24"/>
              </w:rPr>
              <w:t>每</w:t>
            </w:r>
            <w:r>
              <w:rPr>
                <w:spacing w:val="-5"/>
                <w:sz w:val="24"/>
                <w:szCs w:val="24"/>
              </w:rPr>
              <w:t>个加0.5分，</w:t>
            </w:r>
            <w:r>
              <w:rPr>
                <w:spacing w:val="3"/>
                <w:sz w:val="24"/>
                <w:szCs w:val="24"/>
              </w:rPr>
              <w:t>此项最多加1</w:t>
            </w:r>
            <w:r>
              <w:rPr>
                <w:spacing w:val="-1"/>
                <w:sz w:val="24"/>
                <w:szCs w:val="24"/>
              </w:rPr>
              <w:t>分。</w:t>
            </w:r>
            <w:r>
              <w:rPr>
                <w:spacing w:val="-2"/>
                <w:sz w:val="24"/>
                <w:szCs w:val="24"/>
              </w:rPr>
              <w:t>②获奖：获得</w:t>
            </w:r>
            <w:r>
              <w:rPr>
                <w:spacing w:val="4"/>
                <w:sz w:val="24"/>
                <w:szCs w:val="24"/>
              </w:rPr>
              <w:t>的与项目施</w:t>
            </w:r>
            <w:r>
              <w:rPr>
                <w:spacing w:val="7"/>
                <w:sz w:val="24"/>
                <w:szCs w:val="24"/>
              </w:rPr>
              <w:t>工有关的国家级或省部</w:t>
            </w:r>
            <w:r>
              <w:rPr>
                <w:spacing w:val="-2"/>
                <w:sz w:val="24"/>
                <w:szCs w:val="24"/>
              </w:rPr>
              <w:t>级奖项（提供获奖证书）的</w:t>
            </w:r>
            <w:r>
              <w:rPr>
                <w:spacing w:val="-5"/>
                <w:sz w:val="24"/>
                <w:szCs w:val="24"/>
              </w:rPr>
              <w:t>加0.5分，此</w:t>
            </w:r>
            <w:r>
              <w:rPr>
                <w:spacing w:val="12"/>
                <w:sz w:val="24"/>
                <w:szCs w:val="24"/>
              </w:rPr>
              <w:t>项最多加0.5</w:t>
            </w:r>
            <w:r>
              <w:rPr>
                <w:spacing w:val="-1"/>
                <w:sz w:val="24"/>
                <w:szCs w:val="24"/>
              </w:rPr>
              <w:t>分。</w:t>
            </w:r>
            <w:r>
              <w:rPr>
                <w:spacing w:val="6"/>
                <w:sz w:val="24"/>
                <w:szCs w:val="24"/>
              </w:rPr>
              <w:t>③标准制定：</w:t>
            </w:r>
            <w:r>
              <w:rPr>
                <w:spacing w:val="-2"/>
                <w:sz w:val="24"/>
                <w:szCs w:val="24"/>
              </w:rPr>
              <w:t>参与国家、行</w:t>
            </w:r>
            <w:r>
              <w:rPr>
                <w:spacing w:val="8"/>
                <w:sz w:val="24"/>
                <w:szCs w:val="24"/>
              </w:rPr>
              <w:t>业或省级地</w:t>
            </w:r>
            <w:r>
              <w:rPr>
                <w:spacing w:val="5"/>
                <w:sz w:val="24"/>
                <w:szCs w:val="24"/>
              </w:rPr>
              <w:t>区标准制定</w:t>
            </w:r>
            <w:r>
              <w:rPr>
                <w:spacing w:val="14"/>
                <w:sz w:val="24"/>
                <w:szCs w:val="24"/>
              </w:rPr>
              <w:t>的加0.5分</w:t>
            </w:r>
            <w:r>
              <w:rPr>
                <w:spacing w:val="22"/>
                <w:sz w:val="24"/>
                <w:szCs w:val="24"/>
              </w:rPr>
              <w:t>（提供相应</w:t>
            </w:r>
            <w:r>
              <w:rPr>
                <w:spacing w:val="7"/>
                <w:sz w:val="24"/>
                <w:szCs w:val="24"/>
              </w:rPr>
              <w:t>标准文件</w:t>
            </w:r>
            <w:r>
              <w:rPr>
                <w:spacing w:val="-16"/>
                <w:sz w:val="24"/>
                <w:szCs w:val="24"/>
              </w:rPr>
              <w:t>），</w:t>
            </w:r>
            <w:r>
              <w:rPr>
                <w:spacing w:val="22"/>
                <w:sz w:val="24"/>
                <w:szCs w:val="24"/>
              </w:rPr>
              <w:t>此项最多加</w:t>
            </w:r>
            <w:r>
              <w:rPr>
                <w:sz w:val="24"/>
                <w:szCs w:val="24"/>
              </w:rPr>
              <w:t>0.5分。</w:t>
            </w:r>
          </w:p>
        </w:tc>
      </w:tr>
      <w:tr w14:paraId="6C671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6" w:hRule="atLeast"/>
        </w:trPr>
        <w:tc>
          <w:tcPr>
            <w:tcW w:w="968" w:type="dxa"/>
            <w:noWrap w:val="0"/>
            <w:vAlign w:val="center"/>
          </w:tcPr>
          <w:p w14:paraId="2A3AC5CA">
            <w:pPr>
              <w:pStyle w:val="16"/>
              <w:spacing w:before="65"/>
              <w:ind w:left="116"/>
              <w:jc w:val="center"/>
              <w:rPr>
                <w:spacing w:val="3"/>
                <w:sz w:val="24"/>
                <w:szCs w:val="24"/>
              </w:rPr>
            </w:pPr>
          </w:p>
        </w:tc>
        <w:tc>
          <w:tcPr>
            <w:tcW w:w="1432" w:type="dxa"/>
            <w:noWrap w:val="0"/>
            <w:vAlign w:val="center"/>
          </w:tcPr>
          <w:p w14:paraId="5761B4E4">
            <w:pPr>
              <w:pStyle w:val="16"/>
              <w:spacing w:before="65" w:line="228" w:lineRule="auto"/>
              <w:ind w:left="292"/>
              <w:jc w:val="center"/>
              <w:rPr>
                <w:spacing w:val="7"/>
                <w:sz w:val="24"/>
                <w:szCs w:val="24"/>
              </w:rPr>
            </w:pPr>
          </w:p>
        </w:tc>
        <w:tc>
          <w:tcPr>
            <w:tcW w:w="1227" w:type="dxa"/>
            <w:noWrap w:val="0"/>
            <w:vAlign w:val="center"/>
          </w:tcPr>
          <w:p w14:paraId="7EE22D25">
            <w:pPr>
              <w:pStyle w:val="16"/>
              <w:spacing w:before="65" w:line="228" w:lineRule="auto"/>
              <w:jc w:val="center"/>
              <w:rPr>
                <w:spacing w:val="7"/>
                <w:sz w:val="24"/>
                <w:szCs w:val="24"/>
              </w:rPr>
            </w:pPr>
            <w:r>
              <w:rPr>
                <w:spacing w:val="6"/>
                <w:sz w:val="24"/>
                <w:szCs w:val="24"/>
              </w:rPr>
              <w:t>履约信誉</w:t>
            </w:r>
          </w:p>
        </w:tc>
        <w:tc>
          <w:tcPr>
            <w:tcW w:w="818" w:type="dxa"/>
            <w:noWrap w:val="0"/>
            <w:vAlign w:val="center"/>
          </w:tcPr>
          <w:p w14:paraId="78B9B137">
            <w:pPr>
              <w:pStyle w:val="16"/>
              <w:spacing w:before="65" w:line="267" w:lineRule="exact"/>
              <w:jc w:val="center"/>
              <w:rPr>
                <w:spacing w:val="-1"/>
                <w:position w:val="1"/>
                <w:sz w:val="24"/>
                <w:szCs w:val="24"/>
              </w:rPr>
            </w:pPr>
            <w:r>
              <w:rPr>
                <w:spacing w:val="-1"/>
                <w:position w:val="1"/>
                <w:sz w:val="24"/>
                <w:szCs w:val="24"/>
              </w:rPr>
              <w:t>15.0</w:t>
            </w:r>
          </w:p>
        </w:tc>
        <w:tc>
          <w:tcPr>
            <w:tcW w:w="4337" w:type="dxa"/>
            <w:noWrap w:val="0"/>
            <w:vAlign w:val="center"/>
          </w:tcPr>
          <w:p w14:paraId="6C14A01E">
            <w:pPr>
              <w:pStyle w:val="16"/>
              <w:numPr>
                <w:ilvl w:val="0"/>
                <w:numId w:val="0"/>
              </w:numPr>
              <w:spacing w:before="134" w:line="251" w:lineRule="auto"/>
              <w:ind w:right="129" w:rightChars="0"/>
              <w:jc w:val="center"/>
              <w:rPr>
                <w:spacing w:val="5"/>
                <w:sz w:val="24"/>
                <w:szCs w:val="24"/>
              </w:rPr>
            </w:pPr>
            <w:r>
              <w:rPr>
                <w:rFonts w:hint="eastAsia"/>
                <w:spacing w:val="5"/>
                <w:sz w:val="24"/>
                <w:szCs w:val="24"/>
                <w:lang w:val="en-US" w:eastAsia="zh-CN"/>
              </w:rPr>
              <w:t>信用等级为 AA 级的投标人，得15分；</w:t>
            </w:r>
          </w:p>
          <w:p w14:paraId="601F3A3B">
            <w:pPr>
              <w:pStyle w:val="16"/>
              <w:numPr>
                <w:ilvl w:val="0"/>
                <w:numId w:val="0"/>
              </w:numPr>
              <w:spacing w:before="134" w:line="251" w:lineRule="auto"/>
              <w:ind w:right="129" w:rightChars="0"/>
              <w:jc w:val="center"/>
              <w:rPr>
                <w:spacing w:val="5"/>
                <w:sz w:val="24"/>
                <w:szCs w:val="24"/>
              </w:rPr>
            </w:pPr>
            <w:r>
              <w:rPr>
                <w:rFonts w:hint="eastAsia"/>
                <w:spacing w:val="5"/>
                <w:sz w:val="24"/>
                <w:szCs w:val="24"/>
                <w:lang w:val="en-US" w:eastAsia="zh-CN"/>
              </w:rPr>
              <w:t>为 A 级的投标人，得14.7分；</w:t>
            </w:r>
          </w:p>
          <w:p w14:paraId="23A04DC7">
            <w:pPr>
              <w:pStyle w:val="16"/>
              <w:numPr>
                <w:ilvl w:val="0"/>
                <w:numId w:val="0"/>
              </w:numPr>
              <w:spacing w:before="134" w:line="251" w:lineRule="auto"/>
              <w:ind w:right="129" w:rightChars="0"/>
              <w:jc w:val="center"/>
              <w:rPr>
                <w:spacing w:val="5"/>
                <w:sz w:val="24"/>
                <w:szCs w:val="24"/>
              </w:rPr>
            </w:pPr>
            <w:r>
              <w:rPr>
                <w:rFonts w:hint="eastAsia"/>
                <w:spacing w:val="5"/>
                <w:sz w:val="24"/>
                <w:szCs w:val="24"/>
                <w:lang w:val="en-US" w:eastAsia="zh-CN"/>
              </w:rPr>
              <w:t>为 B 级的投标人，得14.1分；</w:t>
            </w:r>
          </w:p>
          <w:p w14:paraId="6BDB1438">
            <w:pPr>
              <w:pStyle w:val="16"/>
              <w:numPr>
                <w:ilvl w:val="0"/>
                <w:numId w:val="0"/>
              </w:numPr>
              <w:spacing w:before="134" w:line="251" w:lineRule="auto"/>
              <w:ind w:right="129" w:rightChars="0"/>
              <w:jc w:val="center"/>
              <w:rPr>
                <w:spacing w:val="5"/>
                <w:sz w:val="24"/>
                <w:szCs w:val="24"/>
              </w:rPr>
            </w:pPr>
            <w:r>
              <w:rPr>
                <w:rFonts w:hint="eastAsia"/>
                <w:spacing w:val="5"/>
                <w:sz w:val="24"/>
                <w:szCs w:val="24"/>
                <w:lang w:val="en-US" w:eastAsia="zh-CN"/>
              </w:rPr>
              <w:t>为 C 级的投标人，得 12.9分。</w:t>
            </w:r>
          </w:p>
          <w:p w14:paraId="14DD0802">
            <w:pPr>
              <w:pStyle w:val="16"/>
              <w:numPr>
                <w:ilvl w:val="0"/>
                <w:numId w:val="0"/>
              </w:numPr>
              <w:spacing w:before="134" w:line="251" w:lineRule="auto"/>
              <w:ind w:right="129" w:rightChars="0"/>
              <w:jc w:val="center"/>
              <w:rPr>
                <w:spacing w:val="5"/>
                <w:sz w:val="24"/>
                <w:szCs w:val="24"/>
              </w:rPr>
            </w:pPr>
            <w:r>
              <w:rPr>
                <w:rFonts w:hint="eastAsia"/>
                <w:spacing w:val="5"/>
                <w:sz w:val="24"/>
                <w:szCs w:val="24"/>
                <w:lang w:val="en-US" w:eastAsia="zh-CN"/>
              </w:rPr>
              <w:t>注：投标人按照投标文件格式中“信用评价等级”相关要求提供信用评价等级相关证明材料。</w:t>
            </w:r>
          </w:p>
        </w:tc>
      </w:tr>
      <w:tr w14:paraId="6F6FF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6" w:hRule="atLeast"/>
        </w:trPr>
        <w:tc>
          <w:tcPr>
            <w:tcW w:w="968" w:type="dxa"/>
            <w:noWrap w:val="0"/>
            <w:vAlign w:val="center"/>
          </w:tcPr>
          <w:p w14:paraId="186B7D5F">
            <w:pPr>
              <w:pStyle w:val="16"/>
              <w:spacing w:before="65"/>
              <w:ind w:left="116"/>
              <w:jc w:val="center"/>
              <w:rPr>
                <w:spacing w:val="3"/>
                <w:sz w:val="24"/>
                <w:szCs w:val="24"/>
              </w:rPr>
            </w:pPr>
          </w:p>
        </w:tc>
        <w:tc>
          <w:tcPr>
            <w:tcW w:w="1432" w:type="dxa"/>
            <w:noWrap w:val="0"/>
            <w:vAlign w:val="center"/>
          </w:tcPr>
          <w:p w14:paraId="055D3FC3">
            <w:pPr>
              <w:pStyle w:val="16"/>
              <w:spacing w:before="65" w:line="228" w:lineRule="auto"/>
              <w:ind w:left="292"/>
              <w:jc w:val="center"/>
              <w:rPr>
                <w:spacing w:val="7"/>
                <w:sz w:val="24"/>
                <w:szCs w:val="24"/>
              </w:rPr>
            </w:pPr>
          </w:p>
        </w:tc>
        <w:tc>
          <w:tcPr>
            <w:tcW w:w="1227" w:type="dxa"/>
            <w:noWrap w:val="0"/>
            <w:vAlign w:val="center"/>
          </w:tcPr>
          <w:p w14:paraId="14AB52AA">
            <w:pPr>
              <w:pStyle w:val="16"/>
              <w:spacing w:before="65" w:line="228" w:lineRule="auto"/>
              <w:jc w:val="center"/>
              <w:rPr>
                <w:spacing w:val="6"/>
                <w:sz w:val="24"/>
                <w:szCs w:val="24"/>
              </w:rPr>
            </w:pPr>
            <w:r>
              <w:rPr>
                <w:rFonts w:hint="eastAsia"/>
                <w:spacing w:val="6"/>
                <w:sz w:val="24"/>
                <w:szCs w:val="24"/>
                <w:lang w:val="en-US" w:eastAsia="zh-CN"/>
              </w:rPr>
              <w:t>业绩</w:t>
            </w:r>
          </w:p>
          <w:p w14:paraId="4662D8BD">
            <w:pPr>
              <w:pStyle w:val="16"/>
              <w:spacing w:before="65" w:line="228" w:lineRule="auto"/>
              <w:jc w:val="center"/>
              <w:rPr>
                <w:spacing w:val="6"/>
                <w:sz w:val="24"/>
                <w:szCs w:val="24"/>
              </w:rPr>
            </w:pPr>
          </w:p>
        </w:tc>
        <w:tc>
          <w:tcPr>
            <w:tcW w:w="818" w:type="dxa"/>
            <w:noWrap w:val="0"/>
            <w:vAlign w:val="center"/>
          </w:tcPr>
          <w:p w14:paraId="71E1138B">
            <w:pPr>
              <w:pStyle w:val="16"/>
              <w:spacing w:before="65" w:line="267" w:lineRule="exact"/>
              <w:jc w:val="center"/>
              <w:rPr>
                <w:rFonts w:hint="default" w:eastAsia="宋体"/>
                <w:spacing w:val="-1"/>
                <w:position w:val="1"/>
                <w:sz w:val="24"/>
                <w:szCs w:val="24"/>
                <w:lang w:val="en-US" w:eastAsia="zh-CN"/>
              </w:rPr>
            </w:pPr>
            <w:r>
              <w:rPr>
                <w:rFonts w:hint="eastAsia"/>
                <w:spacing w:val="-1"/>
                <w:position w:val="1"/>
                <w:sz w:val="24"/>
                <w:szCs w:val="24"/>
                <w:lang w:val="en-US" w:eastAsia="zh-CN"/>
              </w:rPr>
              <w:t>15.0</w:t>
            </w:r>
          </w:p>
        </w:tc>
        <w:tc>
          <w:tcPr>
            <w:tcW w:w="4337" w:type="dxa"/>
            <w:noWrap w:val="0"/>
            <w:vAlign w:val="center"/>
          </w:tcPr>
          <w:p w14:paraId="1227F0FA">
            <w:pPr>
              <w:pStyle w:val="16"/>
              <w:numPr>
                <w:ilvl w:val="0"/>
                <w:numId w:val="0"/>
              </w:numPr>
              <w:spacing w:before="134" w:line="251" w:lineRule="auto"/>
              <w:ind w:right="129" w:rightChars="0"/>
              <w:jc w:val="center"/>
              <w:rPr>
                <w:rFonts w:hint="eastAsia"/>
                <w:spacing w:val="5"/>
                <w:sz w:val="24"/>
                <w:szCs w:val="24"/>
                <w:lang w:val="en-US" w:eastAsia="zh-CN"/>
              </w:rPr>
            </w:pPr>
            <w:r>
              <w:rPr>
                <w:rFonts w:hint="eastAsia"/>
                <w:spacing w:val="5"/>
                <w:sz w:val="24"/>
                <w:szCs w:val="24"/>
                <w:lang w:val="en-US" w:eastAsia="zh-CN"/>
              </w:rPr>
              <w:t>1.满足资格审查条件（业绩最低要求）得 9 分；</w:t>
            </w:r>
          </w:p>
          <w:p w14:paraId="0B9676EC">
            <w:pPr>
              <w:pStyle w:val="16"/>
              <w:numPr>
                <w:ilvl w:val="0"/>
                <w:numId w:val="0"/>
              </w:numPr>
              <w:spacing w:before="134" w:line="251" w:lineRule="auto"/>
              <w:ind w:right="129" w:rightChars="0"/>
              <w:jc w:val="center"/>
              <w:rPr>
                <w:rFonts w:hint="eastAsia"/>
                <w:spacing w:val="5"/>
                <w:sz w:val="24"/>
                <w:szCs w:val="24"/>
                <w:lang w:val="en-US" w:eastAsia="zh-CN"/>
              </w:rPr>
            </w:pPr>
            <w:r>
              <w:rPr>
                <w:rFonts w:hint="eastAsia"/>
                <w:spacing w:val="5"/>
                <w:sz w:val="24"/>
                <w:szCs w:val="24"/>
                <w:lang w:val="en-US" w:eastAsia="zh-CN"/>
              </w:rPr>
              <w:t>2.在满足资格审查条件的基础上，近5年(自招标公告发布之日起向前计算5年至投标截止之日，精确到天，以交工日期为准)每增加一个一级及以上等级公路路基养护工程施工业绩加6分，此项最多加6分。</w:t>
            </w:r>
          </w:p>
          <w:p w14:paraId="19CF73DF">
            <w:pPr>
              <w:pStyle w:val="16"/>
              <w:numPr>
                <w:ilvl w:val="0"/>
                <w:numId w:val="0"/>
              </w:numPr>
              <w:spacing w:before="134" w:line="251" w:lineRule="auto"/>
              <w:ind w:right="129" w:rightChars="0"/>
              <w:jc w:val="center"/>
              <w:rPr>
                <w:rFonts w:hint="eastAsia"/>
                <w:spacing w:val="5"/>
                <w:sz w:val="24"/>
                <w:szCs w:val="24"/>
                <w:highlight w:val="none"/>
                <w:lang w:val="en-US" w:eastAsia="zh-CN"/>
              </w:rPr>
            </w:pPr>
            <w:r>
              <w:rPr>
                <w:rFonts w:hint="eastAsia"/>
                <w:spacing w:val="5"/>
                <w:sz w:val="24"/>
                <w:szCs w:val="24"/>
                <w:highlight w:val="none"/>
                <w:lang w:val="en-US" w:eastAsia="zh-CN"/>
              </w:rPr>
              <w:t>3.业绩证明材料同招标文件资格审查附录 3 要求。</w:t>
            </w:r>
          </w:p>
          <w:p w14:paraId="5F5F204B">
            <w:pPr>
              <w:pStyle w:val="16"/>
              <w:numPr>
                <w:ilvl w:val="0"/>
                <w:numId w:val="0"/>
              </w:numPr>
              <w:spacing w:before="134" w:line="251" w:lineRule="auto"/>
              <w:ind w:right="129" w:rightChars="0"/>
              <w:jc w:val="center"/>
              <w:rPr>
                <w:rFonts w:hint="eastAsia"/>
                <w:spacing w:val="5"/>
                <w:sz w:val="24"/>
                <w:szCs w:val="24"/>
                <w:lang w:val="en-US" w:eastAsia="zh-CN"/>
              </w:rPr>
            </w:pPr>
            <w:r>
              <w:rPr>
                <w:rFonts w:hint="eastAsia"/>
                <w:b/>
                <w:bCs/>
                <w:spacing w:val="5"/>
                <w:sz w:val="24"/>
                <w:szCs w:val="24"/>
                <w:highlight w:val="none"/>
                <w:lang w:val="en-US" w:eastAsia="zh-CN"/>
              </w:rPr>
              <w:t>注：（投标人提供的养护工程业绩须包括软基处理或路基加固等类似施工内容）</w:t>
            </w:r>
          </w:p>
        </w:tc>
      </w:tr>
    </w:tbl>
    <w:p w14:paraId="3C8981C5">
      <w:pPr>
        <w:jc w:val="center"/>
        <w:rPr>
          <w:rFonts w:hint="eastAsia" w:ascii="Arial" w:hAnsi="Arial" w:eastAsia="宋体" w:cs="Arial"/>
          <w:sz w:val="21"/>
          <w:szCs w:val="21"/>
          <w:lang w:eastAsia="zh-CN"/>
        </w:rPr>
        <w:sectPr>
          <w:footerReference r:id="rId4" w:type="default"/>
          <w:pgSz w:w="11907" w:h="16840"/>
          <w:pgMar w:top="1431" w:right="1477" w:bottom="1064" w:left="1533" w:header="0" w:footer="831" w:gutter="0"/>
          <w:pgNumType w:fmt="decimal"/>
          <w:cols w:space="720" w:num="1"/>
        </w:sectPr>
      </w:pPr>
    </w:p>
    <w:tbl>
      <w:tblPr>
        <w:tblStyle w:val="17"/>
        <w:tblW w:w="86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7747"/>
      </w:tblGrid>
      <w:tr w14:paraId="5BA53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689" w:type="dxa"/>
            <w:gridSpan w:val="2"/>
            <w:noWrap w:val="0"/>
            <w:vAlign w:val="top"/>
          </w:tcPr>
          <w:p w14:paraId="729BF34C">
            <w:pPr>
              <w:pStyle w:val="16"/>
              <w:spacing w:before="119" w:line="215" w:lineRule="auto"/>
              <w:ind w:left="27"/>
              <w:jc w:val="center"/>
              <w:rPr>
                <w:sz w:val="24"/>
                <w:szCs w:val="24"/>
              </w:rPr>
            </w:pPr>
            <w:r>
              <w:rPr>
                <w:spacing w:val="-3"/>
                <w:sz w:val="24"/>
                <w:szCs w:val="24"/>
              </w:rPr>
              <w:t>需要补充的其他内容：</w:t>
            </w:r>
          </w:p>
        </w:tc>
      </w:tr>
      <w:tr w14:paraId="608BF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2" w:type="dxa"/>
            <w:noWrap w:val="0"/>
            <w:vAlign w:val="top"/>
          </w:tcPr>
          <w:p w14:paraId="73E6F6D4">
            <w:pPr>
              <w:pStyle w:val="16"/>
              <w:spacing w:before="115" w:line="215" w:lineRule="auto"/>
              <w:ind w:left="119"/>
              <w:jc w:val="center"/>
              <w:rPr>
                <w:sz w:val="24"/>
                <w:szCs w:val="24"/>
              </w:rPr>
            </w:pPr>
            <w:r>
              <w:rPr>
                <w:spacing w:val="-4"/>
                <w:sz w:val="24"/>
                <w:szCs w:val="24"/>
              </w:rPr>
              <w:t>条款号</w:t>
            </w:r>
          </w:p>
        </w:tc>
        <w:tc>
          <w:tcPr>
            <w:tcW w:w="7747" w:type="dxa"/>
            <w:noWrap w:val="0"/>
            <w:vAlign w:val="top"/>
          </w:tcPr>
          <w:p w14:paraId="29FB4123">
            <w:pPr>
              <w:pStyle w:val="16"/>
              <w:spacing w:before="115" w:line="215" w:lineRule="auto"/>
              <w:ind w:left="3398"/>
              <w:jc w:val="center"/>
              <w:rPr>
                <w:sz w:val="24"/>
                <w:szCs w:val="24"/>
              </w:rPr>
            </w:pPr>
            <w:r>
              <w:rPr>
                <w:spacing w:val="-3"/>
                <w:sz w:val="24"/>
                <w:szCs w:val="24"/>
              </w:rPr>
              <w:t>编列内容</w:t>
            </w:r>
          </w:p>
        </w:tc>
      </w:tr>
      <w:tr w14:paraId="742E9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6" w:hRule="atLeast"/>
        </w:trPr>
        <w:tc>
          <w:tcPr>
            <w:tcW w:w="942" w:type="dxa"/>
            <w:noWrap w:val="0"/>
            <w:vAlign w:val="top"/>
          </w:tcPr>
          <w:p w14:paraId="43E0ADB0">
            <w:pPr>
              <w:jc w:val="center"/>
              <w:rPr>
                <w:rFonts w:ascii="Arial"/>
                <w:sz w:val="21"/>
              </w:rPr>
            </w:pPr>
          </w:p>
        </w:tc>
        <w:tc>
          <w:tcPr>
            <w:tcW w:w="7747" w:type="dxa"/>
            <w:noWrap w:val="0"/>
            <w:vAlign w:val="top"/>
          </w:tcPr>
          <w:p w14:paraId="6B3D4EF4">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4"/>
                <w:szCs w:val="24"/>
                <w:lang w:val="en-US" w:eastAsia="zh-CN" w:bidi="ar"/>
              </w:rPr>
              <w:t xml:space="preserve">评标办法 </w:t>
            </w:r>
          </w:p>
          <w:p w14:paraId="5F524D5B">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4"/>
                <w:szCs w:val="24"/>
                <w:lang w:val="en-US" w:eastAsia="zh-CN" w:bidi="ar"/>
              </w:rPr>
              <w:t xml:space="preserve">本条细化为： </w:t>
            </w:r>
          </w:p>
          <w:p w14:paraId="7C628B31">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4"/>
                <w:szCs w:val="24"/>
                <w:lang w:val="en-US" w:eastAsia="zh-CN" w:bidi="ar"/>
              </w:rPr>
              <w:t xml:space="preserve">1.1 本次评标采用双信封形式技术评分最低标价法，评标委员会首先对投标文件第一个信封（商务与技术文件）进行初步评审（形式评审与响应性评审、资格评审）。 </w:t>
            </w:r>
          </w:p>
          <w:p w14:paraId="65FF297C">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4"/>
                <w:szCs w:val="24"/>
                <w:lang w:val="en-US" w:eastAsia="zh-CN" w:bidi="ar"/>
              </w:rPr>
              <w:t xml:space="preserve">1.2 通过投标文件第一个信封初步评审的投标人未超过评标办法前附表第 3.2.4 项规定数量的，不再对投标人的商务和技术文件进行评分，其投标文件均通过投标文件第一个信封评审。 </w:t>
            </w:r>
          </w:p>
          <w:p w14:paraId="607A8B76">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4"/>
                <w:szCs w:val="24"/>
                <w:lang w:val="en-US" w:eastAsia="zh-CN" w:bidi="ar"/>
              </w:rPr>
              <w:t xml:space="preserve">1.3 通过投标文件第一个信封初步评审的投标人超过评标办法前附表第 3.2.4 项规定数量的，评标委员会对通过第一个信封初步评审的投标文件按照本章第 2.2 款规定的评分标准进行第一个信封详细评审及评分，并按照投标人的商务和技术得分（保留小数点后两位，小数点后第三“四舍五入”）由高到低排序，排名在评标办法前附表规定数量以内的投标人，其投标文件通过第一个信封评审。 </w:t>
            </w:r>
          </w:p>
          <w:p w14:paraId="17C83644">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4"/>
                <w:szCs w:val="24"/>
                <w:lang w:val="en-US" w:eastAsia="zh-CN" w:bidi="ar"/>
              </w:rPr>
              <w:t xml:space="preserve">当两家及以上投标人在标段中的商务和技术得分相等时，排名顺序则依次依据“履约信誉得分”、“主要人员得分”、“施工组织设计得分”、“技术能力得分”、“企业业绩得分”、“投标人上一年年末净资产”、“投标人近 3 年年平均营业收入”由高到低的顺序进行确定，若近 3 年年平均营业收入也相等时，则由评标委员会根据施工组织设计的编制情况投票确定其排名顺序。 </w:t>
            </w:r>
          </w:p>
          <w:p w14:paraId="0A5FCD46">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4"/>
                <w:szCs w:val="24"/>
                <w:lang w:val="en-US" w:eastAsia="zh-CN" w:bidi="ar"/>
              </w:rPr>
              <w:t xml:space="preserve">1.4 所有通过第一个信封初步评审后的投标文件方可进入第二个信封（报价文件）的开标，其第二个信封在监督机关的监督下进行开标；未通过第一个信封初步评审的投标人不进入第二个信封的评审，其第二个信封原封退回（或不予解密），不参与第二个信封的开标。 </w:t>
            </w:r>
          </w:p>
          <w:p w14:paraId="653C9DDA">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4"/>
                <w:szCs w:val="24"/>
                <w:lang w:val="en-US" w:eastAsia="zh-CN" w:bidi="ar"/>
              </w:rPr>
              <w:t xml:space="preserve">1.5 评标委员会对投标文件第二个信封进行初步评审（形式评审与响应性评审），并对通过第二个信封初步评审的投标人，评标委员会按评标价由低到高顺序确定中标候选人推荐排序，但评标价低于其成本的除外。 </w:t>
            </w:r>
          </w:p>
          <w:p w14:paraId="57BC31A7">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4"/>
                <w:szCs w:val="24"/>
                <w:lang w:val="en-US" w:eastAsia="zh-CN" w:bidi="ar"/>
              </w:rPr>
              <w:t xml:space="preserve">当两家及以上投标人在标段中的评标价相等时，若各投标人工程量清单子目单价也相同时，视为串标，其投标均被否决。当两家及以上投标人在标段中的评标价相等时，且各投标人工程量清单子目单价不尽相同时，推荐顺序则依次依据“履约信誉得分”、“主要人员得分”、“施工组织设 </w:t>
            </w:r>
          </w:p>
          <w:p w14:paraId="3E8EEA6F">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4"/>
                <w:szCs w:val="24"/>
                <w:lang w:val="en-US" w:eastAsia="zh-CN" w:bidi="ar"/>
              </w:rPr>
              <w:t xml:space="preserve">计得分”、“技术能力得分”、“企业业绩得分”、“投标人上一年年末净资产”、“投标人近 3 年年平均营业收入”由高到低的顺序进行确定，若近 3 年年平均营业收入也相等时，则由评标委员会根据施工组织设计的编制情况投票确定其推荐顺序。 </w:t>
            </w:r>
          </w:p>
          <w:p w14:paraId="6CA6D8A9">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4"/>
                <w:szCs w:val="24"/>
                <w:lang w:val="en-US" w:eastAsia="zh-CN" w:bidi="ar"/>
              </w:rPr>
              <w:t>1.6 参与本次招标投标的投标人，最多被允许取得其中</w:t>
            </w:r>
            <w:r>
              <w:rPr>
                <w:rFonts w:hint="eastAsia"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个标段的中标资格（适用于多个标段）。 </w:t>
            </w:r>
          </w:p>
          <w:p w14:paraId="5C3C99B2">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4"/>
                <w:szCs w:val="24"/>
                <w:lang w:val="en-US" w:eastAsia="zh-CN" w:bidi="ar"/>
              </w:rPr>
              <w:t xml:space="preserve">评标委员会推荐次序： </w:t>
            </w:r>
          </w:p>
          <w:p w14:paraId="20F75A0A">
            <w:pPr>
              <w:keepNext w:val="0"/>
              <w:keepLines w:val="0"/>
              <w:widowControl/>
              <w:suppressLineNumbers w:val="0"/>
              <w:spacing w:line="480" w:lineRule="auto"/>
              <w:jc w:val="left"/>
              <w:rPr>
                <w:sz w:val="24"/>
                <w:szCs w:val="24"/>
              </w:rPr>
            </w:pPr>
            <w:r>
              <w:rPr>
                <w:rFonts w:hint="eastAsia" w:ascii="宋体" w:hAnsi="宋体" w:eastAsia="宋体" w:cs="宋体"/>
                <w:color w:val="000000"/>
                <w:kern w:val="0"/>
                <w:sz w:val="24"/>
                <w:szCs w:val="24"/>
                <w:lang w:val="en-US" w:eastAsia="zh-CN" w:bidi="ar"/>
              </w:rPr>
              <w:t>1.7 某一标段通过第一个信封评审且参与第二个信封开标的投标人在 3 个及以上的，招标人将按规定的程序进行第二个信封开标；在对第二个信封进行评审后，有效投标不足 3 个使得投标明显缺乏竞争的，评标委员会可以否决这一标段的全部投标。评标委员会未否决全部投标的，应当在评标报告中阐明理由并推荐这一标段中标候选人。某一标段通过第一个信封评审且参与第二个信封开标的投标人少于 3 个的，评标委员会可以否决这一标段全部投标。未否决全部投标的，评标委员会应当在评标报告中阐明理由，招标人应当按照规定的程序进行第二信封开标，但评标委员会在进行报价文 件评审时仍有权否决全部投标；评标委员会未在报价文件评审时否决全部投标的，应当在评标报告中阐明理由并推荐中标候选人。</w:t>
            </w:r>
          </w:p>
          <w:p w14:paraId="2EE8BFE6">
            <w:pPr>
              <w:pStyle w:val="16"/>
              <w:numPr>
                <w:ilvl w:val="0"/>
                <w:numId w:val="0"/>
              </w:numPr>
              <w:spacing w:before="32" w:line="251" w:lineRule="auto"/>
              <w:jc w:val="both"/>
            </w:pPr>
          </w:p>
        </w:tc>
      </w:tr>
    </w:tbl>
    <w:p w14:paraId="5552FFE7">
      <w:pPr>
        <w:rPr>
          <w:rFonts w:hint="eastAsia" w:ascii="宋体" w:hAnsi="宋体" w:eastAsia="宋体" w:cs="宋体"/>
          <w:sz w:val="28"/>
          <w:szCs w:val="28"/>
        </w:rPr>
      </w:pPr>
      <w:r>
        <w:rPr>
          <w:rFonts w:hint="eastAsia" w:ascii="宋体" w:hAnsi="宋体" w:eastAsia="宋体" w:cs="宋体"/>
          <w:sz w:val="28"/>
          <w:szCs w:val="28"/>
        </w:rPr>
        <w:br w:type="page"/>
      </w:r>
    </w:p>
    <w:p w14:paraId="06B0CAA7">
      <w:pPr>
        <w:spacing w:line="360" w:lineRule="auto"/>
        <w:rPr>
          <w:rFonts w:hint="eastAsia" w:ascii="宋体" w:hAnsi="宋体" w:eastAsia="宋体" w:cs="宋体"/>
          <w:sz w:val="28"/>
          <w:szCs w:val="28"/>
        </w:rPr>
      </w:pPr>
    </w:p>
    <w:p w14:paraId="66ADB67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附件：国家级奖项</w:t>
      </w:r>
    </w:p>
    <w:tbl>
      <w:tblPr>
        <w:tblStyle w:val="17"/>
        <w:tblW w:w="90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4424"/>
        <w:gridCol w:w="3929"/>
      </w:tblGrid>
      <w:tr w14:paraId="3DA5F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21" w:type="dxa"/>
            <w:noWrap w:val="0"/>
            <w:vAlign w:val="top"/>
          </w:tcPr>
          <w:p w14:paraId="1C2850B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序号</w:t>
            </w:r>
          </w:p>
        </w:tc>
        <w:tc>
          <w:tcPr>
            <w:tcW w:w="4424" w:type="dxa"/>
            <w:noWrap w:val="0"/>
            <w:vAlign w:val="top"/>
          </w:tcPr>
          <w:p w14:paraId="0DA9911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奖项名称</w:t>
            </w:r>
          </w:p>
        </w:tc>
        <w:tc>
          <w:tcPr>
            <w:tcW w:w="3929" w:type="dxa"/>
            <w:noWrap w:val="0"/>
            <w:vAlign w:val="top"/>
          </w:tcPr>
          <w:p w14:paraId="44FC5C0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授予部门</w:t>
            </w:r>
          </w:p>
        </w:tc>
      </w:tr>
      <w:tr w14:paraId="5C9C6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1" w:type="dxa"/>
            <w:noWrap w:val="0"/>
            <w:vAlign w:val="top"/>
          </w:tcPr>
          <w:p w14:paraId="6101C6F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w:t>
            </w:r>
          </w:p>
        </w:tc>
        <w:tc>
          <w:tcPr>
            <w:tcW w:w="4424" w:type="dxa"/>
            <w:noWrap w:val="0"/>
            <w:vAlign w:val="top"/>
          </w:tcPr>
          <w:p w14:paraId="6820384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中华人民共和国科学技术进步奖</w:t>
            </w:r>
          </w:p>
        </w:tc>
        <w:tc>
          <w:tcPr>
            <w:tcW w:w="3929" w:type="dxa"/>
            <w:noWrap w:val="0"/>
            <w:vAlign w:val="top"/>
          </w:tcPr>
          <w:p w14:paraId="6481E5C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中华人民共和国国务院</w:t>
            </w:r>
          </w:p>
        </w:tc>
      </w:tr>
      <w:tr w14:paraId="27DA4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21" w:type="dxa"/>
            <w:noWrap w:val="0"/>
            <w:vAlign w:val="top"/>
          </w:tcPr>
          <w:p w14:paraId="66F8498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p>
        </w:tc>
        <w:tc>
          <w:tcPr>
            <w:tcW w:w="4424" w:type="dxa"/>
            <w:noWrap w:val="0"/>
            <w:vAlign w:val="top"/>
          </w:tcPr>
          <w:p w14:paraId="6CA0325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中国建筑工程鲁班奖</w:t>
            </w:r>
          </w:p>
        </w:tc>
        <w:tc>
          <w:tcPr>
            <w:tcW w:w="3929" w:type="dxa"/>
            <w:noWrap w:val="0"/>
            <w:vAlign w:val="top"/>
          </w:tcPr>
          <w:p w14:paraId="3068CE7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中国建筑业协会</w:t>
            </w:r>
          </w:p>
        </w:tc>
      </w:tr>
      <w:tr w14:paraId="3D0C6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1" w:type="dxa"/>
            <w:noWrap w:val="0"/>
            <w:vAlign w:val="top"/>
          </w:tcPr>
          <w:p w14:paraId="50DDE34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w:t>
            </w:r>
          </w:p>
        </w:tc>
        <w:tc>
          <w:tcPr>
            <w:tcW w:w="4424" w:type="dxa"/>
            <w:noWrap w:val="0"/>
            <w:vAlign w:val="top"/>
          </w:tcPr>
          <w:p w14:paraId="55A20E7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国家优质工程奖</w:t>
            </w:r>
          </w:p>
        </w:tc>
        <w:tc>
          <w:tcPr>
            <w:tcW w:w="3929" w:type="dxa"/>
            <w:noWrap w:val="0"/>
            <w:vAlign w:val="top"/>
          </w:tcPr>
          <w:p w14:paraId="1B06E01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中国施工企业管理协会</w:t>
            </w:r>
          </w:p>
        </w:tc>
      </w:tr>
      <w:tr w14:paraId="1C962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1" w:type="dxa"/>
            <w:noWrap w:val="0"/>
            <w:vAlign w:val="top"/>
          </w:tcPr>
          <w:p w14:paraId="176509E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w:t>
            </w:r>
          </w:p>
        </w:tc>
        <w:tc>
          <w:tcPr>
            <w:tcW w:w="4424" w:type="dxa"/>
            <w:noWrap w:val="0"/>
            <w:vAlign w:val="top"/>
          </w:tcPr>
          <w:p w14:paraId="18E6009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中国土木工程詹天佑奖</w:t>
            </w:r>
          </w:p>
        </w:tc>
        <w:tc>
          <w:tcPr>
            <w:tcW w:w="3929" w:type="dxa"/>
            <w:noWrap w:val="0"/>
            <w:vAlign w:val="top"/>
          </w:tcPr>
          <w:p w14:paraId="6CE80A7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中国土木工程学会</w:t>
            </w:r>
          </w:p>
        </w:tc>
      </w:tr>
      <w:tr w14:paraId="189BA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1" w:type="dxa"/>
            <w:noWrap w:val="0"/>
            <w:vAlign w:val="top"/>
          </w:tcPr>
          <w:p w14:paraId="6A75CE3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4424" w:type="dxa"/>
            <w:noWrap w:val="0"/>
            <w:vAlign w:val="top"/>
          </w:tcPr>
          <w:p w14:paraId="23AF38F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3929" w:type="dxa"/>
            <w:noWrap w:val="0"/>
            <w:vAlign w:val="top"/>
          </w:tcPr>
          <w:p w14:paraId="2F3AB86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r>
      <w:tr w14:paraId="3EF6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21" w:type="dxa"/>
            <w:noWrap w:val="0"/>
            <w:vAlign w:val="top"/>
          </w:tcPr>
          <w:p w14:paraId="0D63D7B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4424" w:type="dxa"/>
            <w:noWrap w:val="0"/>
            <w:vAlign w:val="top"/>
          </w:tcPr>
          <w:p w14:paraId="2A4135E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3929" w:type="dxa"/>
            <w:noWrap w:val="0"/>
            <w:vAlign w:val="top"/>
          </w:tcPr>
          <w:p w14:paraId="77E71CA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r>
      <w:tr w14:paraId="56235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1" w:type="dxa"/>
            <w:noWrap w:val="0"/>
            <w:vAlign w:val="top"/>
          </w:tcPr>
          <w:p w14:paraId="209E831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4424" w:type="dxa"/>
            <w:noWrap w:val="0"/>
            <w:vAlign w:val="top"/>
          </w:tcPr>
          <w:p w14:paraId="401144D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3929" w:type="dxa"/>
            <w:noWrap w:val="0"/>
            <w:vAlign w:val="top"/>
          </w:tcPr>
          <w:p w14:paraId="626BED1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r>
      <w:tr w14:paraId="51DBD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1" w:type="dxa"/>
            <w:noWrap w:val="0"/>
            <w:vAlign w:val="top"/>
          </w:tcPr>
          <w:p w14:paraId="73B7ABA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4424" w:type="dxa"/>
            <w:noWrap w:val="0"/>
            <w:vAlign w:val="top"/>
          </w:tcPr>
          <w:p w14:paraId="781CC21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3929" w:type="dxa"/>
            <w:noWrap w:val="0"/>
            <w:vAlign w:val="top"/>
          </w:tcPr>
          <w:p w14:paraId="71CCAB2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r>
      <w:tr w14:paraId="02A72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21" w:type="dxa"/>
            <w:noWrap w:val="0"/>
            <w:vAlign w:val="top"/>
          </w:tcPr>
          <w:p w14:paraId="6402A63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4424" w:type="dxa"/>
            <w:noWrap w:val="0"/>
            <w:vAlign w:val="top"/>
          </w:tcPr>
          <w:p w14:paraId="6B79051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3929" w:type="dxa"/>
            <w:noWrap w:val="0"/>
            <w:vAlign w:val="top"/>
          </w:tcPr>
          <w:p w14:paraId="0AC88D0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r>
    </w:tbl>
    <w:p w14:paraId="37FE7C0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附件：省部级奖项</w:t>
      </w:r>
    </w:p>
    <w:tbl>
      <w:tblPr>
        <w:tblStyle w:val="17"/>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4367"/>
        <w:gridCol w:w="3874"/>
      </w:tblGrid>
      <w:tr w14:paraId="1BC64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13" w:type="dxa"/>
            <w:noWrap w:val="0"/>
            <w:vAlign w:val="top"/>
          </w:tcPr>
          <w:p w14:paraId="013EE55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序号</w:t>
            </w:r>
          </w:p>
        </w:tc>
        <w:tc>
          <w:tcPr>
            <w:tcW w:w="4367" w:type="dxa"/>
            <w:noWrap w:val="0"/>
            <w:vAlign w:val="top"/>
          </w:tcPr>
          <w:p w14:paraId="1636260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奖项名称</w:t>
            </w:r>
          </w:p>
        </w:tc>
        <w:tc>
          <w:tcPr>
            <w:tcW w:w="3874" w:type="dxa"/>
            <w:noWrap w:val="0"/>
            <w:vAlign w:val="top"/>
          </w:tcPr>
          <w:p w14:paraId="3FFB16C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授予部门</w:t>
            </w:r>
          </w:p>
        </w:tc>
      </w:tr>
      <w:tr w14:paraId="41D62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3" w:type="dxa"/>
            <w:noWrap w:val="0"/>
            <w:vAlign w:val="top"/>
          </w:tcPr>
          <w:p w14:paraId="0FAC500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w:t>
            </w:r>
          </w:p>
        </w:tc>
        <w:tc>
          <w:tcPr>
            <w:tcW w:w="4367" w:type="dxa"/>
            <w:noWrap w:val="0"/>
            <w:vAlign w:val="top"/>
          </w:tcPr>
          <w:p w14:paraId="7A089FC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李春奖（公路交通优质工程奖）</w:t>
            </w:r>
          </w:p>
        </w:tc>
        <w:tc>
          <w:tcPr>
            <w:tcW w:w="3874" w:type="dxa"/>
            <w:noWrap w:val="0"/>
            <w:vAlign w:val="top"/>
          </w:tcPr>
          <w:p w14:paraId="305E137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中国公路建设行业协会</w:t>
            </w:r>
          </w:p>
        </w:tc>
      </w:tr>
      <w:tr w14:paraId="508FE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13" w:type="dxa"/>
            <w:noWrap w:val="0"/>
            <w:vAlign w:val="top"/>
          </w:tcPr>
          <w:p w14:paraId="351FB98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p>
        </w:tc>
        <w:tc>
          <w:tcPr>
            <w:tcW w:w="4367" w:type="dxa"/>
            <w:noWrap w:val="0"/>
            <w:vAlign w:val="top"/>
          </w:tcPr>
          <w:p w14:paraId="5A8C970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省级科学技术进步奖</w:t>
            </w:r>
          </w:p>
        </w:tc>
        <w:tc>
          <w:tcPr>
            <w:tcW w:w="3874" w:type="dxa"/>
            <w:noWrap w:val="0"/>
            <w:vAlign w:val="top"/>
          </w:tcPr>
          <w:p w14:paraId="6875F10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r>
      <w:tr w14:paraId="2976A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3" w:type="dxa"/>
            <w:noWrap w:val="0"/>
            <w:vAlign w:val="top"/>
          </w:tcPr>
          <w:p w14:paraId="075D2F2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4367" w:type="dxa"/>
            <w:noWrap w:val="0"/>
            <w:vAlign w:val="top"/>
          </w:tcPr>
          <w:p w14:paraId="72B9073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3874" w:type="dxa"/>
            <w:noWrap w:val="0"/>
            <w:vAlign w:val="top"/>
          </w:tcPr>
          <w:p w14:paraId="5BF2194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r>
      <w:tr w14:paraId="3A254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13" w:type="dxa"/>
            <w:noWrap w:val="0"/>
            <w:vAlign w:val="top"/>
          </w:tcPr>
          <w:p w14:paraId="5D35404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4367" w:type="dxa"/>
            <w:noWrap w:val="0"/>
            <w:vAlign w:val="top"/>
          </w:tcPr>
          <w:p w14:paraId="4AACE45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3874" w:type="dxa"/>
            <w:noWrap w:val="0"/>
            <w:vAlign w:val="top"/>
          </w:tcPr>
          <w:p w14:paraId="5B60B37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r>
      <w:tr w14:paraId="6D83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3" w:type="dxa"/>
            <w:noWrap w:val="0"/>
            <w:vAlign w:val="top"/>
          </w:tcPr>
          <w:p w14:paraId="68416FC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4367" w:type="dxa"/>
            <w:noWrap w:val="0"/>
            <w:vAlign w:val="top"/>
          </w:tcPr>
          <w:p w14:paraId="24F5AB3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3874" w:type="dxa"/>
            <w:noWrap w:val="0"/>
            <w:vAlign w:val="top"/>
          </w:tcPr>
          <w:p w14:paraId="6568E8F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r>
      <w:tr w14:paraId="2F4ED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3" w:type="dxa"/>
            <w:noWrap w:val="0"/>
            <w:vAlign w:val="top"/>
          </w:tcPr>
          <w:p w14:paraId="01A0A32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4367" w:type="dxa"/>
            <w:noWrap w:val="0"/>
            <w:vAlign w:val="top"/>
          </w:tcPr>
          <w:p w14:paraId="04EE00E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3874" w:type="dxa"/>
            <w:noWrap w:val="0"/>
            <w:vAlign w:val="top"/>
          </w:tcPr>
          <w:p w14:paraId="0CE4004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r>
      <w:tr w14:paraId="00F4D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13" w:type="dxa"/>
            <w:noWrap w:val="0"/>
            <w:vAlign w:val="top"/>
          </w:tcPr>
          <w:p w14:paraId="088FFB6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4367" w:type="dxa"/>
            <w:noWrap w:val="0"/>
            <w:vAlign w:val="top"/>
          </w:tcPr>
          <w:p w14:paraId="18DA4D2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c>
          <w:tcPr>
            <w:tcW w:w="3874" w:type="dxa"/>
            <w:noWrap w:val="0"/>
            <w:vAlign w:val="top"/>
          </w:tcPr>
          <w:p w14:paraId="5C7BA55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center"/>
              <w:textAlignment w:val="auto"/>
              <w:outlineLvl w:val="9"/>
              <w:rPr>
                <w:rFonts w:hint="eastAsia" w:ascii="宋体" w:hAnsi="宋体" w:eastAsia="宋体" w:cs="宋体"/>
                <w:spacing w:val="0"/>
                <w:position w:val="0"/>
                <w:sz w:val="24"/>
                <w:szCs w:val="24"/>
              </w:rPr>
            </w:pPr>
          </w:p>
        </w:tc>
      </w:tr>
    </w:tbl>
    <w:p w14:paraId="317CA6B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sectPr>
          <w:footerReference r:id="rId5" w:type="default"/>
          <w:pgSz w:w="11907" w:h="16840"/>
          <w:pgMar w:top="1431" w:right="1296" w:bottom="1064" w:left="1531" w:header="0" w:footer="831" w:gutter="0"/>
          <w:pgNumType w:fmt="decimal"/>
          <w:cols w:space="720" w:num="1"/>
        </w:sectPr>
      </w:pPr>
    </w:p>
    <w:p w14:paraId="081B4B8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 评标方法</w:t>
      </w:r>
    </w:p>
    <w:p w14:paraId="6F648F7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本次评标采用技术评分最低标价法。评标委员会对满足招标文件实质性要求的 投标文件的施工组织设计、主要人员、技术能力等因素进行评分，按照得分由高到 低排序，对排名在招标文件规定数量以内的投标人的报价文件进行评审，按照评标 价由低到高的顺序推荐中标候选人，或根据招标人授权直接确定中标人，但投标报 价低于其成本的除外。评标价相等时，评标委员会应按照评标办法前附表规定的优 先次序推荐中标候选人或确定中标人。</w:t>
      </w:r>
    </w:p>
    <w:p w14:paraId="619F9AF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 评审标准</w:t>
      </w:r>
    </w:p>
    <w:p w14:paraId="7F7E750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 初步评审标准</w:t>
      </w:r>
    </w:p>
    <w:p w14:paraId="5B86568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 形式评审标准：见评标办法前附表。</w:t>
      </w:r>
    </w:p>
    <w:p w14:paraId="247981B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2.1.2 资格评审标准：见评标办法前附表（适用于未进行资格预审的）。</w:t>
      </w:r>
    </w:p>
    <w:p w14:paraId="35DD4F2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2.1.3 响应性评审标准：见评标办法前附表。</w:t>
      </w:r>
    </w:p>
    <w:p w14:paraId="382202A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 分值构成与评分标准</w:t>
      </w:r>
    </w:p>
    <w:p w14:paraId="2753A7C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2.2.1 第一个信封评分分值构成</w:t>
      </w:r>
    </w:p>
    <w:p w14:paraId="3073259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（1）施工组织设计：见评标办法前附表；</w:t>
      </w:r>
    </w:p>
    <w:p w14:paraId="5ED1B41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（2）主要人员：见评标办法前附表；</w:t>
      </w:r>
    </w:p>
    <w:p w14:paraId="07F24FD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（3）其他评分因素：见评标办法前附表。</w:t>
      </w:r>
    </w:p>
    <w:p w14:paraId="71A5C42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2.2.2 第一个信封评分标准</w:t>
      </w:r>
    </w:p>
    <w:p w14:paraId="1B1F86E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（1）施工组织设计评分标准：见评标办法前附表；</w:t>
      </w:r>
    </w:p>
    <w:p w14:paraId="7FE2C76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（2）主要人员评分标准：见评标办法前附表；</w:t>
      </w:r>
    </w:p>
    <w:p w14:paraId="5724443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（3）其他因素评分标准：见评标办法前附表。</w:t>
      </w:r>
    </w:p>
    <w:p w14:paraId="64A84EC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2.2.3 第二个信封详细评审标准：见评标办法前附表。</w:t>
      </w:r>
    </w:p>
    <w:p w14:paraId="58822F9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 评标程序</w:t>
      </w:r>
    </w:p>
    <w:p w14:paraId="04FF763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3.1 第一个信封初步评审</w:t>
      </w:r>
    </w:p>
    <w:p w14:paraId="48B0D1A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3.1.1 评标委员会依据本章第 2.1 款规定的标准对投标文件第一个信封（商务 及技术文件）进行初步评审。有一项不符合评审标准的，评标委员会应否决其投标。 （适用于未进行资格预审的）</w:t>
      </w:r>
    </w:p>
    <w:p w14:paraId="3139888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sectPr>
          <w:footerReference r:id="rId6" w:type="default"/>
          <w:pgSz w:w="11907" w:h="16840"/>
          <w:pgMar w:top="1431" w:right="1506" w:bottom="1096" w:left="1652" w:header="0" w:footer="862" w:gutter="0"/>
          <w:pgNumType w:fmt="decimal"/>
          <w:cols w:space="720" w:num="1"/>
        </w:sectPr>
      </w:pPr>
    </w:p>
    <w:p w14:paraId="681355F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3.2 第一个信封详细评审</w:t>
      </w:r>
    </w:p>
    <w:p w14:paraId="3F85570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3.2.1 评标委员会按本章第 2.2 款规定的量化因素和分值进行打分，并计算出 各投标人的商务和技术得分。</w:t>
      </w:r>
    </w:p>
    <w:p w14:paraId="26487A4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（1）按本章第 2.2.2 项（1） 目规定的评审因素和分值对施工组织设计部分计 算出得分 A；</w:t>
      </w:r>
    </w:p>
    <w:p w14:paraId="1A3D1CB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（2）按本章第 2.2.2 项（2） 目规定的评审因素和分值对主要人员部分计算出 得分 B；</w:t>
      </w:r>
    </w:p>
    <w:p w14:paraId="6DDA4A7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（3）按本章第 2.2.2 项（3） 目规定的评审因素和分值对其他部分计算出得分 C。</w:t>
      </w:r>
    </w:p>
    <w:p w14:paraId="0805E80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3.2.2 投标人的商务和技术得分分值计算保留小数点后两位，小数点后第三位 “ 四舍五入 ”。</w:t>
      </w:r>
    </w:p>
    <w:p w14:paraId="2C010D5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3.2.3 投标人的商务和技术得分=A+B+C。</w:t>
      </w:r>
    </w:p>
    <w:p w14:paraId="1CDABD7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3.2.4 评标委员会按照投标人的商务和技术得分由高到低排序，排名在评标办 法前附表规定数量以内的投标人，其投标文件第一个信封（商务及技术文件）通过 详细评审。</w:t>
      </w:r>
    </w:p>
    <w:p w14:paraId="3CCA76B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3.2.5 通过投标文件第一个信封（商务及技术文件）初步评审的投标人不少于 3 个且未超过评标办法前附表第 3.2.4 项规定数量的，均通过投标文件第一个信封 （商务及技术文件）详细评审，不再对投标人的商务和技术文件进行评分。</w:t>
      </w:r>
    </w:p>
    <w:p w14:paraId="2AD7BBA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3.3 第二个信封开标</w:t>
      </w:r>
    </w:p>
    <w:p w14:paraId="4A8FA4E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第一个信封（商务及技术文件）评审结束后，招标人将按照第二章“投标人须 知 ”第 5.1 款规定的时间和地点对通过投标文件第一个信封（商务及技术文件）评 审的投标文件第二个信封（报价文件）进行开标。</w:t>
      </w:r>
    </w:p>
    <w:p w14:paraId="6859B0B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3.4 第二个信封初步评审</w:t>
      </w:r>
    </w:p>
    <w:p w14:paraId="7FE8B00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3.4.1 评标委员会依据本章第 2.1.1 项、第 2.1.3 项规定的评审标准对投标文 件第二个信封（报价文件）进行初步评审。有一项不符合评审标准的，评标委员会 应否决其投标。</w:t>
      </w:r>
    </w:p>
    <w:p w14:paraId="52FEAF6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3.4.2 投标报价有算术错误的，评标委员会按以下原则对投标报价进行修正， 修正的价格经投标人数据电文确认后具有约束力。投标人不接受修正价格的，评标 委员会应否决其投标。</w:t>
      </w:r>
    </w:p>
    <w:p w14:paraId="2EEAF67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（1）投标文件中的大写金额与小写金额不一致的，以大写金额为准；</w:t>
      </w:r>
    </w:p>
    <w:p w14:paraId="72DA2A8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（2）总价金额与依据单价计算出的结果不一致的，以单价金额为准修正总价， 但单价金额小数点有明显错误的除外;</w:t>
      </w:r>
    </w:p>
    <w:p w14:paraId="34DAA1C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（3）当单价与数量相乘不等于合价时，以单价计算为准，如果单价有明显的小数点位置差错，应以标出的合价为准，同时对单价予以修正；</w:t>
      </w:r>
    </w:p>
    <w:p w14:paraId="4D8313A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（4）当各子目的合价累计不等于总价时，应以各子目合价累计数为准，修正总 价。</w:t>
      </w:r>
    </w:p>
    <w:p w14:paraId="06EA80C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3.4.3 工程量清单中的投标报价有其他错误的，评标委员会按以下原则对投标 报价进行修正，修正的价格经投标人数据电文确认后具有约束力。投标人不接受修 正价格的，评标委员会应否决其投标。</w:t>
      </w:r>
    </w:p>
    <w:p w14:paraId="1FA4315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（1）在招标人给定的工程量清单中漏报了某个工程子目的单价、合价或总额价， 或所报单价、合价或总额价减少了报价范围，则漏报的工程子目单价、合价和总额 价或单价、合价和总额价中减少的报价内容视为已含入其他工程子目的单价、合价 和总额价之中。</w:t>
      </w:r>
    </w:p>
    <w:p w14:paraId="779D6A7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（2）在招标人给定的工程量清单中多报了某个工程子目的单价、合价或总额价， 或所报单价、合价或总额价增加了报价范围，则从投标报价中扣除多报的工程子目 报价或工程子目报价中增加了报价范围的部分报价。</w:t>
      </w:r>
    </w:p>
    <w:p w14:paraId="377ADCE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（3）当单价与数量的乘积与合价（金额）虽然一致，但投标人修改了该子目的 工程数量，则其合价按招标人给定的工程数量乘以投标人所报单价予以修正。</w:t>
      </w:r>
    </w:p>
    <w:p w14:paraId="521A828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3.4.4 修正后的最终投标报价若超过最高投标限价（如有），评标委员会应否 决其投标。</w:t>
      </w:r>
    </w:p>
    <w:p w14:paraId="034CD37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3.5 第二个信封详细评审</w:t>
      </w:r>
    </w:p>
    <w:p w14:paraId="26F5A73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3.5.1 评标委员会按本章第 2.2 款规定的量化因素和标准进行价格折算，计算 出评标价，并编制价格比较一览表。</w:t>
      </w:r>
    </w:p>
    <w:p w14:paraId="6AA1995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3.5.2 评标委员会发现投标人的报价明显低于其他投标报价，使得其投标报价 可能低于其个别成本的，应要求该投标人作出数据电文说明并提供相应的证明材料。 投标人不能合理说明或不能提供相应证明材料的，由评标委员会认定该投标人以低 于成本报价竞标，并否决其投标。</w:t>
      </w:r>
    </w:p>
    <w:p w14:paraId="392F833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3.6 投标文件相关信息的核查</w:t>
      </w:r>
    </w:p>
    <w:p w14:paraId="32BEECB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3.6.1 在评标过程中，评标委员会应查询交通运输主管部门“公路建设市场信 用信息管理系统 ”，对投标人的资质、业绩、主要人员资历和目前在岗情况、信用 等级等信息进行核实。若投标文件载明的信息与交通运输主管部门“公路建设市场 信用信息管理系统 ”发布的信息不符，使得投标人的资格条件不符合招标文件规定 的，评标委员会应否决其投标。</w:t>
      </w:r>
    </w:p>
    <w:p w14:paraId="0438F73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3.6.2 评标委员会应对在评标过程中发现的投标人与投标人之间、投标人与招 标人之间存在的串通投标的情形进行评审和认定。投标人存在串通投标、弄虚作假、 行贿等违法行为的，评标委员会应否决其投标。</w:t>
      </w:r>
    </w:p>
    <w:p w14:paraId="2B6ED2E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（1）有下列情形之一的，属于投标人相互串通投标：</w:t>
      </w:r>
    </w:p>
    <w:p w14:paraId="471DCCC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a.投标人之间协商投标报价等投标文件的实质性内容；</w:t>
      </w:r>
    </w:p>
    <w:p w14:paraId="659CDAA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b.投标人之间约定中标人；</w:t>
      </w:r>
    </w:p>
    <w:p w14:paraId="692B767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c.投标人之间约定部分投标人放弃投标或中标；</w:t>
      </w:r>
    </w:p>
    <w:p w14:paraId="38E8672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d.属于同一集团、协会、商会等组织成员的投标人按照该组织要求协同投标；</w:t>
      </w:r>
    </w:p>
    <w:p w14:paraId="5B1986D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e.投标人之间为谋取中标或排斥特定投标人而采取的其他联合行动。</w:t>
      </w:r>
    </w:p>
    <w:p w14:paraId="0165BF0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（2）有下列情形之一的，视为投标人相互串通投标：</w:t>
      </w:r>
    </w:p>
    <w:p w14:paraId="3E454DA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a.不同投标人的投标文件由同一单位或个人编制；</w:t>
      </w:r>
    </w:p>
    <w:p w14:paraId="00BA781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b.不同投标人委托同一单位或个人办理投标事宜；</w:t>
      </w:r>
    </w:p>
    <w:p w14:paraId="6D72D44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c.不同投标人的投标文件载明的项目管理成员为同一人；</w:t>
      </w:r>
    </w:p>
    <w:p w14:paraId="5E23225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d.不同投标人的投标文件异常一致或投标报价呈规律性差异；</w:t>
      </w:r>
    </w:p>
    <w:p w14:paraId="0E708B6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e.不同投标人的投标文件出自同一台电脑或同一单位电脑的；</w:t>
      </w:r>
    </w:p>
    <w:p w14:paraId="78786F4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f.不同投标人的投标保证金从同一单位或个人的账户转出；</w:t>
      </w:r>
    </w:p>
    <w:p w14:paraId="39E30FC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g.不同投标人编制的投标文件存在两处以上相同错误的；</w:t>
      </w:r>
    </w:p>
    <w:p w14:paraId="116E65B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h.不同投标人通过同一单位的 IP 地址下载招标文件或上传投标文件的；</w:t>
      </w:r>
    </w:p>
    <w:p w14:paraId="27CC9F9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i.参加投标活动的人员为同一项目其他投标人的在职人员的；</w:t>
      </w:r>
    </w:p>
    <w:p w14:paraId="27B8562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j.不同投标人的法定代表人或者委托代理人、项目负责人、项目总监等人员有 在同一单位缴纳社会保险的；</w:t>
      </w:r>
    </w:p>
    <w:p w14:paraId="3942F99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k.不同投标人的投标保证金由同一自然人、法人、其他组织账户或者同一账户 资金缴纳，或者不同投标人的投标保证金从各自的基本账户转出，但所需资金来自 同一自然人、法人或者其他组织账户的；</w:t>
      </w:r>
    </w:p>
    <w:p w14:paraId="2C62182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l.不同投标人参与同一项目招标投标活动中，使用的计算机网卡 MAC 地址、CPU 序列号、硬盘序列号、加密锁序列号等信息相同的。</w:t>
      </w:r>
    </w:p>
    <w:p w14:paraId="5379B02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（3）有下列情形之一的，属于招标人与投标人串通投标：</w:t>
      </w:r>
    </w:p>
    <w:p w14:paraId="6F73ACD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a.招标人在开标前开启投标文件并将有关信息泄露给其他投标人;</w:t>
      </w:r>
    </w:p>
    <w:p w14:paraId="5F8C28F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b.招标人直接或间接向投标人泄露标底、评标委员会成员等信息；</w:t>
      </w:r>
    </w:p>
    <w:p w14:paraId="1DFF3A9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c.招标人明示或暗示投标人压低或抬高投标报价；</w:t>
      </w:r>
    </w:p>
    <w:p w14:paraId="40BC7B3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d.招标人授意投标人撤换、修改投标文件；</w:t>
      </w:r>
    </w:p>
    <w:p w14:paraId="0DA74A9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e.招标人明示或暗示投标人为特定投标人中标提供方便；</w:t>
      </w:r>
    </w:p>
    <w:p w14:paraId="39EFC2A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f.招标人与投标人为谋求特定投标人中标而采取的其他串通行为；</w:t>
      </w:r>
    </w:p>
    <w:p w14:paraId="5A97E9A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g.招标人、招标代理机构故意损毁、篡改特定的投标文件内容，或者在资格预 审时损毁、篡改特定的资格预审申请文件内容的；</w:t>
      </w:r>
    </w:p>
    <w:p w14:paraId="6FD3953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h.招标人、招标代理机构、评标委员会成员直接或者间接向投标人或者投标人 的利害关系人泄露获取资格预审文件或者通过资格预审的申请人的名称、数量的； 或者泄露获取招标文件的潜在投标人的名称、数量的；</w:t>
      </w:r>
    </w:p>
    <w:p w14:paraId="2D908CE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i.招标人、招标代理机构、评标委员会成员直接或者间接向投标人或者投标人 的利害关系人泄露资格审查或者评标情况的；</w:t>
      </w:r>
    </w:p>
    <w:p w14:paraId="7B697F7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j.招标人、招标代理机构以胁迫、劝退、利诱等方式，使特定投标人以外的其 他投标人放弃投标或者中标人放弃中标的；</w:t>
      </w:r>
    </w:p>
    <w:p w14:paraId="01C6AD2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k.在依法必须进行招标的项目的中标人确定前，投标人已经开展该项目招标范 围内的工作的。</w:t>
      </w:r>
    </w:p>
    <w:p w14:paraId="421907D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（4）投标人有下列情形之一的，属于弄虚作假的行为：</w:t>
      </w:r>
    </w:p>
    <w:p w14:paraId="4003DDA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a.使用通过受让或租借等方式获取的资格、资质证书投标；</w:t>
      </w:r>
    </w:p>
    <w:p w14:paraId="7D6712A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b.使用伪造、变造的许可证件；</w:t>
      </w:r>
    </w:p>
    <w:p w14:paraId="1F039E2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c.提供虚假的财务状况或业绩；</w:t>
      </w:r>
    </w:p>
    <w:p w14:paraId="10BD75A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d.提供虚假的项目负责人或主要技术人员简历、劳动关系证明；</w:t>
      </w:r>
    </w:p>
    <w:p w14:paraId="17BFFB6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e.提供虚假的信用状况；</w:t>
      </w:r>
    </w:p>
    <w:p w14:paraId="5EB3E8F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f.其他弄虚作假的行为。</w:t>
      </w:r>
    </w:p>
    <w:p w14:paraId="4C7F2C5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3.7 投标文件的澄清和说明</w:t>
      </w:r>
    </w:p>
    <w:p w14:paraId="6B317C0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3.7.1 在评标过程中，评标委员会可以通过“宁夏回族自治区公共资源交易平 台 ”以数据电文形式要求投标人对投标文件中含义不明确的内容、明显文字错误进 行数据电文澄清或说明。评标委员会不接受投标人主动提出的澄清、说明。投标人 不按评标委员会要求澄清或说明的，评标委员会应否决其投标。</w:t>
      </w:r>
    </w:p>
    <w:p w14:paraId="27D4C2C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3.7.2 澄清和说明不得超出投标文件的范围或改变投标文件的实质性内容（算 术性错误的修正除外）。投标人的数据电文澄清、说明属于投标文件的组成部分。</w:t>
      </w:r>
    </w:p>
    <w:p w14:paraId="2BF544D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3.7.3 评标委员会不得暗示或诱导投标人作出澄清、说明，对投标人提交的澄 清、说明有疑问的，可以要求投标人进一步澄清或说明，直至满足评标委员会的要 求。</w:t>
      </w:r>
    </w:p>
    <w:p w14:paraId="1B1E608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3.7.4 凡超出招标文件规定的或给发包人带来未曾要求的利益的变化、偏差或 其他因素在评标时不予考虑。</w:t>
      </w:r>
    </w:p>
    <w:p w14:paraId="0962C6E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3.8 不得否决投标的情形</w:t>
      </w:r>
    </w:p>
    <w:p w14:paraId="2C3FC66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投标文件存在第二章“投标人须知 ”第 1.12.3 项所列情形的，均视为细微偏差，</w:t>
      </w:r>
    </w:p>
    <w:p w14:paraId="6179C83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评标委员会不得否决投标人的投标，应按照第二章“投标人须知 ”第 1.12.4 项规定 的原则处理。</w:t>
      </w:r>
    </w:p>
    <w:p w14:paraId="4A9D412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3.9 评标结果</w:t>
      </w:r>
    </w:p>
    <w:p w14:paraId="6FCCD35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3.9.1 除第二章“投标人须知 ”前附表授权直接确定中标人外，评标委员会按 照评标价由低到高的顺序推荐中标候选人，并标明排序。</w:t>
      </w:r>
    </w:p>
    <w:p w14:paraId="492914A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3.9.2 评标委员会完成评标后，应通过“宁夏回族自治区公共资源交易平台 ”向招标人提交评标报告。</w:t>
      </w:r>
    </w:p>
    <w:p w14:paraId="19BEE792">
      <w:pPr>
        <w:spacing w:line="360" w:lineRule="auto"/>
        <w:rPr>
          <w:rFonts w:hint="eastAsia" w:ascii="宋体" w:hAnsi="宋体" w:eastAsia="宋体" w:cs="宋体"/>
          <w:sz w:val="28"/>
          <w:szCs w:val="28"/>
        </w:rPr>
      </w:pPr>
    </w:p>
    <w:p w14:paraId="334AEC4B">
      <w:pPr>
        <w:spacing w:line="360" w:lineRule="auto"/>
        <w:rPr>
          <w:rFonts w:hint="eastAsia" w:ascii="宋体" w:hAnsi="宋体" w:eastAsia="宋体" w:cs="宋体"/>
          <w:sz w:val="28"/>
          <w:szCs w:val="28"/>
        </w:rPr>
      </w:pPr>
    </w:p>
    <w:p w14:paraId="109CB52F">
      <w:pPr>
        <w:spacing w:line="360" w:lineRule="auto"/>
        <w:rPr>
          <w:rStyle w:val="13"/>
          <w:rFonts w:hint="eastAsia" w:ascii="宋体" w:hAnsi="宋体" w:eastAsia="宋体" w:cs="宋体"/>
          <w:b w:val="0"/>
          <w:bCs/>
          <w:sz w:val="28"/>
          <w:szCs w:val="28"/>
          <w:highlight w:val="yellow"/>
          <w:lang w:val="en-US" w:eastAsia="zh-CN"/>
        </w:rPr>
      </w:pPr>
    </w:p>
    <w:sectPr>
      <w:footerReference r:id="rId7" w:type="default"/>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5801">
    <w:pPr>
      <w:spacing w:line="229" w:lineRule="auto"/>
      <w:ind w:left="4369"/>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1D913">
                          <w:pPr>
                            <w:pStyle w:val="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C11D913">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D8B1">
    <w:pPr>
      <w:spacing w:line="229" w:lineRule="auto"/>
      <w:ind w:left="4369"/>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1C7353">
                          <w:pPr>
                            <w:pStyle w:val="8"/>
                          </w:pPr>
                          <w:r>
                            <w:fldChar w:fldCharType="begin"/>
                          </w:r>
                          <w:r>
                            <w:instrText xml:space="preserve"> PAGE  \* MERGEFORMAT </w:instrText>
                          </w:r>
                          <w:r>
                            <w:fldChar w:fldCharType="separate"/>
                          </w:r>
                          <w:r>
                            <w:t>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11C7353">
                    <w:pPr>
                      <w:pStyle w:val="8"/>
                    </w:pPr>
                    <w:r>
                      <w:fldChar w:fldCharType="begin"/>
                    </w:r>
                    <w:r>
                      <w:instrText xml:space="preserve"> PAGE  \* MERGEFORMAT </w:instrText>
                    </w:r>
                    <w:r>
                      <w:fldChar w:fldCharType="separate"/>
                    </w:r>
                    <w:r>
                      <w:t>60</w:t>
                    </w:r>
                    <w:r>
                      <w:fldChar w:fldCharType="end"/>
                    </w:r>
                  </w:p>
                </w:txbxContent>
              </v:textbox>
            </v:shape>
          </w:pict>
        </mc:Fallback>
      </mc:AlternateContent>
    </w:r>
    <w:r>
      <w:rPr>
        <w:rFonts w:ascii="宋体" w:hAnsi="宋体" w:eastAsia="宋体" w:cs="宋体"/>
        <w:spacing w:val="-6"/>
        <w:sz w:val="18"/>
        <w:szCs w:val="18"/>
      </w:rPr>
      <w:t>73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27360">
    <w:pPr>
      <w:spacing w:line="229" w:lineRule="auto"/>
      <w:ind w:left="4372"/>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EEAFE3">
                          <w:pPr>
                            <w:pStyle w:val="8"/>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AEEAFE3">
                    <w:pPr>
                      <w:pStyle w:val="8"/>
                    </w:pPr>
                    <w:r>
                      <w:fldChar w:fldCharType="begin"/>
                    </w:r>
                    <w:r>
                      <w:instrText xml:space="preserve"> PAGE  \* MERGEFORMAT </w:instrText>
                    </w:r>
                    <w:r>
                      <w:fldChar w:fldCharType="separate"/>
                    </w:r>
                    <w:r>
                      <w:t>64</w:t>
                    </w:r>
                    <w:r>
                      <w:fldChar w:fldCharType="end"/>
                    </w:r>
                  </w:p>
                </w:txbxContent>
              </v:textbox>
            </v:shape>
          </w:pict>
        </mc:Fallback>
      </mc:AlternateContent>
    </w:r>
    <w:r>
      <w:rPr>
        <w:rFonts w:ascii="宋体" w:hAnsi="宋体" w:eastAsia="宋体" w:cs="宋体"/>
        <w:spacing w:val="-6"/>
        <w:sz w:val="18"/>
        <w:szCs w:val="18"/>
      </w:rPr>
      <w:t>77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94ED">
    <w:pPr>
      <w:pStyle w:val="7"/>
      <w:spacing w:line="229" w:lineRule="auto"/>
      <w:ind w:left="4250"/>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DC07F5">
                          <w:pPr>
                            <w:pStyle w:val="8"/>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6DC07F5">
                    <w:pPr>
                      <w:pStyle w:val="8"/>
                    </w:pPr>
                    <w:r>
                      <w:fldChar w:fldCharType="begin"/>
                    </w:r>
                    <w:r>
                      <w:instrText xml:space="preserve"> PAGE  \* MERGEFORMAT </w:instrText>
                    </w:r>
                    <w:r>
                      <w:fldChar w:fldCharType="separate"/>
                    </w:r>
                    <w:r>
                      <w:t>65</w:t>
                    </w:r>
                    <w:r>
                      <w:fldChar w:fldCharType="end"/>
                    </w:r>
                  </w:p>
                </w:txbxContent>
              </v:textbox>
            </v:shape>
          </w:pict>
        </mc:Fallback>
      </mc:AlternateContent>
    </w:r>
    <w:r>
      <w:rPr>
        <w:spacing w:val="-6"/>
        <w:sz w:val="18"/>
        <w:szCs w:val="18"/>
      </w:rPr>
      <w:t>78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FCCBB">
    <w:pPr>
      <w:spacing w:line="229" w:lineRule="auto"/>
      <w:ind w:left="4369"/>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910306">
                          <w:pPr>
                            <w:pStyle w:val="8"/>
                          </w:pPr>
                          <w:r>
                            <w:fldChar w:fldCharType="begin"/>
                          </w:r>
                          <w:r>
                            <w:instrText xml:space="preserve"> PAGE  \* MERGEFORMAT </w:instrText>
                          </w:r>
                          <w:r>
                            <w:fldChar w:fldCharType="separate"/>
                          </w:r>
                          <w:r>
                            <w:t>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B910306">
                    <w:pPr>
                      <w:pStyle w:val="8"/>
                    </w:pPr>
                    <w:r>
                      <w:fldChar w:fldCharType="begin"/>
                    </w:r>
                    <w:r>
                      <w:instrText xml:space="preserve"> PAGE  \* MERGEFORMAT </w:instrText>
                    </w:r>
                    <w:r>
                      <w:fldChar w:fldCharType="separate"/>
                    </w:r>
                    <w:r>
                      <w:t>60</w:t>
                    </w:r>
                    <w:r>
                      <w:fldChar w:fldCharType="end"/>
                    </w:r>
                  </w:p>
                </w:txbxContent>
              </v:textbox>
            </v:shape>
          </w:pict>
        </mc:Fallback>
      </mc:AlternateContent>
    </w:r>
    <w:r>
      <w:rPr>
        <w:rFonts w:ascii="宋体" w:hAnsi="宋体" w:eastAsia="宋体" w:cs="宋体"/>
        <w:spacing w:val="-6"/>
        <w:sz w:val="18"/>
        <w:szCs w:val="18"/>
      </w:rPr>
      <w:t>73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27690"/>
    <w:multiLevelType w:val="singleLevel"/>
    <w:tmpl w:val="A7627690"/>
    <w:lvl w:ilvl="0" w:tentative="0">
      <w:start w:val="1"/>
      <w:numFmt w:val="chineseCounting"/>
      <w:suff w:val="nothing"/>
      <w:lvlText w:val="%1、"/>
      <w:lvlJc w:val="left"/>
      <w:rPr>
        <w:rFonts w:hint="eastAsia"/>
      </w:rPr>
    </w:lvl>
  </w:abstractNum>
  <w:abstractNum w:abstractNumId="1">
    <w:nsid w:val="14007279"/>
    <w:multiLevelType w:val="singleLevel"/>
    <w:tmpl w:val="1400727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B7F0B"/>
    <w:rsid w:val="3B3D6F2F"/>
    <w:rsid w:val="3CFF708B"/>
    <w:rsid w:val="3F9A5D98"/>
    <w:rsid w:val="3FA80A84"/>
    <w:rsid w:val="3FD85478"/>
    <w:rsid w:val="4A9D3546"/>
    <w:rsid w:val="4CC011AD"/>
    <w:rsid w:val="63461DD4"/>
    <w:rsid w:val="6AD466B8"/>
    <w:rsid w:val="6E0E0A62"/>
    <w:rsid w:val="793B0E86"/>
    <w:rsid w:val="7A056BAC"/>
    <w:rsid w:val="7E930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kern w:val="2"/>
      <w:sz w:val="32"/>
      <w:szCs w:val="32"/>
    </w:rPr>
  </w:style>
  <w:style w:type="paragraph" w:styleId="3">
    <w:name w:val="heading 3"/>
    <w:basedOn w:val="1"/>
    <w:next w:val="1"/>
    <w:unhideWhenUsed/>
    <w:qFormat/>
    <w:uiPriority w:val="0"/>
    <w:pPr>
      <w:keepNext/>
      <w:keepLines/>
      <w:spacing w:before="260" w:after="260" w:line="416" w:lineRule="auto"/>
      <w:outlineLvl w:val="2"/>
    </w:pPr>
    <w:rPr>
      <w:b/>
      <w:bCs/>
      <w:szCs w:val="32"/>
    </w:rPr>
  </w:style>
  <w:style w:type="paragraph" w:styleId="4">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spacing w:line="360" w:lineRule="auto"/>
      <w:ind w:left="420" w:leftChars="200" w:firstLine="640" w:firstLineChars="200"/>
    </w:pPr>
    <w:rPr>
      <w:rFonts w:ascii="宋体" w:hAnsi="宋体" w:eastAsia="宋体" w:cs="Times New Roman"/>
      <w:sz w:val="24"/>
    </w:rPr>
  </w:style>
  <w:style w:type="paragraph" w:styleId="6">
    <w:name w:val="Normal Indent"/>
    <w:basedOn w:val="1"/>
    <w:qFormat/>
    <w:uiPriority w:val="0"/>
    <w:pPr>
      <w:ind w:firstLine="420"/>
    </w:pPr>
    <w:rPr>
      <w:rFonts w:eastAsia="宋体"/>
      <w:kern w:val="0"/>
      <w:sz w:val="20"/>
      <w:szCs w:val="24"/>
    </w:rPr>
  </w:style>
  <w:style w:type="paragraph" w:styleId="7">
    <w:name w:val="Body Text"/>
    <w:basedOn w:val="1"/>
    <w:qFormat/>
    <w:uiPriority w:val="0"/>
    <w:pPr>
      <w:spacing w:after="120" w:afterLines="0"/>
    </w:pPr>
    <w:rPr>
      <w:rFonts w:ascii="Times New Roman" w:hAnsi="Times New Roman"/>
      <w:kern w:val="2"/>
      <w:szCs w:val="24"/>
    </w:rPr>
  </w:style>
  <w:style w:type="paragraph" w:styleId="8">
    <w:name w:val="footer"/>
    <w:basedOn w:val="1"/>
    <w:qFormat/>
    <w:uiPriority w:val="0"/>
    <w:pPr>
      <w:tabs>
        <w:tab w:val="center" w:pos="4153"/>
        <w:tab w:val="right" w:pos="8306"/>
      </w:tabs>
      <w:snapToGrid w:val="0"/>
      <w:jc w:val="left"/>
    </w:pPr>
    <w:rPr>
      <w:rFonts w:ascii="Times New Roman" w:hAnsi="Times New Roman"/>
      <w:kern w:val="2"/>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rPr>
  </w:style>
  <w:style w:type="paragraph" w:customStyle="1" w:styleId="14">
    <w:name w:val="正文_2"/>
    <w:next w:val="15"/>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5">
    <w:name w:val="正文缩进_1"/>
    <w:qFormat/>
    <w:uiPriority w:val="0"/>
    <w:pPr>
      <w:widowControl w:val="0"/>
      <w:ind w:firstLine="420" w:firstLineChars="200"/>
      <w:jc w:val="both"/>
    </w:pPr>
    <w:rPr>
      <w:rFonts w:ascii="Times New Roman" w:hAnsi="Times New Roman" w:eastAsia="仿宋_GB2312" w:cs="Times New Roman"/>
      <w:kern w:val="2"/>
      <w:sz w:val="28"/>
      <w:szCs w:val="24"/>
      <w:lang w:val="en-US" w:eastAsia="zh-CN" w:bidi="ar-SA"/>
    </w:rPr>
  </w:style>
  <w:style w:type="paragraph" w:customStyle="1" w:styleId="16">
    <w:name w:val="Table Text"/>
    <w:basedOn w:val="1"/>
    <w:semiHidden/>
    <w:qFormat/>
    <w:uiPriority w:val="0"/>
    <w:rPr>
      <w:rFonts w:ascii="宋体" w:hAnsi="宋体" w:eastAsia="宋体" w:cs="宋体"/>
      <w:sz w:val="23"/>
      <w:szCs w:val="23"/>
      <w:lang w:val="en-US" w:eastAsia="en-US" w:bidi="ar-SA"/>
    </w:rPr>
  </w:style>
  <w:style w:type="table" w:customStyle="1" w:styleId="17">
    <w:name w:val="Table Normal"/>
    <w:qFormat/>
    <w:uiPriority w:val="2"/>
    <w:rPr>
      <w:lang w:val="en-US" w:eastAsia="zh-CN" w:bidi="ar-SA"/>
    </w:rPr>
    <w:tblPr>
      <w:tblCellMar>
        <w:top w:w="0" w:type="dxa"/>
        <w:left w:w="0" w:type="dxa"/>
        <w:bottom w:w="0" w:type="dxa"/>
        <w:right w:w="0" w:type="dxa"/>
      </w:tblCellMar>
    </w:tblPr>
  </w:style>
  <w:style w:type="paragraph" w:customStyle="1" w:styleId="18">
    <w:name w:val="正文_2_0"/>
    <w:next w:val="19"/>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9">
    <w:name w:val="正文文本_2"/>
    <w:basedOn w:val="18"/>
    <w:next w:val="14"/>
    <w:qFormat/>
    <w:uiPriority w:val="99"/>
    <w:pPr>
      <w:spacing w:after="120" w:afterLines="0"/>
    </w:pPr>
  </w:style>
  <w:style w:type="paragraph" w:customStyle="1" w:styleId="20">
    <w:name w:val="Table Paragraph"/>
    <w:basedOn w:val="1"/>
    <w:qFormat/>
    <w:uiPriority w:val="1"/>
    <w:rPr>
      <w:rFonts w:ascii="Times New Roman" w:hAnsi="Times New Roman" w:eastAsia="宋体" w:cs="Times New Roman"/>
      <w:szCs w:val="24"/>
    </w:rPr>
  </w:style>
  <w:style w:type="paragraph" w:customStyle="1" w:styleId="21">
    <w:name w:val="Normal_5"/>
    <w:qFormat/>
    <w:uiPriority w:val="0"/>
    <w:rPr>
      <w:rFonts w:ascii="Times New Roman" w:hAnsi="Times New Roman" w:eastAsia="Times New Roman" w:cs="Times New Roman"/>
      <w:sz w:val="24"/>
      <w:szCs w:val="24"/>
      <w:lang w:bidi="ar-SA"/>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13414</Words>
  <Characters>14167</Characters>
  <Lines>0</Lines>
  <Paragraphs>0</Paragraphs>
  <TotalTime>2</TotalTime>
  <ScaleCrop>false</ScaleCrop>
  <LinksUpToDate>false</LinksUpToDate>
  <CharactersWithSpaces>14467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2025-04-17T08:58:00Z</dcterms:created>
  <dc:creator>AAA</dc:creator>
  <cp:lastModifiedBy>AAA</cp:lastModifiedBy>
  <dcterms:modified xsi:type="dcterms:W3CDTF">2026-04-01T01:10:56Z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eyJoZGlkIjoiZGM0OTZjZWM4YTkxOWY5M2Q1NGJjYjI1NGE0NjY4OTUiLCJ1c2VySWQiOiIzNzE4OTYwMzUifQ==</vt:lpwstr>
  </property>
  <property fmtid="{D5CDD505-2E9C-101B-9397-08002B2CF9AE}" pid="4" name="ICV">
    <vt:lpwstr>C861E9C2E6134973B5674A998C228C22_13</vt:lpwstr>
  </property>
</Properties>
</file>