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5B8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52"/>
          <w:highlight w:val="none"/>
        </w:rPr>
      </w:pPr>
      <w:r>
        <w:rPr>
          <w:rFonts w:hint="eastAsia" w:ascii="宋体" w:hAnsi="宋体" w:eastAsia="宋体" w:cs="宋体"/>
          <w:b/>
          <w:bCs/>
          <w:color w:val="auto"/>
          <w:sz w:val="44"/>
          <w:szCs w:val="52"/>
          <w:highlight w:val="none"/>
          <w:lang w:eastAsia="zh-CN"/>
        </w:rPr>
        <w:t>宁夏公路管理中心吴忠分中心2026年涵洞行洪能力提升改造工程施工</w:t>
      </w:r>
      <w:r>
        <w:rPr>
          <w:rFonts w:hint="eastAsia" w:ascii="宋体" w:hAnsi="宋体" w:eastAsia="宋体" w:cs="宋体"/>
          <w:b/>
          <w:bCs/>
          <w:color w:val="auto"/>
          <w:sz w:val="44"/>
          <w:szCs w:val="52"/>
          <w:highlight w:val="none"/>
        </w:rPr>
        <w:t>招标关键内容</w:t>
      </w:r>
    </w:p>
    <w:p w14:paraId="2290DA1E">
      <w:pPr>
        <w:bidi w:val="0"/>
        <w:spacing w:line="360" w:lineRule="auto"/>
        <w:rPr>
          <w:rFonts w:hint="eastAsia" w:ascii="仿宋" w:hAnsi="仿宋" w:eastAsia="仿宋" w:cs="仿宋"/>
          <w:b/>
          <w:bCs/>
          <w:color w:val="auto"/>
          <w:sz w:val="32"/>
          <w:szCs w:val="40"/>
          <w:highlight w:val="none"/>
          <w:lang w:eastAsia="zh-CN"/>
        </w:rPr>
      </w:pPr>
      <w:r>
        <w:rPr>
          <w:rFonts w:hint="eastAsia" w:ascii="仿宋" w:hAnsi="仿宋" w:eastAsia="仿宋" w:cs="仿宋"/>
          <w:b/>
          <w:bCs/>
          <w:color w:val="auto"/>
          <w:sz w:val="32"/>
          <w:szCs w:val="32"/>
          <w:highlight w:val="none"/>
        </w:rPr>
        <w:t>一、投标人资格要求</w:t>
      </w:r>
      <w:bookmarkStart w:id="0" w:name="_Toc18999"/>
    </w:p>
    <w:bookmarkEnd w:id="0"/>
    <w:p w14:paraId="38582D50">
      <w:pPr>
        <w:bidi w:val="0"/>
        <w:jc w:val="center"/>
        <w:rPr>
          <w:rFonts w:hint="eastAsia" w:ascii="仿宋" w:hAnsi="仿宋" w:eastAsia="仿宋" w:cs="仿宋"/>
          <w:sz w:val="32"/>
          <w:szCs w:val="32"/>
          <w:lang w:eastAsia="zh-CN"/>
        </w:rPr>
      </w:pPr>
      <w:r>
        <w:rPr>
          <w:rFonts w:hint="eastAsia" w:ascii="仿宋" w:hAnsi="仿宋" w:eastAsia="仿宋" w:cs="仿宋"/>
          <w:sz w:val="32"/>
          <w:szCs w:val="32"/>
        </w:rPr>
        <w:t>附录1资格审查条件</w:t>
      </w:r>
      <w:r>
        <w:rPr>
          <w:rFonts w:hint="eastAsia" w:ascii="仿宋" w:hAnsi="仿宋" w:eastAsia="仿宋" w:cs="仿宋"/>
          <w:sz w:val="32"/>
          <w:szCs w:val="32"/>
          <w:lang w:eastAsia="zh-CN"/>
        </w:rPr>
        <w:t>（</w:t>
      </w:r>
      <w:r>
        <w:rPr>
          <w:rFonts w:hint="eastAsia" w:ascii="仿宋" w:hAnsi="仿宋" w:eastAsia="仿宋" w:cs="仿宋"/>
          <w:sz w:val="32"/>
          <w:szCs w:val="32"/>
        </w:rPr>
        <w:t>资质最低条件</w:t>
      </w:r>
      <w:r>
        <w:rPr>
          <w:rFonts w:hint="eastAsia" w:ascii="仿宋" w:hAnsi="仿宋" w:eastAsia="仿宋" w:cs="仿宋"/>
          <w:sz w:val="32"/>
          <w:szCs w:val="32"/>
          <w:lang w:eastAsia="zh-CN"/>
        </w:rPr>
        <w:t>）</w:t>
      </w:r>
      <w:bookmarkStart w:id="1" w:name="_bookmark13"/>
      <w:bookmarkEnd w:id="1"/>
      <w:bookmarkStart w:id="2" w:name="_Toc6459"/>
      <w:bookmarkStart w:id="3" w:name="_Toc256000004"/>
      <w:bookmarkStart w:id="4" w:name="_Toc26752"/>
      <w:bookmarkStart w:id="5" w:name="_Toc6923"/>
      <w:bookmarkStart w:id="6" w:name="_Toc29239"/>
      <w:bookmarkStart w:id="7" w:name="_Toc18487"/>
      <w:bookmarkStart w:id="8" w:name="_Toc368"/>
      <w:bookmarkStart w:id="9" w:name="_Toc22654"/>
      <w:bookmarkStart w:id="10" w:name="_Toc30484"/>
      <w:bookmarkStart w:id="11" w:name="_Toc19031"/>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7763"/>
      </w:tblGrid>
      <w:tr w14:paraId="0141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7" w:type="dxa"/>
            <w:noWrap w:val="0"/>
            <w:vAlign w:val="center"/>
          </w:tcPr>
          <w:p w14:paraId="3CF69089">
            <w:pPr>
              <w:bidi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标段号</w:t>
            </w:r>
          </w:p>
        </w:tc>
        <w:tc>
          <w:tcPr>
            <w:tcW w:w="7763" w:type="dxa"/>
            <w:noWrap w:val="0"/>
            <w:vAlign w:val="center"/>
          </w:tcPr>
          <w:p w14:paraId="18B23F8D">
            <w:pPr>
              <w:bidi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施工企业资质等级要求</w:t>
            </w:r>
          </w:p>
        </w:tc>
      </w:tr>
      <w:tr w14:paraId="5C55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7" w:type="dxa"/>
            <w:noWrap w:val="0"/>
            <w:vAlign w:val="center"/>
          </w:tcPr>
          <w:p w14:paraId="086FF17E">
            <w:pPr>
              <w:bidi w:val="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7763" w:type="dxa"/>
            <w:noWrap w:val="0"/>
            <w:vAlign w:val="center"/>
          </w:tcPr>
          <w:p w14:paraId="566416FE">
            <w:pPr>
              <w:bidi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投标人须具备</w:t>
            </w:r>
            <w:r>
              <w:rPr>
                <w:rFonts w:hint="eastAsia" w:ascii="仿宋" w:hAnsi="仿宋" w:eastAsia="仿宋" w:cs="仿宋"/>
                <w:sz w:val="32"/>
                <w:szCs w:val="32"/>
                <w:lang w:eastAsia="zh-CN"/>
              </w:rPr>
              <w:t>法人或其他组织资格，持有工商行政管理部门核发的有效企业营业执照或事业单位法人证书或社会团体法人登记证书；</w:t>
            </w:r>
          </w:p>
          <w:p w14:paraId="69DC63C8">
            <w:pPr>
              <w:bidi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2.本项目投标单位须具备交通运输主管部门颁发的路基路面养护乙级及以上资质证书及交通安全设施养护资质且均在有效期内，或具备交通运输主管部门颁发的公路养护工程二类乙级养护资质证书且在有效期内；</w:t>
            </w:r>
          </w:p>
          <w:p w14:paraId="2FAED678">
            <w:pPr>
              <w:bidi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投标人具有建设行政主管部门颁发的有效安全生产许可证，并在人员、设备、资金等方面具有相应的施工能力。</w:t>
            </w:r>
          </w:p>
          <w:p w14:paraId="40A38C69">
            <w:pPr>
              <w:bidi w:val="0"/>
              <w:rPr>
                <w:rFonts w:hint="eastAsia" w:ascii="仿宋" w:hAnsi="仿宋" w:eastAsia="仿宋" w:cs="仿宋"/>
                <w:sz w:val="32"/>
                <w:szCs w:val="32"/>
                <w:lang w:eastAsia="zh-CN"/>
              </w:rPr>
            </w:pPr>
          </w:p>
          <w:p w14:paraId="2C75615D">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注：补充投标人须知正文第3.5.1项：</w:t>
            </w:r>
          </w:p>
          <w:p w14:paraId="430C6C94">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1）“投标人基本情况表”应附营业执照副本和组织机构代码证（按照“三证合一”或“五证合一”登记制度进行登记的，可仅提供营业执照，下同）或事业单位法人证书或社会团体法人登记证书、资质证书副本、安全生产许可证副本、基本账户信息的扫描件，投标人在国家企业信用信息公示系统中基础信息（体现股东及出资详细信息）的网页截图。</w:t>
            </w:r>
          </w:p>
          <w:p w14:paraId="4FD93EDB">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2）营业执照副本和组织机构代码证或事业单位法人证书或社会团体法人登记证书、施工资质证书副本、安全生产许可证副本的扫描件应提供全本（证书封面、封底、空白页除外），应包括投标人名称、投标人其他相关信息、颁发机构名称、投标人信息变更情况等关键页在内，并逐页加盖投标人单位公章。</w:t>
            </w:r>
          </w:p>
          <w:p w14:paraId="15FA57E5">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（3）对于法人发生重组或变更的投标人，应在投标文件中提供附有法人重组或变更时相关部门的合法批件、变更时的企业法人营业执照和资质证书的变更记录彩色扫描件。</w:t>
            </w:r>
          </w:p>
          <w:p w14:paraId="669DAEBA">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（4）各证照如根据相关法律法规实现电子证照的，可以提供电子证照截图。</w:t>
            </w:r>
          </w:p>
          <w:p w14:paraId="0AD395BD">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5）因公告格式无法修改，招标公告投标人资格要求中“根据《关于发布公路工程从业企业资质名录的通知》（厅公路字〔2011〕114号）要求，投标人如为应通过名录对其资质条件进行审核的公路施工企业，则应进入交通运输部“全国公路建设市场监督管理系统（https://hwdms.mot.gov.cn）”中的公路工程施工资质企业名录，且投标人名称和资质与该名录中的相应企业名称和资质完全一致”不适用于本项目，本项目投标人无需进入交通运输部“全国公路建设市场监督管理系统”中的公路工程施工资质企业名录。</w:t>
            </w:r>
          </w:p>
          <w:p w14:paraId="78973526">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（6）招标文件中其他地方与此处不一致时，以此处为准。</w:t>
            </w:r>
          </w:p>
        </w:tc>
      </w:tr>
    </w:tbl>
    <w:p w14:paraId="2427AB4C">
      <w:pPr>
        <w:bidi w:val="0"/>
        <w:jc w:val="center"/>
        <w:rPr>
          <w:rFonts w:hint="eastAsia" w:ascii="仿宋" w:hAnsi="仿宋" w:eastAsia="仿宋" w:cs="仿宋"/>
          <w:sz w:val="32"/>
          <w:szCs w:val="32"/>
          <w:lang w:eastAsia="zh-CN"/>
        </w:rPr>
      </w:pPr>
      <w:bookmarkStart w:id="12" w:name="_Toc30327"/>
      <w:r>
        <w:rPr>
          <w:rFonts w:hint="eastAsia" w:ascii="仿宋" w:hAnsi="仿宋" w:eastAsia="仿宋" w:cs="仿宋"/>
          <w:sz w:val="32"/>
          <w:szCs w:val="32"/>
        </w:rPr>
        <w:t>附录2资格审查条件</w:t>
      </w:r>
      <w:r>
        <w:rPr>
          <w:rFonts w:hint="eastAsia" w:ascii="仿宋" w:hAnsi="仿宋" w:eastAsia="仿宋" w:cs="仿宋"/>
          <w:sz w:val="32"/>
          <w:szCs w:val="32"/>
          <w:lang w:eastAsia="zh-CN"/>
        </w:rPr>
        <w:t>（</w:t>
      </w:r>
      <w:r>
        <w:rPr>
          <w:rFonts w:hint="eastAsia" w:ascii="仿宋" w:hAnsi="仿宋" w:eastAsia="仿宋" w:cs="仿宋"/>
          <w:sz w:val="32"/>
          <w:szCs w:val="32"/>
        </w:rPr>
        <w:t>财务最低要求</w:t>
      </w:r>
      <w:bookmarkEnd w:id="2"/>
      <w:bookmarkEnd w:id="3"/>
      <w:bookmarkEnd w:id="4"/>
      <w:bookmarkEnd w:id="5"/>
      <w:bookmarkEnd w:id="6"/>
      <w:bookmarkEnd w:id="7"/>
      <w:bookmarkEnd w:id="8"/>
      <w:bookmarkEnd w:id="9"/>
      <w:bookmarkEnd w:id="10"/>
      <w:bookmarkEnd w:id="11"/>
      <w:r>
        <w:rPr>
          <w:rFonts w:hint="eastAsia" w:ascii="仿宋" w:hAnsi="仿宋" w:eastAsia="仿宋" w:cs="仿宋"/>
          <w:sz w:val="32"/>
          <w:szCs w:val="32"/>
          <w:lang w:eastAsia="zh-CN"/>
        </w:rPr>
        <w:t>）</w:t>
      </w:r>
      <w:bookmarkEnd w:id="12"/>
      <w:bookmarkStart w:id="13" w:name="_bookmark14"/>
      <w:bookmarkEnd w:id="13"/>
      <w:bookmarkStart w:id="14" w:name="_Toc256000005"/>
      <w:bookmarkStart w:id="15" w:name="_Toc19522"/>
      <w:bookmarkStart w:id="16" w:name="_Toc25025"/>
      <w:bookmarkStart w:id="17" w:name="_Toc4428"/>
      <w:bookmarkStart w:id="18" w:name="_Toc4092"/>
      <w:bookmarkStart w:id="19" w:name="_Toc15775"/>
      <w:bookmarkStart w:id="20" w:name="_Toc13107"/>
      <w:bookmarkStart w:id="21" w:name="_Toc6262"/>
      <w:bookmarkStart w:id="22" w:name="_Toc25961"/>
      <w:bookmarkStart w:id="23" w:name="_Toc16398"/>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7764"/>
      </w:tblGrid>
      <w:tr w14:paraId="4148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7" w:type="dxa"/>
            <w:noWrap w:val="0"/>
            <w:vAlign w:val="center"/>
          </w:tcPr>
          <w:p w14:paraId="3518DD2E">
            <w:pPr>
              <w:bidi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标段号</w:t>
            </w:r>
          </w:p>
        </w:tc>
        <w:tc>
          <w:tcPr>
            <w:tcW w:w="7764" w:type="dxa"/>
            <w:noWrap w:val="0"/>
            <w:vAlign w:val="center"/>
          </w:tcPr>
          <w:p w14:paraId="0E7017E9">
            <w:pPr>
              <w:bidi w:val="0"/>
              <w:jc w:val="center"/>
              <w:rPr>
                <w:rFonts w:hint="eastAsia" w:ascii="仿宋" w:hAnsi="仿宋" w:eastAsia="仿宋" w:cs="仿宋"/>
                <w:sz w:val="32"/>
                <w:szCs w:val="32"/>
                <w:lang w:eastAsia="zh-CN"/>
              </w:rPr>
            </w:pPr>
            <w:r>
              <w:rPr>
                <w:rFonts w:hint="eastAsia" w:ascii="仿宋" w:hAnsi="仿宋" w:eastAsia="仿宋" w:cs="仿宋"/>
                <w:sz w:val="32"/>
                <w:szCs w:val="32"/>
              </w:rPr>
              <w:t>财务要求</w:t>
            </w:r>
          </w:p>
        </w:tc>
      </w:tr>
      <w:tr w14:paraId="7E54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7" w:type="dxa"/>
            <w:noWrap w:val="0"/>
            <w:vAlign w:val="center"/>
          </w:tcPr>
          <w:p w14:paraId="7C870313">
            <w:pPr>
              <w:bidi w:val="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7764" w:type="dxa"/>
            <w:noWrap w:val="0"/>
            <w:vAlign w:val="center"/>
          </w:tcPr>
          <w:p w14:paraId="02EE5F33">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投标人在近3年（2022年—2024年）每一年度的年末流动资产与流动负债比均不小于1。</w:t>
            </w:r>
          </w:p>
          <w:p w14:paraId="144C903B">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注：补充投标人须知正文第 3.5.2 项：</w:t>
            </w:r>
          </w:p>
          <w:p w14:paraId="027E6855">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（1）各标段投标人应在投标文件中附近3年经会计师事务所或审计机构审计的财务会计报表，包括资产负债表、现金流量表、利润表和财务情况说明书的彩色影印件；</w:t>
            </w:r>
          </w:p>
          <w:p w14:paraId="0F9AB27D">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（2）新成立的单位，提供成立以来至递交截止时间年度的财务情况证明材料，且投标人所提供的所有年份的财务报表均需满足</w:t>
            </w:r>
            <w:r>
              <w:rPr>
                <w:rFonts w:hint="eastAsia" w:ascii="仿宋" w:hAnsi="仿宋" w:eastAsia="仿宋" w:cs="仿宋"/>
                <w:sz w:val="32"/>
                <w:szCs w:val="32"/>
                <w:lang w:val="en-US" w:eastAsia="zh-CN"/>
              </w:rPr>
              <w:t>以上</w:t>
            </w:r>
            <w:r>
              <w:rPr>
                <w:rFonts w:hint="eastAsia" w:ascii="仿宋" w:hAnsi="仿宋" w:eastAsia="仿宋" w:cs="仿宋"/>
                <w:sz w:val="32"/>
                <w:szCs w:val="32"/>
                <w:lang w:eastAsia="zh-CN"/>
              </w:rPr>
              <w:t>要求；</w:t>
            </w:r>
          </w:p>
          <w:p w14:paraId="53910DA7">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（3）投标人如为集团公司，财务会计报表指合并财务会计报表；</w:t>
            </w:r>
          </w:p>
          <w:p w14:paraId="7E9F781C">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）投标截止时间在5月1日之前的，近3年指递交截止时间推算前4年，上一年指递交截止时间推算前2年；投标截止时间在5月1日之后的，近3年指递交截止时间推算前3年，上一年指递交截止时间推算前1年。</w:t>
            </w:r>
          </w:p>
          <w:p w14:paraId="3C345861">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）招标文件中其他地方与此处不一致时，以此处为准。</w:t>
            </w:r>
          </w:p>
        </w:tc>
      </w:tr>
    </w:tbl>
    <w:p w14:paraId="28DFFCC0">
      <w:pPr>
        <w:bidi w:val="0"/>
        <w:rPr>
          <w:rFonts w:hint="eastAsia" w:ascii="仿宋" w:hAnsi="仿宋" w:eastAsia="仿宋" w:cs="仿宋"/>
          <w:sz w:val="32"/>
          <w:szCs w:val="32"/>
        </w:rPr>
      </w:pPr>
      <w:bookmarkStart w:id="24" w:name="_Toc29982"/>
      <w:r>
        <w:rPr>
          <w:rFonts w:hint="eastAsia" w:ascii="仿宋" w:hAnsi="仿宋" w:eastAsia="仿宋" w:cs="仿宋"/>
          <w:sz w:val="32"/>
          <w:szCs w:val="32"/>
        </w:rPr>
        <w:br w:type="page"/>
      </w:r>
    </w:p>
    <w:p w14:paraId="42F805EA">
      <w:pPr>
        <w:bidi w:val="0"/>
        <w:jc w:val="center"/>
        <w:rPr>
          <w:rFonts w:hint="eastAsia" w:ascii="仿宋" w:hAnsi="仿宋" w:eastAsia="仿宋" w:cs="仿宋"/>
          <w:sz w:val="32"/>
          <w:szCs w:val="32"/>
          <w:lang w:eastAsia="zh-CN"/>
        </w:rPr>
      </w:pPr>
      <w:r>
        <w:rPr>
          <w:rFonts w:hint="eastAsia" w:ascii="仿宋" w:hAnsi="仿宋" w:eastAsia="仿宋" w:cs="仿宋"/>
          <w:sz w:val="32"/>
          <w:szCs w:val="32"/>
        </w:rPr>
        <w:t>附录3资格审查条件</w:t>
      </w:r>
      <w:r>
        <w:rPr>
          <w:rFonts w:hint="eastAsia" w:ascii="仿宋" w:hAnsi="仿宋" w:eastAsia="仿宋" w:cs="仿宋"/>
          <w:sz w:val="32"/>
          <w:szCs w:val="32"/>
          <w:lang w:eastAsia="zh-CN"/>
        </w:rPr>
        <w:t>（</w:t>
      </w:r>
      <w:r>
        <w:rPr>
          <w:rFonts w:hint="eastAsia" w:ascii="仿宋" w:hAnsi="仿宋" w:eastAsia="仿宋" w:cs="仿宋"/>
          <w:sz w:val="32"/>
          <w:szCs w:val="32"/>
        </w:rPr>
        <w:t>业绩最低要求</w:t>
      </w:r>
      <w:bookmarkEnd w:id="14"/>
      <w:bookmarkEnd w:id="15"/>
      <w:bookmarkEnd w:id="16"/>
      <w:bookmarkEnd w:id="17"/>
      <w:bookmarkEnd w:id="18"/>
      <w:bookmarkEnd w:id="19"/>
      <w:bookmarkEnd w:id="20"/>
      <w:bookmarkEnd w:id="21"/>
      <w:bookmarkEnd w:id="22"/>
      <w:bookmarkEnd w:id="23"/>
      <w:r>
        <w:rPr>
          <w:rFonts w:hint="eastAsia" w:ascii="仿宋" w:hAnsi="仿宋" w:eastAsia="仿宋" w:cs="仿宋"/>
          <w:sz w:val="32"/>
          <w:szCs w:val="32"/>
          <w:lang w:eastAsia="zh-CN"/>
        </w:rPr>
        <w:t>）</w:t>
      </w:r>
      <w:bookmarkEnd w:id="24"/>
      <w:bookmarkStart w:id="25" w:name="_Toc256000006"/>
      <w:bookmarkStart w:id="26" w:name="_Toc25539"/>
      <w:bookmarkStart w:id="27" w:name="_Toc21867"/>
      <w:bookmarkStart w:id="28" w:name="_Toc21781"/>
      <w:bookmarkStart w:id="29" w:name="_Toc12542"/>
      <w:bookmarkStart w:id="30" w:name="_Toc15999"/>
      <w:bookmarkStart w:id="31" w:name="_Toc16296"/>
      <w:bookmarkStart w:id="32" w:name="_Toc19357"/>
      <w:bookmarkStart w:id="33" w:name="_Toc1147"/>
      <w:bookmarkStart w:id="34" w:name="_Toc5246"/>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7764"/>
      </w:tblGrid>
      <w:tr w14:paraId="1609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7" w:type="dxa"/>
            <w:noWrap w:val="0"/>
            <w:vAlign w:val="center"/>
          </w:tcPr>
          <w:p w14:paraId="62D57EC4">
            <w:pPr>
              <w:bidi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标段号</w:t>
            </w:r>
          </w:p>
        </w:tc>
        <w:tc>
          <w:tcPr>
            <w:tcW w:w="7764" w:type="dxa"/>
            <w:noWrap w:val="0"/>
            <w:vAlign w:val="center"/>
          </w:tcPr>
          <w:p w14:paraId="742EA3AA">
            <w:pPr>
              <w:bidi w:val="0"/>
              <w:jc w:val="center"/>
              <w:rPr>
                <w:rFonts w:hint="eastAsia" w:ascii="仿宋" w:hAnsi="仿宋" w:eastAsia="仿宋" w:cs="仿宋"/>
                <w:sz w:val="32"/>
                <w:szCs w:val="32"/>
                <w:lang w:eastAsia="zh-CN"/>
              </w:rPr>
            </w:pPr>
            <w:r>
              <w:rPr>
                <w:rFonts w:hint="eastAsia" w:ascii="仿宋" w:hAnsi="仿宋" w:eastAsia="仿宋" w:cs="仿宋"/>
                <w:sz w:val="32"/>
                <w:szCs w:val="32"/>
              </w:rPr>
              <w:t>业绩要求</w:t>
            </w:r>
          </w:p>
        </w:tc>
      </w:tr>
      <w:tr w14:paraId="1586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7" w:type="dxa"/>
            <w:noWrap w:val="0"/>
            <w:vAlign w:val="center"/>
          </w:tcPr>
          <w:p w14:paraId="72FD70BA">
            <w:pPr>
              <w:bidi w:val="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7764" w:type="dxa"/>
            <w:noWrap w:val="0"/>
            <w:vAlign w:val="center"/>
          </w:tcPr>
          <w:p w14:paraId="683E0146">
            <w:pPr>
              <w:bidi w:val="0"/>
              <w:rPr>
                <w:rFonts w:hint="eastAsia" w:ascii="仿宋" w:hAnsi="仿宋" w:eastAsia="仿宋" w:cs="仿宋"/>
                <w:sz w:val="32"/>
                <w:szCs w:val="32"/>
                <w:lang w:eastAsia="zh-CN"/>
              </w:rPr>
            </w:pPr>
            <w:r>
              <w:rPr>
                <w:rFonts w:hint="eastAsia" w:ascii="仿宋" w:hAnsi="仿宋" w:eastAsia="仿宋" w:cs="仿宋"/>
                <w:sz w:val="32"/>
                <w:szCs w:val="32"/>
              </w:rPr>
              <w:t>投标人近3年（2023年</w:t>
            </w:r>
            <w:r>
              <w:rPr>
                <w:rFonts w:hint="eastAsia" w:ascii="仿宋" w:hAnsi="仿宋" w:eastAsia="仿宋" w:cs="仿宋"/>
                <w:sz w:val="32"/>
                <w:szCs w:val="32"/>
                <w:lang w:val="en-US" w:eastAsia="zh-CN"/>
              </w:rPr>
              <w:t>3月4日</w:t>
            </w:r>
            <w:r>
              <w:rPr>
                <w:rFonts w:hint="eastAsia" w:ascii="仿宋" w:hAnsi="仿宋" w:eastAsia="仿宋" w:cs="仿宋"/>
                <w:sz w:val="32"/>
                <w:szCs w:val="32"/>
              </w:rPr>
              <w:t>至投标截止之日，以交工日期为准）至少完成过1个二级及以上等级公路涵洞改造（新建、改扩建、拆除重建）养护工程施工业绩</w:t>
            </w:r>
            <w:r>
              <w:rPr>
                <w:rFonts w:hint="eastAsia" w:ascii="仿宋" w:hAnsi="仿宋" w:eastAsia="仿宋" w:cs="仿宋"/>
                <w:sz w:val="32"/>
                <w:szCs w:val="32"/>
                <w:lang w:eastAsia="zh-CN"/>
              </w:rPr>
              <w:t>。</w:t>
            </w:r>
          </w:p>
          <w:p w14:paraId="317C21ED">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注：补充投标人须知正文第3.5.3项：</w:t>
            </w:r>
          </w:p>
          <w:p w14:paraId="28563E7C">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1）投标人应按资格审查资料中的表（四）（近年完成的类似项目情况表）填写所提供的业绩，提供的每个业绩均应填写，未按照表（四）（近年完成的类似项目情况表）规定的格式填报的业绩，其业绩审查将不予认可。</w:t>
            </w:r>
          </w:p>
          <w:p w14:paraId="4175D109">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（2）“近年完成的类似项目情况表”应是已列入“全国公路建设市场监督管理系统”或工程所在地省级公路建设与养护市场信用信息管理系统并公开的主包已建业绩或分包已建业绩。</w:t>
            </w:r>
          </w:p>
          <w:p w14:paraId="2A377531">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3）“近年完成的类似项目情况表”后应附在“全国公路建设市场监督管理系统”中查询到的企业“业绩信息”相关项目网页截图（即包括“工程名称”“项目类型”“合同价”“主要工程量”“人员履约信息”等栏目在内的项目详细信息网页截图）。在“全国公路建设市场监督管理系统”中无法查询，应附工程所在地省级交通运输主管部门公路建设与养护市场信用信息管理系统中查询到的网页截图。除网页截图外，投标人无须再提供任何业绩证明资料。如投标人未提供相关项目网页截图或相关项目网页截图中的信息无法证实投标人满足招标文件规定的资格审查条件（业绩最低要求），则该项目业绩不予认定。</w:t>
            </w:r>
          </w:p>
          <w:p w14:paraId="0A4E8889">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）如近年来，投标人法人机构发生合法变更或重组或法人名称变更时，应提供相关部门的合法批件或其他相关证明材料来证明其所附业绩的继承性；</w:t>
            </w:r>
          </w:p>
          <w:p w14:paraId="3D57B34F">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对投标人所提供的企业业绩，如通过上述网站查询后结果与投标人自行提供结果不符，则对应业绩将不予认定。投标人对其递交投标文件中所有证明材料的真实性负责，若招标人收到反映投标人提供了虚假材料、不实信息或隐瞒招标文件要求填报的信息方面的投诉，招标人一经查实将不予退还投标保证金，并认定为失信投标行为（如中标同时取消其中标资格），并依据《宁夏回族自治区公路建设与养护市场信用评价管理办法》的通知（宁交规发〔2024〕1号）文件对投标人本次投标行为进行评价，同时将评价结果上报宁夏回族自治区交通运输厅，并在宁夏回族自治区交通运输厅网站予以公布。</w:t>
            </w:r>
          </w:p>
          <w:p w14:paraId="5770267D">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）招标文件中其他地方与此处不一致时，以此处为准。</w:t>
            </w:r>
          </w:p>
        </w:tc>
      </w:tr>
    </w:tbl>
    <w:p w14:paraId="4BE8F4D6">
      <w:pPr>
        <w:bidi w:val="0"/>
        <w:jc w:val="center"/>
        <w:rPr>
          <w:rFonts w:hint="eastAsia" w:ascii="仿宋" w:hAnsi="仿宋" w:eastAsia="仿宋" w:cs="仿宋"/>
          <w:sz w:val="32"/>
          <w:szCs w:val="32"/>
        </w:rPr>
      </w:pPr>
      <w:bookmarkStart w:id="35" w:name="_Toc13801"/>
      <w:r>
        <w:rPr>
          <w:rFonts w:hint="eastAsia" w:ascii="仿宋" w:hAnsi="仿宋" w:eastAsia="仿宋" w:cs="仿宋"/>
          <w:sz w:val="32"/>
          <w:szCs w:val="32"/>
        </w:rPr>
        <w:t>附录4资格审查条件</w:t>
      </w:r>
      <w:r>
        <w:rPr>
          <w:rFonts w:hint="eastAsia" w:ascii="仿宋" w:hAnsi="仿宋" w:eastAsia="仿宋" w:cs="仿宋"/>
          <w:sz w:val="32"/>
          <w:szCs w:val="32"/>
          <w:lang w:eastAsia="zh-CN"/>
        </w:rPr>
        <w:t>（</w:t>
      </w:r>
      <w:r>
        <w:rPr>
          <w:rFonts w:hint="eastAsia" w:ascii="仿宋" w:hAnsi="仿宋" w:eastAsia="仿宋" w:cs="仿宋"/>
          <w:sz w:val="32"/>
          <w:szCs w:val="32"/>
        </w:rPr>
        <w:t>信誉最低要求</w:t>
      </w:r>
      <w:bookmarkEnd w:id="25"/>
      <w:bookmarkEnd w:id="26"/>
      <w:bookmarkEnd w:id="27"/>
      <w:bookmarkEnd w:id="28"/>
      <w:bookmarkEnd w:id="29"/>
      <w:bookmarkEnd w:id="30"/>
      <w:bookmarkEnd w:id="31"/>
      <w:r>
        <w:rPr>
          <w:rFonts w:hint="eastAsia" w:ascii="仿宋" w:hAnsi="仿宋" w:eastAsia="仿宋" w:cs="仿宋"/>
          <w:sz w:val="32"/>
          <w:szCs w:val="32"/>
        </w:rPr>
        <w:t>）</w:t>
      </w:r>
      <w:bookmarkEnd w:id="32"/>
      <w:bookmarkEnd w:id="33"/>
      <w:bookmarkEnd w:id="34"/>
      <w:bookmarkEnd w:id="35"/>
      <w:bookmarkStart w:id="36" w:name="_bookmark16"/>
      <w:bookmarkEnd w:id="36"/>
      <w:bookmarkStart w:id="37" w:name="_Toc31600"/>
      <w:bookmarkStart w:id="38" w:name="_Toc1138"/>
      <w:bookmarkStart w:id="39" w:name="_Toc19066"/>
      <w:bookmarkStart w:id="40" w:name="_Toc22577"/>
      <w:bookmarkStart w:id="41" w:name="_Toc14140"/>
      <w:bookmarkStart w:id="42" w:name="_Toc871"/>
      <w:bookmarkStart w:id="43" w:name="_Toc31938"/>
      <w:bookmarkStart w:id="44" w:name="_Toc256000007"/>
      <w:bookmarkStart w:id="45" w:name="_Toc26870"/>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6F73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noWrap w:val="0"/>
            <w:vAlign w:val="top"/>
          </w:tcPr>
          <w:p w14:paraId="22C36937">
            <w:pPr>
              <w:bidi w:val="0"/>
              <w:jc w:val="center"/>
              <w:rPr>
                <w:rFonts w:hint="eastAsia" w:ascii="仿宋" w:hAnsi="仿宋" w:eastAsia="仿宋" w:cs="仿宋"/>
                <w:sz w:val="32"/>
                <w:szCs w:val="32"/>
              </w:rPr>
            </w:pPr>
            <w:r>
              <w:rPr>
                <w:rFonts w:hint="eastAsia" w:ascii="仿宋" w:hAnsi="仿宋" w:eastAsia="仿宋" w:cs="仿宋"/>
                <w:sz w:val="32"/>
                <w:szCs w:val="32"/>
              </w:rPr>
              <w:t>信誉要求</w:t>
            </w:r>
          </w:p>
        </w:tc>
      </w:tr>
      <w:tr w14:paraId="64DD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noWrap w:val="0"/>
            <w:vAlign w:val="center"/>
          </w:tcPr>
          <w:p w14:paraId="03C55955">
            <w:pPr>
              <w:bidi w:val="0"/>
              <w:rPr>
                <w:rFonts w:hint="eastAsia" w:ascii="仿宋" w:hAnsi="仿宋" w:eastAsia="仿宋" w:cs="仿宋"/>
                <w:sz w:val="32"/>
                <w:szCs w:val="32"/>
              </w:rPr>
            </w:pPr>
            <w:r>
              <w:rPr>
                <w:rFonts w:hint="eastAsia" w:ascii="仿宋" w:hAnsi="仿宋" w:eastAsia="仿宋" w:cs="仿宋"/>
                <w:sz w:val="32"/>
                <w:szCs w:val="32"/>
              </w:rPr>
              <w:t>存在下列不良状况或不良信用记录的单位，不得参加投标：</w:t>
            </w:r>
          </w:p>
          <w:p w14:paraId="4B9E6988">
            <w:pPr>
              <w:bidi w:val="0"/>
              <w:rPr>
                <w:rFonts w:hint="eastAsia" w:ascii="仿宋" w:hAnsi="仿宋" w:eastAsia="仿宋" w:cs="仿宋"/>
                <w:sz w:val="32"/>
                <w:szCs w:val="32"/>
              </w:rPr>
            </w:pPr>
            <w:r>
              <w:rPr>
                <w:rFonts w:hint="eastAsia" w:ascii="仿宋" w:hAnsi="仿宋" w:eastAsia="仿宋" w:cs="仿宋"/>
                <w:sz w:val="32"/>
                <w:szCs w:val="32"/>
              </w:rPr>
              <w:t>（1）被省级及以上交通运输主管部门取消招标项目所在地的投标资格且处于有效期</w:t>
            </w:r>
            <w:r>
              <w:rPr>
                <w:rFonts w:hint="eastAsia" w:ascii="仿宋" w:hAnsi="仿宋" w:eastAsia="仿宋" w:cs="仿宋"/>
                <w:sz w:val="32"/>
                <w:szCs w:val="32"/>
                <w:lang w:eastAsia="zh-CN"/>
              </w:rPr>
              <w:t>内</w:t>
            </w:r>
            <w:r>
              <w:rPr>
                <w:rFonts w:hint="eastAsia" w:ascii="仿宋" w:hAnsi="仿宋" w:eastAsia="仿宋" w:cs="仿宋"/>
                <w:sz w:val="32"/>
                <w:szCs w:val="32"/>
              </w:rPr>
              <w:t>（以“全国公路建设市场监督管理系统、宁夏回族自治区公路建设与养护市场信用信息管理系统”中查询结果为准）；</w:t>
            </w:r>
          </w:p>
          <w:p w14:paraId="345E3981">
            <w:pPr>
              <w:bidi w:val="0"/>
              <w:rPr>
                <w:rFonts w:hint="eastAsia" w:ascii="仿宋" w:hAnsi="仿宋" w:eastAsia="仿宋" w:cs="仿宋"/>
                <w:sz w:val="32"/>
                <w:szCs w:val="32"/>
              </w:rPr>
            </w:pPr>
            <w:r>
              <w:rPr>
                <w:rFonts w:hint="eastAsia" w:ascii="仿宋" w:hAnsi="仿宋" w:eastAsia="仿宋" w:cs="仿宋"/>
                <w:sz w:val="32"/>
                <w:szCs w:val="32"/>
              </w:rPr>
              <w:t>（2）被责令停业，暂扣或吊销执照，或吊销资质证书；</w:t>
            </w:r>
          </w:p>
          <w:p w14:paraId="718F132F">
            <w:pPr>
              <w:bidi w:val="0"/>
              <w:rPr>
                <w:rFonts w:hint="eastAsia" w:ascii="仿宋" w:hAnsi="仿宋" w:eastAsia="仿宋" w:cs="仿宋"/>
                <w:sz w:val="32"/>
                <w:szCs w:val="32"/>
              </w:rPr>
            </w:pPr>
            <w:r>
              <w:rPr>
                <w:rFonts w:hint="eastAsia" w:ascii="仿宋" w:hAnsi="仿宋" w:eastAsia="仿宋" w:cs="仿宋"/>
                <w:sz w:val="32"/>
                <w:szCs w:val="32"/>
              </w:rPr>
              <w:t>（3）进入清算程序，或被宣告破产，或其他丧失履约能力的情形；</w:t>
            </w:r>
          </w:p>
          <w:p w14:paraId="24F88EB4">
            <w:pPr>
              <w:bidi w:val="0"/>
              <w:rPr>
                <w:rFonts w:hint="eastAsia" w:ascii="仿宋" w:hAnsi="仿宋" w:eastAsia="仿宋" w:cs="仿宋"/>
                <w:sz w:val="32"/>
                <w:szCs w:val="32"/>
              </w:rPr>
            </w:pPr>
            <w:r>
              <w:rPr>
                <w:rFonts w:hint="eastAsia" w:ascii="仿宋" w:hAnsi="仿宋" w:eastAsia="仿宋" w:cs="仿宋"/>
                <w:sz w:val="32"/>
                <w:szCs w:val="32"/>
              </w:rPr>
              <w:t>（4）在国家企业信用信息公示系统（http://www.gsxt.gov.cn/）中被列入严重违法失信企业名单（附网站查询截图）；</w:t>
            </w:r>
          </w:p>
          <w:p w14:paraId="7FFB394F">
            <w:pPr>
              <w:bidi w:val="0"/>
              <w:rPr>
                <w:rFonts w:hint="eastAsia" w:ascii="仿宋" w:hAnsi="仿宋" w:eastAsia="仿宋" w:cs="仿宋"/>
                <w:sz w:val="32"/>
                <w:szCs w:val="32"/>
              </w:rPr>
            </w:pPr>
            <w:r>
              <w:rPr>
                <w:rFonts w:hint="eastAsia" w:ascii="仿宋" w:hAnsi="仿宋" w:eastAsia="仿宋" w:cs="仿宋"/>
                <w:sz w:val="32"/>
                <w:szCs w:val="32"/>
              </w:rPr>
              <w:t>（5）在“信用中国”网站（http://www.creditchina.gov.cn/）中被列入失信被执行人名单（附网站查询截图）；</w:t>
            </w:r>
          </w:p>
          <w:p w14:paraId="3EE70DFF">
            <w:pPr>
              <w:bidi w:val="0"/>
              <w:rPr>
                <w:rFonts w:hint="eastAsia" w:ascii="仿宋" w:hAnsi="仿宋" w:eastAsia="仿宋" w:cs="仿宋"/>
                <w:sz w:val="32"/>
                <w:szCs w:val="32"/>
              </w:rPr>
            </w:pPr>
            <w:r>
              <w:rPr>
                <w:rFonts w:hint="eastAsia" w:ascii="仿宋" w:hAnsi="仿宋" w:eastAsia="仿宋" w:cs="仿宋"/>
                <w:sz w:val="32"/>
                <w:szCs w:val="32"/>
              </w:rPr>
              <w:t>（6）投标人或其法定代表人、拟委任的项目经理和项目总工在近三年内（自202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3月4日</w:t>
            </w:r>
            <w:r>
              <w:rPr>
                <w:rFonts w:hint="eastAsia" w:ascii="仿宋" w:hAnsi="仿宋" w:eastAsia="仿宋" w:cs="仿宋"/>
                <w:sz w:val="32"/>
                <w:szCs w:val="32"/>
              </w:rPr>
              <w:t>以来）有行贿犯罪行为的；</w:t>
            </w:r>
          </w:p>
          <w:p w14:paraId="4A0559DA">
            <w:pPr>
              <w:bidi w:val="0"/>
              <w:rPr>
                <w:rFonts w:hint="eastAsia" w:ascii="仿宋" w:hAnsi="仿宋" w:eastAsia="仿宋" w:cs="仿宋"/>
                <w:sz w:val="32"/>
                <w:szCs w:val="32"/>
              </w:rPr>
            </w:pPr>
            <w:r>
              <w:rPr>
                <w:rFonts w:hint="eastAsia" w:ascii="仿宋" w:hAnsi="仿宋" w:eastAsia="仿宋" w:cs="仿宋"/>
                <w:sz w:val="32"/>
                <w:szCs w:val="32"/>
              </w:rPr>
              <w:t>（7）投标人在投标截止时间前最新的公路建设市场全国综合信用评价结果或宁夏回族自治区公路建设与养护市场从业单位施工企业信用等级评价结果公示中被评为D级（附网站查询截图）；</w:t>
            </w:r>
          </w:p>
          <w:p w14:paraId="79D88A9E">
            <w:pPr>
              <w:bidi w:val="0"/>
              <w:rPr>
                <w:rFonts w:hint="eastAsia" w:ascii="仿宋" w:hAnsi="仿宋" w:eastAsia="仿宋" w:cs="仿宋"/>
                <w:sz w:val="32"/>
                <w:szCs w:val="32"/>
              </w:rPr>
            </w:pPr>
            <w:r>
              <w:rPr>
                <w:rFonts w:hint="eastAsia" w:ascii="仿宋" w:hAnsi="仿宋" w:eastAsia="仿宋" w:cs="仿宋"/>
                <w:sz w:val="32"/>
                <w:szCs w:val="32"/>
              </w:rPr>
              <w:t>（8）法律法规或投标人须知前附表规定的其他情形。</w:t>
            </w:r>
          </w:p>
          <w:p w14:paraId="10003D68">
            <w:pPr>
              <w:bidi w:val="0"/>
              <w:rPr>
                <w:rFonts w:hint="eastAsia" w:ascii="仿宋" w:hAnsi="仿宋" w:eastAsia="仿宋" w:cs="仿宋"/>
                <w:sz w:val="32"/>
                <w:szCs w:val="32"/>
              </w:rPr>
            </w:pPr>
          </w:p>
          <w:p w14:paraId="0C13BA81">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注：（1）投标人提供“投标人信誉情况表”时，按照以上内容及投标文件格式中的要求提供证明资料；</w:t>
            </w:r>
          </w:p>
          <w:p w14:paraId="66F72CDB">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（2）招标文件中其他地方与此处不一致时，以此处为准。</w:t>
            </w:r>
          </w:p>
        </w:tc>
      </w:tr>
    </w:tbl>
    <w:p w14:paraId="4C74B32A">
      <w:pPr>
        <w:bidi w:val="0"/>
        <w:jc w:val="center"/>
        <w:rPr>
          <w:rFonts w:hint="eastAsia" w:ascii="仿宋" w:hAnsi="仿宋" w:eastAsia="仿宋" w:cs="仿宋"/>
          <w:sz w:val="32"/>
          <w:szCs w:val="32"/>
          <w:lang w:eastAsia="zh-CN"/>
        </w:rPr>
      </w:pPr>
      <w:bookmarkStart w:id="46" w:name="_Toc1005"/>
      <w:bookmarkStart w:id="47" w:name="_Toc10356"/>
      <w:r>
        <w:rPr>
          <w:rFonts w:hint="eastAsia" w:ascii="仿宋" w:hAnsi="仿宋" w:eastAsia="仿宋" w:cs="仿宋"/>
          <w:sz w:val="32"/>
          <w:szCs w:val="32"/>
        </w:rPr>
        <w:t>附录5资格审查条件</w:t>
      </w:r>
      <w:r>
        <w:rPr>
          <w:rFonts w:hint="eastAsia" w:ascii="仿宋" w:hAnsi="仿宋" w:eastAsia="仿宋" w:cs="仿宋"/>
          <w:sz w:val="32"/>
          <w:szCs w:val="32"/>
          <w:lang w:eastAsia="zh-CN"/>
        </w:rPr>
        <w:t>（</w:t>
      </w:r>
      <w:r>
        <w:rPr>
          <w:rFonts w:hint="eastAsia" w:ascii="仿宋" w:hAnsi="仿宋" w:eastAsia="仿宋" w:cs="仿宋"/>
          <w:sz w:val="32"/>
          <w:szCs w:val="32"/>
        </w:rPr>
        <w:t>项目经理和项目总工最低要求</w:t>
      </w:r>
      <w:bookmarkEnd w:id="37"/>
      <w:bookmarkEnd w:id="38"/>
      <w:bookmarkEnd w:id="39"/>
      <w:bookmarkEnd w:id="40"/>
      <w:bookmarkEnd w:id="41"/>
      <w:bookmarkEnd w:id="42"/>
      <w:bookmarkEnd w:id="43"/>
      <w:bookmarkEnd w:id="44"/>
      <w:bookmarkEnd w:id="45"/>
      <w:bookmarkEnd w:id="46"/>
      <w:r>
        <w:rPr>
          <w:rFonts w:hint="eastAsia" w:ascii="仿宋" w:hAnsi="仿宋" w:eastAsia="仿宋" w:cs="仿宋"/>
          <w:sz w:val="32"/>
          <w:szCs w:val="32"/>
          <w:lang w:eastAsia="zh-CN"/>
        </w:rPr>
        <w:t>）</w:t>
      </w:r>
      <w:bookmarkEnd w:id="47"/>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960"/>
        <w:gridCol w:w="6624"/>
        <w:gridCol w:w="1164"/>
      </w:tblGrid>
      <w:tr w14:paraId="3DBC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381DF46A">
            <w:pPr>
              <w:bidi w:val="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人员</w:t>
            </w:r>
          </w:p>
        </w:tc>
        <w:tc>
          <w:tcPr>
            <w:tcW w:w="960" w:type="dxa"/>
            <w:noWrap w:val="0"/>
            <w:vAlign w:val="center"/>
          </w:tcPr>
          <w:p w14:paraId="59CE22A7">
            <w:pPr>
              <w:bidi w:val="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w:t>
            </w:r>
          </w:p>
        </w:tc>
        <w:tc>
          <w:tcPr>
            <w:tcW w:w="6624" w:type="dxa"/>
            <w:noWrap w:val="0"/>
            <w:vAlign w:val="center"/>
          </w:tcPr>
          <w:p w14:paraId="66ADAACA">
            <w:pPr>
              <w:bidi w:val="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资格要求</w:t>
            </w:r>
          </w:p>
        </w:tc>
        <w:tc>
          <w:tcPr>
            <w:tcW w:w="1164" w:type="dxa"/>
            <w:noWrap w:val="0"/>
            <w:vAlign w:val="center"/>
          </w:tcPr>
          <w:p w14:paraId="4A9074B3">
            <w:pPr>
              <w:bidi w:val="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在岗要求</w:t>
            </w:r>
          </w:p>
        </w:tc>
      </w:tr>
      <w:tr w14:paraId="2C88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57C83CA4">
            <w:pPr>
              <w:bidi w:val="0"/>
              <w:jc w:val="center"/>
              <w:rPr>
                <w:rFonts w:hint="eastAsia" w:ascii="仿宋" w:hAnsi="仿宋" w:eastAsia="仿宋" w:cs="仿宋"/>
                <w:sz w:val="32"/>
                <w:szCs w:val="32"/>
              </w:rPr>
            </w:pPr>
            <w:r>
              <w:rPr>
                <w:rFonts w:hint="eastAsia" w:ascii="仿宋" w:hAnsi="仿宋" w:eastAsia="仿宋" w:cs="仿宋"/>
                <w:sz w:val="32"/>
                <w:szCs w:val="32"/>
              </w:rPr>
              <w:t>项目经理</w:t>
            </w:r>
          </w:p>
        </w:tc>
        <w:tc>
          <w:tcPr>
            <w:tcW w:w="960" w:type="dxa"/>
            <w:noWrap w:val="0"/>
            <w:vAlign w:val="center"/>
          </w:tcPr>
          <w:p w14:paraId="3259BBBE">
            <w:pPr>
              <w:bidi w:val="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6624" w:type="dxa"/>
            <w:noWrap w:val="0"/>
            <w:vAlign w:val="center"/>
          </w:tcPr>
          <w:p w14:paraId="1FC9FE45">
            <w:pPr>
              <w:bidi w:val="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具有公路工程相关专业中级及以上职称，并具有住房和城乡建设部门颁发的公路工程专业二级及以上等级注册建造师证且目前必须注册在投标人单位，持有交通行业主管部门颁发的安全生产考核合格“B”类证书并在有效期内</w:t>
            </w:r>
            <w:r>
              <w:rPr>
                <w:rFonts w:hint="eastAsia" w:ascii="仿宋" w:hAnsi="仿宋" w:eastAsia="仿宋" w:cs="仿宋"/>
                <w:sz w:val="32"/>
                <w:szCs w:val="32"/>
              </w:rPr>
              <w:t>；</w:t>
            </w:r>
          </w:p>
          <w:p w14:paraId="17D3102E">
            <w:pPr>
              <w:bidi w:val="0"/>
              <w:rPr>
                <w:rFonts w:hint="eastAsia" w:ascii="仿宋" w:hAnsi="仿宋" w:eastAsia="仿宋" w:cs="仿宋"/>
                <w:sz w:val="32"/>
                <w:szCs w:val="32"/>
                <w:lang w:eastAsia="zh-CN"/>
              </w:rPr>
            </w:pPr>
            <w:r>
              <w:rPr>
                <w:rFonts w:hint="eastAsia" w:ascii="仿宋" w:hAnsi="仿宋" w:eastAsia="仿宋" w:cs="仿宋"/>
                <w:sz w:val="32"/>
                <w:szCs w:val="32"/>
              </w:rPr>
              <w:t>2、近3年（2023年</w:t>
            </w:r>
            <w:r>
              <w:rPr>
                <w:rFonts w:hint="eastAsia" w:ascii="仿宋" w:hAnsi="仿宋" w:eastAsia="仿宋" w:cs="仿宋"/>
                <w:sz w:val="32"/>
                <w:szCs w:val="32"/>
                <w:lang w:val="en-US" w:eastAsia="zh-CN"/>
              </w:rPr>
              <w:t>3月4</w:t>
            </w:r>
            <w:r>
              <w:rPr>
                <w:rFonts w:hint="eastAsia" w:ascii="仿宋" w:hAnsi="仿宋" w:eastAsia="仿宋" w:cs="仿宋"/>
                <w:sz w:val="32"/>
                <w:szCs w:val="32"/>
                <w:lang w:eastAsia="zh-CN"/>
              </w:rPr>
              <w:t>日</w:t>
            </w:r>
            <w:r>
              <w:rPr>
                <w:rFonts w:hint="eastAsia" w:ascii="仿宋" w:hAnsi="仿宋" w:eastAsia="仿宋" w:cs="仿宋"/>
                <w:sz w:val="32"/>
                <w:szCs w:val="32"/>
              </w:rPr>
              <w:t>至投标截止之日，以交工日期为准）至少担任过1个二级及以上等级公路涵洞改造（新建、改扩建、拆除重建）养护工程的项目经理职务（或2个项目副经理职务）。</w:t>
            </w:r>
          </w:p>
          <w:p w14:paraId="1A0D1135">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注：补充投标人须知正文第3.5.5项：</w:t>
            </w:r>
          </w:p>
          <w:p w14:paraId="72AD630E">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1）投标人应按资格审查资料表（六）拟委任的项目经理和项目总工资历表的格式要求分别填写项目经理和项目总工的资历，还应后附相关资格证明材料的扫描件。项目经理须提供的资格证明材料：身份证、职称资格证书、建造师注册证书、B类安全生产考核合格证书、建造师注册证书及B类安全生产考核合格证书在政府相关部门网站上公开信息的网页截图以及在社保系统打印的拟委任的项目经理2025年8月至今任意连续3个月的缴费明细扫描件、人员相关业绩的网页截图、在岗撤离承诺书（如有）。</w:t>
            </w:r>
          </w:p>
          <w:p w14:paraId="75B97E79">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（2）项目总工须提供的资格证明材料：身份证、职称资格证书以及在社保系统打印的拟委任的项目总工2025年8月至今任意连续3个月的缴费明细扫描件、相关业绩的网页截图、在岗撤离承诺书（如有）。</w:t>
            </w:r>
          </w:p>
          <w:p w14:paraId="4ED7F646">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3）项目经理和项目总工其他要求：必须是在投标人单位参加社会保险的全日制从业人员；注册建造师证书注册的单位必须为投标人，社保缴费单位与投标人名称必须一致；所有证件需清楚的反映有效期、年检情况及单位变更情况信息（如有）；所附人员的各类证书、证照以及各种证明材料中该人员的姓名应完全一致（除曾用名）。</w:t>
            </w:r>
          </w:p>
          <w:p w14:paraId="602480CD">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4）人员相关业绩的网页截图要求：“拟委任的项目经理和项目总工资历表”还应附“全国公路建设市场监督管理系统”中载明的、能够证明项目经理和项目总工具有相关业绩的网页截图。在“全国公路建设市场监督管理系统”中无法查询，但可在工程所在地省级交通运输主管部门公路建设与养护市场信用信息管理系统中查询的，应附工程所在地省级交通运输主管部门公路建设与养护市场信用信息管理系统中查询到的网页截图。除网页截图外，投标人无须再提供任何业绩证明资料。除网页截图外，其余业绩材料体现的但系统网站中未载明的信息在评审时均不予采信。</w:t>
            </w:r>
          </w:p>
          <w:p w14:paraId="2E46E941">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（5）如投标人未提供相关项目网页截图或相关项目网页截图中的信息无法证实投标人满足招标文件规定的资格审查条件（项目经理和项目总工最低要求），则该项目业绩不予认定。</w:t>
            </w:r>
          </w:p>
          <w:p w14:paraId="38FE42C5">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）公路工程相关专业职称包括：公路工程、桥梁工程、公路与桥梁工程、交通土建工程、隧道（地下结构）工程、交通工程等专业职称。</w:t>
            </w:r>
          </w:p>
          <w:p w14:paraId="428C457C">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在评审过程中招标人将通过网上核实投标人所提供的网页截图的内容、建造师注册证书、B类安全生产考核合格证书等相关信息，核实后如发现投标人提供的网页截图、信息与招标人核实的内容不一致的，或投标人提供虚假截屏信息的，招标人将视为该投标文件不符合招标文件的规定，在资格评审中不予通过。</w:t>
            </w:r>
          </w:p>
          <w:p w14:paraId="07C0E86B">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投标人对投标文件中拟委任的项目经理、项目总工是否在岗必须如实填报，在评标过程中或公示期间，若招标人收到有关反映投标人项目经理、项目总工有在岗项目的投诉，招标人一经查实将认定为失信投标行为（如中标同时取消其中标资格），并依据《宁夏回族自治区公路建设与养护市场信用评价管理办法》（宁交规发〔2024〕1号）文件对投标人本次投标行为进行评价，同时将评价结果上报宁夏回族自治区交通运输厅，并在宁夏回族自治区交通运输厅网站予以公布。</w:t>
            </w:r>
          </w:p>
          <w:p w14:paraId="4A14C954">
            <w:pPr>
              <w:bidi w:val="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）招标文件中其他地方与此处不一致时，以此处为准。</w:t>
            </w:r>
          </w:p>
        </w:tc>
        <w:tc>
          <w:tcPr>
            <w:tcW w:w="1164" w:type="dxa"/>
            <w:vMerge w:val="restart"/>
            <w:noWrap w:val="0"/>
            <w:vAlign w:val="center"/>
          </w:tcPr>
          <w:p w14:paraId="6AD3C67D">
            <w:pPr>
              <w:bidi w:val="0"/>
              <w:rPr>
                <w:rFonts w:hint="eastAsia" w:ascii="仿宋" w:hAnsi="仿宋" w:eastAsia="仿宋" w:cs="仿宋"/>
                <w:sz w:val="32"/>
                <w:szCs w:val="32"/>
              </w:rPr>
            </w:pPr>
            <w:r>
              <w:rPr>
                <w:rFonts w:hint="eastAsia" w:ascii="仿宋" w:hAnsi="仿宋" w:eastAsia="仿宋" w:cs="仿宋"/>
                <w:sz w:val="32"/>
                <w:szCs w:val="32"/>
              </w:rPr>
              <w:t>无在岗项目（指目前未在其他项目上任职，或虽在其他项目上任职但本项目中标后能够从该项目撤离）</w:t>
            </w:r>
          </w:p>
        </w:tc>
      </w:tr>
      <w:tr w14:paraId="1684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noWrap w:val="0"/>
            <w:vAlign w:val="center"/>
          </w:tcPr>
          <w:p w14:paraId="4D943CA5">
            <w:pPr>
              <w:bidi w:val="0"/>
              <w:jc w:val="center"/>
              <w:rPr>
                <w:rFonts w:hint="eastAsia" w:ascii="仿宋" w:hAnsi="仿宋" w:eastAsia="仿宋" w:cs="仿宋"/>
                <w:sz w:val="32"/>
                <w:szCs w:val="32"/>
              </w:rPr>
            </w:pPr>
            <w:r>
              <w:rPr>
                <w:rFonts w:hint="eastAsia" w:ascii="仿宋" w:hAnsi="仿宋" w:eastAsia="仿宋" w:cs="仿宋"/>
                <w:sz w:val="32"/>
                <w:szCs w:val="32"/>
              </w:rPr>
              <w:t>项目总工</w:t>
            </w:r>
          </w:p>
        </w:tc>
        <w:tc>
          <w:tcPr>
            <w:tcW w:w="960" w:type="dxa"/>
            <w:noWrap w:val="0"/>
            <w:vAlign w:val="center"/>
          </w:tcPr>
          <w:p w14:paraId="734A9D76">
            <w:pPr>
              <w:bidi w:val="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6624" w:type="dxa"/>
            <w:noWrap w:val="0"/>
            <w:vAlign w:val="center"/>
          </w:tcPr>
          <w:p w14:paraId="7735C01C">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1、具有公路工程相关相关专业中级及以上技术职称；</w:t>
            </w:r>
          </w:p>
          <w:p w14:paraId="23C1795B">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2、近3年（2023年3月4日至投标截止之日，以交工日期为准）至少担任过1个二级及以上等级公路涵洞改造（新建、改扩建、拆除重建）养护工程的项目总工职务（或2个项目副总工职务）。</w:t>
            </w:r>
          </w:p>
          <w:p w14:paraId="45BB48E1">
            <w:pPr>
              <w:bidi w:val="0"/>
              <w:rPr>
                <w:rFonts w:hint="eastAsia" w:ascii="仿宋" w:hAnsi="仿宋" w:eastAsia="仿宋" w:cs="仿宋"/>
                <w:sz w:val="32"/>
                <w:szCs w:val="32"/>
              </w:rPr>
            </w:pPr>
            <w:r>
              <w:rPr>
                <w:rFonts w:hint="eastAsia" w:ascii="仿宋" w:hAnsi="仿宋" w:eastAsia="仿宋" w:cs="仿宋"/>
                <w:sz w:val="32"/>
                <w:szCs w:val="32"/>
              </w:rPr>
              <w:t>注：补充投标人须知正文第3.5.5项：</w:t>
            </w:r>
          </w:p>
          <w:p w14:paraId="62884414">
            <w:pPr>
              <w:bidi w:val="0"/>
              <w:rPr>
                <w:rFonts w:hint="eastAsia" w:ascii="仿宋" w:hAnsi="仿宋" w:eastAsia="仿宋" w:cs="仿宋"/>
                <w:sz w:val="32"/>
                <w:szCs w:val="32"/>
              </w:rPr>
            </w:pPr>
            <w:r>
              <w:rPr>
                <w:rFonts w:hint="eastAsia" w:ascii="仿宋" w:hAnsi="仿宋" w:eastAsia="仿宋" w:cs="仿宋"/>
                <w:sz w:val="32"/>
                <w:szCs w:val="32"/>
              </w:rPr>
              <w:t>（1）投标人应按资格审查资料表（六）拟委任的项目经理和项目总工资历表的格式要求分别填写项目经理和项目总工的资历，还应后附相关资格证明材料的扫描件。项目经理须提供的资格证明材料：身份证、职称资格证书、建造师注册证书、B类安全生产考核合格证书、建造师注册证书及B类安全生产考核合格证书在政府相关部门网站上公开信息的网页截图以及在社保系统打印的拟委任的项目经理</w:t>
            </w:r>
            <w:r>
              <w:rPr>
                <w:rFonts w:hint="eastAsia" w:ascii="仿宋" w:hAnsi="仿宋" w:eastAsia="仿宋" w:cs="仿宋"/>
                <w:sz w:val="32"/>
                <w:szCs w:val="32"/>
                <w:lang w:eastAsia="zh-CN"/>
              </w:rPr>
              <w:t>2025年8月</w:t>
            </w:r>
            <w:r>
              <w:rPr>
                <w:rFonts w:hint="eastAsia" w:ascii="仿宋" w:hAnsi="仿宋" w:eastAsia="仿宋" w:cs="仿宋"/>
                <w:sz w:val="32"/>
                <w:szCs w:val="32"/>
              </w:rPr>
              <w:t>至今任意连续3个月的缴费明细扫描件、人员相关业绩的网页截图、在岗撤离承诺书（如有）。</w:t>
            </w:r>
          </w:p>
          <w:p w14:paraId="63C58A0E">
            <w:pPr>
              <w:bidi w:val="0"/>
              <w:rPr>
                <w:rFonts w:hint="eastAsia" w:ascii="仿宋" w:hAnsi="仿宋" w:eastAsia="仿宋" w:cs="仿宋"/>
                <w:sz w:val="32"/>
                <w:szCs w:val="32"/>
              </w:rPr>
            </w:pPr>
            <w:r>
              <w:rPr>
                <w:rFonts w:hint="eastAsia" w:ascii="仿宋" w:hAnsi="仿宋" w:eastAsia="仿宋" w:cs="仿宋"/>
                <w:sz w:val="32"/>
                <w:szCs w:val="32"/>
              </w:rPr>
              <w:t>（2）项目总工须提供的资格证明材料：身份证、职称资格证书以及在社保系统打印的拟委任的项目总工</w:t>
            </w:r>
            <w:r>
              <w:rPr>
                <w:rFonts w:hint="eastAsia" w:ascii="仿宋" w:hAnsi="仿宋" w:eastAsia="仿宋" w:cs="仿宋"/>
                <w:sz w:val="32"/>
                <w:szCs w:val="32"/>
                <w:lang w:eastAsia="zh-CN"/>
              </w:rPr>
              <w:t>2025年8月</w:t>
            </w:r>
            <w:r>
              <w:rPr>
                <w:rFonts w:hint="eastAsia" w:ascii="仿宋" w:hAnsi="仿宋" w:eastAsia="仿宋" w:cs="仿宋"/>
                <w:sz w:val="32"/>
                <w:szCs w:val="32"/>
              </w:rPr>
              <w:t>至今任意连续3个月的缴费明细扫描件、相关业绩的网页截图、在岗撤离承诺书（如有）。</w:t>
            </w:r>
          </w:p>
          <w:p w14:paraId="2F92F58B">
            <w:pPr>
              <w:bidi w:val="0"/>
              <w:rPr>
                <w:rFonts w:hint="eastAsia" w:ascii="仿宋" w:hAnsi="仿宋" w:eastAsia="仿宋" w:cs="仿宋"/>
                <w:sz w:val="32"/>
                <w:szCs w:val="32"/>
              </w:rPr>
            </w:pPr>
            <w:r>
              <w:rPr>
                <w:rFonts w:hint="eastAsia" w:ascii="仿宋" w:hAnsi="仿宋" w:eastAsia="仿宋" w:cs="仿宋"/>
                <w:sz w:val="32"/>
                <w:szCs w:val="32"/>
              </w:rPr>
              <w:t>（3）项目经理和项目总工其他要求：必须是在投标人单位参加社会保险的全日制从业人员；注册建造师证书注册的单位必须为投标人，社保缴费单位与投标人名称必须一致；所有证件需清楚的反映有效期、年检情况及单位变更情况信息（如有）；所附人员的各类证书、证照以及各种证明材料中该人员的姓名应完全一致（除曾用名）。</w:t>
            </w:r>
          </w:p>
          <w:p w14:paraId="71140145">
            <w:pPr>
              <w:bidi w:val="0"/>
              <w:rPr>
                <w:rFonts w:hint="eastAsia" w:ascii="仿宋" w:hAnsi="仿宋" w:eastAsia="仿宋" w:cs="仿宋"/>
                <w:sz w:val="32"/>
                <w:szCs w:val="32"/>
              </w:rPr>
            </w:pPr>
            <w:r>
              <w:rPr>
                <w:rFonts w:hint="eastAsia" w:ascii="仿宋" w:hAnsi="仿宋" w:eastAsia="仿宋" w:cs="仿宋"/>
                <w:sz w:val="32"/>
                <w:szCs w:val="32"/>
              </w:rPr>
              <w:t>（4）人员相关业绩的网页截图要求：“拟委任的项目经理和项目总工资历表”还应附“全国公路建设市场监督管理系统”中载明的、能够证明项目经理和项目总工具有相关业绩的网页截图。在“全国公路建设市场监督管理系统”中无法查询，但可在工程所在地省级交通运输主管部门公路建设与养护市场信用信息管理系统中查询的，应附工程所在地省级交通运输主管部门公路建设与养护市场信用信息管理系统中查询到的网页截图。除网页截图外，投标人无须再提供任何业绩证明资料。除网页截图外，其余业绩材料体现的但系统网站中未载明的信息在评审时均不予采信。</w:t>
            </w:r>
          </w:p>
          <w:p w14:paraId="15ADF72C">
            <w:pPr>
              <w:bidi w:val="0"/>
              <w:rPr>
                <w:rFonts w:hint="eastAsia" w:ascii="仿宋" w:hAnsi="仿宋" w:eastAsia="仿宋" w:cs="仿宋"/>
                <w:sz w:val="32"/>
                <w:szCs w:val="32"/>
              </w:rPr>
            </w:pPr>
            <w:r>
              <w:rPr>
                <w:rFonts w:hint="eastAsia" w:ascii="仿宋" w:hAnsi="仿宋" w:eastAsia="仿宋" w:cs="仿宋"/>
                <w:sz w:val="32"/>
                <w:szCs w:val="32"/>
              </w:rPr>
              <w:t>（5）如投标人未提供相关项目网页截图或相关项目网页截图中的信息无法证实投标人满足招标文件规定的资格审查条件（项目经理和项目总工最低要求），则该项目业绩不予认定。</w:t>
            </w:r>
          </w:p>
          <w:p w14:paraId="7729FB6F">
            <w:pPr>
              <w:bidi w:val="0"/>
              <w:rPr>
                <w:rFonts w:hint="eastAsia" w:ascii="仿宋" w:hAnsi="仿宋" w:eastAsia="仿宋" w:cs="仿宋"/>
                <w:sz w:val="32"/>
                <w:szCs w:val="32"/>
              </w:rPr>
            </w:pPr>
            <w:r>
              <w:rPr>
                <w:rFonts w:hint="eastAsia" w:ascii="仿宋" w:hAnsi="仿宋" w:eastAsia="仿宋" w:cs="仿宋"/>
                <w:sz w:val="32"/>
                <w:szCs w:val="32"/>
              </w:rPr>
              <w:t>（6）公路工程相关专业职称包括：公路工程、桥梁工程、公路与桥梁工程、交通土建工程、隧道（地下结构）工程、交通工程等专业职称。</w:t>
            </w:r>
          </w:p>
          <w:p w14:paraId="12E3B690">
            <w:pPr>
              <w:bidi w:val="0"/>
              <w:rPr>
                <w:rFonts w:hint="eastAsia" w:ascii="仿宋" w:hAnsi="仿宋" w:eastAsia="仿宋" w:cs="仿宋"/>
                <w:sz w:val="32"/>
                <w:szCs w:val="32"/>
              </w:rPr>
            </w:pPr>
            <w:r>
              <w:rPr>
                <w:rFonts w:hint="eastAsia" w:ascii="仿宋" w:hAnsi="仿宋" w:eastAsia="仿宋" w:cs="仿宋"/>
                <w:sz w:val="32"/>
                <w:szCs w:val="32"/>
              </w:rPr>
              <w:t>（7）在评审过程中招标人将通过网上核实投标人所提供的网页截图的内容、建造师注册证书、B类安全生产考核合格证书等相关信息，核实后如发现投标人提供的网页截图、信息与招标人核实的内容不一致的，或投标人提供虚假截屏信息的，招标人将视为该投标文件不符合招标文件的规定，在资格评审中不予通过。</w:t>
            </w:r>
          </w:p>
          <w:p w14:paraId="730B7952">
            <w:pPr>
              <w:bidi w:val="0"/>
              <w:rPr>
                <w:rFonts w:hint="eastAsia" w:ascii="仿宋" w:hAnsi="仿宋" w:eastAsia="仿宋" w:cs="仿宋"/>
                <w:sz w:val="32"/>
                <w:szCs w:val="32"/>
              </w:rPr>
            </w:pPr>
            <w:r>
              <w:rPr>
                <w:rFonts w:hint="eastAsia" w:ascii="仿宋" w:hAnsi="仿宋" w:eastAsia="仿宋" w:cs="仿宋"/>
                <w:sz w:val="32"/>
                <w:szCs w:val="32"/>
              </w:rPr>
              <w:t>（8）投标人对投标文件中拟委任的项目经理、项目总工是否在岗必须如实填报，在评标过程中或公示期间，若招标人收到有关反映投标人项目经理、项目总工有在岗项目的投诉，招标人一经查实将认定为失信投标行为（如中标同时取消其中标资格），并依据《宁夏回族自治区公路建设与养护市场信用评价管理办法》（宁交规发〔2024〕1号）文件对投标人本次投标行为进行评价，同时将评价结果上报宁夏回族自治区交通运输厅，并在宁夏回族自治区交通运输厅网站予以公布。</w:t>
            </w:r>
          </w:p>
          <w:p w14:paraId="1C4B1401">
            <w:pPr>
              <w:bidi w:val="0"/>
              <w:rPr>
                <w:rFonts w:hint="eastAsia" w:ascii="仿宋" w:hAnsi="仿宋" w:eastAsia="仿宋" w:cs="仿宋"/>
                <w:sz w:val="32"/>
                <w:szCs w:val="32"/>
              </w:rPr>
            </w:pPr>
            <w:r>
              <w:rPr>
                <w:rFonts w:hint="eastAsia" w:ascii="仿宋" w:hAnsi="仿宋" w:eastAsia="仿宋" w:cs="仿宋"/>
                <w:sz w:val="32"/>
                <w:szCs w:val="32"/>
              </w:rPr>
              <w:t>（9）招标文件中其他地方与此处不一致时，以此处为准。</w:t>
            </w:r>
          </w:p>
        </w:tc>
        <w:tc>
          <w:tcPr>
            <w:tcW w:w="1164" w:type="dxa"/>
            <w:vMerge w:val="continue"/>
            <w:noWrap w:val="0"/>
            <w:vAlign w:val="center"/>
          </w:tcPr>
          <w:p w14:paraId="581CC24C">
            <w:pPr>
              <w:bidi w:val="0"/>
              <w:rPr>
                <w:rFonts w:hint="eastAsia" w:ascii="仿宋" w:hAnsi="仿宋" w:eastAsia="仿宋" w:cs="仿宋"/>
                <w:sz w:val="32"/>
                <w:szCs w:val="32"/>
              </w:rPr>
            </w:pPr>
          </w:p>
        </w:tc>
      </w:tr>
    </w:tbl>
    <w:p w14:paraId="5309B874">
      <w:pPr>
        <w:bidi w:val="0"/>
        <w:rPr>
          <w:rFonts w:hint="eastAsia" w:ascii="仿宋" w:hAnsi="仿宋" w:eastAsia="仿宋" w:cs="仿宋"/>
          <w:b/>
          <w:bCs/>
          <w:i w:val="0"/>
          <w:iCs w:val="0"/>
          <w:color w:val="auto"/>
          <w:sz w:val="32"/>
          <w:szCs w:val="40"/>
          <w:highlight w:val="none"/>
        </w:rPr>
      </w:pPr>
      <w:r>
        <w:rPr>
          <w:rFonts w:hint="eastAsia" w:ascii="仿宋" w:hAnsi="仿宋" w:eastAsia="仿宋" w:cs="仿宋"/>
          <w:b/>
          <w:bCs/>
          <w:i w:val="0"/>
          <w:iCs w:val="0"/>
          <w:color w:val="auto"/>
          <w:sz w:val="32"/>
          <w:szCs w:val="40"/>
          <w:highlight w:val="none"/>
        </w:rPr>
        <w:t>二、评标办法全文</w:t>
      </w:r>
    </w:p>
    <w:p w14:paraId="3D4FDD97">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评标办法前附表</w:t>
      </w:r>
    </w:p>
    <w:tbl>
      <w:tblPr>
        <w:tblStyle w:val="10"/>
        <w:tblW w:w="9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929"/>
        <w:gridCol w:w="6835"/>
      </w:tblGrid>
      <w:tr w14:paraId="3DB1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86" w:type="dxa"/>
            <w:gridSpan w:val="2"/>
            <w:noWrap w:val="0"/>
            <w:vAlign w:val="center"/>
          </w:tcPr>
          <w:p w14:paraId="6DF3163C">
            <w:pPr>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条款号</w:t>
            </w:r>
          </w:p>
        </w:tc>
        <w:tc>
          <w:tcPr>
            <w:tcW w:w="6835" w:type="dxa"/>
            <w:noWrap w:val="0"/>
            <w:vAlign w:val="center"/>
          </w:tcPr>
          <w:p w14:paraId="0232F121">
            <w:pPr>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评审因素与评审标准</w:t>
            </w:r>
          </w:p>
        </w:tc>
      </w:tr>
      <w:tr w14:paraId="1055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dxa"/>
            <w:noWrap w:val="0"/>
            <w:vAlign w:val="center"/>
          </w:tcPr>
          <w:p w14:paraId="13E763CF">
            <w:pPr>
              <w:spacing w:line="360" w:lineRule="auto"/>
              <w:jc w:val="center"/>
              <w:rPr>
                <w:rFonts w:hint="eastAsia" w:ascii="仿宋" w:hAnsi="仿宋" w:eastAsia="仿宋" w:cs="仿宋"/>
                <w:color w:val="auto"/>
                <w:spacing w:val="-6"/>
                <w:sz w:val="32"/>
                <w:szCs w:val="32"/>
                <w:highlight w:val="none"/>
                <w:lang w:val="en-US" w:eastAsia="zh-CN"/>
              </w:rPr>
            </w:pPr>
            <w:r>
              <w:rPr>
                <w:rFonts w:hint="eastAsia" w:ascii="仿宋" w:hAnsi="仿宋" w:eastAsia="仿宋" w:cs="仿宋"/>
                <w:color w:val="auto"/>
                <w:spacing w:val="-6"/>
                <w:sz w:val="32"/>
                <w:szCs w:val="32"/>
                <w:highlight w:val="none"/>
                <w:lang w:val="en-US" w:eastAsia="zh-CN"/>
              </w:rPr>
              <w:t>2.1.1</w:t>
            </w:r>
          </w:p>
          <w:p w14:paraId="7A0EA184">
            <w:pPr>
              <w:spacing w:line="360" w:lineRule="auto"/>
              <w:jc w:val="center"/>
              <w:rPr>
                <w:rFonts w:hint="eastAsia" w:ascii="仿宋" w:hAnsi="仿宋" w:eastAsia="仿宋" w:cs="仿宋"/>
                <w:color w:val="auto"/>
                <w:spacing w:val="-6"/>
                <w:sz w:val="32"/>
                <w:szCs w:val="32"/>
                <w:highlight w:val="none"/>
                <w:lang w:val="en-US" w:eastAsia="zh-CN"/>
              </w:rPr>
            </w:pPr>
            <w:r>
              <w:rPr>
                <w:rFonts w:hint="eastAsia" w:ascii="仿宋" w:hAnsi="仿宋" w:eastAsia="仿宋" w:cs="仿宋"/>
                <w:color w:val="auto"/>
                <w:spacing w:val="-6"/>
                <w:sz w:val="32"/>
                <w:szCs w:val="32"/>
                <w:highlight w:val="none"/>
                <w:lang w:val="en-US" w:eastAsia="zh-CN"/>
              </w:rPr>
              <w:t>2.1.3</w:t>
            </w:r>
          </w:p>
        </w:tc>
        <w:tc>
          <w:tcPr>
            <w:tcW w:w="1929" w:type="dxa"/>
            <w:noWrap w:val="0"/>
            <w:vAlign w:val="center"/>
          </w:tcPr>
          <w:p w14:paraId="6E63E30D">
            <w:pPr>
              <w:spacing w:line="360" w:lineRule="auto"/>
              <w:jc w:val="center"/>
              <w:rPr>
                <w:rFonts w:hint="eastAsia" w:ascii="仿宋" w:hAnsi="仿宋" w:eastAsia="仿宋" w:cs="仿宋"/>
                <w:color w:val="auto"/>
                <w:spacing w:val="-6"/>
                <w:sz w:val="32"/>
                <w:szCs w:val="32"/>
                <w:highlight w:val="none"/>
                <w:lang w:val="en-US" w:eastAsia="zh-CN"/>
              </w:rPr>
            </w:pPr>
            <w:r>
              <w:rPr>
                <w:rFonts w:hint="eastAsia" w:ascii="仿宋" w:hAnsi="仿宋" w:eastAsia="仿宋" w:cs="仿宋"/>
                <w:color w:val="auto"/>
                <w:spacing w:val="-6"/>
                <w:sz w:val="32"/>
                <w:szCs w:val="32"/>
                <w:highlight w:val="none"/>
                <w:lang w:val="en-US" w:eastAsia="zh-CN"/>
              </w:rPr>
              <w:t>形式评审与响应性评审标准</w:t>
            </w:r>
          </w:p>
        </w:tc>
        <w:tc>
          <w:tcPr>
            <w:tcW w:w="6835" w:type="dxa"/>
            <w:noWrap w:val="0"/>
            <w:vAlign w:val="center"/>
          </w:tcPr>
          <w:p w14:paraId="490658E9">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第一个信封（商务及技术文件）评审标准：</w:t>
            </w:r>
          </w:p>
          <w:p w14:paraId="7848210B">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（1）投标文件按照招标文件规定的格式、内容填写，字迹清晰可辨：</w:t>
            </w:r>
          </w:p>
          <w:p w14:paraId="073B10AA">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a.投标函按招标文件规定填报了项目名称、标段号（如有）、补遗书编号（如有）、工期、工程质量要求及安全目标；</w:t>
            </w:r>
          </w:p>
          <w:p w14:paraId="63D11FCA">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b.投标函附录、价格指数和权重表（如有）的所有内容和数据均符合招标文件规定；</w:t>
            </w:r>
          </w:p>
          <w:p w14:paraId="5CE90AC1">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c.投标文件中有承诺函、无行贿犯罪承诺书等内容，其内容文字与招标文件规定一致，未进行修改和删减且签名盖章齐全；</w:t>
            </w:r>
          </w:p>
          <w:p w14:paraId="3DFAE04B">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d.投标文件组成齐全完整，内容均按规定填写。</w:t>
            </w:r>
          </w:p>
          <w:p w14:paraId="1BA36841">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（2）投标文件上法定代表人或其授权代理人的签字、投标人的单位章盖章齐全，符合招标文件规定。</w:t>
            </w:r>
          </w:p>
          <w:p w14:paraId="1C26314E">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（3）投标人法定代表人授权委托代理人签署投标文件的，须提交授权委托书，且授权人和被授权人均在授权委托书上签名，签字盖章符合招标文件第二章“投标人须知”第3.7.3项规定。</w:t>
            </w:r>
          </w:p>
          <w:p w14:paraId="2FBD40E3">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（4）投标人法定代表人亲自签署投标文件的，提供了法定代表人身份证明，且法定代表人在法定代表人身份证明上签名，签字盖章符合招标文件第二章“投标人须知”第3.7.3项规定。</w:t>
            </w:r>
          </w:p>
          <w:p w14:paraId="15B34983">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（5）投标人未以联合体形式投标。</w:t>
            </w:r>
          </w:p>
          <w:p w14:paraId="5664A68B">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（6）投标人如在投标阶段有分包计划，符合招标文件第二章“投标人须知”第1.11款规定，且按招标文件第九章“投标文件格式”的要求填写了“拟分包项目情况表”。</w:t>
            </w:r>
          </w:p>
          <w:p w14:paraId="55D63BB7">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（7）同一投标人未提交两个以上不同的投标文件，但招标文件要求提交备选投标的除外。</w:t>
            </w:r>
          </w:p>
          <w:p w14:paraId="12F7114E">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（8）投标文件第一个信封（商务及技术文件）中未出现有关投标报价的内容、工程量清单以及与投标报价相关的资料、表格等内容。</w:t>
            </w:r>
          </w:p>
          <w:p w14:paraId="49779F76">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（9）投标文件载明的招标项目完成期限未超过招标文件规定的时限。</w:t>
            </w:r>
          </w:p>
          <w:p w14:paraId="7A7C57F7">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（10）投标文件对招标文件的实质性要求和条件作出了响应。</w:t>
            </w:r>
          </w:p>
          <w:p w14:paraId="65714BC7">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（11）权利义务符合招标文件规定：</w:t>
            </w:r>
          </w:p>
          <w:p w14:paraId="3DA29658">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a.投标人应接受招标文件规定的风险划分原则，未提出新的风险划分办法；</w:t>
            </w:r>
          </w:p>
          <w:p w14:paraId="7BE99EC2">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b.投标人未增加发包人的责任范围，或减少投标人义务；</w:t>
            </w:r>
          </w:p>
          <w:p w14:paraId="05DB1923">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c.投标人未提出不同的工程验收、计量、支付办法；</w:t>
            </w:r>
          </w:p>
          <w:p w14:paraId="305C8EBA">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d.投标人对合同纠纷、事故处理办法未提出异议；</w:t>
            </w:r>
          </w:p>
          <w:p w14:paraId="3CB92FDD">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e.投标人在投标活动中无欺诈行为；</w:t>
            </w:r>
          </w:p>
          <w:p w14:paraId="4A78F139">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f.投标人未对合同条款有重要保留。</w:t>
            </w:r>
          </w:p>
          <w:p w14:paraId="47F54AE6">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（12）投标函上填写的标段号与所投标段号一致。</w:t>
            </w:r>
          </w:p>
          <w:p w14:paraId="7AAA5734">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（13）围标、串标审查：如果有证据显示投标人以他人名义投标、与他人串通投标、以行贿手段谋取中标，以及投标弄虚作假的，评标委员会应对该投标文件作无效投标处理。</w:t>
            </w:r>
          </w:p>
          <w:p w14:paraId="1914BA38">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（14）评标委员会要对投标人的财务能力、技术能力、管理水平和以往施工业绩及履约信誉进行详细评审。如发现投标文件有以下情况之一的，评标委员会将对其作无效投标处理：</w:t>
            </w:r>
          </w:p>
          <w:p w14:paraId="3C450DEC">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a.承诺的质量标准低于招标文件或国家强制性标准要求；</w:t>
            </w:r>
          </w:p>
          <w:p w14:paraId="790B665D">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b.提供虚假施工业绩及履约信誉证明材料。</w:t>
            </w:r>
          </w:p>
          <w:p w14:paraId="364DE742">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（15）投标文件提交方式满足投标人须知第4.2款之规定。</w:t>
            </w:r>
          </w:p>
          <w:p w14:paraId="605D5B48">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（16）按照评标委员会的要求进行了澄清、说明或补正。</w:t>
            </w:r>
          </w:p>
          <w:p w14:paraId="34C093BF">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（17）未附有招标人不能接受的其他条件。</w:t>
            </w:r>
          </w:p>
          <w:p w14:paraId="0D3A490B">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（18）投标文件符合招标文件的其他相关规定。</w:t>
            </w:r>
          </w:p>
          <w:p w14:paraId="50C0E32B">
            <w:pPr>
              <w:spacing w:line="360" w:lineRule="auto"/>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投标文件未满足以上任一条件的，其投标视为无效，评标委员会将否决其投标。</w:t>
            </w:r>
          </w:p>
        </w:tc>
      </w:tr>
      <w:tr w14:paraId="0970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dxa"/>
            <w:noWrap w:val="0"/>
            <w:vAlign w:val="center"/>
          </w:tcPr>
          <w:p w14:paraId="1D664DAE">
            <w:pPr>
              <w:spacing w:line="360" w:lineRule="auto"/>
              <w:jc w:val="center"/>
              <w:rPr>
                <w:rFonts w:hint="eastAsia" w:ascii="仿宋" w:hAnsi="仿宋" w:eastAsia="仿宋" w:cs="仿宋"/>
                <w:color w:val="auto"/>
                <w:spacing w:val="-6"/>
                <w:sz w:val="32"/>
                <w:szCs w:val="32"/>
                <w:highlight w:val="none"/>
                <w:lang w:val="en-US" w:eastAsia="zh-CN"/>
              </w:rPr>
            </w:pPr>
            <w:r>
              <w:rPr>
                <w:rFonts w:hint="eastAsia" w:ascii="仿宋" w:hAnsi="仿宋" w:eastAsia="仿宋" w:cs="仿宋"/>
                <w:color w:val="auto"/>
                <w:spacing w:val="-6"/>
                <w:sz w:val="32"/>
                <w:szCs w:val="32"/>
                <w:highlight w:val="none"/>
                <w:lang w:val="en-US" w:eastAsia="zh-CN"/>
              </w:rPr>
              <w:t>2.1.1</w:t>
            </w:r>
          </w:p>
          <w:p w14:paraId="5E14230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pacing w:val="-6"/>
                <w:sz w:val="32"/>
                <w:szCs w:val="32"/>
                <w:highlight w:val="none"/>
                <w:lang w:val="en-US" w:eastAsia="zh-CN"/>
              </w:rPr>
              <w:t>2.1.3</w:t>
            </w:r>
          </w:p>
        </w:tc>
        <w:tc>
          <w:tcPr>
            <w:tcW w:w="1929" w:type="dxa"/>
            <w:noWrap w:val="0"/>
            <w:vAlign w:val="center"/>
          </w:tcPr>
          <w:p w14:paraId="45D86C1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pacing w:val="-6"/>
                <w:sz w:val="32"/>
                <w:szCs w:val="32"/>
                <w:highlight w:val="none"/>
                <w:lang w:val="en-US" w:eastAsia="zh-CN"/>
              </w:rPr>
              <w:t>形式评审与响应性评审标准</w:t>
            </w:r>
          </w:p>
        </w:tc>
        <w:tc>
          <w:tcPr>
            <w:tcW w:w="6835" w:type="dxa"/>
            <w:noWrap w:val="0"/>
            <w:vAlign w:val="center"/>
          </w:tcPr>
          <w:p w14:paraId="09D82B21">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第二个信封（报价文件）评审标准：</w:t>
            </w:r>
          </w:p>
          <w:p w14:paraId="2754FB65">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（1）投标文件按照招标文件规定的格式、内容填写，字迹清晰可辨：</w:t>
            </w:r>
          </w:p>
          <w:p w14:paraId="741E353A">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a.投标函按招标文件规定填报了项目名称、标段号（如有）、补遗书编号（如有）、投标价（包括大写金额和小写金额）；</w:t>
            </w:r>
          </w:p>
          <w:p w14:paraId="0154F628">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b.已标价工程量清单说明文字与招标文件规定一致，未进行实质性修改和删减；</w:t>
            </w:r>
          </w:p>
          <w:p w14:paraId="08C83031">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c.投标文件组成齐全完整，内容均按规定填写。</w:t>
            </w:r>
          </w:p>
          <w:p w14:paraId="2DDB5623">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（2）投标文件上法定代表人或其委托代理人的签字、投标人的单位章盖章齐全，符合招标文件规定</w:t>
            </w:r>
          </w:p>
          <w:p w14:paraId="7D0D3DA7">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（3）投标报价中的报价未超过招标文件设定的最高投标限价（如有）。</w:t>
            </w:r>
          </w:p>
          <w:p w14:paraId="15A17D6E">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（4）投标报价的大写金额能够确定具体数值，无错误且可唱出。</w:t>
            </w:r>
          </w:p>
          <w:p w14:paraId="7B0B2922">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（5）未提交调价函。</w:t>
            </w:r>
          </w:p>
          <w:p w14:paraId="3F01326B">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（6）同一投标人未提交两个以上不同的投标报价，但招标文件要求提交备选投标的除外。</w:t>
            </w:r>
          </w:p>
          <w:p w14:paraId="13CD1AD1">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（7）投标人若填写工程量固化清单，填写完毕的工程量固化清单未对工程量固化清单电子文件中的数据、格式和运算定义进行修改；工程量固化清单中的投标报价和投标函大写金额报价一致。</w:t>
            </w:r>
          </w:p>
          <w:p w14:paraId="25B31336">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（8）未修改招标人给定的暂估价（如有）或暂列金额（如有）。</w:t>
            </w:r>
          </w:p>
          <w:p w14:paraId="2079A7C5">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（9）投标函上填写的标段号与所投标段号一致。</w:t>
            </w:r>
          </w:p>
          <w:p w14:paraId="33FD0924">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（10）投标报价编制及填写满足投标人须知正文及前附表第3.2款、工程量清单说明的要求。</w:t>
            </w:r>
          </w:p>
          <w:p w14:paraId="368AA061">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（11）投标文件未附有招标人不能接受的其他条件。</w:t>
            </w:r>
          </w:p>
          <w:p w14:paraId="1986056F">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（12）按照评标委员会的要求进行了澄清、说明或补正。</w:t>
            </w:r>
          </w:p>
          <w:p w14:paraId="10CA94CC">
            <w:pPr>
              <w:spacing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（13）投标文件符合招标文件的其他相关规定。</w:t>
            </w:r>
          </w:p>
          <w:p w14:paraId="78531F92">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投标文件未满足以上任一条件的，其投标视为无效，评标委员会将否决其投标。</w:t>
            </w:r>
          </w:p>
        </w:tc>
      </w:tr>
      <w:tr w14:paraId="21C5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dxa"/>
            <w:noWrap w:val="0"/>
            <w:vAlign w:val="center"/>
          </w:tcPr>
          <w:p w14:paraId="00FFED09">
            <w:pPr>
              <w:bidi w:val="0"/>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2.1.2</w:t>
            </w:r>
          </w:p>
        </w:tc>
        <w:tc>
          <w:tcPr>
            <w:tcW w:w="1929" w:type="dxa"/>
            <w:noWrap w:val="0"/>
            <w:vAlign w:val="center"/>
          </w:tcPr>
          <w:p w14:paraId="3FAD9E1D">
            <w:pPr>
              <w:bidi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资格评审标准</w:t>
            </w:r>
          </w:p>
        </w:tc>
        <w:tc>
          <w:tcPr>
            <w:tcW w:w="6835" w:type="dxa"/>
            <w:noWrap w:val="0"/>
            <w:vAlign w:val="center"/>
          </w:tcPr>
          <w:p w14:paraId="26F53B0A">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（1）投标人具备有效的营业执照副本或事业单位法人证书或社会团体法人登记证书、资质证书、安全生产许可证和基本账户信息扫描件。</w:t>
            </w:r>
          </w:p>
          <w:p w14:paraId="01B5E9A7">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（2）投标人的资质最低条件符合招标文件投标人须知附录1（包括表注）规定。</w:t>
            </w:r>
          </w:p>
          <w:p w14:paraId="15B0EB2B">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（3）投标人的财务最低要求符合招标文件投标人须知附录2（包括表注）规定。</w:t>
            </w:r>
          </w:p>
          <w:p w14:paraId="47070EB7">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（4）投标人的业绩最低要求符合招标文件投标人须知附录3（包括表注）规定。</w:t>
            </w:r>
          </w:p>
          <w:p w14:paraId="3E6228FE">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（5）投标人的信誉最低要求符合招标文件投标人须知附录4（包括表注）规定。</w:t>
            </w:r>
          </w:p>
          <w:p w14:paraId="11668AB7">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（6）投标人的项目经理和项目总工最低要求符合招标文件投标人须知附录5（包括表注）规定。</w:t>
            </w:r>
          </w:p>
          <w:p w14:paraId="6A52B7DB">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（7）投标人的其他要求符合招标文件规定。</w:t>
            </w:r>
          </w:p>
          <w:p w14:paraId="4B8C1AD0">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（8）投标人不存在第二章“投标人须知”第1.4.3项或第1.4.4项规定的任何一种情形。</w:t>
            </w:r>
          </w:p>
          <w:p w14:paraId="0F2455D4">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投标文件未满足以上任一条件的，其投标视为无效，评标委员会将否决其投标。</w:t>
            </w:r>
          </w:p>
        </w:tc>
      </w:tr>
      <w:tr w14:paraId="3838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dxa"/>
            <w:noWrap w:val="0"/>
            <w:vAlign w:val="center"/>
          </w:tcPr>
          <w:p w14:paraId="216550D9">
            <w:pPr>
              <w:spacing w:line="360" w:lineRule="auto"/>
              <w:jc w:val="center"/>
              <w:rPr>
                <w:rFonts w:hint="eastAsia" w:ascii="仿宋" w:hAnsi="仿宋" w:eastAsia="仿宋" w:cs="仿宋"/>
                <w:color w:val="auto"/>
                <w:spacing w:val="-6"/>
                <w:sz w:val="32"/>
                <w:szCs w:val="32"/>
                <w:highlight w:val="none"/>
                <w:lang w:val="en-US" w:eastAsia="zh-CN"/>
              </w:rPr>
            </w:pPr>
            <w:r>
              <w:rPr>
                <w:rFonts w:hint="eastAsia" w:ascii="仿宋" w:hAnsi="仿宋" w:eastAsia="仿宋" w:cs="仿宋"/>
                <w:color w:val="auto"/>
                <w:spacing w:val="-6"/>
                <w:sz w:val="32"/>
                <w:szCs w:val="32"/>
                <w:highlight w:val="none"/>
                <w:lang w:val="en-US" w:eastAsia="zh-CN"/>
              </w:rPr>
              <w:t>条款号</w:t>
            </w:r>
          </w:p>
        </w:tc>
        <w:tc>
          <w:tcPr>
            <w:tcW w:w="1929" w:type="dxa"/>
            <w:noWrap w:val="0"/>
            <w:vAlign w:val="center"/>
          </w:tcPr>
          <w:p w14:paraId="650A9D48">
            <w:pPr>
              <w:spacing w:line="360" w:lineRule="auto"/>
              <w:jc w:val="center"/>
              <w:rPr>
                <w:rFonts w:hint="eastAsia" w:ascii="仿宋" w:hAnsi="仿宋" w:eastAsia="仿宋" w:cs="仿宋"/>
                <w:color w:val="auto"/>
                <w:spacing w:val="-6"/>
                <w:sz w:val="32"/>
                <w:szCs w:val="32"/>
                <w:highlight w:val="none"/>
                <w:lang w:val="en-US" w:eastAsia="zh-CN"/>
              </w:rPr>
            </w:pPr>
            <w:r>
              <w:rPr>
                <w:rFonts w:hint="eastAsia" w:ascii="仿宋" w:hAnsi="仿宋" w:eastAsia="仿宋" w:cs="仿宋"/>
                <w:color w:val="auto"/>
                <w:spacing w:val="-6"/>
                <w:sz w:val="32"/>
                <w:szCs w:val="32"/>
                <w:highlight w:val="none"/>
                <w:lang w:val="en-US" w:eastAsia="zh-CN"/>
              </w:rPr>
              <w:t>条款内容</w:t>
            </w:r>
          </w:p>
        </w:tc>
        <w:tc>
          <w:tcPr>
            <w:tcW w:w="6835" w:type="dxa"/>
            <w:noWrap w:val="0"/>
            <w:vAlign w:val="center"/>
          </w:tcPr>
          <w:p w14:paraId="24DADD56">
            <w:pPr>
              <w:spacing w:line="360" w:lineRule="auto"/>
              <w:ind w:firstLine="616" w:firstLineChars="200"/>
              <w:jc w:val="center"/>
              <w:rPr>
                <w:rFonts w:hint="eastAsia" w:ascii="仿宋" w:hAnsi="仿宋" w:eastAsia="仿宋" w:cs="仿宋"/>
                <w:color w:val="auto"/>
                <w:spacing w:val="-6"/>
                <w:sz w:val="32"/>
                <w:szCs w:val="32"/>
                <w:highlight w:val="none"/>
                <w:lang w:val="en-US" w:eastAsia="zh-CN"/>
              </w:rPr>
            </w:pPr>
            <w:r>
              <w:rPr>
                <w:rFonts w:hint="eastAsia" w:ascii="仿宋" w:hAnsi="仿宋" w:eastAsia="仿宋" w:cs="仿宋"/>
                <w:color w:val="auto"/>
                <w:spacing w:val="-6"/>
                <w:sz w:val="32"/>
                <w:szCs w:val="32"/>
                <w:highlight w:val="none"/>
                <w:lang w:val="en-US" w:eastAsia="zh-CN"/>
              </w:rPr>
              <w:t>编列内容</w:t>
            </w:r>
          </w:p>
        </w:tc>
      </w:tr>
      <w:tr w14:paraId="25C3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dxa"/>
            <w:noWrap w:val="0"/>
            <w:vAlign w:val="center"/>
          </w:tcPr>
          <w:p w14:paraId="229D4FB7">
            <w:pPr>
              <w:bidi w:val="0"/>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2.2.1</w:t>
            </w:r>
          </w:p>
        </w:tc>
        <w:tc>
          <w:tcPr>
            <w:tcW w:w="1929" w:type="dxa"/>
            <w:noWrap w:val="0"/>
            <w:vAlign w:val="center"/>
          </w:tcPr>
          <w:p w14:paraId="7ED541E7">
            <w:pPr>
              <w:spacing w:line="360" w:lineRule="auto"/>
              <w:jc w:val="center"/>
              <w:rPr>
                <w:rFonts w:hint="eastAsia" w:ascii="仿宋" w:hAnsi="仿宋" w:eastAsia="仿宋" w:cs="仿宋"/>
                <w:color w:val="auto"/>
                <w:spacing w:val="-6"/>
                <w:sz w:val="32"/>
                <w:szCs w:val="32"/>
                <w:highlight w:val="none"/>
                <w:lang w:val="en-US" w:eastAsia="zh-CN"/>
              </w:rPr>
            </w:pPr>
            <w:r>
              <w:rPr>
                <w:rFonts w:hint="eastAsia" w:ascii="仿宋" w:hAnsi="仿宋" w:eastAsia="仿宋" w:cs="仿宋"/>
                <w:color w:val="auto"/>
                <w:spacing w:val="-6"/>
                <w:sz w:val="32"/>
                <w:szCs w:val="32"/>
                <w:highlight w:val="none"/>
                <w:lang w:val="en-US" w:eastAsia="zh-CN"/>
              </w:rPr>
              <w:t>分值构成（总分100.00 分）</w:t>
            </w:r>
          </w:p>
        </w:tc>
        <w:tc>
          <w:tcPr>
            <w:tcW w:w="6835" w:type="dxa"/>
            <w:noWrap w:val="0"/>
            <w:vAlign w:val="center"/>
          </w:tcPr>
          <w:p w14:paraId="337974C7">
            <w:pPr>
              <w:spacing w:line="360" w:lineRule="auto"/>
              <w:jc w:val="center"/>
              <w:rPr>
                <w:rFonts w:hint="eastAsia" w:ascii="仿宋" w:hAnsi="仿宋" w:eastAsia="仿宋" w:cs="仿宋"/>
                <w:color w:val="auto"/>
                <w:spacing w:val="-6"/>
                <w:sz w:val="32"/>
                <w:szCs w:val="32"/>
                <w:highlight w:val="none"/>
                <w:lang w:val="en-US" w:eastAsia="zh-CN"/>
              </w:rPr>
            </w:pPr>
            <w:r>
              <w:rPr>
                <w:rFonts w:hint="eastAsia" w:ascii="仿宋" w:hAnsi="仿宋" w:eastAsia="仿宋" w:cs="仿宋"/>
                <w:color w:val="auto"/>
                <w:spacing w:val="-6"/>
                <w:sz w:val="32"/>
                <w:szCs w:val="32"/>
                <w:highlight w:val="none"/>
                <w:lang w:val="en-US" w:eastAsia="zh-CN"/>
              </w:rPr>
              <w:t>评标价 ：100.00 分</w:t>
            </w:r>
          </w:p>
        </w:tc>
      </w:tr>
      <w:tr w14:paraId="4E88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dxa"/>
            <w:noWrap w:val="0"/>
            <w:vAlign w:val="center"/>
          </w:tcPr>
          <w:p w14:paraId="56204EAA">
            <w:pPr>
              <w:bidi w:val="0"/>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2.2.</w:t>
            </w:r>
            <w:r>
              <w:rPr>
                <w:rFonts w:hint="eastAsia" w:ascii="仿宋" w:hAnsi="仿宋" w:eastAsia="仿宋" w:cs="仿宋"/>
                <w:color w:val="auto"/>
                <w:sz w:val="32"/>
                <w:szCs w:val="32"/>
                <w:highlight w:val="none"/>
                <w:lang w:val="en-US" w:eastAsia="zh-CN"/>
              </w:rPr>
              <w:t>2</w:t>
            </w:r>
          </w:p>
        </w:tc>
        <w:tc>
          <w:tcPr>
            <w:tcW w:w="1929" w:type="dxa"/>
            <w:noWrap w:val="0"/>
            <w:vAlign w:val="center"/>
          </w:tcPr>
          <w:p w14:paraId="31843DBE">
            <w:pPr>
              <w:bidi w:val="0"/>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评标基准价计算方法</w:t>
            </w:r>
          </w:p>
        </w:tc>
        <w:tc>
          <w:tcPr>
            <w:tcW w:w="6835" w:type="dxa"/>
            <w:noWrap w:val="0"/>
            <w:vAlign w:val="center"/>
          </w:tcPr>
          <w:p w14:paraId="25DC9293">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在开标现场，招标人将当场计算并宣布评标基准价。</w:t>
            </w:r>
          </w:p>
          <w:p w14:paraId="4ED66949">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一、计算公式字母含义</w:t>
            </w:r>
          </w:p>
          <w:p w14:paraId="39E3668C">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（一）P为评标基准价；</w:t>
            </w:r>
          </w:p>
          <w:p w14:paraId="227831E8">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（二）Di为评标价：Di＝投标函文字报价；</w:t>
            </w:r>
          </w:p>
          <w:p w14:paraId="6D521209">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（三）N为有效评标价的数量（有效评标价：除第一个信封经评标委员会否决的投标人及按投标人须知第5.2.5项规定不参加评标基准价计算的投标报价之外，剩余所有投标人的评标价均为有效评标价。）</w:t>
            </w:r>
          </w:p>
          <w:p w14:paraId="257F307F">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（四）K为评标基准价系数：K值取值范围为0.980、</w:t>
            </w:r>
          </w:p>
          <w:p w14:paraId="52B84DB1">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0.985、0.990、0.995、1.000共5个数值，在宁夏回族自治区公共资源交易平台电子交易系统不见面开标大厅开标过程中随机抽取一个K值，并当场公布；</w:t>
            </w:r>
          </w:p>
          <w:p w14:paraId="18388AA2">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（五）n1为去掉最高有效评标价的数量，n2为去掉最低有效评标价的数量。</w:t>
            </w:r>
          </w:p>
          <w:p w14:paraId="29691D3E">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n1、n2的取值方法：当N＜6时，n1、n2均取0；当6≤N&lt;10，n1、n2均取1；当N≥10时，n1在取值区间1～M-1中随机抽取，n2在取值区间1～M+1中随机抽取，M=N/4，M去尾取整数，当N≥10时，n1、n2取值在宁夏回族自治区公共资源交易平台电子交易系统不见面开标大厅开标过程中随机抽取。</w:t>
            </w:r>
          </w:p>
          <w:p w14:paraId="07809DE9">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评标办法中设置以下3种不同的评标基准价计算方法，在宁夏回族自治区公共资源交易平台电子交易系统不见面开标大厅开标过程中随机抽取其中1种方法作为本次招标评标基准价的计算方法，并按已抽取的评标基准价计算方法，随机抽取相关计算参数：</w:t>
            </w:r>
          </w:p>
          <w:p w14:paraId="1B753D3A">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评标基准价方法1（平均值随机系数法）：有效评标价去掉n1个最高评标价和n2个最低评标价后取平均值，乘以评标基准价系数K作为评标基准价P。</w:t>
            </w:r>
          </w:p>
          <w:p w14:paraId="145998A4">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评标基准价方法2（价差随机系数法）：先去掉n1个最高有效评标价和n2个最低有效评标价，用剩余有效评标价中最大评标价与最小评标价之差与调整系数乘积加最小评标价作为评标基准价。</w:t>
            </w:r>
          </w:p>
          <w:p w14:paraId="547B78DF">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P＝（Dmax-Dmin）×Ks+Dmin</w:t>
            </w:r>
          </w:p>
          <w:p w14:paraId="0DABB772">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式中：Dmax为去掉n1个最高有效评标价后的最大评标价数值；Dmin为去掉n2个最低有效评标价后的最小评标价数值。</w:t>
            </w:r>
          </w:p>
          <w:p w14:paraId="2493B466">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Ks为随机调整系数：Ks＝（X+Y/10）/10，其中X、Y为开标现场抽取的两个系数，各设5个数值，分别为2、3、4、5、6。</w:t>
            </w:r>
          </w:p>
          <w:p w14:paraId="38709146">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评标基准价方法3（随机权重法）：先去掉n1个最高有效评标价和n2个最低有效评标价后的平均值，用最高投标限价与平均值的权值之和作为评标基准价。</w:t>
            </w:r>
          </w:p>
          <w:p w14:paraId="0A754AC5">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P=D（平均）×K1×Q1+B（上限）×K2×Q2</w:t>
            </w:r>
          </w:p>
          <w:p w14:paraId="27F9CDA2">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式中：D（平均）为去掉n1个最高评标价和n2个最低评标价后的平均值；B（上限）为投标最高限价。</w:t>
            </w:r>
          </w:p>
          <w:p w14:paraId="53D7D8D5">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K1、K2、Q1、Q2权重系数：</w:t>
            </w:r>
          </w:p>
          <w:p w14:paraId="14156AD4">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Q2=1-Q1，Q1取值范围30%～70%；</w:t>
            </w:r>
          </w:p>
          <w:p w14:paraId="2D1990B1">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K1的取值范围为95%～100%；</w:t>
            </w:r>
          </w:p>
          <w:p w14:paraId="6C99CF65">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K2的取值范围为（85%+E%）～（90%+E%），E=</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w:t>
            </w:r>
          </w:p>
          <w:p w14:paraId="223B11DE">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Q1值、K1值、K2值均在第二信封开标现场随机抽取确定。Q1取值的步长不大于1%，K1和K2取值的步长不大于0.5%。在评标过程中，评标委员会应对招标人计算的评标基准价进行复核，存在计算错误的应予以修正并在评标报告中作出说明。除此之外，评标基准价在整个评标期间保持不变，不随任何因素发生变化。</w:t>
            </w:r>
          </w:p>
          <w:p w14:paraId="18A7C24A">
            <w:pPr>
              <w:spacing w:line="360" w:lineRule="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评标基准价的计算除开标时计算错误外，不因第二信封评审否决投标而改变，也不因招标投标当事人异议、投诉以及其它任何情形而改变。</w:t>
            </w:r>
          </w:p>
        </w:tc>
      </w:tr>
      <w:tr w14:paraId="2C15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dxa"/>
            <w:noWrap w:val="0"/>
            <w:vAlign w:val="center"/>
          </w:tcPr>
          <w:p w14:paraId="514A7F7D">
            <w:pPr>
              <w:bidi w:val="0"/>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2.2.3</w:t>
            </w:r>
          </w:p>
        </w:tc>
        <w:tc>
          <w:tcPr>
            <w:tcW w:w="1929" w:type="dxa"/>
            <w:noWrap w:val="0"/>
            <w:vAlign w:val="center"/>
          </w:tcPr>
          <w:p w14:paraId="5E3F5469">
            <w:pPr>
              <w:bidi w:val="0"/>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评标价的偏差率计算公式</w:t>
            </w:r>
          </w:p>
        </w:tc>
        <w:tc>
          <w:tcPr>
            <w:tcW w:w="6835" w:type="dxa"/>
            <w:noWrap w:val="0"/>
            <w:vAlign w:val="center"/>
          </w:tcPr>
          <w:p w14:paraId="0DC14C48">
            <w:pPr>
              <w:bidi w:val="0"/>
              <w:spacing w:line="360" w:lineRule="auto"/>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偏差率=100%×（投标人评标价－评标基准价）/评标基准价</w:t>
            </w:r>
          </w:p>
          <w:p w14:paraId="4683AA20">
            <w:pPr>
              <w:bidi w:val="0"/>
              <w:spacing w:line="360" w:lineRule="auto"/>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偏差率保留小数点后两位，小数点后第三位“四舍五入”评标价得分按照下面规定计算：</w:t>
            </w:r>
          </w:p>
          <w:p w14:paraId="7E0AEB29">
            <w:pPr>
              <w:bidi w:val="0"/>
              <w:spacing w:line="360" w:lineRule="auto"/>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(1)如果投标人的评标价&gt;评标基准价，则评标价得分＝F-偏差率×100×E1；</w:t>
            </w:r>
          </w:p>
          <w:p w14:paraId="4CBD83AA">
            <w:pPr>
              <w:bidi w:val="0"/>
              <w:spacing w:line="360" w:lineRule="auto"/>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(2)如果投标人的评标价≤评标基准价，则评标价得分＝F+偏差率×100×E2。</w:t>
            </w:r>
          </w:p>
          <w:p w14:paraId="1B76AA72">
            <w:pPr>
              <w:bidi w:val="0"/>
              <w:spacing w:line="360" w:lineRule="auto"/>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其中：F是100分，E1是评标价每高于评标基准价一个百分点的扣分值，E2是评标价每低于评标基准价一个百分点的扣分值；其中E1＝2，E2＝1。评标价得分分值保留小数点后两位，小数点后第三位“四舍五入”，最低分为0分。</w:t>
            </w:r>
          </w:p>
        </w:tc>
      </w:tr>
    </w:tbl>
    <w:p w14:paraId="43ABC96E">
      <w:pPr>
        <w:rPr>
          <w:rFonts w:hint="eastAsia" w:ascii="仿宋" w:hAnsi="仿宋" w:eastAsia="仿宋" w:cs="仿宋"/>
          <w:color w:val="auto"/>
          <w:sz w:val="32"/>
          <w:szCs w:val="32"/>
          <w:highlight w:val="none"/>
        </w:rPr>
      </w:pPr>
    </w:p>
    <w:tbl>
      <w:tblPr>
        <w:tblStyle w:val="10"/>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8783"/>
      </w:tblGrid>
      <w:tr w14:paraId="351B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0" w:type="dxa"/>
            <w:gridSpan w:val="2"/>
            <w:noWrap w:val="0"/>
            <w:vAlign w:val="center"/>
          </w:tcPr>
          <w:p w14:paraId="39504A1F">
            <w:pPr>
              <w:bidi w:val="0"/>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需要补充的其他内容：</w:t>
            </w:r>
          </w:p>
        </w:tc>
      </w:tr>
      <w:tr w14:paraId="0112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noWrap w:val="0"/>
            <w:vAlign w:val="center"/>
          </w:tcPr>
          <w:p w14:paraId="5CDCDC7B">
            <w:pPr>
              <w:bidi w:val="0"/>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条款号</w:t>
            </w:r>
          </w:p>
        </w:tc>
        <w:tc>
          <w:tcPr>
            <w:tcW w:w="8783" w:type="dxa"/>
            <w:noWrap w:val="0"/>
            <w:vAlign w:val="center"/>
          </w:tcPr>
          <w:p w14:paraId="38C3CAED">
            <w:pPr>
              <w:bidi w:val="0"/>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编列内容</w:t>
            </w:r>
          </w:p>
        </w:tc>
      </w:tr>
      <w:tr w14:paraId="19D3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noWrap w:val="0"/>
            <w:vAlign w:val="center"/>
          </w:tcPr>
          <w:p w14:paraId="53F4C1E9">
            <w:pPr>
              <w:spacing w:line="360" w:lineRule="auto"/>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1</w:t>
            </w:r>
          </w:p>
        </w:tc>
        <w:tc>
          <w:tcPr>
            <w:tcW w:w="8783" w:type="dxa"/>
            <w:noWrap w:val="0"/>
            <w:vAlign w:val="center"/>
          </w:tcPr>
          <w:p w14:paraId="686444D2">
            <w:pPr>
              <w:spacing w:line="360" w:lineRule="auto"/>
              <w:ind w:firstLine="640" w:firstLineChars="200"/>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1.评标办法</w:t>
            </w:r>
          </w:p>
          <w:p w14:paraId="74BB6189">
            <w:pPr>
              <w:spacing w:line="360" w:lineRule="auto"/>
              <w:ind w:firstLine="640" w:firstLineChars="200"/>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本条细化为：</w:t>
            </w:r>
          </w:p>
          <w:p w14:paraId="34FF8C9D">
            <w:pPr>
              <w:spacing w:line="360" w:lineRule="auto"/>
              <w:ind w:firstLine="640" w:firstLineChars="200"/>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1.1本次评标采用双信封形式合理低价法，评标委员会首先对投标文件第一个信封（商务与技术文件）进行初步评审（形式评审与响应性评审、资格评审）。</w:t>
            </w:r>
          </w:p>
          <w:p w14:paraId="5F90122E">
            <w:pPr>
              <w:spacing w:line="360" w:lineRule="auto"/>
              <w:ind w:firstLine="640" w:firstLineChars="200"/>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1.2所有通过第一个信封初步评审后的投标文件方可进入第二个信封（报价文件）的开标，其第二个信封在监督机关的监督下进行开标；未通过第一个信封初步评审的投标人不进入第二个信封的评审，其第二个信封原封退回（或不予解密），不参与第二个信封的开标。</w:t>
            </w:r>
          </w:p>
          <w:p w14:paraId="30586412">
            <w:pPr>
              <w:spacing w:line="360" w:lineRule="auto"/>
              <w:ind w:firstLine="640" w:firstLineChars="200"/>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1.3评标委员会对投标文件第二个信封进行初步评审（形式评审与响应性评审），并对通过第二个信封初步评审的投标文件按照本章第2.2款规定的评分标准进行评标价评分（保留小数点后两位，小数点后第三位“四舍五入”），评标委员会按评标价得分由高到低顺序确定中标候选人推荐排序，但投标报价低于其成本的除外。</w:t>
            </w:r>
          </w:p>
          <w:p w14:paraId="39B0ED33">
            <w:pPr>
              <w:spacing w:line="360" w:lineRule="auto"/>
              <w:ind w:firstLine="640" w:firstLineChars="200"/>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当两家及以上投标人在标段中的评标价得分相等时，若评标价不相等，以评标价较低者优先；当两家及以上投标人在标段中的评标价得分相等且评标价也相等时，若各投标人工程量清单子目单价也相同时，视为串标，其投标均被否决。</w:t>
            </w:r>
          </w:p>
          <w:p w14:paraId="30665E0E">
            <w:pPr>
              <w:spacing w:line="360" w:lineRule="auto"/>
              <w:ind w:firstLine="640" w:firstLineChars="200"/>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当两家及以上投标人在标段中的评标价得分相等且评标价也相等时，且各投标人工程量清单子目单价不尽相同时，推荐顺序则依次依据“信用等级”“投标人上一年年末净资产”“投标人近3年年平均营业收入”由高到低的顺序进行确定，若投标人近3年年平均营业收入也相等时，则由评标委员会根据施工组织设计的编制情况投票确定其推荐顺序。</w:t>
            </w:r>
          </w:p>
          <w:p w14:paraId="5CCF5FAE">
            <w:pPr>
              <w:spacing w:line="360" w:lineRule="auto"/>
              <w:ind w:firstLine="640" w:firstLineChars="200"/>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1.4参与本次招标投标的投标人，最多被允许取得其中/个标段的中标资格。评标委员会推荐次序：/。</w:t>
            </w:r>
          </w:p>
          <w:p w14:paraId="79F7BD5C">
            <w:pPr>
              <w:spacing w:line="360" w:lineRule="auto"/>
              <w:ind w:firstLine="640" w:firstLineChars="200"/>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1.7某一标段通过第一个信封评审且参与第二个信封开标的投标人在3个及以上的，招标人将按规定的程序进行第二个信封开标；在对第二个信封进行评审后，有效投标不足3个使得投标明显缺乏竞争的，评标委员会可以否决这一标段的全部投标。评标委员会未否决全部投标的，应当在评标报告中阐明理由并推荐这一标段中标候选人。</w:t>
            </w:r>
          </w:p>
          <w:p w14:paraId="251F1697">
            <w:pPr>
              <w:spacing w:line="360" w:lineRule="auto"/>
              <w:ind w:firstLine="640" w:firstLineChars="200"/>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某一标段通过第一个信封评审且参与第二个信封开标的投标人少于3个的，评标委员会可以否决这一标段全部投标。未否决全部投标的，评标委员会应当在评标报告中阐明理由，招标人应当按照规定的程序进行第二信封开标，但评标委员会在进行报价文件评审时仍有权否决全部投标；评标委员会未在报价文件评审时否决全部投标的，应当在评标报告中阐明理由并推荐中标候选人。</w:t>
            </w:r>
          </w:p>
        </w:tc>
      </w:tr>
    </w:tbl>
    <w:p w14:paraId="33C350C0">
      <w:pPr>
        <w:bidi w:val="0"/>
        <w:spacing w:line="360" w:lineRule="auto"/>
        <w:ind w:firstLine="640" w:firstLineChars="200"/>
        <w:rPr>
          <w:rFonts w:hint="eastAsia" w:ascii="仿宋" w:hAnsi="仿宋" w:eastAsia="仿宋" w:cs="仿宋"/>
          <w:color w:val="auto"/>
          <w:sz w:val="32"/>
          <w:szCs w:val="40"/>
          <w:highlight w:val="none"/>
        </w:rPr>
      </w:pPr>
      <w:r>
        <w:rPr>
          <w:rFonts w:hint="eastAsia" w:ascii="仿宋" w:hAnsi="仿宋" w:eastAsia="仿宋" w:cs="仿宋"/>
          <w:color w:val="auto"/>
          <w:sz w:val="32"/>
          <w:szCs w:val="40"/>
          <w:highlight w:val="none"/>
        </w:rPr>
        <w:t>注：以上内容如与招标文件不一致，以招标文件为准。</w:t>
      </w:r>
    </w:p>
    <w:p w14:paraId="041113DD">
      <w:pPr>
        <w:bidi w:val="0"/>
        <w:spacing w:line="360" w:lineRule="auto"/>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三、联系方式</w:t>
      </w:r>
    </w:p>
    <w:p w14:paraId="002608D4">
      <w:pPr>
        <w:bidi w:val="0"/>
        <w:spacing w:line="360" w:lineRule="auto"/>
        <w:ind w:firstLine="640" w:firstLineChars="200"/>
        <w:rPr>
          <w:rFonts w:hint="eastAsia" w:ascii="仿宋" w:hAnsi="仿宋" w:eastAsia="仿宋" w:cs="仿宋"/>
          <w:color w:val="auto"/>
          <w:sz w:val="32"/>
          <w:szCs w:val="40"/>
          <w:highlight w:val="none"/>
        </w:rPr>
      </w:pPr>
      <w:r>
        <w:rPr>
          <w:rFonts w:hint="eastAsia" w:ascii="仿宋" w:hAnsi="仿宋" w:eastAsia="仿宋" w:cs="仿宋"/>
          <w:color w:val="auto"/>
          <w:sz w:val="32"/>
          <w:szCs w:val="40"/>
          <w:highlight w:val="none"/>
        </w:rPr>
        <w:t>招标人：宁夏公路管理中心吴忠分中心</w:t>
      </w:r>
      <w:r>
        <w:rPr>
          <w:rFonts w:hint="eastAsia" w:ascii="仿宋" w:hAnsi="仿宋" w:eastAsia="仿宋" w:cs="仿宋"/>
          <w:color w:val="auto"/>
          <w:sz w:val="32"/>
          <w:szCs w:val="40"/>
          <w:highlight w:val="none"/>
        </w:rPr>
        <w:tab/>
      </w:r>
    </w:p>
    <w:p w14:paraId="1DFF4CFB">
      <w:pPr>
        <w:bidi w:val="0"/>
        <w:spacing w:line="360" w:lineRule="auto"/>
        <w:ind w:firstLine="640" w:firstLineChars="200"/>
        <w:rPr>
          <w:rFonts w:hint="eastAsia" w:ascii="仿宋" w:hAnsi="仿宋" w:eastAsia="仿宋" w:cs="仿宋"/>
          <w:color w:val="auto"/>
          <w:sz w:val="32"/>
          <w:szCs w:val="40"/>
          <w:highlight w:val="none"/>
        </w:rPr>
      </w:pPr>
      <w:r>
        <w:rPr>
          <w:rFonts w:hint="eastAsia" w:ascii="仿宋" w:hAnsi="仿宋" w:eastAsia="仿宋" w:cs="仿宋"/>
          <w:color w:val="auto"/>
          <w:sz w:val="32"/>
          <w:szCs w:val="40"/>
          <w:highlight w:val="none"/>
        </w:rPr>
        <w:t>地址：宁夏吴忠市利通区开元大道675号</w:t>
      </w:r>
      <w:r>
        <w:rPr>
          <w:rFonts w:hint="eastAsia" w:ascii="仿宋" w:hAnsi="仿宋" w:eastAsia="仿宋" w:cs="仿宋"/>
          <w:color w:val="auto"/>
          <w:sz w:val="32"/>
          <w:szCs w:val="40"/>
          <w:highlight w:val="none"/>
        </w:rPr>
        <w:tab/>
      </w:r>
    </w:p>
    <w:p w14:paraId="6D22F50A">
      <w:pPr>
        <w:bidi w:val="0"/>
        <w:spacing w:line="360" w:lineRule="auto"/>
        <w:ind w:firstLine="640" w:firstLineChars="200"/>
        <w:rPr>
          <w:rFonts w:hint="eastAsia" w:ascii="仿宋" w:hAnsi="仿宋" w:eastAsia="仿宋" w:cs="仿宋"/>
          <w:color w:val="auto"/>
          <w:sz w:val="32"/>
          <w:szCs w:val="40"/>
          <w:highlight w:val="none"/>
        </w:rPr>
      </w:pPr>
      <w:r>
        <w:rPr>
          <w:rFonts w:hint="eastAsia" w:ascii="仿宋" w:hAnsi="仿宋" w:eastAsia="仿宋" w:cs="仿宋"/>
          <w:color w:val="auto"/>
          <w:sz w:val="32"/>
          <w:szCs w:val="40"/>
          <w:highlight w:val="none"/>
        </w:rPr>
        <w:t>邮政编码：751100</w:t>
      </w:r>
    </w:p>
    <w:p w14:paraId="50288057">
      <w:pPr>
        <w:bidi w:val="0"/>
        <w:spacing w:line="360" w:lineRule="auto"/>
        <w:ind w:firstLine="640" w:firstLineChars="200"/>
        <w:rPr>
          <w:rFonts w:hint="eastAsia" w:ascii="仿宋" w:hAnsi="仿宋" w:eastAsia="仿宋" w:cs="仿宋"/>
          <w:color w:val="auto"/>
          <w:sz w:val="32"/>
          <w:szCs w:val="40"/>
          <w:highlight w:val="none"/>
        </w:rPr>
      </w:pPr>
      <w:r>
        <w:rPr>
          <w:rFonts w:hint="eastAsia" w:ascii="仿宋" w:hAnsi="仿宋" w:eastAsia="仿宋" w:cs="仿宋"/>
          <w:color w:val="auto"/>
          <w:sz w:val="32"/>
          <w:szCs w:val="40"/>
          <w:highlight w:val="none"/>
        </w:rPr>
        <w:t>联系人：王先生</w:t>
      </w:r>
      <w:r>
        <w:rPr>
          <w:rFonts w:hint="eastAsia" w:ascii="仿宋" w:hAnsi="仿宋" w:eastAsia="仿宋" w:cs="仿宋"/>
          <w:color w:val="auto"/>
          <w:sz w:val="32"/>
          <w:szCs w:val="40"/>
          <w:highlight w:val="none"/>
        </w:rPr>
        <w:tab/>
      </w:r>
    </w:p>
    <w:p w14:paraId="04BA80F1">
      <w:pPr>
        <w:bidi w:val="0"/>
        <w:spacing w:line="360" w:lineRule="auto"/>
        <w:ind w:firstLine="640" w:firstLineChars="200"/>
        <w:rPr>
          <w:rFonts w:hint="eastAsia" w:ascii="仿宋" w:hAnsi="仿宋" w:eastAsia="仿宋" w:cs="仿宋"/>
          <w:color w:val="auto"/>
          <w:sz w:val="32"/>
          <w:szCs w:val="40"/>
          <w:highlight w:val="none"/>
        </w:rPr>
      </w:pPr>
      <w:r>
        <w:rPr>
          <w:rFonts w:hint="eastAsia" w:ascii="仿宋" w:hAnsi="仿宋" w:eastAsia="仿宋" w:cs="仿宋"/>
          <w:color w:val="auto"/>
          <w:sz w:val="32"/>
          <w:szCs w:val="40"/>
          <w:highlight w:val="none"/>
        </w:rPr>
        <w:t>电话：0953-2213300</w:t>
      </w:r>
      <w:bookmarkStart w:id="48" w:name="_GoBack"/>
      <w:bookmarkEnd w:id="48"/>
    </w:p>
    <w:sectPr>
      <w:pgSz w:w="11906" w:h="16838"/>
      <w:pgMar w:top="1134"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KSOFE67E5C00">
    <w:panose1 w:val="02010609060101010101"/>
    <w:charset w:val="86"/>
    <w:family w:val="auto"/>
    <w:pitch w:val="default"/>
    <w:sig w:usb0="00000001" w:usb1="00000000" w:usb2="00000000" w:usb3="00000000" w:csb0="00040001" w:csb1="00000000"/>
  </w:font>
  <w:font w:name="KSOFE67ED05F">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OGZiODRkMjU4ZGNjNWMzZTY5ZjY1YmU1ODU1M2EifQ=="/>
  </w:docVars>
  <w:rsids>
    <w:rsidRoot w:val="0B96175E"/>
    <w:rsid w:val="06B93983"/>
    <w:rsid w:val="09760C58"/>
    <w:rsid w:val="0B96175E"/>
    <w:rsid w:val="0C790185"/>
    <w:rsid w:val="10134C85"/>
    <w:rsid w:val="28132A62"/>
    <w:rsid w:val="29E40A43"/>
    <w:rsid w:val="308903C5"/>
    <w:rsid w:val="333B5469"/>
    <w:rsid w:val="3C065C4A"/>
    <w:rsid w:val="3D6E618C"/>
    <w:rsid w:val="449F1DAE"/>
    <w:rsid w:val="4EA9732E"/>
    <w:rsid w:val="53A5620D"/>
    <w:rsid w:val="6275491E"/>
    <w:rsid w:val="74812C92"/>
    <w:rsid w:val="7B760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1"/>
    <w:pPr>
      <w:spacing w:line="922" w:lineRule="exact"/>
      <w:jc w:val="center"/>
      <w:outlineLvl w:val="0"/>
    </w:pPr>
    <w:rPr>
      <w:rFonts w:ascii="宋体" w:hAnsi="宋体" w:eastAsia="宋体" w:cs="宋体"/>
      <w:b/>
      <w:bCs/>
      <w:sz w:val="72"/>
      <w:szCs w:val="72"/>
      <w:lang w:val="zh-CN" w:eastAsia="zh-CN" w:bidi="zh-CN"/>
    </w:rPr>
  </w:style>
  <w:style w:type="paragraph" w:styleId="3">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Body Text"/>
    <w:basedOn w:val="1"/>
    <w:autoRedefine/>
    <w:qFormat/>
    <w:uiPriority w:val="1"/>
    <w:pPr>
      <w:ind w:left="836"/>
    </w:pPr>
    <w:rPr>
      <w:rFonts w:ascii="宋体" w:hAnsi="宋体" w:eastAsia="宋体" w:cs="宋体"/>
      <w:sz w:val="21"/>
      <w:szCs w:val="21"/>
      <w:lang w:val="zh-CN" w:eastAsia="zh-CN" w:bidi="zh-CN"/>
    </w:rPr>
  </w:style>
  <w:style w:type="paragraph" w:styleId="6">
    <w:name w:val="Body Text Indent"/>
    <w:basedOn w:val="1"/>
    <w:autoRedefine/>
    <w:qFormat/>
    <w:uiPriority w:val="0"/>
    <w:pPr>
      <w:spacing w:after="120"/>
      <w:ind w:left="420" w:leftChars="200"/>
    </w:pPr>
  </w:style>
  <w:style w:type="paragraph" w:styleId="7">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6"/>
    <w:next w:val="1"/>
    <w:autoRedefine/>
    <w:qFormat/>
    <w:uiPriority w:val="0"/>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_2"/>
    <w:next w:val="1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正文缩进_1"/>
    <w:basedOn w:val="12"/>
    <w:autoRedefine/>
    <w:qFormat/>
    <w:uiPriority w:val="0"/>
    <w:pPr>
      <w:ind w:firstLine="420" w:firstLineChars="200"/>
    </w:pPr>
  </w:style>
  <w:style w:type="paragraph" w:customStyle="1" w:styleId="1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
    <w:name w:val="Table Paragraph"/>
    <w:basedOn w:val="1"/>
    <w:autoRedefine/>
    <w:qFormat/>
    <w:uiPriority w:val="1"/>
  </w:style>
  <w:style w:type="paragraph" w:customStyle="1" w:styleId="16">
    <w:name w:val="最 中间标题"/>
    <w:basedOn w:val="1"/>
    <w:link w:val="17"/>
    <w:autoRedefine/>
    <w:qFormat/>
    <w:uiPriority w:val="0"/>
    <w:pPr>
      <w:spacing w:before="100" w:beforeLines="100" w:after="100" w:afterLines="100"/>
      <w:jc w:val="center"/>
    </w:pPr>
    <w:rPr>
      <w:rFonts w:ascii="宋体" w:hAnsi="宋体"/>
      <w:b/>
      <w:bCs/>
      <w:kern w:val="0"/>
      <w:sz w:val="30"/>
      <w:szCs w:val="30"/>
    </w:rPr>
  </w:style>
  <w:style w:type="character" w:customStyle="1" w:styleId="17">
    <w:name w:val="最 中间标题 Char"/>
    <w:link w:val="16"/>
    <w:autoRedefine/>
    <w:qFormat/>
    <w:uiPriority w:val="0"/>
    <w:rPr>
      <w:rFonts w:ascii="宋体" w:hAnsi="宋体"/>
      <w:b/>
      <w:bCs/>
      <w:kern w:val="0"/>
      <w:sz w:val="30"/>
      <w:szCs w:val="30"/>
    </w:rPr>
  </w:style>
  <w:style w:type="paragraph" w:customStyle="1" w:styleId="18">
    <w:name w:val="表中"/>
    <w:basedOn w:val="1"/>
    <w:autoRedefine/>
    <w:qFormat/>
    <w:locked/>
    <w:uiPriority w:val="0"/>
    <w:pPr>
      <w:adjustRightInd w:val="0"/>
      <w:snapToGrid w:val="0"/>
      <w:spacing w:line="420" w:lineRule="atLeast"/>
      <w:jc w:val="center"/>
      <w:textAlignment w:val="baseline"/>
    </w:pPr>
    <w:rPr>
      <w:snapToGrid w:val="0"/>
      <w:kern w:val="0"/>
      <w:szCs w:val="20"/>
    </w:rPr>
  </w:style>
  <w:style w:type="paragraph" w:customStyle="1" w:styleId="19">
    <w:name w:val="Normal_0"/>
    <w:autoRedefine/>
    <w:qFormat/>
    <w:uiPriority w:val="0"/>
    <w:rPr>
      <w:rFonts w:ascii="Times New Roman" w:hAnsi="Times New Roman" w:eastAsia="Times New Roman" w:cs="Times New Roman"/>
      <w:sz w:val="24"/>
      <w:szCs w:val="24"/>
      <w:lang w:bidi="ar-SA"/>
    </w:rPr>
  </w:style>
  <w:style w:type="paragraph" w:customStyle="1" w:styleId="20">
    <w:name w:val="最 章"/>
    <w:basedOn w:val="1"/>
    <w:autoRedefine/>
    <w:qFormat/>
    <w:uiPriority w:val="0"/>
    <w:pPr>
      <w:spacing w:before="50" w:beforeLines="50" w:after="50" w:afterLines="50" w:line="240" w:lineRule="auto"/>
      <w:jc w:val="center"/>
    </w:pPr>
    <w:rPr>
      <w:rFonts w:ascii="宋体" w:hAnsi="宋体"/>
      <w:b/>
      <w:bCs/>
      <w:kern w:val="0"/>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1324</Words>
  <Characters>1399</Characters>
  <Lines>0</Lines>
  <Paragraphs>0</Paragraphs>
  <TotalTime>0</TotalTime>
  <ScaleCrop>false</ScaleCrop>
  <LinksUpToDate>false</LinksUpToDate>
  <CharactersWithSpaces>1401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2022-06-27T18:17:00Z</dcterms:created>
  <dc:creator>zhou。</dc:creator>
  <cp:lastModifiedBy>1</cp:lastModifiedBy>
  <dcterms:modified xsi:type="dcterms:W3CDTF">2026-03-03T02:44:37Z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5D3658DCF7F94E9ABFDD6D27BA5BA5B4</vt:lpwstr>
  </property>
  <property fmtid="{D5CDD505-2E9C-101B-9397-08002B2CF9AE}" pid="4" name="KSOTemplateDocerSaveRecord">
    <vt:lpwstr>eyJoZGlkIjoiZmQ1OGJjNWNkNTNmNDc0ZjlkMmVjNDI1YjQwZGYxY2MiLCJ1c2VySWQiOiIzODg4NjQ0OTAifQ==</vt:lpwstr>
  </property>
</Properties>
</file>