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14FE9">
      <w:pPr>
        <w:keepNext w:val="0"/>
        <w:keepLines w:val="0"/>
        <w:pageBreakBefore w:val="0"/>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9"/>
        <w:rPr>
          <w:rFonts w:hint="eastAsia" w:ascii="宋体" w:hAnsi="宋体" w:eastAsia="宋体" w:cs="宋体"/>
          <w:b/>
          <w:bCs/>
          <w:color w:val="auto"/>
          <w:sz w:val="28"/>
          <w:szCs w:val="28"/>
          <w:u w:val="none"/>
          <w:lang w:eastAsia="zh-CN"/>
        </w:rPr>
      </w:pPr>
      <w:r>
        <w:rPr>
          <w:rFonts w:hint="eastAsia" w:ascii="宋体" w:hAnsi="宋体" w:eastAsia="宋体" w:cs="宋体"/>
          <w:b/>
          <w:bCs/>
          <w:color w:val="auto"/>
          <w:sz w:val="32"/>
          <w:szCs w:val="32"/>
          <w:u w:val="none"/>
          <w:lang w:val="en-US" w:eastAsia="zh-CN"/>
        </w:rPr>
        <w:t>S203线K54+975-K61+427（固原北收费站十字路口-长城村G309线与S203线相交处）段计6.452km修复养护工程</w:t>
      </w:r>
      <w:r>
        <w:rPr>
          <w:rFonts w:hint="eastAsia" w:ascii="宋体" w:hAnsi="宋体" w:eastAsia="宋体" w:cs="宋体"/>
          <w:b/>
          <w:bCs/>
          <w:color w:val="auto"/>
          <w:sz w:val="32"/>
          <w:szCs w:val="32"/>
          <w:u w:val="none"/>
          <w:lang w:eastAsia="zh-CN"/>
        </w:rPr>
        <w:t>施工关键内容</w:t>
      </w:r>
    </w:p>
    <w:p w14:paraId="3F69EAFC">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0" w:leftChars="0" w:firstLine="562" w:firstLineChars="200"/>
        <w:textAlignment w:val="baseline"/>
        <w:outlineLvl w:val="9"/>
        <w:rPr>
          <w:rFonts w:hint="eastAsia" w:ascii="宋体" w:hAnsi="宋体" w:eastAsia="宋体" w:cs="宋体"/>
          <w:b/>
          <w:bCs/>
          <w:snapToGrid w:val="0"/>
          <w:color w:val="auto"/>
          <w:kern w:val="0"/>
          <w:sz w:val="28"/>
          <w:szCs w:val="28"/>
          <w:lang w:eastAsia="zh-CN"/>
        </w:rPr>
      </w:pPr>
    </w:p>
    <w:p w14:paraId="69F826A8">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0" w:leftChars="0" w:firstLine="562" w:firstLineChars="200"/>
        <w:textAlignment w:val="baseline"/>
        <w:outlineLvl w:val="9"/>
        <w:rPr>
          <w:rFonts w:hint="eastAsia" w:ascii="宋体" w:hAnsi="宋体" w:eastAsia="宋体" w:cs="宋体"/>
          <w:b/>
          <w:bCs/>
          <w:color w:val="auto"/>
          <w:sz w:val="28"/>
          <w:szCs w:val="28"/>
          <w:highlight w:val="none"/>
          <w:u w:val="none"/>
          <w:lang w:eastAsia="zh-CN"/>
        </w:rPr>
      </w:pPr>
      <w:r>
        <w:rPr>
          <w:rFonts w:hint="eastAsia" w:ascii="宋体" w:hAnsi="宋体" w:eastAsia="宋体" w:cs="宋体"/>
          <w:b/>
          <w:bCs/>
          <w:snapToGrid w:val="0"/>
          <w:color w:val="auto"/>
          <w:kern w:val="0"/>
          <w:sz w:val="28"/>
          <w:szCs w:val="28"/>
          <w:lang w:eastAsia="zh-CN"/>
        </w:rPr>
        <w:t>一、</w:t>
      </w:r>
      <w:r>
        <w:rPr>
          <w:rFonts w:hint="eastAsia" w:ascii="宋体" w:hAnsi="宋体" w:eastAsia="宋体" w:cs="宋体"/>
          <w:b/>
          <w:bCs/>
          <w:color w:val="auto"/>
          <w:sz w:val="28"/>
          <w:szCs w:val="28"/>
          <w:highlight w:val="none"/>
          <w:u w:val="none"/>
          <w:lang w:eastAsia="zh-CN"/>
        </w:rPr>
        <w:t>项目概况</w:t>
      </w:r>
    </w:p>
    <w:p w14:paraId="7C48281E">
      <w:pPr>
        <w:keepNext w:val="0"/>
        <w:keepLines w:val="0"/>
        <w:pageBreakBefore w:val="0"/>
        <w:kinsoku w:val="0"/>
        <w:wordWrap/>
        <w:overflowPunct/>
        <w:topLinePunct w:val="0"/>
        <w:autoSpaceDE w:val="0"/>
        <w:autoSpaceDN w:val="0"/>
        <w:bidi w:val="0"/>
        <w:adjustRightInd w:val="0"/>
        <w:snapToGrid w:val="0"/>
        <w:spacing w:line="360" w:lineRule="auto"/>
        <w:ind w:left="0" w:leftChars="0" w:firstLine="560" w:firstLineChars="200"/>
        <w:textAlignment w:val="baseline"/>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项目位于固原市，路线全长6.452km，公路等级为一级公路，设计速度为80km/h，路基宽度多为33.0/30.0m，路面宽度23.5m。路面存在典型病害为横纵向裂缝、龟裂、块裂、局部路段唧浆等。主要工程内容为K54+975-K57+000段、K59+000-K60+037段中间车道挖除18cm水泥稳定碎石基层后，铺筑18cm厂拌冷再生水泥稳定碎石基层+6cmAC-20C厂拌热再生改性沥青混凝土下面层+4cmSBS改性沥青混凝土上面层。其余部分铣刨旧路上面层，对下面层及基层病害处理后，铺筑4cmSBS改性沥青混凝土上面层。K57+000-K59+000段铣刨旧路上面层，对下面层及基层病害处理后，铺筑4cmSBS改性沥青混凝土上面层。K60+037-K61+427段铣刨旧路3cm沥青上面层，对原旧路行车道部分基层及下面层挖除，铺筑16cm厂拌冷再生水泥稳定碎石基层+5cmAC-20C厂拌热再生改性沥青混凝土下面层，全断面整体铺筑4cmSBS改性沥青混凝土上面层。恢复交通安全设施，沿线排水设施等。。</w:t>
      </w:r>
    </w:p>
    <w:p w14:paraId="27883EB4">
      <w:pPr>
        <w:keepNext w:val="0"/>
        <w:keepLines w:val="0"/>
        <w:pageBreakBefore w:val="0"/>
        <w:kinsoku w:val="0"/>
        <w:wordWrap/>
        <w:overflowPunct/>
        <w:topLinePunct w:val="0"/>
        <w:autoSpaceDE w:val="0"/>
        <w:autoSpaceDN w:val="0"/>
        <w:bidi w:val="0"/>
        <w:adjustRightInd w:val="0"/>
        <w:snapToGrid w:val="0"/>
        <w:spacing w:line="360" w:lineRule="auto"/>
        <w:ind w:left="0" w:leftChars="0" w:firstLine="560" w:firstLineChars="200"/>
        <w:textAlignment w:val="baseline"/>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具体内容详见工程量清单。</w:t>
      </w:r>
    </w:p>
    <w:p w14:paraId="390458B1">
      <w:pPr>
        <w:keepNext w:val="0"/>
        <w:keepLines w:val="0"/>
        <w:pageBreakBefore w:val="0"/>
        <w:kinsoku w:val="0"/>
        <w:wordWrap/>
        <w:overflowPunct/>
        <w:topLinePunct w:val="0"/>
        <w:autoSpaceDE w:val="0"/>
        <w:autoSpaceDN w:val="0"/>
        <w:bidi w:val="0"/>
        <w:adjustRightInd w:val="0"/>
        <w:snapToGrid w:val="0"/>
        <w:spacing w:line="360" w:lineRule="auto"/>
        <w:ind w:left="0" w:leftChars="0" w:firstLine="562" w:firstLineChars="200"/>
        <w:textAlignment w:val="baseline"/>
        <w:outlineLvl w:val="9"/>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二、对投标人的全部资格条件要求</w:t>
      </w:r>
    </w:p>
    <w:p w14:paraId="75F96D68">
      <w:pPr>
        <w:keepNext w:val="0"/>
        <w:keepLines w:val="0"/>
        <w:pageBreakBefore w:val="0"/>
        <w:kinsoku w:val="0"/>
        <w:wordWrap/>
        <w:overflowPunct/>
        <w:topLinePunct w:val="0"/>
        <w:autoSpaceDE w:val="0"/>
        <w:autoSpaceDN w:val="0"/>
        <w:bidi w:val="0"/>
        <w:adjustRightInd w:val="0"/>
        <w:snapToGrid w:val="0"/>
        <w:spacing w:line="360" w:lineRule="auto"/>
        <w:ind w:left="0" w:leftChars="0" w:firstLine="560" w:firstLineChars="200"/>
        <w:textAlignment w:val="baseline"/>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详见招标公告。</w:t>
      </w:r>
    </w:p>
    <w:p w14:paraId="08FEF56D">
      <w:pPr>
        <w:keepNext w:val="0"/>
        <w:keepLines w:val="0"/>
        <w:pageBreakBefore w:val="0"/>
        <w:kinsoku w:val="0"/>
        <w:wordWrap/>
        <w:overflowPunct/>
        <w:topLinePunct w:val="0"/>
        <w:autoSpaceDE w:val="0"/>
        <w:autoSpaceDN w:val="0"/>
        <w:bidi w:val="0"/>
        <w:adjustRightInd w:val="0"/>
        <w:snapToGrid w:val="0"/>
        <w:spacing w:line="360" w:lineRule="auto"/>
        <w:ind w:left="0" w:leftChars="0" w:firstLine="562" w:firstLineChars="200"/>
        <w:textAlignment w:val="baseline"/>
        <w:outlineLvl w:val="9"/>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三、资格审查办法</w:t>
      </w:r>
    </w:p>
    <w:p w14:paraId="0D1D131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306D436">
      <w:pPr>
        <w:widowControl w:val="0"/>
        <w:spacing w:line="360" w:lineRule="auto"/>
        <w:jc w:val="center"/>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附录1  资格审查条件(资质最低条件)</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7713"/>
      </w:tblGrid>
      <w:tr w14:paraId="4B03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482" w:type="dxa"/>
            <w:vAlign w:val="center"/>
          </w:tcPr>
          <w:p w14:paraId="651145B3">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标段号</w:t>
            </w:r>
          </w:p>
        </w:tc>
        <w:tc>
          <w:tcPr>
            <w:tcW w:w="7804" w:type="dxa"/>
            <w:vAlign w:val="center"/>
          </w:tcPr>
          <w:p w14:paraId="224DBDEA">
            <w:pPr>
              <w:spacing w:line="276" w:lineRule="auto"/>
              <w:ind w:left="0" w:leftChars="0" w:right="0" w:rightChars="0" w:firstLine="0" w:firstLineChars="0"/>
              <w:jc w:val="center"/>
              <w:rPr>
                <w:rStyle w:val="6"/>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施工企业资质等级要求</w:t>
            </w:r>
          </w:p>
        </w:tc>
      </w:tr>
      <w:tr w14:paraId="4856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vAlign w:val="center"/>
          </w:tcPr>
          <w:p w14:paraId="7657EDDE">
            <w:pPr>
              <w:spacing w:line="360" w:lineRule="auto"/>
              <w:ind w:left="0" w:leftChars="0" w:right="0" w:rightChars="0" w:firstLine="0" w:firstLineChars="0"/>
              <w:jc w:val="center"/>
              <w:rPr>
                <w:rFonts w:hint="eastAsia" w:ascii="宋体" w:hAnsi="宋体" w:eastAsia="宋体" w:cs="宋体"/>
                <w:color w:val="auto"/>
                <w:sz w:val="21"/>
                <w:szCs w:val="21"/>
                <w:highlight w:val="none"/>
                <w:lang w:val="en-US" w:eastAsia="zh-CN"/>
              </w:rPr>
            </w:pPr>
            <w:bookmarkStart w:id="0" w:name="EBe557d73c7c5f454c8f5a0d517b7bee4a"/>
            <w:bookmarkEnd w:id="0"/>
            <w:r>
              <w:rPr>
                <w:rFonts w:hint="eastAsia" w:ascii="宋体" w:hAnsi="宋体" w:eastAsia="宋体" w:cs="宋体"/>
                <w:color w:val="auto"/>
                <w:kern w:val="0"/>
                <w:sz w:val="21"/>
                <w:szCs w:val="21"/>
                <w:highlight w:val="none"/>
                <w:lang w:val="en-US" w:eastAsia="zh-CN"/>
              </w:rPr>
              <w:t>第1标段</w:t>
            </w:r>
          </w:p>
        </w:tc>
        <w:tc>
          <w:tcPr>
            <w:tcW w:w="7804" w:type="dxa"/>
            <w:vAlign w:val="center"/>
          </w:tcPr>
          <w:p w14:paraId="0DC5952E">
            <w:pPr>
              <w:snapToGrid w:val="0"/>
              <w:spacing w:line="24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投标人需满足以下要求：</w:t>
            </w:r>
          </w:p>
          <w:p w14:paraId="1B5C72F2">
            <w:pPr>
              <w:snapToGrid w:val="0"/>
              <w:spacing w:line="240" w:lineRule="auto"/>
              <w:ind w:firstLine="210" w:firstLineChars="1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1.投标人须具备法人或其他组织资格；持有工商行政管理部门核发的有效企业营业执照或事业单位法人证书或社会团体法人登记证书；</w:t>
            </w:r>
          </w:p>
          <w:p w14:paraId="160FC1AC">
            <w:pPr>
              <w:snapToGrid w:val="0"/>
              <w:spacing w:line="240" w:lineRule="auto"/>
              <w:ind w:firstLine="210" w:firstLineChars="1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2.投标人具备交通运输主管部门颁发的路基路面养护甲级资质证书或具备交通运输主管部门颁发的二类公路养护工程甲级资质证书，且在有效期内；</w:t>
            </w:r>
          </w:p>
          <w:p w14:paraId="47E027BA">
            <w:pPr>
              <w:snapToGrid w:val="0"/>
              <w:spacing w:line="240" w:lineRule="auto"/>
              <w:ind w:firstLine="210" w:firstLineChars="100"/>
              <w:jc w:val="both"/>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3.投标人具备建设主管部门颁发的有效安全生产许可证，并在人员、设备、资金等方面具有相应的施工能力；</w:t>
            </w:r>
          </w:p>
          <w:p w14:paraId="3135DC7F">
            <w:pPr>
              <w:widowControl w:val="0"/>
              <w:snapToGrid w:val="0"/>
              <w:spacing w:line="240" w:lineRule="auto"/>
              <w:jc w:val="both"/>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注：</w:t>
            </w:r>
          </w:p>
          <w:p w14:paraId="6C6DBC6A">
            <w:pPr>
              <w:widowControl w:val="0"/>
              <w:snapToGrid w:val="0"/>
              <w:jc w:val="both"/>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补充</w:t>
            </w:r>
            <w:r>
              <w:rPr>
                <w:rFonts w:hint="eastAsia" w:ascii="宋体" w:hAnsi="宋体" w:eastAsia="宋体" w:cs="宋体"/>
                <w:b/>
                <w:bCs/>
                <w:color w:val="auto"/>
                <w:kern w:val="0"/>
                <w:sz w:val="21"/>
                <w:szCs w:val="21"/>
                <w:highlight w:val="none"/>
                <w:lang w:val="en-US" w:eastAsia="zh-CN" w:bidi="ar-SA"/>
              </w:rPr>
              <w:t>投标人须知正文第3.5.1项：</w:t>
            </w:r>
          </w:p>
          <w:p w14:paraId="34327AFF">
            <w:pPr>
              <w:widowControl w:val="0"/>
              <w:numPr>
                <w:ilvl w:val="0"/>
                <w:numId w:val="0"/>
              </w:numPr>
              <w:snapToGrid w:val="0"/>
              <w:spacing w:line="240" w:lineRule="auto"/>
              <w:ind w:firstLine="210" w:firstLineChars="1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投标人基本情况表”应附营业执照副本和组织机构代码证（按照“三证合一”或“五证合一”登记制度进行登记的，可仅提供营业执照，下同）或事业单位法人证书或社会团体法人登记证书、施工资质证书副本、安全生产许可证副本、基本账户信息的扫描件，以及投标人在国家企业信用信息公示系统中基础信息（体现股东及出资详细信息）的网页截图。</w:t>
            </w:r>
          </w:p>
          <w:p w14:paraId="6B477662">
            <w:pPr>
              <w:widowControl w:val="0"/>
              <w:numPr>
                <w:ilvl w:val="0"/>
                <w:numId w:val="0"/>
              </w:numPr>
              <w:snapToGrid w:val="0"/>
              <w:spacing w:line="240" w:lineRule="auto"/>
              <w:ind w:firstLine="210" w:firstLineChars="1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营业执照副本和组织机构代码证或事业单位法人证书或社会团体法人登记证书、施工资质证书副本、安全生产许可证副本的扫描件应提供全本（证书封面、封底、空白页除外），应包括投标人名称、投标人其他相关信息、颁发机构名称、投标人信息变更情况等关键页在内，并逐页加盖投标人单位章。</w:t>
            </w:r>
          </w:p>
          <w:p w14:paraId="5C225C2A">
            <w:pPr>
              <w:widowControl w:val="0"/>
              <w:numPr>
                <w:ilvl w:val="0"/>
                <w:numId w:val="0"/>
              </w:numPr>
              <w:snapToGrid w:val="0"/>
              <w:spacing w:line="240" w:lineRule="auto"/>
              <w:ind w:firstLine="210" w:firstLineChars="1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（3）各证照如根据相关法律法规实现电子证照的，可以提供电子证照截图。</w:t>
            </w:r>
          </w:p>
          <w:p w14:paraId="66A7E413">
            <w:pPr>
              <w:widowControl w:val="0"/>
              <w:numPr>
                <w:ilvl w:val="0"/>
                <w:numId w:val="0"/>
              </w:numPr>
              <w:snapToGrid w:val="0"/>
              <w:spacing w:line="240" w:lineRule="auto"/>
              <w:ind w:firstLine="210" w:firstLineChars="1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（4）对于法人发生重组或变更的投标人，应在投标文件中提供附有法人重组或变更时相关部门的合法批件、变更时的企业法人营业执照和资质证书的变更记录彩色扫描件。</w:t>
            </w:r>
          </w:p>
          <w:p w14:paraId="6C1EFD29">
            <w:pPr>
              <w:keepNext w:val="0"/>
              <w:keepLines w:val="0"/>
              <w:widowControl/>
              <w:suppressLineNumbers w:val="0"/>
              <w:ind w:firstLine="210" w:firstLineChars="1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因公告格式无法修改，招标公告投标人资格要求中“根据《关于发布公路工程从业企业资质名录的通知》（厅公路字〔2011〕114号）要求，投标人如为应通过名录对其资质条件进行审核的公路施工企业，则应进入交通运输部“全国公路建设市场监督管理系统（https://hwdms.mot.gov.cn）”中的公路工程施工资质企业名录，且投标人名称和资质与该名录中的相应企业名称和资质完全一致”不适用于本项目，本项目投标人无需进入交通运输部“全国公路建设市场监督管理系统”中的公路工程施工资质企业名录。</w:t>
            </w:r>
          </w:p>
          <w:p w14:paraId="3EA4B5A4">
            <w:pPr>
              <w:spacing w:line="240" w:lineRule="auto"/>
              <w:ind w:firstLine="211" w:firstLineChars="100"/>
              <w:jc w:val="both"/>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招标文件中其他地方与此处不一致时，以此处为准。</w:t>
            </w:r>
          </w:p>
        </w:tc>
      </w:tr>
    </w:tbl>
    <w:p w14:paraId="08311097">
      <w:pPr>
        <w:widowControl w:val="0"/>
        <w:spacing w:line="360" w:lineRule="auto"/>
        <w:jc w:val="center"/>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br w:type="page"/>
      </w:r>
      <w:r>
        <w:rPr>
          <w:rFonts w:hint="eastAsia" w:ascii="宋体" w:hAnsi="宋体" w:eastAsia="宋体" w:cs="宋体"/>
          <w:b/>
          <w:bCs/>
          <w:color w:val="auto"/>
          <w:kern w:val="2"/>
          <w:sz w:val="30"/>
          <w:szCs w:val="30"/>
          <w:highlight w:val="none"/>
          <w:lang w:val="en-US" w:eastAsia="zh-CN" w:bidi="ar-SA"/>
        </w:rPr>
        <w:t>附录2  资格审查条件(财务最低要求)</w:t>
      </w:r>
    </w:p>
    <w:tbl>
      <w:tblPr>
        <w:tblStyle w:val="4"/>
        <w:tblW w:w="96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9"/>
        <w:gridCol w:w="8136"/>
      </w:tblGrid>
      <w:tr w14:paraId="088E9E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1549" w:type="dxa"/>
            <w:tcMar>
              <w:top w:w="113" w:type="dxa"/>
              <w:left w:w="108" w:type="dxa"/>
              <w:bottom w:w="113" w:type="dxa"/>
              <w:right w:w="108" w:type="dxa"/>
            </w:tcMar>
            <w:vAlign w:val="center"/>
          </w:tcPr>
          <w:p w14:paraId="79A9F285">
            <w:pPr>
              <w:widowControl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标段号</w:t>
            </w:r>
          </w:p>
        </w:tc>
        <w:tc>
          <w:tcPr>
            <w:tcW w:w="8136" w:type="dxa"/>
            <w:tcMar>
              <w:top w:w="113" w:type="dxa"/>
              <w:left w:w="108" w:type="dxa"/>
              <w:bottom w:w="113" w:type="dxa"/>
              <w:right w:w="108" w:type="dxa"/>
            </w:tcMar>
            <w:vAlign w:val="center"/>
          </w:tcPr>
          <w:p w14:paraId="7BF1130B">
            <w:pPr>
              <w:widowControl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财务要求</w:t>
            </w:r>
          </w:p>
        </w:tc>
      </w:tr>
      <w:tr w14:paraId="439BE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3" w:hRule="atLeast"/>
          <w:jc w:val="center"/>
        </w:trPr>
        <w:tc>
          <w:tcPr>
            <w:tcW w:w="1549" w:type="dxa"/>
            <w:tcMar>
              <w:top w:w="113" w:type="dxa"/>
              <w:left w:w="108" w:type="dxa"/>
              <w:bottom w:w="113" w:type="dxa"/>
              <w:right w:w="108" w:type="dxa"/>
            </w:tcMar>
            <w:vAlign w:val="center"/>
          </w:tcPr>
          <w:p w14:paraId="3D66E468">
            <w:pPr>
              <w:spacing w:line="288"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第1标段</w:t>
            </w:r>
          </w:p>
        </w:tc>
        <w:tc>
          <w:tcPr>
            <w:tcW w:w="8136" w:type="dxa"/>
            <w:tcMar>
              <w:top w:w="113" w:type="dxa"/>
              <w:left w:w="108" w:type="dxa"/>
              <w:bottom w:w="113" w:type="dxa"/>
              <w:right w:w="108" w:type="dxa"/>
            </w:tcMar>
            <w:vAlign w:val="center"/>
          </w:tcPr>
          <w:p w14:paraId="437997A1">
            <w:pPr>
              <w:keepNext w:val="0"/>
              <w:keepLines w:val="0"/>
              <w:pageBreakBefore w:val="0"/>
              <w:widowControl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投标人需满足以下要求：</w:t>
            </w:r>
          </w:p>
          <w:p w14:paraId="40285AEE">
            <w:pPr>
              <w:keepNext w:val="0"/>
              <w:keepLines w:val="0"/>
              <w:pageBreakBefore w:val="0"/>
              <w:widowControl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bCs/>
                <w:color w:val="auto"/>
                <w:kern w:val="0"/>
                <w:sz w:val="21"/>
                <w:szCs w:val="21"/>
                <w:highlight w:val="none"/>
              </w:rPr>
            </w:pPr>
          </w:p>
          <w:p w14:paraId="0854BAFD">
            <w:pPr>
              <w:keepNext w:val="0"/>
              <w:keepLines w:val="0"/>
              <w:pageBreakBefore w:val="0"/>
              <w:widowControl w:val="0"/>
              <w:kinsoku/>
              <w:wordWrap/>
              <w:overflowPunct/>
              <w:topLinePunct w:val="0"/>
              <w:autoSpaceDE/>
              <w:autoSpaceDN/>
              <w:bidi w:val="0"/>
              <w:adjustRightInd/>
              <w:snapToGrid w:val="0"/>
              <w:spacing w:line="240" w:lineRule="auto"/>
              <w:ind w:left="0" w:leftChars="0" w:firstLine="422" w:firstLineChars="200"/>
              <w:jc w:val="both"/>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auto"/>
                <w:lang w:val="en-US" w:eastAsia="zh-CN" w:bidi="ar-SA"/>
              </w:rPr>
              <w:t>投标人在近3年（2022年至2024年）</w:t>
            </w:r>
            <w:r>
              <w:rPr>
                <w:rFonts w:hint="eastAsia" w:ascii="宋体" w:hAnsi="宋体" w:eastAsia="宋体" w:cs="宋体"/>
                <w:b/>
                <w:bCs/>
                <w:color w:val="auto"/>
                <w:kern w:val="0"/>
                <w:sz w:val="21"/>
                <w:szCs w:val="21"/>
                <w:highlight w:val="none"/>
                <w:lang w:val="en-US" w:eastAsia="zh-CN" w:bidi="ar-SA"/>
              </w:rPr>
              <w:t>每一年度的年末流动资产与流动负债比均不小于1。</w:t>
            </w:r>
          </w:p>
          <w:p w14:paraId="413E6BF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bCs/>
                <w:color w:val="auto"/>
                <w:kern w:val="0"/>
                <w:sz w:val="21"/>
                <w:szCs w:val="21"/>
                <w:highlight w:val="none"/>
                <w:lang w:val="en-US" w:eastAsia="zh-CN" w:bidi="ar-SA"/>
              </w:rPr>
            </w:pPr>
          </w:p>
          <w:p w14:paraId="39BCDAC9">
            <w:pPr>
              <w:keepNext w:val="0"/>
              <w:keepLines w:val="0"/>
              <w:pageBreakBefore w:val="0"/>
              <w:widowControl w:val="0"/>
              <w:kinsoku/>
              <w:wordWrap/>
              <w:overflowPunct/>
              <w:topLinePunct w:val="0"/>
              <w:autoSpaceDE/>
              <w:autoSpaceDN/>
              <w:bidi w:val="0"/>
              <w:adjustRightInd/>
              <w:spacing w:line="240" w:lineRule="auto"/>
              <w:ind w:left="0" w:leftChars="0" w:firstLine="210" w:firstLineChars="1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投标人应在投标文件中附近3年经会计师事务所或审计机构审计的财务会计报表，包括资产负债表、现金流量表、利润表和财务情况说明书的</w:t>
            </w:r>
            <w:r>
              <w:rPr>
                <w:rFonts w:hint="eastAsia" w:ascii="宋体" w:hAnsi="宋体" w:eastAsia="宋体" w:cs="宋体"/>
                <w:b w:val="0"/>
                <w:bCs/>
                <w:color w:val="auto"/>
                <w:sz w:val="21"/>
                <w:szCs w:val="21"/>
                <w:highlight w:val="none"/>
                <w:lang w:val="en-US" w:eastAsia="zh-CN"/>
              </w:rPr>
              <w:t>彩色扫描</w:t>
            </w:r>
            <w:r>
              <w:rPr>
                <w:rFonts w:hint="eastAsia" w:ascii="宋体" w:hAnsi="宋体" w:eastAsia="宋体" w:cs="宋体"/>
                <w:b w:val="0"/>
                <w:bCs/>
                <w:color w:val="auto"/>
                <w:sz w:val="21"/>
                <w:szCs w:val="21"/>
                <w:highlight w:val="none"/>
              </w:rPr>
              <w:t>件</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保证数据清晰、可辩。</w:t>
            </w:r>
          </w:p>
          <w:p w14:paraId="3D0676F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210" w:firstLineChars="1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投标人的成立时间少于规定年份的可以对本项目投标，应提供成立以来的财务状况表，且投标人所提供的财务报表均需满足以上要求。</w:t>
            </w:r>
          </w:p>
          <w:p w14:paraId="0B343FFC">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210" w:firstLineChars="100"/>
              <w:jc w:val="left"/>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投标人如为集团公司，财务会计报表指合并财务会计报表。</w:t>
            </w:r>
          </w:p>
          <w:p w14:paraId="528C63DF">
            <w:pPr>
              <w:keepNext w:val="0"/>
              <w:keepLines w:val="0"/>
              <w:pageBreakBefore w:val="0"/>
              <w:widowControl w:val="0"/>
              <w:numPr>
                <w:ilvl w:val="0"/>
                <w:numId w:val="0"/>
              </w:numPr>
              <w:kinsoku/>
              <w:wordWrap/>
              <w:overflowPunct/>
              <w:topLinePunct w:val="0"/>
              <w:autoSpaceDE/>
              <w:autoSpaceDN/>
              <w:bidi w:val="0"/>
              <w:adjustRightInd/>
              <w:spacing w:line="240" w:lineRule="auto"/>
              <w:ind w:firstLine="211" w:firstLineChars="100"/>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（4）招标文件中其他地方与此处不一致时，以此处为准。</w:t>
            </w:r>
          </w:p>
          <w:p w14:paraId="69F4B927">
            <w:pPr>
              <w:keepNext w:val="0"/>
              <w:keepLines w:val="0"/>
              <w:pageBreakBefore w:val="0"/>
              <w:widowControl w:val="0"/>
              <w:kinsoku/>
              <w:wordWrap/>
              <w:overflowPunct/>
              <w:topLinePunct w:val="0"/>
              <w:autoSpaceDE/>
              <w:autoSpaceDN/>
              <w:bidi w:val="0"/>
              <w:adjustRightInd/>
              <w:spacing w:line="240" w:lineRule="auto"/>
              <w:ind w:left="0" w:leftChars="0" w:firstLine="210" w:firstLineChars="1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注： </w:t>
            </w:r>
          </w:p>
          <w:p w14:paraId="7CDF455A">
            <w:pPr>
              <w:keepNext w:val="0"/>
              <w:keepLines w:val="0"/>
              <w:pageBreakBefore w:val="0"/>
              <w:widowControl w:val="0"/>
              <w:kinsoku/>
              <w:wordWrap/>
              <w:overflowPunct/>
              <w:topLinePunct w:val="0"/>
              <w:autoSpaceDE/>
              <w:autoSpaceDN/>
              <w:bidi w:val="0"/>
              <w:adjustRightInd/>
              <w:spacing w:line="240" w:lineRule="auto"/>
              <w:ind w:left="0" w:leftChars="0" w:firstLine="210" w:firstLineChars="1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①投标截止时间在5月1日之前的，近3年指递交截止时间推算前4年，上一年指递交截止时间推算前2年；投标截止时间在5月1日之后的，近3年指递交截止时间推算前3年，上一年指递交截止时间推算前1年。 </w:t>
            </w:r>
          </w:p>
          <w:p w14:paraId="36480517">
            <w:pPr>
              <w:keepNext w:val="0"/>
              <w:keepLines w:val="0"/>
              <w:pageBreakBefore w:val="0"/>
              <w:widowControl w:val="0"/>
              <w:kinsoku/>
              <w:wordWrap/>
              <w:overflowPunct/>
              <w:topLinePunct w:val="0"/>
              <w:autoSpaceDE/>
              <w:autoSpaceDN/>
              <w:bidi w:val="0"/>
              <w:adjustRightInd/>
              <w:spacing w:line="240" w:lineRule="auto"/>
              <w:ind w:left="0" w:leftChars="0" w:firstLine="210" w:firstLineChars="100"/>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②新成立的单位，提供成立以来至递交截止时间年度的财务情况证明材料。</w:t>
            </w:r>
          </w:p>
        </w:tc>
      </w:tr>
    </w:tbl>
    <w:p w14:paraId="20F88B4E">
      <w:pPr>
        <w:widowControl w:val="0"/>
        <w:spacing w:line="360" w:lineRule="auto"/>
        <w:jc w:val="both"/>
        <w:rPr>
          <w:rFonts w:hint="eastAsia" w:ascii="宋体" w:hAnsi="宋体" w:eastAsia="宋体" w:cs="宋体"/>
          <w:color w:val="auto"/>
          <w:kern w:val="2"/>
          <w:sz w:val="24"/>
          <w:szCs w:val="24"/>
          <w:highlight w:val="none"/>
          <w:lang w:val="en-US" w:eastAsia="zh-CN" w:bidi="ar-SA"/>
        </w:rPr>
      </w:pPr>
    </w:p>
    <w:p w14:paraId="78216CC9">
      <w:pPr>
        <w:widowControl w:val="0"/>
        <w:spacing w:before="120" w:after="120" w:line="360" w:lineRule="auto"/>
        <w:jc w:val="center"/>
        <w:rPr>
          <w:rFonts w:hint="eastAsia" w:ascii="宋体" w:hAnsi="宋体" w:eastAsia="宋体" w:cs="宋体"/>
          <w:color w:val="auto"/>
          <w:kern w:val="2"/>
          <w:sz w:val="24"/>
          <w:szCs w:val="24"/>
          <w:highlight w:val="none"/>
          <w:vertAlign w:val="superscript"/>
          <w:lang w:val="en-US" w:eastAsia="zh-CN" w:bidi="ar-SA"/>
        </w:rPr>
      </w:pPr>
      <w:r>
        <w:rPr>
          <w:rFonts w:hint="eastAsia" w:ascii="宋体" w:hAnsi="宋体" w:eastAsia="宋体" w:cs="宋体"/>
          <w:b/>
          <w:bCs/>
          <w:color w:val="auto"/>
          <w:kern w:val="44"/>
          <w:sz w:val="30"/>
          <w:szCs w:val="30"/>
          <w:highlight w:val="none"/>
          <w:lang w:val="en-US" w:eastAsia="zh-CN" w:bidi="ar-SA"/>
        </w:rPr>
        <w:br w:type="page"/>
      </w:r>
      <w:r>
        <w:rPr>
          <w:rFonts w:hint="eastAsia" w:ascii="宋体" w:hAnsi="宋体" w:eastAsia="宋体" w:cs="宋体"/>
          <w:b/>
          <w:bCs/>
          <w:color w:val="auto"/>
          <w:kern w:val="44"/>
          <w:sz w:val="30"/>
          <w:szCs w:val="30"/>
          <w:highlight w:val="none"/>
          <w:lang w:val="en-US" w:eastAsia="zh-CN" w:bidi="ar-SA"/>
        </w:rPr>
        <w:t>附录3  资格审查条件(业绩最低要求)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7593"/>
      </w:tblGrid>
      <w:tr w14:paraId="3034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97" w:type="dxa"/>
            <w:vAlign w:val="center"/>
          </w:tcPr>
          <w:p w14:paraId="6704AA36">
            <w:pPr>
              <w:spacing w:line="276" w:lineRule="auto"/>
              <w:ind w:left="0" w:leftChars="0" w:right="0" w:rightChars="0" w:firstLine="0" w:firstLineChars="0"/>
              <w:jc w:val="center"/>
              <w:rPr>
                <w:rStyle w:val="6"/>
                <w:rFonts w:hint="eastAsia" w:ascii="宋体" w:hAnsi="宋体" w:eastAsia="宋体" w:cs="宋体"/>
                <w:b/>
                <w:bCs/>
                <w:color w:val="auto"/>
                <w:kern w:val="2"/>
                <w:sz w:val="24"/>
                <w:szCs w:val="24"/>
                <w:highlight w:val="none"/>
                <w:lang w:val="en-US" w:eastAsia="zh-CN" w:bidi="ar-SA"/>
              </w:rPr>
            </w:pPr>
            <w:bookmarkStart w:id="1" w:name="_Toc26223_WPSOffice_Level2"/>
            <w:r>
              <w:rPr>
                <w:rStyle w:val="6"/>
                <w:rFonts w:hint="eastAsia" w:ascii="宋体" w:hAnsi="宋体" w:eastAsia="宋体" w:cs="宋体"/>
                <w:b/>
                <w:bCs/>
                <w:color w:val="auto"/>
                <w:kern w:val="2"/>
                <w:sz w:val="24"/>
                <w:szCs w:val="24"/>
                <w:highlight w:val="none"/>
                <w:lang w:val="en-US" w:eastAsia="zh-CN" w:bidi="ar-SA"/>
              </w:rPr>
              <w:t>标段号</w:t>
            </w:r>
          </w:p>
        </w:tc>
        <w:tc>
          <w:tcPr>
            <w:tcW w:w="7689" w:type="dxa"/>
            <w:vAlign w:val="center"/>
          </w:tcPr>
          <w:p w14:paraId="5B9902D8">
            <w:pPr>
              <w:spacing w:line="276" w:lineRule="auto"/>
              <w:ind w:left="0" w:leftChars="0" w:right="0" w:rightChars="0" w:firstLine="0" w:firstLineChars="0"/>
              <w:jc w:val="center"/>
              <w:rPr>
                <w:rFonts w:hint="eastAsia" w:ascii="宋体" w:hAnsi="宋体" w:eastAsia="宋体" w:cs="宋体"/>
                <w:b/>
                <w:color w:val="auto"/>
                <w:sz w:val="24"/>
                <w:szCs w:val="24"/>
                <w:highlight w:val="none"/>
              </w:rPr>
            </w:pPr>
            <w:r>
              <w:rPr>
                <w:rStyle w:val="6"/>
                <w:rFonts w:hint="eastAsia" w:ascii="宋体" w:hAnsi="宋体" w:eastAsia="宋体" w:cs="宋体"/>
                <w:b/>
                <w:bCs/>
                <w:color w:val="auto"/>
                <w:kern w:val="2"/>
                <w:sz w:val="24"/>
                <w:szCs w:val="24"/>
                <w:highlight w:val="none"/>
                <w:lang w:val="en-US" w:eastAsia="zh-CN" w:bidi="ar-SA"/>
              </w:rPr>
              <w:t>业绩要求</w:t>
            </w:r>
            <w:bookmarkEnd w:id="1"/>
          </w:p>
        </w:tc>
      </w:tr>
      <w:tr w14:paraId="7B0C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6" w:hRule="atLeast"/>
        </w:trPr>
        <w:tc>
          <w:tcPr>
            <w:tcW w:w="1597" w:type="dxa"/>
            <w:vAlign w:val="center"/>
          </w:tcPr>
          <w:p w14:paraId="15F3523B">
            <w:pPr>
              <w:spacing w:line="360" w:lineRule="auto"/>
              <w:ind w:left="0" w:leftChars="0" w:right="0" w:rightChars="0" w:firstLine="0" w:firstLineChars="0"/>
              <w:jc w:val="center"/>
              <w:rPr>
                <w:rFonts w:hint="eastAsia" w:ascii="宋体" w:hAnsi="宋体" w:eastAsia="宋体" w:cs="宋体"/>
                <w:b w:val="0"/>
                <w:bCs w:val="0"/>
                <w:color w:val="auto"/>
                <w:sz w:val="21"/>
                <w:szCs w:val="21"/>
                <w:highlight w:val="none"/>
              </w:rPr>
            </w:pPr>
            <w:bookmarkStart w:id="2" w:name="EB0a994361b39c42349248d95b29298c49"/>
            <w:bookmarkEnd w:id="2"/>
            <w:r>
              <w:rPr>
                <w:rFonts w:hint="eastAsia" w:ascii="宋体" w:hAnsi="宋体" w:eastAsia="宋体" w:cs="宋体"/>
                <w:color w:val="auto"/>
                <w:kern w:val="0"/>
                <w:sz w:val="21"/>
                <w:szCs w:val="21"/>
                <w:highlight w:val="none"/>
                <w:lang w:val="en-US" w:eastAsia="zh-CN"/>
              </w:rPr>
              <w:t>第1标段</w:t>
            </w:r>
          </w:p>
        </w:tc>
        <w:tc>
          <w:tcPr>
            <w:tcW w:w="7689" w:type="dxa"/>
            <w:vAlign w:val="center"/>
          </w:tcPr>
          <w:p w14:paraId="04047FA1">
            <w:pPr>
              <w:snapToGrid w:val="0"/>
              <w:spacing w:line="240" w:lineRule="auto"/>
              <w:ind w:left="0" w:leftChars="0" w:right="0" w:rightChars="0" w:firstLine="0" w:firstLineChars="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投标人需满足以下要求：</w:t>
            </w:r>
          </w:p>
          <w:p w14:paraId="6AC8EE23">
            <w:pPr>
              <w:widowControl w:val="0"/>
              <w:snapToGrid w:val="0"/>
              <w:spacing w:line="240" w:lineRule="auto"/>
              <w:ind w:left="0" w:leftChars="0" w:right="0" w:rightChars="0" w:firstLine="0" w:firstLineChars="0"/>
              <w:jc w:val="left"/>
              <w:rPr>
                <w:rFonts w:hint="eastAsia" w:ascii="宋体" w:hAnsi="宋体" w:eastAsia="宋体" w:cs="宋体"/>
                <w:b/>
                <w:bCs/>
                <w:color w:val="auto"/>
                <w:kern w:val="0"/>
                <w:sz w:val="21"/>
                <w:szCs w:val="21"/>
                <w:highlight w:val="none"/>
                <w:lang w:val="en-US" w:eastAsia="zh-CN" w:bidi="ar-SA"/>
              </w:rPr>
            </w:pPr>
          </w:p>
          <w:p w14:paraId="278B85AF">
            <w:pPr>
              <w:widowControl w:val="0"/>
              <w:snapToGrid w:val="0"/>
              <w:spacing w:line="240" w:lineRule="auto"/>
              <w:ind w:left="0" w:leftChars="0" w:right="0" w:rightChars="0" w:firstLine="0" w:firstLineChars="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投标人至少完成过1个一级及以上等级公路路面养护工程施工业绩。</w:t>
            </w:r>
          </w:p>
          <w:p w14:paraId="258CED4A">
            <w:pPr>
              <w:widowControl w:val="0"/>
              <w:snapToGrid w:val="0"/>
              <w:spacing w:line="240" w:lineRule="auto"/>
              <w:ind w:left="0" w:leftChars="0" w:right="0" w:rightChars="0" w:firstLine="0" w:firstLineChars="0"/>
              <w:jc w:val="left"/>
              <w:rPr>
                <w:rFonts w:hint="eastAsia" w:ascii="宋体" w:hAnsi="宋体" w:eastAsia="宋体" w:cs="宋体"/>
                <w:b/>
                <w:bCs/>
                <w:color w:val="auto"/>
                <w:kern w:val="0"/>
                <w:sz w:val="21"/>
                <w:szCs w:val="21"/>
                <w:highlight w:val="none"/>
                <w:lang w:val="en-US" w:eastAsia="zh-CN" w:bidi="ar-SA"/>
              </w:rPr>
            </w:pPr>
          </w:p>
          <w:p w14:paraId="029DC8EA">
            <w:pPr>
              <w:widowControl w:val="0"/>
              <w:snapToGrid w:val="0"/>
              <w:spacing w:line="240" w:lineRule="auto"/>
              <w:ind w:left="0" w:leftChars="0" w:right="0" w:rightChars="0" w:firstLine="0" w:firstLineChars="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注：</w:t>
            </w:r>
          </w:p>
          <w:p w14:paraId="2E8ACDD4">
            <w:pPr>
              <w:widowControl w:val="0"/>
              <w:snapToGrid w:val="0"/>
              <w:spacing w:line="240" w:lineRule="auto"/>
              <w:ind w:left="0" w:leftChars="0" w:right="0" w:rightChars="0" w:firstLine="0" w:firstLineChars="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补充投标人须知正文第3.5.3项：</w:t>
            </w:r>
          </w:p>
          <w:p w14:paraId="16A5AF26">
            <w:pPr>
              <w:numPr>
                <w:ilvl w:val="0"/>
                <w:numId w:val="0"/>
              </w:numPr>
              <w:spacing w:line="240" w:lineRule="auto"/>
              <w:ind w:left="0" w:leftChars="0" w:right="0" w:rightChars="0"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投标人应按资格审查资料中的表（四）（近年完成的类似项目情况表）填写所提供的业绩，提供的每个业绩均应填写，未按照表（四）（近年完成的类似项目情况表）规定的格式填报的业绩，其业绩审查将不予认可。</w:t>
            </w:r>
          </w:p>
          <w:p w14:paraId="0DC4DBD9">
            <w:pPr>
              <w:numPr>
                <w:ilvl w:val="0"/>
                <w:numId w:val="0"/>
              </w:numPr>
              <w:spacing w:line="240" w:lineRule="auto"/>
              <w:ind w:left="0" w:leftChars="0" w:right="0" w:rightChars="0" w:firstLine="0" w:firstLineChars="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“近年完成的类似项目情况表”应是已列入“全国公路建设市场监督管理系统”</w:t>
            </w:r>
            <w:r>
              <w:rPr>
                <w:rFonts w:hint="eastAsia" w:ascii="宋体" w:hAnsi="宋体" w:eastAsia="宋体" w:cs="宋体"/>
                <w:bCs/>
                <w:color w:val="auto"/>
                <w:sz w:val="21"/>
                <w:szCs w:val="21"/>
                <w:highlight w:val="none"/>
                <w:lang w:val="en-US" w:eastAsia="zh-CN"/>
              </w:rPr>
              <w:t>或工程所在地省级公路建设与养护市场信用信息管理系统并公开的主包已建业绩或分包已建</w:t>
            </w:r>
            <w:r>
              <w:rPr>
                <w:rFonts w:hint="eastAsia" w:ascii="宋体" w:hAnsi="宋体" w:eastAsia="宋体" w:cs="宋体"/>
                <w:bCs/>
                <w:color w:val="auto"/>
                <w:sz w:val="21"/>
                <w:szCs w:val="21"/>
                <w:highlight w:val="none"/>
              </w:rPr>
              <w:t>业绩。</w:t>
            </w:r>
          </w:p>
          <w:p w14:paraId="0FCCE44A">
            <w:pPr>
              <w:numPr>
                <w:ilvl w:val="0"/>
                <w:numId w:val="0"/>
              </w:numPr>
              <w:spacing w:line="240" w:lineRule="auto"/>
              <w:ind w:left="0" w:leftChars="0" w:right="0" w:rightChars="0" w:firstLine="0" w:firstLineChars="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近年完成的类似项目情况表”后应附在“全国公路建设市场监督管理系统”中查询到的企业“业绩信息”相关项目网页截图（即包括“项目名称”“标段类型”“合同价”“主要工程量”“项目主要管理人员”等栏目在内的项目详细信息网页截图）。在“全国公路建设市场监督管理系统”中无法查询，但可在工程所在地省级交通运输主管部门公路建设与养护市场信用信息管理系统中查询的，应附工程所在地省级交通运输主管部门公路建设与养护市场信用信息管理系统中查询到的网页截图。除网页截图外，投标人无须再提供任何业绩证明资料。除网页截图外，其余企业业绩材料体现的但系统网站中未载明的信息在评审时均不予采信。</w:t>
            </w:r>
          </w:p>
          <w:p w14:paraId="42D53C68">
            <w:pPr>
              <w:numPr>
                <w:ilvl w:val="0"/>
                <w:numId w:val="0"/>
              </w:numPr>
              <w:spacing w:line="240" w:lineRule="auto"/>
              <w:ind w:left="0" w:leftChars="0" w:right="0" w:rightChars="0" w:firstLine="0" w:firstLineChars="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（4）业绩认定时间以交工验收合格日期为准（适用于评标办法加分业绩）；</w:t>
            </w:r>
          </w:p>
          <w:p w14:paraId="47361101">
            <w:pPr>
              <w:numPr>
                <w:ilvl w:val="0"/>
                <w:numId w:val="0"/>
              </w:numPr>
              <w:spacing w:line="240" w:lineRule="auto"/>
              <w:ind w:left="0" w:leftChars="0" w:right="0" w:rightChars="0" w:firstLine="0" w:firstLineChars="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（5）投标人提供的施工业绩应是以投标人名义签署的合同业绩。其母公司及下属专业单位签署合同的业绩、分包业绩、联合体业绩在资格审查中均不予认可；</w:t>
            </w:r>
          </w:p>
          <w:p w14:paraId="68F9EC42">
            <w:pPr>
              <w:numPr>
                <w:ilvl w:val="0"/>
                <w:numId w:val="0"/>
              </w:numPr>
              <w:spacing w:line="240" w:lineRule="auto"/>
              <w:ind w:left="0" w:leftChars="0" w:right="0" w:rightChars="0" w:firstLine="0" w:firstLineChars="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）如近年来，投标人法人机构发生合法变更或重组或法人名称变更时，应提供相关部门的合法批件或其他相关证明材料来证明其所附业绩的继承性；</w:t>
            </w:r>
          </w:p>
          <w:p w14:paraId="6B1522A5">
            <w:pPr>
              <w:numPr>
                <w:ilvl w:val="0"/>
                <w:numId w:val="0"/>
              </w:numPr>
              <w:spacing w:line="240" w:lineRule="auto"/>
              <w:ind w:left="0" w:leftChars="0" w:right="0" w:rightChars="0" w:firstLine="0" w:firstLineChars="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eastAsia="zh-CN"/>
              </w:rPr>
              <w:t>）对投标人所提供的企业业绩，如通过上述网站查询后结果与投标人自行提供结果不符，则对应业绩将不予认定。投标人对其递交投标文件中所有证明材料的真实性负责，若招标人收到反映投标人提供了虚假材料、不实信息或隐瞒招标文件要求填报的信息方面的投诉，认定为失信投标行为（如中标同时取消其中标资格），并依据</w:t>
            </w:r>
            <w:r>
              <w:rPr>
                <w:rFonts w:hint="eastAsia" w:ascii="宋体" w:hAnsi="宋体" w:eastAsia="宋体" w:cs="宋体"/>
                <w:bCs/>
                <w:color w:val="auto"/>
                <w:sz w:val="21"/>
                <w:szCs w:val="21"/>
                <w:highlight w:val="none"/>
                <w:lang w:val="en-US" w:eastAsia="zh-CN"/>
              </w:rPr>
              <w:t>《宁夏回族自治区公路建设与养护市场信用评价管理办法》的通知（</w:t>
            </w:r>
            <w:r>
              <w:rPr>
                <w:rFonts w:hint="eastAsia" w:ascii="宋体" w:hAnsi="宋体" w:eastAsia="宋体" w:cs="宋体"/>
                <w:bCs/>
                <w:color w:val="auto"/>
                <w:sz w:val="21"/>
                <w:szCs w:val="21"/>
                <w:highlight w:val="none"/>
                <w:lang w:eastAsia="zh-CN"/>
              </w:rPr>
              <w:t>宁交规发〔2024〕1号）文件对投标人本次投标行为进行评价，同时将评价结果上报宁夏回族自治区交通运输厅，并在宁夏回族自治区交通运输厅网站予以公布。</w:t>
            </w:r>
          </w:p>
          <w:p w14:paraId="405C7B3E">
            <w:pPr>
              <w:numPr>
                <w:ilvl w:val="0"/>
                <w:numId w:val="0"/>
              </w:numPr>
              <w:spacing w:line="240" w:lineRule="auto"/>
              <w:ind w:left="0" w:leftChars="0" w:right="0" w:rightChars="0" w:firstLine="0" w:firstLineChars="0"/>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）招标文件中其他地方与此处不一致时，以此处为准。</w:t>
            </w:r>
          </w:p>
        </w:tc>
      </w:tr>
    </w:tbl>
    <w:p w14:paraId="1064CEC7">
      <w:pPr>
        <w:widowControl w:val="0"/>
        <w:spacing w:before="120" w:after="120" w:line="360" w:lineRule="auto"/>
        <w:jc w:val="center"/>
        <w:rPr>
          <w:rFonts w:hint="eastAsia" w:ascii="宋体" w:hAnsi="宋体" w:eastAsia="宋体" w:cs="宋体"/>
          <w:b/>
          <w:bCs/>
          <w:color w:val="auto"/>
          <w:kern w:val="44"/>
          <w:sz w:val="30"/>
          <w:szCs w:val="30"/>
          <w:highlight w:val="none"/>
          <w:lang w:val="en-US" w:eastAsia="zh-CN" w:bidi="ar-SA"/>
        </w:rPr>
      </w:pPr>
      <w:r>
        <w:rPr>
          <w:rFonts w:hint="eastAsia" w:ascii="宋体" w:hAnsi="宋体" w:eastAsia="宋体" w:cs="宋体"/>
          <w:b/>
          <w:bCs/>
          <w:color w:val="auto"/>
          <w:kern w:val="44"/>
          <w:sz w:val="30"/>
          <w:szCs w:val="30"/>
          <w:highlight w:val="none"/>
          <w:lang w:val="en-US" w:eastAsia="zh-CN" w:bidi="ar-SA"/>
        </w:rPr>
        <w:br w:type="page"/>
      </w:r>
      <w:r>
        <w:rPr>
          <w:rFonts w:hint="eastAsia" w:ascii="宋体" w:hAnsi="宋体" w:eastAsia="宋体" w:cs="宋体"/>
          <w:b/>
          <w:bCs/>
          <w:color w:val="auto"/>
          <w:kern w:val="44"/>
          <w:sz w:val="30"/>
          <w:szCs w:val="30"/>
          <w:highlight w:val="none"/>
          <w:lang w:val="en-US" w:eastAsia="zh-CN" w:bidi="ar-SA"/>
        </w:rPr>
        <w:t>附录4  资格审查条件(信誉最低要求)</w:t>
      </w:r>
    </w:p>
    <w:tbl>
      <w:tblPr>
        <w:tblStyle w:val="4"/>
        <w:tblW w:w="94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40"/>
      </w:tblGrid>
      <w:tr w14:paraId="2FFF1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56" w:hRule="atLeast"/>
          <w:jc w:val="center"/>
        </w:trPr>
        <w:tc>
          <w:tcPr>
            <w:tcW w:w="9440" w:type="dxa"/>
            <w:tcMar>
              <w:top w:w="57" w:type="dxa"/>
              <w:left w:w="108" w:type="dxa"/>
              <w:bottom w:w="57" w:type="dxa"/>
              <w:right w:w="108" w:type="dxa"/>
            </w:tcMar>
            <w:vAlign w:val="center"/>
          </w:tcPr>
          <w:p w14:paraId="58873770">
            <w:pPr>
              <w:widowControl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4"/>
                <w:szCs w:val="24"/>
                <w:highlight w:val="none"/>
                <w:lang w:val="en-US" w:eastAsia="zh-CN" w:bidi="ar-SA"/>
              </w:rPr>
              <w:t>信誉要求</w:t>
            </w:r>
          </w:p>
        </w:tc>
      </w:tr>
      <w:tr w14:paraId="6D39E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8" w:hRule="atLeast"/>
          <w:jc w:val="center"/>
        </w:trPr>
        <w:tc>
          <w:tcPr>
            <w:tcW w:w="9440" w:type="dxa"/>
            <w:tcMar>
              <w:top w:w="57" w:type="dxa"/>
              <w:left w:w="108" w:type="dxa"/>
              <w:bottom w:w="57" w:type="dxa"/>
              <w:right w:w="108" w:type="dxa"/>
            </w:tcMar>
            <w:vAlign w:val="center"/>
          </w:tcPr>
          <w:p w14:paraId="742CA8D9">
            <w:pPr>
              <w:snapToGrid w:val="0"/>
              <w:spacing w:line="240" w:lineRule="auto"/>
              <w:ind w:firstLine="211" w:firstLineChars="100"/>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zh-CN" w:eastAsia="zh-CN"/>
              </w:rPr>
              <w:t>投标人不得存在下列不良状况或不良信用记录</w:t>
            </w:r>
            <w:r>
              <w:rPr>
                <w:rFonts w:hint="eastAsia" w:ascii="宋体" w:hAnsi="宋体" w:eastAsia="宋体" w:cs="宋体"/>
                <w:b/>
                <w:bCs/>
                <w:color w:val="auto"/>
                <w:kern w:val="0"/>
                <w:sz w:val="21"/>
                <w:szCs w:val="21"/>
                <w:highlight w:val="none"/>
                <w:lang w:val="en-US" w:eastAsia="zh-CN"/>
              </w:rPr>
              <w:t>：</w:t>
            </w:r>
          </w:p>
          <w:p w14:paraId="1444F8BA">
            <w:pPr>
              <w:snapToGrid w:val="0"/>
              <w:spacing w:line="240" w:lineRule="auto"/>
              <w:ind w:firstLine="210" w:firstLineChars="1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（1）被省级及以上交通运输主管部门取消招标项目所在地的投标资格且处于有效期内</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eastAsia="zh-CN"/>
              </w:rPr>
              <w:t>全国公路建设市场监督管理系统</w:t>
            </w:r>
            <w:r>
              <w:rPr>
                <w:rFonts w:hint="eastAsia" w:ascii="宋体" w:hAnsi="宋体" w:eastAsia="宋体" w:cs="宋体"/>
                <w:color w:val="auto"/>
                <w:sz w:val="21"/>
                <w:szCs w:val="21"/>
                <w:highlight w:val="none"/>
              </w:rPr>
              <w:t>、宁夏回族自治区公路建设与养护市场信用信息管理系统”中查询结果为准）</w:t>
            </w:r>
            <w:r>
              <w:rPr>
                <w:rFonts w:hint="eastAsia" w:ascii="宋体" w:hAnsi="宋体" w:eastAsia="宋体" w:cs="宋体"/>
                <w:b w:val="0"/>
                <w:bCs w:val="0"/>
                <w:color w:val="auto"/>
                <w:kern w:val="0"/>
                <w:sz w:val="21"/>
                <w:szCs w:val="21"/>
                <w:highlight w:val="none"/>
                <w:lang w:val="en-US" w:eastAsia="zh-CN"/>
              </w:rPr>
              <w:t>；</w:t>
            </w:r>
          </w:p>
          <w:p w14:paraId="504BB9CD">
            <w:pPr>
              <w:snapToGrid w:val="0"/>
              <w:spacing w:line="240" w:lineRule="auto"/>
              <w:ind w:firstLine="210" w:firstLineChars="1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（2）被责令停业，暂扣或吊销执照，或吊销资质证书；</w:t>
            </w:r>
          </w:p>
          <w:p w14:paraId="785419BF">
            <w:pPr>
              <w:snapToGrid w:val="0"/>
              <w:spacing w:line="240" w:lineRule="auto"/>
              <w:ind w:firstLine="210" w:firstLineChars="1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（3）进入清算程序，或被宣告破产，或其他丧失履约能力的情形；</w:t>
            </w:r>
          </w:p>
          <w:p w14:paraId="442360FD">
            <w:pPr>
              <w:snapToGrid w:val="0"/>
              <w:spacing w:line="240" w:lineRule="auto"/>
              <w:ind w:firstLine="210" w:firstLineChars="1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（4）在国家企业信用信息公示系统（http：//www.gsxt.gov.cn/）中被列入严重违法失信企业名单</w:t>
            </w:r>
            <w:r>
              <w:rPr>
                <w:rFonts w:hint="eastAsia" w:ascii="宋体" w:hAnsi="宋体" w:eastAsia="宋体" w:cs="宋体"/>
                <w:color w:val="auto"/>
                <w:sz w:val="21"/>
                <w:szCs w:val="21"/>
                <w:highlight w:val="none"/>
              </w:rPr>
              <w:t>（附网站查询截图）</w:t>
            </w:r>
            <w:r>
              <w:rPr>
                <w:rFonts w:hint="eastAsia" w:ascii="宋体" w:hAnsi="宋体" w:eastAsia="宋体" w:cs="宋体"/>
                <w:b w:val="0"/>
                <w:bCs w:val="0"/>
                <w:color w:val="auto"/>
                <w:kern w:val="0"/>
                <w:sz w:val="21"/>
                <w:szCs w:val="21"/>
                <w:highlight w:val="none"/>
                <w:lang w:val="en-US" w:eastAsia="zh-CN"/>
              </w:rPr>
              <w:t>；</w:t>
            </w:r>
          </w:p>
          <w:p w14:paraId="04AFDBC7">
            <w:pPr>
              <w:snapToGrid w:val="0"/>
              <w:spacing w:line="240" w:lineRule="auto"/>
              <w:ind w:firstLine="210" w:firstLineChars="1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（5）在“信用中国”网站（http：//www.creditchina.gov.cn）中被列入失信被执行人名单</w:t>
            </w:r>
            <w:r>
              <w:rPr>
                <w:rFonts w:hint="eastAsia" w:ascii="宋体" w:hAnsi="宋体" w:eastAsia="宋体" w:cs="宋体"/>
                <w:color w:val="auto"/>
                <w:sz w:val="21"/>
                <w:szCs w:val="21"/>
                <w:highlight w:val="none"/>
              </w:rPr>
              <w:t>（附网站查询截图）</w:t>
            </w:r>
            <w:r>
              <w:rPr>
                <w:rFonts w:hint="eastAsia" w:ascii="宋体" w:hAnsi="宋体" w:eastAsia="宋体" w:cs="宋体"/>
                <w:b w:val="0"/>
                <w:bCs w:val="0"/>
                <w:color w:val="auto"/>
                <w:kern w:val="0"/>
                <w:sz w:val="21"/>
                <w:szCs w:val="21"/>
                <w:highlight w:val="none"/>
                <w:lang w:val="en-US" w:eastAsia="zh-CN"/>
              </w:rPr>
              <w:t>；</w:t>
            </w:r>
          </w:p>
          <w:p w14:paraId="051D1E53">
            <w:pPr>
              <w:snapToGrid w:val="0"/>
              <w:spacing w:line="240" w:lineRule="auto"/>
              <w:ind w:firstLine="210" w:firstLineChars="1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（6）投标人或其法定代表人、拟委任的项目经理和项目总工在近三年内有行贿犯罪行为的</w:t>
            </w:r>
            <w:r>
              <w:rPr>
                <w:rFonts w:hint="eastAsia" w:ascii="宋体" w:hAnsi="宋体" w:eastAsia="宋体" w:cs="宋体"/>
                <w:color w:val="auto"/>
                <w:sz w:val="21"/>
                <w:szCs w:val="21"/>
                <w:highlight w:val="none"/>
              </w:rPr>
              <w:t>（附承诺函原件）</w:t>
            </w:r>
            <w:r>
              <w:rPr>
                <w:rFonts w:hint="eastAsia" w:ascii="宋体" w:hAnsi="宋体" w:eastAsia="宋体" w:cs="宋体"/>
                <w:b w:val="0"/>
                <w:bCs w:val="0"/>
                <w:color w:val="auto"/>
                <w:kern w:val="0"/>
                <w:sz w:val="21"/>
                <w:szCs w:val="21"/>
                <w:highlight w:val="none"/>
                <w:lang w:val="en-US" w:eastAsia="zh-CN"/>
              </w:rPr>
              <w:t>；</w:t>
            </w:r>
          </w:p>
          <w:p w14:paraId="13BF1056">
            <w:pPr>
              <w:snapToGrid w:val="0"/>
              <w:spacing w:line="240" w:lineRule="auto"/>
              <w:ind w:firstLine="210" w:firstLineChars="1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（7）投标人在投标截止时间前最新的公路建设市场全国综合信用评价结果或宁夏回族自治区公路建设与养护市场从业单位施工企业信用等级评价结果公示中被评为D级</w:t>
            </w:r>
            <w:r>
              <w:rPr>
                <w:rFonts w:hint="eastAsia" w:ascii="宋体" w:hAnsi="宋体" w:eastAsia="宋体" w:cs="宋体"/>
                <w:color w:val="auto"/>
                <w:sz w:val="21"/>
                <w:szCs w:val="21"/>
                <w:highlight w:val="none"/>
              </w:rPr>
              <w:t>（附网站查询截图）</w:t>
            </w:r>
            <w:r>
              <w:rPr>
                <w:rFonts w:hint="eastAsia" w:ascii="宋体" w:hAnsi="宋体" w:eastAsia="宋体" w:cs="宋体"/>
                <w:b w:val="0"/>
                <w:bCs w:val="0"/>
                <w:color w:val="auto"/>
                <w:kern w:val="0"/>
                <w:sz w:val="21"/>
                <w:szCs w:val="21"/>
                <w:highlight w:val="none"/>
                <w:lang w:val="en-US" w:eastAsia="zh-CN"/>
              </w:rPr>
              <w:t>；</w:t>
            </w:r>
          </w:p>
          <w:p w14:paraId="5540F08A">
            <w:pPr>
              <w:spacing w:line="240" w:lineRule="auto"/>
              <w:ind w:firstLine="210" w:firstLineChars="1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（8）法律法规或投标人须知前附表规定的其他情形。</w:t>
            </w:r>
          </w:p>
          <w:p w14:paraId="1575457C">
            <w:pPr>
              <w:spacing w:line="240" w:lineRule="auto"/>
              <w:ind w:firstLine="210" w:firstLineChars="100"/>
              <w:jc w:val="left"/>
              <w:rPr>
                <w:rFonts w:hint="eastAsia" w:ascii="宋体" w:hAnsi="宋体" w:eastAsia="宋体" w:cs="宋体"/>
                <w:b w:val="0"/>
                <w:bCs w:val="0"/>
                <w:color w:val="auto"/>
                <w:kern w:val="0"/>
                <w:sz w:val="21"/>
                <w:szCs w:val="21"/>
                <w:highlight w:val="none"/>
                <w:lang w:val="en-US" w:eastAsia="zh-CN"/>
              </w:rPr>
            </w:pPr>
          </w:p>
          <w:p w14:paraId="04C62E71">
            <w:pPr>
              <w:pStyle w:val="7"/>
              <w:numPr>
                <w:ilvl w:val="0"/>
                <w:numId w:val="0"/>
              </w:numPr>
              <w:snapToGrid w:val="0"/>
              <w:spacing w:line="240" w:lineRule="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投标人提供“投标人信誉情况表”时，按照以上内容及投标文件格式中的要求提供证明资料；</w:t>
            </w:r>
          </w:p>
          <w:p w14:paraId="65CF65BB">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（2）招标文件中其他地方与此处不一致时，以此处为准。</w:t>
            </w:r>
          </w:p>
        </w:tc>
      </w:tr>
    </w:tbl>
    <w:p w14:paraId="64AFF436">
      <w:pPr>
        <w:widowControl w:val="0"/>
        <w:spacing w:before="120" w:after="120" w:line="360" w:lineRule="auto"/>
        <w:jc w:val="center"/>
        <w:rPr>
          <w:rFonts w:hint="eastAsia" w:ascii="宋体" w:hAnsi="宋体" w:eastAsia="宋体" w:cs="宋体"/>
          <w:b/>
          <w:bCs/>
          <w:color w:val="auto"/>
          <w:kern w:val="44"/>
          <w:sz w:val="30"/>
          <w:szCs w:val="30"/>
          <w:highlight w:val="none"/>
          <w:lang w:val="en-US" w:eastAsia="zh-CN" w:bidi="ar-SA"/>
        </w:rPr>
      </w:pPr>
    </w:p>
    <w:p w14:paraId="78C18BAD">
      <w:pPr>
        <w:widowControl w:val="0"/>
        <w:spacing w:before="120" w:after="120" w:line="360" w:lineRule="auto"/>
        <w:jc w:val="center"/>
        <w:rPr>
          <w:rFonts w:hint="eastAsia" w:ascii="宋体" w:hAnsi="宋体" w:eastAsia="宋体" w:cs="宋体"/>
          <w:color w:val="auto"/>
          <w:kern w:val="2"/>
          <w:sz w:val="24"/>
          <w:szCs w:val="24"/>
          <w:highlight w:val="none"/>
          <w:vertAlign w:val="superscript"/>
          <w:lang w:val="en-US" w:eastAsia="zh-CN" w:bidi="ar-SA"/>
        </w:rPr>
      </w:pPr>
      <w:r>
        <w:rPr>
          <w:rFonts w:hint="eastAsia" w:ascii="宋体" w:hAnsi="宋体" w:eastAsia="宋体" w:cs="宋体"/>
          <w:b/>
          <w:bCs/>
          <w:color w:val="auto"/>
          <w:kern w:val="44"/>
          <w:sz w:val="30"/>
          <w:szCs w:val="30"/>
          <w:highlight w:val="none"/>
          <w:lang w:val="en-US" w:eastAsia="zh-CN" w:bidi="ar-SA"/>
        </w:rPr>
        <w:br w:type="page"/>
      </w:r>
      <w:r>
        <w:rPr>
          <w:rFonts w:hint="eastAsia" w:ascii="宋体" w:hAnsi="宋体" w:eastAsia="宋体" w:cs="宋体"/>
          <w:b/>
          <w:bCs/>
          <w:color w:val="auto"/>
          <w:kern w:val="44"/>
          <w:sz w:val="30"/>
          <w:szCs w:val="30"/>
          <w:highlight w:val="none"/>
          <w:lang w:val="en-US" w:eastAsia="zh-CN" w:bidi="ar-SA"/>
        </w:rPr>
        <w:t>附录5  资格审查条件</w:t>
      </w:r>
      <w:r>
        <w:rPr>
          <w:rFonts w:hint="eastAsia" w:ascii="宋体" w:hAnsi="宋体" w:eastAsia="宋体" w:cs="宋体"/>
          <w:b/>
          <w:bCs/>
          <w:color w:val="auto"/>
          <w:sz w:val="30"/>
          <w:szCs w:val="30"/>
          <w:highlight w:val="none"/>
        </w:rPr>
        <w:t>（</w:t>
      </w:r>
      <w:r>
        <w:rPr>
          <w:rFonts w:hint="eastAsia" w:ascii="宋体" w:hAnsi="宋体" w:eastAsia="宋体" w:cs="宋体"/>
          <w:b/>
          <w:bCs/>
          <w:color w:val="auto"/>
          <w:kern w:val="44"/>
          <w:sz w:val="30"/>
          <w:szCs w:val="30"/>
          <w:highlight w:val="none"/>
          <w:lang w:val="en-US" w:eastAsia="zh-CN" w:bidi="ar-SA"/>
        </w:rPr>
        <w:t>项目经理和项目总工最低要求</w:t>
      </w:r>
      <w:r>
        <w:rPr>
          <w:rFonts w:hint="eastAsia" w:ascii="宋体" w:hAnsi="宋体" w:eastAsia="宋体" w:cs="宋体"/>
          <w:b/>
          <w:bCs/>
          <w:color w:val="auto"/>
          <w:sz w:val="30"/>
          <w:szCs w:val="30"/>
          <w:highlight w:val="none"/>
        </w:rPr>
        <w:t>）</w:t>
      </w:r>
    </w:p>
    <w:tbl>
      <w:tblPr>
        <w:tblStyle w:val="4"/>
        <w:tblW w:w="92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4"/>
        <w:gridCol w:w="589"/>
        <w:gridCol w:w="5475"/>
        <w:gridCol w:w="2173"/>
      </w:tblGrid>
      <w:tr w14:paraId="56283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984" w:type="dxa"/>
            <w:tcMar>
              <w:top w:w="57" w:type="dxa"/>
              <w:left w:w="51" w:type="dxa"/>
              <w:bottom w:w="57" w:type="dxa"/>
              <w:right w:w="51" w:type="dxa"/>
            </w:tcMar>
            <w:vAlign w:val="center"/>
          </w:tcPr>
          <w:p w14:paraId="143ADFB3">
            <w:pPr>
              <w:widowControl w:val="0"/>
              <w:ind w:left="0" w:leftChars="0" w:right="0" w:rightChars="0"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人员</w:t>
            </w:r>
          </w:p>
        </w:tc>
        <w:tc>
          <w:tcPr>
            <w:tcW w:w="589" w:type="dxa"/>
            <w:tcMar>
              <w:top w:w="57" w:type="dxa"/>
              <w:left w:w="51" w:type="dxa"/>
              <w:bottom w:w="57" w:type="dxa"/>
              <w:right w:w="51" w:type="dxa"/>
            </w:tcMar>
            <w:vAlign w:val="center"/>
          </w:tcPr>
          <w:p w14:paraId="2723C02F">
            <w:pPr>
              <w:widowControl w:val="0"/>
              <w:ind w:left="0" w:leftChars="0" w:right="0" w:rightChars="0"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数量</w:t>
            </w:r>
          </w:p>
        </w:tc>
        <w:tc>
          <w:tcPr>
            <w:tcW w:w="5475" w:type="dxa"/>
            <w:tcMar>
              <w:top w:w="57" w:type="dxa"/>
              <w:left w:w="51" w:type="dxa"/>
              <w:bottom w:w="57" w:type="dxa"/>
              <w:right w:w="51" w:type="dxa"/>
            </w:tcMar>
            <w:vAlign w:val="center"/>
          </w:tcPr>
          <w:p w14:paraId="10E91D7B">
            <w:pPr>
              <w:widowControl w:val="0"/>
              <w:ind w:left="0" w:leftChars="0" w:right="0" w:rightChars="0"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资格要求</w:t>
            </w:r>
          </w:p>
        </w:tc>
        <w:tc>
          <w:tcPr>
            <w:tcW w:w="2173" w:type="dxa"/>
            <w:tcMar>
              <w:top w:w="57" w:type="dxa"/>
              <w:left w:w="51" w:type="dxa"/>
              <w:bottom w:w="57" w:type="dxa"/>
              <w:right w:w="51" w:type="dxa"/>
            </w:tcMar>
            <w:vAlign w:val="center"/>
          </w:tcPr>
          <w:p w14:paraId="2D665B5A">
            <w:pPr>
              <w:widowControl w:val="0"/>
              <w:ind w:left="0" w:leftChars="0" w:right="0" w:rightChars="0"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在岗要求</w:t>
            </w:r>
          </w:p>
        </w:tc>
      </w:tr>
      <w:tr w14:paraId="45C70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0" w:hRule="atLeast"/>
          <w:jc w:val="center"/>
        </w:trPr>
        <w:tc>
          <w:tcPr>
            <w:tcW w:w="984" w:type="dxa"/>
            <w:tcMar>
              <w:top w:w="57" w:type="dxa"/>
              <w:left w:w="51" w:type="dxa"/>
              <w:bottom w:w="57" w:type="dxa"/>
              <w:right w:w="51" w:type="dxa"/>
            </w:tcMar>
            <w:vAlign w:val="center"/>
          </w:tcPr>
          <w:p w14:paraId="1A604C59">
            <w:pPr>
              <w:widowControl w:val="0"/>
              <w:spacing w:line="240" w:lineRule="auto"/>
              <w:ind w:left="0" w:leftChars="0" w:right="0" w:rightChars="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项目经理</w:t>
            </w:r>
          </w:p>
        </w:tc>
        <w:tc>
          <w:tcPr>
            <w:tcW w:w="589" w:type="dxa"/>
            <w:tcMar>
              <w:top w:w="57" w:type="dxa"/>
              <w:left w:w="51" w:type="dxa"/>
              <w:bottom w:w="57" w:type="dxa"/>
              <w:right w:w="51" w:type="dxa"/>
            </w:tcMar>
            <w:vAlign w:val="center"/>
          </w:tcPr>
          <w:p w14:paraId="7FE0175E">
            <w:pPr>
              <w:widowControl w:val="0"/>
              <w:spacing w:line="24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5475" w:type="dxa"/>
            <w:tcMar>
              <w:top w:w="57" w:type="dxa"/>
              <w:left w:w="51" w:type="dxa"/>
              <w:bottom w:w="57" w:type="dxa"/>
              <w:right w:w="51" w:type="dxa"/>
            </w:tcMar>
            <w:vAlign w:val="center"/>
          </w:tcPr>
          <w:p w14:paraId="3408C0E0">
            <w:pPr>
              <w:snapToGrid w:val="0"/>
              <w:spacing w:line="240" w:lineRule="auto"/>
              <w:ind w:left="0" w:leftChars="0" w:right="0" w:rightChars="0" w:firstLine="0" w:firstLineChars="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kern w:val="0"/>
                <w:sz w:val="21"/>
                <w:szCs w:val="21"/>
                <w:highlight w:val="none"/>
                <w:lang w:val="en-US" w:eastAsia="zh-CN"/>
              </w:rPr>
              <w:t>具有公路工程相关专业中级及以上职称，并具有目前注册在投标人单位的住房和城乡建设部颁发的公路工程专业二级及以上建造师证，持有交通行业主管部门颁发的B类安全生产考核证书，至少完成过1个一级及以上等级公路路面养护工程施工的项目经理职务（或2个项目副经理职务）。</w:t>
            </w:r>
          </w:p>
        </w:tc>
        <w:tc>
          <w:tcPr>
            <w:tcW w:w="2173" w:type="dxa"/>
            <w:vMerge w:val="restart"/>
            <w:tcMar>
              <w:top w:w="57" w:type="dxa"/>
              <w:left w:w="51" w:type="dxa"/>
              <w:bottom w:w="57" w:type="dxa"/>
              <w:right w:w="51" w:type="dxa"/>
            </w:tcMar>
            <w:vAlign w:val="center"/>
          </w:tcPr>
          <w:p w14:paraId="7D592A02">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无在岗项目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指目前未在其</w:t>
            </w:r>
            <w:r>
              <w:rPr>
                <w:rFonts w:hint="eastAsia" w:ascii="宋体" w:hAnsi="宋体" w:eastAsia="宋体" w:cs="宋体"/>
                <w:color w:val="auto"/>
                <w:sz w:val="21"/>
                <w:szCs w:val="21"/>
                <w:highlight w:val="none"/>
                <w:lang w:val="en-US" w:eastAsia="zh-CN"/>
              </w:rPr>
              <w:t>他</w:t>
            </w:r>
            <w:r>
              <w:rPr>
                <w:rFonts w:hint="eastAsia" w:ascii="宋体" w:hAnsi="宋体" w:eastAsia="宋体" w:cs="宋体"/>
                <w:color w:val="auto"/>
                <w:sz w:val="21"/>
                <w:szCs w:val="21"/>
                <w:highlight w:val="none"/>
              </w:rPr>
              <w:t>项目上任职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或虽在其他项目上任职但本项目中标后能够从该项目撤离</w:t>
            </w:r>
            <w:r>
              <w:rPr>
                <w:rFonts w:hint="eastAsia" w:ascii="宋体" w:hAnsi="宋体" w:eastAsia="宋体" w:cs="宋体"/>
                <w:color w:val="auto"/>
                <w:sz w:val="21"/>
                <w:szCs w:val="21"/>
                <w:highlight w:val="none"/>
                <w:lang w:eastAsia="zh-CN"/>
              </w:rPr>
              <w:t>）</w:t>
            </w:r>
          </w:p>
        </w:tc>
      </w:tr>
      <w:tr w14:paraId="3AFC7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84" w:type="dxa"/>
            <w:tcMar>
              <w:top w:w="57" w:type="dxa"/>
              <w:left w:w="51" w:type="dxa"/>
              <w:bottom w:w="57" w:type="dxa"/>
              <w:right w:w="51" w:type="dxa"/>
            </w:tcMar>
            <w:vAlign w:val="center"/>
          </w:tcPr>
          <w:p w14:paraId="166DF0E8">
            <w:pPr>
              <w:widowControl w:val="0"/>
              <w:spacing w:line="240" w:lineRule="auto"/>
              <w:ind w:left="0" w:leftChars="0" w:right="0" w:rightChars="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项目总工</w:t>
            </w:r>
          </w:p>
        </w:tc>
        <w:tc>
          <w:tcPr>
            <w:tcW w:w="589" w:type="dxa"/>
            <w:tcMar>
              <w:top w:w="57" w:type="dxa"/>
              <w:left w:w="51" w:type="dxa"/>
              <w:bottom w:w="57" w:type="dxa"/>
              <w:right w:w="51" w:type="dxa"/>
            </w:tcMar>
            <w:vAlign w:val="center"/>
          </w:tcPr>
          <w:p w14:paraId="084007B8">
            <w:pPr>
              <w:widowControl w:val="0"/>
              <w:spacing w:line="24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5475" w:type="dxa"/>
            <w:tcMar>
              <w:top w:w="57" w:type="dxa"/>
              <w:left w:w="51" w:type="dxa"/>
              <w:bottom w:w="57" w:type="dxa"/>
              <w:right w:w="51" w:type="dxa"/>
            </w:tcMar>
            <w:vAlign w:val="center"/>
          </w:tcPr>
          <w:p w14:paraId="0C40013B">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具有公路工程相关专业中级及以上职称，至少完成过1个一级及以上等级公路路面养护工程施工的项目总工职务（或2个项目副总工职务）。</w:t>
            </w:r>
          </w:p>
        </w:tc>
        <w:tc>
          <w:tcPr>
            <w:tcW w:w="2173" w:type="dxa"/>
            <w:vMerge w:val="continue"/>
            <w:tcMar>
              <w:top w:w="57" w:type="dxa"/>
              <w:left w:w="51" w:type="dxa"/>
              <w:bottom w:w="57" w:type="dxa"/>
              <w:right w:w="51" w:type="dxa"/>
            </w:tcMar>
            <w:vAlign w:val="center"/>
          </w:tcPr>
          <w:p w14:paraId="2937205B">
            <w:pPr>
              <w:widowControl w:val="0"/>
              <w:jc w:val="both"/>
              <w:rPr>
                <w:rFonts w:hint="eastAsia" w:ascii="宋体" w:hAnsi="宋体" w:eastAsia="宋体" w:cs="宋体"/>
                <w:color w:val="auto"/>
                <w:kern w:val="2"/>
                <w:sz w:val="21"/>
                <w:szCs w:val="21"/>
                <w:highlight w:val="none"/>
                <w:lang w:val="en-US" w:eastAsia="zh-CN" w:bidi="ar-SA"/>
              </w:rPr>
            </w:pPr>
          </w:p>
        </w:tc>
      </w:tr>
      <w:tr w14:paraId="248EA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9221" w:type="dxa"/>
            <w:gridSpan w:val="4"/>
            <w:tcMar>
              <w:top w:w="57" w:type="dxa"/>
              <w:left w:w="51" w:type="dxa"/>
              <w:bottom w:w="57" w:type="dxa"/>
              <w:right w:w="51" w:type="dxa"/>
            </w:tcMar>
            <w:vAlign w:val="center"/>
          </w:tcPr>
          <w:p w14:paraId="2FE78D6E">
            <w:pPr>
              <w:widowControl w:val="0"/>
              <w:snapToGrid w:val="0"/>
              <w:spacing w:line="240" w:lineRule="auto"/>
              <w:ind w:left="560" w:left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注：</w:t>
            </w:r>
          </w:p>
          <w:p w14:paraId="18153F78">
            <w:pPr>
              <w:widowControl w:val="0"/>
              <w:snapToGrid w:val="0"/>
              <w:spacing w:line="240" w:lineRule="auto"/>
              <w:ind w:left="560" w:leftChars="20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补充投标人须知正文第3.5.5项：</w:t>
            </w:r>
          </w:p>
          <w:p w14:paraId="17833EE0">
            <w:pPr>
              <w:widowControl w:val="0"/>
              <w:numPr>
                <w:ilvl w:val="0"/>
                <w:numId w:val="0"/>
              </w:numPr>
              <w:adjustRightInd w:val="0"/>
              <w:snapToGrid w:val="0"/>
              <w:spacing w:line="240" w:lineRule="auto"/>
              <w:ind w:firstLine="420" w:firstLineChars="20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（1）投标人应按资格审查资料表（六）拟委任的项目经理和项目总工资历表的格式要求分别填</w:t>
            </w:r>
          </w:p>
          <w:p w14:paraId="41E21CD0">
            <w:pPr>
              <w:widowControl w:val="0"/>
              <w:numPr>
                <w:ilvl w:val="0"/>
                <w:numId w:val="0"/>
              </w:numPr>
              <w:adjustRightInd w:val="0"/>
              <w:snapToGrid w:val="0"/>
              <w:spacing w:line="24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写项目经理和项目总工的资历，还应后附相关资格证明材料的扫描件。</w:t>
            </w:r>
          </w:p>
          <w:p w14:paraId="3233BCF3">
            <w:pPr>
              <w:widowControl w:val="0"/>
              <w:numPr>
                <w:ilvl w:val="0"/>
                <w:numId w:val="0"/>
              </w:numPr>
              <w:adjustRightInd w:val="0"/>
              <w:snapToGrid w:val="0"/>
              <w:spacing w:line="240" w:lineRule="auto"/>
              <w:ind w:firstLine="420" w:firstLineChars="20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项目经理须提供的资格证明材料：身份证、职称资格证书、建造师注册证书、B类安全生产考核合格证书、建造师注册证书及B类安全生产考核合格证书在政府相关部门网站上公开信息的网页截图以及在社保系统打印的拟委任的项目经理2025年9月至今任意连续3个月的缴费明细扫描件、人员相关业绩的网页截图、在岗撤离承诺书（如需）。</w:t>
            </w:r>
          </w:p>
          <w:p w14:paraId="2E9AA16F">
            <w:pPr>
              <w:widowControl w:val="0"/>
              <w:numPr>
                <w:ilvl w:val="0"/>
                <w:numId w:val="0"/>
              </w:numPr>
              <w:adjustRightInd w:val="0"/>
              <w:snapToGrid w:val="0"/>
              <w:spacing w:line="240" w:lineRule="auto"/>
              <w:ind w:firstLine="420" w:firstLineChars="20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（2）项目总工须提供的资格证明材料：身份证、职称资格证书以及在社保系统打印的拟委任的项目总工2025年9月至今任意连续3个月的缴费明细扫描件、相关业绩的网页截图、在岗撤离承诺书（如需）。</w:t>
            </w:r>
          </w:p>
          <w:p w14:paraId="4BC7C668">
            <w:pPr>
              <w:widowControl w:val="0"/>
              <w:numPr>
                <w:ilvl w:val="0"/>
                <w:numId w:val="0"/>
              </w:numPr>
              <w:adjustRightInd w:val="0"/>
              <w:snapToGrid w:val="0"/>
              <w:spacing w:line="240" w:lineRule="auto"/>
              <w:ind w:firstLine="420" w:firstLineChars="20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项目经理和项目总工其他要求：必须是在投标人单位参加社会保险的全日制从业人员；注册建造师证书注册的单位必须为投标人，社保缴费单位与投标人名称必须一致；所有证件需清楚的反映有效期、年检情况及单位变更情况信息（如有）；所附人员的各类证书、证照以及各种证明材料中该人员的姓名应完全一致（除曾用名）。</w:t>
            </w:r>
          </w:p>
          <w:p w14:paraId="56883E1E">
            <w:pPr>
              <w:widowControl w:val="0"/>
              <w:numPr>
                <w:ilvl w:val="0"/>
                <w:numId w:val="0"/>
              </w:numPr>
              <w:adjustRightInd w:val="0"/>
              <w:snapToGrid w:val="0"/>
              <w:spacing w:line="240" w:lineRule="auto"/>
              <w:ind w:firstLine="420" w:firstLineChars="20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人员相关业绩的网页截图要求：“拟委任的项目经理和项目总工资历表”还应附“全国公路建设市场监督管理系统”中载明的、能够证明项目经理和项目总工具有相关业绩的网页截图。在“全国公路建设市场监督管理系统”中无法查询，但可在工程所在地省级交通运输主管部门公路建设与养护市场信用信息管理系统中查询的，应附工程所在地省级交通运输主管部门公路建设与养护市场信用信息管理系统中查询到的网页截图。除网页截图外，投标人无须再提供任何业绩证明资料。除网页截图外，其余业绩材料体现的但系统网站中未载明的信息在评审时均不予采信。</w:t>
            </w:r>
          </w:p>
          <w:p w14:paraId="5D44C1E4">
            <w:pPr>
              <w:pStyle w:val="7"/>
              <w:numPr>
                <w:ilvl w:val="0"/>
                <w:numId w:val="0"/>
              </w:numPr>
              <w:adjustRightInd w:val="0"/>
              <w:snapToGrid w:val="0"/>
              <w:ind w:firstLine="420" w:firstLineChars="20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（5）如投标人未提供相关项目网页截图或相关项目网页截图中的信息无法证实投标人满足招标文件规定的资格审查条件（项目经理和项目总工最低要求），则该项目业绩不予认定。</w:t>
            </w:r>
          </w:p>
          <w:p w14:paraId="5B7B49A7">
            <w:pPr>
              <w:pStyle w:val="8"/>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（6）如项目经理目前仍在其他项目上任职，则投标人应出具上述人员能够从该项目撤离的承诺书。</w:t>
            </w:r>
          </w:p>
          <w:p w14:paraId="7E645D3B">
            <w:pPr>
              <w:numPr>
                <w:ilvl w:val="0"/>
                <w:numId w:val="0"/>
              </w:numPr>
              <w:spacing w:line="240" w:lineRule="auto"/>
              <w:ind w:firstLine="420" w:firstLineChars="20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（7）公路工程相关专业职称包括：公路工程、桥梁工程、公路与桥梁工程、交通土建工程、隧道（地下结构）工程、交通工程、交通运输等相关公路工程专业职称。</w:t>
            </w:r>
          </w:p>
          <w:p w14:paraId="760489A9">
            <w:pPr>
              <w:numPr>
                <w:ilvl w:val="0"/>
                <w:numId w:val="0"/>
              </w:numPr>
              <w:spacing w:line="240" w:lineRule="auto"/>
              <w:ind w:firstLine="420" w:firstLineChars="20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8）在评审过程中招标人将通过网上核实投标人所提供的网页截图的内容、建造师注册证书、B类安全生产考核合格证书等相关信息，核实后如发现投标人提供的网页截图、信息与招标人核实的内容不一致的，或投标人提供虚假截屏信息的，招标人将视为该投标文件不符合招标文件的规定，在资格评审中不予通过。</w:t>
            </w:r>
          </w:p>
          <w:p w14:paraId="796E277A">
            <w:pPr>
              <w:numPr>
                <w:ilvl w:val="0"/>
                <w:numId w:val="0"/>
              </w:numPr>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SA"/>
              </w:rPr>
              <w:t>（9）投标人对投标文件中拟委任的项目经理、项目总工是否在岗必须如实填报，在评标过程中或公示期间，若招标人收到有关反映投标人项目经理、项目总工有在岗项目的投诉，招标人一经查实将认定为失信投标行为（如中标同时取消其中标资格），并依据《宁夏回族自治区公路建设与养护市场信用评价管理办法》（宁交规发〔2024〕1号）文件对投标人本次投标行为进行评价，同时将评价结果上报宁夏回族自治区交通运输厅，并在宁夏回族自治区交通运输厅网站予以公布。</w:t>
            </w:r>
          </w:p>
          <w:p w14:paraId="1E11BDB9">
            <w:pPr>
              <w:widowControl w:val="0"/>
              <w:spacing w:line="240" w:lineRule="auto"/>
              <w:ind w:firstLine="422"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(10)招标文件中其他地方与此处不一致时，以此处为准。</w:t>
            </w:r>
          </w:p>
        </w:tc>
      </w:tr>
    </w:tbl>
    <w:p w14:paraId="7B5A5FDE">
      <w:pPr>
        <w:rPr>
          <w:rFonts w:hint="eastAsia" w:ascii="宋体" w:hAnsi="宋体" w:eastAsia="宋体" w:cs="宋体"/>
          <w:color w:val="auto"/>
        </w:rPr>
      </w:pPr>
      <w:r>
        <w:rPr>
          <w:rFonts w:hint="eastAsia" w:ascii="宋体" w:hAnsi="宋体" w:eastAsia="宋体" w:cs="宋体"/>
          <w:b/>
          <w:bCs/>
          <w:color w:val="auto"/>
          <w:sz w:val="21"/>
          <w:szCs w:val="21"/>
          <w:highlight w:val="none"/>
        </w:rPr>
        <w:br w:type="page"/>
      </w:r>
      <w:bookmarkStart w:id="7" w:name="_GoBack"/>
      <w:bookmarkEnd w:id="7"/>
    </w:p>
    <w:p w14:paraId="77B84346">
      <w:pPr>
        <w:keepNext w:val="0"/>
        <w:keepLines w:val="0"/>
        <w:widowControl/>
        <w:suppressLineNumbers w:val="0"/>
        <w:spacing w:line="360" w:lineRule="auto"/>
        <w:ind w:left="0" w:leftChars="0" w:right="0" w:rightChars="0" w:firstLine="0" w:firstLineChars="0"/>
        <w:jc w:val="center"/>
        <w:rPr>
          <w:rFonts w:hint="eastAsia" w:ascii="宋体" w:hAnsi="宋体" w:eastAsia="宋体" w:cs="宋体"/>
          <w:b/>
          <w:bCs/>
          <w:color w:val="auto"/>
          <w:kern w:val="44"/>
          <w:sz w:val="30"/>
          <w:szCs w:val="30"/>
          <w:highlight w:val="none"/>
          <w:lang w:val="en-US" w:eastAsia="zh-CN" w:bidi="ar-SA"/>
        </w:rPr>
      </w:pPr>
      <w:r>
        <w:rPr>
          <w:rFonts w:hint="eastAsia" w:ascii="宋体" w:hAnsi="宋体" w:eastAsia="宋体" w:cs="宋体"/>
          <w:b/>
          <w:bCs/>
          <w:color w:val="auto"/>
          <w:kern w:val="44"/>
          <w:sz w:val="30"/>
          <w:szCs w:val="30"/>
          <w:highlight w:val="none"/>
          <w:lang w:val="en-US" w:eastAsia="zh-CN" w:bidi="ar-SA"/>
        </w:rPr>
        <w:t>附录6  资格审查条件（其他管理和技术人员最低要求）</w:t>
      </w:r>
    </w:p>
    <w:tbl>
      <w:tblPr>
        <w:tblStyle w:val="5"/>
        <w:tblW w:w="9678"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6"/>
        <w:gridCol w:w="630"/>
        <w:gridCol w:w="356"/>
        <w:gridCol w:w="6586"/>
      </w:tblGrid>
      <w:tr w14:paraId="7CBC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2106" w:type="dxa"/>
            <w:noWrap w:val="0"/>
            <w:vAlign w:val="center"/>
          </w:tcPr>
          <w:p w14:paraId="19CF1FA8">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人员</w:t>
            </w:r>
          </w:p>
        </w:tc>
        <w:tc>
          <w:tcPr>
            <w:tcW w:w="986" w:type="dxa"/>
            <w:gridSpan w:val="2"/>
            <w:noWrap w:val="0"/>
            <w:vAlign w:val="center"/>
          </w:tcPr>
          <w:p w14:paraId="0D0947F3">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数量</w:t>
            </w:r>
          </w:p>
        </w:tc>
        <w:tc>
          <w:tcPr>
            <w:tcW w:w="6586" w:type="dxa"/>
            <w:noWrap w:val="0"/>
            <w:vAlign w:val="center"/>
          </w:tcPr>
          <w:p w14:paraId="1B2B41DC">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资格要求</w:t>
            </w:r>
          </w:p>
        </w:tc>
      </w:tr>
      <w:tr w14:paraId="19FB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106" w:type="dxa"/>
            <w:noWrap w:val="0"/>
            <w:vAlign w:val="center"/>
          </w:tcPr>
          <w:p w14:paraId="4B9000FE">
            <w:pPr>
              <w:widowControl/>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rPr>
              <w:t>路面工程师</w:t>
            </w:r>
          </w:p>
        </w:tc>
        <w:tc>
          <w:tcPr>
            <w:tcW w:w="986" w:type="dxa"/>
            <w:gridSpan w:val="2"/>
            <w:noWrap w:val="0"/>
            <w:vAlign w:val="center"/>
          </w:tcPr>
          <w:p w14:paraId="25CB5B1A">
            <w:pPr>
              <w:widowControl/>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w:t>
            </w:r>
          </w:p>
        </w:tc>
        <w:tc>
          <w:tcPr>
            <w:tcW w:w="6586" w:type="dxa"/>
            <w:noWrap w:val="0"/>
            <w:vAlign w:val="center"/>
          </w:tcPr>
          <w:p w14:paraId="23E74AC7">
            <w:pPr>
              <w:widowControl/>
              <w:spacing w:line="240" w:lineRule="auto"/>
              <w:ind w:left="0" w:leftChars="0" w:firstLine="0" w:firstLineChars="0"/>
              <w:jc w:val="left"/>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rPr>
              <w:t>公路工程相关专业中级及以上职称，从事类似工作3年。至少担任过1</w:t>
            </w:r>
            <w:r>
              <w:rPr>
                <w:rFonts w:hint="eastAsia" w:ascii="宋体" w:hAnsi="宋体" w:eastAsia="宋体" w:cs="宋体"/>
                <w:color w:val="auto"/>
                <w:sz w:val="21"/>
                <w:szCs w:val="21"/>
                <w:highlight w:val="none"/>
                <w:lang w:eastAsia="zh-CN"/>
              </w:rPr>
              <w:t>个</w:t>
            </w:r>
            <w:r>
              <w:rPr>
                <w:rFonts w:hint="eastAsia" w:ascii="宋体" w:hAnsi="宋体" w:eastAsia="宋体" w:cs="宋体"/>
                <w:color w:val="auto"/>
                <w:sz w:val="21"/>
                <w:szCs w:val="21"/>
                <w:highlight w:val="none"/>
                <w:lang w:val="en-US" w:eastAsia="zh-CN"/>
              </w:rPr>
              <w:t>公路路面</w:t>
            </w:r>
            <w:r>
              <w:rPr>
                <w:rFonts w:hint="eastAsia" w:ascii="宋体" w:hAnsi="宋体" w:eastAsia="宋体" w:cs="宋体"/>
                <w:color w:val="auto"/>
                <w:sz w:val="21"/>
                <w:szCs w:val="21"/>
                <w:highlight w:val="none"/>
              </w:rPr>
              <w:t>养护工程施工项目的路面工程师。</w:t>
            </w:r>
          </w:p>
        </w:tc>
      </w:tr>
      <w:tr w14:paraId="083A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106" w:type="dxa"/>
            <w:noWrap w:val="0"/>
            <w:vAlign w:val="center"/>
          </w:tcPr>
          <w:p w14:paraId="7BF35050">
            <w:pPr>
              <w:widowControl/>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路基工程师</w:t>
            </w:r>
          </w:p>
        </w:tc>
        <w:tc>
          <w:tcPr>
            <w:tcW w:w="986" w:type="dxa"/>
            <w:gridSpan w:val="2"/>
            <w:noWrap w:val="0"/>
            <w:vAlign w:val="center"/>
          </w:tcPr>
          <w:p w14:paraId="6773A063">
            <w:pPr>
              <w:widowControl/>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w:t>
            </w:r>
          </w:p>
        </w:tc>
        <w:tc>
          <w:tcPr>
            <w:tcW w:w="6586" w:type="dxa"/>
            <w:noWrap w:val="0"/>
            <w:vAlign w:val="center"/>
          </w:tcPr>
          <w:p w14:paraId="63FE2474">
            <w:pPr>
              <w:widowControl/>
              <w:spacing w:line="240" w:lineRule="auto"/>
              <w:jc w:val="left"/>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rPr>
              <w:t>公路工程相关专业中级及以上职称，从事类似工作3年。至少担任过1</w:t>
            </w:r>
            <w:r>
              <w:rPr>
                <w:rFonts w:hint="eastAsia" w:ascii="宋体" w:hAnsi="宋体" w:eastAsia="宋体" w:cs="宋体"/>
                <w:color w:val="auto"/>
                <w:sz w:val="21"/>
                <w:szCs w:val="21"/>
                <w:highlight w:val="none"/>
                <w:lang w:eastAsia="zh-CN"/>
              </w:rPr>
              <w:t>个</w:t>
            </w:r>
            <w:r>
              <w:rPr>
                <w:rFonts w:hint="eastAsia" w:ascii="宋体" w:hAnsi="宋体" w:eastAsia="宋体" w:cs="宋体"/>
                <w:color w:val="auto"/>
                <w:sz w:val="21"/>
                <w:szCs w:val="21"/>
                <w:highlight w:val="none"/>
                <w:lang w:val="en-US" w:eastAsia="zh-CN"/>
              </w:rPr>
              <w:t>公路路基</w:t>
            </w:r>
            <w:r>
              <w:rPr>
                <w:rFonts w:hint="eastAsia" w:ascii="宋体" w:hAnsi="宋体" w:eastAsia="宋体" w:cs="宋体"/>
                <w:color w:val="auto"/>
                <w:sz w:val="21"/>
                <w:szCs w:val="21"/>
                <w:highlight w:val="none"/>
              </w:rPr>
              <w:t>养护工程施工项目的路</w:t>
            </w:r>
            <w:r>
              <w:rPr>
                <w:rFonts w:hint="eastAsia" w:ascii="宋体" w:hAnsi="宋体" w:eastAsia="宋体" w:cs="宋体"/>
                <w:color w:val="auto"/>
                <w:sz w:val="21"/>
                <w:szCs w:val="21"/>
                <w:highlight w:val="none"/>
                <w:lang w:val="en-US" w:eastAsia="zh-CN"/>
              </w:rPr>
              <w:t>基</w:t>
            </w:r>
            <w:r>
              <w:rPr>
                <w:rFonts w:hint="eastAsia" w:ascii="宋体" w:hAnsi="宋体" w:eastAsia="宋体" w:cs="宋体"/>
                <w:color w:val="auto"/>
                <w:sz w:val="21"/>
                <w:szCs w:val="21"/>
                <w:highlight w:val="none"/>
              </w:rPr>
              <w:t>工程师。</w:t>
            </w:r>
          </w:p>
        </w:tc>
      </w:tr>
      <w:tr w14:paraId="2BF8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106" w:type="dxa"/>
            <w:noWrap w:val="0"/>
            <w:vAlign w:val="center"/>
          </w:tcPr>
          <w:p w14:paraId="567568A1">
            <w:pPr>
              <w:widowControl/>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交通安全设施</w:t>
            </w:r>
          </w:p>
          <w:p w14:paraId="6235705B">
            <w:pPr>
              <w:widowControl/>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rPr>
              <w:t>工程师</w:t>
            </w:r>
          </w:p>
        </w:tc>
        <w:tc>
          <w:tcPr>
            <w:tcW w:w="986" w:type="dxa"/>
            <w:gridSpan w:val="2"/>
            <w:noWrap w:val="0"/>
            <w:vAlign w:val="center"/>
          </w:tcPr>
          <w:p w14:paraId="7E6B4EA6">
            <w:pPr>
              <w:widowControl/>
              <w:spacing w:line="240" w:lineRule="auto"/>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rPr>
              <w:t>1</w:t>
            </w:r>
          </w:p>
        </w:tc>
        <w:tc>
          <w:tcPr>
            <w:tcW w:w="6586" w:type="dxa"/>
            <w:noWrap w:val="0"/>
            <w:vAlign w:val="center"/>
          </w:tcPr>
          <w:p w14:paraId="5F0EB92D">
            <w:pPr>
              <w:widowControl/>
              <w:spacing w:line="240" w:lineRule="auto"/>
              <w:jc w:val="left"/>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rPr>
              <w:t>公路工程相关专业中级及以上职称，从事类似工作3年。至少担任过1</w:t>
            </w:r>
            <w:r>
              <w:rPr>
                <w:rFonts w:hint="eastAsia" w:ascii="宋体" w:hAnsi="宋体" w:eastAsia="宋体" w:cs="宋体"/>
                <w:color w:val="auto"/>
                <w:sz w:val="21"/>
                <w:szCs w:val="21"/>
                <w:highlight w:val="none"/>
                <w:lang w:eastAsia="zh-CN"/>
              </w:rPr>
              <w:t>个</w:t>
            </w:r>
            <w:r>
              <w:rPr>
                <w:rFonts w:hint="eastAsia" w:ascii="宋体" w:hAnsi="宋体" w:eastAsia="宋体" w:cs="宋体"/>
                <w:color w:val="auto"/>
                <w:sz w:val="21"/>
                <w:szCs w:val="21"/>
                <w:highlight w:val="none"/>
                <w:lang w:val="en-US" w:eastAsia="zh-CN"/>
              </w:rPr>
              <w:t>公路养护</w:t>
            </w:r>
            <w:r>
              <w:rPr>
                <w:rFonts w:hint="eastAsia" w:ascii="宋体" w:hAnsi="宋体" w:eastAsia="宋体" w:cs="宋体"/>
                <w:color w:val="auto"/>
                <w:sz w:val="21"/>
                <w:szCs w:val="21"/>
                <w:highlight w:val="none"/>
              </w:rPr>
              <w:t>工程施工项目的交通安全设施工程师。</w:t>
            </w:r>
          </w:p>
        </w:tc>
      </w:tr>
      <w:tr w14:paraId="363D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06" w:type="dxa"/>
            <w:noWrap w:val="0"/>
            <w:vAlign w:val="center"/>
          </w:tcPr>
          <w:p w14:paraId="57A60233">
            <w:pPr>
              <w:widowControl/>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lang w:eastAsia="zh-CN"/>
              </w:rPr>
              <w:t>试验检测工程师</w:t>
            </w:r>
          </w:p>
        </w:tc>
        <w:tc>
          <w:tcPr>
            <w:tcW w:w="986" w:type="dxa"/>
            <w:gridSpan w:val="2"/>
            <w:noWrap w:val="0"/>
            <w:vAlign w:val="center"/>
          </w:tcPr>
          <w:p w14:paraId="3216B6ED">
            <w:pPr>
              <w:widowControl/>
              <w:spacing w:line="240" w:lineRule="auto"/>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1</w:t>
            </w:r>
          </w:p>
        </w:tc>
        <w:tc>
          <w:tcPr>
            <w:tcW w:w="6586" w:type="dxa"/>
            <w:noWrap w:val="0"/>
            <w:vAlign w:val="center"/>
          </w:tcPr>
          <w:p w14:paraId="130FBAA5">
            <w:pPr>
              <w:widowControl/>
              <w:spacing w:line="240" w:lineRule="auto"/>
              <w:jc w:val="left"/>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rPr>
              <w:t>公路工程相关专业工程师及以上，从事公路工程施工3年及以上，持有交通运输部或人力资源与社会保障部颁发的试验检测工程师证书。至少担任过1</w:t>
            </w:r>
            <w:r>
              <w:rPr>
                <w:rFonts w:hint="eastAsia" w:ascii="宋体" w:hAnsi="宋体" w:eastAsia="宋体" w:cs="宋体"/>
                <w:color w:val="auto"/>
                <w:sz w:val="21"/>
                <w:szCs w:val="21"/>
                <w:highlight w:val="none"/>
                <w:lang w:eastAsia="zh-CN"/>
              </w:rPr>
              <w:t>个</w:t>
            </w:r>
            <w:r>
              <w:rPr>
                <w:rFonts w:hint="eastAsia" w:ascii="宋体" w:hAnsi="宋体" w:eastAsia="宋体" w:cs="宋体"/>
                <w:color w:val="auto"/>
                <w:sz w:val="21"/>
                <w:szCs w:val="21"/>
                <w:highlight w:val="none"/>
              </w:rPr>
              <w:t>公路养护工程施工的试验检测工程师。</w:t>
            </w:r>
          </w:p>
        </w:tc>
      </w:tr>
      <w:tr w14:paraId="3F5D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06" w:type="dxa"/>
            <w:noWrap w:val="0"/>
            <w:vAlign w:val="center"/>
          </w:tcPr>
          <w:p w14:paraId="084B4BC0">
            <w:pPr>
              <w:widowControl/>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rPr>
              <w:t>质检工程师</w:t>
            </w:r>
          </w:p>
        </w:tc>
        <w:tc>
          <w:tcPr>
            <w:tcW w:w="986" w:type="dxa"/>
            <w:gridSpan w:val="2"/>
            <w:noWrap w:val="0"/>
            <w:vAlign w:val="center"/>
          </w:tcPr>
          <w:p w14:paraId="08DE1C77">
            <w:pPr>
              <w:widowControl/>
              <w:spacing w:line="240" w:lineRule="auto"/>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rPr>
              <w:t>1</w:t>
            </w:r>
          </w:p>
        </w:tc>
        <w:tc>
          <w:tcPr>
            <w:tcW w:w="6586" w:type="dxa"/>
            <w:noWrap w:val="0"/>
            <w:vAlign w:val="center"/>
          </w:tcPr>
          <w:p w14:paraId="30B471FF">
            <w:pPr>
              <w:widowControl/>
              <w:spacing w:line="240" w:lineRule="auto"/>
              <w:jc w:val="left"/>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rPr>
              <w:t>公路工程相关专业中级及以上职称，从事类似工作3年，至少担任过1个</w:t>
            </w:r>
            <w:r>
              <w:rPr>
                <w:rFonts w:hint="eastAsia" w:ascii="宋体" w:hAnsi="宋体" w:eastAsia="宋体" w:cs="宋体"/>
                <w:color w:val="auto"/>
                <w:sz w:val="21"/>
                <w:szCs w:val="21"/>
                <w:highlight w:val="none"/>
                <w:lang w:val="en-US" w:eastAsia="zh-CN"/>
              </w:rPr>
              <w:t>公路养护</w:t>
            </w:r>
            <w:r>
              <w:rPr>
                <w:rFonts w:hint="eastAsia" w:ascii="宋体" w:hAnsi="宋体" w:eastAsia="宋体" w:cs="宋体"/>
                <w:color w:val="auto"/>
                <w:sz w:val="21"/>
                <w:szCs w:val="21"/>
                <w:highlight w:val="none"/>
              </w:rPr>
              <w:t>工程项目的质检工程师。</w:t>
            </w:r>
          </w:p>
        </w:tc>
      </w:tr>
      <w:tr w14:paraId="7523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106" w:type="dxa"/>
            <w:noWrap w:val="0"/>
            <w:vAlign w:val="center"/>
          </w:tcPr>
          <w:p w14:paraId="31E160F2">
            <w:pPr>
              <w:widowControl/>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安全工程师</w:t>
            </w:r>
          </w:p>
        </w:tc>
        <w:tc>
          <w:tcPr>
            <w:tcW w:w="986" w:type="dxa"/>
            <w:gridSpan w:val="2"/>
            <w:noWrap w:val="0"/>
            <w:vAlign w:val="center"/>
          </w:tcPr>
          <w:p w14:paraId="31A36C6E">
            <w:pPr>
              <w:widowControl/>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w:t>
            </w:r>
          </w:p>
        </w:tc>
        <w:tc>
          <w:tcPr>
            <w:tcW w:w="6586" w:type="dxa"/>
            <w:noWrap w:val="0"/>
            <w:vAlign w:val="top"/>
          </w:tcPr>
          <w:p w14:paraId="592F0CC0">
            <w:pPr>
              <w:widowControl/>
              <w:spacing w:line="240" w:lineRule="auto"/>
              <w:jc w:val="left"/>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公路工程相关专业中级及以上职称，具有B类安全生产考核证书且在有效期内，从事类似工作3年，至少担任过1个公路养护工程施工的安全工程师或安全负责人。</w:t>
            </w:r>
          </w:p>
        </w:tc>
      </w:tr>
      <w:tr w14:paraId="717A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2106" w:type="dxa"/>
            <w:noWrap w:val="0"/>
            <w:vAlign w:val="center"/>
          </w:tcPr>
          <w:p w14:paraId="481A0D57">
            <w:pPr>
              <w:widowControl/>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测量工程师</w:t>
            </w:r>
          </w:p>
        </w:tc>
        <w:tc>
          <w:tcPr>
            <w:tcW w:w="986" w:type="dxa"/>
            <w:gridSpan w:val="2"/>
            <w:noWrap w:val="0"/>
            <w:vAlign w:val="center"/>
          </w:tcPr>
          <w:p w14:paraId="630A4A08">
            <w:pPr>
              <w:widowControl/>
              <w:spacing w:line="240" w:lineRule="auto"/>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1</w:t>
            </w:r>
          </w:p>
        </w:tc>
        <w:tc>
          <w:tcPr>
            <w:tcW w:w="6586" w:type="dxa"/>
            <w:noWrap w:val="0"/>
            <w:vAlign w:val="top"/>
          </w:tcPr>
          <w:p w14:paraId="63757CDE">
            <w:pPr>
              <w:widowControl/>
              <w:spacing w:line="240" w:lineRule="auto"/>
              <w:jc w:val="both"/>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公路工程相关专业中级及以上职称，从事类似工作3年，至少担任过1个公路养护工程施工的测量工程师。</w:t>
            </w:r>
          </w:p>
        </w:tc>
      </w:tr>
      <w:tr w14:paraId="2246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2106" w:type="dxa"/>
            <w:noWrap w:val="0"/>
            <w:vAlign w:val="center"/>
          </w:tcPr>
          <w:p w14:paraId="339D0055">
            <w:pPr>
              <w:widowControl/>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rPr>
              <w:t>专职安全员</w:t>
            </w:r>
          </w:p>
        </w:tc>
        <w:tc>
          <w:tcPr>
            <w:tcW w:w="986" w:type="dxa"/>
            <w:gridSpan w:val="2"/>
            <w:noWrap w:val="0"/>
            <w:vAlign w:val="center"/>
          </w:tcPr>
          <w:p w14:paraId="42425ED4">
            <w:pPr>
              <w:widowControl/>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color w:val="auto"/>
                <w:sz w:val="21"/>
                <w:szCs w:val="21"/>
                <w:highlight w:val="none"/>
                <w:lang w:val="en-US" w:eastAsia="zh-CN"/>
              </w:rPr>
              <w:t>3</w:t>
            </w:r>
          </w:p>
        </w:tc>
        <w:tc>
          <w:tcPr>
            <w:tcW w:w="6586" w:type="dxa"/>
            <w:noWrap w:val="0"/>
            <w:vAlign w:val="center"/>
          </w:tcPr>
          <w:p w14:paraId="0148996B">
            <w:pPr>
              <w:widowControl/>
              <w:spacing w:line="240" w:lineRule="auto"/>
              <w:jc w:val="left"/>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rPr>
              <w:t>公路工程相关专业初级及以上职称，具有安全生产C类证书，从事类似工作3年,至少担任过1个</w:t>
            </w:r>
            <w:r>
              <w:rPr>
                <w:rFonts w:hint="eastAsia" w:ascii="宋体" w:hAnsi="宋体" w:eastAsia="宋体" w:cs="宋体"/>
                <w:color w:val="auto"/>
                <w:sz w:val="21"/>
                <w:szCs w:val="21"/>
                <w:highlight w:val="none"/>
                <w:lang w:val="en-US" w:eastAsia="zh-CN"/>
              </w:rPr>
              <w:t>公路养护</w:t>
            </w:r>
            <w:r>
              <w:rPr>
                <w:rFonts w:hint="eastAsia" w:ascii="宋体" w:hAnsi="宋体" w:eastAsia="宋体" w:cs="宋体"/>
                <w:color w:val="auto"/>
                <w:sz w:val="21"/>
                <w:szCs w:val="21"/>
                <w:highlight w:val="none"/>
              </w:rPr>
              <w:t>工程的专职安全员。</w:t>
            </w:r>
          </w:p>
        </w:tc>
      </w:tr>
      <w:tr w14:paraId="4475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2106" w:type="dxa"/>
            <w:noWrap w:val="0"/>
            <w:vAlign w:val="center"/>
          </w:tcPr>
          <w:p w14:paraId="3561D31A">
            <w:pPr>
              <w:widowControl/>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rPr>
              <w:t>农民工劳资专员</w:t>
            </w:r>
          </w:p>
        </w:tc>
        <w:tc>
          <w:tcPr>
            <w:tcW w:w="986" w:type="dxa"/>
            <w:gridSpan w:val="2"/>
            <w:noWrap w:val="0"/>
            <w:vAlign w:val="center"/>
          </w:tcPr>
          <w:p w14:paraId="51A0DC3A">
            <w:pPr>
              <w:widowControl/>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rPr>
              <w:t>1</w:t>
            </w:r>
          </w:p>
        </w:tc>
        <w:tc>
          <w:tcPr>
            <w:tcW w:w="6586" w:type="dxa"/>
            <w:noWrap w:val="0"/>
            <w:vAlign w:val="center"/>
          </w:tcPr>
          <w:p w14:paraId="3A8C2ECD">
            <w:pPr>
              <w:widowControl/>
              <w:spacing w:line="240" w:lineRule="auto"/>
              <w:jc w:val="left"/>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rPr>
              <w:t>公路工程相关专业初级及以上职称，从事类似工作3年。</w:t>
            </w:r>
          </w:p>
        </w:tc>
      </w:tr>
      <w:tr w14:paraId="2A60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2106" w:type="dxa"/>
            <w:noWrap w:val="0"/>
            <w:vAlign w:val="center"/>
          </w:tcPr>
          <w:p w14:paraId="20BB1F76">
            <w:pPr>
              <w:widowControl/>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lang w:eastAsia="zh-CN"/>
              </w:rPr>
              <w:t>试验检测员</w:t>
            </w:r>
          </w:p>
        </w:tc>
        <w:tc>
          <w:tcPr>
            <w:tcW w:w="986" w:type="dxa"/>
            <w:gridSpan w:val="2"/>
            <w:noWrap w:val="0"/>
            <w:vAlign w:val="center"/>
          </w:tcPr>
          <w:p w14:paraId="2D77BB68">
            <w:pPr>
              <w:widowControl/>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w:t>
            </w:r>
          </w:p>
        </w:tc>
        <w:tc>
          <w:tcPr>
            <w:tcW w:w="6586" w:type="dxa"/>
            <w:noWrap w:val="0"/>
            <w:vAlign w:val="center"/>
          </w:tcPr>
          <w:p w14:paraId="5768F2B0">
            <w:pPr>
              <w:widowControl/>
              <w:spacing w:line="240" w:lineRule="auto"/>
              <w:jc w:val="left"/>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rPr>
              <w:t>从事类似项目试验检测工作3年及以上，并持有公路工程试验检测员或助理检测师证书。</w:t>
            </w:r>
          </w:p>
        </w:tc>
      </w:tr>
      <w:tr w14:paraId="0B64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106" w:type="dxa"/>
            <w:noWrap w:val="0"/>
            <w:vAlign w:val="center"/>
          </w:tcPr>
          <w:p w14:paraId="0AC2971F">
            <w:pPr>
              <w:widowControl/>
              <w:spacing w:line="240" w:lineRule="auto"/>
              <w:ind w:left="0" w:leftChars="0" w:right="0" w:rightChars="0" w:firstLine="0" w:firstLineChars="0"/>
              <w:jc w:val="center"/>
              <w:rPr>
                <w:rFonts w:hint="eastAsia" w:ascii="宋体" w:hAnsi="宋体" w:eastAsia="宋体" w:cs="宋体"/>
                <w:b w:val="0"/>
                <w:bCs w:val="0"/>
                <w:color w:val="auto"/>
                <w:sz w:val="21"/>
                <w:szCs w:val="21"/>
                <w:highlight w:val="red"/>
                <w:vertAlign w:val="baseline"/>
                <w:lang w:eastAsia="zh-CN"/>
              </w:rPr>
            </w:pPr>
            <w:r>
              <w:rPr>
                <w:rFonts w:hint="eastAsia" w:ascii="宋体" w:hAnsi="宋体" w:eastAsia="宋体" w:cs="宋体"/>
                <w:color w:val="auto"/>
                <w:sz w:val="21"/>
                <w:szCs w:val="21"/>
                <w:highlight w:val="none"/>
              </w:rPr>
              <w:t>路面工程师</w:t>
            </w:r>
          </w:p>
        </w:tc>
        <w:tc>
          <w:tcPr>
            <w:tcW w:w="986" w:type="dxa"/>
            <w:gridSpan w:val="2"/>
            <w:noWrap w:val="0"/>
            <w:vAlign w:val="center"/>
          </w:tcPr>
          <w:p w14:paraId="39B0D848">
            <w:pPr>
              <w:widowControl/>
              <w:spacing w:line="240" w:lineRule="auto"/>
              <w:jc w:val="center"/>
              <w:rPr>
                <w:rFonts w:hint="default" w:ascii="宋体" w:hAnsi="宋体" w:eastAsia="宋体" w:cs="宋体"/>
                <w:b w:val="0"/>
                <w:bCs w:val="0"/>
                <w:color w:val="auto"/>
                <w:sz w:val="21"/>
                <w:szCs w:val="21"/>
                <w:highlight w:val="red"/>
                <w:vertAlign w:val="baseline"/>
                <w:lang w:val="en-US" w:eastAsia="zh-CN"/>
              </w:rPr>
            </w:pPr>
            <w:r>
              <w:rPr>
                <w:rFonts w:hint="eastAsia" w:ascii="宋体" w:hAnsi="宋体" w:eastAsia="宋体" w:cs="宋体"/>
                <w:color w:val="auto"/>
                <w:sz w:val="21"/>
                <w:szCs w:val="21"/>
                <w:highlight w:val="none"/>
                <w:lang w:val="en-US" w:eastAsia="zh-CN"/>
              </w:rPr>
              <w:t>1</w:t>
            </w:r>
          </w:p>
        </w:tc>
        <w:tc>
          <w:tcPr>
            <w:tcW w:w="6586" w:type="dxa"/>
            <w:noWrap w:val="0"/>
            <w:vAlign w:val="center"/>
          </w:tcPr>
          <w:p w14:paraId="0F45EDA7">
            <w:pPr>
              <w:widowControl/>
              <w:spacing w:line="240" w:lineRule="auto"/>
              <w:jc w:val="left"/>
              <w:rPr>
                <w:rFonts w:hint="eastAsia" w:ascii="宋体" w:hAnsi="宋体" w:eastAsia="宋体" w:cs="宋体"/>
                <w:b w:val="0"/>
                <w:bCs w:val="0"/>
                <w:color w:val="auto"/>
                <w:sz w:val="21"/>
                <w:szCs w:val="21"/>
                <w:highlight w:val="red"/>
                <w:vertAlign w:val="baseline"/>
                <w:lang w:eastAsia="zh-CN"/>
              </w:rPr>
            </w:pPr>
            <w:r>
              <w:rPr>
                <w:rFonts w:hint="eastAsia" w:ascii="宋体" w:hAnsi="宋体" w:eastAsia="宋体" w:cs="宋体"/>
                <w:color w:val="auto"/>
                <w:sz w:val="21"/>
                <w:szCs w:val="21"/>
                <w:highlight w:val="none"/>
              </w:rPr>
              <w:t>人员不得重复，缺陷责任期委派施工期担任过工程师职务的人员</w:t>
            </w:r>
            <w:r>
              <w:rPr>
                <w:rFonts w:hint="eastAsia" w:ascii="宋体" w:hAnsi="宋体" w:eastAsia="宋体" w:cs="宋体"/>
                <w:color w:val="auto"/>
                <w:sz w:val="21"/>
                <w:szCs w:val="21"/>
                <w:highlight w:val="none"/>
                <w:lang w:eastAsia="zh-CN"/>
              </w:rPr>
              <w:t>。</w:t>
            </w:r>
          </w:p>
        </w:tc>
      </w:tr>
      <w:tr w14:paraId="060A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106" w:type="dxa"/>
            <w:noWrap w:val="0"/>
            <w:vAlign w:val="center"/>
          </w:tcPr>
          <w:p w14:paraId="04A36139">
            <w:pPr>
              <w:widowControl/>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986" w:type="dxa"/>
            <w:gridSpan w:val="2"/>
            <w:noWrap w:val="0"/>
            <w:vAlign w:val="center"/>
          </w:tcPr>
          <w:p w14:paraId="221AD2AF">
            <w:pPr>
              <w:widowControl/>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6586" w:type="dxa"/>
            <w:noWrap w:val="0"/>
            <w:vAlign w:val="center"/>
          </w:tcPr>
          <w:p w14:paraId="50ABDEBA">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人员不得重复，缺陷责任期委派施工期担任过工程师职务的人员。</w:t>
            </w:r>
          </w:p>
        </w:tc>
      </w:tr>
      <w:tr w14:paraId="057D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678" w:type="dxa"/>
            <w:gridSpan w:val="4"/>
            <w:noWrap w:val="0"/>
            <w:vAlign w:val="center"/>
          </w:tcPr>
          <w:p w14:paraId="197C1C86">
            <w:pPr>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7801B72A">
            <w:pPr>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上述人员在投标文件中无需填报，但须按照招标文件中规定的格式、内容和要求做出相关承诺。具体的人员名单在合同谈判期间确定，但必须满足本表中所列数量及资格要求，并和本表一起作为合同文件的组成部分，是发包人进行履约检查的依据。同时，拟投入的所有其他主要管理和技术人员须满足工程实际需要。合同谈判后，合同内明确的项目管理机构主要人员，除重大疾病或离职外，不允许更换，如需更换或派驻人员不能胜任该项工作，发包人将按专用合同条款视为承包人违约，并按专用合同条款对承包人予以处罚。如中标人拟派驻的人员数量和资格条件不满足本表要求，招标人应取消其中标资格；</w:t>
            </w:r>
          </w:p>
          <w:p w14:paraId="3A986C8C">
            <w:pPr>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2.本表为强制性最低限度要求，投标阶段无需填报，投标人除满足本表要求外，应根据项目实际工程数量及进度自主投入，发包人不再额外支付费用；</w:t>
            </w:r>
          </w:p>
          <w:p w14:paraId="2EFA64BA">
            <w:pPr>
              <w:numPr>
                <w:ilvl w:val="0"/>
                <w:numId w:val="0"/>
              </w:numPr>
              <w:spacing w:line="240" w:lineRule="auto"/>
              <w:ind w:left="0" w:leftChars="0" w:firstLine="420" w:firstLineChars="200"/>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3.“拟投入的其他管理和技术人员”在合同签订时应附身份证、职称证书以及相关资格证书复印件，并提供上述人员社保系统打印的人员缴费明细（缴费截止时间应在合同协议书签订之日或投标截止时间前3个月以内，连续缴费期不低于3个月）。</w:t>
            </w:r>
          </w:p>
        </w:tc>
      </w:tr>
      <w:tr w14:paraId="4263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2736" w:type="dxa"/>
            <w:gridSpan w:val="2"/>
            <w:noWrap w:val="0"/>
            <w:vAlign w:val="center"/>
          </w:tcPr>
          <w:p w14:paraId="0ABB8473">
            <w:pPr>
              <w:autoSpaceDE w:val="0"/>
              <w:autoSpaceDN w:val="0"/>
              <w:adjustRightInd w:val="0"/>
              <w:spacing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Cs/>
                <w:color w:val="auto"/>
                <w:kern w:val="2"/>
                <w:sz w:val="21"/>
                <w:szCs w:val="21"/>
                <w:highlight w:val="none"/>
                <w:lang w:val="en-US" w:eastAsia="zh-CN" w:bidi="zh-CN"/>
              </w:rPr>
              <w:t>投标人承诺：中标后将按此表要求提供合格人员，并提供上述人员身份证、职称证、资格证、</w:t>
            </w:r>
            <w:r>
              <w:rPr>
                <w:rFonts w:hint="eastAsia" w:ascii="宋体" w:hAnsi="宋体" w:eastAsia="宋体" w:cs="宋体"/>
                <w:color w:val="auto"/>
                <w:sz w:val="21"/>
                <w:szCs w:val="21"/>
                <w:highlight w:val="none"/>
                <w:lang w:val="en-US" w:eastAsia="zh-CN"/>
              </w:rPr>
              <w:t>合同协议书签订之日或投标截止时间前3个月以内</w:t>
            </w:r>
            <w:r>
              <w:rPr>
                <w:rFonts w:hint="eastAsia" w:ascii="宋体" w:hAnsi="宋体" w:eastAsia="宋体" w:cs="宋体"/>
                <w:bCs/>
                <w:color w:val="auto"/>
                <w:kern w:val="2"/>
                <w:sz w:val="21"/>
                <w:szCs w:val="21"/>
                <w:highlight w:val="none"/>
                <w:lang w:val="en-US" w:eastAsia="zh-CN" w:bidi="zh-CN"/>
              </w:rPr>
              <w:t>连续3个月的</w:t>
            </w:r>
            <w:r>
              <w:rPr>
                <w:rFonts w:hint="eastAsia" w:ascii="宋体" w:hAnsi="宋体" w:eastAsia="宋体" w:cs="宋体"/>
                <w:bCs/>
                <w:color w:val="auto"/>
                <w:kern w:val="2"/>
                <w:sz w:val="21"/>
                <w:szCs w:val="21"/>
                <w:highlight w:val="none"/>
                <w:lang w:val="en-US" w:eastAsia="zh-CN" w:bidi="zh-CN"/>
              </w:rPr>
              <w:t>社保证明材料。</w:t>
            </w:r>
          </w:p>
        </w:tc>
        <w:tc>
          <w:tcPr>
            <w:tcW w:w="6942" w:type="dxa"/>
            <w:gridSpan w:val="2"/>
            <w:noWrap w:val="0"/>
            <w:vAlign w:val="center"/>
          </w:tcPr>
          <w:p w14:paraId="09113199">
            <w:pPr>
              <w:tabs>
                <w:tab w:val="left" w:pos="2977"/>
                <w:tab w:val="left" w:pos="3261"/>
              </w:tabs>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7B4C3AF3">
            <w:pPr>
              <w:tabs>
                <w:tab w:val="left" w:pos="2977"/>
                <w:tab w:val="left" w:pos="3261"/>
              </w:tabs>
              <w:spacing w:line="240" w:lineRule="auto"/>
              <w:rPr>
                <w:rFonts w:hint="eastAsia" w:ascii="宋体" w:hAnsi="宋体" w:eastAsia="宋体" w:cs="宋体"/>
                <w:color w:val="auto"/>
                <w:sz w:val="21"/>
                <w:szCs w:val="21"/>
                <w:highlight w:val="none"/>
              </w:rPr>
            </w:pPr>
          </w:p>
          <w:p w14:paraId="5CE02887">
            <w:pPr>
              <w:widowControl/>
              <w:spacing w:line="240" w:lineRule="auto"/>
              <w:ind w:firstLine="420" w:firstLineChars="200"/>
              <w:jc w:val="left"/>
              <w:rPr>
                <w:color w:val="auto"/>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tc>
      </w:tr>
    </w:tbl>
    <w:p w14:paraId="672B047D">
      <w:pPr>
        <w:rPr>
          <w:rFonts w:hint="eastAsia" w:ascii="宋体" w:hAnsi="宋体" w:eastAsia="宋体" w:cs="宋体"/>
          <w:b/>
          <w:bCs/>
          <w:snapToGrid w:val="0"/>
          <w:color w:val="auto"/>
          <w:kern w:val="0"/>
          <w:sz w:val="28"/>
          <w:szCs w:val="28"/>
          <w:lang w:val="en-US" w:eastAsia="zh-CN"/>
        </w:rPr>
      </w:pPr>
      <w:r>
        <w:rPr>
          <w:rFonts w:hint="eastAsia" w:ascii="宋体" w:hAnsi="宋体" w:eastAsia="宋体" w:cs="宋体"/>
          <w:b/>
          <w:bCs/>
          <w:snapToGrid w:val="0"/>
          <w:color w:val="auto"/>
          <w:kern w:val="0"/>
          <w:sz w:val="28"/>
          <w:szCs w:val="28"/>
          <w:lang w:val="en-US" w:eastAsia="zh-CN"/>
        </w:rPr>
        <w:br w:type="page"/>
      </w:r>
    </w:p>
    <w:p w14:paraId="4E0879C9">
      <w:pPr>
        <w:keepNext w:val="0"/>
        <w:keepLines w:val="0"/>
        <w:pageBreakBefore w:val="0"/>
        <w:numPr>
          <w:ilvl w:val="0"/>
          <w:numId w:val="0"/>
        </w:numPr>
        <w:kinsoku w:val="0"/>
        <w:wordWrap/>
        <w:overflowPunct/>
        <w:topLinePunct w:val="0"/>
        <w:autoSpaceDE w:val="0"/>
        <w:autoSpaceDN w:val="0"/>
        <w:bidi w:val="0"/>
        <w:adjustRightInd w:val="0"/>
        <w:snapToGrid w:val="0"/>
        <w:spacing w:line="500" w:lineRule="exact"/>
        <w:ind w:left="0" w:leftChars="0" w:firstLine="562" w:firstLineChars="200"/>
        <w:textAlignment w:val="baseline"/>
        <w:outlineLvl w:val="9"/>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snapToGrid w:val="0"/>
          <w:color w:val="auto"/>
          <w:kern w:val="0"/>
          <w:sz w:val="28"/>
          <w:szCs w:val="28"/>
          <w:lang w:val="en-US" w:eastAsia="zh-CN"/>
        </w:rPr>
        <w:t>四、</w:t>
      </w:r>
      <w:r>
        <w:rPr>
          <w:rFonts w:hint="eastAsia" w:ascii="宋体" w:hAnsi="宋体" w:eastAsia="宋体" w:cs="宋体"/>
          <w:b/>
          <w:bCs/>
          <w:color w:val="auto"/>
          <w:sz w:val="28"/>
          <w:szCs w:val="28"/>
          <w:highlight w:val="none"/>
          <w:u w:val="none"/>
          <w:lang w:val="en-US" w:eastAsia="zh-CN"/>
        </w:rPr>
        <w:t>评标办法全文</w:t>
      </w:r>
    </w:p>
    <w:p w14:paraId="17106F81">
      <w:pPr>
        <w:spacing w:before="0" w:after="0" w:line="360" w:lineRule="auto"/>
        <w:jc w:val="center"/>
        <w:outlineLvl w:val="9"/>
        <w:rPr>
          <w:rFonts w:hint="eastAsia" w:ascii="宋体" w:hAnsi="宋体" w:eastAsia="宋体" w:cs="宋体"/>
          <w:b/>
          <w:bCs/>
          <w:color w:val="auto"/>
          <w:sz w:val="28"/>
          <w:szCs w:val="28"/>
          <w:highlight w:val="none"/>
        </w:rPr>
      </w:pPr>
      <w:bookmarkStart w:id="3" w:name="_Toc19608"/>
      <w:bookmarkStart w:id="4" w:name="_Toc10731"/>
      <w:r>
        <w:rPr>
          <w:rFonts w:hint="eastAsia" w:ascii="宋体" w:hAnsi="宋体" w:eastAsia="宋体" w:cs="宋体"/>
          <w:b/>
          <w:bCs/>
          <w:color w:val="auto"/>
          <w:sz w:val="28"/>
          <w:szCs w:val="28"/>
          <w:highlight w:val="none"/>
        </w:rPr>
        <w:t>评标办法前附表</w:t>
      </w:r>
      <w:bookmarkEnd w:id="3"/>
      <w:bookmarkEnd w:id="4"/>
    </w:p>
    <w:tbl>
      <w:tblPr>
        <w:tblStyle w:val="4"/>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8"/>
        <w:gridCol w:w="13"/>
        <w:gridCol w:w="652"/>
        <w:gridCol w:w="137"/>
        <w:gridCol w:w="510"/>
        <w:gridCol w:w="896"/>
        <w:gridCol w:w="145"/>
        <w:gridCol w:w="1482"/>
        <w:gridCol w:w="640"/>
        <w:gridCol w:w="4398"/>
        <w:gridCol w:w="119"/>
      </w:tblGrid>
      <w:tr w14:paraId="58D9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550" w:type="dxa"/>
            <w:gridSpan w:val="4"/>
            <w:tcMar>
              <w:top w:w="57" w:type="dxa"/>
              <w:left w:w="57" w:type="dxa"/>
              <w:bottom w:w="57" w:type="dxa"/>
              <w:right w:w="57" w:type="dxa"/>
            </w:tcMar>
            <w:vAlign w:val="center"/>
          </w:tcPr>
          <w:p w14:paraId="4B4FC64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36" w:lineRule="auto"/>
              <w:ind w:left="0" w:leftChars="0" w:right="0" w:rightChars="0"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条款号</w:t>
            </w:r>
          </w:p>
        </w:tc>
        <w:tc>
          <w:tcPr>
            <w:tcW w:w="8190" w:type="dxa"/>
            <w:gridSpan w:val="7"/>
            <w:tcMar>
              <w:top w:w="57" w:type="dxa"/>
              <w:left w:w="57" w:type="dxa"/>
              <w:bottom w:w="57" w:type="dxa"/>
              <w:right w:w="57" w:type="dxa"/>
            </w:tcMar>
            <w:vAlign w:val="center"/>
          </w:tcPr>
          <w:p w14:paraId="721FF19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36" w:lineRule="auto"/>
              <w:ind w:left="0" w:leftChars="0" w:right="0" w:rightChars="0"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评审因素与标准</w:t>
            </w:r>
          </w:p>
        </w:tc>
      </w:tr>
      <w:tr w14:paraId="50FB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48" w:type="dxa"/>
            <w:tcMar>
              <w:top w:w="57" w:type="dxa"/>
              <w:left w:w="57" w:type="dxa"/>
              <w:bottom w:w="57" w:type="dxa"/>
              <w:right w:w="57" w:type="dxa"/>
            </w:tcMar>
            <w:vAlign w:val="center"/>
          </w:tcPr>
          <w:p w14:paraId="3918B0B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36" w:lineRule="auto"/>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2.1.1</w:t>
            </w:r>
          </w:p>
        </w:tc>
        <w:tc>
          <w:tcPr>
            <w:tcW w:w="802" w:type="dxa"/>
            <w:gridSpan w:val="3"/>
            <w:tcMar>
              <w:top w:w="57" w:type="dxa"/>
              <w:left w:w="57" w:type="dxa"/>
              <w:bottom w:w="57" w:type="dxa"/>
              <w:right w:w="57" w:type="dxa"/>
            </w:tcMar>
            <w:vAlign w:val="center"/>
          </w:tcPr>
          <w:p w14:paraId="3041905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36" w:lineRule="auto"/>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形式评审与响应性评审标准</w:t>
            </w:r>
          </w:p>
        </w:tc>
        <w:tc>
          <w:tcPr>
            <w:tcW w:w="8190" w:type="dxa"/>
            <w:gridSpan w:val="7"/>
            <w:tcMar>
              <w:top w:w="57" w:type="dxa"/>
              <w:left w:w="57" w:type="dxa"/>
              <w:bottom w:w="57" w:type="dxa"/>
              <w:right w:w="57" w:type="dxa"/>
            </w:tcMar>
            <w:vAlign w:val="center"/>
          </w:tcPr>
          <w:p w14:paraId="02E1CFA5">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第一个信封（商务及技术文件）评审标准：</w:t>
            </w:r>
          </w:p>
          <w:p w14:paraId="71B9BD18">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投标文件按照招标文件规定的格式、内容填写，字迹清晰可辨：</w:t>
            </w:r>
          </w:p>
          <w:p w14:paraId="0F0AA5CC">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a.投标函按招标文件规定填报了项目名称、</w:t>
            </w:r>
            <w:r>
              <w:rPr>
                <w:rFonts w:hint="eastAsia" w:ascii="宋体" w:hAnsi="宋体" w:eastAsia="宋体" w:cs="宋体"/>
                <w:color w:val="auto"/>
                <w:sz w:val="21"/>
                <w:szCs w:val="21"/>
                <w:highlight w:val="none"/>
                <w:lang w:eastAsia="zh-CN"/>
              </w:rPr>
              <w:t>标段、</w:t>
            </w:r>
            <w:r>
              <w:rPr>
                <w:rFonts w:hint="eastAsia" w:ascii="宋体" w:hAnsi="宋体" w:eastAsia="宋体" w:cs="宋体"/>
                <w:color w:val="auto"/>
                <w:sz w:val="21"/>
                <w:szCs w:val="21"/>
                <w:highlight w:val="none"/>
              </w:rPr>
              <w:t>补遗书编号（如有）、工期、工程质量要求</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安全目标；</w:t>
            </w:r>
          </w:p>
          <w:p w14:paraId="1D20F0C8">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b.投标函附录</w:t>
            </w:r>
            <w:r>
              <w:rPr>
                <w:rFonts w:hint="eastAsia" w:ascii="宋体" w:hAnsi="宋体" w:eastAsia="宋体" w:cs="宋体"/>
                <w:snapToGrid w:val="0"/>
                <w:color w:val="auto"/>
                <w:sz w:val="21"/>
                <w:szCs w:val="21"/>
                <w:highlight w:val="none"/>
              </w:rPr>
              <w:t>的所有内容和数据均符合招标文件规定；</w:t>
            </w:r>
          </w:p>
          <w:p w14:paraId="11E94E7A">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lang w:eastAsia="zh-CN"/>
              </w:rPr>
              <w:t>投标文件组成齐全完整，内容均按规定填写。</w:t>
            </w:r>
          </w:p>
          <w:p w14:paraId="2FA9A5F9">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u w:val="none"/>
                <w:lang w:val="en-US" w:eastAsia="zh-CN"/>
              </w:rPr>
              <w:t>投标文件上法定代表人或其授权代理人的签字、投标人的单位章盖章齐全，符合招标文件规定。</w:t>
            </w:r>
          </w:p>
          <w:p w14:paraId="405E1F1D">
            <w:pPr>
              <w:keepNext w:val="0"/>
              <w:keepLines w:val="0"/>
              <w:suppressLineNumbers w:val="0"/>
              <w:tabs>
                <w:tab w:val="left" w:pos="246"/>
                <w:tab w:val="left" w:pos="338"/>
                <w:tab w:val="left" w:pos="45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）投标人按照招标文件</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规定提供了投标</w:t>
            </w:r>
            <w:r>
              <w:rPr>
                <w:rFonts w:hint="eastAsia" w:ascii="宋体" w:hAnsi="宋体" w:eastAsia="宋体" w:cs="宋体"/>
                <w:color w:val="auto"/>
                <w:sz w:val="21"/>
                <w:szCs w:val="21"/>
                <w:highlight w:val="none"/>
                <w:lang w:val="en-US" w:eastAsia="zh-CN"/>
              </w:rPr>
              <w:t>保证金</w:t>
            </w:r>
            <w:r>
              <w:rPr>
                <w:rFonts w:hint="eastAsia" w:ascii="宋体" w:hAnsi="宋体" w:eastAsia="宋体" w:cs="宋体"/>
                <w:color w:val="auto"/>
                <w:sz w:val="21"/>
                <w:szCs w:val="21"/>
                <w:highlight w:val="none"/>
                <w:lang w:eastAsia="zh-CN"/>
              </w:rPr>
              <w:t>：</w:t>
            </w:r>
          </w:p>
          <w:p w14:paraId="4BF92FCC">
            <w:pPr>
              <w:keepNext w:val="0"/>
              <w:keepLines w:val="0"/>
              <w:suppressLineNumbers w:val="0"/>
              <w:tabs>
                <w:tab w:val="left" w:pos="246"/>
                <w:tab w:val="left" w:pos="338"/>
                <w:tab w:val="left" w:pos="45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a.投标保证金金额符合招标文件规定的金额，且投标保证金有效期不少于投标有效期；</w:t>
            </w:r>
          </w:p>
          <w:p w14:paraId="2240D63F">
            <w:pPr>
              <w:keepNext w:val="0"/>
              <w:keepLines w:val="0"/>
              <w:suppressLineNumbers w:val="0"/>
              <w:tabs>
                <w:tab w:val="left" w:pos="246"/>
                <w:tab w:val="left" w:pos="338"/>
                <w:tab w:val="left" w:pos="45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b.若投标保证金采用现金或支票形式提交，投标人应在递交投标文件截止时间之前，将投标保证金由投标人的基本账户转入招标人指定账户；</w:t>
            </w:r>
          </w:p>
          <w:p w14:paraId="3E569DFC">
            <w:pPr>
              <w:keepNext w:val="0"/>
              <w:keepLines w:val="0"/>
              <w:suppressLineNumbers w:val="0"/>
              <w:tabs>
                <w:tab w:val="left" w:pos="246"/>
                <w:tab w:val="left" w:pos="338"/>
                <w:tab w:val="left" w:pos="45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c.若投标保证金采用</w:t>
            </w:r>
            <w:r>
              <w:rPr>
                <w:rFonts w:hint="eastAsia" w:ascii="宋体" w:hAnsi="宋体" w:eastAsia="宋体" w:cs="宋体"/>
                <w:color w:val="auto"/>
                <w:sz w:val="21"/>
                <w:szCs w:val="21"/>
                <w:highlight w:val="none"/>
                <w:lang w:val="en-US" w:eastAsia="zh-CN"/>
              </w:rPr>
              <w:t>银行</w:t>
            </w:r>
            <w:r>
              <w:rPr>
                <w:rFonts w:hint="eastAsia" w:ascii="宋体" w:hAnsi="宋体" w:eastAsia="宋体" w:cs="宋体"/>
                <w:color w:val="auto"/>
                <w:sz w:val="21"/>
                <w:szCs w:val="21"/>
                <w:highlight w:val="none"/>
                <w:lang w:eastAsia="zh-CN"/>
              </w:rPr>
              <w:t>保函形式提交，</w:t>
            </w:r>
            <w:r>
              <w:rPr>
                <w:rFonts w:hint="eastAsia" w:ascii="宋体" w:hAnsi="宋体" w:eastAsia="宋体" w:cs="宋体"/>
                <w:color w:val="auto"/>
                <w:sz w:val="21"/>
                <w:szCs w:val="21"/>
                <w:highlight w:val="none"/>
                <w:lang w:val="en-US" w:eastAsia="zh-CN"/>
              </w:rPr>
              <w:t>银行</w:t>
            </w:r>
            <w:r>
              <w:rPr>
                <w:rFonts w:hint="eastAsia" w:ascii="宋体" w:hAnsi="宋体" w:eastAsia="宋体" w:cs="宋体"/>
                <w:color w:val="auto"/>
                <w:sz w:val="21"/>
                <w:szCs w:val="21"/>
                <w:highlight w:val="none"/>
                <w:lang w:eastAsia="zh-CN"/>
              </w:rPr>
              <w:t>保函的格式、开具保函的银行、保函的有效期均满足招标文件要求，且递交投标文件截止时间之前向招标人单独密封提交了保函原件；</w:t>
            </w:r>
          </w:p>
          <w:p w14:paraId="7E3B8C0B">
            <w:pPr>
              <w:keepNext w:val="0"/>
              <w:keepLines w:val="0"/>
              <w:suppressLineNumbers w:val="0"/>
              <w:tabs>
                <w:tab w:val="left" w:pos="246"/>
                <w:tab w:val="left" w:pos="338"/>
                <w:tab w:val="left" w:pos="45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d.</w:t>
            </w:r>
            <w:r>
              <w:rPr>
                <w:rFonts w:hint="eastAsia" w:ascii="宋体" w:hAnsi="宋体" w:eastAsia="宋体" w:cs="宋体"/>
                <w:color w:val="auto"/>
                <w:sz w:val="21"/>
                <w:szCs w:val="21"/>
                <w:highlight w:val="none"/>
                <w:shd w:val="clear" w:color="auto" w:fill="auto"/>
                <w:vertAlign w:val="baseline"/>
                <w:lang w:val="en-US" w:eastAsia="zh-CN"/>
              </w:rPr>
              <w:t>投标人以保函（保险）等形式提交投标保证金的，经招标人核验，投标人未提供保函（保险）开具方的官方、可靠和可持续的验证渠道和验证信息或经招标人核验投标人保函（保险）真实性有效性不足的。</w:t>
            </w:r>
          </w:p>
          <w:p w14:paraId="6CA3620D">
            <w:pPr>
              <w:keepNext w:val="0"/>
              <w:keepLines w:val="0"/>
              <w:suppressLineNumbers w:val="0"/>
              <w:tabs>
                <w:tab w:val="left" w:pos="246"/>
                <w:tab w:val="left" w:pos="338"/>
                <w:tab w:val="left" w:pos="45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w:t>
            </w:r>
            <w:r>
              <w:rPr>
                <w:rFonts w:hint="eastAsia" w:ascii="宋体" w:hAnsi="宋体" w:eastAsia="宋体" w:cs="宋体"/>
                <w:color w:val="auto"/>
                <w:sz w:val="21"/>
                <w:szCs w:val="21"/>
                <w:highlight w:val="none"/>
                <w:lang w:eastAsia="zh-CN"/>
              </w:rPr>
              <w:t>.若采用</w:t>
            </w:r>
            <w:r>
              <w:rPr>
                <w:rFonts w:hint="eastAsia" w:ascii="宋体" w:hAnsi="宋体" w:eastAsia="宋体" w:cs="宋体"/>
                <w:color w:val="auto"/>
                <w:sz w:val="21"/>
                <w:szCs w:val="21"/>
                <w:highlight w:val="none"/>
                <w:lang w:val="en-US" w:eastAsia="zh-CN"/>
              </w:rPr>
              <w:t>其他形式，满足招标文件的规定。</w:t>
            </w:r>
          </w:p>
          <w:p w14:paraId="16E3913F">
            <w:pPr>
              <w:keepNext w:val="0"/>
              <w:keepLines w:val="0"/>
              <w:suppressLineNumbers w:val="0"/>
              <w:tabs>
                <w:tab w:val="left" w:pos="246"/>
                <w:tab w:val="left" w:pos="338"/>
                <w:tab w:val="left" w:pos="45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（4）投标人法定代表人授权委托代理人签署投标文件的，须提交授权委托书，且授权人和被授权</w:t>
            </w:r>
            <w:r>
              <w:rPr>
                <w:rFonts w:hint="eastAsia" w:ascii="宋体" w:hAnsi="宋体" w:eastAsia="宋体" w:cs="宋体"/>
                <w:color w:val="auto"/>
                <w:sz w:val="21"/>
                <w:szCs w:val="21"/>
                <w:highlight w:val="none"/>
                <w:u w:val="none"/>
                <w:lang w:val="en-US" w:eastAsia="zh-CN"/>
              </w:rPr>
              <w:t>人均在授权委托书上签名，签字盖章符合招标文件第二章“投标人须知”第3.7.3项规定。</w:t>
            </w:r>
          </w:p>
          <w:p w14:paraId="46C3C4CC">
            <w:pPr>
              <w:widowControl/>
              <w:spacing w:line="348" w:lineRule="auto"/>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（5）投标人法定代表人亲自签署投标文件的，提供了法定代表人身份证明，且法定代表人在法定代表人身份证明上签名，签字盖章符合招标文件第二章“投标人须知”第3.7.3项规定。</w:t>
            </w:r>
          </w:p>
          <w:p w14:paraId="3663B421">
            <w:pPr>
              <w:keepNext w:val="0"/>
              <w:keepLines w:val="0"/>
              <w:suppressLineNumbers w:val="0"/>
              <w:tabs>
                <w:tab w:val="left" w:pos="246"/>
                <w:tab w:val="left" w:pos="338"/>
                <w:tab w:val="left" w:pos="45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）投标人未以联合体形式投标。</w:t>
            </w:r>
          </w:p>
          <w:p w14:paraId="414BED19">
            <w:pPr>
              <w:widowControl/>
              <w:spacing w:line="348" w:lineRule="auto"/>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（7）投标人如在投标阶段有分包计划，符合招标文件第二章“投标人须知”第1.11款规定，且按招标文件第九章“投标文件格式”的要求填写了“拟分包项目情况表”。</w:t>
            </w:r>
          </w:p>
          <w:p w14:paraId="0A2D1F9B">
            <w:pPr>
              <w:keepNext w:val="0"/>
              <w:keepLines w:val="0"/>
              <w:suppressLineNumbers w:val="0"/>
              <w:tabs>
                <w:tab w:val="left" w:pos="246"/>
                <w:tab w:val="left" w:pos="338"/>
                <w:tab w:val="left" w:pos="45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）同一投标人未提交两个以上不同的投标文件，但招标文件要求提交备选投标的除外。</w:t>
            </w:r>
          </w:p>
          <w:p w14:paraId="1EA2965D">
            <w:pPr>
              <w:keepNext w:val="0"/>
              <w:keepLines w:val="0"/>
              <w:suppressLineNumbers w:val="0"/>
              <w:tabs>
                <w:tab w:val="left" w:pos="246"/>
                <w:tab w:val="left" w:pos="338"/>
                <w:tab w:val="left" w:pos="456"/>
              </w:tabs>
              <w:autoSpaceDE w:val="0"/>
              <w:autoSpaceDN w:val="0"/>
              <w:spacing w:before="0" w:beforeAutospacing="0" w:after="0" w:afterAutospacing="0" w:line="360" w:lineRule="exact"/>
              <w:ind w:left="0" w:right="0"/>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snapToGrid w:val="0"/>
                <w:color w:val="auto"/>
                <w:sz w:val="21"/>
                <w:szCs w:val="21"/>
                <w:highlight w:val="none"/>
              </w:rPr>
              <w:t>投标文件中未出现有关投标报价的内容。</w:t>
            </w:r>
          </w:p>
          <w:p w14:paraId="6691EC80">
            <w:pPr>
              <w:keepNext w:val="0"/>
              <w:keepLines w:val="0"/>
              <w:suppressLineNumbers w:val="0"/>
              <w:tabs>
                <w:tab w:val="left" w:pos="246"/>
                <w:tab w:val="left" w:pos="338"/>
                <w:tab w:val="left" w:pos="45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）投标文件载明的招标项目完成期限未超过招标文件规定的时限。</w:t>
            </w:r>
          </w:p>
          <w:p w14:paraId="308A0598">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）投标文件对招标文件的实质性要求和条件作出了响应。</w:t>
            </w:r>
          </w:p>
          <w:p w14:paraId="19B22AB2">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）权利义务符合招标文件规定：</w:t>
            </w:r>
          </w:p>
          <w:p w14:paraId="1E4A0861">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14:paraId="61D8DF24">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14:paraId="41662E32">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c.投标人未提出不同的工程验收、计量、支付办法；</w:t>
            </w:r>
          </w:p>
          <w:p w14:paraId="6806A0FD">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14:paraId="117CAB0E">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14:paraId="4E87ABA8">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14:paraId="284E03BA">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（13）投标函上填写的标段号与所投标段号一致。</w:t>
            </w:r>
          </w:p>
          <w:p w14:paraId="2D08A32F">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）围标、串标审查：如果有证据显示投标人以他人名义投标、与他人串通投标、以行贿手段谋取中标，以及投标弄虚作假的，评标委员会应对该投标文件作无效投标处理。</w:t>
            </w:r>
          </w:p>
          <w:p w14:paraId="3572C014">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）评标委员会要对投标人的财务能力、</w:t>
            </w:r>
            <w:r>
              <w:rPr>
                <w:rFonts w:hint="eastAsia" w:ascii="宋体" w:hAnsi="宋体" w:eastAsia="宋体" w:cs="宋体"/>
                <w:color w:val="auto"/>
                <w:sz w:val="21"/>
                <w:szCs w:val="21"/>
                <w:highlight w:val="none"/>
                <w:lang w:val="en-US" w:eastAsia="zh-CN"/>
              </w:rPr>
              <w:t>技术能力、</w:t>
            </w:r>
            <w:r>
              <w:rPr>
                <w:rFonts w:hint="eastAsia" w:ascii="宋体" w:hAnsi="宋体" w:eastAsia="宋体" w:cs="宋体"/>
                <w:color w:val="auto"/>
                <w:sz w:val="21"/>
                <w:szCs w:val="21"/>
                <w:highlight w:val="none"/>
              </w:rPr>
              <w:t>管理水平和以往施工业绩及履约信誉进行详细评审。如发现投标文件有以下情况之一的，评标委员会将对其作无效投标处理：</w:t>
            </w:r>
          </w:p>
          <w:p w14:paraId="1CBA7EA6">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a.承诺的质量标准低于招标文件或国家强制性标准要求；</w:t>
            </w:r>
          </w:p>
          <w:p w14:paraId="4F8E1198">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b.提供虚假施工业绩及履约信誉证明材料。</w:t>
            </w:r>
          </w:p>
          <w:p w14:paraId="57C3F212">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）投标文件提交方式满足投标人须知</w:t>
            </w: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lang w:val="en-US" w:eastAsia="zh-CN"/>
              </w:rPr>
              <w:t>款之</w:t>
            </w:r>
            <w:r>
              <w:rPr>
                <w:rFonts w:hint="eastAsia" w:ascii="宋体" w:hAnsi="宋体" w:eastAsia="宋体" w:cs="宋体"/>
                <w:color w:val="auto"/>
                <w:sz w:val="21"/>
                <w:szCs w:val="21"/>
                <w:highlight w:val="none"/>
              </w:rPr>
              <w:t>规定。</w:t>
            </w:r>
          </w:p>
          <w:p w14:paraId="081CFD70">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）按照评标委员会的要求进行了澄清、说明或补正。</w:t>
            </w:r>
          </w:p>
          <w:p w14:paraId="3DDD29F1">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）未附有招标人不能接受的其他条件。</w:t>
            </w:r>
          </w:p>
          <w:p w14:paraId="0F97F796">
            <w:pPr>
              <w:pStyle w:val="9"/>
              <w:widowControl w:val="0"/>
              <w:autoSpaceDE w:val="0"/>
              <w:autoSpaceDN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投标文件符合招标文件的其他相关规定。</w:t>
            </w:r>
          </w:p>
          <w:p w14:paraId="139EEEB7">
            <w:pPr>
              <w:pStyle w:val="2"/>
              <w:keepNext w:val="0"/>
              <w:keepLines w:val="0"/>
              <w:suppressLineNumbers w:val="0"/>
              <w:spacing w:before="0" w:beforeAutospacing="0" w:afterAutospacing="0" w:line="360" w:lineRule="auto"/>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投标文件未满足以上任一条件的，其投标视为无效，评标委员会将否决其投标。</w:t>
            </w:r>
          </w:p>
          <w:p w14:paraId="7F113396">
            <w:pPr>
              <w:pStyle w:val="2"/>
              <w:keepNext w:val="0"/>
              <w:keepLines w:val="0"/>
              <w:suppressLineNumbers w:val="0"/>
              <w:spacing w:before="0" w:beforeAutospacing="0" w:afterAutospacing="0"/>
              <w:ind w:left="0" w:right="0"/>
              <w:rPr>
                <w:rFonts w:hint="eastAsia" w:ascii="宋体" w:hAnsi="宋体" w:eastAsia="宋体" w:cs="宋体"/>
                <w:color w:val="auto"/>
                <w:sz w:val="21"/>
                <w:szCs w:val="21"/>
                <w:highlight w:val="none"/>
              </w:rPr>
            </w:pPr>
          </w:p>
          <w:p w14:paraId="5B03CFAC">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第二个信封（报价文件）评审标准：</w:t>
            </w:r>
          </w:p>
          <w:p w14:paraId="1AB0FFD3">
            <w:pPr>
              <w:keepNext w:val="0"/>
              <w:keepLines w:val="0"/>
              <w:suppressLineNumbers w:val="0"/>
              <w:tabs>
                <w:tab w:val="left" w:pos="246"/>
                <w:tab w:val="left" w:pos="318"/>
                <w:tab w:val="left" w:pos="459"/>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（1）投标文件按照招标文件规定的格式、内容填写，字迹清晰可辨：</w:t>
            </w:r>
          </w:p>
          <w:p w14:paraId="77D99D00">
            <w:pPr>
              <w:keepNext w:val="0"/>
              <w:keepLines w:val="0"/>
              <w:suppressLineNumbers w:val="0"/>
              <w:tabs>
                <w:tab w:val="left" w:pos="246"/>
                <w:tab w:val="left" w:pos="318"/>
                <w:tab w:val="left" w:pos="459"/>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a.投标函按招标文件规定填报了项目名称、</w:t>
            </w:r>
            <w:r>
              <w:rPr>
                <w:rFonts w:hint="eastAsia" w:ascii="宋体" w:hAnsi="宋体" w:eastAsia="宋体" w:cs="宋体"/>
                <w:color w:val="auto"/>
                <w:sz w:val="21"/>
                <w:szCs w:val="21"/>
                <w:highlight w:val="none"/>
                <w:lang w:eastAsia="zh-CN"/>
              </w:rPr>
              <w:t>标段（如有）、</w:t>
            </w:r>
            <w:r>
              <w:rPr>
                <w:rFonts w:hint="eastAsia" w:ascii="宋体" w:hAnsi="宋体" w:eastAsia="宋体" w:cs="宋体"/>
                <w:color w:val="auto"/>
                <w:sz w:val="21"/>
                <w:szCs w:val="21"/>
                <w:highlight w:val="none"/>
              </w:rPr>
              <w:t>补遗书编号（如有）、投标价（包括大写金额和小写金额）；</w:t>
            </w:r>
          </w:p>
          <w:p w14:paraId="6F6DD247">
            <w:pPr>
              <w:keepNext w:val="0"/>
              <w:keepLines w:val="0"/>
              <w:suppressLineNumbers w:val="0"/>
              <w:tabs>
                <w:tab w:val="left" w:pos="246"/>
                <w:tab w:val="left" w:pos="318"/>
                <w:tab w:val="left" w:pos="459"/>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b.已标价工程量清单说明文字与招标文件规定一致，未进行实质性修改和删减；</w:t>
            </w:r>
          </w:p>
          <w:p w14:paraId="34B9ACF7">
            <w:pPr>
              <w:widowControl/>
              <w:spacing w:line="348" w:lineRule="auto"/>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c.投标文件组成齐全完整，内容均按规定填写。</w:t>
            </w:r>
          </w:p>
          <w:p w14:paraId="02582A2D">
            <w:pPr>
              <w:keepNext w:val="0"/>
              <w:keepLines w:val="0"/>
              <w:suppressLineNumbers w:val="0"/>
              <w:tabs>
                <w:tab w:val="left" w:pos="246"/>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（2）投标文件上法定代表人或其委托代理人的签字、投标人的单位章盖章齐全，符合招标文件规定。</w:t>
            </w:r>
          </w:p>
          <w:p w14:paraId="63B5C133">
            <w:pPr>
              <w:pStyle w:val="9"/>
              <w:widowControl w:val="0"/>
              <w:autoSpaceDE w:val="0"/>
              <w:autoSpaceDN w:val="0"/>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（3）投标报价未超过招标文件设定的最高投标限价（如有）；</w:t>
            </w:r>
          </w:p>
          <w:p w14:paraId="504DB71E">
            <w:pPr>
              <w:pStyle w:val="9"/>
              <w:widowControl w:val="0"/>
              <w:autoSpaceDE w:val="0"/>
              <w:autoSpaceDN w:val="0"/>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投标报价的大写金额能确定具体数值</w:t>
            </w:r>
            <w:r>
              <w:rPr>
                <w:rFonts w:hint="eastAsia" w:ascii="宋体" w:hAnsi="宋体" w:eastAsia="宋体" w:cs="宋体"/>
                <w:color w:val="auto"/>
                <w:sz w:val="21"/>
                <w:szCs w:val="21"/>
                <w:highlight w:val="none"/>
                <w:lang w:eastAsia="zh-CN"/>
              </w:rPr>
              <w:t>。</w:t>
            </w:r>
          </w:p>
          <w:p w14:paraId="34897976">
            <w:pPr>
              <w:keepNext w:val="0"/>
              <w:keepLines w:val="0"/>
              <w:pageBreakBefore w:val="0"/>
              <w:widowControl/>
              <w:suppressLineNumbers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（5）同一投标人未提交两个以上不同的投标报价，但招标文件要求提交备选投标的除外。</w:t>
            </w:r>
          </w:p>
          <w:p w14:paraId="3D2A4B50">
            <w:pPr>
              <w:keepNext w:val="0"/>
              <w:keepLines w:val="0"/>
              <w:pageBreakBefore w:val="0"/>
              <w:suppressLineNumbers w:val="0"/>
              <w:tabs>
                <w:tab w:val="left" w:pos="246"/>
                <w:tab w:val="left" w:pos="318"/>
                <w:tab w:val="left" w:pos="459"/>
              </w:tabs>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投标人若填写工程量固化清单，填写完毕的工程量固化清单未对工程量固化清单电子文件中的数据、格式和运算定义进行修改；工程量固化清单中的投标报价和投标函大写金额报价一致。</w:t>
            </w:r>
          </w:p>
          <w:p w14:paraId="178AEF50">
            <w:pPr>
              <w:keepNext w:val="0"/>
              <w:keepLines w:val="0"/>
              <w:suppressLineNumbers w:val="0"/>
              <w:tabs>
                <w:tab w:val="left" w:pos="246"/>
                <w:tab w:val="left" w:pos="318"/>
                <w:tab w:val="left" w:pos="459"/>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未修改招标人给定的暂估价（如有）或暂列金额（如有）；</w:t>
            </w:r>
          </w:p>
          <w:p w14:paraId="22CAD0A3">
            <w:pPr>
              <w:keepNext w:val="0"/>
              <w:keepLines w:val="0"/>
              <w:pageBreakBefore w:val="0"/>
              <w:suppressLineNumbers w:val="0"/>
              <w:tabs>
                <w:tab w:val="left" w:pos="246"/>
                <w:tab w:val="left" w:pos="318"/>
                <w:tab w:val="left" w:pos="459"/>
              </w:tabs>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（8）投标函上填写的标段号与所投标段号一致。</w:t>
            </w:r>
          </w:p>
          <w:p w14:paraId="532E0A1F">
            <w:pPr>
              <w:keepNext w:val="0"/>
              <w:keepLines w:val="0"/>
              <w:suppressLineNumbers w:val="0"/>
              <w:tabs>
                <w:tab w:val="left" w:pos="246"/>
                <w:tab w:val="left" w:pos="318"/>
                <w:tab w:val="left" w:pos="459"/>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投标文件未满足以上任一条件的，其投标视为无效，评标委员会将否决其投标。</w:t>
            </w:r>
          </w:p>
        </w:tc>
      </w:tr>
      <w:tr w14:paraId="59B0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1" w:hRule="atLeast"/>
          <w:jc w:val="center"/>
        </w:trPr>
        <w:tc>
          <w:tcPr>
            <w:tcW w:w="748" w:type="dxa"/>
            <w:tcMar>
              <w:top w:w="57" w:type="dxa"/>
              <w:left w:w="57" w:type="dxa"/>
              <w:bottom w:w="57" w:type="dxa"/>
              <w:right w:w="57" w:type="dxa"/>
            </w:tcMar>
            <w:vAlign w:val="center"/>
          </w:tcPr>
          <w:p w14:paraId="7EF3097E">
            <w:pPr>
              <w:keepNext w:val="0"/>
              <w:keepLines w:val="0"/>
              <w:pageBreakBefore w:val="0"/>
              <w:widowControl w:val="0"/>
              <w:suppressLineNumbers w:val="0"/>
              <w:kinsoku/>
              <w:wordWrap/>
              <w:overflowPunct/>
              <w:topLinePunct w:val="0"/>
              <w:bidi w:val="0"/>
              <w:adjustRightInd/>
              <w:snapToGrid/>
              <w:spacing w:before="0" w:beforeAutospacing="0" w:after="0" w:afterAutospacing="0" w:line="336" w:lineRule="auto"/>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rPr>
              <w:t>2.1.2</w:t>
            </w:r>
          </w:p>
        </w:tc>
        <w:tc>
          <w:tcPr>
            <w:tcW w:w="802" w:type="dxa"/>
            <w:gridSpan w:val="3"/>
            <w:tcMar>
              <w:top w:w="57" w:type="dxa"/>
              <w:left w:w="57" w:type="dxa"/>
              <w:bottom w:w="57" w:type="dxa"/>
              <w:right w:w="57" w:type="dxa"/>
            </w:tcMar>
            <w:vAlign w:val="center"/>
          </w:tcPr>
          <w:p w14:paraId="268CD9D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36" w:lineRule="auto"/>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color w:val="auto"/>
                <w:kern w:val="0"/>
                <w:sz w:val="21"/>
                <w:szCs w:val="21"/>
                <w:highlight w:val="none"/>
              </w:rPr>
              <w:t>资格评审标准</w:t>
            </w:r>
          </w:p>
        </w:tc>
        <w:tc>
          <w:tcPr>
            <w:tcW w:w="8190" w:type="dxa"/>
            <w:gridSpan w:val="7"/>
            <w:tcMar>
              <w:top w:w="57" w:type="dxa"/>
              <w:left w:w="57" w:type="dxa"/>
              <w:bottom w:w="57" w:type="dxa"/>
              <w:right w:w="57" w:type="dxa"/>
            </w:tcMar>
            <w:vAlign w:val="center"/>
          </w:tcPr>
          <w:p w14:paraId="3F3D14C6">
            <w:pPr>
              <w:keepNext w:val="0"/>
              <w:keepLines w:val="0"/>
              <w:suppressLineNumbers w:val="0"/>
              <w:tabs>
                <w:tab w:val="left" w:pos="246"/>
                <w:tab w:val="left" w:pos="318"/>
                <w:tab w:val="left" w:pos="459"/>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（1）投标人具备有效的企业法人营业执照副本、资质证书</w:t>
            </w:r>
            <w:r>
              <w:rPr>
                <w:rFonts w:hint="eastAsia" w:ascii="宋体" w:hAnsi="宋体" w:eastAsia="宋体" w:cs="宋体"/>
                <w:color w:val="auto"/>
                <w:sz w:val="21"/>
                <w:szCs w:val="21"/>
                <w:highlight w:val="none"/>
                <w:lang w:val="en-US" w:eastAsia="zh-CN"/>
              </w:rPr>
              <w:t>副本</w:t>
            </w:r>
            <w:r>
              <w:rPr>
                <w:rFonts w:hint="eastAsia" w:ascii="宋体" w:hAnsi="宋体" w:eastAsia="宋体" w:cs="宋体"/>
                <w:color w:val="auto"/>
                <w:sz w:val="21"/>
                <w:szCs w:val="21"/>
                <w:highlight w:val="none"/>
              </w:rPr>
              <w:t>、安全生产许可证和基本账户信息扫描件。</w:t>
            </w:r>
          </w:p>
          <w:p w14:paraId="3F67D738">
            <w:pPr>
              <w:keepNext w:val="0"/>
              <w:keepLines w:val="0"/>
              <w:suppressLineNumbers w:val="0"/>
              <w:tabs>
                <w:tab w:val="left" w:pos="246"/>
                <w:tab w:val="left" w:pos="318"/>
                <w:tab w:val="left" w:pos="459"/>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w:t>
            </w:r>
            <w:r>
              <w:rPr>
                <w:rFonts w:hint="eastAsia" w:ascii="宋体" w:hAnsi="宋体" w:eastAsia="宋体" w:cs="宋体"/>
                <w:color w:val="auto"/>
                <w:sz w:val="21"/>
                <w:szCs w:val="21"/>
                <w:highlight w:val="none"/>
                <w:lang w:val="en-US" w:eastAsia="zh-CN"/>
              </w:rPr>
              <w:t>资质最低条件</w:t>
            </w:r>
            <w:r>
              <w:rPr>
                <w:rFonts w:hint="eastAsia" w:ascii="宋体" w:hAnsi="宋体" w:eastAsia="宋体" w:cs="宋体"/>
                <w:color w:val="auto"/>
                <w:sz w:val="21"/>
                <w:szCs w:val="21"/>
                <w:highlight w:val="none"/>
              </w:rPr>
              <w:t>符合招标文件投标人须知前附表附录1的规定。</w:t>
            </w:r>
          </w:p>
          <w:p w14:paraId="09D2BB1D">
            <w:pPr>
              <w:keepNext w:val="0"/>
              <w:keepLines w:val="0"/>
              <w:suppressLineNumbers w:val="0"/>
              <w:tabs>
                <w:tab w:val="left" w:pos="246"/>
                <w:tab w:val="left" w:pos="318"/>
                <w:tab w:val="left" w:pos="459"/>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（3）投标人的财务</w:t>
            </w:r>
            <w:r>
              <w:rPr>
                <w:rFonts w:hint="eastAsia" w:ascii="宋体" w:hAnsi="宋体" w:eastAsia="宋体" w:cs="宋体"/>
                <w:color w:val="auto"/>
                <w:sz w:val="21"/>
                <w:szCs w:val="21"/>
                <w:highlight w:val="none"/>
                <w:lang w:val="en-US" w:eastAsia="zh-CN"/>
              </w:rPr>
              <w:t>最低条件</w:t>
            </w:r>
            <w:r>
              <w:rPr>
                <w:rFonts w:hint="eastAsia" w:ascii="宋体" w:hAnsi="宋体" w:eastAsia="宋体" w:cs="宋体"/>
                <w:color w:val="auto"/>
                <w:sz w:val="21"/>
                <w:szCs w:val="21"/>
                <w:highlight w:val="none"/>
              </w:rPr>
              <w:t>符合招标文件投标人须知前附表附录2的规定。</w:t>
            </w:r>
          </w:p>
          <w:p w14:paraId="3D80B5A0">
            <w:pPr>
              <w:keepNext w:val="0"/>
              <w:keepLines w:val="0"/>
              <w:suppressLineNumbers w:val="0"/>
              <w:tabs>
                <w:tab w:val="left" w:pos="246"/>
                <w:tab w:val="left" w:pos="318"/>
                <w:tab w:val="left" w:pos="459"/>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（4）投标人的业绩</w:t>
            </w:r>
            <w:r>
              <w:rPr>
                <w:rFonts w:hint="eastAsia" w:ascii="宋体" w:hAnsi="宋体" w:eastAsia="宋体" w:cs="宋体"/>
                <w:color w:val="auto"/>
                <w:sz w:val="21"/>
                <w:szCs w:val="21"/>
                <w:highlight w:val="none"/>
                <w:lang w:val="en-US" w:eastAsia="zh-CN"/>
              </w:rPr>
              <w:t>最低条件</w:t>
            </w:r>
            <w:r>
              <w:rPr>
                <w:rFonts w:hint="eastAsia" w:ascii="宋体" w:hAnsi="宋体" w:eastAsia="宋体" w:cs="宋体"/>
                <w:color w:val="auto"/>
                <w:sz w:val="21"/>
                <w:szCs w:val="21"/>
                <w:highlight w:val="none"/>
              </w:rPr>
              <w:t>符合招标文件投标人须知前附表附录</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的规定。</w:t>
            </w:r>
          </w:p>
          <w:p w14:paraId="31058F11">
            <w:pPr>
              <w:keepNext w:val="0"/>
              <w:keepLines w:val="0"/>
              <w:suppressLineNumbers w:val="0"/>
              <w:tabs>
                <w:tab w:val="left" w:pos="246"/>
                <w:tab w:val="left" w:pos="318"/>
                <w:tab w:val="left" w:pos="459"/>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（5）投标人的信誉</w:t>
            </w:r>
            <w:r>
              <w:rPr>
                <w:rFonts w:hint="eastAsia" w:ascii="宋体" w:hAnsi="宋体" w:eastAsia="宋体" w:cs="宋体"/>
                <w:color w:val="auto"/>
                <w:sz w:val="21"/>
                <w:szCs w:val="21"/>
                <w:highlight w:val="none"/>
                <w:lang w:val="en-US" w:eastAsia="zh-CN"/>
              </w:rPr>
              <w:t>最低条件</w:t>
            </w:r>
            <w:r>
              <w:rPr>
                <w:rFonts w:hint="eastAsia" w:ascii="宋体" w:hAnsi="宋体" w:eastAsia="宋体" w:cs="宋体"/>
                <w:color w:val="auto"/>
                <w:sz w:val="21"/>
                <w:szCs w:val="21"/>
                <w:highlight w:val="none"/>
              </w:rPr>
              <w:t>符合招标文件投标人须知前附表附录</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的规定。</w:t>
            </w:r>
          </w:p>
          <w:p w14:paraId="5096798F">
            <w:pPr>
              <w:keepNext w:val="0"/>
              <w:keepLines w:val="0"/>
              <w:suppressLineNumbers w:val="0"/>
              <w:tabs>
                <w:tab w:val="left" w:pos="246"/>
                <w:tab w:val="left" w:pos="318"/>
                <w:tab w:val="left" w:pos="459"/>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（6）投标人的项目经理和项目总工</w:t>
            </w:r>
            <w:r>
              <w:rPr>
                <w:rFonts w:hint="eastAsia" w:ascii="宋体" w:hAnsi="宋体" w:eastAsia="宋体" w:cs="宋体"/>
                <w:color w:val="auto"/>
                <w:sz w:val="21"/>
                <w:szCs w:val="21"/>
                <w:highlight w:val="none"/>
                <w:lang w:val="en-US" w:eastAsia="zh-CN"/>
              </w:rPr>
              <w:t>最低条件</w:t>
            </w:r>
            <w:r>
              <w:rPr>
                <w:rFonts w:hint="eastAsia" w:ascii="宋体" w:hAnsi="宋体" w:eastAsia="宋体" w:cs="宋体"/>
                <w:color w:val="auto"/>
                <w:sz w:val="21"/>
                <w:szCs w:val="21"/>
                <w:highlight w:val="none"/>
              </w:rPr>
              <w:t>符合招标文件投标人须知前附表附录</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的规定。</w:t>
            </w:r>
          </w:p>
          <w:p w14:paraId="63F87059">
            <w:pPr>
              <w:keepNext w:val="0"/>
              <w:keepLines w:val="0"/>
              <w:suppressLineNumbers w:val="0"/>
              <w:tabs>
                <w:tab w:val="left" w:pos="246"/>
                <w:tab w:val="left" w:pos="318"/>
                <w:tab w:val="left" w:pos="459"/>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）投标人的其他要求符合招标文件</w:t>
            </w:r>
            <w:r>
              <w:rPr>
                <w:rFonts w:hint="eastAsia" w:ascii="宋体" w:hAnsi="宋体" w:eastAsia="宋体" w:cs="宋体"/>
                <w:color w:val="auto"/>
                <w:sz w:val="21"/>
                <w:szCs w:val="21"/>
                <w:highlight w:val="none"/>
                <w:lang w:val="en-US" w:eastAsia="zh-CN"/>
              </w:rPr>
              <w:t>投标人须知前附表附录6、附录7的</w:t>
            </w:r>
            <w:r>
              <w:rPr>
                <w:rFonts w:hint="eastAsia" w:ascii="宋体" w:hAnsi="宋体" w:eastAsia="宋体" w:cs="宋体"/>
                <w:color w:val="auto"/>
                <w:sz w:val="21"/>
                <w:szCs w:val="21"/>
                <w:highlight w:val="none"/>
              </w:rPr>
              <w:t>规定。</w:t>
            </w:r>
          </w:p>
          <w:p w14:paraId="73DCA697">
            <w:pPr>
              <w:keepNext w:val="0"/>
              <w:keepLines w:val="0"/>
              <w:suppressLineNumbers w:val="0"/>
              <w:tabs>
                <w:tab w:val="left" w:pos="246"/>
                <w:tab w:val="left" w:pos="318"/>
                <w:tab w:val="left" w:pos="459"/>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投标人不存在第二章“投标人须知”第1.4.3项</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第1.4.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项规定的任何一种情形。</w:t>
            </w:r>
          </w:p>
          <w:p w14:paraId="723099DB">
            <w:pPr>
              <w:keepNext w:val="0"/>
              <w:keepLines w:val="0"/>
              <w:suppressLineNumbers w:val="0"/>
              <w:tabs>
                <w:tab w:val="left" w:pos="246"/>
                <w:tab w:val="left" w:pos="318"/>
                <w:tab w:val="left" w:pos="459"/>
              </w:tabs>
              <w:autoSpaceDE w:val="0"/>
              <w:autoSpaceDN w:val="0"/>
              <w:spacing w:before="0" w:beforeAutospacing="0" w:after="0" w:afterAutospacing="0" w:line="36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（9）投标人符合第二章“投标人须知 ”第1.4.5项规定。  </w:t>
            </w:r>
          </w:p>
          <w:p w14:paraId="3032A3BC">
            <w:pPr>
              <w:keepNext w:val="0"/>
              <w:keepLines w:val="0"/>
              <w:suppressLineNumbers w:val="0"/>
              <w:tabs>
                <w:tab w:val="left" w:pos="246"/>
                <w:tab w:val="left" w:pos="318"/>
                <w:tab w:val="left" w:pos="459"/>
              </w:tabs>
              <w:autoSpaceDE w:val="0"/>
              <w:autoSpaceDN w:val="0"/>
              <w:spacing w:before="0" w:beforeAutospacing="0" w:after="0" w:afterAutospacing="0" w:line="360" w:lineRule="exact"/>
              <w:ind w:left="0" w:right="0" w:firstLine="211"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投标文件未满足以上任一条件的，其投标视为无效，评标委员会将否决其投标。</w:t>
            </w:r>
          </w:p>
        </w:tc>
      </w:tr>
      <w:tr w14:paraId="31CF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550" w:type="dxa"/>
            <w:gridSpan w:val="4"/>
            <w:tcMar>
              <w:top w:w="57" w:type="dxa"/>
              <w:left w:w="57" w:type="dxa"/>
              <w:bottom w:w="57" w:type="dxa"/>
              <w:right w:w="57" w:type="dxa"/>
            </w:tcMar>
            <w:vAlign w:val="center"/>
          </w:tcPr>
          <w:p w14:paraId="4DD4E502">
            <w:pPr>
              <w:keepNext w:val="0"/>
              <w:keepLines w:val="0"/>
              <w:suppressLineNumbers w:val="0"/>
              <w:tabs>
                <w:tab w:val="left" w:pos="246"/>
                <w:tab w:val="left" w:pos="318"/>
                <w:tab w:val="left" w:pos="459"/>
              </w:tabs>
              <w:autoSpaceDE w:val="0"/>
              <w:autoSpaceDN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条款号</w:t>
            </w:r>
          </w:p>
        </w:tc>
        <w:tc>
          <w:tcPr>
            <w:tcW w:w="1551" w:type="dxa"/>
            <w:gridSpan w:val="3"/>
            <w:tcMar>
              <w:top w:w="57" w:type="dxa"/>
              <w:left w:w="57" w:type="dxa"/>
              <w:bottom w:w="57" w:type="dxa"/>
              <w:right w:w="57" w:type="dxa"/>
            </w:tcMar>
            <w:vAlign w:val="center"/>
          </w:tcPr>
          <w:p w14:paraId="258CFBC8">
            <w:pPr>
              <w:keepNext w:val="0"/>
              <w:keepLines w:val="0"/>
              <w:suppressLineNumbers w:val="0"/>
              <w:tabs>
                <w:tab w:val="left" w:pos="246"/>
                <w:tab w:val="left" w:pos="318"/>
                <w:tab w:val="left" w:pos="459"/>
              </w:tabs>
              <w:autoSpaceDE w:val="0"/>
              <w:autoSpaceDN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条款内容</w:t>
            </w:r>
          </w:p>
        </w:tc>
        <w:tc>
          <w:tcPr>
            <w:tcW w:w="6639" w:type="dxa"/>
            <w:gridSpan w:val="4"/>
            <w:tcMar>
              <w:top w:w="57" w:type="dxa"/>
              <w:left w:w="57" w:type="dxa"/>
              <w:bottom w:w="57" w:type="dxa"/>
              <w:right w:w="57" w:type="dxa"/>
            </w:tcMar>
            <w:vAlign w:val="center"/>
          </w:tcPr>
          <w:p w14:paraId="41BB7C20">
            <w:pPr>
              <w:keepNext w:val="0"/>
              <w:keepLines w:val="0"/>
              <w:suppressLineNumbers w:val="0"/>
              <w:tabs>
                <w:tab w:val="left" w:pos="246"/>
                <w:tab w:val="left" w:pos="318"/>
                <w:tab w:val="left" w:pos="459"/>
              </w:tabs>
              <w:autoSpaceDE w:val="0"/>
              <w:autoSpaceDN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编列内容</w:t>
            </w:r>
          </w:p>
        </w:tc>
      </w:tr>
      <w:tr w14:paraId="4835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550" w:type="dxa"/>
            <w:gridSpan w:val="4"/>
            <w:tcMar>
              <w:top w:w="57" w:type="dxa"/>
              <w:left w:w="57" w:type="dxa"/>
              <w:bottom w:w="57" w:type="dxa"/>
              <w:right w:w="57" w:type="dxa"/>
            </w:tcMar>
            <w:vAlign w:val="center"/>
          </w:tcPr>
          <w:p w14:paraId="4A286D6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36"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2.2.1</w:t>
            </w:r>
          </w:p>
        </w:tc>
        <w:tc>
          <w:tcPr>
            <w:tcW w:w="1551" w:type="dxa"/>
            <w:gridSpan w:val="3"/>
            <w:tcMar>
              <w:top w:w="57" w:type="dxa"/>
              <w:left w:w="57" w:type="dxa"/>
              <w:bottom w:w="57" w:type="dxa"/>
              <w:right w:w="57" w:type="dxa"/>
            </w:tcMar>
            <w:vAlign w:val="center"/>
          </w:tcPr>
          <w:p w14:paraId="062B4834">
            <w:pPr>
              <w:tabs>
                <w:tab w:val="left" w:pos="1526"/>
              </w:tabs>
              <w:spacing w:before="65" w:line="354" w:lineRule="auto"/>
              <w:ind w:right="19" w:rightChars="0"/>
              <w:jc w:val="center"/>
              <w:rPr>
                <w:rFonts w:hint="eastAsia" w:ascii="宋体" w:hAnsi="宋体" w:eastAsia="宋体" w:cs="宋体"/>
                <w:color w:val="auto"/>
                <w:spacing w:val="9"/>
                <w:sz w:val="21"/>
                <w:szCs w:val="21"/>
                <w:highlight w:val="none"/>
              </w:rPr>
            </w:pPr>
            <w:r>
              <w:rPr>
                <w:rFonts w:hint="eastAsia" w:ascii="宋体" w:hAnsi="宋体" w:eastAsia="宋体" w:cs="宋体"/>
                <w:color w:val="auto"/>
                <w:spacing w:val="8"/>
                <w:sz w:val="21"/>
                <w:szCs w:val="21"/>
                <w:highlight w:val="none"/>
              </w:rPr>
              <w:t>第一个信封评</w:t>
            </w:r>
            <w:r>
              <w:rPr>
                <w:rFonts w:hint="eastAsia" w:ascii="宋体" w:hAnsi="宋体" w:eastAsia="宋体" w:cs="宋体"/>
                <w:color w:val="auto"/>
                <w:spacing w:val="21"/>
                <w:sz w:val="21"/>
                <w:szCs w:val="21"/>
                <w:highlight w:val="none"/>
              </w:rPr>
              <w:t>分分值构成</w:t>
            </w:r>
            <w:r>
              <w:rPr>
                <w:rFonts w:hint="eastAsia" w:ascii="宋体" w:hAnsi="宋体" w:eastAsia="宋体" w:cs="宋体"/>
                <w:color w:val="auto"/>
                <w:spacing w:val="-2"/>
                <w:sz w:val="21"/>
                <w:szCs w:val="21"/>
                <w:highlight w:val="none"/>
              </w:rPr>
              <w:t>（总分</w:t>
            </w:r>
            <w:r>
              <w:rPr>
                <w:rFonts w:hint="eastAsia" w:ascii="宋体" w:hAnsi="宋体" w:eastAsia="宋体" w:cs="宋体"/>
                <w:color w:val="auto"/>
                <w:spacing w:val="-30"/>
                <w:sz w:val="21"/>
                <w:szCs w:val="21"/>
                <w:highlight w:val="none"/>
                <w:lang w:val="en-US" w:eastAsia="zh-CN"/>
              </w:rPr>
              <w:t>100</w:t>
            </w:r>
            <w:r>
              <w:rPr>
                <w:rFonts w:hint="eastAsia" w:ascii="宋体" w:hAnsi="宋体" w:eastAsia="宋体" w:cs="宋体"/>
                <w:color w:val="auto"/>
                <w:spacing w:val="-2"/>
                <w:sz w:val="21"/>
                <w:szCs w:val="21"/>
                <w:highlight w:val="none"/>
              </w:rPr>
              <w:t>分）</w:t>
            </w:r>
          </w:p>
        </w:tc>
        <w:tc>
          <w:tcPr>
            <w:tcW w:w="6639" w:type="dxa"/>
            <w:gridSpan w:val="4"/>
            <w:tcMar>
              <w:top w:w="57" w:type="dxa"/>
              <w:left w:w="57" w:type="dxa"/>
              <w:bottom w:w="57" w:type="dxa"/>
              <w:right w:w="57" w:type="dxa"/>
            </w:tcMar>
            <w:vAlign w:val="center"/>
          </w:tcPr>
          <w:p w14:paraId="1EB3503D">
            <w:pPr>
              <w:spacing w:before="143" w:line="228" w:lineRule="auto"/>
              <w:ind w:left="11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施工组织设计：</w:t>
            </w:r>
            <w:r>
              <w:rPr>
                <w:rFonts w:hint="eastAsia" w:ascii="宋体" w:hAnsi="宋体" w:eastAsia="宋体" w:cs="宋体"/>
                <w:color w:val="auto"/>
                <w:spacing w:val="7"/>
                <w:sz w:val="21"/>
                <w:szCs w:val="21"/>
                <w:highlight w:val="none"/>
                <w:u w:val="single" w:color="auto"/>
              </w:rPr>
              <w:t>35</w:t>
            </w:r>
            <w:r>
              <w:rPr>
                <w:rFonts w:hint="eastAsia" w:ascii="宋体" w:hAnsi="宋体" w:eastAsia="宋体" w:cs="宋体"/>
                <w:color w:val="auto"/>
                <w:spacing w:val="7"/>
                <w:sz w:val="21"/>
                <w:szCs w:val="21"/>
                <w:highlight w:val="none"/>
              </w:rPr>
              <w:t>分</w:t>
            </w:r>
          </w:p>
          <w:p w14:paraId="21AF5639">
            <w:pPr>
              <w:spacing w:before="153" w:line="228" w:lineRule="auto"/>
              <w:ind w:left="113"/>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主要人员：</w:t>
            </w:r>
            <w:r>
              <w:rPr>
                <w:rFonts w:hint="eastAsia" w:ascii="宋体" w:hAnsi="宋体" w:eastAsia="宋体" w:cs="宋体"/>
                <w:color w:val="auto"/>
                <w:spacing w:val="6"/>
                <w:sz w:val="21"/>
                <w:szCs w:val="21"/>
                <w:highlight w:val="none"/>
                <w:u w:val="single" w:color="auto"/>
              </w:rPr>
              <w:t>25</w:t>
            </w:r>
            <w:r>
              <w:rPr>
                <w:rFonts w:hint="eastAsia" w:ascii="宋体" w:hAnsi="宋体" w:eastAsia="宋体" w:cs="宋体"/>
                <w:color w:val="auto"/>
                <w:spacing w:val="6"/>
                <w:sz w:val="21"/>
                <w:szCs w:val="21"/>
                <w:highlight w:val="none"/>
              </w:rPr>
              <w:t>分</w:t>
            </w:r>
          </w:p>
          <w:p w14:paraId="362F65B8">
            <w:pPr>
              <w:spacing w:before="134" w:line="243" w:lineRule="auto"/>
              <w:ind w:left="112"/>
              <w:jc w:val="both"/>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技术能力：</w:t>
            </w:r>
            <w:r>
              <w:rPr>
                <w:rFonts w:hint="eastAsia" w:ascii="宋体" w:hAnsi="宋体" w:eastAsia="宋体" w:cs="宋体"/>
                <w:color w:val="auto"/>
                <w:spacing w:val="3"/>
                <w:sz w:val="21"/>
                <w:szCs w:val="21"/>
                <w:highlight w:val="none"/>
                <w:u w:val="single" w:color="auto"/>
              </w:rPr>
              <w:t>10</w:t>
            </w:r>
            <w:r>
              <w:rPr>
                <w:rFonts w:hint="eastAsia" w:ascii="宋体" w:hAnsi="宋体" w:eastAsia="宋体" w:cs="宋体"/>
                <w:color w:val="auto"/>
                <w:spacing w:val="3"/>
                <w:sz w:val="21"/>
                <w:szCs w:val="21"/>
                <w:highlight w:val="none"/>
              </w:rPr>
              <w:t>分</w:t>
            </w:r>
          </w:p>
          <w:p w14:paraId="61139414">
            <w:pPr>
              <w:spacing w:before="154" w:line="227" w:lineRule="auto"/>
              <w:ind w:left="115"/>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履约信誉：</w:t>
            </w:r>
            <w:r>
              <w:rPr>
                <w:rFonts w:hint="eastAsia" w:ascii="宋体" w:hAnsi="宋体" w:eastAsia="宋体" w:cs="宋体"/>
                <w:color w:val="auto"/>
                <w:spacing w:val="1"/>
                <w:sz w:val="21"/>
                <w:szCs w:val="21"/>
                <w:highlight w:val="none"/>
                <w:u w:val="single"/>
              </w:rPr>
              <w:t>15</w:t>
            </w:r>
            <w:r>
              <w:rPr>
                <w:rFonts w:hint="eastAsia" w:ascii="宋体" w:hAnsi="宋体" w:eastAsia="宋体" w:cs="宋体"/>
                <w:color w:val="auto"/>
                <w:spacing w:val="1"/>
                <w:sz w:val="21"/>
                <w:szCs w:val="21"/>
                <w:highlight w:val="none"/>
              </w:rPr>
              <w:t>分</w:t>
            </w:r>
          </w:p>
          <w:p w14:paraId="0B4DEF34">
            <w:pPr>
              <w:spacing w:before="155" w:line="228" w:lineRule="auto"/>
              <w:ind w:left="110" w:leftChars="0"/>
              <w:jc w:val="both"/>
              <w:rPr>
                <w:rFonts w:hint="eastAsia" w:ascii="宋体" w:hAnsi="宋体" w:eastAsia="宋体" w:cs="宋体"/>
                <w:color w:val="auto"/>
                <w:spacing w:val="9"/>
                <w:sz w:val="21"/>
                <w:szCs w:val="21"/>
                <w:highlight w:val="none"/>
              </w:rPr>
            </w:pPr>
            <w:r>
              <w:rPr>
                <w:rFonts w:hint="eastAsia" w:ascii="宋体" w:hAnsi="宋体" w:eastAsia="宋体" w:cs="宋体"/>
                <w:color w:val="auto"/>
                <w:spacing w:val="-1"/>
                <w:sz w:val="21"/>
                <w:szCs w:val="21"/>
                <w:highlight w:val="none"/>
              </w:rPr>
              <w:t>业</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1"/>
                <w:sz w:val="21"/>
                <w:szCs w:val="21"/>
                <w:highlight w:val="none"/>
              </w:rPr>
              <w:t>绩：</w:t>
            </w:r>
            <w:r>
              <w:rPr>
                <w:rFonts w:hint="eastAsia" w:ascii="宋体" w:hAnsi="宋体" w:eastAsia="宋体" w:cs="宋体"/>
                <w:color w:val="auto"/>
                <w:spacing w:val="-1"/>
                <w:sz w:val="21"/>
                <w:szCs w:val="21"/>
                <w:highlight w:val="none"/>
                <w:u w:val="single" w:color="auto"/>
              </w:rPr>
              <w:t>15</w:t>
            </w:r>
            <w:r>
              <w:rPr>
                <w:rFonts w:hint="eastAsia" w:ascii="宋体" w:hAnsi="宋体" w:eastAsia="宋体" w:cs="宋体"/>
                <w:color w:val="auto"/>
                <w:spacing w:val="-1"/>
                <w:sz w:val="21"/>
                <w:szCs w:val="21"/>
                <w:highlight w:val="none"/>
              </w:rPr>
              <w:t>分</w:t>
            </w:r>
          </w:p>
        </w:tc>
      </w:tr>
      <w:tr w14:paraId="35DA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550" w:type="dxa"/>
            <w:gridSpan w:val="4"/>
            <w:tcMar>
              <w:top w:w="57" w:type="dxa"/>
              <w:left w:w="57" w:type="dxa"/>
              <w:bottom w:w="57" w:type="dxa"/>
              <w:right w:w="57" w:type="dxa"/>
            </w:tcMar>
            <w:vAlign w:val="center"/>
          </w:tcPr>
          <w:p w14:paraId="4831D400">
            <w:pPr>
              <w:spacing w:before="65" w:line="189"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pacing w:val="2"/>
                <w:sz w:val="21"/>
                <w:szCs w:val="21"/>
                <w:highlight w:val="none"/>
              </w:rPr>
              <w:t>2.2.3</w:t>
            </w:r>
          </w:p>
        </w:tc>
        <w:tc>
          <w:tcPr>
            <w:tcW w:w="1551" w:type="dxa"/>
            <w:gridSpan w:val="3"/>
            <w:tcMar>
              <w:top w:w="57" w:type="dxa"/>
              <w:left w:w="57" w:type="dxa"/>
              <w:bottom w:w="57" w:type="dxa"/>
              <w:right w:w="57" w:type="dxa"/>
            </w:tcMar>
            <w:vAlign w:val="center"/>
          </w:tcPr>
          <w:p w14:paraId="3E951B6B">
            <w:pPr>
              <w:tabs>
                <w:tab w:val="left" w:pos="1526"/>
              </w:tabs>
              <w:spacing w:before="65" w:line="354" w:lineRule="auto"/>
              <w:ind w:right="19" w:righ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第二个信封详细评审标准</w:t>
            </w:r>
          </w:p>
        </w:tc>
        <w:tc>
          <w:tcPr>
            <w:tcW w:w="6639" w:type="dxa"/>
            <w:gridSpan w:val="4"/>
            <w:tcMar>
              <w:top w:w="57" w:type="dxa"/>
              <w:left w:w="57" w:type="dxa"/>
              <w:bottom w:w="57" w:type="dxa"/>
              <w:right w:w="57" w:type="dxa"/>
            </w:tcMar>
            <w:vAlign w:val="center"/>
          </w:tcPr>
          <w:p w14:paraId="5E184906">
            <w:pPr>
              <w:spacing w:before="145" w:line="226" w:lineRule="auto"/>
              <w:ind w:left="11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评标价计算公式：</w:t>
            </w:r>
          </w:p>
          <w:p w14:paraId="3C372C24">
            <w:pPr>
              <w:spacing w:before="153" w:line="300" w:lineRule="auto"/>
              <w:ind w:left="110" w:leftChars="0" w:right="110" w:rightChars="0"/>
              <w:jc w:val="both"/>
              <w:rPr>
                <w:rFonts w:hint="eastAsia" w:ascii="宋体" w:hAnsi="宋体" w:eastAsia="宋体" w:cs="宋体"/>
                <w:color w:val="auto"/>
                <w:spacing w:val="9"/>
                <w:sz w:val="21"/>
                <w:szCs w:val="21"/>
                <w:highlight w:val="none"/>
              </w:rPr>
            </w:pPr>
            <w:r>
              <w:rPr>
                <w:rFonts w:hint="eastAsia" w:ascii="宋体" w:hAnsi="宋体" w:eastAsia="宋体" w:cs="宋体"/>
                <w:color w:val="auto"/>
                <w:spacing w:val="6"/>
                <w:sz w:val="21"/>
                <w:szCs w:val="21"/>
                <w:highlight w:val="none"/>
              </w:rPr>
              <w:t>评标价＝修正后的投标报价－暂估价－暂列金额（不含计日工总</w:t>
            </w:r>
            <w:r>
              <w:rPr>
                <w:rFonts w:hint="eastAsia" w:ascii="宋体" w:hAnsi="宋体" w:eastAsia="宋体" w:cs="宋体"/>
                <w:color w:val="auto"/>
                <w:spacing w:val="5"/>
                <w:position w:val="-1"/>
                <w:sz w:val="21"/>
                <w:szCs w:val="21"/>
                <w:highlight w:val="none"/>
              </w:rPr>
              <w:t>额）</w:t>
            </w:r>
          </w:p>
        </w:tc>
      </w:tr>
      <w:tr w14:paraId="38F9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550" w:type="dxa"/>
            <w:gridSpan w:val="4"/>
            <w:tcMar>
              <w:top w:w="57" w:type="dxa"/>
              <w:left w:w="57" w:type="dxa"/>
              <w:bottom w:w="57" w:type="dxa"/>
              <w:right w:w="57" w:type="dxa"/>
            </w:tcMar>
            <w:vAlign w:val="center"/>
          </w:tcPr>
          <w:p w14:paraId="77D1D3FF">
            <w:pPr>
              <w:spacing w:before="65" w:line="189"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pacing w:val="2"/>
                <w:sz w:val="21"/>
                <w:szCs w:val="21"/>
                <w:highlight w:val="none"/>
              </w:rPr>
              <w:t>3.2.4</w:t>
            </w:r>
          </w:p>
        </w:tc>
        <w:tc>
          <w:tcPr>
            <w:tcW w:w="1551" w:type="dxa"/>
            <w:gridSpan w:val="3"/>
            <w:tcMar>
              <w:top w:w="57" w:type="dxa"/>
              <w:left w:w="57" w:type="dxa"/>
              <w:bottom w:w="57" w:type="dxa"/>
              <w:right w:w="57" w:type="dxa"/>
            </w:tcMar>
            <w:vAlign w:val="center"/>
          </w:tcPr>
          <w:p w14:paraId="0AE121EA">
            <w:pPr>
              <w:tabs>
                <w:tab w:val="left" w:pos="1526"/>
              </w:tabs>
              <w:spacing w:before="65" w:line="354" w:lineRule="auto"/>
              <w:ind w:right="19" w:righ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通过第一个信封详细评审的投标人数量</w:t>
            </w:r>
          </w:p>
        </w:tc>
        <w:tc>
          <w:tcPr>
            <w:tcW w:w="6639" w:type="dxa"/>
            <w:gridSpan w:val="4"/>
            <w:tcMar>
              <w:top w:w="57" w:type="dxa"/>
              <w:left w:w="57" w:type="dxa"/>
              <w:bottom w:w="57" w:type="dxa"/>
              <w:right w:w="57" w:type="dxa"/>
            </w:tcMar>
            <w:vAlign w:val="center"/>
          </w:tcPr>
          <w:p w14:paraId="65A57FD1">
            <w:pPr>
              <w:spacing w:before="65" w:line="350" w:lineRule="auto"/>
              <w:ind w:right="109" w:rightChars="0"/>
              <w:jc w:val="both"/>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按照投标人的商务和技术得分由高到低排序，选择各标段前</w:t>
            </w:r>
            <w:r>
              <w:rPr>
                <w:rFonts w:hint="eastAsia" w:ascii="宋体" w:hAnsi="宋体" w:eastAsia="宋体" w:cs="宋体"/>
                <w:color w:val="auto"/>
                <w:spacing w:val="9"/>
                <w:sz w:val="21"/>
                <w:szCs w:val="21"/>
                <w:highlight w:val="none"/>
                <w:u w:val="single" w:color="auto"/>
                <w:lang w:val="en-US" w:eastAsia="zh-CN"/>
              </w:rPr>
              <w:t xml:space="preserve"> 5</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7"/>
                <w:sz w:val="21"/>
                <w:szCs w:val="21"/>
                <w:highlight w:val="none"/>
              </w:rPr>
              <w:t>名通过详细评审。</w:t>
            </w:r>
          </w:p>
        </w:tc>
      </w:tr>
      <w:tr w14:paraId="0A82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9" w:type="dxa"/>
          <w:trHeight w:val="567" w:hRule="atLeast"/>
          <w:jc w:val="center"/>
        </w:trPr>
        <w:tc>
          <w:tcPr>
            <w:tcW w:w="5223" w:type="dxa"/>
            <w:gridSpan w:val="9"/>
            <w:tcMar>
              <w:top w:w="57" w:type="dxa"/>
              <w:left w:w="57" w:type="dxa"/>
              <w:bottom w:w="57" w:type="dxa"/>
              <w:right w:w="57" w:type="dxa"/>
            </w:tcMar>
            <w:vAlign w:val="center"/>
          </w:tcPr>
          <w:p w14:paraId="15DBC734">
            <w:pPr>
              <w:pStyle w:val="10"/>
              <w:spacing w:line="320" w:lineRule="exact"/>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评分因素与权重分值</w:t>
            </w:r>
          </w:p>
        </w:tc>
        <w:tc>
          <w:tcPr>
            <w:tcW w:w="4398" w:type="dxa"/>
            <w:vMerge w:val="restart"/>
            <w:tcMar>
              <w:top w:w="57" w:type="dxa"/>
              <w:left w:w="57" w:type="dxa"/>
              <w:bottom w:w="57" w:type="dxa"/>
              <w:right w:w="57" w:type="dxa"/>
            </w:tcMar>
            <w:vAlign w:val="center"/>
          </w:tcPr>
          <w:p w14:paraId="2A7FE2A9">
            <w:pPr>
              <w:pStyle w:val="10"/>
              <w:spacing w:line="320" w:lineRule="exact"/>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10BE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9" w:type="dxa"/>
          <w:trHeight w:val="567" w:hRule="atLeast"/>
          <w:jc w:val="center"/>
        </w:trPr>
        <w:tc>
          <w:tcPr>
            <w:tcW w:w="761" w:type="dxa"/>
            <w:gridSpan w:val="2"/>
            <w:tcMar>
              <w:top w:w="57" w:type="dxa"/>
              <w:left w:w="57" w:type="dxa"/>
              <w:bottom w:w="57" w:type="dxa"/>
              <w:right w:w="57" w:type="dxa"/>
            </w:tcMar>
            <w:vAlign w:val="center"/>
          </w:tcPr>
          <w:p w14:paraId="170CB3E4">
            <w:pPr>
              <w:spacing w:line="32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w:t>
            </w:r>
          </w:p>
        </w:tc>
        <w:tc>
          <w:tcPr>
            <w:tcW w:w="1299" w:type="dxa"/>
            <w:gridSpan w:val="3"/>
            <w:tcMar>
              <w:top w:w="57" w:type="dxa"/>
              <w:left w:w="57" w:type="dxa"/>
              <w:bottom w:w="57" w:type="dxa"/>
              <w:right w:w="57" w:type="dxa"/>
            </w:tcMar>
            <w:vAlign w:val="center"/>
          </w:tcPr>
          <w:p w14:paraId="63EEE162">
            <w:pPr>
              <w:pStyle w:val="10"/>
              <w:spacing w:line="320" w:lineRule="exact"/>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896" w:type="dxa"/>
            <w:tcMar>
              <w:top w:w="57" w:type="dxa"/>
              <w:left w:w="57" w:type="dxa"/>
              <w:bottom w:w="57" w:type="dxa"/>
              <w:right w:w="57" w:type="dxa"/>
            </w:tcMar>
            <w:vAlign w:val="center"/>
          </w:tcPr>
          <w:p w14:paraId="53AB3918">
            <w:pPr>
              <w:pStyle w:val="10"/>
              <w:spacing w:line="320" w:lineRule="exact"/>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评分因素权重分值</w:t>
            </w:r>
          </w:p>
        </w:tc>
        <w:tc>
          <w:tcPr>
            <w:tcW w:w="1627" w:type="dxa"/>
            <w:gridSpan w:val="2"/>
            <w:tcMar>
              <w:top w:w="57" w:type="dxa"/>
              <w:left w:w="57" w:type="dxa"/>
              <w:bottom w:w="57" w:type="dxa"/>
              <w:right w:w="57" w:type="dxa"/>
            </w:tcMar>
            <w:vAlign w:val="center"/>
          </w:tcPr>
          <w:p w14:paraId="753D032A">
            <w:pPr>
              <w:pStyle w:val="10"/>
              <w:spacing w:line="320" w:lineRule="exact"/>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各评分因素细分项</w:t>
            </w:r>
          </w:p>
        </w:tc>
        <w:tc>
          <w:tcPr>
            <w:tcW w:w="640" w:type="dxa"/>
            <w:tcMar>
              <w:top w:w="57" w:type="dxa"/>
              <w:left w:w="57" w:type="dxa"/>
              <w:bottom w:w="57" w:type="dxa"/>
              <w:right w:w="57" w:type="dxa"/>
            </w:tcMar>
            <w:vAlign w:val="center"/>
          </w:tcPr>
          <w:p w14:paraId="15829D7A">
            <w:pPr>
              <w:pStyle w:val="10"/>
              <w:spacing w:line="320" w:lineRule="exact"/>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4398" w:type="dxa"/>
            <w:vMerge w:val="continue"/>
            <w:tcMar>
              <w:top w:w="57" w:type="dxa"/>
              <w:left w:w="57" w:type="dxa"/>
              <w:bottom w:w="57" w:type="dxa"/>
              <w:right w:w="57" w:type="dxa"/>
            </w:tcMar>
            <w:vAlign w:val="center"/>
          </w:tcPr>
          <w:p w14:paraId="1550A47E">
            <w:pPr>
              <w:spacing w:line="320" w:lineRule="exact"/>
              <w:ind w:left="0" w:leftChars="0" w:right="0" w:rightChars="0" w:firstLine="0" w:firstLineChars="0"/>
              <w:jc w:val="center"/>
              <w:rPr>
                <w:rFonts w:hint="eastAsia" w:ascii="宋体" w:hAnsi="宋体" w:eastAsia="宋体" w:cs="宋体"/>
                <w:color w:val="auto"/>
                <w:sz w:val="24"/>
                <w:szCs w:val="24"/>
                <w:highlight w:val="none"/>
              </w:rPr>
            </w:pPr>
          </w:p>
        </w:tc>
      </w:tr>
      <w:tr w14:paraId="555B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9" w:type="dxa"/>
          <w:trHeight w:val="1487" w:hRule="atLeast"/>
          <w:jc w:val="center"/>
        </w:trPr>
        <w:tc>
          <w:tcPr>
            <w:tcW w:w="761" w:type="dxa"/>
            <w:gridSpan w:val="2"/>
            <w:vMerge w:val="restart"/>
            <w:tcMar>
              <w:top w:w="57" w:type="dxa"/>
              <w:left w:w="57" w:type="dxa"/>
              <w:bottom w:w="57" w:type="dxa"/>
              <w:right w:w="57" w:type="dxa"/>
            </w:tcMar>
            <w:vAlign w:val="center"/>
          </w:tcPr>
          <w:p w14:paraId="33263458">
            <w:pPr>
              <w:pStyle w:val="10"/>
              <w:adjustRightInd w:val="0"/>
              <w:snapToGrid w:val="0"/>
              <w:spacing w:line="320" w:lineRule="exact"/>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2</w:t>
            </w:r>
          </w:p>
          <w:p w14:paraId="648E4D05">
            <w:pPr>
              <w:pStyle w:val="10"/>
              <w:adjustRightInd w:val="0"/>
              <w:snapToGrid w:val="0"/>
              <w:spacing w:line="320" w:lineRule="exact"/>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9" w:type="dxa"/>
            <w:gridSpan w:val="3"/>
            <w:vMerge w:val="restart"/>
            <w:tcMar>
              <w:top w:w="57" w:type="dxa"/>
              <w:left w:w="57" w:type="dxa"/>
              <w:bottom w:w="57" w:type="dxa"/>
              <w:right w:w="57" w:type="dxa"/>
            </w:tcMar>
            <w:vAlign w:val="center"/>
          </w:tcPr>
          <w:p w14:paraId="3AFA1CE7">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施工组织设计</w:t>
            </w:r>
          </w:p>
        </w:tc>
        <w:tc>
          <w:tcPr>
            <w:tcW w:w="896" w:type="dxa"/>
            <w:vMerge w:val="restart"/>
            <w:tcMar>
              <w:top w:w="57" w:type="dxa"/>
              <w:left w:w="57" w:type="dxa"/>
              <w:bottom w:w="57" w:type="dxa"/>
              <w:right w:w="57" w:type="dxa"/>
            </w:tcMar>
            <w:vAlign w:val="center"/>
          </w:tcPr>
          <w:p w14:paraId="5EBAD99D">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35分</w:t>
            </w:r>
          </w:p>
        </w:tc>
        <w:tc>
          <w:tcPr>
            <w:tcW w:w="1627" w:type="dxa"/>
            <w:gridSpan w:val="2"/>
            <w:tcMar>
              <w:top w:w="57" w:type="dxa"/>
              <w:left w:w="57" w:type="dxa"/>
              <w:bottom w:w="57" w:type="dxa"/>
              <w:right w:w="57" w:type="dxa"/>
            </w:tcMar>
            <w:vAlign w:val="center"/>
          </w:tcPr>
          <w:p w14:paraId="4FA56F2F">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总体施工组织布置及规划</w:t>
            </w:r>
          </w:p>
        </w:tc>
        <w:tc>
          <w:tcPr>
            <w:tcW w:w="640" w:type="dxa"/>
            <w:tcMar>
              <w:top w:w="57" w:type="dxa"/>
              <w:left w:w="57" w:type="dxa"/>
              <w:bottom w:w="57" w:type="dxa"/>
              <w:right w:w="57" w:type="dxa"/>
            </w:tcMar>
            <w:vAlign w:val="center"/>
          </w:tcPr>
          <w:p w14:paraId="0529AB83">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lang w:val="en-US" w:eastAsia="zh-CN"/>
              </w:rPr>
              <w:t>分</w:t>
            </w:r>
          </w:p>
        </w:tc>
        <w:tc>
          <w:tcPr>
            <w:tcW w:w="4398" w:type="dxa"/>
            <w:tcMar>
              <w:top w:w="57" w:type="dxa"/>
              <w:left w:w="57" w:type="dxa"/>
              <w:bottom w:w="57" w:type="dxa"/>
              <w:right w:w="57" w:type="dxa"/>
            </w:tcMar>
            <w:vAlign w:val="center"/>
          </w:tcPr>
          <w:p w14:paraId="1C4AAA89">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优：得</w:t>
            </w:r>
            <w:r>
              <w:rPr>
                <w:rFonts w:hint="eastAsia" w:ascii="宋体" w:hAnsi="宋体" w:eastAsia="宋体" w:cs="宋体"/>
                <w:color w:val="auto"/>
                <w:kern w:val="2"/>
                <w:sz w:val="21"/>
                <w:szCs w:val="21"/>
                <w:highlight w:val="none"/>
                <w:lang w:val="en-US" w:eastAsia="zh-CN" w:bidi="zh-CN"/>
              </w:rPr>
              <w:t>4.5</w:t>
            </w:r>
            <w:r>
              <w:rPr>
                <w:rFonts w:hint="eastAsia" w:ascii="宋体" w:hAnsi="宋体" w:eastAsia="宋体" w:cs="宋体"/>
                <w:color w:val="auto"/>
                <w:kern w:val="2"/>
                <w:sz w:val="21"/>
                <w:szCs w:val="21"/>
                <w:highlight w:val="none"/>
                <w:lang w:val="zh-CN" w:eastAsia="zh-CN" w:bidi="zh-CN"/>
              </w:rPr>
              <w:t>～</w:t>
            </w:r>
            <w:r>
              <w:rPr>
                <w:rFonts w:hint="eastAsia" w:ascii="宋体" w:hAnsi="宋体" w:eastAsia="宋体" w:cs="宋体"/>
                <w:color w:val="auto"/>
                <w:kern w:val="2"/>
                <w:sz w:val="21"/>
                <w:szCs w:val="21"/>
                <w:highlight w:val="none"/>
                <w:lang w:val="en-US" w:eastAsia="zh-CN" w:bidi="zh-CN"/>
              </w:rPr>
              <w:t>5.0</w:t>
            </w:r>
            <w:r>
              <w:rPr>
                <w:rFonts w:hint="eastAsia" w:ascii="宋体" w:hAnsi="宋体" w:eastAsia="宋体" w:cs="宋体"/>
                <w:color w:val="auto"/>
                <w:kern w:val="2"/>
                <w:sz w:val="21"/>
                <w:szCs w:val="21"/>
                <w:highlight w:val="none"/>
                <w:lang w:val="zh-CN" w:eastAsia="zh-CN" w:bidi="zh-CN"/>
              </w:rPr>
              <w:t>分；</w:t>
            </w:r>
          </w:p>
          <w:p w14:paraId="5AA7DC00">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良：得3.5～4.5分；</w:t>
            </w:r>
          </w:p>
          <w:p w14:paraId="16457FB0">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中：得3.0～3.5分；</w:t>
            </w:r>
          </w:p>
          <w:p w14:paraId="7D499805">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zh-CN"/>
              </w:rPr>
              <w:t>差：评分低于3.0分，且作出评审说明。</w:t>
            </w:r>
          </w:p>
        </w:tc>
      </w:tr>
      <w:tr w14:paraId="5983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9" w:type="dxa"/>
          <w:trHeight w:val="1516" w:hRule="atLeast"/>
          <w:jc w:val="center"/>
        </w:trPr>
        <w:tc>
          <w:tcPr>
            <w:tcW w:w="761" w:type="dxa"/>
            <w:gridSpan w:val="2"/>
            <w:vMerge w:val="continue"/>
            <w:tcMar>
              <w:top w:w="57" w:type="dxa"/>
              <w:left w:w="57" w:type="dxa"/>
              <w:bottom w:w="57" w:type="dxa"/>
              <w:right w:w="57" w:type="dxa"/>
            </w:tcMar>
            <w:vAlign w:val="center"/>
          </w:tcPr>
          <w:p w14:paraId="021EEAD3">
            <w:pPr>
              <w:pStyle w:val="10"/>
              <w:adjustRightInd w:val="0"/>
              <w:snapToGrid w:val="0"/>
              <w:spacing w:line="320" w:lineRule="exact"/>
              <w:ind w:left="0" w:leftChars="0" w:right="0" w:rightChars="0" w:firstLine="0" w:firstLineChars="0"/>
              <w:jc w:val="center"/>
              <w:rPr>
                <w:rFonts w:hint="eastAsia" w:ascii="宋体" w:hAnsi="宋体" w:eastAsia="宋体" w:cs="宋体"/>
                <w:color w:val="auto"/>
                <w:sz w:val="21"/>
                <w:szCs w:val="21"/>
                <w:highlight w:val="none"/>
              </w:rPr>
            </w:pPr>
          </w:p>
        </w:tc>
        <w:tc>
          <w:tcPr>
            <w:tcW w:w="1299" w:type="dxa"/>
            <w:gridSpan w:val="3"/>
            <w:vMerge w:val="continue"/>
            <w:tcMar>
              <w:top w:w="57" w:type="dxa"/>
              <w:left w:w="57" w:type="dxa"/>
              <w:bottom w:w="57" w:type="dxa"/>
              <w:right w:w="57" w:type="dxa"/>
            </w:tcMar>
            <w:vAlign w:val="center"/>
          </w:tcPr>
          <w:p w14:paraId="1ABCD338">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rPr>
            </w:pPr>
          </w:p>
        </w:tc>
        <w:tc>
          <w:tcPr>
            <w:tcW w:w="896" w:type="dxa"/>
            <w:vMerge w:val="continue"/>
            <w:tcMar>
              <w:top w:w="57" w:type="dxa"/>
              <w:left w:w="57" w:type="dxa"/>
              <w:bottom w:w="57" w:type="dxa"/>
              <w:right w:w="57" w:type="dxa"/>
            </w:tcMar>
            <w:vAlign w:val="center"/>
          </w:tcPr>
          <w:p w14:paraId="7C3FB5C7">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rPr>
            </w:pPr>
          </w:p>
        </w:tc>
        <w:tc>
          <w:tcPr>
            <w:tcW w:w="1627" w:type="dxa"/>
            <w:gridSpan w:val="2"/>
            <w:tcMar>
              <w:top w:w="57" w:type="dxa"/>
              <w:left w:w="57" w:type="dxa"/>
              <w:bottom w:w="57" w:type="dxa"/>
              <w:right w:w="57" w:type="dxa"/>
            </w:tcMar>
            <w:vAlign w:val="center"/>
          </w:tcPr>
          <w:p w14:paraId="157DE2DE">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项目重点、难点工程的施工方案及技术措施</w:t>
            </w:r>
          </w:p>
        </w:tc>
        <w:tc>
          <w:tcPr>
            <w:tcW w:w="640" w:type="dxa"/>
            <w:tcMar>
              <w:top w:w="57" w:type="dxa"/>
              <w:left w:w="57" w:type="dxa"/>
              <w:bottom w:w="57" w:type="dxa"/>
              <w:right w:w="57" w:type="dxa"/>
            </w:tcMar>
            <w:vAlign w:val="center"/>
          </w:tcPr>
          <w:p w14:paraId="17E50926">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7分</w:t>
            </w:r>
          </w:p>
        </w:tc>
        <w:tc>
          <w:tcPr>
            <w:tcW w:w="4398" w:type="dxa"/>
            <w:tcMar>
              <w:top w:w="57" w:type="dxa"/>
              <w:left w:w="57" w:type="dxa"/>
              <w:bottom w:w="57" w:type="dxa"/>
              <w:right w:w="57" w:type="dxa"/>
            </w:tcMar>
            <w:vAlign w:val="center"/>
          </w:tcPr>
          <w:p w14:paraId="0203409C">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优：得</w:t>
            </w:r>
            <w:r>
              <w:rPr>
                <w:rFonts w:hint="eastAsia" w:ascii="宋体" w:hAnsi="宋体" w:eastAsia="宋体" w:cs="宋体"/>
                <w:color w:val="auto"/>
                <w:kern w:val="2"/>
                <w:sz w:val="21"/>
                <w:szCs w:val="21"/>
                <w:highlight w:val="none"/>
                <w:lang w:val="en-US" w:eastAsia="zh-CN" w:bidi="zh-CN"/>
              </w:rPr>
              <w:t>6.3</w:t>
            </w:r>
            <w:r>
              <w:rPr>
                <w:rFonts w:hint="eastAsia" w:ascii="宋体" w:hAnsi="宋体" w:eastAsia="宋体" w:cs="宋体"/>
                <w:color w:val="auto"/>
                <w:kern w:val="2"/>
                <w:sz w:val="21"/>
                <w:szCs w:val="21"/>
                <w:highlight w:val="none"/>
                <w:lang w:val="zh-CN" w:eastAsia="zh-CN" w:bidi="zh-CN"/>
              </w:rPr>
              <w:t>～</w:t>
            </w:r>
            <w:r>
              <w:rPr>
                <w:rFonts w:hint="eastAsia" w:ascii="宋体" w:hAnsi="宋体" w:eastAsia="宋体" w:cs="宋体"/>
                <w:color w:val="auto"/>
                <w:kern w:val="2"/>
                <w:sz w:val="21"/>
                <w:szCs w:val="21"/>
                <w:highlight w:val="none"/>
                <w:lang w:val="en-US" w:eastAsia="zh-CN" w:bidi="zh-CN"/>
              </w:rPr>
              <w:t>7.0</w:t>
            </w:r>
            <w:r>
              <w:rPr>
                <w:rFonts w:hint="eastAsia" w:ascii="宋体" w:hAnsi="宋体" w:eastAsia="宋体" w:cs="宋体"/>
                <w:color w:val="auto"/>
                <w:kern w:val="2"/>
                <w:sz w:val="21"/>
                <w:szCs w:val="21"/>
                <w:highlight w:val="none"/>
                <w:lang w:val="zh-CN" w:eastAsia="zh-CN" w:bidi="zh-CN"/>
              </w:rPr>
              <w:t>分；</w:t>
            </w:r>
          </w:p>
          <w:p w14:paraId="38E5539C">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良：得</w:t>
            </w:r>
            <w:r>
              <w:rPr>
                <w:rFonts w:hint="eastAsia" w:ascii="宋体" w:hAnsi="宋体" w:eastAsia="宋体" w:cs="宋体"/>
                <w:color w:val="auto"/>
                <w:kern w:val="2"/>
                <w:sz w:val="21"/>
                <w:szCs w:val="21"/>
                <w:highlight w:val="none"/>
                <w:lang w:val="en-US" w:eastAsia="zh-CN" w:bidi="zh-CN"/>
              </w:rPr>
              <w:t>4.9</w:t>
            </w:r>
            <w:r>
              <w:rPr>
                <w:rFonts w:hint="eastAsia" w:ascii="宋体" w:hAnsi="宋体" w:eastAsia="宋体" w:cs="宋体"/>
                <w:color w:val="auto"/>
                <w:kern w:val="2"/>
                <w:sz w:val="21"/>
                <w:szCs w:val="21"/>
                <w:highlight w:val="none"/>
                <w:lang w:val="zh-CN" w:eastAsia="zh-CN" w:bidi="zh-CN"/>
              </w:rPr>
              <w:t>～</w:t>
            </w:r>
            <w:r>
              <w:rPr>
                <w:rFonts w:hint="eastAsia" w:ascii="宋体" w:hAnsi="宋体" w:eastAsia="宋体" w:cs="宋体"/>
                <w:color w:val="auto"/>
                <w:kern w:val="2"/>
                <w:sz w:val="21"/>
                <w:szCs w:val="21"/>
                <w:highlight w:val="none"/>
                <w:lang w:val="en-US" w:eastAsia="zh-CN" w:bidi="zh-CN"/>
              </w:rPr>
              <w:t>6.3</w:t>
            </w:r>
            <w:r>
              <w:rPr>
                <w:rFonts w:hint="eastAsia" w:ascii="宋体" w:hAnsi="宋体" w:eastAsia="宋体" w:cs="宋体"/>
                <w:color w:val="auto"/>
                <w:kern w:val="2"/>
                <w:sz w:val="21"/>
                <w:szCs w:val="21"/>
                <w:highlight w:val="none"/>
                <w:lang w:val="zh-CN" w:eastAsia="zh-CN" w:bidi="zh-CN"/>
              </w:rPr>
              <w:t>分；</w:t>
            </w:r>
          </w:p>
          <w:p w14:paraId="6E816D24">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中：得</w:t>
            </w:r>
            <w:r>
              <w:rPr>
                <w:rFonts w:hint="eastAsia" w:ascii="宋体" w:hAnsi="宋体" w:eastAsia="宋体" w:cs="宋体"/>
                <w:color w:val="auto"/>
                <w:kern w:val="2"/>
                <w:sz w:val="21"/>
                <w:szCs w:val="21"/>
                <w:highlight w:val="none"/>
                <w:lang w:val="en-US" w:eastAsia="zh-CN" w:bidi="zh-CN"/>
              </w:rPr>
              <w:t>4.2</w:t>
            </w:r>
            <w:r>
              <w:rPr>
                <w:rFonts w:hint="eastAsia" w:ascii="宋体" w:hAnsi="宋体" w:eastAsia="宋体" w:cs="宋体"/>
                <w:color w:val="auto"/>
                <w:kern w:val="2"/>
                <w:sz w:val="21"/>
                <w:szCs w:val="21"/>
                <w:highlight w:val="none"/>
                <w:lang w:val="zh-CN" w:eastAsia="zh-CN" w:bidi="zh-CN"/>
              </w:rPr>
              <w:t>～</w:t>
            </w:r>
            <w:r>
              <w:rPr>
                <w:rFonts w:hint="eastAsia" w:ascii="宋体" w:hAnsi="宋体" w:eastAsia="宋体" w:cs="宋体"/>
                <w:color w:val="auto"/>
                <w:kern w:val="2"/>
                <w:sz w:val="21"/>
                <w:szCs w:val="21"/>
                <w:highlight w:val="none"/>
                <w:lang w:val="en-US" w:eastAsia="zh-CN" w:bidi="zh-CN"/>
              </w:rPr>
              <w:t>4.9</w:t>
            </w:r>
            <w:r>
              <w:rPr>
                <w:rFonts w:hint="eastAsia" w:ascii="宋体" w:hAnsi="宋体" w:eastAsia="宋体" w:cs="宋体"/>
                <w:color w:val="auto"/>
                <w:kern w:val="2"/>
                <w:sz w:val="21"/>
                <w:szCs w:val="21"/>
                <w:highlight w:val="none"/>
                <w:lang w:val="zh-CN" w:eastAsia="zh-CN" w:bidi="zh-CN"/>
              </w:rPr>
              <w:t>分；</w:t>
            </w:r>
          </w:p>
          <w:p w14:paraId="75DE7E88">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zh-CN"/>
              </w:rPr>
              <w:t>差：评分低于4.2分，且作出评审说明。</w:t>
            </w:r>
          </w:p>
        </w:tc>
      </w:tr>
      <w:tr w14:paraId="04E5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9" w:type="dxa"/>
          <w:trHeight w:val="1420" w:hRule="atLeast"/>
          <w:jc w:val="center"/>
        </w:trPr>
        <w:tc>
          <w:tcPr>
            <w:tcW w:w="761" w:type="dxa"/>
            <w:gridSpan w:val="2"/>
            <w:vMerge w:val="continue"/>
            <w:tcMar>
              <w:top w:w="57" w:type="dxa"/>
              <w:left w:w="57" w:type="dxa"/>
              <w:bottom w:w="57" w:type="dxa"/>
              <w:right w:w="57" w:type="dxa"/>
            </w:tcMar>
            <w:vAlign w:val="center"/>
          </w:tcPr>
          <w:p w14:paraId="0CC869D4">
            <w:pPr>
              <w:adjustRightInd w:val="0"/>
              <w:snapToGrid w:val="0"/>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p>
        </w:tc>
        <w:tc>
          <w:tcPr>
            <w:tcW w:w="1299" w:type="dxa"/>
            <w:gridSpan w:val="3"/>
            <w:vMerge w:val="continue"/>
            <w:tcMar>
              <w:top w:w="57" w:type="dxa"/>
              <w:left w:w="57" w:type="dxa"/>
              <w:bottom w:w="57" w:type="dxa"/>
              <w:right w:w="57" w:type="dxa"/>
            </w:tcMar>
            <w:vAlign w:val="center"/>
          </w:tcPr>
          <w:p w14:paraId="28AB7BC7">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p>
        </w:tc>
        <w:tc>
          <w:tcPr>
            <w:tcW w:w="896" w:type="dxa"/>
            <w:vMerge w:val="continue"/>
            <w:tcMar>
              <w:top w:w="57" w:type="dxa"/>
              <w:left w:w="57" w:type="dxa"/>
              <w:bottom w:w="57" w:type="dxa"/>
              <w:right w:w="57" w:type="dxa"/>
            </w:tcMar>
            <w:vAlign w:val="center"/>
          </w:tcPr>
          <w:p w14:paraId="0B9E65DB">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p>
        </w:tc>
        <w:tc>
          <w:tcPr>
            <w:tcW w:w="1627" w:type="dxa"/>
            <w:gridSpan w:val="2"/>
            <w:tcMar>
              <w:top w:w="57" w:type="dxa"/>
              <w:left w:w="57" w:type="dxa"/>
              <w:bottom w:w="57" w:type="dxa"/>
              <w:right w:w="57" w:type="dxa"/>
            </w:tcMar>
            <w:vAlign w:val="center"/>
          </w:tcPr>
          <w:p w14:paraId="331B7D4C">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工程质量管理体</w:t>
            </w:r>
            <w:r>
              <w:rPr>
                <w:rFonts w:hint="eastAsia" w:ascii="宋体" w:hAnsi="宋体" w:eastAsia="宋体" w:cs="宋体"/>
                <w:color w:val="auto"/>
                <w:spacing w:val="7"/>
                <w:sz w:val="21"/>
                <w:szCs w:val="21"/>
                <w:highlight w:val="none"/>
              </w:rPr>
              <w:t>系及保证措施</w:t>
            </w:r>
          </w:p>
        </w:tc>
        <w:tc>
          <w:tcPr>
            <w:tcW w:w="640" w:type="dxa"/>
            <w:tcMar>
              <w:top w:w="57" w:type="dxa"/>
              <w:left w:w="57" w:type="dxa"/>
              <w:bottom w:w="57" w:type="dxa"/>
              <w:right w:w="57" w:type="dxa"/>
            </w:tcMar>
            <w:vAlign w:val="center"/>
          </w:tcPr>
          <w:p w14:paraId="0CD0D895">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5分</w:t>
            </w:r>
          </w:p>
        </w:tc>
        <w:tc>
          <w:tcPr>
            <w:tcW w:w="4398" w:type="dxa"/>
            <w:tcMar>
              <w:top w:w="57" w:type="dxa"/>
              <w:left w:w="57" w:type="dxa"/>
              <w:bottom w:w="57" w:type="dxa"/>
              <w:right w:w="57" w:type="dxa"/>
            </w:tcMar>
            <w:vAlign w:val="center"/>
          </w:tcPr>
          <w:p w14:paraId="0480A536">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优：得</w:t>
            </w:r>
            <w:r>
              <w:rPr>
                <w:rFonts w:hint="eastAsia" w:ascii="宋体" w:hAnsi="宋体" w:eastAsia="宋体" w:cs="宋体"/>
                <w:color w:val="auto"/>
                <w:kern w:val="2"/>
                <w:sz w:val="21"/>
                <w:szCs w:val="21"/>
                <w:highlight w:val="none"/>
                <w:lang w:val="en-US" w:eastAsia="zh-CN" w:bidi="zh-CN"/>
              </w:rPr>
              <w:t>4.5</w:t>
            </w:r>
            <w:r>
              <w:rPr>
                <w:rFonts w:hint="eastAsia" w:ascii="宋体" w:hAnsi="宋体" w:eastAsia="宋体" w:cs="宋体"/>
                <w:color w:val="auto"/>
                <w:kern w:val="2"/>
                <w:sz w:val="21"/>
                <w:szCs w:val="21"/>
                <w:highlight w:val="none"/>
                <w:lang w:val="zh-CN" w:eastAsia="zh-CN" w:bidi="zh-CN"/>
              </w:rPr>
              <w:t>～</w:t>
            </w:r>
            <w:r>
              <w:rPr>
                <w:rFonts w:hint="eastAsia" w:ascii="宋体" w:hAnsi="宋体" w:eastAsia="宋体" w:cs="宋体"/>
                <w:color w:val="auto"/>
                <w:kern w:val="2"/>
                <w:sz w:val="21"/>
                <w:szCs w:val="21"/>
                <w:highlight w:val="none"/>
                <w:lang w:val="en-US" w:eastAsia="zh-CN" w:bidi="zh-CN"/>
              </w:rPr>
              <w:t>5.0</w:t>
            </w:r>
            <w:r>
              <w:rPr>
                <w:rFonts w:hint="eastAsia" w:ascii="宋体" w:hAnsi="宋体" w:eastAsia="宋体" w:cs="宋体"/>
                <w:color w:val="auto"/>
                <w:kern w:val="2"/>
                <w:sz w:val="21"/>
                <w:szCs w:val="21"/>
                <w:highlight w:val="none"/>
                <w:lang w:val="zh-CN" w:eastAsia="zh-CN" w:bidi="zh-CN"/>
              </w:rPr>
              <w:t>分；</w:t>
            </w:r>
          </w:p>
          <w:p w14:paraId="1CD18D81">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良：得3.5～4.5分；</w:t>
            </w:r>
          </w:p>
          <w:p w14:paraId="7F40CA58">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中：得3.0～3.5分；</w:t>
            </w:r>
          </w:p>
          <w:p w14:paraId="1BE9D1C1">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zh-CN"/>
              </w:rPr>
              <w:t>差：评分低于3.0分，且作出评审说明。</w:t>
            </w:r>
          </w:p>
        </w:tc>
      </w:tr>
      <w:tr w14:paraId="6B30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9" w:type="dxa"/>
          <w:trHeight w:val="1405" w:hRule="atLeast"/>
          <w:jc w:val="center"/>
        </w:trPr>
        <w:tc>
          <w:tcPr>
            <w:tcW w:w="761" w:type="dxa"/>
            <w:gridSpan w:val="2"/>
            <w:vMerge w:val="continue"/>
            <w:tcMar>
              <w:top w:w="57" w:type="dxa"/>
              <w:left w:w="57" w:type="dxa"/>
              <w:bottom w:w="57" w:type="dxa"/>
              <w:right w:w="57" w:type="dxa"/>
            </w:tcMar>
            <w:vAlign w:val="center"/>
          </w:tcPr>
          <w:p w14:paraId="7D8D37F4">
            <w:pPr>
              <w:adjustRightInd w:val="0"/>
              <w:snapToGrid w:val="0"/>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p>
        </w:tc>
        <w:tc>
          <w:tcPr>
            <w:tcW w:w="1299" w:type="dxa"/>
            <w:gridSpan w:val="3"/>
            <w:vMerge w:val="continue"/>
            <w:tcMar>
              <w:top w:w="57" w:type="dxa"/>
              <w:left w:w="57" w:type="dxa"/>
              <w:bottom w:w="57" w:type="dxa"/>
              <w:right w:w="57" w:type="dxa"/>
            </w:tcMar>
            <w:vAlign w:val="center"/>
          </w:tcPr>
          <w:p w14:paraId="69AD6A5B">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p>
        </w:tc>
        <w:tc>
          <w:tcPr>
            <w:tcW w:w="896" w:type="dxa"/>
            <w:vMerge w:val="continue"/>
            <w:tcMar>
              <w:top w:w="57" w:type="dxa"/>
              <w:left w:w="57" w:type="dxa"/>
              <w:bottom w:w="57" w:type="dxa"/>
              <w:right w:w="57" w:type="dxa"/>
            </w:tcMar>
            <w:vAlign w:val="center"/>
          </w:tcPr>
          <w:p w14:paraId="16C9427F">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p>
        </w:tc>
        <w:tc>
          <w:tcPr>
            <w:tcW w:w="1627" w:type="dxa"/>
            <w:gridSpan w:val="2"/>
            <w:tcMar>
              <w:top w:w="57" w:type="dxa"/>
              <w:left w:w="57" w:type="dxa"/>
              <w:bottom w:w="57" w:type="dxa"/>
              <w:right w:w="57" w:type="dxa"/>
            </w:tcMar>
            <w:vAlign w:val="center"/>
          </w:tcPr>
          <w:p w14:paraId="06A5FEE6">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rPr>
              <w:t>工期保证措施</w:t>
            </w:r>
          </w:p>
        </w:tc>
        <w:tc>
          <w:tcPr>
            <w:tcW w:w="640" w:type="dxa"/>
            <w:tcMar>
              <w:top w:w="57" w:type="dxa"/>
              <w:left w:w="57" w:type="dxa"/>
              <w:bottom w:w="57" w:type="dxa"/>
              <w:right w:w="57" w:type="dxa"/>
            </w:tcMar>
            <w:vAlign w:val="center"/>
          </w:tcPr>
          <w:p w14:paraId="38A25835">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lang w:val="en-US" w:eastAsia="zh-CN"/>
              </w:rPr>
              <w:t>分</w:t>
            </w:r>
          </w:p>
        </w:tc>
        <w:tc>
          <w:tcPr>
            <w:tcW w:w="4398" w:type="dxa"/>
            <w:tcMar>
              <w:top w:w="57" w:type="dxa"/>
              <w:left w:w="57" w:type="dxa"/>
              <w:bottom w:w="57" w:type="dxa"/>
              <w:right w:w="57" w:type="dxa"/>
            </w:tcMar>
            <w:vAlign w:val="center"/>
          </w:tcPr>
          <w:p w14:paraId="1150D098">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优：得</w:t>
            </w:r>
            <w:r>
              <w:rPr>
                <w:rFonts w:hint="eastAsia" w:ascii="宋体" w:hAnsi="宋体" w:eastAsia="宋体" w:cs="宋体"/>
                <w:color w:val="auto"/>
                <w:kern w:val="2"/>
                <w:sz w:val="21"/>
                <w:szCs w:val="21"/>
                <w:highlight w:val="none"/>
                <w:lang w:val="en-US" w:eastAsia="zh-CN" w:bidi="zh-CN"/>
              </w:rPr>
              <w:t>4.5</w:t>
            </w:r>
            <w:r>
              <w:rPr>
                <w:rFonts w:hint="eastAsia" w:ascii="宋体" w:hAnsi="宋体" w:eastAsia="宋体" w:cs="宋体"/>
                <w:color w:val="auto"/>
                <w:kern w:val="2"/>
                <w:sz w:val="21"/>
                <w:szCs w:val="21"/>
                <w:highlight w:val="none"/>
                <w:lang w:val="zh-CN" w:eastAsia="zh-CN" w:bidi="zh-CN"/>
              </w:rPr>
              <w:t>～</w:t>
            </w:r>
            <w:r>
              <w:rPr>
                <w:rFonts w:hint="eastAsia" w:ascii="宋体" w:hAnsi="宋体" w:eastAsia="宋体" w:cs="宋体"/>
                <w:color w:val="auto"/>
                <w:kern w:val="2"/>
                <w:sz w:val="21"/>
                <w:szCs w:val="21"/>
                <w:highlight w:val="none"/>
                <w:lang w:val="en-US" w:eastAsia="zh-CN" w:bidi="zh-CN"/>
              </w:rPr>
              <w:t>5.0</w:t>
            </w:r>
            <w:r>
              <w:rPr>
                <w:rFonts w:hint="eastAsia" w:ascii="宋体" w:hAnsi="宋体" w:eastAsia="宋体" w:cs="宋体"/>
                <w:color w:val="auto"/>
                <w:kern w:val="2"/>
                <w:sz w:val="21"/>
                <w:szCs w:val="21"/>
                <w:highlight w:val="none"/>
                <w:lang w:val="zh-CN" w:eastAsia="zh-CN" w:bidi="zh-CN"/>
              </w:rPr>
              <w:t>分；</w:t>
            </w:r>
          </w:p>
          <w:p w14:paraId="6B0F2517">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良：得3.5～4.5分；</w:t>
            </w:r>
          </w:p>
          <w:p w14:paraId="64D3C2DA">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中：得3.0～3.5分；</w:t>
            </w:r>
          </w:p>
          <w:p w14:paraId="1CE5B94C">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zh-CN"/>
              </w:rPr>
              <w:t>差：评分低于3.0分，且作出评审说明。</w:t>
            </w:r>
          </w:p>
        </w:tc>
      </w:tr>
      <w:tr w14:paraId="2422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9" w:type="dxa"/>
          <w:trHeight w:val="1619" w:hRule="atLeast"/>
          <w:jc w:val="center"/>
        </w:trPr>
        <w:tc>
          <w:tcPr>
            <w:tcW w:w="761" w:type="dxa"/>
            <w:gridSpan w:val="2"/>
            <w:vMerge w:val="continue"/>
            <w:tcMar>
              <w:top w:w="57" w:type="dxa"/>
              <w:left w:w="57" w:type="dxa"/>
              <w:bottom w:w="57" w:type="dxa"/>
              <w:right w:w="57" w:type="dxa"/>
            </w:tcMar>
            <w:vAlign w:val="center"/>
          </w:tcPr>
          <w:p w14:paraId="45BFC4DA">
            <w:pPr>
              <w:adjustRightInd w:val="0"/>
              <w:snapToGrid w:val="0"/>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p>
        </w:tc>
        <w:tc>
          <w:tcPr>
            <w:tcW w:w="1299" w:type="dxa"/>
            <w:gridSpan w:val="3"/>
            <w:vMerge w:val="continue"/>
            <w:tcMar>
              <w:top w:w="57" w:type="dxa"/>
              <w:left w:w="57" w:type="dxa"/>
              <w:bottom w:w="57" w:type="dxa"/>
              <w:right w:w="57" w:type="dxa"/>
            </w:tcMar>
            <w:vAlign w:val="center"/>
          </w:tcPr>
          <w:p w14:paraId="4C23045F">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p>
        </w:tc>
        <w:tc>
          <w:tcPr>
            <w:tcW w:w="896" w:type="dxa"/>
            <w:vMerge w:val="continue"/>
            <w:tcMar>
              <w:top w:w="57" w:type="dxa"/>
              <w:left w:w="57" w:type="dxa"/>
              <w:bottom w:w="57" w:type="dxa"/>
              <w:right w:w="57" w:type="dxa"/>
            </w:tcMar>
            <w:vAlign w:val="center"/>
          </w:tcPr>
          <w:p w14:paraId="4ACE1CA8">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p>
        </w:tc>
        <w:tc>
          <w:tcPr>
            <w:tcW w:w="1627" w:type="dxa"/>
            <w:gridSpan w:val="2"/>
            <w:tcMar>
              <w:top w:w="57" w:type="dxa"/>
              <w:left w:w="57" w:type="dxa"/>
              <w:bottom w:w="57" w:type="dxa"/>
              <w:right w:w="57" w:type="dxa"/>
            </w:tcMar>
            <w:vAlign w:val="center"/>
          </w:tcPr>
          <w:p w14:paraId="3C893375">
            <w:pPr>
              <w:pStyle w:val="10"/>
              <w:spacing w:line="320" w:lineRule="exact"/>
              <w:ind w:left="0" w:leftChars="0" w:right="0" w:rightChars="0" w:firstLine="0" w:firstLineChars="0"/>
              <w:jc w:val="center"/>
              <w:rPr>
                <w:rFonts w:hint="eastAsia" w:ascii="宋体" w:hAnsi="宋体" w:eastAsia="宋体" w:cs="宋体"/>
                <w:color w:val="auto"/>
                <w:spacing w:val="7"/>
                <w:sz w:val="21"/>
                <w:szCs w:val="21"/>
                <w:highlight w:val="none"/>
              </w:rPr>
            </w:pPr>
            <w:r>
              <w:rPr>
                <w:rFonts w:hint="eastAsia" w:ascii="宋体" w:hAnsi="宋体" w:eastAsia="宋体" w:cs="宋体"/>
                <w:color w:val="auto"/>
                <w:spacing w:val="8"/>
                <w:sz w:val="21"/>
                <w:szCs w:val="21"/>
                <w:highlight w:val="none"/>
              </w:rPr>
              <w:t>安全生产保证措</w:t>
            </w:r>
            <w:r>
              <w:rPr>
                <w:rFonts w:hint="eastAsia" w:ascii="宋体" w:hAnsi="宋体" w:eastAsia="宋体" w:cs="宋体"/>
                <w:color w:val="auto"/>
                <w:spacing w:val="1"/>
                <w:sz w:val="21"/>
                <w:szCs w:val="21"/>
                <w:highlight w:val="none"/>
              </w:rPr>
              <w:t>施</w:t>
            </w:r>
          </w:p>
        </w:tc>
        <w:tc>
          <w:tcPr>
            <w:tcW w:w="640" w:type="dxa"/>
            <w:tcMar>
              <w:top w:w="57" w:type="dxa"/>
              <w:left w:w="57" w:type="dxa"/>
              <w:bottom w:w="57" w:type="dxa"/>
              <w:right w:w="57" w:type="dxa"/>
            </w:tcMar>
            <w:vAlign w:val="center"/>
          </w:tcPr>
          <w:p w14:paraId="0B299C3C">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c>
          <w:tcPr>
            <w:tcW w:w="4398" w:type="dxa"/>
            <w:tcMar>
              <w:top w:w="57" w:type="dxa"/>
              <w:left w:w="57" w:type="dxa"/>
              <w:bottom w:w="57" w:type="dxa"/>
              <w:right w:w="57" w:type="dxa"/>
            </w:tcMar>
            <w:vAlign w:val="center"/>
          </w:tcPr>
          <w:p w14:paraId="6C766AA0">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优：得</w:t>
            </w:r>
            <w:r>
              <w:rPr>
                <w:rFonts w:hint="eastAsia" w:ascii="宋体" w:hAnsi="宋体" w:eastAsia="宋体" w:cs="宋体"/>
                <w:color w:val="auto"/>
                <w:kern w:val="2"/>
                <w:sz w:val="21"/>
                <w:szCs w:val="21"/>
                <w:highlight w:val="none"/>
                <w:lang w:val="en-US" w:eastAsia="zh-CN" w:bidi="zh-CN"/>
              </w:rPr>
              <w:t>2.7</w:t>
            </w:r>
            <w:r>
              <w:rPr>
                <w:rFonts w:hint="eastAsia" w:ascii="宋体" w:hAnsi="宋体" w:eastAsia="宋体" w:cs="宋体"/>
                <w:color w:val="auto"/>
                <w:kern w:val="2"/>
                <w:sz w:val="21"/>
                <w:szCs w:val="21"/>
                <w:highlight w:val="none"/>
                <w:lang w:val="zh-CN" w:eastAsia="zh-CN" w:bidi="zh-CN"/>
              </w:rPr>
              <w:t>～</w:t>
            </w:r>
            <w:r>
              <w:rPr>
                <w:rFonts w:hint="eastAsia" w:ascii="宋体" w:hAnsi="宋体" w:eastAsia="宋体" w:cs="宋体"/>
                <w:color w:val="auto"/>
                <w:kern w:val="2"/>
                <w:sz w:val="21"/>
                <w:szCs w:val="21"/>
                <w:highlight w:val="none"/>
                <w:lang w:val="en-US" w:eastAsia="zh-CN" w:bidi="zh-CN"/>
              </w:rPr>
              <w:t>3.0</w:t>
            </w:r>
            <w:r>
              <w:rPr>
                <w:rFonts w:hint="eastAsia" w:ascii="宋体" w:hAnsi="宋体" w:eastAsia="宋体" w:cs="宋体"/>
                <w:color w:val="auto"/>
                <w:kern w:val="2"/>
                <w:sz w:val="21"/>
                <w:szCs w:val="21"/>
                <w:highlight w:val="none"/>
                <w:lang w:val="zh-CN" w:eastAsia="zh-CN" w:bidi="zh-CN"/>
              </w:rPr>
              <w:t>分；</w:t>
            </w:r>
          </w:p>
          <w:p w14:paraId="05B9B2D2">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良：得</w:t>
            </w:r>
            <w:r>
              <w:rPr>
                <w:rFonts w:hint="eastAsia" w:ascii="宋体" w:hAnsi="宋体" w:eastAsia="宋体" w:cs="宋体"/>
                <w:color w:val="auto"/>
                <w:kern w:val="2"/>
                <w:sz w:val="21"/>
                <w:szCs w:val="21"/>
                <w:highlight w:val="none"/>
                <w:lang w:val="en-US" w:eastAsia="zh-CN" w:bidi="zh-CN"/>
              </w:rPr>
              <w:t>2.1</w:t>
            </w:r>
            <w:r>
              <w:rPr>
                <w:rFonts w:hint="eastAsia" w:ascii="宋体" w:hAnsi="宋体" w:eastAsia="宋体" w:cs="宋体"/>
                <w:color w:val="auto"/>
                <w:kern w:val="2"/>
                <w:sz w:val="21"/>
                <w:szCs w:val="21"/>
                <w:highlight w:val="none"/>
                <w:lang w:val="zh-CN" w:eastAsia="zh-CN" w:bidi="zh-CN"/>
              </w:rPr>
              <w:t>～</w:t>
            </w:r>
            <w:r>
              <w:rPr>
                <w:rFonts w:hint="eastAsia" w:ascii="宋体" w:hAnsi="宋体" w:eastAsia="宋体" w:cs="宋体"/>
                <w:color w:val="auto"/>
                <w:kern w:val="2"/>
                <w:sz w:val="21"/>
                <w:szCs w:val="21"/>
                <w:highlight w:val="none"/>
                <w:lang w:val="en-US" w:eastAsia="zh-CN" w:bidi="zh-CN"/>
              </w:rPr>
              <w:t>2.7</w:t>
            </w:r>
            <w:r>
              <w:rPr>
                <w:rFonts w:hint="eastAsia" w:ascii="宋体" w:hAnsi="宋体" w:eastAsia="宋体" w:cs="宋体"/>
                <w:color w:val="auto"/>
                <w:kern w:val="2"/>
                <w:sz w:val="21"/>
                <w:szCs w:val="21"/>
                <w:highlight w:val="none"/>
                <w:lang w:val="zh-CN" w:eastAsia="zh-CN" w:bidi="zh-CN"/>
              </w:rPr>
              <w:t>分；</w:t>
            </w:r>
          </w:p>
          <w:p w14:paraId="6E8B89F2">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中：得</w:t>
            </w:r>
            <w:r>
              <w:rPr>
                <w:rFonts w:hint="eastAsia" w:ascii="宋体" w:hAnsi="宋体" w:eastAsia="宋体" w:cs="宋体"/>
                <w:color w:val="auto"/>
                <w:kern w:val="2"/>
                <w:sz w:val="21"/>
                <w:szCs w:val="21"/>
                <w:highlight w:val="none"/>
                <w:lang w:val="en-US" w:eastAsia="zh-CN" w:bidi="zh-CN"/>
              </w:rPr>
              <w:t>1.8</w:t>
            </w:r>
            <w:r>
              <w:rPr>
                <w:rFonts w:hint="eastAsia" w:ascii="宋体" w:hAnsi="宋体" w:eastAsia="宋体" w:cs="宋体"/>
                <w:color w:val="auto"/>
                <w:kern w:val="2"/>
                <w:sz w:val="21"/>
                <w:szCs w:val="21"/>
                <w:highlight w:val="none"/>
                <w:lang w:val="zh-CN" w:eastAsia="zh-CN" w:bidi="zh-CN"/>
              </w:rPr>
              <w:t>～</w:t>
            </w:r>
            <w:r>
              <w:rPr>
                <w:rFonts w:hint="eastAsia" w:ascii="宋体" w:hAnsi="宋体" w:eastAsia="宋体" w:cs="宋体"/>
                <w:color w:val="auto"/>
                <w:kern w:val="2"/>
                <w:sz w:val="21"/>
                <w:szCs w:val="21"/>
                <w:highlight w:val="none"/>
                <w:lang w:val="en-US" w:eastAsia="zh-CN" w:bidi="zh-CN"/>
              </w:rPr>
              <w:t>2.1</w:t>
            </w:r>
            <w:r>
              <w:rPr>
                <w:rFonts w:hint="eastAsia" w:ascii="宋体" w:hAnsi="宋体" w:eastAsia="宋体" w:cs="宋体"/>
                <w:color w:val="auto"/>
                <w:kern w:val="2"/>
                <w:sz w:val="21"/>
                <w:szCs w:val="21"/>
                <w:highlight w:val="none"/>
                <w:lang w:val="zh-CN" w:eastAsia="zh-CN" w:bidi="zh-CN"/>
              </w:rPr>
              <w:t>分；</w:t>
            </w:r>
          </w:p>
          <w:p w14:paraId="70B38548">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差：评分低于1.8分，且作出评审说明。</w:t>
            </w:r>
          </w:p>
        </w:tc>
      </w:tr>
      <w:tr w14:paraId="666C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9" w:type="dxa"/>
          <w:trHeight w:val="2312" w:hRule="atLeast"/>
          <w:jc w:val="center"/>
        </w:trPr>
        <w:tc>
          <w:tcPr>
            <w:tcW w:w="761" w:type="dxa"/>
            <w:gridSpan w:val="2"/>
            <w:vMerge w:val="continue"/>
            <w:tcMar>
              <w:top w:w="57" w:type="dxa"/>
              <w:left w:w="57" w:type="dxa"/>
              <w:bottom w:w="57" w:type="dxa"/>
              <w:right w:w="57" w:type="dxa"/>
            </w:tcMar>
            <w:vAlign w:val="center"/>
          </w:tcPr>
          <w:p w14:paraId="4A83DC10">
            <w:pPr>
              <w:adjustRightInd w:val="0"/>
              <w:snapToGrid w:val="0"/>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p>
        </w:tc>
        <w:tc>
          <w:tcPr>
            <w:tcW w:w="1299" w:type="dxa"/>
            <w:gridSpan w:val="3"/>
            <w:vMerge w:val="continue"/>
            <w:tcMar>
              <w:top w:w="57" w:type="dxa"/>
              <w:left w:w="57" w:type="dxa"/>
              <w:bottom w:w="57" w:type="dxa"/>
              <w:right w:w="57" w:type="dxa"/>
            </w:tcMar>
            <w:vAlign w:val="center"/>
          </w:tcPr>
          <w:p w14:paraId="2996DE1D">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p>
        </w:tc>
        <w:tc>
          <w:tcPr>
            <w:tcW w:w="896" w:type="dxa"/>
            <w:vMerge w:val="continue"/>
            <w:tcMar>
              <w:top w:w="57" w:type="dxa"/>
              <w:left w:w="57" w:type="dxa"/>
              <w:bottom w:w="57" w:type="dxa"/>
              <w:right w:w="57" w:type="dxa"/>
            </w:tcMar>
            <w:vAlign w:val="center"/>
          </w:tcPr>
          <w:p w14:paraId="37CF44E3">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p>
        </w:tc>
        <w:tc>
          <w:tcPr>
            <w:tcW w:w="1627" w:type="dxa"/>
            <w:gridSpan w:val="2"/>
            <w:tcMar>
              <w:top w:w="57" w:type="dxa"/>
              <w:left w:w="57" w:type="dxa"/>
              <w:bottom w:w="57" w:type="dxa"/>
              <w:right w:w="57" w:type="dxa"/>
            </w:tcMar>
            <w:vAlign w:val="center"/>
          </w:tcPr>
          <w:p w14:paraId="4B058F95">
            <w:pPr>
              <w:spacing w:before="142" w:line="341" w:lineRule="auto"/>
              <w:ind w:left="0" w:leftChars="0" w:right="0" w:rightChars="0" w:firstLine="0" w:firstLineChars="0"/>
              <w:jc w:val="center"/>
              <w:rPr>
                <w:rFonts w:hint="eastAsia" w:ascii="宋体" w:hAnsi="宋体" w:eastAsia="宋体" w:cs="宋体"/>
                <w:color w:val="auto"/>
                <w:spacing w:val="8"/>
                <w:kern w:val="2"/>
                <w:sz w:val="21"/>
                <w:szCs w:val="21"/>
                <w:highlight w:val="none"/>
                <w:lang w:val="zh-CN" w:eastAsia="zh-CN" w:bidi="zh-CN"/>
              </w:rPr>
            </w:pPr>
            <w:r>
              <w:rPr>
                <w:rFonts w:hint="eastAsia" w:ascii="宋体" w:hAnsi="宋体" w:eastAsia="宋体" w:cs="宋体"/>
                <w:color w:val="auto"/>
                <w:spacing w:val="8"/>
                <w:kern w:val="2"/>
                <w:sz w:val="21"/>
                <w:szCs w:val="21"/>
                <w:highlight w:val="none"/>
                <w:lang w:val="zh-CN" w:eastAsia="zh-CN" w:bidi="zh-CN"/>
              </w:rPr>
              <w:t>环境保护、水土保持、施工后期场地恢复措施及文明施工保证措施</w:t>
            </w:r>
          </w:p>
        </w:tc>
        <w:tc>
          <w:tcPr>
            <w:tcW w:w="640" w:type="dxa"/>
            <w:tcMar>
              <w:top w:w="57" w:type="dxa"/>
              <w:left w:w="57" w:type="dxa"/>
              <w:bottom w:w="57" w:type="dxa"/>
              <w:right w:w="57" w:type="dxa"/>
            </w:tcMar>
            <w:vAlign w:val="center"/>
          </w:tcPr>
          <w:p w14:paraId="75F298A3">
            <w:pPr>
              <w:pStyle w:val="10"/>
              <w:spacing w:line="320" w:lineRule="exact"/>
              <w:ind w:left="0" w:leftChars="0" w:right="0" w:rightChars="0" w:firstLine="0" w:firstLineChars="0"/>
              <w:jc w:val="center"/>
              <w:rPr>
                <w:rFonts w:hint="eastAsia" w:ascii="宋体" w:hAnsi="宋体" w:eastAsia="宋体" w:cs="宋体"/>
                <w:color w:val="auto"/>
                <w:spacing w:val="8"/>
                <w:kern w:val="2"/>
                <w:sz w:val="21"/>
                <w:szCs w:val="21"/>
                <w:highlight w:val="none"/>
                <w:lang w:val="en-US" w:eastAsia="zh-CN" w:bidi="zh-CN"/>
              </w:rPr>
            </w:pPr>
            <w:r>
              <w:rPr>
                <w:rFonts w:hint="eastAsia" w:ascii="宋体" w:hAnsi="宋体" w:eastAsia="宋体" w:cs="宋体"/>
                <w:color w:val="auto"/>
                <w:spacing w:val="8"/>
                <w:kern w:val="2"/>
                <w:sz w:val="21"/>
                <w:szCs w:val="21"/>
                <w:highlight w:val="none"/>
                <w:lang w:val="en-US" w:eastAsia="zh-CN" w:bidi="zh-CN"/>
              </w:rPr>
              <w:t>5分</w:t>
            </w:r>
          </w:p>
        </w:tc>
        <w:tc>
          <w:tcPr>
            <w:tcW w:w="4398" w:type="dxa"/>
            <w:tcMar>
              <w:top w:w="57" w:type="dxa"/>
              <w:left w:w="57" w:type="dxa"/>
              <w:bottom w:w="57" w:type="dxa"/>
              <w:right w:w="57" w:type="dxa"/>
            </w:tcMar>
            <w:vAlign w:val="center"/>
          </w:tcPr>
          <w:p w14:paraId="1FF3B944">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优：得</w:t>
            </w:r>
            <w:r>
              <w:rPr>
                <w:rFonts w:hint="eastAsia" w:ascii="宋体" w:hAnsi="宋体" w:eastAsia="宋体" w:cs="宋体"/>
                <w:color w:val="auto"/>
                <w:kern w:val="2"/>
                <w:sz w:val="21"/>
                <w:szCs w:val="21"/>
                <w:highlight w:val="none"/>
                <w:lang w:val="en-US" w:eastAsia="zh-CN" w:bidi="zh-CN"/>
              </w:rPr>
              <w:t>4.5</w:t>
            </w:r>
            <w:r>
              <w:rPr>
                <w:rFonts w:hint="eastAsia" w:ascii="宋体" w:hAnsi="宋体" w:eastAsia="宋体" w:cs="宋体"/>
                <w:color w:val="auto"/>
                <w:kern w:val="2"/>
                <w:sz w:val="21"/>
                <w:szCs w:val="21"/>
                <w:highlight w:val="none"/>
                <w:lang w:val="zh-CN" w:eastAsia="zh-CN" w:bidi="zh-CN"/>
              </w:rPr>
              <w:t>～</w:t>
            </w:r>
            <w:r>
              <w:rPr>
                <w:rFonts w:hint="eastAsia" w:ascii="宋体" w:hAnsi="宋体" w:eastAsia="宋体" w:cs="宋体"/>
                <w:color w:val="auto"/>
                <w:kern w:val="2"/>
                <w:sz w:val="21"/>
                <w:szCs w:val="21"/>
                <w:highlight w:val="none"/>
                <w:lang w:val="en-US" w:eastAsia="zh-CN" w:bidi="zh-CN"/>
              </w:rPr>
              <w:t>5.0</w:t>
            </w:r>
            <w:r>
              <w:rPr>
                <w:rFonts w:hint="eastAsia" w:ascii="宋体" w:hAnsi="宋体" w:eastAsia="宋体" w:cs="宋体"/>
                <w:color w:val="auto"/>
                <w:kern w:val="2"/>
                <w:sz w:val="21"/>
                <w:szCs w:val="21"/>
                <w:highlight w:val="none"/>
                <w:lang w:val="zh-CN" w:eastAsia="zh-CN" w:bidi="zh-CN"/>
              </w:rPr>
              <w:t>分；</w:t>
            </w:r>
          </w:p>
          <w:p w14:paraId="76CCCAB2">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良：得3.5～4.5分；</w:t>
            </w:r>
          </w:p>
          <w:p w14:paraId="369AEB8C">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中：得3.0～3.5分；</w:t>
            </w:r>
          </w:p>
          <w:p w14:paraId="476C8151">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差：评分低于3.0分，且作出评审说明。</w:t>
            </w:r>
          </w:p>
        </w:tc>
      </w:tr>
      <w:tr w14:paraId="588E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9" w:type="dxa"/>
          <w:trHeight w:val="1450" w:hRule="atLeast"/>
          <w:jc w:val="center"/>
        </w:trPr>
        <w:tc>
          <w:tcPr>
            <w:tcW w:w="761" w:type="dxa"/>
            <w:gridSpan w:val="2"/>
            <w:vMerge w:val="continue"/>
            <w:tcMar>
              <w:top w:w="57" w:type="dxa"/>
              <w:left w:w="57" w:type="dxa"/>
              <w:bottom w:w="57" w:type="dxa"/>
              <w:right w:w="57" w:type="dxa"/>
            </w:tcMar>
            <w:vAlign w:val="center"/>
          </w:tcPr>
          <w:p w14:paraId="2AF1BC1B">
            <w:pPr>
              <w:adjustRightInd w:val="0"/>
              <w:snapToGrid w:val="0"/>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p>
        </w:tc>
        <w:tc>
          <w:tcPr>
            <w:tcW w:w="1299" w:type="dxa"/>
            <w:gridSpan w:val="3"/>
            <w:vMerge w:val="continue"/>
            <w:tcMar>
              <w:top w:w="57" w:type="dxa"/>
              <w:left w:w="57" w:type="dxa"/>
              <w:bottom w:w="57" w:type="dxa"/>
              <w:right w:w="57" w:type="dxa"/>
            </w:tcMar>
            <w:vAlign w:val="center"/>
          </w:tcPr>
          <w:p w14:paraId="71D20FD5">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p>
        </w:tc>
        <w:tc>
          <w:tcPr>
            <w:tcW w:w="896" w:type="dxa"/>
            <w:vMerge w:val="continue"/>
            <w:tcMar>
              <w:top w:w="57" w:type="dxa"/>
              <w:left w:w="57" w:type="dxa"/>
              <w:bottom w:w="57" w:type="dxa"/>
              <w:right w:w="57" w:type="dxa"/>
            </w:tcMar>
            <w:vAlign w:val="center"/>
          </w:tcPr>
          <w:p w14:paraId="6437877E">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p>
        </w:tc>
        <w:tc>
          <w:tcPr>
            <w:tcW w:w="1627" w:type="dxa"/>
            <w:gridSpan w:val="2"/>
            <w:tcMar>
              <w:top w:w="57" w:type="dxa"/>
              <w:left w:w="57" w:type="dxa"/>
              <w:bottom w:w="57" w:type="dxa"/>
              <w:right w:w="57" w:type="dxa"/>
            </w:tcMar>
            <w:vAlign w:val="center"/>
          </w:tcPr>
          <w:p w14:paraId="1AF3A47F">
            <w:pPr>
              <w:pStyle w:val="10"/>
              <w:spacing w:line="320" w:lineRule="exact"/>
              <w:ind w:left="0" w:leftChars="0" w:right="0" w:rightChars="0" w:firstLine="0" w:firstLineChars="0"/>
              <w:jc w:val="center"/>
              <w:rPr>
                <w:rFonts w:hint="eastAsia" w:ascii="宋体" w:hAnsi="宋体" w:eastAsia="宋体" w:cs="宋体"/>
                <w:color w:val="auto"/>
                <w:spacing w:val="7"/>
                <w:sz w:val="21"/>
                <w:szCs w:val="21"/>
                <w:highlight w:val="none"/>
              </w:rPr>
            </w:pPr>
            <w:r>
              <w:rPr>
                <w:rFonts w:hint="eastAsia" w:ascii="宋体" w:hAnsi="宋体" w:eastAsia="宋体" w:cs="宋体"/>
                <w:color w:val="auto"/>
                <w:spacing w:val="8"/>
                <w:sz w:val="21"/>
                <w:szCs w:val="21"/>
                <w:highlight w:val="none"/>
              </w:rPr>
              <w:t>项目风险预测与防范，事故应急预案，支付保障</w:t>
            </w:r>
            <w:r>
              <w:rPr>
                <w:rFonts w:hint="eastAsia" w:ascii="宋体" w:hAnsi="宋体" w:eastAsia="宋体" w:cs="宋体"/>
                <w:color w:val="auto"/>
                <w:spacing w:val="4"/>
                <w:sz w:val="21"/>
                <w:szCs w:val="21"/>
                <w:highlight w:val="none"/>
              </w:rPr>
              <w:t>措施</w:t>
            </w:r>
          </w:p>
        </w:tc>
        <w:tc>
          <w:tcPr>
            <w:tcW w:w="640" w:type="dxa"/>
            <w:tcMar>
              <w:top w:w="57" w:type="dxa"/>
              <w:left w:w="57" w:type="dxa"/>
              <w:bottom w:w="57" w:type="dxa"/>
              <w:right w:w="57" w:type="dxa"/>
            </w:tcMar>
            <w:vAlign w:val="center"/>
          </w:tcPr>
          <w:p w14:paraId="2B6A6FF0">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c>
          <w:tcPr>
            <w:tcW w:w="4398" w:type="dxa"/>
            <w:tcMar>
              <w:top w:w="57" w:type="dxa"/>
              <w:left w:w="57" w:type="dxa"/>
              <w:bottom w:w="57" w:type="dxa"/>
              <w:right w:w="57" w:type="dxa"/>
            </w:tcMar>
            <w:vAlign w:val="center"/>
          </w:tcPr>
          <w:p w14:paraId="2D385F8F">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优：得</w:t>
            </w:r>
            <w:r>
              <w:rPr>
                <w:rFonts w:hint="eastAsia" w:ascii="宋体" w:hAnsi="宋体" w:eastAsia="宋体" w:cs="宋体"/>
                <w:color w:val="auto"/>
                <w:kern w:val="2"/>
                <w:sz w:val="21"/>
                <w:szCs w:val="21"/>
                <w:highlight w:val="none"/>
                <w:lang w:val="en-US" w:eastAsia="zh-CN" w:bidi="zh-CN"/>
              </w:rPr>
              <w:t>4.5</w:t>
            </w:r>
            <w:r>
              <w:rPr>
                <w:rFonts w:hint="eastAsia" w:ascii="宋体" w:hAnsi="宋体" w:eastAsia="宋体" w:cs="宋体"/>
                <w:color w:val="auto"/>
                <w:kern w:val="2"/>
                <w:sz w:val="21"/>
                <w:szCs w:val="21"/>
                <w:highlight w:val="none"/>
                <w:lang w:val="zh-CN" w:eastAsia="zh-CN" w:bidi="zh-CN"/>
              </w:rPr>
              <w:t>～</w:t>
            </w:r>
            <w:r>
              <w:rPr>
                <w:rFonts w:hint="eastAsia" w:ascii="宋体" w:hAnsi="宋体" w:eastAsia="宋体" w:cs="宋体"/>
                <w:color w:val="auto"/>
                <w:kern w:val="2"/>
                <w:sz w:val="21"/>
                <w:szCs w:val="21"/>
                <w:highlight w:val="none"/>
                <w:lang w:val="en-US" w:eastAsia="zh-CN" w:bidi="zh-CN"/>
              </w:rPr>
              <w:t>5.0</w:t>
            </w:r>
            <w:r>
              <w:rPr>
                <w:rFonts w:hint="eastAsia" w:ascii="宋体" w:hAnsi="宋体" w:eastAsia="宋体" w:cs="宋体"/>
                <w:color w:val="auto"/>
                <w:kern w:val="2"/>
                <w:sz w:val="21"/>
                <w:szCs w:val="21"/>
                <w:highlight w:val="none"/>
                <w:lang w:val="zh-CN" w:eastAsia="zh-CN" w:bidi="zh-CN"/>
              </w:rPr>
              <w:t>分；</w:t>
            </w:r>
          </w:p>
          <w:p w14:paraId="32F487D0">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良：得3.5～4.5分；</w:t>
            </w:r>
          </w:p>
          <w:p w14:paraId="07CDC719">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中：得3.0～3.5分；</w:t>
            </w:r>
          </w:p>
          <w:p w14:paraId="5FFCCAF9">
            <w:pPr>
              <w:keepNext w:val="0"/>
              <w:keepLines w:val="0"/>
              <w:pageBreakBefore w:val="0"/>
              <w:widowControl w:val="0"/>
              <w:kinsoku/>
              <w:wordWrap/>
              <w:overflowPunct/>
              <w:topLinePunct w:val="0"/>
              <w:autoSpaceDE/>
              <w:autoSpaceDN/>
              <w:bidi w:val="0"/>
              <w:adjustRightInd/>
              <w:snapToGrid/>
              <w:spacing w:before="151" w:line="20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差：评分低于3.0分，且作出评审说明。</w:t>
            </w:r>
          </w:p>
        </w:tc>
      </w:tr>
      <w:tr w14:paraId="4A4A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9" w:type="dxa"/>
          <w:trHeight w:val="2905" w:hRule="atLeast"/>
          <w:jc w:val="center"/>
        </w:trPr>
        <w:tc>
          <w:tcPr>
            <w:tcW w:w="761" w:type="dxa"/>
            <w:gridSpan w:val="2"/>
            <w:vMerge w:val="restart"/>
            <w:tcMar>
              <w:top w:w="57" w:type="dxa"/>
              <w:left w:w="57" w:type="dxa"/>
              <w:bottom w:w="57" w:type="dxa"/>
              <w:right w:w="57" w:type="dxa"/>
            </w:tcMar>
            <w:vAlign w:val="center"/>
          </w:tcPr>
          <w:p w14:paraId="795F6CD6">
            <w:pPr>
              <w:pStyle w:val="10"/>
              <w:adjustRightInd w:val="0"/>
              <w:snapToGrid w:val="0"/>
              <w:spacing w:line="320" w:lineRule="exact"/>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2</w:t>
            </w:r>
          </w:p>
          <w:p w14:paraId="740DA6C4">
            <w:pPr>
              <w:pStyle w:val="10"/>
              <w:adjustRightInd w:val="0"/>
              <w:snapToGrid w:val="0"/>
              <w:spacing w:line="320" w:lineRule="exact"/>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c>
          <w:tcPr>
            <w:tcW w:w="1299" w:type="dxa"/>
            <w:gridSpan w:val="3"/>
            <w:vMerge w:val="restart"/>
            <w:tcMar>
              <w:top w:w="57" w:type="dxa"/>
              <w:left w:w="57" w:type="dxa"/>
              <w:bottom w:w="57" w:type="dxa"/>
              <w:right w:w="57" w:type="dxa"/>
            </w:tcMar>
            <w:vAlign w:val="center"/>
          </w:tcPr>
          <w:p w14:paraId="71728F6D">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w:t>
            </w:r>
          </w:p>
        </w:tc>
        <w:tc>
          <w:tcPr>
            <w:tcW w:w="896" w:type="dxa"/>
            <w:vMerge w:val="restart"/>
            <w:tcMar>
              <w:top w:w="57" w:type="dxa"/>
              <w:left w:w="57" w:type="dxa"/>
              <w:bottom w:w="57" w:type="dxa"/>
              <w:right w:w="57" w:type="dxa"/>
            </w:tcMar>
            <w:vAlign w:val="center"/>
          </w:tcPr>
          <w:p w14:paraId="664B1526">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25</w:t>
            </w:r>
            <w:r>
              <w:rPr>
                <w:rFonts w:hint="eastAsia" w:ascii="宋体" w:hAnsi="宋体" w:eastAsia="宋体" w:cs="宋体"/>
                <w:color w:val="auto"/>
                <w:sz w:val="21"/>
                <w:szCs w:val="21"/>
                <w:highlight w:val="none"/>
                <w:lang w:val="en-US" w:eastAsia="zh-CN"/>
              </w:rPr>
              <w:t>分</w:t>
            </w:r>
          </w:p>
        </w:tc>
        <w:tc>
          <w:tcPr>
            <w:tcW w:w="1627" w:type="dxa"/>
            <w:gridSpan w:val="2"/>
            <w:tcMar>
              <w:top w:w="57" w:type="dxa"/>
              <w:left w:w="57" w:type="dxa"/>
              <w:bottom w:w="57" w:type="dxa"/>
              <w:right w:w="57" w:type="dxa"/>
            </w:tcMar>
            <w:vAlign w:val="center"/>
          </w:tcPr>
          <w:p w14:paraId="5B3AABE6">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项目经理</w:t>
            </w:r>
          </w:p>
        </w:tc>
        <w:tc>
          <w:tcPr>
            <w:tcW w:w="640" w:type="dxa"/>
            <w:tcMar>
              <w:top w:w="57" w:type="dxa"/>
              <w:left w:w="57" w:type="dxa"/>
              <w:bottom w:w="57" w:type="dxa"/>
              <w:right w:w="57" w:type="dxa"/>
            </w:tcMar>
            <w:vAlign w:val="center"/>
          </w:tcPr>
          <w:p w14:paraId="4DC6021E">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lang w:val="en-US" w:eastAsia="zh-CN"/>
              </w:rPr>
              <w:t>分</w:t>
            </w:r>
          </w:p>
        </w:tc>
        <w:tc>
          <w:tcPr>
            <w:tcW w:w="4398" w:type="dxa"/>
            <w:tcMar>
              <w:top w:w="57" w:type="dxa"/>
              <w:left w:w="57" w:type="dxa"/>
              <w:bottom w:w="57" w:type="dxa"/>
              <w:right w:w="57" w:type="dxa"/>
            </w:tcMar>
            <w:vAlign w:val="center"/>
          </w:tcPr>
          <w:p w14:paraId="65A01350">
            <w:pPr>
              <w:pStyle w:val="10"/>
              <w:numPr>
                <w:ilvl w:val="0"/>
                <w:numId w:val="0"/>
              </w:numPr>
              <w:spacing w:line="320" w:lineRule="exact"/>
              <w:ind w:left="0" w:leftChars="0" w:right="0" w:righ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满足资格审查条件（项目经理和项目总工最低要求）得9分；</w:t>
            </w:r>
          </w:p>
          <w:p w14:paraId="4076A1CE">
            <w:pPr>
              <w:pStyle w:val="10"/>
              <w:numPr>
                <w:ilvl w:val="0"/>
                <w:numId w:val="0"/>
              </w:numPr>
              <w:spacing w:line="320" w:lineRule="exact"/>
              <w:ind w:left="0" w:leftChars="0" w:right="0" w:righ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在满足资格审查条件的基础上，近5年</w:t>
            </w:r>
            <w:r>
              <w:rPr>
                <w:rFonts w:hint="eastAsia" w:ascii="宋体" w:hAnsi="宋体" w:eastAsia="宋体" w:cs="宋体"/>
                <w:color w:val="auto"/>
                <w:sz w:val="21"/>
                <w:szCs w:val="21"/>
                <w:highlight w:val="none"/>
              </w:rPr>
              <w:t>（任职时段在</w:t>
            </w:r>
            <w:r>
              <w:rPr>
                <w:rFonts w:hint="eastAsia" w:ascii="宋体" w:hAnsi="宋体" w:eastAsia="宋体" w:cs="宋体"/>
                <w:color w:val="auto"/>
                <w:kern w:val="2"/>
                <w:sz w:val="21"/>
                <w:szCs w:val="21"/>
                <w:highlight w:val="none"/>
                <w:lang w:val="en-US" w:eastAsia="zh-CN"/>
              </w:rPr>
              <w:t>2021</w:t>
            </w:r>
            <w:r>
              <w:rPr>
                <w:rFonts w:hint="eastAsia" w:ascii="宋体" w:hAnsi="宋体" w:eastAsia="宋体" w:cs="宋体"/>
                <w:color w:val="auto"/>
                <w:kern w:val="2"/>
                <w:sz w:val="21"/>
                <w:szCs w:val="21"/>
                <w:highlight w:val="none"/>
                <w:lang w:eastAsia="zh-CN"/>
              </w:rPr>
              <w:t>年</w:t>
            </w:r>
            <w:r>
              <w:rPr>
                <w:rFonts w:hint="eastAsia" w:ascii="宋体" w:hAnsi="宋体" w:eastAsia="宋体" w:cs="宋体"/>
                <w:color w:val="auto"/>
                <w:kern w:val="2"/>
                <w:sz w:val="21"/>
                <w:szCs w:val="21"/>
                <w:highlight w:val="none"/>
                <w:lang w:val="en-US" w:eastAsia="zh-CN"/>
              </w:rPr>
              <w:t>02月11日至投标文件递交截止之日止</w:t>
            </w:r>
            <w:r>
              <w:rPr>
                <w:rFonts w:hint="eastAsia" w:ascii="宋体" w:hAnsi="宋体" w:eastAsia="宋体" w:cs="宋体"/>
                <w:color w:val="auto"/>
                <w:sz w:val="21"/>
                <w:szCs w:val="21"/>
                <w:highlight w:val="none"/>
                <w:lang w:val="en-US" w:eastAsia="zh-CN"/>
              </w:rPr>
              <w:t>，以交工日期为准）</w:t>
            </w:r>
            <w:r>
              <w:rPr>
                <w:rFonts w:hint="eastAsia" w:ascii="宋体" w:hAnsi="宋体" w:eastAsia="宋体" w:cs="宋体"/>
                <w:color w:val="auto"/>
                <w:sz w:val="21"/>
                <w:szCs w:val="21"/>
                <w:highlight w:val="none"/>
                <w:lang w:eastAsia="zh-CN"/>
              </w:rPr>
              <w:t>,每增加1个</w:t>
            </w:r>
            <w:r>
              <w:rPr>
                <w:rFonts w:hint="eastAsia" w:ascii="宋体" w:hAnsi="宋体" w:eastAsia="宋体" w:cs="宋体"/>
                <w:color w:val="auto"/>
                <w:kern w:val="0"/>
                <w:sz w:val="21"/>
                <w:szCs w:val="21"/>
                <w:highlight w:val="none"/>
                <w:lang w:val="en-US" w:eastAsia="zh-CN"/>
              </w:rPr>
              <w:t>一级及以上等级公路路面</w:t>
            </w:r>
            <w:r>
              <w:rPr>
                <w:rFonts w:hint="eastAsia" w:ascii="宋体" w:hAnsi="宋体" w:eastAsia="宋体" w:cs="宋体"/>
                <w:color w:val="auto"/>
                <w:kern w:val="2"/>
                <w:sz w:val="21"/>
                <w:szCs w:val="21"/>
                <w:highlight w:val="none"/>
                <w:lang w:val="en-US" w:eastAsia="zh-CN"/>
              </w:rPr>
              <w:t>养护工程施工项目</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项目经理职务</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lang w:eastAsia="zh-CN"/>
              </w:rPr>
              <w:t>加6分；在满足资格审查条件的基础上，近</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年（任职时段在</w:t>
            </w:r>
            <w:r>
              <w:rPr>
                <w:rFonts w:hint="eastAsia" w:ascii="宋体" w:hAnsi="宋体" w:eastAsia="宋体" w:cs="宋体"/>
                <w:color w:val="auto"/>
                <w:kern w:val="2"/>
                <w:sz w:val="21"/>
                <w:szCs w:val="21"/>
                <w:highlight w:val="none"/>
                <w:lang w:val="en-US" w:eastAsia="zh-CN"/>
              </w:rPr>
              <w:t>2021</w:t>
            </w:r>
            <w:r>
              <w:rPr>
                <w:rFonts w:hint="eastAsia" w:ascii="宋体" w:hAnsi="宋体" w:eastAsia="宋体" w:cs="宋体"/>
                <w:color w:val="auto"/>
                <w:kern w:val="2"/>
                <w:sz w:val="21"/>
                <w:szCs w:val="21"/>
                <w:highlight w:val="none"/>
                <w:lang w:eastAsia="zh-CN"/>
              </w:rPr>
              <w:t>年</w:t>
            </w:r>
            <w:r>
              <w:rPr>
                <w:rFonts w:hint="eastAsia" w:ascii="宋体" w:hAnsi="宋体" w:eastAsia="宋体" w:cs="宋体"/>
                <w:color w:val="auto"/>
                <w:kern w:val="2"/>
                <w:sz w:val="21"/>
                <w:szCs w:val="21"/>
                <w:highlight w:val="none"/>
                <w:lang w:val="en-US" w:eastAsia="zh-CN"/>
              </w:rPr>
              <w:t>02月11日</w:t>
            </w:r>
            <w:r>
              <w:rPr>
                <w:rFonts w:hint="eastAsia" w:ascii="宋体" w:hAnsi="宋体" w:eastAsia="宋体" w:cs="宋体"/>
                <w:color w:val="auto"/>
                <w:sz w:val="21"/>
                <w:szCs w:val="21"/>
                <w:highlight w:val="none"/>
                <w:lang w:val="en-US" w:eastAsia="zh-CN"/>
              </w:rPr>
              <w:t>至</w:t>
            </w:r>
            <w:r>
              <w:rPr>
                <w:rFonts w:hint="eastAsia" w:ascii="宋体" w:hAnsi="宋体" w:eastAsia="宋体" w:cs="宋体"/>
                <w:color w:val="auto"/>
                <w:kern w:val="2"/>
                <w:sz w:val="21"/>
                <w:szCs w:val="21"/>
                <w:highlight w:val="none"/>
                <w:lang w:val="en-US" w:eastAsia="zh-CN"/>
              </w:rPr>
              <w:t>投标文件递交截止之日止</w:t>
            </w:r>
            <w:r>
              <w:rPr>
                <w:rFonts w:hint="eastAsia" w:ascii="宋体" w:hAnsi="宋体" w:eastAsia="宋体" w:cs="宋体"/>
                <w:color w:val="auto"/>
                <w:sz w:val="21"/>
                <w:szCs w:val="21"/>
                <w:highlight w:val="none"/>
                <w:lang w:val="en-US" w:eastAsia="zh-CN"/>
              </w:rPr>
              <w:t>，以交工日期为准</w:t>
            </w:r>
            <w:r>
              <w:rPr>
                <w:rFonts w:hint="eastAsia" w:ascii="宋体" w:hAnsi="宋体" w:eastAsia="宋体" w:cs="宋体"/>
                <w:color w:val="auto"/>
                <w:sz w:val="21"/>
                <w:szCs w:val="21"/>
                <w:highlight w:val="none"/>
                <w:lang w:eastAsia="zh-CN"/>
              </w:rPr>
              <w:t>），每增加1个</w:t>
            </w:r>
            <w:r>
              <w:rPr>
                <w:rFonts w:hint="eastAsia" w:ascii="宋体" w:hAnsi="宋体" w:eastAsia="宋体" w:cs="宋体"/>
                <w:color w:val="auto"/>
                <w:kern w:val="0"/>
                <w:sz w:val="21"/>
                <w:szCs w:val="21"/>
                <w:highlight w:val="none"/>
                <w:lang w:val="en-US" w:eastAsia="zh-CN"/>
              </w:rPr>
              <w:t>一级及以上等级公路路面养护</w:t>
            </w:r>
            <w:r>
              <w:rPr>
                <w:rFonts w:hint="eastAsia" w:ascii="宋体" w:hAnsi="宋体" w:eastAsia="宋体" w:cs="宋体"/>
                <w:color w:val="auto"/>
                <w:kern w:val="2"/>
                <w:sz w:val="21"/>
                <w:szCs w:val="21"/>
                <w:highlight w:val="none"/>
                <w:lang w:val="en-US" w:eastAsia="zh-CN"/>
              </w:rPr>
              <w:t>工程施工项目</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项目副经理职务的加3分。此项最多加6分。</w:t>
            </w:r>
          </w:p>
          <w:p w14:paraId="724C5F77">
            <w:pPr>
              <w:pStyle w:val="10"/>
              <w:numPr>
                <w:ilvl w:val="0"/>
                <w:numId w:val="0"/>
              </w:numPr>
              <w:spacing w:line="320" w:lineRule="exact"/>
              <w:ind w:left="0" w:leftChars="0" w:right="0" w:righ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业绩证明材料</w:t>
            </w:r>
            <w:r>
              <w:rPr>
                <w:rFonts w:hint="eastAsia" w:ascii="宋体" w:hAnsi="宋体" w:eastAsia="宋体" w:cs="宋体"/>
                <w:color w:val="auto"/>
                <w:sz w:val="21"/>
                <w:szCs w:val="21"/>
                <w:highlight w:val="none"/>
                <w:lang w:val="en-US" w:eastAsia="zh-CN"/>
              </w:rPr>
              <w:t>同</w:t>
            </w:r>
            <w:r>
              <w:rPr>
                <w:rFonts w:hint="eastAsia" w:ascii="宋体" w:hAnsi="宋体" w:eastAsia="宋体" w:cs="宋体"/>
                <w:color w:val="auto"/>
                <w:sz w:val="21"/>
                <w:szCs w:val="21"/>
                <w:highlight w:val="none"/>
                <w:lang w:eastAsia="zh-CN"/>
              </w:rPr>
              <w:t>招标文件资格审查</w:t>
            </w:r>
            <w:r>
              <w:rPr>
                <w:rFonts w:hint="eastAsia" w:ascii="宋体" w:hAnsi="宋体" w:eastAsia="宋体" w:cs="宋体"/>
                <w:color w:val="auto"/>
                <w:sz w:val="21"/>
                <w:szCs w:val="21"/>
                <w:highlight w:val="none"/>
                <w:lang w:val="en-US" w:eastAsia="zh-CN"/>
              </w:rPr>
              <w:t>附录5</w:t>
            </w:r>
            <w:r>
              <w:rPr>
                <w:rFonts w:hint="eastAsia" w:ascii="宋体" w:hAnsi="宋体" w:eastAsia="宋体" w:cs="宋体"/>
                <w:color w:val="auto"/>
                <w:sz w:val="21"/>
                <w:szCs w:val="21"/>
                <w:highlight w:val="none"/>
                <w:lang w:eastAsia="zh-CN"/>
              </w:rPr>
              <w:t>要求。</w:t>
            </w:r>
          </w:p>
        </w:tc>
      </w:tr>
      <w:tr w14:paraId="1F63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9" w:type="dxa"/>
          <w:trHeight w:val="3028" w:hRule="atLeast"/>
          <w:jc w:val="center"/>
        </w:trPr>
        <w:tc>
          <w:tcPr>
            <w:tcW w:w="761" w:type="dxa"/>
            <w:gridSpan w:val="2"/>
            <w:vMerge w:val="continue"/>
            <w:tcMar>
              <w:top w:w="57" w:type="dxa"/>
              <w:left w:w="57" w:type="dxa"/>
              <w:bottom w:w="57" w:type="dxa"/>
              <w:right w:w="57" w:type="dxa"/>
            </w:tcMar>
            <w:vAlign w:val="center"/>
          </w:tcPr>
          <w:p w14:paraId="14C56589">
            <w:pPr>
              <w:pStyle w:val="10"/>
              <w:adjustRightInd w:val="0"/>
              <w:snapToGrid w:val="0"/>
              <w:spacing w:line="320" w:lineRule="exact"/>
              <w:ind w:left="0" w:leftChars="0" w:right="0" w:rightChars="0" w:firstLine="0" w:firstLineChars="0"/>
              <w:jc w:val="center"/>
              <w:rPr>
                <w:rFonts w:hint="eastAsia" w:ascii="宋体" w:hAnsi="宋体" w:eastAsia="宋体" w:cs="宋体"/>
                <w:color w:val="auto"/>
                <w:sz w:val="21"/>
                <w:szCs w:val="21"/>
                <w:highlight w:val="none"/>
                <w:lang w:eastAsia="zh-CN"/>
              </w:rPr>
            </w:pPr>
          </w:p>
        </w:tc>
        <w:tc>
          <w:tcPr>
            <w:tcW w:w="1299" w:type="dxa"/>
            <w:gridSpan w:val="3"/>
            <w:vMerge w:val="continue"/>
            <w:tcMar>
              <w:top w:w="57" w:type="dxa"/>
              <w:left w:w="57" w:type="dxa"/>
              <w:bottom w:w="57" w:type="dxa"/>
              <w:right w:w="57" w:type="dxa"/>
            </w:tcMar>
            <w:vAlign w:val="center"/>
          </w:tcPr>
          <w:p w14:paraId="6D78D29B">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eastAsia="zh-CN"/>
              </w:rPr>
            </w:pPr>
          </w:p>
        </w:tc>
        <w:tc>
          <w:tcPr>
            <w:tcW w:w="896" w:type="dxa"/>
            <w:vMerge w:val="continue"/>
            <w:tcMar>
              <w:top w:w="57" w:type="dxa"/>
              <w:left w:w="57" w:type="dxa"/>
              <w:bottom w:w="57" w:type="dxa"/>
              <w:right w:w="57" w:type="dxa"/>
            </w:tcMar>
            <w:vAlign w:val="center"/>
          </w:tcPr>
          <w:p w14:paraId="2FA10A2C">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eastAsia="zh-CN"/>
              </w:rPr>
            </w:pPr>
          </w:p>
        </w:tc>
        <w:tc>
          <w:tcPr>
            <w:tcW w:w="1627" w:type="dxa"/>
            <w:gridSpan w:val="2"/>
            <w:tcMar>
              <w:top w:w="57" w:type="dxa"/>
              <w:left w:w="57" w:type="dxa"/>
              <w:bottom w:w="57" w:type="dxa"/>
              <w:right w:w="57" w:type="dxa"/>
            </w:tcMar>
            <w:vAlign w:val="center"/>
          </w:tcPr>
          <w:p w14:paraId="09F03F99">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项目总工</w:t>
            </w:r>
          </w:p>
        </w:tc>
        <w:tc>
          <w:tcPr>
            <w:tcW w:w="640" w:type="dxa"/>
            <w:tcMar>
              <w:top w:w="57" w:type="dxa"/>
              <w:left w:w="57" w:type="dxa"/>
              <w:bottom w:w="57" w:type="dxa"/>
              <w:right w:w="57" w:type="dxa"/>
            </w:tcMar>
            <w:vAlign w:val="center"/>
          </w:tcPr>
          <w:p w14:paraId="73318361">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lang w:val="en-US" w:eastAsia="zh-CN"/>
              </w:rPr>
              <w:t>分</w:t>
            </w:r>
          </w:p>
        </w:tc>
        <w:tc>
          <w:tcPr>
            <w:tcW w:w="4398" w:type="dxa"/>
            <w:tcMar>
              <w:top w:w="57" w:type="dxa"/>
              <w:left w:w="57" w:type="dxa"/>
              <w:bottom w:w="57" w:type="dxa"/>
              <w:right w:w="57" w:type="dxa"/>
            </w:tcMar>
            <w:vAlign w:val="center"/>
          </w:tcPr>
          <w:p w14:paraId="3D26095C">
            <w:pPr>
              <w:pStyle w:val="10"/>
              <w:numPr>
                <w:ilvl w:val="0"/>
                <w:numId w:val="0"/>
              </w:numPr>
              <w:spacing w:line="320" w:lineRule="exact"/>
              <w:ind w:left="0" w:leftChars="0" w:right="0" w:righ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满足资格审查条件（项目经理和项目总工最低要求）得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14:paraId="07AD874B">
            <w:pPr>
              <w:pStyle w:val="10"/>
              <w:spacing w:line="320" w:lineRule="exact"/>
              <w:ind w:left="0" w:leftChars="0" w:right="0" w:righ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在满足资格审查条件的基础上，近5年</w:t>
            </w:r>
            <w:r>
              <w:rPr>
                <w:rFonts w:hint="eastAsia" w:ascii="宋体" w:hAnsi="宋体" w:eastAsia="宋体" w:cs="宋体"/>
                <w:color w:val="auto"/>
                <w:sz w:val="21"/>
                <w:szCs w:val="21"/>
                <w:highlight w:val="none"/>
              </w:rPr>
              <w:t>（任职时段在</w:t>
            </w:r>
            <w:r>
              <w:rPr>
                <w:rFonts w:hint="eastAsia" w:ascii="宋体" w:hAnsi="宋体" w:eastAsia="宋体" w:cs="宋体"/>
                <w:color w:val="auto"/>
                <w:kern w:val="2"/>
                <w:sz w:val="21"/>
                <w:szCs w:val="21"/>
                <w:highlight w:val="none"/>
                <w:lang w:val="en-US" w:eastAsia="zh-CN"/>
              </w:rPr>
              <w:t>2021</w:t>
            </w:r>
            <w:r>
              <w:rPr>
                <w:rFonts w:hint="eastAsia" w:ascii="宋体" w:hAnsi="宋体" w:eastAsia="宋体" w:cs="宋体"/>
                <w:color w:val="auto"/>
                <w:kern w:val="2"/>
                <w:sz w:val="21"/>
                <w:szCs w:val="21"/>
                <w:highlight w:val="none"/>
                <w:lang w:eastAsia="zh-CN"/>
              </w:rPr>
              <w:t>年</w:t>
            </w:r>
            <w:r>
              <w:rPr>
                <w:rFonts w:hint="eastAsia" w:ascii="宋体" w:hAnsi="宋体" w:eastAsia="宋体" w:cs="宋体"/>
                <w:color w:val="auto"/>
                <w:kern w:val="2"/>
                <w:sz w:val="21"/>
                <w:szCs w:val="21"/>
                <w:highlight w:val="none"/>
                <w:lang w:val="en-US" w:eastAsia="zh-CN"/>
              </w:rPr>
              <w:t>02月11日</w:t>
            </w:r>
            <w:r>
              <w:rPr>
                <w:rFonts w:hint="eastAsia" w:ascii="宋体" w:hAnsi="宋体" w:eastAsia="宋体" w:cs="宋体"/>
                <w:color w:val="auto"/>
                <w:sz w:val="21"/>
                <w:szCs w:val="21"/>
                <w:highlight w:val="none"/>
                <w:lang w:val="en-US" w:eastAsia="zh-CN"/>
              </w:rPr>
              <w:t>至投标文件递交截止之日止，以交工日期为准）</w:t>
            </w:r>
            <w:r>
              <w:rPr>
                <w:rFonts w:hint="eastAsia" w:ascii="宋体" w:hAnsi="宋体" w:eastAsia="宋体" w:cs="宋体"/>
                <w:color w:val="auto"/>
                <w:sz w:val="21"/>
                <w:szCs w:val="21"/>
                <w:highlight w:val="none"/>
                <w:lang w:eastAsia="zh-CN"/>
              </w:rPr>
              <w:t>,每增加1个</w:t>
            </w:r>
            <w:r>
              <w:rPr>
                <w:rFonts w:hint="eastAsia" w:ascii="宋体" w:hAnsi="宋体" w:eastAsia="宋体" w:cs="宋体"/>
                <w:color w:val="auto"/>
                <w:kern w:val="0"/>
                <w:sz w:val="21"/>
                <w:szCs w:val="21"/>
                <w:highlight w:val="none"/>
                <w:lang w:val="en-US" w:eastAsia="zh-CN"/>
              </w:rPr>
              <w:t>一级及以上等级公路路面</w:t>
            </w:r>
            <w:r>
              <w:rPr>
                <w:rFonts w:hint="eastAsia" w:ascii="宋体" w:hAnsi="宋体" w:eastAsia="宋体" w:cs="宋体"/>
                <w:color w:val="auto"/>
                <w:kern w:val="2"/>
                <w:sz w:val="21"/>
                <w:szCs w:val="21"/>
                <w:highlight w:val="none"/>
                <w:lang w:val="en-US" w:eastAsia="zh-CN"/>
              </w:rPr>
              <w:t>养护工程施工项目的</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lang w:val="en-US" w:eastAsia="zh-CN"/>
              </w:rPr>
              <w:t>总工</w:t>
            </w:r>
            <w:r>
              <w:rPr>
                <w:rFonts w:hint="eastAsia" w:ascii="宋体" w:hAnsi="宋体" w:eastAsia="宋体" w:cs="宋体"/>
                <w:color w:val="auto"/>
                <w:sz w:val="21"/>
                <w:szCs w:val="21"/>
                <w:highlight w:val="none"/>
                <w:lang w:eastAsia="zh-CN"/>
              </w:rPr>
              <w:t>职务业绩加</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分；在满足资格审查条件的基础上，近5年</w:t>
            </w:r>
            <w:r>
              <w:rPr>
                <w:rFonts w:hint="eastAsia" w:ascii="宋体" w:hAnsi="宋体" w:eastAsia="宋体" w:cs="宋体"/>
                <w:color w:val="auto"/>
                <w:sz w:val="21"/>
                <w:szCs w:val="21"/>
                <w:highlight w:val="none"/>
              </w:rPr>
              <w:t>（任职时段</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kern w:val="2"/>
                <w:sz w:val="21"/>
                <w:szCs w:val="21"/>
                <w:highlight w:val="none"/>
                <w:lang w:val="en-US" w:eastAsia="zh-CN"/>
              </w:rPr>
              <w:t>2021</w:t>
            </w:r>
            <w:r>
              <w:rPr>
                <w:rFonts w:hint="eastAsia" w:ascii="宋体" w:hAnsi="宋体" w:eastAsia="宋体" w:cs="宋体"/>
                <w:color w:val="auto"/>
                <w:kern w:val="2"/>
                <w:sz w:val="21"/>
                <w:szCs w:val="21"/>
                <w:highlight w:val="none"/>
                <w:lang w:eastAsia="zh-CN"/>
              </w:rPr>
              <w:t>年</w:t>
            </w:r>
            <w:r>
              <w:rPr>
                <w:rFonts w:hint="eastAsia" w:ascii="宋体" w:hAnsi="宋体" w:eastAsia="宋体" w:cs="宋体"/>
                <w:color w:val="auto"/>
                <w:kern w:val="2"/>
                <w:sz w:val="21"/>
                <w:szCs w:val="21"/>
                <w:highlight w:val="none"/>
                <w:lang w:val="en-US" w:eastAsia="zh-CN"/>
              </w:rPr>
              <w:t>02月11日</w:t>
            </w:r>
            <w:r>
              <w:rPr>
                <w:rFonts w:hint="eastAsia" w:ascii="宋体" w:hAnsi="宋体" w:eastAsia="宋体" w:cs="宋体"/>
                <w:color w:val="auto"/>
                <w:sz w:val="21"/>
                <w:szCs w:val="21"/>
                <w:highlight w:val="none"/>
                <w:lang w:val="en-US" w:eastAsia="zh-CN"/>
              </w:rPr>
              <w:t>至投标文件递交截止之日止，以交工日期为准）</w:t>
            </w:r>
            <w:r>
              <w:rPr>
                <w:rFonts w:hint="eastAsia" w:ascii="宋体" w:hAnsi="宋体" w:eastAsia="宋体" w:cs="宋体"/>
                <w:color w:val="auto"/>
                <w:sz w:val="21"/>
                <w:szCs w:val="21"/>
                <w:highlight w:val="none"/>
                <w:lang w:eastAsia="zh-CN"/>
              </w:rPr>
              <w:t>,每增加1个</w:t>
            </w:r>
            <w:r>
              <w:rPr>
                <w:rFonts w:hint="eastAsia" w:ascii="宋体" w:hAnsi="宋体" w:eastAsia="宋体" w:cs="宋体"/>
                <w:color w:val="auto"/>
                <w:kern w:val="0"/>
                <w:sz w:val="21"/>
                <w:szCs w:val="21"/>
                <w:highlight w:val="none"/>
                <w:lang w:val="en-US" w:eastAsia="zh-CN"/>
              </w:rPr>
              <w:t>一级及以上等级公路路面</w:t>
            </w:r>
            <w:r>
              <w:rPr>
                <w:rFonts w:hint="eastAsia" w:ascii="宋体" w:hAnsi="宋体" w:eastAsia="宋体" w:cs="宋体"/>
                <w:color w:val="auto"/>
                <w:kern w:val="2"/>
                <w:sz w:val="21"/>
                <w:szCs w:val="21"/>
                <w:highlight w:val="none"/>
                <w:lang w:val="en-US" w:eastAsia="zh-CN"/>
              </w:rPr>
              <w:t>养护工程施工项目的</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lang w:val="en-US" w:eastAsia="zh-CN"/>
              </w:rPr>
              <w:t>副总工</w:t>
            </w:r>
            <w:r>
              <w:rPr>
                <w:rFonts w:hint="eastAsia" w:ascii="宋体" w:hAnsi="宋体" w:eastAsia="宋体" w:cs="宋体"/>
                <w:color w:val="auto"/>
                <w:sz w:val="21"/>
                <w:szCs w:val="21"/>
                <w:highlight w:val="none"/>
                <w:lang w:eastAsia="zh-CN"/>
              </w:rPr>
              <w:t>职务业绩加</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分，此项最多加</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4B6F6F29">
            <w:pPr>
              <w:pStyle w:val="10"/>
              <w:numPr>
                <w:ilvl w:val="0"/>
                <w:numId w:val="0"/>
              </w:numPr>
              <w:spacing w:line="320" w:lineRule="exact"/>
              <w:ind w:left="0" w:leftChars="0" w:right="0" w:righ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业绩证明材料</w:t>
            </w:r>
            <w:r>
              <w:rPr>
                <w:rFonts w:hint="eastAsia" w:ascii="宋体" w:hAnsi="宋体" w:eastAsia="宋体" w:cs="宋体"/>
                <w:color w:val="auto"/>
                <w:sz w:val="21"/>
                <w:szCs w:val="21"/>
                <w:highlight w:val="none"/>
                <w:lang w:val="en-US" w:eastAsia="zh-CN"/>
              </w:rPr>
              <w:t>同</w:t>
            </w:r>
            <w:r>
              <w:rPr>
                <w:rFonts w:hint="eastAsia" w:ascii="宋体" w:hAnsi="宋体" w:eastAsia="宋体" w:cs="宋体"/>
                <w:color w:val="auto"/>
                <w:sz w:val="21"/>
                <w:szCs w:val="21"/>
                <w:highlight w:val="none"/>
                <w:lang w:eastAsia="zh-CN"/>
              </w:rPr>
              <w:t>招标文件资格审查</w:t>
            </w:r>
            <w:r>
              <w:rPr>
                <w:rFonts w:hint="eastAsia" w:ascii="宋体" w:hAnsi="宋体" w:eastAsia="宋体" w:cs="宋体"/>
                <w:color w:val="auto"/>
                <w:sz w:val="21"/>
                <w:szCs w:val="21"/>
                <w:highlight w:val="none"/>
                <w:lang w:val="en-US" w:eastAsia="zh-CN"/>
              </w:rPr>
              <w:t>附录5</w:t>
            </w:r>
            <w:r>
              <w:rPr>
                <w:rFonts w:hint="eastAsia" w:ascii="宋体" w:hAnsi="宋体" w:eastAsia="宋体" w:cs="宋体"/>
                <w:color w:val="auto"/>
                <w:sz w:val="21"/>
                <w:szCs w:val="21"/>
                <w:highlight w:val="none"/>
                <w:lang w:eastAsia="zh-CN"/>
              </w:rPr>
              <w:t>要求。</w:t>
            </w:r>
          </w:p>
        </w:tc>
      </w:tr>
      <w:tr w14:paraId="0E40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9" w:type="dxa"/>
          <w:trHeight w:val="1637" w:hRule="atLeast"/>
          <w:jc w:val="center"/>
        </w:trPr>
        <w:tc>
          <w:tcPr>
            <w:tcW w:w="761" w:type="dxa"/>
            <w:gridSpan w:val="2"/>
            <w:vMerge w:val="restart"/>
            <w:tcMar>
              <w:top w:w="57" w:type="dxa"/>
              <w:left w:w="57" w:type="dxa"/>
              <w:bottom w:w="57" w:type="dxa"/>
              <w:right w:w="57" w:type="dxa"/>
            </w:tcMar>
            <w:vAlign w:val="center"/>
          </w:tcPr>
          <w:p w14:paraId="5597ACC7">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w:t>
            </w:r>
          </w:p>
          <w:p w14:paraId="7F8DE44E">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p>
        </w:tc>
        <w:tc>
          <w:tcPr>
            <w:tcW w:w="652" w:type="dxa"/>
            <w:vMerge w:val="restart"/>
            <w:tcMar>
              <w:top w:w="57" w:type="dxa"/>
              <w:left w:w="57" w:type="dxa"/>
              <w:bottom w:w="57" w:type="dxa"/>
              <w:right w:w="57" w:type="dxa"/>
            </w:tcMar>
            <w:vAlign w:val="center"/>
          </w:tcPr>
          <w:p w14:paraId="7EED7EF0">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其他因素</w:t>
            </w:r>
          </w:p>
        </w:tc>
        <w:tc>
          <w:tcPr>
            <w:tcW w:w="647" w:type="dxa"/>
            <w:gridSpan w:val="2"/>
            <w:tcMar>
              <w:top w:w="57" w:type="dxa"/>
              <w:left w:w="57" w:type="dxa"/>
              <w:bottom w:w="57" w:type="dxa"/>
              <w:right w:w="57" w:type="dxa"/>
            </w:tcMar>
            <w:vAlign w:val="center"/>
          </w:tcPr>
          <w:p w14:paraId="1A7A1807">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技术能力</w:t>
            </w:r>
          </w:p>
        </w:tc>
        <w:tc>
          <w:tcPr>
            <w:tcW w:w="896" w:type="dxa"/>
            <w:tcMar>
              <w:top w:w="57" w:type="dxa"/>
              <w:left w:w="57" w:type="dxa"/>
              <w:bottom w:w="57" w:type="dxa"/>
              <w:right w:w="57" w:type="dxa"/>
            </w:tcMar>
            <w:vAlign w:val="center"/>
          </w:tcPr>
          <w:p w14:paraId="3219A76B">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10分</w:t>
            </w:r>
          </w:p>
        </w:tc>
        <w:tc>
          <w:tcPr>
            <w:tcW w:w="1627" w:type="dxa"/>
            <w:gridSpan w:val="2"/>
            <w:tcMar>
              <w:top w:w="57" w:type="dxa"/>
              <w:left w:w="57" w:type="dxa"/>
              <w:bottom w:w="57" w:type="dxa"/>
              <w:right w:w="57" w:type="dxa"/>
            </w:tcMar>
            <w:vAlign w:val="center"/>
          </w:tcPr>
          <w:p w14:paraId="2F2A8747">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技术能力</w:t>
            </w:r>
          </w:p>
        </w:tc>
        <w:tc>
          <w:tcPr>
            <w:tcW w:w="640" w:type="dxa"/>
            <w:tcMar>
              <w:top w:w="57" w:type="dxa"/>
              <w:left w:w="57" w:type="dxa"/>
              <w:bottom w:w="57" w:type="dxa"/>
              <w:right w:w="57" w:type="dxa"/>
            </w:tcMar>
            <w:vAlign w:val="center"/>
          </w:tcPr>
          <w:p w14:paraId="58EE7A91">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4398" w:type="dxa"/>
            <w:tcMar>
              <w:top w:w="57" w:type="dxa"/>
              <w:left w:w="57" w:type="dxa"/>
              <w:bottom w:w="57" w:type="dxa"/>
              <w:right w:w="57" w:type="dxa"/>
            </w:tcMar>
            <w:vAlign w:val="center"/>
          </w:tcPr>
          <w:p w14:paraId="79D008E9">
            <w:pPr>
              <w:numPr>
                <w:ilvl w:val="0"/>
                <w:numId w:val="0"/>
              </w:numPr>
              <w:spacing w:before="140" w:line="289" w:lineRule="auto"/>
              <w:ind w:left="0" w:leftChars="0" w:right="0" w:rightChars="0" w:firstLine="0" w:firstLineChars="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rPr>
              <w:t>满足资格审查最低要求</w:t>
            </w:r>
            <w:r>
              <w:rPr>
                <w:rFonts w:hint="eastAsia" w:ascii="宋体" w:hAnsi="宋体" w:eastAsia="宋体" w:cs="宋体"/>
                <w:color w:val="auto"/>
                <w:spacing w:val="-6"/>
                <w:sz w:val="21"/>
                <w:szCs w:val="21"/>
                <w:highlight w:val="none"/>
              </w:rPr>
              <w:t>的</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6"/>
                <w:sz w:val="21"/>
                <w:szCs w:val="21"/>
                <w:highlight w:val="none"/>
              </w:rPr>
              <w:t>得</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34"/>
                <w:sz w:val="21"/>
                <w:szCs w:val="21"/>
                <w:highlight w:val="none"/>
                <w:lang w:val="en-US" w:eastAsia="zh-CN"/>
              </w:rPr>
              <w:t>8</w:t>
            </w:r>
            <w:r>
              <w:rPr>
                <w:rFonts w:hint="eastAsia" w:ascii="宋体" w:hAnsi="宋体" w:eastAsia="宋体" w:cs="宋体"/>
                <w:color w:val="auto"/>
                <w:spacing w:val="-6"/>
                <w:sz w:val="21"/>
                <w:szCs w:val="21"/>
                <w:highlight w:val="none"/>
              </w:rPr>
              <w:t>分；</w:t>
            </w:r>
          </w:p>
          <w:p w14:paraId="633AA3F6">
            <w:pPr>
              <w:numPr>
                <w:ilvl w:val="0"/>
                <w:numId w:val="0"/>
              </w:numPr>
              <w:spacing w:before="140" w:line="289"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val="en-US" w:eastAsia="zh-CN"/>
              </w:rPr>
              <w:t>2.</w:t>
            </w:r>
            <w:r>
              <w:rPr>
                <w:rFonts w:hint="eastAsia" w:ascii="宋体" w:hAnsi="宋体" w:eastAsia="宋体" w:cs="宋体"/>
                <w:color w:val="auto"/>
                <w:spacing w:val="7"/>
                <w:sz w:val="21"/>
                <w:szCs w:val="21"/>
                <w:highlight w:val="none"/>
              </w:rPr>
              <w:t>在此基础上以下内容累</w:t>
            </w:r>
            <w:r>
              <w:rPr>
                <w:rFonts w:hint="eastAsia" w:ascii="宋体" w:hAnsi="宋体" w:eastAsia="宋体" w:cs="宋体"/>
                <w:color w:val="auto"/>
                <w:spacing w:val="12"/>
                <w:sz w:val="21"/>
                <w:szCs w:val="21"/>
                <w:highlight w:val="none"/>
              </w:rPr>
              <w:t>计最多加2分：</w:t>
            </w:r>
          </w:p>
          <w:p w14:paraId="0F0DB7C9">
            <w:pPr>
              <w:spacing w:before="127" w:line="341"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①工法或专利：获得的与项目施工有关的国家级工法，根据项目类型选择路基、路面、桥涵、隧道、交通工程门类，以交通运输部或中国</w:t>
            </w:r>
            <w:r>
              <w:rPr>
                <w:rFonts w:hint="eastAsia" w:ascii="宋体" w:hAnsi="宋体" w:eastAsia="宋体" w:cs="宋体"/>
                <w:color w:val="auto"/>
                <w:spacing w:val="9"/>
                <w:sz w:val="21"/>
                <w:szCs w:val="21"/>
                <w:highlight w:val="none"/>
              </w:rPr>
              <w:t>公路建设行业协会网站公</w:t>
            </w:r>
            <w:r>
              <w:rPr>
                <w:rFonts w:hint="eastAsia" w:ascii="宋体" w:hAnsi="宋体" w:eastAsia="宋体" w:cs="宋体"/>
                <w:color w:val="auto"/>
                <w:spacing w:val="6"/>
                <w:sz w:val="21"/>
                <w:szCs w:val="21"/>
                <w:highlight w:val="none"/>
              </w:rPr>
              <w:t>示为准（提供截图</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6"/>
                <w:sz w:val="21"/>
                <w:szCs w:val="21"/>
                <w:highlight w:val="none"/>
              </w:rPr>
              <w:t>且在有效期内</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或</w:t>
            </w:r>
            <w:r>
              <w:rPr>
                <w:rFonts w:hint="eastAsia" w:ascii="宋体" w:hAnsi="宋体" w:eastAsia="宋体" w:cs="宋体"/>
                <w:color w:val="auto"/>
                <w:spacing w:val="6"/>
                <w:sz w:val="21"/>
                <w:szCs w:val="21"/>
                <w:highlight w:val="none"/>
              </w:rPr>
              <w:t>获得的国家知</w:t>
            </w:r>
            <w:r>
              <w:rPr>
                <w:rFonts w:hint="eastAsia" w:ascii="宋体" w:hAnsi="宋体" w:eastAsia="宋体" w:cs="宋体"/>
                <w:color w:val="auto"/>
                <w:spacing w:val="9"/>
                <w:sz w:val="21"/>
                <w:szCs w:val="21"/>
                <w:highlight w:val="none"/>
              </w:rPr>
              <w:t>识产权局审批认定的与项</w:t>
            </w:r>
            <w:r>
              <w:rPr>
                <w:rFonts w:hint="eastAsia" w:ascii="宋体" w:hAnsi="宋体" w:eastAsia="宋体" w:cs="宋体"/>
                <w:color w:val="auto"/>
                <w:spacing w:val="6"/>
                <w:sz w:val="21"/>
                <w:szCs w:val="21"/>
                <w:highlight w:val="none"/>
              </w:rPr>
              <w:t>目施工有关的专利，且在有</w:t>
            </w:r>
            <w:r>
              <w:rPr>
                <w:rFonts w:hint="eastAsia" w:ascii="宋体" w:hAnsi="宋体" w:eastAsia="宋体" w:cs="宋体"/>
                <w:color w:val="auto"/>
                <w:spacing w:val="8"/>
                <w:sz w:val="21"/>
                <w:szCs w:val="21"/>
                <w:highlight w:val="none"/>
              </w:rPr>
              <w:t>效期内（提供专利证书</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7"/>
                <w:sz w:val="21"/>
                <w:szCs w:val="21"/>
                <w:highlight w:val="none"/>
              </w:rPr>
              <w:t>每个加</w:t>
            </w:r>
            <w:r>
              <w:rPr>
                <w:rFonts w:hint="eastAsia" w:ascii="宋体" w:hAnsi="宋体" w:eastAsia="宋体" w:cs="宋体"/>
                <w:color w:val="auto"/>
                <w:spacing w:val="-40"/>
                <w:sz w:val="21"/>
                <w:szCs w:val="21"/>
                <w:highlight w:val="none"/>
                <w:lang w:val="en-US" w:eastAsia="zh-CN"/>
              </w:rPr>
              <w:t>0.5</w:t>
            </w:r>
            <w:r>
              <w:rPr>
                <w:rFonts w:hint="eastAsia" w:ascii="宋体" w:hAnsi="宋体" w:eastAsia="宋体" w:cs="宋体"/>
                <w:color w:val="auto"/>
                <w:spacing w:val="7"/>
                <w:sz w:val="21"/>
                <w:szCs w:val="21"/>
                <w:highlight w:val="none"/>
              </w:rPr>
              <w:t>分，此项最多加</w:t>
            </w:r>
            <w:r>
              <w:rPr>
                <w:rFonts w:hint="eastAsia" w:ascii="宋体" w:hAnsi="宋体" w:eastAsia="宋体" w:cs="宋体"/>
                <w:color w:val="auto"/>
                <w:spacing w:val="-8"/>
                <w:sz w:val="21"/>
                <w:szCs w:val="21"/>
                <w:highlight w:val="none"/>
              </w:rPr>
              <w:t>1分。</w:t>
            </w:r>
          </w:p>
          <w:p w14:paraId="476F089A">
            <w:pPr>
              <w:spacing w:before="127" w:line="341" w:lineRule="auto"/>
              <w:ind w:left="0" w:leftChars="0" w:right="0" w:rightChars="0" w:firstLine="0" w:firstLineChars="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②获奖：获得的与项目施工有关的国家级或省部级奖项（提供获奖证书）的加0.5分，此项最多加0.5分。</w:t>
            </w:r>
          </w:p>
          <w:p w14:paraId="48D8E049">
            <w:pPr>
              <w:spacing w:before="127" w:line="341" w:lineRule="auto"/>
              <w:ind w:left="0" w:leftChars="0" w:right="0" w:righ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③标准制定：参与国家、行业或省级地区标准制定的加0.5分（提供相应标准文件），此项最多加0.5分。</w:t>
            </w:r>
          </w:p>
        </w:tc>
      </w:tr>
      <w:tr w14:paraId="664D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9" w:type="dxa"/>
          <w:trHeight w:val="1350" w:hRule="atLeast"/>
          <w:jc w:val="center"/>
        </w:trPr>
        <w:tc>
          <w:tcPr>
            <w:tcW w:w="761" w:type="dxa"/>
            <w:gridSpan w:val="2"/>
            <w:vMerge w:val="continue"/>
            <w:tcMar>
              <w:top w:w="57" w:type="dxa"/>
              <w:left w:w="57" w:type="dxa"/>
              <w:bottom w:w="57" w:type="dxa"/>
              <w:right w:w="57" w:type="dxa"/>
            </w:tcMar>
            <w:vAlign w:val="center"/>
          </w:tcPr>
          <w:p w14:paraId="4C7031F1">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p>
        </w:tc>
        <w:tc>
          <w:tcPr>
            <w:tcW w:w="652" w:type="dxa"/>
            <w:vMerge w:val="continue"/>
            <w:tcMar>
              <w:top w:w="57" w:type="dxa"/>
              <w:left w:w="57" w:type="dxa"/>
              <w:bottom w:w="57" w:type="dxa"/>
              <w:right w:w="57" w:type="dxa"/>
            </w:tcMar>
            <w:vAlign w:val="center"/>
          </w:tcPr>
          <w:p w14:paraId="6646F531">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p>
        </w:tc>
        <w:tc>
          <w:tcPr>
            <w:tcW w:w="647" w:type="dxa"/>
            <w:gridSpan w:val="2"/>
            <w:tcMar>
              <w:top w:w="57" w:type="dxa"/>
              <w:left w:w="57" w:type="dxa"/>
              <w:bottom w:w="57" w:type="dxa"/>
              <w:right w:w="57" w:type="dxa"/>
            </w:tcMar>
            <w:vAlign w:val="center"/>
          </w:tcPr>
          <w:p w14:paraId="5E9277FC">
            <w:pPr>
              <w:spacing w:line="320" w:lineRule="exact"/>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履约信誉</w:t>
            </w:r>
          </w:p>
        </w:tc>
        <w:tc>
          <w:tcPr>
            <w:tcW w:w="896" w:type="dxa"/>
            <w:tcMar>
              <w:top w:w="57" w:type="dxa"/>
              <w:left w:w="57" w:type="dxa"/>
              <w:bottom w:w="57" w:type="dxa"/>
              <w:right w:w="57" w:type="dxa"/>
            </w:tcMar>
            <w:vAlign w:val="center"/>
          </w:tcPr>
          <w:p w14:paraId="363CC817">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分</w:t>
            </w:r>
          </w:p>
        </w:tc>
        <w:tc>
          <w:tcPr>
            <w:tcW w:w="1627" w:type="dxa"/>
            <w:gridSpan w:val="2"/>
            <w:tcMar>
              <w:top w:w="57" w:type="dxa"/>
              <w:left w:w="57" w:type="dxa"/>
              <w:bottom w:w="57" w:type="dxa"/>
              <w:right w:w="57" w:type="dxa"/>
            </w:tcMar>
            <w:vAlign w:val="center"/>
          </w:tcPr>
          <w:p w14:paraId="15027217">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信誉</w:t>
            </w:r>
          </w:p>
        </w:tc>
        <w:tc>
          <w:tcPr>
            <w:tcW w:w="640" w:type="dxa"/>
            <w:tcMar>
              <w:top w:w="57" w:type="dxa"/>
              <w:left w:w="57" w:type="dxa"/>
              <w:bottom w:w="57" w:type="dxa"/>
              <w:right w:w="57" w:type="dxa"/>
            </w:tcMar>
            <w:vAlign w:val="center"/>
          </w:tcPr>
          <w:p w14:paraId="47B62C99">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5分</w:t>
            </w:r>
          </w:p>
        </w:tc>
        <w:tc>
          <w:tcPr>
            <w:tcW w:w="4398" w:type="dxa"/>
            <w:tcMar>
              <w:top w:w="57" w:type="dxa"/>
              <w:left w:w="57" w:type="dxa"/>
              <w:bottom w:w="57" w:type="dxa"/>
              <w:right w:w="57" w:type="dxa"/>
            </w:tcMar>
            <w:vAlign w:val="center"/>
          </w:tcPr>
          <w:p w14:paraId="6E693083">
            <w:pPr>
              <w:pStyle w:val="10"/>
              <w:spacing w:line="320" w:lineRule="exact"/>
              <w:ind w:left="0" w:leftChars="0" w:right="0" w:rightChars="0" w:firstLine="0" w:firstLineChars="0"/>
              <w:jc w:val="left"/>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信用等级为AA级的投标人，得15分；</w:t>
            </w:r>
          </w:p>
          <w:p w14:paraId="2DF1A208">
            <w:pPr>
              <w:pStyle w:val="10"/>
              <w:spacing w:line="320" w:lineRule="exact"/>
              <w:ind w:left="0" w:leftChars="0" w:right="0" w:rightChars="0" w:firstLine="0" w:firstLineChars="0"/>
              <w:jc w:val="left"/>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为A级的投标人，得14.7分；</w:t>
            </w:r>
          </w:p>
          <w:p w14:paraId="3581C9DB">
            <w:pPr>
              <w:pStyle w:val="10"/>
              <w:spacing w:line="320" w:lineRule="exact"/>
              <w:ind w:left="0" w:leftChars="0" w:right="0" w:rightChars="0" w:firstLine="0" w:firstLineChars="0"/>
              <w:jc w:val="left"/>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为B级的投标人,得14.1分；</w:t>
            </w:r>
          </w:p>
          <w:p w14:paraId="428D865A">
            <w:pPr>
              <w:pStyle w:val="10"/>
              <w:spacing w:line="320" w:lineRule="exact"/>
              <w:ind w:left="0" w:leftChars="0" w:right="0" w:rightChars="0" w:firstLine="0" w:firstLineChars="0"/>
              <w:jc w:val="left"/>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为C级的投标人,得12.9分。</w:t>
            </w:r>
          </w:p>
          <w:p w14:paraId="1F884761">
            <w:pPr>
              <w:pStyle w:val="10"/>
              <w:spacing w:line="320" w:lineRule="exact"/>
              <w:ind w:left="0" w:leftChars="0" w:right="0" w:rightChars="0" w:firstLine="0" w:firstLineChars="0"/>
              <w:jc w:val="left"/>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b/>
                <w:bCs/>
                <w:color w:val="auto"/>
                <w:spacing w:val="6"/>
                <w:kern w:val="2"/>
                <w:sz w:val="21"/>
                <w:szCs w:val="21"/>
                <w:highlight w:val="none"/>
                <w:lang w:val="en-US" w:eastAsia="zh-CN" w:bidi="ar-SA"/>
              </w:rPr>
              <w:t>注:投标人须按照投标文件格式中“信用评价等级相关要求提供信用评价等级相关证明材料。</w:t>
            </w:r>
          </w:p>
        </w:tc>
      </w:tr>
      <w:tr w14:paraId="69F3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9" w:type="dxa"/>
          <w:trHeight w:val="2115" w:hRule="atLeast"/>
          <w:jc w:val="center"/>
        </w:trPr>
        <w:tc>
          <w:tcPr>
            <w:tcW w:w="761" w:type="dxa"/>
            <w:gridSpan w:val="2"/>
            <w:vMerge w:val="continue"/>
            <w:tcMar>
              <w:top w:w="57" w:type="dxa"/>
              <w:left w:w="57" w:type="dxa"/>
              <w:bottom w:w="57" w:type="dxa"/>
              <w:right w:w="57" w:type="dxa"/>
            </w:tcMar>
            <w:vAlign w:val="center"/>
          </w:tcPr>
          <w:p w14:paraId="05252BD4">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p>
        </w:tc>
        <w:tc>
          <w:tcPr>
            <w:tcW w:w="652" w:type="dxa"/>
            <w:vMerge w:val="continue"/>
            <w:tcMar>
              <w:top w:w="57" w:type="dxa"/>
              <w:left w:w="57" w:type="dxa"/>
              <w:bottom w:w="57" w:type="dxa"/>
              <w:right w:w="57" w:type="dxa"/>
            </w:tcMar>
            <w:vAlign w:val="center"/>
          </w:tcPr>
          <w:p w14:paraId="0F8FF582">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p>
        </w:tc>
        <w:tc>
          <w:tcPr>
            <w:tcW w:w="647" w:type="dxa"/>
            <w:gridSpan w:val="2"/>
            <w:tcMar>
              <w:top w:w="57" w:type="dxa"/>
              <w:left w:w="57" w:type="dxa"/>
              <w:bottom w:w="57" w:type="dxa"/>
              <w:right w:w="57" w:type="dxa"/>
            </w:tcMar>
            <w:vAlign w:val="center"/>
          </w:tcPr>
          <w:p w14:paraId="4B6B61E0">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业绩</w:t>
            </w:r>
          </w:p>
        </w:tc>
        <w:tc>
          <w:tcPr>
            <w:tcW w:w="896" w:type="dxa"/>
            <w:tcMar>
              <w:top w:w="57" w:type="dxa"/>
              <w:left w:w="57" w:type="dxa"/>
              <w:bottom w:w="57" w:type="dxa"/>
              <w:right w:w="57" w:type="dxa"/>
            </w:tcMar>
            <w:vAlign w:val="center"/>
          </w:tcPr>
          <w:p w14:paraId="2BC2CAC5">
            <w:pPr>
              <w:spacing w:line="320" w:lineRule="exact"/>
              <w:ind w:left="0" w:leftChars="0" w:right="0" w:righ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分</w:t>
            </w:r>
          </w:p>
        </w:tc>
        <w:tc>
          <w:tcPr>
            <w:tcW w:w="1627" w:type="dxa"/>
            <w:gridSpan w:val="2"/>
            <w:tcMar>
              <w:top w:w="57" w:type="dxa"/>
              <w:left w:w="57" w:type="dxa"/>
              <w:bottom w:w="57" w:type="dxa"/>
              <w:right w:w="57" w:type="dxa"/>
            </w:tcMar>
            <w:vAlign w:val="center"/>
          </w:tcPr>
          <w:p w14:paraId="13704C08">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业绩</w:t>
            </w:r>
          </w:p>
        </w:tc>
        <w:tc>
          <w:tcPr>
            <w:tcW w:w="640" w:type="dxa"/>
            <w:tcMar>
              <w:top w:w="57" w:type="dxa"/>
              <w:left w:w="57" w:type="dxa"/>
              <w:bottom w:w="57" w:type="dxa"/>
              <w:right w:w="57" w:type="dxa"/>
            </w:tcMar>
            <w:vAlign w:val="center"/>
          </w:tcPr>
          <w:p w14:paraId="74968A6B">
            <w:pPr>
              <w:pStyle w:val="10"/>
              <w:spacing w:line="320" w:lineRule="exact"/>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5分</w:t>
            </w:r>
          </w:p>
        </w:tc>
        <w:tc>
          <w:tcPr>
            <w:tcW w:w="4398" w:type="dxa"/>
            <w:tcMar>
              <w:top w:w="57" w:type="dxa"/>
              <w:left w:w="57" w:type="dxa"/>
              <w:bottom w:w="57" w:type="dxa"/>
              <w:right w:w="57" w:type="dxa"/>
            </w:tcMar>
            <w:vAlign w:val="center"/>
          </w:tcPr>
          <w:p w14:paraId="2EBD06B5">
            <w:pPr>
              <w:pStyle w:val="10"/>
              <w:spacing w:line="320" w:lineRule="exact"/>
              <w:ind w:left="0" w:leftChars="0" w:right="0" w:rightChars="0" w:firstLine="0" w:firstLineChars="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1.满足资格审查条件（业绩最低要求）得9分；</w:t>
            </w:r>
          </w:p>
          <w:p w14:paraId="400E42DD">
            <w:pPr>
              <w:pStyle w:val="10"/>
              <w:spacing w:line="320" w:lineRule="exact"/>
              <w:ind w:left="0" w:leftChars="0" w:right="0" w:righ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2.在满足资格审查条件的基础上，近5年（</w:t>
            </w:r>
            <w:r>
              <w:rPr>
                <w:rFonts w:hint="eastAsia" w:ascii="宋体" w:hAnsi="宋体" w:eastAsia="宋体" w:cs="宋体"/>
                <w:color w:val="auto"/>
                <w:sz w:val="21"/>
                <w:szCs w:val="21"/>
                <w:highlight w:val="none"/>
                <w:lang w:val="en-US" w:eastAsia="zh-CN"/>
              </w:rPr>
              <w:t>自</w:t>
            </w:r>
            <w:r>
              <w:rPr>
                <w:rFonts w:hint="eastAsia" w:ascii="宋体" w:hAnsi="宋体" w:eastAsia="宋体" w:cs="宋体"/>
                <w:color w:val="auto"/>
                <w:kern w:val="2"/>
                <w:sz w:val="21"/>
                <w:szCs w:val="21"/>
                <w:highlight w:val="none"/>
                <w:lang w:val="en-US" w:eastAsia="zh-CN"/>
              </w:rPr>
              <w:t>2021</w:t>
            </w:r>
            <w:r>
              <w:rPr>
                <w:rFonts w:hint="eastAsia" w:ascii="宋体" w:hAnsi="宋体" w:eastAsia="宋体" w:cs="宋体"/>
                <w:color w:val="auto"/>
                <w:kern w:val="2"/>
                <w:sz w:val="21"/>
                <w:szCs w:val="21"/>
                <w:highlight w:val="none"/>
                <w:lang w:eastAsia="zh-CN"/>
              </w:rPr>
              <w:t>年</w:t>
            </w:r>
            <w:r>
              <w:rPr>
                <w:rFonts w:hint="eastAsia" w:ascii="宋体" w:hAnsi="宋体" w:eastAsia="宋体" w:cs="宋体"/>
                <w:color w:val="auto"/>
                <w:kern w:val="2"/>
                <w:sz w:val="21"/>
                <w:szCs w:val="21"/>
                <w:highlight w:val="none"/>
                <w:lang w:val="en-US" w:eastAsia="zh-CN"/>
              </w:rPr>
              <w:t>02月11日</w:t>
            </w:r>
            <w:r>
              <w:rPr>
                <w:rFonts w:hint="eastAsia" w:ascii="宋体" w:hAnsi="宋体" w:eastAsia="宋体" w:cs="宋体"/>
                <w:color w:val="auto"/>
                <w:sz w:val="21"/>
                <w:szCs w:val="21"/>
                <w:highlight w:val="none"/>
                <w:lang w:val="en-US" w:eastAsia="zh-CN"/>
              </w:rPr>
              <w:t>至投标文件递交截止之日止，以交工日期为准</w:t>
            </w:r>
            <w:r>
              <w:rPr>
                <w:rFonts w:hint="eastAsia" w:ascii="宋体" w:hAnsi="宋体" w:eastAsia="宋体" w:cs="宋体"/>
                <w:color w:val="auto"/>
                <w:sz w:val="21"/>
                <w:szCs w:val="21"/>
                <w:highlight w:val="none"/>
                <w:lang w:val="en-US"/>
              </w:rPr>
              <w:t>）每增加1个</w:t>
            </w:r>
            <w:r>
              <w:rPr>
                <w:rFonts w:hint="eastAsia" w:ascii="宋体" w:hAnsi="宋体" w:eastAsia="宋体" w:cs="宋体"/>
                <w:color w:val="auto"/>
                <w:kern w:val="0"/>
                <w:sz w:val="21"/>
                <w:szCs w:val="21"/>
                <w:highlight w:val="none"/>
                <w:lang w:val="en-US" w:eastAsia="zh-CN"/>
              </w:rPr>
              <w:t>一级及以上等级公路路面</w:t>
            </w:r>
            <w:r>
              <w:rPr>
                <w:rFonts w:hint="eastAsia" w:ascii="宋体" w:hAnsi="宋体" w:eastAsia="宋体" w:cs="宋体"/>
                <w:color w:val="auto"/>
                <w:kern w:val="2"/>
                <w:sz w:val="21"/>
                <w:szCs w:val="21"/>
                <w:highlight w:val="none"/>
                <w:lang w:val="en-US" w:eastAsia="zh-CN"/>
              </w:rPr>
              <w:t>养护</w:t>
            </w:r>
            <w:r>
              <w:rPr>
                <w:rFonts w:hint="eastAsia" w:ascii="宋体" w:hAnsi="宋体" w:eastAsia="宋体" w:cs="宋体"/>
                <w:color w:val="auto"/>
                <w:sz w:val="21"/>
                <w:szCs w:val="21"/>
                <w:highlight w:val="none"/>
                <w:lang w:val="en-US" w:eastAsia="zh-CN"/>
              </w:rPr>
              <w:t>工程施工</w:t>
            </w:r>
            <w:r>
              <w:rPr>
                <w:rFonts w:hint="eastAsia" w:ascii="宋体" w:hAnsi="宋体" w:eastAsia="宋体" w:cs="宋体"/>
                <w:color w:val="auto"/>
                <w:sz w:val="21"/>
                <w:szCs w:val="21"/>
                <w:highlight w:val="none"/>
                <w:lang w:val="en-US"/>
              </w:rPr>
              <w:t>业绩加</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rPr>
              <w:t>分，此项最多加6分</w:t>
            </w:r>
            <w:r>
              <w:rPr>
                <w:rFonts w:hint="eastAsia" w:ascii="宋体" w:hAnsi="宋体" w:eastAsia="宋体" w:cs="宋体"/>
                <w:color w:val="auto"/>
                <w:sz w:val="21"/>
                <w:szCs w:val="21"/>
                <w:highlight w:val="none"/>
                <w:lang w:val="en-US" w:eastAsia="zh-CN"/>
              </w:rPr>
              <w:t>；</w:t>
            </w:r>
          </w:p>
          <w:p w14:paraId="4480D76D">
            <w:pPr>
              <w:pStyle w:val="10"/>
              <w:numPr>
                <w:ilvl w:val="0"/>
                <w:numId w:val="0"/>
              </w:numPr>
              <w:spacing w:line="320" w:lineRule="exact"/>
              <w:ind w:left="0" w:leftChars="0" w:right="0" w:righ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3.业绩证明材料同招标文件资格审查附录3要求。</w:t>
            </w:r>
          </w:p>
        </w:tc>
      </w:tr>
      <w:tr w14:paraId="1AA2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9" w:type="dxa"/>
          <w:trHeight w:val="376" w:hRule="atLeast"/>
          <w:jc w:val="center"/>
        </w:trPr>
        <w:tc>
          <w:tcPr>
            <w:tcW w:w="9621" w:type="dxa"/>
            <w:gridSpan w:val="10"/>
            <w:tcMar>
              <w:top w:w="57" w:type="dxa"/>
              <w:left w:w="57" w:type="dxa"/>
              <w:bottom w:w="57" w:type="dxa"/>
              <w:right w:w="57" w:type="dxa"/>
            </w:tcMar>
            <w:vAlign w:val="center"/>
          </w:tcPr>
          <w:p w14:paraId="5729D401">
            <w:pPr>
              <w:pStyle w:val="10"/>
              <w:keepNext w:val="0"/>
              <w:keepLines w:val="0"/>
              <w:pageBreakBefore w:val="0"/>
              <w:widowControl w:val="0"/>
              <w:kinsoku/>
              <w:wordWrap/>
              <w:overflowPunct/>
              <w:topLinePunct w:val="0"/>
              <w:autoSpaceDE/>
              <w:autoSpaceDN/>
              <w:bidi w:val="0"/>
              <w:adjustRightInd/>
              <w:snapToGrid/>
              <w:spacing w:before="109"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需要补充的其他内容：</w:t>
            </w:r>
          </w:p>
        </w:tc>
      </w:tr>
      <w:tr w14:paraId="2BC7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9" w:type="dxa"/>
          <w:trHeight w:val="567" w:hRule="atLeast"/>
          <w:jc w:val="center"/>
        </w:trPr>
        <w:tc>
          <w:tcPr>
            <w:tcW w:w="9621" w:type="dxa"/>
            <w:gridSpan w:val="10"/>
            <w:tcMar>
              <w:top w:w="57" w:type="dxa"/>
              <w:left w:w="57" w:type="dxa"/>
              <w:bottom w:w="57" w:type="dxa"/>
              <w:right w:w="57" w:type="dxa"/>
            </w:tcMar>
            <w:vAlign w:val="center"/>
          </w:tcPr>
          <w:p w14:paraId="06C4E98B">
            <w:pPr>
              <w:widowControl w:val="0"/>
              <w:numPr>
                <w:ilvl w:val="0"/>
                <w:numId w:val="0"/>
              </w:numPr>
              <w:spacing w:line="312"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评标办法本条细化为：</w:t>
            </w:r>
          </w:p>
          <w:p w14:paraId="2079F325">
            <w:pPr>
              <w:widowControl w:val="0"/>
              <w:numPr>
                <w:ilvl w:val="0"/>
                <w:numId w:val="0"/>
              </w:numPr>
              <w:spacing w:line="312" w:lineRule="auto"/>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1.1本次评标采用双信封形式技术评分最低标价法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评标委员会首先对投标文件第一个信封（商务与技术文件）进行初步评审（形式评审与响应性评审、资格评审）</w:t>
            </w:r>
            <w:r>
              <w:rPr>
                <w:rFonts w:hint="eastAsia" w:ascii="宋体" w:hAnsi="宋体" w:eastAsia="宋体" w:cs="宋体"/>
                <w:color w:val="auto"/>
                <w:sz w:val="21"/>
                <w:szCs w:val="21"/>
                <w:highlight w:val="none"/>
                <w:lang w:eastAsia="zh-CN"/>
              </w:rPr>
              <w:t>。</w:t>
            </w:r>
          </w:p>
          <w:p w14:paraId="4D077822">
            <w:pPr>
              <w:widowControl w:val="0"/>
              <w:numPr>
                <w:ilvl w:val="0"/>
                <w:numId w:val="0"/>
              </w:numPr>
              <w:spacing w:line="312" w:lineRule="auto"/>
              <w:ind w:left="0" w:leftChars="0" w:right="0" w:righ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通过投标文件第一个信封初步评审的投标人未超</w:t>
            </w:r>
            <w:r>
              <w:rPr>
                <w:rFonts w:hint="eastAsia" w:ascii="宋体" w:hAnsi="宋体" w:eastAsia="宋体" w:cs="宋体"/>
                <w:color w:val="auto"/>
                <w:sz w:val="21"/>
                <w:szCs w:val="21"/>
                <w:highlight w:val="none"/>
                <w:lang w:val="en-US" w:eastAsia="zh-CN"/>
              </w:rPr>
              <w:t>5名</w:t>
            </w:r>
            <w:r>
              <w:rPr>
                <w:rFonts w:hint="eastAsia" w:ascii="宋体" w:hAnsi="宋体" w:eastAsia="宋体" w:cs="宋体"/>
                <w:color w:val="auto"/>
                <w:sz w:val="21"/>
                <w:szCs w:val="21"/>
                <w:highlight w:val="none"/>
              </w:rPr>
              <w:t>的，不再对投标人的商务和技术文件进行评分，其投标文件均通过投标文件第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个信封评审。</w:t>
            </w:r>
          </w:p>
          <w:p w14:paraId="3A711309">
            <w:pPr>
              <w:widowControl w:val="0"/>
              <w:numPr>
                <w:ilvl w:val="0"/>
                <w:numId w:val="0"/>
              </w:numPr>
              <w:spacing w:line="312"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通过投标文件第一个信封初步评审的投标人超过</w:t>
            </w:r>
            <w:r>
              <w:rPr>
                <w:rFonts w:hint="eastAsia" w:ascii="宋体" w:hAnsi="宋体" w:eastAsia="宋体" w:cs="宋体"/>
                <w:color w:val="auto"/>
                <w:sz w:val="21"/>
                <w:szCs w:val="21"/>
                <w:highlight w:val="none"/>
                <w:lang w:val="en-US" w:eastAsia="zh-CN"/>
              </w:rPr>
              <w:t>5名</w:t>
            </w:r>
            <w:r>
              <w:rPr>
                <w:rFonts w:hint="eastAsia" w:ascii="宋体" w:hAnsi="宋体" w:eastAsia="宋体" w:cs="宋体"/>
                <w:color w:val="auto"/>
                <w:sz w:val="21"/>
                <w:szCs w:val="21"/>
                <w:highlight w:val="none"/>
              </w:rPr>
              <w:t>的，评标委员会对通过第一个信封初步评审的投标文件按照本章第 2.2 款规定的评分标准进行第一个信封详细评审及评分，并按照投标人的商务和技术得分（保留小数点后两位，小数点后第三“四舍五入”）由高到低排序，排名在评标办法前附表规定数量以内的投标人，其投标文件通过第一个信封评审。</w:t>
            </w:r>
          </w:p>
          <w:p w14:paraId="00487B22">
            <w:pPr>
              <w:widowControl w:val="0"/>
              <w:numPr>
                <w:ilvl w:val="0"/>
                <w:numId w:val="0"/>
              </w:numPr>
              <w:spacing w:line="312"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两家及以上投标人的商务和技术得分相等时，排名顺序则依次依据“履约信誉得分”、“主要人员得分”、“施工组织设计得分”、“技术能力得分”、“企业业绩得分”、“投标人上一年年末净资产”、“投标人近3年年平均营业收入”由高到低的顺序进行确定，若近3年年平均营业收入也相等时，则由评标委员会根据施工组织设计的编制情况投票确定其排名顺序。</w:t>
            </w:r>
          </w:p>
          <w:p w14:paraId="44F0EA34">
            <w:pPr>
              <w:widowControl w:val="0"/>
              <w:numPr>
                <w:ilvl w:val="0"/>
                <w:numId w:val="0"/>
              </w:numPr>
              <w:spacing w:line="312"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所有通过第一个信封初步评审后的投标文件方可进入第二个信封（报价文件）的开标，其第二个信封在监督机关的监督下进行开标；未通过第一个信封初步评审的投标人不进入第二个信封的评审，其第二个信封原封退回（或不予解密），不参与第二个信封的开标。</w:t>
            </w:r>
          </w:p>
          <w:p w14:paraId="17E3B033">
            <w:pPr>
              <w:widowControl w:val="0"/>
              <w:numPr>
                <w:ilvl w:val="0"/>
                <w:numId w:val="0"/>
              </w:numPr>
              <w:spacing w:line="312" w:lineRule="auto"/>
              <w:ind w:left="0" w:leftChars="0" w:right="0" w:rightChars="0" w:firstLine="0" w:firstLineChars="0"/>
              <w:jc w:val="center"/>
              <w:rPr>
                <w:rFonts w:hint="eastAsia" w:ascii="宋体" w:hAnsi="宋体" w:eastAsia="宋体" w:cs="宋体"/>
                <w:color w:val="auto"/>
                <w:sz w:val="21"/>
                <w:szCs w:val="21"/>
                <w:highlight w:val="none"/>
                <w:lang w:val="en-US" w:eastAsia="zh-CN"/>
              </w:rPr>
            </w:pPr>
          </w:p>
          <w:p w14:paraId="5BC187EB">
            <w:pPr>
              <w:widowControl w:val="0"/>
              <w:numPr>
                <w:ilvl w:val="0"/>
                <w:numId w:val="0"/>
              </w:numPr>
              <w:spacing w:line="312"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评标委员会对投标文件第二个信封进行初步评审（形式评审与响应性评审），并对通过第二个信封初步评审的投标人，评标委员会按评标价由低到高顺序确定中标候选人推荐排序，但评标价低于其成本的除外。</w:t>
            </w:r>
          </w:p>
          <w:p w14:paraId="0699FCF7">
            <w:pPr>
              <w:widowControl w:val="0"/>
              <w:numPr>
                <w:ilvl w:val="0"/>
                <w:numId w:val="0"/>
              </w:numPr>
              <w:spacing w:line="312"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当两家及以上投标人在标段中的评标价相等时，若各投标人工程量清单子目单价也相同时，视为串标，其投标均被否决。</w:t>
            </w:r>
          </w:p>
          <w:p w14:paraId="75F1730F">
            <w:pPr>
              <w:widowControl w:val="0"/>
              <w:numPr>
                <w:ilvl w:val="0"/>
                <w:numId w:val="0"/>
              </w:numPr>
              <w:spacing w:line="312"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两家及以上投标人在标段中的评标价相等时，且各投标人工程量清单子目单价不尽相同时，推荐顺序则依次依据“履约信誉得分”、“主要人员得分”、“施工组织设计得分”、“技术能力得分”、“企业业绩得分”、“投标人上一年年末净资产”、“投标人近 3年年平均营业收入”由高到低的顺序进行确定，若近3年年平均营业收入也相等时，则由评标委员会根据施工组织设计的编制情况投票确定其推荐顺序。</w:t>
            </w:r>
          </w:p>
          <w:p w14:paraId="725CD909">
            <w:pPr>
              <w:widowControl w:val="0"/>
              <w:numPr>
                <w:ilvl w:val="0"/>
                <w:numId w:val="0"/>
              </w:numPr>
              <w:spacing w:line="312"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参与本次招标投标的投标人，最多被允许取得其中</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rPr>
              <w:t>个标段的中标资格（适用于多个标段）。</w:t>
            </w:r>
          </w:p>
          <w:p w14:paraId="362B9AB0">
            <w:pPr>
              <w:widowControl w:val="0"/>
              <w:numPr>
                <w:ilvl w:val="0"/>
                <w:numId w:val="0"/>
              </w:numPr>
              <w:spacing w:line="312"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评标委员会推荐次序：/。</w:t>
            </w:r>
          </w:p>
          <w:p w14:paraId="22A95B2B">
            <w:pPr>
              <w:widowControl w:val="0"/>
              <w:numPr>
                <w:ilvl w:val="0"/>
                <w:numId w:val="0"/>
              </w:numPr>
              <w:spacing w:line="312" w:lineRule="auto"/>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某一标段通过第一个信封评审且参与第二个信封开标的投标人在3个及以上的，招标人将按规定的程序进行第二个信封开标；在对第二个信封进行评审后，有效投标不足3个使得投标明显缺乏竞争的，评标委员会可以否决这一标段的全部投标。评标委员会未否决全部投标的，应当在评标报告中阐明理由并推荐这一标段中标候选人。</w:t>
            </w:r>
          </w:p>
          <w:p w14:paraId="02F54CCE">
            <w:pPr>
              <w:widowControl w:val="0"/>
              <w:numPr>
                <w:ilvl w:val="0"/>
                <w:numId w:val="0"/>
              </w:numPr>
              <w:spacing w:line="312"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某一标段通过第一个信封评审且参与第二个信封开标的投标人少于3个的，评标委员会可以否决这一标段全部投标。未否决全部投标的，评标委员会应当在评标报告中阐明理由，招标人应当按照规定的程序进行第二信封开标，但评标委员会在进行报价文件评审时仍有权否决全部投标；评标委员会未在报价文件评审时否决全部投标的，应当在评标报告中阐明理由并推荐中标候选人。</w:t>
            </w:r>
          </w:p>
          <w:p w14:paraId="61F1DEF6">
            <w:pPr>
              <w:pStyle w:val="10"/>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eastAsia" w:ascii="宋体" w:hAnsi="宋体" w:eastAsia="宋体" w:cs="宋体"/>
                <w:b/>
                <w:bCs/>
                <w:color w:val="auto"/>
                <w:spacing w:val="18"/>
                <w:sz w:val="21"/>
                <w:szCs w:val="21"/>
                <w:highlight w:val="none"/>
                <w:lang w:val="en-US" w:eastAsia="zh-CN"/>
              </w:rPr>
            </w:pPr>
            <w:r>
              <w:rPr>
                <w:rFonts w:hint="eastAsia" w:ascii="宋体" w:hAnsi="宋体" w:eastAsia="宋体" w:cs="宋体"/>
                <w:color w:val="auto"/>
                <w:sz w:val="21"/>
                <w:szCs w:val="21"/>
                <w:highlight w:val="none"/>
              </w:rPr>
              <w:t>各评分因素（评标价和履约信誉评分项除外）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tc>
      </w:tr>
    </w:tbl>
    <w:p w14:paraId="038547D3">
      <w:pPr>
        <w:spacing w:before="101" w:line="219" w:lineRule="auto"/>
        <w:ind w:left="3288"/>
        <w:rPr>
          <w:rFonts w:hint="eastAsia" w:ascii="宋体" w:hAnsi="宋体" w:eastAsia="宋体" w:cs="宋体"/>
          <w:color w:val="auto"/>
          <w:sz w:val="22"/>
          <w:szCs w:val="22"/>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color w:val="auto"/>
          <w:spacing w:val="6"/>
          <w:sz w:val="22"/>
          <w:szCs w:val="22"/>
          <w:highlight w:val="none"/>
        </w:rPr>
        <w:t>附件：国家级奖项</w:t>
      </w:r>
    </w:p>
    <w:tbl>
      <w:tblPr>
        <w:tblStyle w:val="11"/>
        <w:tblW w:w="90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4424"/>
        <w:gridCol w:w="3929"/>
      </w:tblGrid>
      <w:tr w14:paraId="59CFF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720" w:type="dxa"/>
            <w:vAlign w:val="center"/>
          </w:tcPr>
          <w:p w14:paraId="2A8EDB8F">
            <w:pPr>
              <w:spacing w:before="40" w:line="207"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4424" w:type="dxa"/>
            <w:vAlign w:val="center"/>
          </w:tcPr>
          <w:p w14:paraId="3E65FE02">
            <w:pPr>
              <w:spacing w:before="40" w:line="207"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奖项名称</w:t>
            </w:r>
          </w:p>
        </w:tc>
        <w:tc>
          <w:tcPr>
            <w:tcW w:w="3929" w:type="dxa"/>
            <w:vAlign w:val="center"/>
          </w:tcPr>
          <w:p w14:paraId="1AD556A0">
            <w:pPr>
              <w:spacing w:before="40" w:line="207"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授予部门</w:t>
            </w:r>
          </w:p>
        </w:tc>
      </w:tr>
      <w:tr w14:paraId="2B06D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720" w:type="dxa"/>
            <w:vAlign w:val="center"/>
          </w:tcPr>
          <w:p w14:paraId="3F306545">
            <w:pPr>
              <w:spacing w:before="71" w:line="18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424" w:type="dxa"/>
            <w:vAlign w:val="center"/>
          </w:tcPr>
          <w:p w14:paraId="76580527">
            <w:pPr>
              <w:spacing w:before="35" w:line="208"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中华人民共和国科学技术进步奖</w:t>
            </w:r>
          </w:p>
        </w:tc>
        <w:tc>
          <w:tcPr>
            <w:tcW w:w="3929" w:type="dxa"/>
            <w:vAlign w:val="center"/>
          </w:tcPr>
          <w:p w14:paraId="1CE66E22">
            <w:pPr>
              <w:spacing w:before="35" w:line="208"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中华人民共和国国务院</w:t>
            </w:r>
          </w:p>
        </w:tc>
      </w:tr>
      <w:tr w14:paraId="6D1E2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720" w:type="dxa"/>
            <w:vAlign w:val="center"/>
          </w:tcPr>
          <w:p w14:paraId="079B7AAA">
            <w:pPr>
              <w:spacing w:before="73" w:line="178"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424" w:type="dxa"/>
            <w:vAlign w:val="center"/>
          </w:tcPr>
          <w:p w14:paraId="072D97D4">
            <w:pPr>
              <w:spacing w:before="35" w:line="207"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中国建筑工程鲁班奖</w:t>
            </w:r>
          </w:p>
        </w:tc>
        <w:tc>
          <w:tcPr>
            <w:tcW w:w="3929" w:type="dxa"/>
            <w:vAlign w:val="center"/>
          </w:tcPr>
          <w:p w14:paraId="3ECCC641">
            <w:pPr>
              <w:spacing w:before="35" w:line="207"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中国建筑业协会</w:t>
            </w:r>
          </w:p>
        </w:tc>
      </w:tr>
      <w:tr w14:paraId="3BBE1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720" w:type="dxa"/>
            <w:vAlign w:val="center"/>
          </w:tcPr>
          <w:p w14:paraId="33F7B24B">
            <w:pPr>
              <w:spacing w:before="76" w:line="176"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424" w:type="dxa"/>
            <w:vAlign w:val="center"/>
          </w:tcPr>
          <w:p w14:paraId="473AFCBC">
            <w:pPr>
              <w:spacing w:before="37" w:line="206"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国家优质工程奖</w:t>
            </w:r>
          </w:p>
        </w:tc>
        <w:tc>
          <w:tcPr>
            <w:tcW w:w="3929" w:type="dxa"/>
            <w:vAlign w:val="center"/>
          </w:tcPr>
          <w:p w14:paraId="7FDD74AC">
            <w:pPr>
              <w:spacing w:before="37" w:line="206"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中国施工企业管理协会</w:t>
            </w:r>
          </w:p>
        </w:tc>
      </w:tr>
      <w:tr w14:paraId="06BCF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720" w:type="dxa"/>
            <w:vAlign w:val="center"/>
          </w:tcPr>
          <w:p w14:paraId="6032CCED">
            <w:pPr>
              <w:spacing w:before="77" w:line="176"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424" w:type="dxa"/>
            <w:vAlign w:val="center"/>
          </w:tcPr>
          <w:p w14:paraId="6A0827A9">
            <w:pPr>
              <w:spacing w:before="39" w:line="205"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中国土木工程詹天佑奖</w:t>
            </w:r>
          </w:p>
        </w:tc>
        <w:tc>
          <w:tcPr>
            <w:tcW w:w="3929" w:type="dxa"/>
            <w:vAlign w:val="center"/>
          </w:tcPr>
          <w:p w14:paraId="524D86DD">
            <w:pPr>
              <w:spacing w:before="39" w:line="205"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中国土木工程学会</w:t>
            </w:r>
          </w:p>
        </w:tc>
      </w:tr>
      <w:tr w14:paraId="7AC2E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720" w:type="dxa"/>
            <w:shd w:val="clear" w:color="auto" w:fill="auto"/>
            <w:vAlign w:val="center"/>
          </w:tcPr>
          <w:p w14:paraId="72291540">
            <w:pPr>
              <w:spacing w:before="216" w:line="89"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position w:val="1"/>
                <w:sz w:val="21"/>
                <w:szCs w:val="21"/>
                <w:highlight w:val="none"/>
              </w:rPr>
              <w:t>...</w:t>
            </w:r>
          </w:p>
        </w:tc>
        <w:tc>
          <w:tcPr>
            <w:tcW w:w="4424" w:type="dxa"/>
            <w:shd w:val="clear" w:color="auto" w:fill="auto"/>
            <w:vAlign w:val="center"/>
          </w:tcPr>
          <w:p w14:paraId="053D2FBA">
            <w:pPr>
              <w:spacing w:before="216" w:line="89"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position w:val="1"/>
                <w:sz w:val="21"/>
                <w:szCs w:val="21"/>
                <w:highlight w:val="none"/>
              </w:rPr>
              <w:t>...</w:t>
            </w:r>
          </w:p>
        </w:tc>
        <w:tc>
          <w:tcPr>
            <w:tcW w:w="3929" w:type="dxa"/>
            <w:shd w:val="clear" w:color="auto" w:fill="auto"/>
            <w:vAlign w:val="center"/>
          </w:tcPr>
          <w:p w14:paraId="1E15771C">
            <w:pPr>
              <w:spacing w:before="216" w:line="89"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position w:val="1"/>
                <w:sz w:val="21"/>
                <w:szCs w:val="21"/>
                <w:highlight w:val="none"/>
              </w:rPr>
              <w:t>...</w:t>
            </w:r>
          </w:p>
        </w:tc>
      </w:tr>
      <w:tr w14:paraId="5BB3F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720" w:type="dxa"/>
            <w:vAlign w:val="center"/>
          </w:tcPr>
          <w:p w14:paraId="6F5C5AFC">
            <w:pPr>
              <w:ind w:left="0" w:leftChars="0" w:right="0" w:rightChars="0" w:firstLine="0" w:firstLineChars="0"/>
              <w:jc w:val="center"/>
              <w:rPr>
                <w:rFonts w:hint="eastAsia" w:ascii="宋体" w:hAnsi="宋体" w:eastAsia="宋体" w:cs="宋体"/>
                <w:color w:val="auto"/>
                <w:sz w:val="21"/>
                <w:szCs w:val="21"/>
                <w:highlight w:val="none"/>
              </w:rPr>
            </w:pPr>
          </w:p>
        </w:tc>
        <w:tc>
          <w:tcPr>
            <w:tcW w:w="4424" w:type="dxa"/>
            <w:vAlign w:val="center"/>
          </w:tcPr>
          <w:p w14:paraId="2C02568B">
            <w:pPr>
              <w:ind w:left="0" w:leftChars="0" w:right="0" w:rightChars="0" w:firstLine="0" w:firstLineChars="0"/>
              <w:jc w:val="center"/>
              <w:rPr>
                <w:rFonts w:hint="eastAsia" w:ascii="宋体" w:hAnsi="宋体" w:eastAsia="宋体" w:cs="宋体"/>
                <w:color w:val="auto"/>
                <w:sz w:val="21"/>
                <w:szCs w:val="21"/>
                <w:highlight w:val="none"/>
              </w:rPr>
            </w:pPr>
          </w:p>
        </w:tc>
        <w:tc>
          <w:tcPr>
            <w:tcW w:w="3929" w:type="dxa"/>
            <w:vAlign w:val="center"/>
          </w:tcPr>
          <w:p w14:paraId="2E517F2C">
            <w:pPr>
              <w:ind w:left="0" w:leftChars="0" w:right="0" w:rightChars="0" w:firstLine="0" w:firstLineChars="0"/>
              <w:jc w:val="center"/>
              <w:rPr>
                <w:rFonts w:hint="eastAsia" w:ascii="宋体" w:hAnsi="宋体" w:eastAsia="宋体" w:cs="宋体"/>
                <w:color w:val="auto"/>
                <w:sz w:val="21"/>
                <w:szCs w:val="21"/>
                <w:highlight w:val="none"/>
              </w:rPr>
            </w:pPr>
          </w:p>
        </w:tc>
      </w:tr>
    </w:tbl>
    <w:p w14:paraId="5D156287">
      <w:pPr>
        <w:pStyle w:val="2"/>
        <w:spacing w:line="322" w:lineRule="auto"/>
        <w:rPr>
          <w:rFonts w:hint="eastAsia" w:ascii="宋体" w:hAnsi="宋体" w:eastAsia="宋体" w:cs="宋体"/>
          <w:color w:val="auto"/>
          <w:sz w:val="21"/>
          <w:szCs w:val="21"/>
          <w:highlight w:val="none"/>
        </w:rPr>
      </w:pPr>
    </w:p>
    <w:p w14:paraId="7B39C1A8">
      <w:pPr>
        <w:spacing w:before="101" w:line="218" w:lineRule="auto"/>
        <w:ind w:left="323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附件：省部级奖项</w:t>
      </w:r>
    </w:p>
    <w:tbl>
      <w:tblPr>
        <w:tblStyle w:val="11"/>
        <w:tblW w:w="89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4369"/>
        <w:gridCol w:w="3876"/>
      </w:tblGrid>
      <w:tr w14:paraId="41766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713" w:type="dxa"/>
            <w:vAlign w:val="center"/>
          </w:tcPr>
          <w:p w14:paraId="03F62EBA">
            <w:pPr>
              <w:spacing w:before="41" w:line="206"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4369" w:type="dxa"/>
            <w:vAlign w:val="center"/>
          </w:tcPr>
          <w:p w14:paraId="1356D9A6">
            <w:pPr>
              <w:spacing w:before="41" w:line="206"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奖项名称</w:t>
            </w:r>
          </w:p>
        </w:tc>
        <w:tc>
          <w:tcPr>
            <w:tcW w:w="3876" w:type="dxa"/>
            <w:vAlign w:val="center"/>
          </w:tcPr>
          <w:p w14:paraId="2C23B66E">
            <w:pPr>
              <w:spacing w:before="41" w:line="206"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授予部门</w:t>
            </w:r>
          </w:p>
        </w:tc>
      </w:tr>
      <w:tr w14:paraId="43008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713" w:type="dxa"/>
            <w:vAlign w:val="center"/>
          </w:tcPr>
          <w:p w14:paraId="2FC65153">
            <w:pPr>
              <w:spacing w:before="74" w:line="178"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369" w:type="dxa"/>
            <w:vAlign w:val="center"/>
          </w:tcPr>
          <w:p w14:paraId="4B59B069">
            <w:pPr>
              <w:spacing w:before="36" w:line="207"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李春奖（公路交通优质工程奖）</w:t>
            </w:r>
          </w:p>
        </w:tc>
        <w:tc>
          <w:tcPr>
            <w:tcW w:w="3876" w:type="dxa"/>
            <w:vAlign w:val="center"/>
          </w:tcPr>
          <w:p w14:paraId="6FB8C6BC">
            <w:pPr>
              <w:spacing w:before="36" w:line="207"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中国公路建设行业协会</w:t>
            </w:r>
          </w:p>
        </w:tc>
      </w:tr>
      <w:tr w14:paraId="49BB4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713" w:type="dxa"/>
            <w:vAlign w:val="center"/>
          </w:tcPr>
          <w:p w14:paraId="1EBC4CA2">
            <w:pPr>
              <w:spacing w:before="76" w:line="176"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369" w:type="dxa"/>
            <w:vAlign w:val="center"/>
          </w:tcPr>
          <w:p w14:paraId="453F34D5">
            <w:pPr>
              <w:spacing w:before="37" w:line="206" w:lineRule="auto"/>
              <w:ind w:left="0" w:leftChars="0" w:right="0" w:rightChars="0" w:firstLine="0" w:firstLineChars="0"/>
              <w:jc w:val="center"/>
              <w:outlineLvl w:val="1"/>
              <w:rPr>
                <w:rFonts w:hint="eastAsia" w:ascii="宋体" w:hAnsi="宋体" w:eastAsia="宋体" w:cs="宋体"/>
                <w:color w:val="auto"/>
                <w:sz w:val="21"/>
                <w:szCs w:val="21"/>
                <w:highlight w:val="none"/>
              </w:rPr>
            </w:pPr>
            <w:bookmarkStart w:id="5" w:name="_Toc20203"/>
            <w:r>
              <w:rPr>
                <w:rFonts w:hint="eastAsia" w:ascii="宋体" w:hAnsi="宋体" w:eastAsia="宋体" w:cs="宋体"/>
                <w:color w:val="auto"/>
                <w:spacing w:val="-2"/>
                <w:sz w:val="21"/>
                <w:szCs w:val="21"/>
                <w:highlight w:val="none"/>
              </w:rPr>
              <w:t>省级科学技术进步奖</w:t>
            </w:r>
            <w:bookmarkEnd w:id="5"/>
          </w:p>
        </w:tc>
        <w:tc>
          <w:tcPr>
            <w:tcW w:w="3876" w:type="dxa"/>
            <w:vAlign w:val="center"/>
          </w:tcPr>
          <w:p w14:paraId="3A2AB933">
            <w:pPr>
              <w:ind w:left="0" w:leftChars="0" w:right="0" w:rightChars="0" w:firstLine="0" w:firstLineChars="0"/>
              <w:jc w:val="center"/>
              <w:rPr>
                <w:rFonts w:hint="eastAsia" w:ascii="宋体" w:hAnsi="宋体" w:eastAsia="宋体" w:cs="宋体"/>
                <w:color w:val="auto"/>
                <w:sz w:val="21"/>
                <w:szCs w:val="21"/>
                <w:highlight w:val="none"/>
              </w:rPr>
            </w:pPr>
          </w:p>
        </w:tc>
      </w:tr>
      <w:tr w14:paraId="08F26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713" w:type="dxa"/>
            <w:shd w:val="clear" w:color="auto" w:fill="auto"/>
            <w:vAlign w:val="center"/>
          </w:tcPr>
          <w:p w14:paraId="1CC22F22">
            <w:pPr>
              <w:spacing w:before="216" w:line="89"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position w:val="1"/>
                <w:sz w:val="21"/>
                <w:szCs w:val="21"/>
                <w:highlight w:val="none"/>
              </w:rPr>
              <w:t>...</w:t>
            </w:r>
          </w:p>
        </w:tc>
        <w:tc>
          <w:tcPr>
            <w:tcW w:w="4369" w:type="dxa"/>
            <w:shd w:val="clear" w:color="auto" w:fill="auto"/>
            <w:vAlign w:val="center"/>
          </w:tcPr>
          <w:p w14:paraId="1A2678D9">
            <w:pPr>
              <w:spacing w:before="216" w:line="89"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position w:val="1"/>
                <w:sz w:val="21"/>
                <w:szCs w:val="21"/>
                <w:highlight w:val="none"/>
              </w:rPr>
              <w:t>...</w:t>
            </w:r>
          </w:p>
        </w:tc>
        <w:tc>
          <w:tcPr>
            <w:tcW w:w="3876" w:type="dxa"/>
            <w:shd w:val="clear" w:color="auto" w:fill="auto"/>
            <w:vAlign w:val="center"/>
          </w:tcPr>
          <w:p w14:paraId="43C1D122">
            <w:pPr>
              <w:spacing w:before="216" w:line="89"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position w:val="1"/>
                <w:sz w:val="21"/>
                <w:szCs w:val="21"/>
                <w:highlight w:val="none"/>
              </w:rPr>
              <w:t>...</w:t>
            </w:r>
          </w:p>
        </w:tc>
      </w:tr>
      <w:tr w14:paraId="52E39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713" w:type="dxa"/>
            <w:vAlign w:val="center"/>
          </w:tcPr>
          <w:p w14:paraId="0F4370E3">
            <w:pPr>
              <w:ind w:left="0" w:leftChars="0" w:right="0" w:rightChars="0" w:firstLine="0" w:firstLineChars="0"/>
              <w:jc w:val="center"/>
              <w:rPr>
                <w:rFonts w:hint="eastAsia" w:ascii="宋体" w:hAnsi="宋体" w:eastAsia="宋体" w:cs="宋体"/>
                <w:color w:val="auto"/>
                <w:sz w:val="21"/>
                <w:szCs w:val="21"/>
                <w:highlight w:val="none"/>
              </w:rPr>
            </w:pPr>
          </w:p>
        </w:tc>
        <w:tc>
          <w:tcPr>
            <w:tcW w:w="4369" w:type="dxa"/>
            <w:vAlign w:val="center"/>
          </w:tcPr>
          <w:p w14:paraId="5EB64FF9">
            <w:pPr>
              <w:ind w:left="0" w:leftChars="0" w:right="0" w:rightChars="0" w:firstLine="0" w:firstLineChars="0"/>
              <w:jc w:val="center"/>
              <w:rPr>
                <w:rFonts w:hint="eastAsia" w:ascii="宋体" w:hAnsi="宋体" w:eastAsia="宋体" w:cs="宋体"/>
                <w:color w:val="auto"/>
                <w:sz w:val="21"/>
                <w:szCs w:val="21"/>
                <w:highlight w:val="none"/>
              </w:rPr>
            </w:pPr>
          </w:p>
        </w:tc>
        <w:tc>
          <w:tcPr>
            <w:tcW w:w="3876" w:type="dxa"/>
            <w:vAlign w:val="center"/>
          </w:tcPr>
          <w:p w14:paraId="500A945B">
            <w:pPr>
              <w:ind w:left="0" w:leftChars="0" w:right="0" w:rightChars="0" w:firstLine="0" w:firstLineChars="0"/>
              <w:jc w:val="center"/>
              <w:rPr>
                <w:rFonts w:hint="eastAsia" w:ascii="宋体" w:hAnsi="宋体" w:eastAsia="宋体" w:cs="宋体"/>
                <w:color w:val="auto"/>
                <w:sz w:val="21"/>
                <w:szCs w:val="21"/>
                <w:highlight w:val="none"/>
              </w:rPr>
            </w:pPr>
          </w:p>
        </w:tc>
      </w:tr>
    </w:tbl>
    <w:p w14:paraId="0CF96E8E">
      <w:pP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br w:type="page"/>
      </w:r>
    </w:p>
    <w:p w14:paraId="78B4259F">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 评标方法</w:t>
      </w:r>
    </w:p>
    <w:p w14:paraId="4048F862">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14:paraId="482FEDBE">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 评审标准</w:t>
      </w:r>
    </w:p>
    <w:p w14:paraId="43BA0931">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初步评审标准</w:t>
      </w:r>
    </w:p>
    <w:p w14:paraId="38114D81">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 形式评审标准：见评标办法前附表。</w:t>
      </w:r>
    </w:p>
    <w:p w14:paraId="3EEDC53A">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 资格评审标准：见评标办法前附表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适用于未进行资格预审的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p>
    <w:p w14:paraId="4B388CC0">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 资格评审标准：见资格预审文件第三章“资格审查办法”详细审查标准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适用于已进行资格预审的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p>
    <w:p w14:paraId="506F53F1">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 响应性评审标准：见评标办法前附表。</w:t>
      </w:r>
    </w:p>
    <w:p w14:paraId="09A04BF4">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分值构成与评分标准</w:t>
      </w:r>
    </w:p>
    <w:p w14:paraId="68422A80">
      <w:pPr>
        <w:keepNext w:val="0"/>
        <w:keepLines w:val="0"/>
        <w:pageBreakBefore w:val="0"/>
        <w:widowControl w:val="0"/>
        <w:kinsoku/>
        <w:wordWrap/>
        <w:overflowPunct/>
        <w:topLinePunct w:val="0"/>
        <w:autoSpaceDE w:val="0"/>
        <w:autoSpaceDN w:val="0"/>
        <w:bidi w:val="0"/>
        <w:adjustRightInd w:val="0"/>
        <w:snapToGrid/>
        <w:spacing w:line="360" w:lineRule="auto"/>
        <w:ind w:firstLine="562" w:firstLineChars="200"/>
        <w:jc w:val="left"/>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2.2.1 第一个信封评分分值构成</w:t>
      </w:r>
    </w:p>
    <w:p w14:paraId="59860708">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（1）施工组织设计：见评标办法前附表；</w:t>
      </w:r>
    </w:p>
    <w:p w14:paraId="7EE08ACD">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（2）主要人员：见评标办法前附表；</w:t>
      </w:r>
    </w:p>
    <w:p w14:paraId="641FE07B">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（3）其他评分因素：见评标办法前附表。</w:t>
      </w:r>
    </w:p>
    <w:p w14:paraId="7147E4F5">
      <w:pPr>
        <w:keepNext w:val="0"/>
        <w:keepLines w:val="0"/>
        <w:pageBreakBefore w:val="0"/>
        <w:widowControl w:val="0"/>
        <w:kinsoku/>
        <w:wordWrap/>
        <w:overflowPunct/>
        <w:topLinePunct w:val="0"/>
        <w:autoSpaceDE w:val="0"/>
        <w:autoSpaceDN w:val="0"/>
        <w:bidi w:val="0"/>
        <w:adjustRightInd w:val="0"/>
        <w:snapToGrid/>
        <w:spacing w:line="360" w:lineRule="auto"/>
        <w:ind w:firstLine="562" w:firstLineChars="200"/>
        <w:jc w:val="left"/>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2.2.2 第一个信封评分标准</w:t>
      </w:r>
    </w:p>
    <w:p w14:paraId="40E68484">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（1）施工组织设计评分标准：见评标办法前附表；</w:t>
      </w:r>
    </w:p>
    <w:p w14:paraId="2AD6295A">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（2）主要人员评分标准：见评标办法前附表；</w:t>
      </w:r>
    </w:p>
    <w:p w14:paraId="74BEE6FB">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（3）其他因素评分标准：见评标办法前附表。</w:t>
      </w:r>
    </w:p>
    <w:p w14:paraId="0A933917">
      <w:pPr>
        <w:keepNext w:val="0"/>
        <w:keepLines w:val="0"/>
        <w:pageBreakBefore w:val="0"/>
        <w:widowControl w:val="0"/>
        <w:kinsoku/>
        <w:wordWrap/>
        <w:overflowPunct/>
        <w:topLinePunct w:val="0"/>
        <w:autoSpaceDE w:val="0"/>
        <w:autoSpaceDN w:val="0"/>
        <w:bidi w:val="0"/>
        <w:adjustRightInd w:val="0"/>
        <w:snapToGrid/>
        <w:spacing w:line="360" w:lineRule="auto"/>
        <w:ind w:firstLine="562" w:firstLineChars="200"/>
        <w:jc w:val="left"/>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2.2.3 第二个信封详细评审标准：见评标办法前附表。</w:t>
      </w:r>
    </w:p>
    <w:p w14:paraId="6940F19D">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 评标程序</w:t>
      </w:r>
    </w:p>
    <w:p w14:paraId="200A5131">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3.1</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第一个信封初步评审</w:t>
      </w:r>
    </w:p>
    <w:p w14:paraId="34B43D59">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3.1.1 评标委员会依据本章第 2.1 款规定的标准对投标文件第一个信封（商务及技术文件）进行初步评审。有一项不符合评审标准的，评标委员会应否决其投标。（适</w:t>
      </w:r>
      <w:r>
        <w:rPr>
          <w:rFonts w:hint="eastAsia" w:ascii="宋体" w:hAnsi="宋体" w:eastAsia="宋体" w:cs="宋体"/>
          <w:color w:val="auto"/>
          <w:kern w:val="0"/>
          <w:szCs w:val="21"/>
          <w:highlight w:val="none"/>
          <w:lang w:val="en-US" w:eastAsia="zh-CN"/>
        </w:rPr>
        <w:t>用于未进行资格预审的）。</w:t>
      </w:r>
    </w:p>
    <w:p w14:paraId="609EFE04">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 评标委员会依据本章第 2.1.1 项、第 2.1.3 项规定的评审标准对投标文件第一个信封（商务及技术文件）进行初步评审。有一项不符合评审标准的，评标委员会应否决其投标。当投标人资格预审申请文件的内容发生重大变化时，评标委员会依据本章第 2.1.2 项规定的标准对其更新资料进行评审。（适用于已进行资格预审的）。</w:t>
      </w:r>
    </w:p>
    <w:p w14:paraId="19007B21">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3.2 第一个信封详细评审</w:t>
      </w:r>
    </w:p>
    <w:p w14:paraId="587443E0">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 评标委员会按本章第 2.2 款规定的量化因素和分值进行打分，并计算出各投标人的商务和技术得分。</w:t>
      </w:r>
    </w:p>
    <w:p w14:paraId="59EC6BF9">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（1）按本章第 2.2.2 项（1）目规定的评审因素和分值对施工组织设计部分计算出得分A；</w:t>
      </w:r>
    </w:p>
    <w:p w14:paraId="028FBF7E">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（2）按本章第 2.2.2 项（2）目规定的评审因素和分值对主要人员部分计算出得分B；</w:t>
      </w:r>
    </w:p>
    <w:p w14:paraId="0A22B112">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（3）按本章第 2.2.2 项（3）目规定的评审因素和分值对其他部分计算出得分C。</w:t>
      </w:r>
    </w:p>
    <w:p w14:paraId="7F35B4EF">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3.2.2 投标人的商务和技术得分分值计算保留小数点后两位，小数点后第三位“四舍五入”</w:t>
      </w:r>
      <w:r>
        <w:rPr>
          <w:rFonts w:hint="eastAsia" w:ascii="宋体" w:hAnsi="宋体" w:eastAsia="宋体" w:cs="宋体"/>
          <w:color w:val="auto"/>
          <w:kern w:val="0"/>
          <w:szCs w:val="21"/>
          <w:highlight w:val="none"/>
          <w:lang w:eastAsia="zh-CN"/>
        </w:rPr>
        <w:t>。</w:t>
      </w:r>
    </w:p>
    <w:p w14:paraId="2D947105">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 投标人的商务和技术得分=A+B+C。</w:t>
      </w:r>
    </w:p>
    <w:p w14:paraId="0C2AC528">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3.2.4 评标委员会按照投标人的商务和技术得分由高到低排序，排名在评标办法前附表规定数量以内的投标人，其投标文件第一个信封（商务及技术文件）通过详细评审。</w:t>
      </w:r>
    </w:p>
    <w:p w14:paraId="0FB0BF5B">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3.2.5 通过投标文件第一个信封（商务及技术文件）初步评审的投标人不少于3个且未超过评标办法前附表第 3.2.4 项规定数量的，均通过投标文件第一个信封（商务及技术文件）详细评审，不再对投标人的商务和技术文件进行评分。</w:t>
      </w:r>
    </w:p>
    <w:p w14:paraId="18C189A1">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3.3 第二个信封开标</w:t>
      </w:r>
    </w:p>
    <w:p w14:paraId="0080E5D3">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第一个信封（商务及技术文件）评审结束后，招标人将按照第二章“投标人须知”第 5.1 款规定的时间和地点对通过投标文件第一个信封（商务及技术文件）评审的投标文件第二个信封（报价文件）进行开标。</w:t>
      </w:r>
    </w:p>
    <w:p w14:paraId="53C01042">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w:t>
      </w:r>
      <w:r>
        <w:rPr>
          <w:rFonts w:hint="eastAsia" w:ascii="宋体" w:hAnsi="宋体" w:eastAsia="宋体" w:cs="宋体"/>
          <w:b/>
          <w:color w:val="auto"/>
          <w:kern w:val="0"/>
          <w:szCs w:val="21"/>
          <w:highlight w:val="none"/>
          <w:lang w:val="en-US" w:eastAsia="zh-CN"/>
        </w:rPr>
        <w:t>4</w:t>
      </w:r>
      <w:r>
        <w:rPr>
          <w:rFonts w:hint="eastAsia" w:ascii="宋体" w:hAnsi="宋体" w:eastAsia="宋体" w:cs="宋体"/>
          <w:b/>
          <w:color w:val="auto"/>
          <w:kern w:val="0"/>
          <w:szCs w:val="21"/>
          <w:highlight w:val="none"/>
        </w:rPr>
        <w:t xml:space="preserve"> 第二个信封初步评审</w:t>
      </w:r>
    </w:p>
    <w:p w14:paraId="322A1EAF">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3.4.1 评标委员会依据本章第 2.1.1 项、第 2.1.3 项规定的评审标准对投标文件第二个信封（报价文件）进行初步评审。有一项不符合评审标准的，评标委员会应否决其投标。</w:t>
      </w:r>
    </w:p>
    <w:p w14:paraId="50F125BC">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3.4.2 投标报价有算术错误的，评标委员会按以下原则对投标报价进行修正，修正的价格经投标人</w:t>
      </w:r>
      <w:r>
        <w:rPr>
          <w:rFonts w:hint="eastAsia" w:ascii="宋体" w:hAnsi="宋体" w:eastAsia="宋体" w:cs="宋体"/>
          <w:color w:val="auto"/>
          <w:kern w:val="0"/>
          <w:szCs w:val="21"/>
          <w:highlight w:val="none"/>
          <w:lang w:val="en-US" w:eastAsia="zh-CN"/>
        </w:rPr>
        <w:t>数据电文</w:t>
      </w:r>
      <w:r>
        <w:rPr>
          <w:rFonts w:hint="eastAsia" w:ascii="宋体" w:hAnsi="宋体" w:eastAsia="宋体" w:cs="宋体"/>
          <w:color w:val="auto"/>
          <w:kern w:val="0"/>
          <w:szCs w:val="21"/>
          <w:highlight w:val="none"/>
        </w:rPr>
        <w:t>确认后具有约束力。投标人不接受修正价格的，评标委员会应否决其投标。</w:t>
      </w:r>
    </w:p>
    <w:p w14:paraId="7524D09F">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（1）投标文件中的大写金额与小写金额不一致的，以大写金额为准；</w:t>
      </w:r>
    </w:p>
    <w:p w14:paraId="7BEDAEE8">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（2）总价金额与依据单价计算出的结果不一致的，以单价金额为准修正总价，但单价金额小数点有明显错误的除外</w:t>
      </w:r>
      <w:r>
        <w:rPr>
          <w:rFonts w:hint="eastAsia" w:ascii="宋体" w:hAnsi="宋体" w:eastAsia="宋体" w:cs="宋体"/>
          <w:color w:val="auto"/>
          <w:kern w:val="0"/>
          <w:szCs w:val="21"/>
          <w:highlight w:val="none"/>
          <w:lang w:eastAsia="zh-CN"/>
        </w:rPr>
        <w:t>；</w:t>
      </w:r>
    </w:p>
    <w:p w14:paraId="0E357FFA">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（3）当单价与数量相乘不等于合价时，以单价计算为准，如果单价有明显的小数点位置差错，应以标出的合价为准，同时对单价予以修正；</w:t>
      </w:r>
    </w:p>
    <w:p w14:paraId="79A3AEF7">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（4）当各子目的合价累计不等于总价时，应以各子目合价累计数为准，修正总价。</w:t>
      </w:r>
    </w:p>
    <w:p w14:paraId="01B92357">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3.4.3 工程量清单中的投标报价有其他错误的，评标委员会按以下原则对投标报价进行修正，修正的价格经投标人</w:t>
      </w:r>
      <w:r>
        <w:rPr>
          <w:rFonts w:hint="eastAsia" w:ascii="宋体" w:hAnsi="宋体" w:eastAsia="宋体" w:cs="宋体"/>
          <w:color w:val="auto"/>
          <w:kern w:val="0"/>
          <w:szCs w:val="21"/>
          <w:highlight w:val="none"/>
          <w:lang w:val="en-US" w:eastAsia="zh-CN"/>
        </w:rPr>
        <w:t>数据电文</w:t>
      </w:r>
      <w:r>
        <w:rPr>
          <w:rFonts w:hint="eastAsia" w:ascii="宋体" w:hAnsi="宋体" w:eastAsia="宋体" w:cs="宋体"/>
          <w:color w:val="auto"/>
          <w:kern w:val="0"/>
          <w:szCs w:val="21"/>
          <w:highlight w:val="none"/>
        </w:rPr>
        <w:t>确认后具有约束力。投标人不接受修正价格的，评标委员会应否决其投标。</w:t>
      </w:r>
    </w:p>
    <w:p w14:paraId="79EABD9D">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2D5F7A67">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r>
        <w:rPr>
          <w:rFonts w:hint="eastAsia" w:ascii="宋体" w:hAnsi="宋体" w:eastAsia="宋体" w:cs="宋体"/>
          <w:color w:val="auto"/>
          <w:kern w:val="0"/>
          <w:szCs w:val="21"/>
          <w:highlight w:val="none"/>
          <w:lang w:eastAsia="zh-CN"/>
        </w:rPr>
        <w:t>。</w:t>
      </w:r>
    </w:p>
    <w:p w14:paraId="73F82C97">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（3）当单价与数量的乘积与合价（金额）虽然一致，但投标人修改了该子目的工程数量，则其合价按招标人给定的工程数量乘以投标人所报单价予以修正。</w:t>
      </w:r>
    </w:p>
    <w:p w14:paraId="5DD6DE05">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3.4.4 修正后的最终投标报价若超过最高投标限价（如有），评标委员会应否决其投标。</w:t>
      </w:r>
    </w:p>
    <w:p w14:paraId="62CE2386">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w:t>
      </w:r>
      <w:r>
        <w:rPr>
          <w:rFonts w:hint="eastAsia" w:ascii="宋体" w:hAnsi="宋体" w:eastAsia="宋体" w:cs="宋体"/>
          <w:b/>
          <w:color w:val="auto"/>
          <w:kern w:val="0"/>
          <w:szCs w:val="21"/>
          <w:highlight w:val="none"/>
          <w:lang w:val="en-US" w:eastAsia="zh-CN"/>
        </w:rPr>
        <w:t xml:space="preserve">5 </w:t>
      </w:r>
      <w:r>
        <w:rPr>
          <w:rFonts w:hint="eastAsia" w:ascii="宋体" w:hAnsi="宋体" w:eastAsia="宋体" w:cs="宋体"/>
          <w:b/>
          <w:color w:val="auto"/>
          <w:kern w:val="0"/>
          <w:szCs w:val="21"/>
          <w:highlight w:val="none"/>
        </w:rPr>
        <w:t>第二个信封详细评审</w:t>
      </w:r>
    </w:p>
    <w:p w14:paraId="2F3DBFE3">
      <w:pPr>
        <w:autoSpaceDE w:val="0"/>
        <w:autoSpaceDN w:val="0"/>
        <w:adjustRightInd w:val="0"/>
        <w:spacing w:line="360" w:lineRule="auto"/>
        <w:ind w:firstLine="560" w:firstLineChars="200"/>
        <w:jc w:val="left"/>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3.5.1 评标委员会按本章第 2.2 款规定的量化因素和标准进行价格折算，计算出评标价，并编制价格比较一览表。</w:t>
      </w:r>
    </w:p>
    <w:p w14:paraId="4CE57E9B">
      <w:pPr>
        <w:autoSpaceDE w:val="0"/>
        <w:autoSpaceDN w:val="0"/>
        <w:adjustRightInd w:val="0"/>
        <w:spacing w:line="360" w:lineRule="auto"/>
        <w:ind w:firstLine="560" w:firstLineChars="200"/>
        <w:jc w:val="left"/>
        <w:rPr>
          <w:rFonts w:hint="eastAsia" w:ascii="宋体" w:hAnsi="宋体" w:eastAsia="宋体" w:cs="宋体"/>
          <w:b w:val="0"/>
          <w:bCs/>
          <w:color w:val="auto"/>
          <w:kern w:val="0"/>
          <w:szCs w:val="21"/>
          <w:highlight w:val="none"/>
        </w:rPr>
      </w:pPr>
      <w:bookmarkStart w:id="6" w:name="bookmark82"/>
      <w:bookmarkEnd w:id="6"/>
      <w:r>
        <w:rPr>
          <w:rFonts w:hint="eastAsia" w:ascii="宋体" w:hAnsi="宋体" w:eastAsia="宋体" w:cs="宋体"/>
          <w:b w:val="0"/>
          <w:bCs/>
          <w:color w:val="auto"/>
          <w:kern w:val="0"/>
          <w:szCs w:val="21"/>
          <w:highlight w:val="none"/>
        </w:rPr>
        <w:t>3.5.2 评标委员会发现投标人的报价明显低于其他投标报价，使得其投标报价可能低于其个别成本的，应要求该投标人作出数据电文说明并提供相应的证明材料。投标人不能合理说明或不能提供相应证明材料的，由评标委员会认定该投标人以低于成本报价竞标，并否决其投标。</w:t>
      </w:r>
    </w:p>
    <w:p w14:paraId="130B73BB">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w:t>
      </w:r>
      <w:r>
        <w:rPr>
          <w:rFonts w:hint="eastAsia" w:ascii="宋体" w:hAnsi="宋体" w:eastAsia="宋体" w:cs="宋体"/>
          <w:b/>
          <w:color w:val="auto"/>
          <w:kern w:val="0"/>
          <w:szCs w:val="21"/>
          <w:highlight w:val="none"/>
          <w:lang w:val="en-US" w:eastAsia="zh-CN"/>
        </w:rPr>
        <w:t xml:space="preserve">6 </w:t>
      </w:r>
      <w:r>
        <w:rPr>
          <w:rFonts w:hint="eastAsia" w:ascii="宋体" w:hAnsi="宋体" w:eastAsia="宋体" w:cs="宋体"/>
          <w:b/>
          <w:color w:val="auto"/>
          <w:kern w:val="0"/>
          <w:szCs w:val="21"/>
          <w:highlight w:val="none"/>
        </w:rPr>
        <w:t>投标文件相关信息的核查</w:t>
      </w:r>
    </w:p>
    <w:p w14:paraId="3A90AF5F">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0B824E92">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3.6.2 评标委员会应对在评标过程中发现的投标人与投标人之间、投标人与招标人之间存在的串通投标的情形进行评审和认定。投标人存在串通投标、弄虚作假、行贿等违法行为的，评标委员会应否决其投标。</w:t>
      </w:r>
    </w:p>
    <w:p w14:paraId="0181DAA1">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（1）有下列情形之一的，属于投标人相互串通投标：</w:t>
      </w:r>
    </w:p>
    <w:p w14:paraId="3D3CB52B">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a.投标人之间协商投标报价等投标文件的实质性内容；</w:t>
      </w:r>
    </w:p>
    <w:p w14:paraId="3FCDC201">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b.投标人之间约定中标人；</w:t>
      </w:r>
    </w:p>
    <w:p w14:paraId="2CDD6855">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c.投标人之间约定部分投标人放弃投标或中标；</w:t>
      </w:r>
    </w:p>
    <w:p w14:paraId="19A879F1">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d.属于同一集团、协会、商会等组织成员的投标人按照该组织要求协同投标；</w:t>
      </w:r>
    </w:p>
    <w:p w14:paraId="3ED8F2F0">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e.投标人之间为谋取中标或排斥特定投标人而采取的其他联合行动。</w:t>
      </w:r>
    </w:p>
    <w:p w14:paraId="534C0F89">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（2）有下列情形之一的，视为投标人相互串通投标：</w:t>
      </w:r>
    </w:p>
    <w:p w14:paraId="68FC2190">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a.不同投标人的投标文件由同一单位或个人编制；</w:t>
      </w:r>
    </w:p>
    <w:p w14:paraId="735B039A">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b.不同投标人委托同一单位或个人办理投标事宜；</w:t>
      </w:r>
    </w:p>
    <w:p w14:paraId="7A6F3FBE">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c.不同投标人的投标文件载明的项目管理成员为同一人；</w:t>
      </w:r>
    </w:p>
    <w:p w14:paraId="2F5C239A">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d.不同投标人的投标文件异常一致或投标报价呈规律性差异；</w:t>
      </w:r>
    </w:p>
    <w:p w14:paraId="0F802EF2">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e.不同投标人的投标文件出自同一台电脑或同一单位电脑的；</w:t>
      </w:r>
    </w:p>
    <w:p w14:paraId="2EB4196E">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f.不同投标人的投标保证金从同一单位或个人的账户转出；</w:t>
      </w:r>
    </w:p>
    <w:p w14:paraId="642457A0">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g.不同投标人编制的投标文件存在两处以上相同错误的；</w:t>
      </w:r>
    </w:p>
    <w:p w14:paraId="40774BEB">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h.不同投标人通过同一单位的IP地址下载招标文件或上传投标文件的；</w:t>
      </w:r>
    </w:p>
    <w:p w14:paraId="2206B52C">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i.参加投标活动的人员为同一项目其他投标人的在职人员的；</w:t>
      </w:r>
    </w:p>
    <w:p w14:paraId="39945E65">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j.不同投标人的法定代表人或者委托代理人、项目负责人、项目总监等人员有在同一单位缴纳社会保险的；</w:t>
      </w:r>
    </w:p>
    <w:p w14:paraId="0946BA24">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k.不同投标人的投标保证金由同一自然人、法人、其他组织账户或者同一账户资金缴纳，或者不同投标人的投标保证金从各自的基本账户转出，但所需资金来自同一自然人、法人或者其他组织账户的；</w:t>
      </w:r>
    </w:p>
    <w:p w14:paraId="57D195C9">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l.不同投标人参与同一项目招标投标活动中，使用的计算机网卡 MAC 地址、CPU序列号、硬盘序列号、加密锁序列号等信息相同的。</w:t>
      </w:r>
    </w:p>
    <w:p w14:paraId="19326547">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（3）有下列情形之一的，属于招标人与投标人串通投标：</w:t>
      </w:r>
    </w:p>
    <w:p w14:paraId="5B6F3189">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a.招标人在开标前开启投标文件并将有关信息泄露给其他投标人</w:t>
      </w:r>
      <w:r>
        <w:rPr>
          <w:rFonts w:hint="eastAsia" w:ascii="宋体" w:hAnsi="宋体" w:eastAsia="宋体" w:cs="宋体"/>
          <w:color w:val="auto"/>
          <w:kern w:val="0"/>
          <w:szCs w:val="21"/>
          <w:highlight w:val="none"/>
          <w:lang w:eastAsia="zh-CN"/>
        </w:rPr>
        <w:t>；</w:t>
      </w:r>
    </w:p>
    <w:p w14:paraId="440B0281">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b.招标人直接或间接向投标人泄露标底、评标委员会成员等信息；</w:t>
      </w:r>
    </w:p>
    <w:p w14:paraId="1261CBC8">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c.招标人明示或暗示投标人压低或抬高投标报价；</w:t>
      </w:r>
    </w:p>
    <w:p w14:paraId="05F54889">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d.招标人授意投标人撤换、修改投标文件；</w:t>
      </w:r>
    </w:p>
    <w:p w14:paraId="73588861">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e.招标人明示或暗示投标人为特定投标人中标提供方便；</w:t>
      </w:r>
    </w:p>
    <w:p w14:paraId="4F28C728">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f.招标人与投标人为谋求特定投标人中标而采取的其他串通行为。</w:t>
      </w:r>
    </w:p>
    <w:p w14:paraId="512748FB">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g.招标人、招标代理机构故意损毁、篡改特定的投标文件内容，或者在资格预审时损毁、篡改特定的资格预审申请文件内容的；</w:t>
      </w:r>
    </w:p>
    <w:p w14:paraId="4C3273F3">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招标人、招标代理机构、评标委员会成员直接或者间接向投标人或者投标人的利害关系人泄露获取资格预审文件或者通过资格预审的申请人的名称、数量的；或者泄露获取招标文件的潜在投标人的名称、数量的；</w:t>
      </w:r>
    </w:p>
    <w:p w14:paraId="4EBD9837">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i.招标人、招标代理机构、评标委员会成员直接或者间接向投标人或者投标人的利害关系人泄露资格审查或者评标情况的；</w:t>
      </w:r>
    </w:p>
    <w:p w14:paraId="70BA166A">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j.招标人、招标代理机构以胁迫、劝退、利诱等方式，使特定投标人以外的其他投标人放弃投标或者中标人放弃中标的；</w:t>
      </w:r>
    </w:p>
    <w:p w14:paraId="6DB38070">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k.在依法必须进行招标的项目的中标人确定前，投标人已经开展该项目招标范围内的工作的。</w:t>
      </w:r>
    </w:p>
    <w:p w14:paraId="73C6A879">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（4）投标人有下列情形之一的，属于弄虚作假的行为：</w:t>
      </w:r>
    </w:p>
    <w:p w14:paraId="68C80D3A">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a.使用通过受让或租借等方式获取的资格、资质证书投标；</w:t>
      </w:r>
    </w:p>
    <w:p w14:paraId="4206E1DF">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b.使用伪造、变造的许可证件；</w:t>
      </w:r>
    </w:p>
    <w:p w14:paraId="44756DB8">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c.提供虚假的财务状况或业绩；</w:t>
      </w:r>
    </w:p>
    <w:p w14:paraId="3A5E7B75">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d.提供虚假的项目负责人或主要技术人员简历、劳动关系证明；</w:t>
      </w:r>
    </w:p>
    <w:p w14:paraId="07AE5C16">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e.提供虚假的信用状况；</w:t>
      </w:r>
    </w:p>
    <w:p w14:paraId="438A6B71">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f.其他弄虚作假的行为。</w:t>
      </w:r>
    </w:p>
    <w:p w14:paraId="78A30D86">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w:t>
      </w:r>
      <w:r>
        <w:rPr>
          <w:rFonts w:hint="eastAsia" w:ascii="宋体" w:hAnsi="宋体" w:eastAsia="宋体" w:cs="宋体"/>
          <w:b/>
          <w:color w:val="auto"/>
          <w:kern w:val="0"/>
          <w:szCs w:val="21"/>
          <w:highlight w:val="none"/>
          <w:lang w:val="en-US" w:eastAsia="zh-CN"/>
        </w:rPr>
        <w:t xml:space="preserve">7 </w:t>
      </w:r>
      <w:r>
        <w:rPr>
          <w:rFonts w:hint="eastAsia" w:ascii="宋体" w:hAnsi="宋体" w:eastAsia="宋体" w:cs="宋体"/>
          <w:b/>
          <w:color w:val="auto"/>
          <w:kern w:val="0"/>
          <w:szCs w:val="21"/>
          <w:highlight w:val="none"/>
        </w:rPr>
        <w:t>投标文件的澄清和说明</w:t>
      </w:r>
    </w:p>
    <w:p w14:paraId="0FE325CE">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 在评标过程中，评标委员会可以通过“宁夏回族自治区公共资源交易平台”以数据电文形式要求投标人对投标文件中含义不明确的内容、明显文字错误进行数据电文澄清或说明。评标委员会不接受投标人主动提出的澄清、说明。投标人不按评标委员会要求澄清或说明的，评标委员会应否决其投标。</w:t>
      </w:r>
    </w:p>
    <w:p w14:paraId="7AB3F839">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澄清和说明不得超出投标文件的范围或改变投标文件的实质性内容（算术性错误的修正除外）。投标人的数据电文澄清、说明属于投标文件的组成部分。</w:t>
      </w:r>
    </w:p>
    <w:p w14:paraId="77990578">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 评标委员会不得暗示或诱导投标人作出澄清、说明，对投标人提交的澄清、说明有疑问的，可以要求投标人进一步澄清或说明，直至满足评标委员会的要求。</w:t>
      </w:r>
    </w:p>
    <w:p w14:paraId="57CADA1A">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3.7.4 凡超出招标文件规定的或给发包人带来未曾要求的利益的变化、偏差或其他因素在评标时不予考虑。</w:t>
      </w:r>
    </w:p>
    <w:p w14:paraId="29BFD023">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w:t>
      </w:r>
      <w:r>
        <w:rPr>
          <w:rFonts w:hint="eastAsia" w:ascii="宋体" w:hAnsi="宋体" w:eastAsia="宋体" w:cs="宋体"/>
          <w:b/>
          <w:color w:val="auto"/>
          <w:kern w:val="0"/>
          <w:szCs w:val="21"/>
          <w:highlight w:val="none"/>
          <w:lang w:val="en-US" w:eastAsia="zh-CN"/>
        </w:rPr>
        <w:t xml:space="preserve">8 </w:t>
      </w:r>
      <w:r>
        <w:rPr>
          <w:rFonts w:hint="eastAsia" w:ascii="宋体" w:hAnsi="宋体" w:eastAsia="宋体" w:cs="宋体"/>
          <w:b/>
          <w:color w:val="auto"/>
          <w:kern w:val="0"/>
          <w:szCs w:val="21"/>
          <w:highlight w:val="none"/>
        </w:rPr>
        <w:t>不得否决投标的情形</w:t>
      </w:r>
    </w:p>
    <w:p w14:paraId="04C03E3C">
      <w:pPr>
        <w:autoSpaceDE w:val="0"/>
        <w:autoSpaceDN w:val="0"/>
        <w:adjustRightInd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投标文件存在第二章“投标人须知”第 1.12.3 项所列情形的，均视为细微偏差，评标委员会不得否决投标人的投标，应按照第二章“投标人须知”第 1.12.4 项规定的原则处理。</w:t>
      </w:r>
    </w:p>
    <w:p w14:paraId="70C0027E">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w:t>
      </w:r>
      <w:r>
        <w:rPr>
          <w:rFonts w:hint="eastAsia" w:ascii="宋体" w:hAnsi="宋体" w:eastAsia="宋体" w:cs="宋体"/>
          <w:b/>
          <w:color w:val="auto"/>
          <w:kern w:val="0"/>
          <w:szCs w:val="21"/>
          <w:highlight w:val="none"/>
          <w:lang w:val="en-US" w:eastAsia="zh-CN"/>
        </w:rPr>
        <w:t>9</w:t>
      </w:r>
      <w:r>
        <w:rPr>
          <w:rFonts w:hint="eastAsia" w:ascii="宋体" w:hAnsi="宋体" w:eastAsia="宋体" w:cs="宋体"/>
          <w:b/>
          <w:color w:val="auto"/>
          <w:kern w:val="0"/>
          <w:szCs w:val="21"/>
          <w:highlight w:val="none"/>
        </w:rPr>
        <w:t xml:space="preserve"> 评标结果</w:t>
      </w:r>
    </w:p>
    <w:p w14:paraId="4AEC82CB">
      <w:pPr>
        <w:autoSpaceDE w:val="0"/>
        <w:autoSpaceDN w:val="0"/>
        <w:spacing w:line="360" w:lineRule="auto"/>
        <w:ind w:firstLine="56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3.9.1 除第二章“投标人须知”前附表授权直接确定中标人外，评标委员会按照评标价由低到高的顺序推荐中标候选人，并标明排序。</w:t>
      </w:r>
    </w:p>
    <w:p w14:paraId="5236D5A1">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outlineLvl w:val="9"/>
        <w:rPr>
          <w:rFonts w:hint="eastAsia" w:ascii="宋体" w:hAnsi="宋体" w:eastAsia="宋体" w:cs="宋体"/>
          <w:color w:val="auto"/>
        </w:rPr>
      </w:pPr>
      <w:r>
        <w:rPr>
          <w:rFonts w:hint="eastAsia" w:ascii="宋体" w:hAnsi="宋体" w:eastAsia="宋体" w:cs="宋体"/>
          <w:color w:val="auto"/>
          <w:kern w:val="0"/>
          <w:szCs w:val="21"/>
          <w:highlight w:val="none"/>
        </w:rPr>
        <w:t>3.9.2 评标委员会完成评标后，应通过“宁夏回族自治区公共资源交易平台”向招标人提交评标报告。</w:t>
      </w:r>
    </w:p>
    <w:sectPr>
      <w:headerReference r:id="rId5" w:type="default"/>
      <w:footerReference r:id="rId6" w:type="default"/>
      <w:pgSz w:w="11906" w:h="16838"/>
      <w:pgMar w:top="1701" w:right="1474" w:bottom="1587" w:left="147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A1F2E">
    <w:pPr>
      <w:widowControl w:val="0"/>
      <w:kinsoku w:val="0"/>
      <w:autoSpaceDE w:val="0"/>
      <w:autoSpaceDN w:val="0"/>
      <w:adjustRightInd w:val="0"/>
      <w:snapToGrid w:val="0"/>
      <w:spacing w:line="500" w:lineRule="exact"/>
      <w:ind w:firstLine="360" w:firstLineChars="200"/>
      <w:jc w:val="left"/>
      <w:textAlignment w:val="baseline"/>
      <w:rPr>
        <w:rFonts w:ascii="Times New Roman" w:hAnsi="Times New Roman" w:eastAsia="宋体" w:cs="Times New Roman"/>
        <w:snapToGrid w:val="0"/>
        <w:color w:val="000000"/>
        <w:kern w:val="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739DB">
    <w:pPr>
      <w:widowControl w:val="0"/>
      <w:pBdr>
        <w:top w:val="none" w:color="auto" w:sz="0" w:space="1"/>
        <w:left w:val="none" w:color="auto" w:sz="0" w:space="4"/>
        <w:bottom w:val="none" w:color="auto" w:sz="0" w:space="1"/>
        <w:right w:val="none" w:color="auto" w:sz="0" w:space="4"/>
      </w:pBdr>
      <w:kinsoku w:val="0"/>
      <w:autoSpaceDE w:val="0"/>
      <w:autoSpaceDN w:val="0"/>
      <w:adjustRightInd w:val="0"/>
      <w:snapToGrid w:val="0"/>
      <w:spacing w:line="240" w:lineRule="auto"/>
      <w:ind w:firstLine="360" w:firstLineChars="200"/>
      <w:jc w:val="both"/>
      <w:textAlignment w:val="baseline"/>
      <w:outlineLvl w:val="9"/>
      <w:rPr>
        <w:rFonts w:ascii="Times New Roman" w:hAnsi="Times New Roman" w:eastAsia="宋体" w:cs="Times New Roman"/>
        <w:snapToGrid w:val="0"/>
        <w:color w:val="000000"/>
        <w:kern w:val="0"/>
        <w:sz w:val="1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D7EB1"/>
    <w:rsid w:val="00F369E2"/>
    <w:rsid w:val="09BF1535"/>
    <w:rsid w:val="0FEB1C2B"/>
    <w:rsid w:val="113118BF"/>
    <w:rsid w:val="11C032EF"/>
    <w:rsid w:val="11F36B75"/>
    <w:rsid w:val="15035321"/>
    <w:rsid w:val="15107A3E"/>
    <w:rsid w:val="154D4D7D"/>
    <w:rsid w:val="173B406A"/>
    <w:rsid w:val="18085A82"/>
    <w:rsid w:val="1A1B135F"/>
    <w:rsid w:val="1ABF1CEA"/>
    <w:rsid w:val="1D1558F7"/>
    <w:rsid w:val="1E957931"/>
    <w:rsid w:val="1F7A1312"/>
    <w:rsid w:val="2033100A"/>
    <w:rsid w:val="26263565"/>
    <w:rsid w:val="34AA710F"/>
    <w:rsid w:val="35131158"/>
    <w:rsid w:val="35780FBB"/>
    <w:rsid w:val="36BF14C3"/>
    <w:rsid w:val="3A1A0893"/>
    <w:rsid w:val="3C6978B0"/>
    <w:rsid w:val="3C8D17F0"/>
    <w:rsid w:val="44071E88"/>
    <w:rsid w:val="4AAF1765"/>
    <w:rsid w:val="501A2F43"/>
    <w:rsid w:val="572F5526"/>
    <w:rsid w:val="5D0B7A4C"/>
    <w:rsid w:val="5FA80FFE"/>
    <w:rsid w:val="61D76EE6"/>
    <w:rsid w:val="71F60B5D"/>
    <w:rsid w:val="7355410F"/>
    <w:rsid w:val="749D7EB1"/>
    <w:rsid w:val="752B3379"/>
    <w:rsid w:val="75C80BC8"/>
    <w:rsid w:val="76E41A31"/>
    <w:rsid w:val="774C75D7"/>
    <w:rsid w:val="7A637111"/>
    <w:rsid w:val="7DA62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autoSpaceDE w:val="0"/>
      <w:autoSpaceDN w:val="0"/>
      <w:adjustRightInd w:val="0"/>
      <w:snapToGrid w:val="0"/>
      <w:spacing w:line="500" w:lineRule="exact"/>
      <w:ind w:firstLine="420" w:firstLineChars="200"/>
      <w:jc w:val="both"/>
      <w:textAlignment w:val="baseline"/>
    </w:pPr>
    <w:rPr>
      <w:rFonts w:ascii="仿宋" w:hAnsi="仿宋" w:eastAsia="仿宋" w:cs="仿宋"/>
      <w:snapToGrid w:val="0"/>
      <w:color w:val="000000"/>
      <w:kern w:val="0"/>
      <w:sz w:val="28"/>
      <w:szCs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_2"/>
    <w:next w:val="8"/>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8">
    <w:name w:val="正文缩进_1"/>
    <w:basedOn w:val="7"/>
    <w:qFormat/>
    <w:uiPriority w:val="0"/>
    <w:pPr>
      <w:ind w:firstLine="420" w:firstLineChars="200"/>
    </w:pPr>
  </w:style>
  <w:style w:type="paragraph" w:customStyle="1" w:styleId="9">
    <w:name w:val="Normal_0"/>
    <w:qFormat/>
    <w:uiPriority w:val="0"/>
    <w:rPr>
      <w:rFonts w:ascii="Times New Roman" w:hAnsi="Times New Roman" w:eastAsia="Times New Roman" w:cs="Times New Roman"/>
      <w:sz w:val="24"/>
      <w:szCs w:val="24"/>
      <w:lang w:val="en-US" w:eastAsia="zh-CN" w:bidi="ar-SA"/>
    </w:rPr>
  </w:style>
  <w:style w:type="paragraph" w:customStyle="1" w:styleId="10">
    <w:name w:val="Table Paragraph"/>
    <w:basedOn w:val="1"/>
    <w:qFormat/>
    <w:uiPriority w:val="1"/>
    <w:rPr>
      <w:rFonts w:ascii="宋体" w:hAnsi="宋体" w:eastAsia="宋体" w:cs="宋体"/>
      <w:lang w:val="zh-CN" w:eastAsia="zh-CN" w:bidi="zh-CN"/>
    </w:rPr>
  </w:style>
  <w:style w:type="table" w:customStyle="1" w:styleId="11">
    <w:name w:val="Table Normal"/>
    <w:basedOn w:val="4"/>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4858</Words>
  <Characters>5129</Characters>
  <Lines>0</Lines>
  <Paragraphs>0</Paragraphs>
  <TotalTime>0</TotalTime>
  <ScaleCrop>false</ScaleCrop>
  <LinksUpToDate>false</LinksUpToDate>
  <CharactersWithSpaces>5143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2025-03-06T14:29:00Z</dcterms:created>
  <dc:creator>The  Day</dc:creator>
  <cp:lastModifiedBy>home</cp:lastModifiedBy>
  <dcterms:modified xsi:type="dcterms:W3CDTF">2026-02-11T08:04:46Z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E35915097F0443B894FF64A80B82751D_11</vt:lpwstr>
  </property>
  <property fmtid="{D5CDD505-2E9C-101B-9397-08002B2CF9AE}" pid="4" name="KSOTemplateDocerSaveRecord">
    <vt:lpwstr>eyJoZGlkIjoiNjc4N2ViZGU1MTY3MWIxYjI3ZmEzZTJiNTZmYzYxOTgiLCJ1c2VySWQiOiIyNjA2Mjg3NzcifQ==</vt:lpwstr>
  </property>
</Properties>
</file>