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3F7F5">
      <w:pPr>
        <w:numPr>
          <w:ilvl w:val="0"/>
          <w:numId w:val="1"/>
        </w:numPr>
        <w:spacing w:line="360" w:lineRule="auto"/>
        <w:jc w:val="center"/>
        <w:rPr>
          <w:rStyle w:val="13"/>
          <w:rFonts w:hint="eastAsia" w:ascii="宋体" w:hAnsi="宋体" w:eastAsia="宋体" w:cs="宋体"/>
          <w:bCs/>
          <w:kern w:val="2"/>
          <w:sz w:val="28"/>
          <w:szCs w:val="28"/>
          <w:lang w:val="en-US" w:eastAsia="zh-CN" w:bidi="ar-SA"/>
        </w:rPr>
      </w:pPr>
      <w:r>
        <w:rPr>
          <w:rStyle w:val="13"/>
          <w:rFonts w:hint="eastAsia" w:ascii="宋体" w:hAnsi="宋体" w:eastAsia="宋体" w:cs="宋体"/>
          <w:bCs/>
          <w:kern w:val="2"/>
          <w:sz w:val="28"/>
          <w:szCs w:val="28"/>
          <w:lang w:val="en-US" w:eastAsia="zh-CN" w:bidi="ar-SA"/>
        </w:rPr>
        <w:t>项目基本概况：</w:t>
      </w:r>
    </w:p>
    <w:p w14:paraId="39F8401E">
      <w:pPr>
        <w:spacing w:line="360" w:lineRule="auto"/>
        <w:ind w:firstLine="480" w:firstLineChars="200"/>
        <w:rPr>
          <w:rStyle w:val="13"/>
          <w:rFonts w:hint="eastAsia" w:ascii="宋体" w:hAnsi="宋体" w:eastAsia="宋体" w:cs="宋体"/>
          <w:b w:val="0"/>
          <w:bCs/>
          <w:sz w:val="24"/>
          <w:szCs w:val="24"/>
          <w:highlight w:val="none"/>
          <w:lang w:val="zh-CN" w:eastAsia="zh-CN"/>
        </w:rPr>
      </w:pPr>
      <w:r>
        <w:rPr>
          <w:rStyle w:val="13"/>
          <w:rFonts w:hint="eastAsia" w:ascii="宋体" w:hAnsi="宋体" w:eastAsia="宋体" w:cs="宋体"/>
          <w:b w:val="0"/>
          <w:bCs/>
          <w:sz w:val="24"/>
          <w:szCs w:val="24"/>
          <w:highlight w:val="none"/>
          <w:lang w:val="en-US" w:eastAsia="zh-CN"/>
        </w:rPr>
        <w:t>1</w:t>
      </w:r>
      <w:r>
        <w:rPr>
          <w:rStyle w:val="13"/>
          <w:rFonts w:hint="eastAsia" w:ascii="宋体" w:hAnsi="宋体" w:eastAsia="宋体" w:cs="宋体"/>
          <w:b w:val="0"/>
          <w:bCs/>
          <w:sz w:val="24"/>
          <w:szCs w:val="24"/>
          <w:highlight w:val="none"/>
          <w:lang w:val="zh-CN" w:eastAsia="zh-CN"/>
        </w:rPr>
        <w:t>.1工程名称：宁夏公路管理中心吴忠分中心S103线K117+000-K124+000(黄沙窝-红寺堡)段计7Km道路安全隐患治理工程施工</w:t>
      </w:r>
      <w:r>
        <w:rPr>
          <w:rStyle w:val="13"/>
          <w:rFonts w:hint="eastAsia" w:ascii="宋体" w:hAnsi="宋体" w:eastAsia="宋体" w:cs="宋体"/>
          <w:b w:val="0"/>
          <w:bCs/>
          <w:sz w:val="24"/>
          <w:szCs w:val="24"/>
          <w:highlight w:val="none"/>
          <w:lang w:val="en-US" w:eastAsia="zh-CN"/>
        </w:rPr>
        <w:t>。</w:t>
      </w:r>
    </w:p>
    <w:p w14:paraId="0D687445">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1</w:t>
      </w:r>
      <w:r>
        <w:rPr>
          <w:rStyle w:val="13"/>
          <w:rFonts w:hint="eastAsia" w:ascii="宋体" w:hAnsi="宋体" w:eastAsia="宋体" w:cs="宋体"/>
          <w:b w:val="0"/>
          <w:bCs/>
          <w:sz w:val="24"/>
          <w:szCs w:val="24"/>
          <w:highlight w:val="none"/>
          <w:lang w:val="zh-CN" w:eastAsia="zh-CN"/>
        </w:rPr>
        <w:t>.2工程地点：</w:t>
      </w:r>
      <w:r>
        <w:rPr>
          <w:rStyle w:val="13"/>
          <w:rFonts w:hint="eastAsia" w:ascii="宋体" w:hAnsi="宋体" w:eastAsia="宋体" w:cs="宋体"/>
          <w:b w:val="0"/>
          <w:bCs/>
          <w:sz w:val="24"/>
          <w:szCs w:val="24"/>
          <w:highlight w:val="none"/>
          <w:lang w:val="en-US" w:eastAsia="zh-CN"/>
        </w:rPr>
        <w:t>宁夏</w:t>
      </w:r>
      <w:r>
        <w:rPr>
          <w:rStyle w:val="13"/>
          <w:rFonts w:hint="eastAsia" w:ascii="宋体" w:hAnsi="宋体" w:eastAsia="宋体" w:cs="宋体"/>
          <w:b w:val="0"/>
          <w:bCs/>
          <w:sz w:val="24"/>
          <w:szCs w:val="24"/>
          <w:highlight w:val="none"/>
          <w:lang w:val="zh-CN" w:eastAsia="zh-CN"/>
        </w:rPr>
        <w:t>吴忠</w:t>
      </w:r>
      <w:r>
        <w:rPr>
          <w:rStyle w:val="13"/>
          <w:rFonts w:hint="eastAsia" w:ascii="宋体" w:hAnsi="宋体" w:eastAsia="宋体" w:cs="宋体"/>
          <w:b w:val="0"/>
          <w:bCs/>
          <w:sz w:val="24"/>
          <w:szCs w:val="24"/>
          <w:highlight w:val="none"/>
          <w:lang w:val="en-US" w:eastAsia="zh-CN"/>
        </w:rPr>
        <w:t>市。</w:t>
      </w:r>
    </w:p>
    <w:p w14:paraId="09C5CAB1">
      <w:pPr>
        <w:spacing w:line="360" w:lineRule="auto"/>
        <w:ind w:firstLine="480" w:firstLineChars="200"/>
        <w:rPr>
          <w:rStyle w:val="13"/>
          <w:rFonts w:hint="default"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1</w:t>
      </w:r>
      <w:r>
        <w:rPr>
          <w:rStyle w:val="13"/>
          <w:rFonts w:hint="eastAsia" w:ascii="宋体" w:hAnsi="宋体" w:eastAsia="宋体" w:cs="宋体"/>
          <w:b w:val="0"/>
          <w:bCs/>
          <w:sz w:val="24"/>
          <w:szCs w:val="24"/>
          <w:highlight w:val="none"/>
          <w:lang w:val="zh-CN" w:eastAsia="zh-CN"/>
        </w:rPr>
        <w:t>.3工程概况：</w:t>
      </w:r>
      <w:r>
        <w:rPr>
          <w:rStyle w:val="13"/>
          <w:rFonts w:hint="eastAsia" w:ascii="宋体" w:hAnsi="宋体" w:eastAsia="宋体" w:cs="宋体"/>
          <w:b w:val="0"/>
          <w:bCs/>
          <w:sz w:val="24"/>
          <w:szCs w:val="24"/>
          <w:highlight w:val="none"/>
          <w:lang w:val="en-US" w:eastAsia="zh-CN"/>
        </w:rPr>
        <w:t>对S103线K117+000-K124+000段4处路基路面不均匀沉降隐患采用旋喷桩、注浆、恢复基层面层等措施处治，同步完善交通安全设施.</w:t>
      </w:r>
    </w:p>
    <w:p w14:paraId="7459E845">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1.4招标范围：</w:t>
      </w:r>
      <w:bookmarkStart w:id="0" w:name="EB8119b3a891534e4b98512d4f8f09b10f"/>
      <w:r>
        <w:rPr>
          <w:rStyle w:val="13"/>
          <w:rFonts w:hint="eastAsia" w:ascii="宋体" w:hAnsi="宋体" w:eastAsia="宋体" w:cs="宋体"/>
          <w:b w:val="0"/>
          <w:bCs/>
          <w:sz w:val="24"/>
          <w:szCs w:val="24"/>
          <w:highlight w:val="none"/>
          <w:lang w:val="en-US" w:eastAsia="zh-CN"/>
        </w:rPr>
        <w:t>设计图纸所设计的内容、工程量清单中所反映出来的实际工程量、技术规范和工程量清单计量规则中要求的计价不计量的工程量以及为完成以上工程所消耗的劳务、材料、机械、设备等所有附属工程量。</w:t>
      </w:r>
      <w:bookmarkEnd w:id="0"/>
    </w:p>
    <w:p w14:paraId="74CD824C">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1.5计划工期：120日历天</w:t>
      </w:r>
    </w:p>
    <w:p w14:paraId="7F6A66D9">
      <w:pPr>
        <w:pStyle w:val="5"/>
        <w:rPr>
          <w:rFonts w:hint="eastAsia"/>
          <w:lang w:val="en-US" w:eastAsia="zh-CN"/>
        </w:rPr>
      </w:pPr>
      <w:r>
        <w:rPr>
          <w:rFonts w:hint="eastAsia"/>
          <w:lang w:val="en-US" w:eastAsia="zh-CN"/>
        </w:rPr>
        <w:t>计划开工日期： 2025 年 07 月 10 日</w:t>
      </w:r>
    </w:p>
    <w:p w14:paraId="07C6E09C">
      <w:pPr>
        <w:pStyle w:val="5"/>
        <w:rPr>
          <w:rFonts w:hint="eastAsia"/>
          <w:lang w:val="en-US" w:eastAsia="zh-CN"/>
        </w:rPr>
      </w:pPr>
      <w:r>
        <w:rPr>
          <w:rFonts w:hint="eastAsia"/>
          <w:lang w:val="en-US" w:eastAsia="zh-CN"/>
        </w:rPr>
        <w:t>计划交工日期： 2025 年 11 月 07 日（实际开竣工时间以合同签订为准）</w:t>
      </w:r>
    </w:p>
    <w:p w14:paraId="38BE4CF6">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1</w:t>
      </w:r>
      <w:r>
        <w:rPr>
          <w:rStyle w:val="13"/>
          <w:rFonts w:hint="eastAsia" w:ascii="宋体" w:hAnsi="宋体" w:eastAsia="宋体" w:cs="宋体"/>
          <w:b w:val="0"/>
          <w:bCs/>
          <w:sz w:val="24"/>
          <w:szCs w:val="24"/>
          <w:highlight w:val="none"/>
          <w:lang w:val="zh-CN" w:eastAsia="zh-CN"/>
        </w:rPr>
        <w:t>.6标段划分：本次招标划分为 1 个标段，为不见面的电子标。</w:t>
      </w:r>
    </w:p>
    <w:p w14:paraId="2435C768">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工程内容包括：路基严重沉陷路段，挖除旧路结构层和路床，路堤采用液压夯进行补强处理，路基采用高压旋喷桩、水泥搅拌桩处理，路床回填后，铺设30厘米级配碎石褥垫层，恢复路面结构：采用4厘米AC-13C细粒式SBS改性沥青混凝土上面层、6厘米AC-20C中粒式厂拌热再生改性沥青混凝土下面层、18厘米水泥稳定碎石上基层、18厘米水泥稳定厂拌冷再生下基层、18厘米水泥稳定厂拌冷再生底基层。</w:t>
      </w:r>
    </w:p>
    <w:p w14:paraId="13660D13">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路面一般裂缝病害，采用直接或扩缝后用密封胶封闭处理，基层反射裂缝采用地聚合物注浆处置。路面块裂、唧浆病害路段，铣刨上下面层，分台阶开挖基层后回填水泥稳定碎石或水泥稳定厂拌冷再生混合料上基层、6厘米AC-20中粒式厂拌热再生改性沥青混凝土下面层、4厘米AC-13C细粒式SBS改性沥青混凝土上面层。</w:t>
      </w:r>
    </w:p>
    <w:p w14:paraId="02C21EED">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路面沉陷病害路段，铣刨上下面层，处治基层病害，采用厂拌热再生改性沥青混凝土填充找平，回填6厘米AC-20中粒式厂拌热再生改性沥青混凝土下面层、4厘米AC-13C细粒式SBS改性沥青混凝土上面层。</w:t>
      </w:r>
    </w:p>
    <w:p w14:paraId="3261337D">
      <w:pPr>
        <w:spacing w:line="360" w:lineRule="auto"/>
        <w:ind w:firstLine="480" w:firstLineChars="200"/>
        <w:rPr>
          <w:rStyle w:val="13"/>
          <w:rFonts w:hint="eastAsia" w:ascii="宋体" w:hAnsi="宋体" w:eastAsia="宋体" w:cs="宋体"/>
          <w:b w:val="0"/>
          <w:bCs/>
          <w:sz w:val="24"/>
          <w:szCs w:val="24"/>
          <w:highlight w:val="none"/>
          <w:lang w:val="en-US" w:eastAsia="zh-CN"/>
        </w:rPr>
      </w:pPr>
      <w:r>
        <w:rPr>
          <w:rStyle w:val="13"/>
          <w:rFonts w:hint="eastAsia" w:ascii="宋体" w:hAnsi="宋体" w:eastAsia="宋体" w:cs="宋体"/>
          <w:b w:val="0"/>
          <w:bCs/>
          <w:sz w:val="24"/>
          <w:szCs w:val="24"/>
          <w:highlight w:val="none"/>
          <w:lang w:val="en-US" w:eastAsia="zh-CN"/>
        </w:rPr>
        <w:t>对K119+429横沟桥、K122+555石油管道桥共2座桥梁伸缩缝止水带破损、梁体和墩柱裂缝、个别支座脱空等病害处治，维修利用涵洞12道。同时，完善交通安全设施。</w:t>
      </w:r>
    </w:p>
    <w:p w14:paraId="1ACA482E">
      <w:pPr>
        <w:spacing w:line="360" w:lineRule="auto"/>
        <w:ind w:firstLine="480" w:firstLineChars="200"/>
        <w:rPr>
          <w:rStyle w:val="13"/>
          <w:rFonts w:hint="eastAsia" w:ascii="宋体" w:hAnsi="宋体" w:eastAsia="宋体" w:cs="宋体"/>
          <w:b w:val="0"/>
          <w:bCs/>
          <w:sz w:val="24"/>
          <w:szCs w:val="24"/>
          <w:highlight w:val="none"/>
          <w:lang w:val="zh-CN" w:eastAsia="zh-CN"/>
        </w:rPr>
      </w:pPr>
      <w:r>
        <w:rPr>
          <w:rStyle w:val="13"/>
          <w:rFonts w:hint="eastAsia" w:ascii="宋体" w:hAnsi="宋体" w:eastAsia="宋体" w:cs="宋体"/>
          <w:b w:val="0"/>
          <w:bCs/>
          <w:sz w:val="24"/>
          <w:szCs w:val="24"/>
          <w:highlight w:val="none"/>
          <w:lang w:val="zh-CN" w:eastAsia="zh-CN"/>
        </w:rPr>
        <w:t>主要工程量：路床回填砾类土6306立方米，布设水泥搅拌桩97160米、高压旋喷桩12844米，恢复4厘米AC-13C细粒式SBS改性沥青混凝土上面层53080平方米、6厘米AC-20C中粒式厂拌热再生改性沥青混凝土下面层41901平方米、18厘米水泥稳定碎石上基层10210平方米、18厘米水泥稳定厂拌冷再生混合料下基层10668平方米、18厘米水泥稳定厂拌冷再生混合料底基层10933平方米，设置Am级波形梁护栏6161.48米、热熔反光型标线2674.64平方米等。</w:t>
      </w:r>
    </w:p>
    <w:p w14:paraId="03E97E74">
      <w:pPr>
        <w:spacing w:line="360" w:lineRule="auto"/>
        <w:ind w:firstLine="480" w:firstLineChars="200"/>
        <w:rPr>
          <w:rStyle w:val="13"/>
          <w:rFonts w:hint="eastAsia" w:ascii="宋体" w:hAnsi="宋体" w:eastAsia="宋体" w:cs="宋体"/>
          <w:b w:val="0"/>
          <w:bCs/>
          <w:sz w:val="24"/>
          <w:szCs w:val="24"/>
          <w:highlight w:val="none"/>
          <w:lang w:val="en-US" w:eastAsia="zh-CN"/>
        </w:rPr>
      </w:pPr>
      <w:bookmarkStart w:id="1" w:name="EBc77649e1a1e6481b89418948ca88b47b"/>
      <w:r>
        <w:rPr>
          <w:rStyle w:val="13"/>
          <w:rFonts w:hint="eastAsia" w:ascii="宋体" w:hAnsi="宋体" w:eastAsia="宋体" w:cs="宋体"/>
          <w:b w:val="0"/>
          <w:bCs/>
          <w:sz w:val="24"/>
          <w:szCs w:val="24"/>
          <w:highlight w:val="none"/>
          <w:lang w:val="en-US" w:eastAsia="zh-CN"/>
        </w:rPr>
        <w:t>以上工程量确切数量及内容详见工程量清单和施工图设计文件。</w:t>
      </w:r>
    </w:p>
    <w:bookmarkEnd w:id="1"/>
    <w:p w14:paraId="5FD072D8">
      <w:pPr>
        <w:spacing w:line="360" w:lineRule="auto"/>
        <w:ind w:firstLine="480" w:firstLineChars="200"/>
        <w:rPr>
          <w:rStyle w:val="13"/>
          <w:rFonts w:hint="eastAsia" w:ascii="宋体" w:hAnsi="宋体" w:eastAsia="宋体" w:cs="宋体"/>
          <w:b w:val="0"/>
          <w:bCs/>
          <w:sz w:val="24"/>
          <w:szCs w:val="24"/>
          <w:highlight w:val="none"/>
          <w:lang w:val="zh-CN" w:eastAsia="zh-CN"/>
        </w:rPr>
      </w:pPr>
      <w:r>
        <w:rPr>
          <w:rStyle w:val="13"/>
          <w:rFonts w:hint="eastAsia" w:ascii="宋体" w:hAnsi="宋体" w:eastAsia="宋体" w:cs="宋体"/>
          <w:b w:val="0"/>
          <w:bCs/>
          <w:sz w:val="24"/>
          <w:szCs w:val="24"/>
          <w:highlight w:val="none"/>
          <w:lang w:val="en-US" w:eastAsia="zh-CN"/>
        </w:rPr>
        <w:t>1.7资格审查办法：</w:t>
      </w:r>
      <w:bookmarkStart w:id="2" w:name="EB410b2449321b49e7a5898e11f3232d95"/>
      <w:r>
        <w:rPr>
          <w:rStyle w:val="13"/>
          <w:rFonts w:hint="eastAsia" w:ascii="宋体" w:hAnsi="宋体" w:eastAsia="宋体" w:cs="宋体"/>
          <w:b w:val="0"/>
          <w:bCs/>
          <w:sz w:val="24"/>
          <w:szCs w:val="24"/>
          <w:highlight w:val="none"/>
          <w:lang w:val="en-US" w:eastAsia="zh-CN"/>
        </w:rPr>
        <w:t>资格后审。</w:t>
      </w:r>
      <w:bookmarkEnd w:id="2"/>
    </w:p>
    <w:p w14:paraId="72491651">
      <w:pPr>
        <w:pStyle w:val="14"/>
        <w:spacing w:line="360" w:lineRule="auto"/>
        <w:jc w:val="left"/>
        <w:outlineLvl w:val="2"/>
        <w:rPr>
          <w:rFonts w:hint="eastAsia" w:ascii="宋体" w:hAnsi="宋体" w:eastAsia="宋体" w:cs="宋体"/>
          <w:b/>
          <w:bCs/>
          <w:color w:val="auto"/>
          <w:sz w:val="28"/>
          <w:szCs w:val="28"/>
          <w:highlight w:val="none"/>
        </w:rPr>
      </w:pPr>
      <w:bookmarkStart w:id="3" w:name="_Toc4457"/>
    </w:p>
    <w:p w14:paraId="76B550B6">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78E12B3">
      <w:pPr>
        <w:pStyle w:val="14"/>
        <w:spacing w:line="360" w:lineRule="auto"/>
        <w:jc w:val="left"/>
        <w:outlineLvl w:val="2"/>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二、资格条件</w:t>
      </w:r>
    </w:p>
    <w:bookmarkEnd w:id="3"/>
    <w:p w14:paraId="3EEA7DF7">
      <w:pPr>
        <w:pStyle w:val="14"/>
        <w:spacing w:line="360" w:lineRule="auto"/>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附录1</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资格审查条件</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资质最低条件</w:t>
      </w:r>
      <w:r>
        <w:rPr>
          <w:rFonts w:hint="eastAsia" w:ascii="宋体" w:hAnsi="宋体" w:eastAsia="宋体" w:cs="宋体"/>
          <w:b/>
          <w:bCs/>
          <w:color w:val="auto"/>
          <w:sz w:val="30"/>
          <w:szCs w:val="30"/>
          <w:highlight w:val="none"/>
          <w:lang w:eastAsia="zh-CN"/>
        </w:rPr>
        <w:t>）</w:t>
      </w: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7017"/>
      </w:tblGrid>
      <w:tr w14:paraId="69A42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78" w:type="dxa"/>
            <w:noWrap w:val="0"/>
            <w:vAlign w:val="center"/>
          </w:tcPr>
          <w:p w14:paraId="6C5B66C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auto"/>
                <w:sz w:val="21"/>
                <w:szCs w:val="21"/>
              </w:rPr>
            </w:pPr>
            <w:r>
              <w:rPr>
                <w:color w:val="auto"/>
                <w:spacing w:val="7"/>
                <w:sz w:val="21"/>
                <w:szCs w:val="21"/>
              </w:rPr>
              <w:t>标段号</w:t>
            </w:r>
          </w:p>
        </w:tc>
        <w:tc>
          <w:tcPr>
            <w:tcW w:w="7017" w:type="dxa"/>
            <w:noWrap w:val="0"/>
            <w:vAlign w:val="center"/>
          </w:tcPr>
          <w:p w14:paraId="39C4DAC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auto"/>
                <w:sz w:val="21"/>
                <w:szCs w:val="21"/>
              </w:rPr>
            </w:pPr>
            <w:r>
              <w:rPr>
                <w:color w:val="auto"/>
                <w:spacing w:val="9"/>
                <w:sz w:val="21"/>
                <w:szCs w:val="21"/>
              </w:rPr>
              <w:t>施工企业资质等级要求</w:t>
            </w:r>
          </w:p>
        </w:tc>
      </w:tr>
      <w:tr w14:paraId="06539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78" w:type="dxa"/>
            <w:noWrap w:val="0"/>
            <w:vAlign w:val="center"/>
          </w:tcPr>
          <w:p w14:paraId="16C45400">
            <w:pPr>
              <w:pStyle w:val="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21"/>
                <w:szCs w:val="21"/>
                <w:highlight w:val="none"/>
                <w:lang w:val="en-US" w:eastAsia="zh-CN" w:bidi="ar-SA"/>
              </w:rPr>
            </w:pPr>
          </w:p>
          <w:p w14:paraId="3DAFCE3E">
            <w:pPr>
              <w:pStyle w:val="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21"/>
                <w:szCs w:val="21"/>
                <w:highlight w:val="none"/>
                <w:lang w:val="en-US" w:eastAsia="zh-CN" w:bidi="ar-SA"/>
              </w:rPr>
            </w:pPr>
          </w:p>
        </w:tc>
        <w:tc>
          <w:tcPr>
            <w:tcW w:w="7017" w:type="dxa"/>
            <w:noWrap w:val="0"/>
            <w:vAlign w:val="top"/>
          </w:tcPr>
          <w:p w14:paraId="44B5AA50">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b/>
                <w:bCs/>
                <w:color w:val="auto"/>
                <w:spacing w:val="9"/>
                <w:sz w:val="21"/>
                <w:szCs w:val="21"/>
                <w:highlight w:val="none"/>
              </w:rPr>
            </w:pPr>
            <w:r>
              <w:rPr>
                <w:b/>
                <w:bCs/>
                <w:color w:val="auto"/>
                <w:spacing w:val="9"/>
                <w:sz w:val="21"/>
                <w:szCs w:val="21"/>
                <w:highlight w:val="none"/>
              </w:rPr>
              <w:t>投标人需满足以下要求：</w:t>
            </w:r>
          </w:p>
          <w:p w14:paraId="38DB2C72">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1.投标人须具备法人或其他组织资格，持有工商行政管理部门核发的有效企业营 业执照或事业单位法人证书或社会团体法人登记证书；</w:t>
            </w:r>
          </w:p>
          <w:p w14:paraId="2934B9C3">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2.</w:t>
            </w:r>
            <w:r>
              <w:rPr>
                <w:rFonts w:hint="eastAsia"/>
                <w:color w:val="auto"/>
                <w:spacing w:val="9"/>
                <w:sz w:val="21"/>
                <w:szCs w:val="21"/>
                <w:highlight w:val="none"/>
                <w:lang w:val="en-US" w:eastAsia="zh-CN"/>
              </w:rPr>
              <w:t>具备交通运输主管部门颁发的路基路面养护甲级资质并同时具有交通安全设施养护资质（资质证书中从业范围应为可以承担各等级公路交通安全设施的各类养护工程）或具备二类公路养护工程甲级资质且在有效期内。</w:t>
            </w:r>
            <w:r>
              <w:rPr>
                <w:color w:val="auto"/>
                <w:spacing w:val="9"/>
                <w:sz w:val="21"/>
                <w:szCs w:val="21"/>
                <w:highlight w:val="none"/>
              </w:rPr>
              <w:t>，且所有资质证书</w:t>
            </w:r>
            <w:r>
              <w:rPr>
                <w:rFonts w:hint="eastAsia"/>
                <w:color w:val="auto"/>
                <w:spacing w:val="9"/>
                <w:sz w:val="21"/>
                <w:szCs w:val="21"/>
                <w:highlight w:val="none"/>
                <w:lang w:val="en-US" w:eastAsia="zh-CN"/>
              </w:rPr>
              <w:t>都</w:t>
            </w:r>
            <w:r>
              <w:rPr>
                <w:color w:val="auto"/>
                <w:spacing w:val="9"/>
                <w:sz w:val="21"/>
                <w:szCs w:val="21"/>
                <w:highlight w:val="none"/>
              </w:rPr>
              <w:t>在有效期内；</w:t>
            </w:r>
          </w:p>
          <w:p w14:paraId="1EDFA3C6">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3.投标人具备建设主管部门颁发的有效安全生产许可证，并在人员、设备、资金等方面具有相应的施工能力。</w:t>
            </w:r>
          </w:p>
          <w:p w14:paraId="2D3B839A">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color w:val="auto"/>
                <w:spacing w:val="9"/>
                <w:sz w:val="21"/>
                <w:szCs w:val="21"/>
                <w:highlight w:val="none"/>
              </w:rPr>
            </w:pPr>
            <w:r>
              <w:rPr>
                <w:b/>
                <w:bCs/>
                <w:color w:val="auto"/>
                <w:spacing w:val="9"/>
                <w:sz w:val="21"/>
                <w:szCs w:val="21"/>
                <w:highlight w:val="none"/>
              </w:rPr>
              <w:t>注：补充投标人须知正文第 3.5.1 项：</w:t>
            </w:r>
          </w:p>
          <w:p w14:paraId="58582634">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（1） “投标人基本情况表 ”应附营业执照副本和组织机构代码证（按照“三证  合一 ”或“五证合一 ”登记制度进行登记的，可仅提供营业执照，下同）或事业单位 法人证书或社会团体法人登记证书、施工资质证书副本、安全生产许可证副本、基本 账户信息的扫描件，投标人在国家企业信用信息公示系统中基础信息（体现股东及出 资详细信息）的网页截图。</w:t>
            </w:r>
          </w:p>
          <w:p w14:paraId="2D9CD8C3">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（2）营业执照副本和组织机构代码证或事业单位法人证书或社会团体法人登记  证书、施工资质证书副本、安全生产许可证副本的扫描件应提供全本（证书封面、封 底、空白页除外），应包括投标人名称、投标人其他相关信息、颁发机构名称、投标 人信息变更情况等关键页在内，并逐页加盖投标人单位章。</w:t>
            </w:r>
          </w:p>
          <w:p w14:paraId="60D98EE8">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（3）对于法人发生重组或变更的投标人，应在投标文件中提供附有法人重组或  变更时相关部门的合法批件、变更时的企业法人营业执照和资质证书的变更记录彩色 扫描件。</w:t>
            </w:r>
          </w:p>
          <w:p w14:paraId="60AE63E6">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（4）各证照如根据相关法律法规实现电子证照的，可以提供电子证照截图。</w:t>
            </w:r>
          </w:p>
          <w:p w14:paraId="3C251339">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color w:val="auto"/>
                <w:spacing w:val="9"/>
                <w:sz w:val="21"/>
                <w:szCs w:val="21"/>
                <w:highlight w:val="none"/>
              </w:rPr>
            </w:pPr>
            <w:r>
              <w:rPr>
                <w:color w:val="auto"/>
                <w:spacing w:val="9"/>
                <w:sz w:val="21"/>
                <w:szCs w:val="21"/>
                <w:highlight w:val="none"/>
              </w:rPr>
              <w:t>（5）因公告格式无法修改，招标公告投标人资格要求中“根据《关于发布公路  工程从业企业资质名录的通知》（厅公路字〔2011〕114 号）要求，投标人如为应通  过名录对其资质条件进行审核的公路施工企业，则应进入交通运输部“全国公路建设 市场监督管理系统（https://hwdms.mot.gov.cn）”中的公路工程施工资质企业名录， 且投标人名称和资质与该名录中的相应企业名称和资质完全一致 ”不适用于本项目，本项目投标人无需进入交通运输部“全国公路建设市场监督管理系统 ”中的公路工程 施工资质企业名录。</w:t>
            </w:r>
          </w:p>
          <w:p w14:paraId="18B478CB">
            <w:pPr>
              <w:pStyle w:val="16"/>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textAlignment w:val="auto"/>
              <w:rPr>
                <w:color w:val="auto"/>
                <w:spacing w:val="9"/>
                <w:sz w:val="21"/>
                <w:szCs w:val="21"/>
                <w:highlight w:val="none"/>
              </w:rPr>
            </w:pPr>
            <w:r>
              <w:rPr>
                <w:b/>
                <w:bCs/>
                <w:color w:val="auto"/>
                <w:spacing w:val="9"/>
                <w:sz w:val="21"/>
                <w:szCs w:val="21"/>
                <w:highlight w:val="none"/>
              </w:rPr>
              <w:t>（6）招标文件中其他地方与此处不一致时， 以此处为准。</w:t>
            </w:r>
          </w:p>
        </w:tc>
      </w:tr>
    </w:tbl>
    <w:p w14:paraId="14AA67C3">
      <w:pPr>
        <w:pStyle w:val="14"/>
        <w:spacing w:line="360" w:lineRule="auto"/>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bookmarkStart w:id="4" w:name="_Toc13459"/>
      <w:r>
        <w:rPr>
          <w:rFonts w:hint="eastAsia" w:ascii="宋体" w:hAnsi="宋体" w:eastAsia="宋体" w:cs="宋体"/>
          <w:b/>
          <w:bCs/>
          <w:color w:val="auto"/>
          <w:sz w:val="30"/>
          <w:szCs w:val="30"/>
          <w:highlight w:val="none"/>
        </w:rPr>
        <w:t>附录2   资格审查条件</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财务最低要求</w:t>
      </w:r>
      <w:r>
        <w:rPr>
          <w:rFonts w:hint="eastAsia" w:ascii="宋体" w:hAnsi="宋体" w:eastAsia="宋体" w:cs="宋体"/>
          <w:b/>
          <w:bCs/>
          <w:color w:val="auto"/>
          <w:sz w:val="30"/>
          <w:szCs w:val="30"/>
          <w:highlight w:val="none"/>
          <w:lang w:eastAsia="zh-CN"/>
        </w:rPr>
        <w:t>）</w:t>
      </w:r>
      <w:bookmarkEnd w:id="4"/>
    </w:p>
    <w:tbl>
      <w:tblPr>
        <w:tblStyle w:val="17"/>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8"/>
        <w:gridCol w:w="6715"/>
      </w:tblGrid>
      <w:tr w14:paraId="02CD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78" w:type="dxa"/>
            <w:noWrap w:val="0"/>
            <w:vAlign w:val="top"/>
          </w:tcPr>
          <w:p w14:paraId="3FC747FD">
            <w:pPr>
              <w:pStyle w:val="16"/>
              <w:spacing w:before="154" w:line="229" w:lineRule="auto"/>
              <w:jc w:val="center"/>
              <w:rPr>
                <w:color w:val="auto"/>
                <w:sz w:val="21"/>
                <w:szCs w:val="21"/>
              </w:rPr>
            </w:pPr>
            <w:r>
              <w:rPr>
                <w:color w:val="auto"/>
                <w:spacing w:val="7"/>
                <w:sz w:val="21"/>
                <w:szCs w:val="21"/>
              </w:rPr>
              <w:t>标段号</w:t>
            </w:r>
          </w:p>
        </w:tc>
        <w:tc>
          <w:tcPr>
            <w:tcW w:w="6715" w:type="dxa"/>
            <w:noWrap w:val="0"/>
            <w:vAlign w:val="top"/>
          </w:tcPr>
          <w:p w14:paraId="1562ABB2">
            <w:pPr>
              <w:pStyle w:val="16"/>
              <w:spacing w:before="154" w:line="228" w:lineRule="auto"/>
              <w:ind w:left="2740"/>
              <w:rPr>
                <w:color w:val="auto"/>
                <w:sz w:val="21"/>
                <w:szCs w:val="21"/>
              </w:rPr>
            </w:pPr>
            <w:r>
              <w:rPr>
                <w:color w:val="auto"/>
                <w:spacing w:val="7"/>
                <w:sz w:val="21"/>
                <w:szCs w:val="21"/>
              </w:rPr>
              <w:t>财务要求</w:t>
            </w:r>
          </w:p>
        </w:tc>
      </w:tr>
      <w:tr w14:paraId="7FE5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78" w:type="dxa"/>
            <w:noWrap w:val="0"/>
            <w:vAlign w:val="center"/>
          </w:tcPr>
          <w:p w14:paraId="768365EA">
            <w:pPr>
              <w:pStyle w:val="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21"/>
                <w:szCs w:val="21"/>
                <w:highlight w:val="none"/>
                <w:lang w:val="en-US" w:eastAsia="zh-CN" w:bidi="ar-SA"/>
              </w:rPr>
            </w:pPr>
          </w:p>
          <w:p w14:paraId="2B443B92">
            <w:pPr>
              <w:pStyle w:val="16"/>
              <w:spacing w:before="62" w:line="191" w:lineRule="auto"/>
              <w:ind w:left="108"/>
              <w:jc w:val="center"/>
              <w:rPr>
                <w:color w:val="auto"/>
                <w:sz w:val="21"/>
                <w:szCs w:val="21"/>
              </w:rPr>
            </w:pPr>
          </w:p>
        </w:tc>
        <w:tc>
          <w:tcPr>
            <w:tcW w:w="6715" w:type="dxa"/>
            <w:noWrap w:val="0"/>
            <w:vAlign w:val="top"/>
          </w:tcPr>
          <w:p w14:paraId="07355290">
            <w:pPr>
              <w:pStyle w:val="16"/>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1"/>
                <w:szCs w:val="21"/>
              </w:rPr>
            </w:pPr>
            <w:r>
              <w:rPr>
                <w:color w:val="auto"/>
                <w:spacing w:val="7"/>
                <w:sz w:val="21"/>
                <w:szCs w:val="21"/>
              </w:rPr>
              <w:t>投标人需满足以下要求：</w:t>
            </w:r>
          </w:p>
          <w:p w14:paraId="11320B77">
            <w:pPr>
              <w:pStyle w:val="16"/>
              <w:keepNext w:val="0"/>
              <w:keepLines w:val="0"/>
              <w:pageBreakBefore w:val="0"/>
              <w:widowControl w:val="0"/>
              <w:kinsoku/>
              <w:wordWrap/>
              <w:overflowPunct/>
              <w:topLinePunct w:val="0"/>
              <w:autoSpaceDE/>
              <w:autoSpaceDN/>
              <w:bidi w:val="0"/>
              <w:adjustRightInd/>
              <w:snapToGrid/>
              <w:spacing w:line="360" w:lineRule="auto"/>
              <w:ind w:left="0" w:right="110" w:firstLine="456" w:firstLineChars="200"/>
              <w:textAlignment w:val="auto"/>
              <w:rPr>
                <w:color w:val="auto"/>
                <w:sz w:val="21"/>
                <w:szCs w:val="21"/>
              </w:rPr>
            </w:pPr>
            <w:r>
              <w:rPr>
                <w:color w:val="auto"/>
                <w:spacing w:val="9"/>
                <w:sz w:val="21"/>
                <w:szCs w:val="21"/>
              </w:rPr>
              <w:t>投标人在近3年</w:t>
            </w:r>
            <w:r>
              <w:rPr>
                <w:rFonts w:hint="eastAsia"/>
                <w:color w:val="auto"/>
                <w:spacing w:val="9"/>
                <w:sz w:val="21"/>
                <w:szCs w:val="21"/>
                <w:lang w:eastAsia="zh-CN"/>
              </w:rPr>
              <w:t>（</w:t>
            </w:r>
            <w:r>
              <w:rPr>
                <w:rFonts w:hint="eastAsia"/>
                <w:color w:val="auto"/>
                <w:spacing w:val="9"/>
                <w:sz w:val="21"/>
                <w:szCs w:val="21"/>
                <w:lang w:val="en-US" w:eastAsia="zh-CN"/>
              </w:rPr>
              <w:t>2022年至2024年）</w:t>
            </w:r>
            <w:r>
              <w:rPr>
                <w:rFonts w:hint="eastAsia"/>
                <w:color w:val="auto"/>
                <w:spacing w:val="9"/>
                <w:sz w:val="21"/>
                <w:szCs w:val="21"/>
                <w:lang w:eastAsia="zh-CN"/>
              </w:rPr>
              <w:t>每一年度末的流动资产与流动负债比均不小于1</w:t>
            </w:r>
            <w:r>
              <w:rPr>
                <w:color w:val="auto"/>
                <w:spacing w:val="5"/>
                <w:sz w:val="21"/>
                <w:szCs w:val="21"/>
              </w:rPr>
              <w:t>。</w:t>
            </w:r>
          </w:p>
          <w:p w14:paraId="67EFA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lang w:val="zh-CN" w:eastAsia="zh-CN"/>
              </w:rPr>
            </w:pPr>
            <w:r>
              <w:rPr>
                <w:color w:val="auto"/>
                <w:sz w:val="21"/>
                <w:szCs w:val="21"/>
              </w:rPr>
              <w:t>注：</w:t>
            </w:r>
            <w:r>
              <w:rPr>
                <w:rFonts w:hint="eastAsia" w:ascii="宋体" w:hAnsi="宋体" w:eastAsia="宋体" w:cs="宋体"/>
                <w:color w:val="auto"/>
                <w:sz w:val="21"/>
                <w:szCs w:val="21"/>
                <w:highlight w:val="none"/>
                <w:lang w:val="en-US" w:eastAsia="zh-CN"/>
              </w:rPr>
              <w:t>修改补充投标人须知正文第3.5.2项：</w:t>
            </w:r>
          </w:p>
          <w:p w14:paraId="6BA3A669">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（1）各标段投标人应在投标文件中附近 3 年经会计师事务所或审计机构审计的财务会计报表，包括资产负债表、现金流量表、利润表和财务情况说明书的彩色影印件； </w:t>
            </w:r>
          </w:p>
          <w:p w14:paraId="1123126C">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（2）新成立的单位，提供成立以来至递交截止时间年度的财务情况证明材料，且投标人所提供的所有年份的财务报表均需满足以上要求； </w:t>
            </w:r>
          </w:p>
          <w:p w14:paraId="73068897">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（3）投标人如为集团公司，财务会计报表指合并财务会计报表； </w:t>
            </w:r>
          </w:p>
          <w:p w14:paraId="7E7032BB">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（4）投标截止时间在 5 月 1 日之前的，近 3 年指递交截止时间推算前 4 年，上一年指递交截止时间推算前 2 年；投标截止时间在 5 月 1 日之后的，近 3 年指递交截止时间推算前 3 年，上一年指递交截止时间推算前 1 年。 </w:t>
            </w:r>
          </w:p>
          <w:p w14:paraId="4E8BDC77">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（5）招标文件中其他地方与此处不一致时，以此处为准。</w:t>
            </w:r>
          </w:p>
          <w:p w14:paraId="65D07AFF">
            <w:pPr>
              <w:pStyle w:val="1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color w:val="auto"/>
                <w:sz w:val="21"/>
                <w:szCs w:val="21"/>
              </w:rPr>
            </w:pPr>
          </w:p>
        </w:tc>
      </w:tr>
    </w:tbl>
    <w:p w14:paraId="58A2659B">
      <w:pPr>
        <w:pStyle w:val="14"/>
        <w:spacing w:line="360" w:lineRule="auto"/>
        <w:jc w:val="center"/>
        <w:outlineLvl w:val="9"/>
        <w:rPr>
          <w:rFonts w:hint="eastAsia" w:ascii="宋体" w:hAnsi="宋体" w:eastAsia="宋体" w:cs="宋体"/>
          <w:b/>
          <w:bCs/>
          <w:color w:val="auto"/>
          <w:sz w:val="30"/>
          <w:szCs w:val="30"/>
          <w:highlight w:val="none"/>
        </w:rPr>
      </w:pPr>
    </w:p>
    <w:p w14:paraId="537DB23F">
      <w:pPr>
        <w:pStyle w:val="14"/>
        <w:spacing w:before="120" w:after="120" w:line="360" w:lineRule="auto"/>
        <w:jc w:val="center"/>
        <w:outlineLvl w:val="2"/>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bookmarkStart w:id="5" w:name="_Toc16312"/>
      <w:r>
        <w:rPr>
          <w:rFonts w:hint="eastAsia" w:ascii="宋体" w:hAnsi="宋体" w:eastAsia="宋体" w:cs="宋体"/>
          <w:b/>
          <w:bCs/>
          <w:color w:val="auto"/>
          <w:kern w:val="44"/>
          <w:sz w:val="30"/>
          <w:szCs w:val="30"/>
          <w:highlight w:val="none"/>
        </w:rPr>
        <w:t>附录3   资格审查条件</w:t>
      </w:r>
      <w:r>
        <w:rPr>
          <w:rFonts w:hint="eastAsia" w:ascii="宋体" w:hAnsi="宋体" w:eastAsia="宋体" w:cs="宋体"/>
          <w:b/>
          <w:bCs/>
          <w:color w:val="auto"/>
          <w:kern w:val="44"/>
          <w:sz w:val="30"/>
          <w:szCs w:val="30"/>
          <w:highlight w:val="none"/>
          <w:lang w:eastAsia="zh-CN"/>
        </w:rPr>
        <w:t>（</w:t>
      </w:r>
      <w:r>
        <w:rPr>
          <w:rFonts w:hint="eastAsia" w:ascii="宋体" w:hAnsi="宋体" w:eastAsia="宋体" w:cs="宋体"/>
          <w:b/>
          <w:bCs/>
          <w:color w:val="auto"/>
          <w:kern w:val="44"/>
          <w:sz w:val="30"/>
          <w:szCs w:val="30"/>
          <w:highlight w:val="none"/>
        </w:rPr>
        <w:t>业绩最低要求</w:t>
      </w:r>
      <w:r>
        <w:rPr>
          <w:rFonts w:hint="eastAsia" w:ascii="宋体" w:hAnsi="宋体" w:eastAsia="宋体" w:cs="宋体"/>
          <w:b/>
          <w:bCs/>
          <w:color w:val="auto"/>
          <w:kern w:val="44"/>
          <w:sz w:val="30"/>
          <w:szCs w:val="30"/>
          <w:highlight w:val="none"/>
          <w:lang w:eastAsia="zh-CN"/>
        </w:rPr>
        <w:t>）</w:t>
      </w:r>
      <w:bookmarkEnd w:id="5"/>
    </w:p>
    <w:tbl>
      <w:tblPr>
        <w:tblStyle w:val="17"/>
        <w:tblW w:w="93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5"/>
        <w:gridCol w:w="7266"/>
      </w:tblGrid>
      <w:tr w14:paraId="5B63D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055" w:type="dxa"/>
            <w:noWrap w:val="0"/>
            <w:vAlign w:val="top"/>
          </w:tcPr>
          <w:p w14:paraId="3106D659">
            <w:pPr>
              <w:pStyle w:val="16"/>
              <w:spacing w:before="154" w:line="229" w:lineRule="auto"/>
              <w:jc w:val="center"/>
              <w:rPr>
                <w:color w:val="auto"/>
                <w:sz w:val="21"/>
                <w:szCs w:val="21"/>
              </w:rPr>
            </w:pPr>
            <w:r>
              <w:rPr>
                <w:color w:val="auto"/>
                <w:spacing w:val="7"/>
                <w:sz w:val="21"/>
                <w:szCs w:val="21"/>
              </w:rPr>
              <w:t>标段号</w:t>
            </w:r>
          </w:p>
        </w:tc>
        <w:tc>
          <w:tcPr>
            <w:tcW w:w="7266" w:type="dxa"/>
            <w:noWrap w:val="0"/>
            <w:vAlign w:val="top"/>
          </w:tcPr>
          <w:p w14:paraId="3082F863">
            <w:pPr>
              <w:pStyle w:val="16"/>
              <w:spacing w:before="154" w:line="228" w:lineRule="auto"/>
              <w:ind w:left="2740"/>
              <w:rPr>
                <w:color w:val="auto"/>
                <w:sz w:val="21"/>
                <w:szCs w:val="21"/>
              </w:rPr>
            </w:pPr>
            <w:r>
              <w:rPr>
                <w:rFonts w:hint="eastAsia"/>
                <w:color w:val="auto"/>
                <w:spacing w:val="7"/>
                <w:sz w:val="21"/>
                <w:szCs w:val="21"/>
                <w:lang w:eastAsia="zh-CN"/>
              </w:rPr>
              <w:t>业绩</w:t>
            </w:r>
            <w:r>
              <w:rPr>
                <w:color w:val="auto"/>
                <w:spacing w:val="7"/>
                <w:sz w:val="21"/>
                <w:szCs w:val="21"/>
              </w:rPr>
              <w:t>要求</w:t>
            </w:r>
          </w:p>
        </w:tc>
      </w:tr>
      <w:tr w14:paraId="0339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055" w:type="dxa"/>
            <w:noWrap w:val="0"/>
            <w:vAlign w:val="center"/>
          </w:tcPr>
          <w:p w14:paraId="73590A67">
            <w:pPr>
              <w:pStyle w:val="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21"/>
                <w:szCs w:val="21"/>
                <w:highlight w:val="none"/>
                <w:lang w:val="en-US" w:eastAsia="zh-CN" w:bidi="ar-SA"/>
              </w:rPr>
            </w:pPr>
          </w:p>
          <w:p w14:paraId="620ACCC3">
            <w:pPr>
              <w:pStyle w:val="16"/>
              <w:spacing w:before="62" w:line="191" w:lineRule="auto"/>
              <w:ind w:left="108"/>
              <w:jc w:val="center"/>
              <w:rPr>
                <w:color w:val="auto"/>
                <w:sz w:val="21"/>
                <w:szCs w:val="21"/>
              </w:rPr>
            </w:pPr>
          </w:p>
        </w:tc>
        <w:tc>
          <w:tcPr>
            <w:tcW w:w="7266" w:type="dxa"/>
            <w:noWrap w:val="0"/>
            <w:vAlign w:val="top"/>
          </w:tcPr>
          <w:p w14:paraId="6A2FDD3D">
            <w:pPr>
              <w:keepNext w:val="0"/>
              <w:keepLines w:val="0"/>
              <w:pageBreakBefore w:val="0"/>
              <w:widowControl/>
              <w:suppressLineNumbers w:val="0"/>
              <w:kinsoku/>
              <w:wordWrap/>
              <w:overflowPunct/>
              <w:topLinePunct w:val="0"/>
              <w:autoSpaceDE/>
              <w:autoSpaceDN/>
              <w:bidi w:val="0"/>
              <w:adjustRightInd/>
              <w:snapToGrid/>
              <w:ind w:firstLine="422" w:firstLineChars="200"/>
              <w:jc w:val="left"/>
              <w:textAlignment w:val="auto"/>
              <w:rPr>
                <w:b/>
                <w:bCs/>
                <w:color w:val="auto"/>
                <w:sz w:val="21"/>
                <w:szCs w:val="21"/>
                <w:highlight w:val="none"/>
              </w:rPr>
            </w:pPr>
            <w:r>
              <w:rPr>
                <w:b/>
                <w:bCs/>
                <w:color w:val="auto"/>
                <w:sz w:val="21"/>
                <w:szCs w:val="21"/>
                <w:highlight w:val="none"/>
              </w:rPr>
              <w:t>投标人需满足以下要求：</w:t>
            </w:r>
          </w:p>
          <w:p w14:paraId="1852999D">
            <w:pPr>
              <w:keepNext w:val="0"/>
              <w:keepLines w:val="0"/>
              <w:pageBreakBefore w:val="0"/>
              <w:widowControl/>
              <w:suppressLineNumbers w:val="0"/>
              <w:kinsoku/>
              <w:wordWrap/>
              <w:overflowPunct/>
              <w:topLinePunct w:val="0"/>
              <w:autoSpaceDE/>
              <w:autoSpaceDN/>
              <w:bidi w:val="0"/>
              <w:adjustRightInd/>
              <w:snapToGrid/>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投标人至少完成过 1 个一级及以上等级公路路基养护工程施工业绩。</w:t>
            </w:r>
          </w:p>
          <w:p w14:paraId="08C73918">
            <w:pPr>
              <w:keepNext w:val="0"/>
              <w:keepLines w:val="0"/>
              <w:pageBreakBefore w:val="0"/>
              <w:widowControl/>
              <w:suppressLineNumbers w:val="0"/>
              <w:kinsoku/>
              <w:wordWrap/>
              <w:overflowPunct/>
              <w:topLinePunct w:val="0"/>
              <w:autoSpaceDE/>
              <w:autoSpaceDN/>
              <w:bidi w:val="0"/>
              <w:adjustRightInd/>
              <w:snapToGrid/>
              <w:ind w:firstLine="422" w:firstLineChars="200"/>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 xml:space="preserve">注： </w:t>
            </w:r>
          </w:p>
          <w:p w14:paraId="52EDD2E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投标人应按资格审查资料中的表（四）（近年完成的类似项目情况表）填写所提供的业绩，提供的每个业绩均应填写，未按照表（四）（近年完成的类似项目情况表）规定的格式填报的业绩，其业绩审查将不予认可。 </w:t>
            </w:r>
          </w:p>
          <w:p w14:paraId="34E0AE9A">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（2）“近年完成的类似项目情况表”应是“全国公路建设市场监督管理系统”或工程所在地省级公路建设与养护市场信用</w:t>
            </w:r>
            <w:bookmarkStart w:id="12" w:name="_GoBack"/>
            <w:bookmarkEnd w:id="12"/>
            <w:r>
              <w:rPr>
                <w:rFonts w:hint="eastAsia" w:ascii="宋体" w:hAnsi="宋体" w:eastAsia="宋体" w:cs="宋体"/>
                <w:color w:val="auto"/>
                <w:kern w:val="0"/>
                <w:sz w:val="21"/>
                <w:szCs w:val="21"/>
                <w:highlight w:val="none"/>
                <w:lang w:val="en-US" w:eastAsia="zh-CN" w:bidi="ar-SA"/>
              </w:rPr>
              <w:t xml:space="preserve">信息管理系统中公开的主包已建业绩或分包已建业绩。 </w:t>
            </w:r>
          </w:p>
          <w:p w14:paraId="0DD2CA11">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近年完成的类似项目情况表”应附在“全国公路建设市场监督管理系统”中查询到的企业“业绩信息”相关项目网页截图（即包括“工程名称”“项目类型”“合同价”“主要工程量”“人员履约信息”等栏目在内的项目详细信息网页截图）。在“全国公路建设市场监督管理系统”中无法查询的，应附工程所在地省级交通运输主管部门公路建设与养护市场信用信息管理系统中查询到的网页截图。除网页截图外，投标人无须再提供任何业绩证明资料。 </w:t>
            </w:r>
          </w:p>
          <w:p w14:paraId="6AABA157">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（4）如投标人未提供相关项目网页截图或相关项目网页截图中的信息无法证实投标人满足招标文件规定的资格审查条件（业绩最低要求），则该项目业绩不予认定。</w:t>
            </w:r>
            <w:r>
              <w:rPr>
                <w:rFonts w:hint="eastAsia" w:ascii="宋体" w:hAnsi="宋体" w:eastAsia="宋体" w:cs="宋体"/>
                <w:b/>
                <w:bCs/>
                <w:color w:val="auto"/>
                <w:kern w:val="0"/>
                <w:sz w:val="21"/>
                <w:szCs w:val="21"/>
                <w:highlight w:val="none"/>
                <w:lang w:val="en-US" w:eastAsia="zh-CN" w:bidi="ar-SA"/>
              </w:rPr>
              <w:t>（投标人提供的养护工程业绩须包括软基处理或路基加固等类似施工内容）</w:t>
            </w:r>
          </w:p>
          <w:p w14:paraId="2ECF598B">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的通知（宁交规发〔2024〕1号）文件对投标人本次投标行为进行评价，同时将评价结果上报宁夏回族自治区交通运输厅，并在宁夏回族自治区交通运输厅网站予以公布。 </w:t>
            </w:r>
          </w:p>
          <w:p w14:paraId="0701664D">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sz w:val="21"/>
                <w:szCs w:val="21"/>
              </w:rPr>
            </w:pPr>
            <w:r>
              <w:rPr>
                <w:rFonts w:hint="eastAsia" w:ascii="宋体" w:hAnsi="宋体" w:eastAsia="宋体" w:cs="宋体"/>
                <w:color w:val="auto"/>
                <w:kern w:val="0"/>
                <w:sz w:val="21"/>
                <w:szCs w:val="21"/>
                <w:highlight w:val="none"/>
                <w:lang w:val="en-US" w:eastAsia="zh-CN" w:bidi="ar-SA"/>
              </w:rPr>
              <w:t>（6）招标文件中其他地方与此处不一致时，以此处为准。</w:t>
            </w:r>
          </w:p>
        </w:tc>
      </w:tr>
    </w:tbl>
    <w:p w14:paraId="730F2253">
      <w:pPr>
        <w:pStyle w:val="14"/>
        <w:spacing w:line="360" w:lineRule="auto"/>
        <w:rPr>
          <w:rFonts w:hint="eastAsia" w:ascii="宋体" w:hAnsi="宋体" w:eastAsia="宋体" w:cs="宋体"/>
          <w:b/>
          <w:bCs/>
          <w:color w:val="auto"/>
          <w:sz w:val="22"/>
          <w:szCs w:val="22"/>
          <w:highlight w:val="none"/>
        </w:rPr>
      </w:pPr>
    </w:p>
    <w:p w14:paraId="340612E6">
      <w:pPr>
        <w:pStyle w:val="14"/>
        <w:spacing w:before="120" w:after="120" w:line="360" w:lineRule="auto"/>
        <w:jc w:val="center"/>
        <w:outlineLvl w:val="2"/>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br w:type="page"/>
      </w:r>
      <w:bookmarkStart w:id="6" w:name="_Toc1865"/>
      <w:r>
        <w:rPr>
          <w:rFonts w:hint="eastAsia" w:ascii="宋体" w:hAnsi="宋体" w:eastAsia="宋体" w:cs="宋体"/>
          <w:b/>
          <w:bCs/>
          <w:color w:val="auto"/>
          <w:kern w:val="44"/>
          <w:sz w:val="30"/>
          <w:szCs w:val="30"/>
          <w:highlight w:val="none"/>
        </w:rPr>
        <w:t>附录4   资格审查条件</w:t>
      </w:r>
      <w:r>
        <w:rPr>
          <w:rFonts w:hint="eastAsia" w:ascii="宋体" w:hAnsi="宋体" w:eastAsia="宋体" w:cs="宋体"/>
          <w:b/>
          <w:bCs/>
          <w:color w:val="auto"/>
          <w:kern w:val="44"/>
          <w:sz w:val="30"/>
          <w:szCs w:val="30"/>
          <w:highlight w:val="none"/>
          <w:lang w:eastAsia="zh-CN"/>
        </w:rPr>
        <w:t>（</w:t>
      </w:r>
      <w:r>
        <w:rPr>
          <w:rFonts w:hint="eastAsia" w:ascii="宋体" w:hAnsi="宋体" w:eastAsia="宋体" w:cs="宋体"/>
          <w:b/>
          <w:bCs/>
          <w:color w:val="auto"/>
          <w:kern w:val="44"/>
          <w:sz w:val="30"/>
          <w:szCs w:val="30"/>
          <w:highlight w:val="none"/>
        </w:rPr>
        <w:t>信誉最低要求</w:t>
      </w:r>
      <w:r>
        <w:rPr>
          <w:rFonts w:hint="eastAsia" w:ascii="宋体" w:hAnsi="宋体" w:eastAsia="宋体" w:cs="宋体"/>
          <w:b/>
          <w:bCs/>
          <w:color w:val="auto"/>
          <w:kern w:val="44"/>
          <w:sz w:val="30"/>
          <w:szCs w:val="30"/>
          <w:highlight w:val="none"/>
          <w:lang w:eastAsia="zh-CN"/>
        </w:rPr>
        <w:t>）</w:t>
      </w:r>
      <w:bookmarkEnd w:id="6"/>
    </w:p>
    <w:tbl>
      <w:tblPr>
        <w:tblStyle w:val="10"/>
        <w:tblW w:w="0" w:type="auto"/>
        <w:tblInd w:w="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5"/>
      </w:tblGrid>
      <w:tr w14:paraId="0D9B3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445" w:type="dxa"/>
            <w:noWrap w:val="0"/>
            <w:vAlign w:val="center"/>
          </w:tcPr>
          <w:p w14:paraId="41BA10E3">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 誉 要 求</w:t>
            </w:r>
          </w:p>
        </w:tc>
      </w:tr>
      <w:tr w14:paraId="21E3B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5" w:hRule="atLeast"/>
        </w:trPr>
        <w:tc>
          <w:tcPr>
            <w:tcW w:w="9445" w:type="dxa"/>
            <w:noWrap w:val="0"/>
            <w:vAlign w:val="center"/>
          </w:tcPr>
          <w:p w14:paraId="31D7DE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sz w:val="21"/>
                <w:szCs w:val="21"/>
                <w:lang w:val="en-US" w:eastAsia="zh-CN"/>
              </w:rPr>
            </w:pPr>
            <w:r>
              <w:rPr>
                <w:rFonts w:hint="default" w:ascii="宋体" w:hAnsi="宋体" w:eastAsia="宋体" w:cs="Times New Roman"/>
                <w:color w:val="auto"/>
                <w:spacing w:val="7"/>
                <w:sz w:val="21"/>
                <w:szCs w:val="21"/>
                <w:lang w:val="zh-CN" w:eastAsia="zh-CN"/>
              </w:rPr>
              <w:t>投标人不得存在下列不良状况或不良信用记录</w:t>
            </w:r>
            <w:r>
              <w:rPr>
                <w:rFonts w:hint="eastAsia" w:ascii="宋体" w:hAnsi="宋体" w:eastAsia="宋体" w:cs="Times New Roman"/>
                <w:color w:val="auto"/>
                <w:spacing w:val="7"/>
                <w:sz w:val="21"/>
                <w:szCs w:val="21"/>
                <w:lang w:val="en-US" w:eastAsia="zh-CN"/>
              </w:rPr>
              <w:t>：</w:t>
            </w:r>
          </w:p>
          <w:p w14:paraId="5C58C755">
            <w:pPr>
              <w:spacing w:beforeLines="0" w:afterLines="0" w:line="400" w:lineRule="exact"/>
              <w:ind w:firstLine="480"/>
              <w:rPr>
                <w:rFonts w:hint="default" w:ascii="宋体" w:hAnsi="宋体" w:eastAsia="宋体" w:cs="Times New Roman"/>
                <w:color w:val="auto"/>
                <w:spacing w:val="7"/>
                <w:kern w:val="0"/>
                <w:sz w:val="21"/>
                <w:szCs w:val="21"/>
                <w:lang w:val="zh-CN" w:eastAsia="zh-CN" w:bidi="ar-SA"/>
              </w:rPr>
            </w:pPr>
            <w:r>
              <w:rPr>
                <w:rFonts w:hint="eastAsia" w:ascii="宋体" w:hAnsi="宋体" w:eastAsia="宋体" w:cs="Times New Roman"/>
                <w:color w:val="auto"/>
                <w:spacing w:val="7"/>
                <w:kern w:val="0"/>
                <w:sz w:val="21"/>
                <w:szCs w:val="21"/>
                <w:lang w:val="en-US" w:eastAsia="zh-CN" w:bidi="ar-SA"/>
              </w:rPr>
              <w:t>（1）被省级及以上交通运输主管部门取消招标项目所在地的投标资格且处于有效期内（</w:t>
            </w:r>
            <w:r>
              <w:rPr>
                <w:rFonts w:hint="default" w:ascii="宋体" w:hAnsi="宋体" w:eastAsia="宋体" w:cs="Times New Roman"/>
                <w:color w:val="auto"/>
                <w:spacing w:val="7"/>
                <w:kern w:val="0"/>
                <w:sz w:val="21"/>
                <w:szCs w:val="21"/>
                <w:lang w:val="zh-CN" w:eastAsia="zh-CN" w:bidi="ar-SA"/>
              </w:rPr>
              <w:t>以“全国公路建设市场监督管理系统、宁夏回族自治区公路建设与养护市场信用信息管理系统”中查询结果为准）：</w:t>
            </w:r>
          </w:p>
          <w:p w14:paraId="682FCF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（2）被责令停业，暂扣或吊销执照，或吊销资质证书；</w:t>
            </w:r>
          </w:p>
          <w:p w14:paraId="7E03A0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（3）进入清算程序，或被宣告破产，或其他丧失履约能力的情形；</w:t>
            </w:r>
          </w:p>
          <w:p w14:paraId="0891D774">
            <w:pPr>
              <w:keepNext w:val="0"/>
              <w:keepLines w:val="0"/>
              <w:widowControl/>
              <w:suppressLineNumbers w:val="0"/>
              <w:ind w:firstLine="448" w:firstLineChars="200"/>
              <w:jc w:val="left"/>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（4）在国家企业信用信息公示系统（http：//www.gsxt.gov.cn/）中被列入严重违法失信企业名单</w:t>
            </w:r>
            <w:r>
              <w:rPr>
                <w:rFonts w:hint="default" w:ascii="宋体" w:hAnsi="宋体" w:eastAsia="宋体" w:cs="Times New Roman"/>
                <w:color w:val="auto"/>
                <w:spacing w:val="7"/>
                <w:kern w:val="0"/>
                <w:sz w:val="21"/>
                <w:szCs w:val="21"/>
                <w:lang w:val="zh-CN" w:eastAsia="zh-CN" w:bidi="ar-SA"/>
              </w:rPr>
              <w:t>（附网站查询截图）</w:t>
            </w:r>
            <w:r>
              <w:rPr>
                <w:rFonts w:hint="eastAsia" w:ascii="宋体" w:hAnsi="宋体" w:eastAsia="宋体" w:cs="Times New Roman"/>
                <w:color w:val="auto"/>
                <w:spacing w:val="7"/>
                <w:kern w:val="0"/>
                <w:sz w:val="21"/>
                <w:szCs w:val="21"/>
                <w:lang w:val="en-US" w:eastAsia="zh-CN" w:bidi="ar-SA"/>
              </w:rPr>
              <w:t>；</w:t>
            </w:r>
          </w:p>
          <w:p w14:paraId="75A20F6D">
            <w:pPr>
              <w:keepNext w:val="0"/>
              <w:keepLines w:val="0"/>
              <w:widowControl/>
              <w:suppressLineNumbers w:val="0"/>
              <w:ind w:firstLine="448" w:firstLineChars="200"/>
              <w:jc w:val="left"/>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（5）在“信用中国”网站（http：//www.creditchina.gov.cn）中被列入失信被执行人名单</w:t>
            </w:r>
            <w:r>
              <w:rPr>
                <w:rFonts w:hint="default" w:ascii="宋体" w:hAnsi="宋体" w:eastAsia="宋体" w:cs="Times New Roman"/>
                <w:color w:val="auto"/>
                <w:spacing w:val="7"/>
                <w:kern w:val="0"/>
                <w:sz w:val="21"/>
                <w:szCs w:val="21"/>
                <w:lang w:val="zh-CN" w:eastAsia="zh-CN" w:bidi="ar-SA"/>
              </w:rPr>
              <w:t>（附网站查询截图）</w:t>
            </w:r>
            <w:r>
              <w:rPr>
                <w:rFonts w:hint="eastAsia" w:ascii="宋体" w:hAnsi="宋体" w:eastAsia="宋体" w:cs="Times New Roman"/>
                <w:color w:val="auto"/>
                <w:spacing w:val="7"/>
                <w:kern w:val="0"/>
                <w:sz w:val="21"/>
                <w:szCs w:val="21"/>
                <w:lang w:val="en-US" w:eastAsia="zh-CN" w:bidi="ar-SA"/>
              </w:rPr>
              <w:t>；</w:t>
            </w:r>
          </w:p>
          <w:p w14:paraId="2AFC43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（6）投标人或其法定代表人、拟委任的项目经理和项目总工在近三年内（(自招标公告发布之日起向前计算3年至投标截止日，精确到天，以交工日期为准),）有行贿犯罪行为的（</w:t>
            </w:r>
            <w:r>
              <w:rPr>
                <w:rFonts w:hint="default" w:ascii="宋体" w:hAnsi="宋体" w:eastAsia="宋体" w:cs="Times New Roman"/>
                <w:color w:val="auto"/>
                <w:spacing w:val="7"/>
                <w:kern w:val="0"/>
                <w:sz w:val="21"/>
                <w:szCs w:val="21"/>
                <w:lang w:val="zh-CN" w:eastAsia="zh-CN" w:bidi="ar-SA"/>
              </w:rPr>
              <w:t>附</w:t>
            </w:r>
            <w:r>
              <w:rPr>
                <w:rFonts w:hint="eastAsia" w:ascii="宋体" w:hAnsi="宋体" w:eastAsia="宋体" w:cs="Times New Roman"/>
                <w:color w:val="auto"/>
                <w:spacing w:val="7"/>
                <w:kern w:val="0"/>
                <w:sz w:val="21"/>
                <w:szCs w:val="21"/>
                <w:lang w:val="en-US" w:eastAsia="zh-CN" w:bidi="ar-SA"/>
              </w:rPr>
              <w:t>承诺函）；</w:t>
            </w:r>
          </w:p>
          <w:p w14:paraId="397668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（7）投标人在投标截止时间前最新的公路建设市场全国综合信用评价结果或宁夏回族自治区公路建设与养护市场从业单位施工企业信用等级评价结果公示中被评为D级（</w:t>
            </w:r>
            <w:r>
              <w:rPr>
                <w:rFonts w:hint="default" w:ascii="宋体" w:hAnsi="宋体" w:eastAsia="宋体" w:cs="Times New Roman"/>
                <w:color w:val="auto"/>
                <w:spacing w:val="7"/>
                <w:kern w:val="0"/>
                <w:sz w:val="21"/>
                <w:szCs w:val="21"/>
                <w:lang w:val="zh-CN" w:eastAsia="zh-CN" w:bidi="ar-SA"/>
              </w:rPr>
              <w:t>附网站查询截图）</w:t>
            </w:r>
            <w:r>
              <w:rPr>
                <w:rFonts w:hint="eastAsia" w:ascii="宋体" w:hAnsi="宋体" w:eastAsia="宋体" w:cs="Times New Roman"/>
                <w:color w:val="auto"/>
                <w:spacing w:val="7"/>
                <w:kern w:val="0"/>
                <w:sz w:val="21"/>
                <w:szCs w:val="21"/>
                <w:lang w:val="en-US" w:eastAsia="zh-CN" w:bidi="ar-SA"/>
              </w:rPr>
              <w:t>；</w:t>
            </w:r>
          </w:p>
          <w:p w14:paraId="542D28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r>
              <w:rPr>
                <w:rFonts w:hint="eastAsia" w:ascii="宋体" w:hAnsi="宋体" w:eastAsia="宋体" w:cs="Times New Roman"/>
                <w:color w:val="auto"/>
                <w:spacing w:val="7"/>
                <w:kern w:val="0"/>
                <w:sz w:val="21"/>
                <w:szCs w:val="21"/>
                <w:lang w:val="en-US" w:eastAsia="zh-CN" w:bidi="ar-SA"/>
              </w:rPr>
              <w:t>（8）法律法规或投标人须知前附表规定的其他情形。</w:t>
            </w:r>
          </w:p>
          <w:p w14:paraId="0E499D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b/>
                <w:bCs/>
                <w:color w:val="auto"/>
                <w:spacing w:val="7"/>
                <w:kern w:val="0"/>
                <w:sz w:val="21"/>
                <w:szCs w:val="21"/>
                <w:lang w:val="en-US" w:eastAsia="zh-CN" w:bidi="ar-SA"/>
              </w:rPr>
            </w:pPr>
            <w:r>
              <w:rPr>
                <w:rFonts w:hint="eastAsia" w:ascii="宋体" w:hAnsi="宋体" w:eastAsia="宋体" w:cs="Times New Roman"/>
                <w:b/>
                <w:bCs/>
                <w:color w:val="auto"/>
                <w:spacing w:val="7"/>
                <w:kern w:val="0"/>
                <w:sz w:val="21"/>
                <w:szCs w:val="21"/>
                <w:lang w:val="en-US" w:eastAsia="zh-CN" w:bidi="ar-SA"/>
              </w:rPr>
              <w:t>注：</w:t>
            </w:r>
          </w:p>
          <w:p w14:paraId="7503D0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b/>
                <w:bCs/>
                <w:color w:val="auto"/>
                <w:spacing w:val="7"/>
                <w:kern w:val="0"/>
                <w:sz w:val="21"/>
                <w:szCs w:val="21"/>
                <w:lang w:val="en-US" w:eastAsia="zh-CN" w:bidi="ar-SA"/>
              </w:rPr>
            </w:pPr>
            <w:r>
              <w:rPr>
                <w:rFonts w:hint="eastAsia" w:ascii="宋体" w:hAnsi="宋体" w:eastAsia="宋体" w:cs="Times New Roman"/>
                <w:b/>
                <w:bCs/>
                <w:color w:val="auto"/>
                <w:spacing w:val="7"/>
                <w:kern w:val="0"/>
                <w:sz w:val="21"/>
                <w:szCs w:val="21"/>
                <w:lang w:val="en-US" w:eastAsia="zh-CN" w:bidi="ar-SA"/>
              </w:rPr>
              <w:t xml:space="preserve">（1）投标人提供“投标人信誉情况表”时，按照以上内容及投标文件格式中的要求提供证明资料； </w:t>
            </w:r>
          </w:p>
          <w:p w14:paraId="4EBBA4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b/>
                <w:bCs/>
                <w:color w:val="auto"/>
                <w:spacing w:val="7"/>
                <w:kern w:val="0"/>
                <w:sz w:val="21"/>
                <w:szCs w:val="21"/>
                <w:lang w:val="en-US" w:eastAsia="zh-CN" w:bidi="ar-SA"/>
              </w:rPr>
            </w:pPr>
            <w:r>
              <w:rPr>
                <w:rFonts w:hint="eastAsia" w:ascii="宋体" w:hAnsi="宋体" w:eastAsia="宋体" w:cs="Times New Roman"/>
                <w:b/>
                <w:bCs/>
                <w:color w:val="auto"/>
                <w:spacing w:val="7"/>
                <w:kern w:val="0"/>
                <w:sz w:val="21"/>
                <w:szCs w:val="21"/>
                <w:lang w:val="en-US" w:eastAsia="zh-CN" w:bidi="ar-SA"/>
              </w:rPr>
              <w:t>（2）招标文件中其他地方与此处不一致时，以此处为准。</w:t>
            </w:r>
          </w:p>
          <w:p w14:paraId="374121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Times New Roman"/>
                <w:color w:val="auto"/>
                <w:spacing w:val="7"/>
                <w:kern w:val="0"/>
                <w:sz w:val="21"/>
                <w:szCs w:val="21"/>
                <w:lang w:val="en-US" w:eastAsia="zh-CN" w:bidi="ar-SA"/>
              </w:rPr>
            </w:pPr>
          </w:p>
        </w:tc>
      </w:tr>
    </w:tbl>
    <w:p w14:paraId="017286EB">
      <w:pPr>
        <w:pStyle w:val="14"/>
        <w:spacing w:before="120" w:after="120" w:line="360" w:lineRule="auto"/>
        <w:jc w:val="center"/>
        <w:outlineLvl w:val="2"/>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bookmarkStart w:id="7" w:name="_Toc24771"/>
      <w:r>
        <w:rPr>
          <w:rFonts w:hint="eastAsia" w:ascii="宋体" w:hAnsi="宋体" w:eastAsia="宋体" w:cs="宋体"/>
          <w:b/>
          <w:bCs/>
          <w:color w:val="auto"/>
          <w:kern w:val="44"/>
          <w:sz w:val="30"/>
          <w:szCs w:val="30"/>
          <w:highlight w:val="none"/>
        </w:rPr>
        <w:t>附录5   资格审查条件</w:t>
      </w:r>
      <w:r>
        <w:rPr>
          <w:rFonts w:hint="eastAsia" w:ascii="宋体" w:hAnsi="宋体" w:eastAsia="宋体" w:cs="宋体"/>
          <w:b/>
          <w:bCs/>
          <w:color w:val="auto"/>
          <w:kern w:val="44"/>
          <w:sz w:val="30"/>
          <w:szCs w:val="30"/>
          <w:highlight w:val="none"/>
          <w:lang w:eastAsia="zh-CN"/>
        </w:rPr>
        <w:t>（</w:t>
      </w:r>
      <w:r>
        <w:rPr>
          <w:rFonts w:hint="eastAsia" w:ascii="宋体" w:hAnsi="宋体" w:eastAsia="宋体" w:cs="宋体"/>
          <w:b/>
          <w:bCs/>
          <w:color w:val="auto"/>
          <w:kern w:val="44"/>
          <w:sz w:val="30"/>
          <w:szCs w:val="30"/>
          <w:highlight w:val="none"/>
        </w:rPr>
        <w:t>项目经理和项目总工最低要求</w:t>
      </w:r>
      <w:r>
        <w:rPr>
          <w:rFonts w:hint="eastAsia" w:ascii="宋体" w:hAnsi="宋体" w:eastAsia="宋体" w:cs="宋体"/>
          <w:b/>
          <w:bCs/>
          <w:color w:val="auto"/>
          <w:kern w:val="44"/>
          <w:sz w:val="30"/>
          <w:szCs w:val="30"/>
          <w:highlight w:val="none"/>
          <w:lang w:eastAsia="zh-CN"/>
        </w:rPr>
        <w:t>）</w:t>
      </w:r>
      <w:bookmarkEnd w:id="7"/>
    </w:p>
    <w:tbl>
      <w:tblPr>
        <w:tblStyle w:val="10"/>
        <w:tblW w:w="103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709"/>
        <w:gridCol w:w="653"/>
        <w:gridCol w:w="6764"/>
        <w:gridCol w:w="1123"/>
      </w:tblGrid>
      <w:tr w14:paraId="0AC37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135" w:type="dxa"/>
            <w:noWrap w:val="0"/>
            <w:vAlign w:val="center"/>
          </w:tcPr>
          <w:p w14:paraId="35548D8B">
            <w:pPr>
              <w:pStyle w:val="18"/>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标段</w:t>
            </w:r>
          </w:p>
        </w:tc>
        <w:tc>
          <w:tcPr>
            <w:tcW w:w="709" w:type="dxa"/>
            <w:noWrap w:val="0"/>
            <w:vAlign w:val="center"/>
          </w:tcPr>
          <w:p w14:paraId="561C8310">
            <w:pPr>
              <w:pStyle w:val="1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w:t>
            </w:r>
          </w:p>
        </w:tc>
        <w:tc>
          <w:tcPr>
            <w:tcW w:w="653" w:type="dxa"/>
            <w:noWrap w:val="0"/>
            <w:vAlign w:val="center"/>
          </w:tcPr>
          <w:p w14:paraId="434CC2DE">
            <w:pPr>
              <w:pStyle w:val="1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764" w:type="dxa"/>
            <w:noWrap w:val="0"/>
            <w:vAlign w:val="center"/>
          </w:tcPr>
          <w:p w14:paraId="56527F50">
            <w:pPr>
              <w:pStyle w:val="1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 格 要 求</w:t>
            </w:r>
          </w:p>
        </w:tc>
        <w:tc>
          <w:tcPr>
            <w:tcW w:w="1123" w:type="dxa"/>
            <w:noWrap w:val="0"/>
            <w:vAlign w:val="center"/>
          </w:tcPr>
          <w:p w14:paraId="064EF195">
            <w:pPr>
              <w:pStyle w:val="1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在岗要求</w:t>
            </w:r>
          </w:p>
        </w:tc>
      </w:tr>
      <w:tr w14:paraId="790A8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6" w:hRule="atLeast"/>
          <w:jc w:val="center"/>
        </w:trPr>
        <w:tc>
          <w:tcPr>
            <w:tcW w:w="1135" w:type="dxa"/>
            <w:vMerge w:val="restart"/>
            <w:noWrap w:val="0"/>
            <w:vAlign w:val="center"/>
          </w:tcPr>
          <w:p w14:paraId="6370DFAC">
            <w:pPr>
              <w:pStyle w:val="18"/>
              <w:spacing w:line="360" w:lineRule="auto"/>
              <w:jc w:val="center"/>
              <w:rPr>
                <w:rFonts w:hint="default" w:ascii="宋体" w:hAnsi="宋体" w:eastAsia="宋体" w:cs="宋体"/>
                <w:color w:val="auto"/>
                <w:sz w:val="21"/>
                <w:szCs w:val="21"/>
                <w:highlight w:val="none"/>
                <w:lang w:val="en-US" w:eastAsia="zh-CN"/>
              </w:rPr>
            </w:pPr>
          </w:p>
        </w:tc>
        <w:tc>
          <w:tcPr>
            <w:tcW w:w="709" w:type="dxa"/>
            <w:tcBorders>
              <w:bottom w:val="single" w:color="auto" w:sz="4" w:space="0"/>
            </w:tcBorders>
            <w:noWrap w:val="0"/>
            <w:vAlign w:val="center"/>
          </w:tcPr>
          <w:p w14:paraId="111B54B9">
            <w:pPr>
              <w:pStyle w:val="1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53" w:type="dxa"/>
            <w:noWrap w:val="0"/>
            <w:vAlign w:val="center"/>
          </w:tcPr>
          <w:p w14:paraId="5A0E8B51">
            <w:pPr>
              <w:pStyle w:val="1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64" w:type="dxa"/>
            <w:noWrap w:val="0"/>
            <w:vAlign w:val="center"/>
          </w:tcPr>
          <w:p w14:paraId="6F25B172">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SA"/>
              </w:rPr>
              <w:t>具有公路工程相关专业中级及以上职称，并具有目前注册在投标人单位的住房和城乡建设部门颁发的公路工程专业二级及以上等级注册建造师证，持有交通行业主管部门颁发的 B 类安全生产考核证书</w:t>
            </w:r>
            <w:r>
              <w:rPr>
                <w:rFonts w:hint="eastAsia" w:ascii="宋体" w:hAnsi="宋体" w:eastAsia="宋体" w:cs="宋体"/>
                <w:color w:val="auto"/>
                <w:kern w:val="0"/>
                <w:sz w:val="21"/>
                <w:szCs w:val="21"/>
                <w:highlight w:val="none"/>
                <w:lang w:val="en-US" w:eastAsia="zh-CN" w:bidi="ar"/>
              </w:rPr>
              <w:t>并在有效期内</w:t>
            </w:r>
            <w:r>
              <w:rPr>
                <w:rFonts w:hint="eastAsia" w:ascii="宋体" w:hAnsi="宋体" w:eastAsia="宋体" w:cs="宋体"/>
                <w:color w:val="auto"/>
                <w:kern w:val="0"/>
                <w:sz w:val="21"/>
                <w:szCs w:val="21"/>
                <w:highlight w:val="none"/>
                <w:lang w:val="en-US" w:eastAsia="zh-CN" w:bidi="ar-SA"/>
              </w:rPr>
              <w:t>。</w:t>
            </w:r>
          </w:p>
          <w:p w14:paraId="1CB5DEA6">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2、至少担任过 1 个一级及以上等级公路路基养护工程施工的项目经理职务（或 2 个项目副经理职务）。</w:t>
            </w:r>
          </w:p>
          <w:p w14:paraId="4DA95706">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w:t>
            </w:r>
            <w:r>
              <w:rPr>
                <w:color w:val="auto"/>
                <w:spacing w:val="9"/>
                <w:sz w:val="21"/>
                <w:szCs w:val="21"/>
                <w:highlight w:val="none"/>
              </w:rPr>
              <w:t>所有资质证书</w:t>
            </w:r>
            <w:r>
              <w:rPr>
                <w:rFonts w:hint="eastAsia"/>
                <w:color w:val="auto"/>
                <w:spacing w:val="9"/>
                <w:sz w:val="21"/>
                <w:szCs w:val="21"/>
                <w:highlight w:val="none"/>
                <w:lang w:val="en-US" w:eastAsia="zh-CN"/>
              </w:rPr>
              <w:t>都</w:t>
            </w:r>
            <w:r>
              <w:rPr>
                <w:color w:val="auto"/>
                <w:spacing w:val="9"/>
                <w:sz w:val="21"/>
                <w:szCs w:val="21"/>
                <w:highlight w:val="none"/>
              </w:rPr>
              <w:t>在有效期内；</w:t>
            </w:r>
          </w:p>
        </w:tc>
        <w:tc>
          <w:tcPr>
            <w:tcW w:w="1123" w:type="dxa"/>
            <w:vMerge w:val="restart"/>
            <w:noWrap w:val="0"/>
            <w:vAlign w:val="center"/>
          </w:tcPr>
          <w:p w14:paraId="3269363C">
            <w:pPr>
              <w:pStyle w:val="1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rPr>
              <w:t>无在岗项目</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指目前未在其他项目上任职，或虽在其他项目上任职但本项目中标后能够从该项目撤离</w:t>
            </w:r>
            <w:r>
              <w:rPr>
                <w:rFonts w:hint="eastAsia" w:ascii="宋体" w:hAnsi="宋体" w:eastAsia="宋体" w:cs="宋体"/>
                <w:color w:val="auto"/>
                <w:spacing w:val="1"/>
                <w:sz w:val="21"/>
                <w:szCs w:val="21"/>
                <w:lang w:eastAsia="zh-CN"/>
              </w:rPr>
              <w:t>）</w:t>
            </w:r>
            <w:r>
              <w:rPr>
                <w:rFonts w:ascii="宋体" w:hAnsi="宋体" w:eastAsia="宋体" w:cs="宋体"/>
                <w:color w:val="auto"/>
                <w:spacing w:val="1"/>
                <w:sz w:val="21"/>
                <w:szCs w:val="21"/>
              </w:rPr>
              <w:t>。</w:t>
            </w:r>
          </w:p>
        </w:tc>
      </w:tr>
      <w:tr w14:paraId="7609B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1135" w:type="dxa"/>
            <w:vMerge w:val="continue"/>
            <w:noWrap w:val="0"/>
            <w:vAlign w:val="center"/>
          </w:tcPr>
          <w:p w14:paraId="007DA2E2">
            <w:pPr>
              <w:pStyle w:val="18"/>
              <w:spacing w:line="360" w:lineRule="auto"/>
              <w:jc w:val="center"/>
              <w:rPr>
                <w:rFonts w:hint="eastAsia" w:ascii="宋体" w:hAnsi="宋体" w:eastAsia="宋体" w:cs="宋体"/>
                <w:color w:val="auto"/>
                <w:sz w:val="21"/>
                <w:szCs w:val="21"/>
                <w:highlight w:val="none"/>
              </w:rPr>
            </w:pPr>
          </w:p>
        </w:tc>
        <w:tc>
          <w:tcPr>
            <w:tcW w:w="709" w:type="dxa"/>
            <w:tcBorders>
              <w:top w:val="single" w:color="auto" w:sz="4" w:space="0"/>
              <w:bottom w:val="single" w:color="auto" w:sz="4" w:space="0"/>
            </w:tcBorders>
            <w:noWrap w:val="0"/>
            <w:vAlign w:val="center"/>
          </w:tcPr>
          <w:p w14:paraId="0C71BDA6">
            <w:pPr>
              <w:pStyle w:val="1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tc>
        <w:tc>
          <w:tcPr>
            <w:tcW w:w="653" w:type="dxa"/>
            <w:noWrap w:val="0"/>
            <w:vAlign w:val="center"/>
          </w:tcPr>
          <w:p w14:paraId="19EC31E1">
            <w:pPr>
              <w:pStyle w:val="1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64" w:type="dxa"/>
            <w:noWrap w:val="0"/>
            <w:vAlign w:val="center"/>
          </w:tcPr>
          <w:p w14:paraId="7CB996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1、公路工程相关专业中级及以上技术职称。</w:t>
            </w:r>
          </w:p>
          <w:p w14:paraId="236143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2、至少担任过 1 个一级及以上等级公路路基养护工程施工的项目总工职务（或 2 个项目副总工职务）。</w:t>
            </w:r>
          </w:p>
          <w:p w14:paraId="0BB393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w:t>
            </w:r>
            <w:r>
              <w:rPr>
                <w:color w:val="auto"/>
                <w:spacing w:val="9"/>
                <w:sz w:val="21"/>
                <w:szCs w:val="21"/>
                <w:highlight w:val="none"/>
              </w:rPr>
              <w:t>所有资质证书</w:t>
            </w:r>
            <w:r>
              <w:rPr>
                <w:rFonts w:hint="eastAsia"/>
                <w:color w:val="auto"/>
                <w:spacing w:val="9"/>
                <w:sz w:val="21"/>
                <w:szCs w:val="21"/>
                <w:highlight w:val="none"/>
                <w:lang w:val="en-US" w:eastAsia="zh-CN"/>
              </w:rPr>
              <w:t>都</w:t>
            </w:r>
            <w:r>
              <w:rPr>
                <w:color w:val="auto"/>
                <w:spacing w:val="9"/>
                <w:sz w:val="21"/>
                <w:szCs w:val="21"/>
                <w:highlight w:val="none"/>
              </w:rPr>
              <w:t>在有效期内；</w:t>
            </w:r>
          </w:p>
        </w:tc>
        <w:tc>
          <w:tcPr>
            <w:tcW w:w="1123" w:type="dxa"/>
            <w:vMerge w:val="continue"/>
            <w:noWrap w:val="0"/>
            <w:vAlign w:val="center"/>
          </w:tcPr>
          <w:p w14:paraId="2ABE5DEE">
            <w:pPr>
              <w:pStyle w:val="18"/>
              <w:spacing w:line="360" w:lineRule="auto"/>
              <w:rPr>
                <w:rFonts w:hint="eastAsia" w:ascii="宋体" w:hAnsi="宋体" w:eastAsia="宋体" w:cs="宋体"/>
                <w:color w:val="auto"/>
                <w:sz w:val="21"/>
                <w:szCs w:val="21"/>
                <w:highlight w:val="none"/>
              </w:rPr>
            </w:pPr>
          </w:p>
        </w:tc>
      </w:tr>
      <w:tr w14:paraId="350C2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10384" w:type="dxa"/>
            <w:gridSpan w:val="5"/>
            <w:noWrap w:val="0"/>
            <w:vAlign w:val="center"/>
          </w:tcPr>
          <w:p w14:paraId="2EDDCA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（1）投标人应按“拟委任的项目经理和项目总工资历表”的格式要求分别填写项目经理和项目总工的资历，还应后附相关资格证明材料的彩色扫描件。 </w:t>
            </w:r>
          </w:p>
          <w:p w14:paraId="776CF9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项目经理须提供的资格证明材料：身份证、职称资格证书、建造师注册证书、安全生产考核合格证书彩色扫描件，其中：建造师注册证书及安全生产考核合格证书还需提供在政府相关部门网站上公开信息的网页截图；投标人所属社保机构出具的</w:t>
            </w:r>
            <w:r>
              <w:rPr>
                <w:rFonts w:hint="eastAsia" w:ascii="宋体" w:hAnsi="宋体" w:eastAsia="宋体" w:cs="宋体"/>
                <w:color w:val="auto"/>
                <w:kern w:val="0"/>
                <w:sz w:val="21"/>
                <w:szCs w:val="21"/>
                <w:highlight w:val="none"/>
                <w:lang w:val="en-US" w:eastAsia="zh-CN" w:bidi="ar"/>
              </w:rPr>
              <w:t>2025年1月</w:t>
            </w:r>
            <w:r>
              <w:rPr>
                <w:rFonts w:hint="default" w:ascii="宋体" w:hAnsi="宋体" w:eastAsia="宋体" w:cs="宋体"/>
                <w:color w:val="auto"/>
                <w:kern w:val="0"/>
                <w:sz w:val="21"/>
                <w:szCs w:val="21"/>
                <w:highlight w:val="none"/>
                <w:lang w:val="en-US" w:eastAsia="zh-CN" w:bidi="ar"/>
              </w:rPr>
              <w:t>至今任意连续</w:t>
            </w: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 xml:space="preserve">个月社保缴费证明或其他能够证明参加社保的有效证明材料、在岗撤离承诺书（如需）。 </w:t>
            </w:r>
          </w:p>
          <w:p w14:paraId="48F78A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（3）项目总工须提供的资格证明材料：身份证、职称资格证书，投标人所属社保机构出具的</w:t>
            </w:r>
            <w:r>
              <w:rPr>
                <w:rFonts w:hint="eastAsia" w:ascii="宋体" w:hAnsi="宋体" w:eastAsia="宋体" w:cs="宋体"/>
                <w:color w:val="auto"/>
                <w:kern w:val="0"/>
                <w:sz w:val="21"/>
                <w:szCs w:val="21"/>
                <w:highlight w:val="none"/>
                <w:lang w:val="en-US" w:eastAsia="zh-CN" w:bidi="ar"/>
              </w:rPr>
              <w:t>2025年1月</w:t>
            </w:r>
            <w:r>
              <w:rPr>
                <w:rFonts w:hint="default" w:ascii="宋体" w:hAnsi="宋体" w:eastAsia="宋体" w:cs="宋体"/>
                <w:color w:val="auto"/>
                <w:kern w:val="0"/>
                <w:sz w:val="21"/>
                <w:szCs w:val="21"/>
                <w:highlight w:val="none"/>
                <w:lang w:val="en-US" w:eastAsia="zh-CN" w:bidi="ar"/>
              </w:rPr>
              <w:t xml:space="preserve">至今任意连续 </w:t>
            </w: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 xml:space="preserve"> 个月社保缴费证明或其他能够证明参加社保的有效证明材料、在岗撤离承诺书（如需）。 </w:t>
            </w:r>
          </w:p>
          <w:p w14:paraId="4CC99F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4）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 </w:t>
            </w:r>
          </w:p>
          <w:p w14:paraId="7A2776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拟委任的项目经理和项目总工资历表”还应附“全国公路建设市场监督管理系统”中载明的、能够证明项目经理和项目总工具有相关业绩的网页截图复印件。在“全国公路建设市场监督管理系统”中无法查询，但可在工程所在地省级交通运输主管部门公路建设与养护市场信用信息管理系统中查询的，应附工程所在地省级交通运输主管部门公路建设与养护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p>
          <w:p w14:paraId="2DF23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 </w:t>
            </w:r>
          </w:p>
          <w:p w14:paraId="7B04A5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（7）公路工程相关专业职称包括：公路工程、桥梁工程、公路与桥梁工程、交通土建工程、隧道（地下结构）工程、交通工程等专业职称。</w:t>
            </w:r>
          </w:p>
          <w:p w14:paraId="00C23C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）投标人对投标文件中拟委任的项目经理、项目总工是否在岗必须如实填报，在评标过程中或公示期间，若招标人收到有关反映投标人项目经理、项目总工有在岗项目的投诉，招标人一经查实 将认定为失信投标行为，取消其中标资格。</w:t>
            </w:r>
          </w:p>
          <w:p w14:paraId="23339F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）业绩要求中的施工内容包含路基养护内容即可</w:t>
            </w:r>
          </w:p>
          <w:p w14:paraId="2E66F2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）招标文件中其他地方与此处不一致时，以此处为准。</w:t>
            </w:r>
          </w:p>
        </w:tc>
      </w:tr>
    </w:tbl>
    <w:p w14:paraId="3B313EC3">
      <w:pPr>
        <w:spacing w:before="166" w:line="219" w:lineRule="auto"/>
        <w:ind w:left="1170"/>
        <w:outlineLvl w:val="2"/>
        <w:rPr>
          <w:rFonts w:ascii="宋体" w:hAnsi="宋体" w:eastAsia="宋体" w:cs="宋体"/>
          <w:color w:val="auto"/>
          <w:sz w:val="30"/>
          <w:szCs w:val="30"/>
          <w:highlight w:val="none"/>
        </w:rPr>
      </w:pPr>
      <w:r>
        <w:rPr>
          <w:rFonts w:hint="eastAsia" w:ascii="宋体" w:hAnsi="宋体" w:eastAsia="宋体" w:cs="宋体"/>
          <w:b/>
          <w:color w:val="auto"/>
          <w:sz w:val="21"/>
          <w:szCs w:val="21"/>
          <w:highlight w:val="none"/>
          <w:u w:val="single"/>
        </w:rPr>
        <w:br w:type="page"/>
      </w:r>
      <w:bookmarkStart w:id="8" w:name="_Toc16959"/>
      <w:r>
        <w:rPr>
          <w:rFonts w:hint="eastAsia" w:ascii="宋体" w:hAnsi="宋体" w:eastAsia="宋体" w:cs="宋体"/>
          <w:b/>
          <w:bCs/>
          <w:color w:val="auto"/>
          <w:kern w:val="44"/>
          <w:sz w:val="30"/>
          <w:szCs w:val="30"/>
          <w:highlight w:val="none"/>
          <w:lang w:val="en-US" w:eastAsia="zh-CN" w:bidi="ar-SA"/>
        </w:rPr>
        <w:t>附录 6  资格审查条件（其他管理和技术人员最低要求）</w:t>
      </w:r>
      <w:bookmarkEnd w:id="8"/>
    </w:p>
    <w:p w14:paraId="7054DEFD">
      <w:pPr>
        <w:spacing w:line="193" w:lineRule="exact"/>
        <w:rPr>
          <w:color w:val="auto"/>
          <w:highlight w:val="none"/>
        </w:rPr>
      </w:pPr>
    </w:p>
    <w:tbl>
      <w:tblPr>
        <w:tblStyle w:val="17"/>
        <w:tblW w:w="9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2"/>
        <w:gridCol w:w="2114"/>
        <w:gridCol w:w="5049"/>
      </w:tblGrid>
      <w:tr w14:paraId="14A6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5506474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color w:val="auto"/>
                <w:sz w:val="21"/>
                <w:szCs w:val="21"/>
                <w:highlight w:val="none"/>
              </w:rPr>
            </w:pPr>
            <w:r>
              <w:rPr>
                <w:rFonts w:ascii="宋体" w:hAnsi="宋体" w:eastAsia="宋体" w:cs="宋体"/>
                <w:b/>
                <w:bCs/>
                <w:color w:val="auto"/>
                <w:spacing w:val="-2"/>
                <w:sz w:val="21"/>
                <w:szCs w:val="21"/>
                <w:highlight w:val="none"/>
              </w:rPr>
              <w:t>其他管理与技术人员</w:t>
            </w:r>
            <w:r>
              <w:rPr>
                <w:rFonts w:ascii="宋体" w:hAnsi="宋体" w:eastAsia="宋体" w:cs="宋体"/>
                <w:b/>
                <w:bCs/>
                <w:color w:val="auto"/>
                <w:spacing w:val="-18"/>
                <w:sz w:val="21"/>
                <w:szCs w:val="21"/>
                <w:highlight w:val="none"/>
              </w:rPr>
              <w:t>岗位</w:t>
            </w:r>
          </w:p>
        </w:tc>
        <w:tc>
          <w:tcPr>
            <w:tcW w:w="2114" w:type="dxa"/>
            <w:noWrap w:val="0"/>
            <w:vAlign w:val="center"/>
          </w:tcPr>
          <w:p w14:paraId="525608C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宋体" w:hAnsi="宋体" w:eastAsia="宋体" w:cs="宋体"/>
                <w:b/>
                <w:bCs/>
                <w:color w:val="auto"/>
                <w:sz w:val="21"/>
                <w:szCs w:val="21"/>
                <w:highlight w:val="none"/>
              </w:rPr>
            </w:pPr>
            <w:r>
              <w:rPr>
                <w:rFonts w:ascii="宋体" w:hAnsi="宋体" w:eastAsia="宋体" w:cs="宋体"/>
                <w:b/>
                <w:bCs/>
                <w:color w:val="auto"/>
                <w:spacing w:val="-6"/>
                <w:sz w:val="21"/>
                <w:szCs w:val="21"/>
                <w:highlight w:val="none"/>
              </w:rPr>
              <w:t>数量</w:t>
            </w:r>
          </w:p>
        </w:tc>
        <w:tc>
          <w:tcPr>
            <w:tcW w:w="5049" w:type="dxa"/>
            <w:noWrap w:val="0"/>
            <w:vAlign w:val="center"/>
          </w:tcPr>
          <w:p w14:paraId="483BB27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color w:val="auto"/>
                <w:sz w:val="21"/>
                <w:szCs w:val="21"/>
                <w:highlight w:val="none"/>
              </w:rPr>
            </w:pPr>
            <w:r>
              <w:rPr>
                <w:rFonts w:ascii="宋体" w:hAnsi="宋体" w:eastAsia="宋体" w:cs="宋体"/>
                <w:b/>
                <w:bCs/>
                <w:color w:val="auto"/>
                <w:spacing w:val="-6"/>
                <w:sz w:val="21"/>
                <w:szCs w:val="21"/>
                <w:highlight w:val="none"/>
              </w:rPr>
              <w:t>要求</w:t>
            </w:r>
          </w:p>
        </w:tc>
      </w:tr>
      <w:tr w14:paraId="6874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6DA9A85C">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专职安全员</w:t>
            </w:r>
          </w:p>
        </w:tc>
        <w:tc>
          <w:tcPr>
            <w:tcW w:w="2114" w:type="dxa"/>
            <w:noWrap w:val="0"/>
            <w:vAlign w:val="center"/>
          </w:tcPr>
          <w:p w14:paraId="6652F25B">
            <w:pPr>
              <w:spacing w:line="38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仿宋_GB2312" w:hAnsi="宋体" w:eastAsia="仿宋_GB2312" w:cs="宋体"/>
                <w:color w:val="auto"/>
                <w:kern w:val="0"/>
                <w:sz w:val="24"/>
                <w:szCs w:val="28"/>
                <w:highlight w:val="none"/>
                <w:lang w:val="en-US" w:eastAsia="zh-CN"/>
              </w:rPr>
              <w:t>2</w:t>
            </w:r>
          </w:p>
        </w:tc>
        <w:tc>
          <w:tcPr>
            <w:tcW w:w="5049" w:type="dxa"/>
            <w:noWrap w:val="0"/>
            <w:vAlign w:val="center"/>
          </w:tcPr>
          <w:p w14:paraId="273F864D">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从事类似项目安全管理工作3年及以上，持有C类安全生产考核合格证。</w:t>
            </w:r>
          </w:p>
        </w:tc>
      </w:tr>
      <w:tr w14:paraId="3BF6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279FF426">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路面工程师</w:t>
            </w:r>
          </w:p>
        </w:tc>
        <w:tc>
          <w:tcPr>
            <w:tcW w:w="2114" w:type="dxa"/>
            <w:noWrap w:val="0"/>
            <w:vAlign w:val="center"/>
          </w:tcPr>
          <w:p w14:paraId="77B57A5A">
            <w:pPr>
              <w:spacing w:line="380" w:lineRule="exact"/>
              <w:jc w:val="center"/>
              <w:rPr>
                <w:rFonts w:hint="default" w:ascii="仿宋_GB2312" w:hAnsi="宋体" w:eastAsia="仿宋_GB2312" w:cs="宋体"/>
                <w:color w:val="auto"/>
                <w:kern w:val="0"/>
                <w:sz w:val="24"/>
                <w:szCs w:val="28"/>
                <w:highlight w:val="none"/>
                <w:lang w:val="en-US" w:eastAsia="zh-CN" w:bidi="ar-SA"/>
              </w:rPr>
            </w:pPr>
            <w:r>
              <w:rPr>
                <w:rFonts w:hint="eastAsia" w:ascii="仿宋_GB2312" w:eastAsia="仿宋_GB2312" w:cs="宋体"/>
                <w:color w:val="auto"/>
                <w:kern w:val="0"/>
                <w:sz w:val="24"/>
                <w:szCs w:val="28"/>
                <w:highlight w:val="none"/>
                <w:lang w:val="en-US" w:eastAsia="zh-CN" w:bidi="ar-SA"/>
              </w:rPr>
              <w:t>1</w:t>
            </w:r>
          </w:p>
        </w:tc>
        <w:tc>
          <w:tcPr>
            <w:tcW w:w="5049" w:type="dxa"/>
            <w:noWrap w:val="0"/>
            <w:vAlign w:val="center"/>
          </w:tcPr>
          <w:p w14:paraId="26C02907">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公路工程相关专业工程师及以上，从事类似项目施工3年及以上。至少担任过1条一级及以上等级公路养护工程施工的路面工程师。</w:t>
            </w:r>
          </w:p>
        </w:tc>
      </w:tr>
      <w:tr w14:paraId="4D99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0D18B784">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路基工程师</w:t>
            </w:r>
          </w:p>
        </w:tc>
        <w:tc>
          <w:tcPr>
            <w:tcW w:w="2114" w:type="dxa"/>
            <w:noWrap w:val="0"/>
            <w:vAlign w:val="center"/>
          </w:tcPr>
          <w:p w14:paraId="28B2A762">
            <w:pPr>
              <w:pageBreakBefore w:val="0"/>
              <w:bidi w:val="0"/>
              <w:spacing w:line="400" w:lineRule="exact"/>
              <w:ind w:left="0" w:leftChars="0" w:right="0" w:rightChars="0"/>
              <w:jc w:val="center"/>
              <w:rPr>
                <w:rFonts w:hint="eastAsia" w:ascii="仿宋_GB2312" w:eastAsia="仿宋_GB2312" w:cs="宋体"/>
                <w:color w:val="auto"/>
                <w:kern w:val="0"/>
                <w:sz w:val="24"/>
                <w:szCs w:val="28"/>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222006DE">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公路工程相关专业工程师及以上，从事类似项目施工3年及以上。至少担任过1条一级及以上等级公路养护工程施工的路基工程师。</w:t>
            </w:r>
          </w:p>
        </w:tc>
      </w:tr>
      <w:tr w14:paraId="7C94F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1B2D9427">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交通安全设施工程师</w:t>
            </w:r>
          </w:p>
        </w:tc>
        <w:tc>
          <w:tcPr>
            <w:tcW w:w="2114" w:type="dxa"/>
            <w:noWrap w:val="0"/>
            <w:vAlign w:val="center"/>
          </w:tcPr>
          <w:p w14:paraId="3F9DAF43">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1F859519">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公路工程相关专业工程师及以上，从事类似项目施工3年及以上。至少担任过1条一级及以上等级公路养护工程施工的交通安全设施工程师。</w:t>
            </w:r>
          </w:p>
        </w:tc>
      </w:tr>
      <w:tr w14:paraId="5FFE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2644AEEA">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质检工程师</w:t>
            </w:r>
          </w:p>
        </w:tc>
        <w:tc>
          <w:tcPr>
            <w:tcW w:w="2114" w:type="dxa"/>
            <w:noWrap w:val="0"/>
            <w:vAlign w:val="center"/>
          </w:tcPr>
          <w:p w14:paraId="1F6158DA">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7AD49A71">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公路工程相关专业工程师及以上，从事公路工程项目质检工作3年及以上。至少担任过1条一级及以上等级公路养护工程施工的质检工程师。</w:t>
            </w:r>
          </w:p>
        </w:tc>
      </w:tr>
      <w:tr w14:paraId="5242A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64C4DCB7">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测量工程师</w:t>
            </w:r>
          </w:p>
        </w:tc>
        <w:tc>
          <w:tcPr>
            <w:tcW w:w="2114" w:type="dxa"/>
            <w:noWrap w:val="0"/>
            <w:vAlign w:val="center"/>
          </w:tcPr>
          <w:p w14:paraId="410D60E5">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251E3FEB">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公路工程相关专业助理工程师及以上，从事类似项目测量工作3年及以上。至少担任过1条一级及以上等级公路养护工程施工的测量工程师。</w:t>
            </w:r>
          </w:p>
        </w:tc>
      </w:tr>
      <w:tr w14:paraId="16F05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338B06BD">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农民工劳资专管员</w:t>
            </w:r>
          </w:p>
        </w:tc>
        <w:tc>
          <w:tcPr>
            <w:tcW w:w="2114" w:type="dxa"/>
            <w:noWrap w:val="0"/>
            <w:vAlign w:val="center"/>
          </w:tcPr>
          <w:p w14:paraId="122F9269">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5BC45AA5">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从事类似工作3年及以上。</w:t>
            </w:r>
          </w:p>
        </w:tc>
      </w:tr>
      <w:tr w14:paraId="3EC2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721FE7C1">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档案管理负责人</w:t>
            </w:r>
          </w:p>
        </w:tc>
        <w:tc>
          <w:tcPr>
            <w:tcW w:w="2114" w:type="dxa"/>
            <w:noWrap w:val="0"/>
            <w:vAlign w:val="center"/>
          </w:tcPr>
          <w:p w14:paraId="77D68408">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049" w:type="dxa"/>
            <w:noWrap w:val="0"/>
            <w:vAlign w:val="center"/>
          </w:tcPr>
          <w:p w14:paraId="4A0E80C9">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相关专业助理工程师及以上，至少担任过1条一级及以上等级公路养护工程施工的档案管理负责人。</w:t>
            </w:r>
          </w:p>
        </w:tc>
      </w:tr>
      <w:tr w14:paraId="6154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12" w:type="dxa"/>
            <w:noWrap w:val="0"/>
            <w:vAlign w:val="center"/>
          </w:tcPr>
          <w:p w14:paraId="6988A0CE">
            <w:pPr>
              <w:pageBreakBefore w:val="0"/>
              <w:bidi w:val="0"/>
              <w:spacing w:line="400" w:lineRule="exact"/>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合计</w:t>
            </w:r>
          </w:p>
        </w:tc>
        <w:tc>
          <w:tcPr>
            <w:tcW w:w="2114" w:type="dxa"/>
            <w:noWrap w:val="0"/>
            <w:vAlign w:val="center"/>
          </w:tcPr>
          <w:p w14:paraId="1FEC30C5">
            <w:pPr>
              <w:pageBreakBefore w:val="0"/>
              <w:bidi w:val="0"/>
              <w:spacing w:line="400" w:lineRule="exact"/>
              <w:ind w:left="0" w:leftChars="0" w:right="0" w:rightChars="0"/>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w:t>
            </w:r>
          </w:p>
        </w:tc>
        <w:tc>
          <w:tcPr>
            <w:tcW w:w="5049" w:type="dxa"/>
            <w:noWrap w:val="0"/>
            <w:vAlign w:val="center"/>
          </w:tcPr>
          <w:p w14:paraId="1492B1B9">
            <w:pPr>
              <w:pageBreakBefore w:val="0"/>
              <w:bidi w:val="0"/>
              <w:spacing w:line="400" w:lineRule="exact"/>
              <w:ind w:left="0" w:leftChars="0" w:right="0" w:right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人员不得重复，缺陷责任期委派施工期担任过工程师职务的人员。</w:t>
            </w:r>
          </w:p>
        </w:tc>
      </w:tr>
      <w:tr w14:paraId="2F18A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575" w:type="dxa"/>
            <w:gridSpan w:val="3"/>
            <w:noWrap w:val="0"/>
            <w:vAlign w:val="top"/>
          </w:tcPr>
          <w:p w14:paraId="392BAD6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注：修改补充投标人须知正文第3.5.6项：</w:t>
            </w:r>
          </w:p>
          <w:p w14:paraId="0347827B">
            <w:pPr>
              <w:keepNext w:val="0"/>
              <w:keepLines w:val="0"/>
              <w:pageBreakBefore w:val="0"/>
              <w:widowControl w:val="0"/>
              <w:kinsoku/>
              <w:wordWrap/>
              <w:overflowPunct/>
              <w:topLinePunct w:val="0"/>
              <w:autoSpaceDE/>
              <w:autoSpaceDN/>
              <w:bidi w:val="0"/>
              <w:adjustRightInd/>
              <w:snapToGrid/>
              <w:spacing w:line="360" w:lineRule="auto"/>
              <w:ind w:left="0" w:right="0" w:firstLine="11"/>
              <w:textAlignment w:val="auto"/>
              <w:rPr>
                <w:rFonts w:hint="eastAsia" w:ascii="宋体" w:hAnsi="宋体" w:eastAsia="宋体" w:cs="宋体"/>
                <w:color w:val="auto"/>
                <w:spacing w:val="2"/>
                <w:sz w:val="21"/>
                <w:szCs w:val="21"/>
                <w:highlight w:val="none"/>
                <w:lang w:eastAsia="zh-CN"/>
              </w:rPr>
            </w:pPr>
            <w:r>
              <w:rPr>
                <w:rFonts w:ascii="宋体" w:hAnsi="宋体" w:eastAsia="宋体" w:cs="宋体"/>
                <w:color w:val="auto"/>
                <w:spacing w:val="2"/>
                <w:sz w:val="21"/>
                <w:szCs w:val="21"/>
                <w:highlight w:val="none"/>
              </w:rPr>
              <w:t>（1）</w:t>
            </w:r>
            <w:r>
              <w:rPr>
                <w:rFonts w:hint="eastAsia" w:ascii="宋体" w:hAnsi="宋体" w:eastAsia="宋体" w:cs="宋体"/>
                <w:color w:val="auto"/>
                <w:spacing w:val="2"/>
                <w:sz w:val="21"/>
                <w:szCs w:val="21"/>
                <w:highlight w:val="none"/>
              </w:rPr>
              <w:t>投标人拟投入的其他主要管理人员和技术人员在投标文件中不需填报，但须按招标文件中规定的格式、内容和要求做出相关承诺。具体的人员名单在合同谈判期间确定，但必须满足本表中所列数量及资格要求，并和本表一起作为合同文件的组成部分，是发包人进行履约检查的依据。同时，拟投入的所有其他主要管理人员和技术人员须满足工程实际需要。合同谈判后，合同内明确的项目管理机构主要人员，除重大疾病或离职外，不允许更换，如需更换或派驻人员不能胜任该项工作，发包人将按专用合同条款视为承包人违约，并按专用合同条款对承包人予以处罚。如中标人拟派驻的人员数量和资格条件不满足本表要求，招标人应取消其中标资格</w:t>
            </w:r>
            <w:r>
              <w:rPr>
                <w:rFonts w:hint="eastAsia" w:ascii="宋体" w:hAnsi="宋体" w:eastAsia="宋体" w:cs="宋体"/>
                <w:color w:val="auto"/>
                <w:spacing w:val="2"/>
                <w:sz w:val="21"/>
                <w:szCs w:val="21"/>
                <w:highlight w:val="none"/>
                <w:lang w:eastAsia="zh-CN"/>
              </w:rPr>
              <w:t>。</w:t>
            </w:r>
          </w:p>
          <w:p w14:paraId="0B48CE87">
            <w:pPr>
              <w:keepNext w:val="0"/>
              <w:keepLines w:val="0"/>
              <w:pageBreakBefore w:val="0"/>
              <w:widowControl w:val="0"/>
              <w:kinsoku/>
              <w:wordWrap/>
              <w:overflowPunct/>
              <w:topLinePunct w:val="0"/>
              <w:autoSpaceDE/>
              <w:autoSpaceDN/>
              <w:bidi w:val="0"/>
              <w:adjustRightInd/>
              <w:snapToGrid/>
              <w:spacing w:line="360" w:lineRule="auto"/>
              <w:ind w:left="0" w:right="0" w:firstLine="12"/>
              <w:textAlignment w:val="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（2）本表为强制性最低限度要求，投标阶段无需填报，投标人除满足本表要求外，应根</w:t>
            </w:r>
            <w:r>
              <w:rPr>
                <w:rFonts w:ascii="宋体" w:hAnsi="宋体" w:eastAsia="宋体" w:cs="宋体"/>
                <w:color w:val="auto"/>
                <w:sz w:val="21"/>
                <w:szCs w:val="21"/>
                <w:highlight w:val="none"/>
              </w:rPr>
              <w:t>据项目实际工程数量及进度自主投入，发包</w:t>
            </w:r>
            <w:r>
              <w:rPr>
                <w:rFonts w:ascii="宋体" w:hAnsi="宋体" w:eastAsia="宋体" w:cs="宋体"/>
                <w:color w:val="auto"/>
                <w:spacing w:val="-1"/>
                <w:sz w:val="21"/>
                <w:szCs w:val="21"/>
                <w:highlight w:val="none"/>
              </w:rPr>
              <w:t>人不再额外支付费用。</w:t>
            </w:r>
          </w:p>
          <w:p w14:paraId="72A7E53C">
            <w:pPr>
              <w:keepNext w:val="0"/>
              <w:keepLines w:val="0"/>
              <w:pageBreakBefore w:val="0"/>
              <w:widowControl w:val="0"/>
              <w:kinsoku/>
              <w:wordWrap/>
              <w:overflowPunct/>
              <w:topLinePunct w:val="0"/>
              <w:autoSpaceDE/>
              <w:autoSpaceDN/>
              <w:bidi w:val="0"/>
              <w:adjustRightInd/>
              <w:snapToGrid/>
              <w:spacing w:line="360" w:lineRule="auto"/>
              <w:ind w:left="0" w:right="0" w:firstLine="13"/>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（3）“拟投入的其他管理和技术人员”在合同签订时应附身份证、职称证书以及相关资</w:t>
            </w:r>
            <w:r>
              <w:rPr>
                <w:rFonts w:ascii="宋体" w:hAnsi="宋体" w:eastAsia="宋体" w:cs="宋体"/>
                <w:color w:val="auto"/>
                <w:spacing w:val="3"/>
                <w:sz w:val="21"/>
                <w:szCs w:val="21"/>
                <w:highlight w:val="none"/>
              </w:rPr>
              <w:t>格证书复印件，以及投标人所属社保机构出具的</w:t>
            </w:r>
            <w:r>
              <w:rPr>
                <w:rFonts w:hint="eastAsia" w:eastAsia="宋体" w:cs="宋体"/>
                <w:color w:val="auto"/>
                <w:spacing w:val="3"/>
                <w:sz w:val="21"/>
                <w:szCs w:val="21"/>
                <w:highlight w:val="none"/>
                <w:lang w:eastAsia="zh-CN"/>
              </w:rPr>
              <w:t>2025年</w:t>
            </w:r>
            <w:r>
              <w:rPr>
                <w:rFonts w:hint="eastAsia" w:eastAsia="宋体" w:cs="宋体"/>
                <w:color w:val="auto"/>
                <w:spacing w:val="3"/>
                <w:sz w:val="21"/>
                <w:szCs w:val="21"/>
                <w:highlight w:val="none"/>
                <w:lang w:val="en-US" w:eastAsia="zh-CN"/>
              </w:rPr>
              <w:t>1</w:t>
            </w:r>
            <w:r>
              <w:rPr>
                <w:rFonts w:hint="eastAsia" w:eastAsia="宋体" w:cs="宋体"/>
                <w:color w:val="auto"/>
                <w:spacing w:val="3"/>
                <w:sz w:val="21"/>
                <w:szCs w:val="21"/>
                <w:highlight w:val="none"/>
                <w:lang w:eastAsia="zh-CN"/>
              </w:rPr>
              <w:t>月</w:t>
            </w:r>
            <w:r>
              <w:rPr>
                <w:rFonts w:ascii="宋体" w:hAnsi="宋体" w:eastAsia="宋体" w:cs="宋体"/>
                <w:color w:val="auto"/>
                <w:spacing w:val="3"/>
                <w:sz w:val="21"/>
                <w:szCs w:val="21"/>
                <w:highlight w:val="none"/>
              </w:rPr>
              <w:t>至今任意连续</w:t>
            </w:r>
            <w:r>
              <w:rPr>
                <w:rFonts w:hint="eastAsia" w:eastAsia="宋体" w:cs="宋体"/>
                <w:color w:val="auto"/>
                <w:spacing w:val="3"/>
                <w:sz w:val="21"/>
                <w:szCs w:val="21"/>
                <w:highlight w:val="none"/>
                <w:lang w:val="en-US" w:eastAsia="zh-CN"/>
              </w:rPr>
              <w:t>六</w:t>
            </w:r>
            <w:r>
              <w:rPr>
                <w:rFonts w:ascii="宋体" w:hAnsi="宋体" w:eastAsia="宋体" w:cs="宋体"/>
                <w:color w:val="auto"/>
                <w:spacing w:val="3"/>
                <w:sz w:val="21"/>
                <w:szCs w:val="21"/>
                <w:highlight w:val="none"/>
              </w:rPr>
              <w:t>个月社保</w:t>
            </w:r>
            <w:r>
              <w:rPr>
                <w:rFonts w:ascii="宋体" w:hAnsi="宋体" w:eastAsia="宋体" w:cs="宋体"/>
                <w:color w:val="auto"/>
                <w:spacing w:val="-1"/>
                <w:sz w:val="21"/>
                <w:szCs w:val="21"/>
                <w:highlight w:val="none"/>
              </w:rPr>
              <w:t>缴费证明或其他能够证明参加社保的有效证明材料。</w:t>
            </w:r>
          </w:p>
          <w:p w14:paraId="7E0673C0">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（4）招标文件中其他地方与此处不一致时，以此处为准。</w:t>
            </w:r>
          </w:p>
        </w:tc>
      </w:tr>
    </w:tbl>
    <w:p w14:paraId="2B62E4DA">
      <w:pPr>
        <w:bidi w:val="0"/>
        <w:spacing w:line="360" w:lineRule="auto"/>
        <w:jc w:val="both"/>
        <w:rPr>
          <w:rFonts w:hint="eastAsia" w:ascii="宋体" w:hAnsi="宋体" w:eastAsia="宋体" w:cs="宋体"/>
          <w:kern w:val="2"/>
          <w:sz w:val="28"/>
          <w:szCs w:val="28"/>
          <w:lang w:val="en-US" w:eastAsia="zh-CN" w:bidi="ar-SA"/>
        </w:rPr>
      </w:pPr>
    </w:p>
    <w:p w14:paraId="46EF8260">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18240361">
      <w:pPr>
        <w:pStyle w:val="2"/>
        <w:spacing w:line="360" w:lineRule="auto"/>
        <w:jc w:val="cente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三、评标办法（双信封技术评分最低标价法）</w:t>
      </w:r>
    </w:p>
    <w:p w14:paraId="47A2BF1F">
      <w:pPr>
        <w:ind w:firstLine="482" w:firstLineChars="150"/>
        <w:jc w:val="center"/>
        <w:outlineLvl w:val="2"/>
        <w:rPr>
          <w:rFonts w:hint="eastAsia" w:ascii="宋体" w:hAnsi="宋体" w:eastAsia="宋体" w:cs="宋体"/>
          <w:color w:val="000080"/>
          <w:sz w:val="20"/>
          <w:highlight w:val="none"/>
        </w:rPr>
      </w:pPr>
      <w:bookmarkStart w:id="9" w:name="_Toc5719"/>
      <w:r>
        <w:rPr>
          <w:rFonts w:hint="eastAsia" w:ascii="宋体" w:hAnsi="宋体" w:eastAsia="宋体" w:cs="宋体"/>
          <w:b/>
          <w:bCs/>
          <w:color w:val="auto"/>
          <w:sz w:val="32"/>
          <w:szCs w:val="28"/>
          <w:highlight w:val="none"/>
        </w:rPr>
        <w:t>评标办法前附表</w:t>
      </w:r>
      <w:bookmarkEnd w:id="9"/>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892"/>
        <w:gridCol w:w="7518"/>
      </w:tblGrid>
      <w:tr w14:paraId="5C2B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44" w:type="dxa"/>
            <w:gridSpan w:val="2"/>
            <w:tcBorders>
              <w:top w:val="single" w:color="000000" w:sz="4" w:space="0"/>
              <w:left w:val="single" w:color="000000" w:sz="4" w:space="0"/>
              <w:bottom w:val="single" w:color="000000" w:sz="4" w:space="0"/>
              <w:right w:val="single" w:color="000000" w:sz="6" w:space="0"/>
            </w:tcBorders>
            <w:noWrap w:val="0"/>
            <w:vAlign w:val="top"/>
          </w:tcPr>
          <w:p w14:paraId="37FA8332">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auto"/>
                <w:spacing w:val="0"/>
                <w:w w:val="100"/>
                <w:kern w:val="2"/>
                <w:sz w:val="22"/>
                <w:szCs w:val="22"/>
                <w:highlight w:val="none"/>
                <w:lang w:val="en-US" w:eastAsia="zh-CN" w:bidi="ar-SA"/>
              </w:rPr>
            </w:pPr>
            <w:r>
              <w:rPr>
                <w:rFonts w:hint="eastAsia" w:ascii="宋体" w:hAnsi="宋体" w:eastAsia="宋体" w:cs="宋体"/>
                <w:b/>
                <w:color w:val="auto"/>
                <w:spacing w:val="0"/>
                <w:w w:val="100"/>
                <w:kern w:val="2"/>
                <w:sz w:val="22"/>
                <w:szCs w:val="22"/>
                <w:highlight w:val="none"/>
                <w:lang w:val="en-US" w:eastAsia="zh-CN" w:bidi="ar-SA"/>
              </w:rPr>
              <w:t>条款号</w:t>
            </w:r>
          </w:p>
        </w:tc>
        <w:tc>
          <w:tcPr>
            <w:tcW w:w="8219" w:type="dxa"/>
            <w:tcBorders>
              <w:top w:val="single" w:color="000000" w:sz="4" w:space="0"/>
              <w:left w:val="single" w:color="000000" w:sz="6" w:space="0"/>
              <w:bottom w:val="single" w:color="000000" w:sz="4" w:space="0"/>
              <w:right w:val="single" w:color="000000" w:sz="4" w:space="0"/>
            </w:tcBorders>
            <w:noWrap w:val="0"/>
            <w:vAlign w:val="top"/>
          </w:tcPr>
          <w:p w14:paraId="7232FA94">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pacing w:val="0"/>
                <w:w w:val="100"/>
                <w:kern w:val="2"/>
                <w:sz w:val="22"/>
                <w:szCs w:val="22"/>
                <w:highlight w:val="none"/>
                <w:lang w:val="en-US" w:eastAsia="zh-CN" w:bidi="ar-SA"/>
              </w:rPr>
            </w:pPr>
            <w:r>
              <w:rPr>
                <w:rFonts w:hint="eastAsia" w:ascii="宋体" w:hAnsi="宋体" w:eastAsia="宋体" w:cs="宋体"/>
                <w:b/>
                <w:color w:val="auto"/>
                <w:spacing w:val="0"/>
                <w:w w:val="100"/>
                <w:kern w:val="2"/>
                <w:sz w:val="22"/>
                <w:szCs w:val="22"/>
                <w:highlight w:val="none"/>
                <w:lang w:val="en-US" w:eastAsia="zh-CN" w:bidi="ar-SA"/>
              </w:rPr>
              <w:t>评审因素与评审标准</w:t>
            </w:r>
          </w:p>
        </w:tc>
      </w:tr>
      <w:tr w14:paraId="4F1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5486C43">
            <w:pPr>
              <w:pStyle w:val="21"/>
              <w:spacing w:line="360" w:lineRule="auto"/>
              <w:jc w:val="center"/>
              <w:rPr>
                <w:rStyle w:val="12"/>
                <w:rFonts w:hint="eastAsia" w:ascii="宋体" w:hAnsi="宋体" w:eastAsia="宋体" w:cs="宋体"/>
                <w:b w:val="0"/>
                <w:color w:val="auto"/>
                <w:spacing w:val="0"/>
                <w:w w:val="100"/>
                <w:sz w:val="22"/>
                <w:szCs w:val="22"/>
                <w:highlight w:val="none"/>
              </w:rPr>
            </w:pPr>
            <w:bookmarkStart w:id="10" w:name="EB3dc53a6a36804525a318f913af3ef74d"/>
            <w:r>
              <w:rPr>
                <w:rStyle w:val="12"/>
                <w:rFonts w:hint="eastAsia" w:ascii="宋体" w:hAnsi="宋体" w:eastAsia="宋体" w:cs="宋体"/>
                <w:b w:val="0"/>
                <w:color w:val="auto"/>
                <w:spacing w:val="0"/>
                <w:w w:val="100"/>
                <w:sz w:val="22"/>
                <w:szCs w:val="22"/>
                <w:highlight w:val="none"/>
              </w:rPr>
              <w:t>2.1.1</w:t>
            </w:r>
          </w:p>
        </w:tc>
        <w:tc>
          <w:tcPr>
            <w:tcW w:w="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4195A87">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Style w:val="12"/>
                <w:rFonts w:hint="eastAsia" w:ascii="宋体" w:hAnsi="宋体" w:eastAsia="宋体" w:cs="宋体"/>
                <w:b w:val="0"/>
                <w:color w:val="auto"/>
                <w:spacing w:val="0"/>
                <w:w w:val="100"/>
                <w:kern w:val="0"/>
                <w:sz w:val="22"/>
                <w:szCs w:val="22"/>
                <w:highlight w:val="none"/>
                <w:lang w:eastAsia="zh-CN"/>
              </w:rPr>
            </w:pPr>
            <w:r>
              <w:rPr>
                <w:rStyle w:val="12"/>
                <w:rFonts w:hint="eastAsia" w:ascii="宋体" w:hAnsi="宋体" w:eastAsia="宋体" w:cs="宋体"/>
                <w:b w:val="0"/>
                <w:color w:val="auto"/>
                <w:spacing w:val="0"/>
                <w:w w:val="100"/>
                <w:kern w:val="0"/>
                <w:sz w:val="22"/>
                <w:szCs w:val="22"/>
                <w:highlight w:val="none"/>
                <w:lang w:eastAsia="zh-CN"/>
              </w:rPr>
              <w:t>形式与响应性</w:t>
            </w:r>
          </w:p>
          <w:p w14:paraId="6FEFDD07">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pacing w:val="0"/>
                <w:w w:val="100"/>
                <w:sz w:val="22"/>
                <w:szCs w:val="22"/>
                <w:highlight w:val="none"/>
                <w:lang w:eastAsia="zh-CN"/>
              </w:rPr>
            </w:pPr>
            <w:r>
              <w:rPr>
                <w:rStyle w:val="12"/>
                <w:rFonts w:hint="eastAsia" w:ascii="宋体" w:hAnsi="宋体" w:eastAsia="宋体" w:cs="宋体"/>
                <w:b w:val="0"/>
                <w:color w:val="auto"/>
                <w:spacing w:val="0"/>
                <w:w w:val="100"/>
                <w:kern w:val="0"/>
                <w:sz w:val="22"/>
                <w:szCs w:val="22"/>
                <w:highlight w:val="none"/>
                <w:lang w:eastAsia="zh-CN"/>
              </w:rPr>
              <w:t>评审</w:t>
            </w:r>
          </w:p>
        </w:tc>
        <w:tc>
          <w:tcPr>
            <w:tcW w:w="821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E08DA5F">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第一个信封（商务及技术文件）评审标准：</w:t>
            </w:r>
          </w:p>
          <w:p w14:paraId="783E450B">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投标文件按照招标文件规定的格式、内容填写，字迹清晰可辨:</w:t>
            </w:r>
          </w:p>
          <w:p w14:paraId="4DE2993F">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a.投标函按招标文件规定填报了项目名称、</w:t>
            </w:r>
            <w:r>
              <w:rPr>
                <w:rStyle w:val="12"/>
                <w:rFonts w:hint="eastAsia" w:ascii="宋体" w:hAnsi="宋体" w:eastAsia="宋体" w:cs="宋体"/>
                <w:b w:val="0"/>
                <w:color w:val="auto"/>
                <w:spacing w:val="0"/>
                <w:w w:val="100"/>
                <w:sz w:val="22"/>
                <w:szCs w:val="22"/>
                <w:highlight w:val="none"/>
                <w:lang w:eastAsia="zh-CN"/>
              </w:rPr>
              <w:t>标段、</w:t>
            </w:r>
            <w:r>
              <w:rPr>
                <w:rStyle w:val="12"/>
                <w:rFonts w:hint="eastAsia" w:ascii="宋体" w:hAnsi="宋体" w:eastAsia="宋体" w:cs="宋体"/>
                <w:b w:val="0"/>
                <w:color w:val="auto"/>
                <w:spacing w:val="0"/>
                <w:w w:val="100"/>
                <w:sz w:val="22"/>
                <w:szCs w:val="22"/>
                <w:highlight w:val="none"/>
              </w:rPr>
              <w:t>补遗书编号（如有）、工期、工程质量要求、安全目标等；</w:t>
            </w:r>
          </w:p>
          <w:p w14:paraId="7C6314BC">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b.投标函附录的所有内容和数据均符合招标文件规定；</w:t>
            </w:r>
          </w:p>
          <w:p w14:paraId="480B74DB">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c.投标文件组成齐全完整，内容均按规定填写。</w:t>
            </w:r>
          </w:p>
          <w:p w14:paraId="45BFEC6F">
            <w:pPr>
              <w:pStyle w:val="21"/>
              <w:spacing w:line="360" w:lineRule="auto"/>
              <w:jc w:val="left"/>
              <w:rPr>
                <w:rStyle w:val="12"/>
                <w:rFonts w:hint="eastAsia" w:ascii="宋体" w:hAnsi="宋体" w:eastAsia="宋体" w:cs="宋体"/>
                <w:b w:val="0"/>
                <w:color w:val="auto"/>
                <w:spacing w:val="0"/>
                <w:w w:val="100"/>
                <w:sz w:val="22"/>
                <w:szCs w:val="22"/>
                <w:highlight w:val="none"/>
                <w:lang w:eastAsia="zh-CN"/>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2</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投标文件上法定代表人或其授权代理人的签字、投标人的单位章盖章齐全，符合招标文件规定</w:t>
            </w:r>
            <w:r>
              <w:rPr>
                <w:rStyle w:val="12"/>
                <w:rFonts w:hint="eastAsia" w:ascii="宋体" w:hAnsi="宋体" w:eastAsia="宋体" w:cs="宋体"/>
                <w:b w:val="0"/>
                <w:color w:val="auto"/>
                <w:spacing w:val="0"/>
                <w:w w:val="100"/>
                <w:sz w:val="22"/>
                <w:szCs w:val="22"/>
                <w:highlight w:val="none"/>
                <w:lang w:eastAsia="zh-CN"/>
              </w:rPr>
              <w:t>。</w:t>
            </w:r>
          </w:p>
          <w:p w14:paraId="389237C1">
            <w:pPr>
              <w:pStyle w:val="21"/>
              <w:spacing w:line="360" w:lineRule="auto"/>
              <w:jc w:val="left"/>
              <w:rPr>
                <w:rStyle w:val="12"/>
                <w:rFonts w:hint="eastAsia" w:ascii="宋体" w:hAnsi="宋体" w:eastAsia="宋体" w:cs="宋体"/>
                <w:b w:val="0"/>
                <w:color w:val="auto"/>
                <w:spacing w:val="0"/>
                <w:w w:val="100"/>
                <w:sz w:val="22"/>
                <w:szCs w:val="22"/>
                <w:highlight w:val="none"/>
                <w:lang w:eastAsia="zh-CN"/>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3</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投标人按照招标文件的规定提供了投标保证金</w:t>
            </w:r>
            <w:r>
              <w:rPr>
                <w:rStyle w:val="12"/>
                <w:rFonts w:hint="eastAsia" w:ascii="宋体" w:hAnsi="宋体" w:eastAsia="宋体" w:cs="宋体"/>
                <w:b w:val="0"/>
                <w:color w:val="auto"/>
                <w:spacing w:val="0"/>
                <w:w w:val="100"/>
                <w:sz w:val="22"/>
                <w:szCs w:val="22"/>
                <w:highlight w:val="none"/>
                <w:lang w:eastAsia="zh-CN"/>
              </w:rPr>
              <w:t>：</w:t>
            </w:r>
          </w:p>
          <w:p w14:paraId="4F45EE20">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a.投标保证金金额符合招标文件规定的金额，且投标保证金有效期不少于投标有效期；</w:t>
            </w:r>
          </w:p>
          <w:p w14:paraId="335662CD">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b.若投标保证金采用现金或支票形式提交，投标人应在递交投标文件截止时间之前，将投标保证金由投标人的基本账户转入招标人指定账户；</w:t>
            </w:r>
          </w:p>
          <w:p w14:paraId="161BDA54">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c.若投标保证金采用</w:t>
            </w:r>
            <w:r>
              <w:rPr>
                <w:rStyle w:val="12"/>
                <w:rFonts w:hint="eastAsia" w:ascii="宋体" w:hAnsi="宋体" w:eastAsia="宋体" w:cs="宋体"/>
                <w:b w:val="0"/>
                <w:color w:val="auto"/>
                <w:spacing w:val="0"/>
                <w:w w:val="100"/>
                <w:sz w:val="22"/>
                <w:szCs w:val="22"/>
                <w:highlight w:val="none"/>
                <w:lang w:eastAsia="zh-CN"/>
              </w:rPr>
              <w:t>银行保函</w:t>
            </w:r>
            <w:r>
              <w:rPr>
                <w:rStyle w:val="12"/>
                <w:rFonts w:hint="eastAsia" w:ascii="宋体" w:hAnsi="宋体" w:eastAsia="宋体" w:cs="宋体"/>
                <w:b w:val="0"/>
                <w:color w:val="auto"/>
                <w:spacing w:val="0"/>
                <w:w w:val="100"/>
                <w:sz w:val="22"/>
                <w:szCs w:val="22"/>
                <w:highlight w:val="none"/>
              </w:rPr>
              <w:t>形式提交，</w:t>
            </w:r>
            <w:r>
              <w:rPr>
                <w:rStyle w:val="12"/>
                <w:rFonts w:hint="eastAsia" w:ascii="宋体" w:hAnsi="宋体" w:eastAsia="宋体" w:cs="宋体"/>
                <w:b w:val="0"/>
                <w:color w:val="auto"/>
                <w:spacing w:val="0"/>
                <w:w w:val="100"/>
                <w:sz w:val="22"/>
                <w:szCs w:val="22"/>
                <w:highlight w:val="none"/>
                <w:lang w:eastAsia="zh-CN"/>
              </w:rPr>
              <w:t>银行</w:t>
            </w:r>
            <w:r>
              <w:rPr>
                <w:rStyle w:val="12"/>
                <w:rFonts w:hint="eastAsia" w:ascii="宋体" w:hAnsi="宋体" w:eastAsia="宋体" w:cs="宋体"/>
                <w:b w:val="0"/>
                <w:color w:val="auto"/>
                <w:spacing w:val="0"/>
                <w:w w:val="100"/>
                <w:sz w:val="22"/>
                <w:szCs w:val="22"/>
                <w:highlight w:val="none"/>
              </w:rPr>
              <w:t>保函的格式、开具保函的银行、保函的有效期均满足招标文件</w:t>
            </w:r>
            <w:r>
              <w:rPr>
                <w:rStyle w:val="12"/>
                <w:rFonts w:hint="eastAsia" w:ascii="宋体" w:hAnsi="宋体" w:eastAsia="宋体" w:cs="宋体"/>
                <w:b w:val="0"/>
                <w:color w:val="auto"/>
                <w:spacing w:val="0"/>
                <w:w w:val="100"/>
                <w:sz w:val="22"/>
                <w:szCs w:val="22"/>
                <w:highlight w:val="none"/>
                <w:lang w:eastAsia="zh-CN"/>
              </w:rPr>
              <w:t>要求</w:t>
            </w:r>
            <w:r>
              <w:rPr>
                <w:rStyle w:val="12"/>
                <w:rFonts w:hint="eastAsia" w:ascii="宋体" w:hAnsi="宋体" w:eastAsia="宋体" w:cs="宋体"/>
                <w:b w:val="0"/>
                <w:color w:val="auto"/>
                <w:spacing w:val="0"/>
                <w:w w:val="100"/>
                <w:sz w:val="22"/>
                <w:szCs w:val="22"/>
                <w:highlight w:val="none"/>
                <w:lang w:val="en-US" w:eastAsia="zh-CN"/>
              </w:rPr>
              <w:t>，且在递交投标文件截止时间之前向招标人提交了银行保函原件。</w:t>
            </w:r>
          </w:p>
          <w:p w14:paraId="1BB6A41D">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val="zh-CN"/>
              </w:rPr>
              <w:t>d.若采用其他形式，满足招标文件的规定。</w:t>
            </w:r>
          </w:p>
          <w:p w14:paraId="24B753B9">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4</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投标人法定代表人授权代理人签署投标文件的，须提交授权委托书，且授权人和被授权人均在授权委托书上签名，</w:t>
            </w:r>
            <w:r>
              <w:rPr>
                <w:rStyle w:val="12"/>
                <w:rFonts w:hint="eastAsia" w:ascii="宋体" w:hAnsi="宋体" w:eastAsia="宋体" w:cs="宋体"/>
                <w:b w:val="0"/>
                <w:color w:val="auto"/>
                <w:spacing w:val="0"/>
                <w:w w:val="100"/>
                <w:sz w:val="22"/>
                <w:szCs w:val="22"/>
                <w:highlight w:val="none"/>
                <w:lang w:val="en-US" w:eastAsia="zh-CN"/>
              </w:rPr>
              <w:t>签字盖章符合招标文件第二章“投标人须知”第3.7.3项规定。</w:t>
            </w:r>
          </w:p>
          <w:p w14:paraId="23FF8E22">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（5）投标人法定代表人亲自签署投标文件的，提供了法定代表人身份证明，且法定代表人在法定代表人身份证明上签名，</w:t>
            </w:r>
            <w:r>
              <w:rPr>
                <w:rStyle w:val="12"/>
                <w:rFonts w:hint="eastAsia" w:ascii="宋体" w:hAnsi="宋体" w:eastAsia="宋体" w:cs="宋体"/>
                <w:b w:val="0"/>
                <w:color w:val="auto"/>
                <w:spacing w:val="0"/>
                <w:w w:val="100"/>
                <w:sz w:val="22"/>
                <w:szCs w:val="22"/>
                <w:highlight w:val="none"/>
                <w:lang w:val="en-US" w:eastAsia="zh-CN"/>
              </w:rPr>
              <w:t>签字盖章符合招标文件第二章“投标人须知”第3.7.3项规定。</w:t>
            </w:r>
          </w:p>
          <w:p w14:paraId="70BE7685">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6</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本项目不接受联合体投标。</w:t>
            </w:r>
          </w:p>
          <w:p w14:paraId="6186829A">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（7）</w:t>
            </w:r>
            <w:r>
              <w:rPr>
                <w:rStyle w:val="12"/>
                <w:rFonts w:hint="eastAsia" w:ascii="宋体" w:hAnsi="宋体" w:eastAsia="宋体" w:cs="宋体"/>
                <w:b w:val="0"/>
                <w:color w:val="auto"/>
                <w:spacing w:val="0"/>
                <w:w w:val="100"/>
                <w:sz w:val="22"/>
                <w:szCs w:val="22"/>
                <w:highlight w:val="none"/>
                <w:lang w:val="en-US" w:eastAsia="zh-CN"/>
              </w:rPr>
              <w:t>本项目不允许分包</w:t>
            </w:r>
            <w:r>
              <w:rPr>
                <w:rStyle w:val="12"/>
                <w:rFonts w:hint="default" w:ascii="宋体" w:hAnsi="宋体" w:eastAsia="宋体" w:cs="宋体"/>
                <w:b w:val="0"/>
                <w:color w:val="auto"/>
                <w:spacing w:val="0"/>
                <w:w w:val="100"/>
                <w:sz w:val="22"/>
                <w:szCs w:val="22"/>
                <w:highlight w:val="none"/>
                <w:lang w:val="zh-CN" w:eastAsia="zh-CN"/>
              </w:rPr>
              <w:t>。</w:t>
            </w:r>
          </w:p>
          <w:p w14:paraId="027D7062">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8</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同一投标人未提交两个以上不同的投标文件</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lang w:val="zh-CN"/>
              </w:rPr>
              <w:t>但招标文件要求提交备选投标的除外。</w:t>
            </w:r>
          </w:p>
          <w:p w14:paraId="159900D4">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9</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投标文件中未出现有关投标报价的内容。</w:t>
            </w:r>
          </w:p>
          <w:p w14:paraId="3C62FC1C">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10</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投标文件载明的招标项目完成期限未超过招标文件规定的时限。</w:t>
            </w:r>
          </w:p>
          <w:p w14:paraId="3128B3F9">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11</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投标文件对招标文件的实质性要求和条件作出了响应。</w:t>
            </w:r>
          </w:p>
          <w:p w14:paraId="041644AE">
            <w:pPr>
              <w:pStyle w:val="21"/>
              <w:spacing w:line="360" w:lineRule="auto"/>
              <w:jc w:val="left"/>
              <w:rPr>
                <w:rStyle w:val="12"/>
                <w:rFonts w:hint="eastAsia" w:ascii="宋体" w:hAnsi="宋体" w:eastAsia="宋体" w:cs="宋体"/>
                <w:b w:val="0"/>
                <w:color w:val="auto"/>
                <w:spacing w:val="0"/>
                <w:w w:val="100"/>
                <w:sz w:val="22"/>
                <w:szCs w:val="22"/>
                <w:highlight w:val="none"/>
                <w:lang w:eastAsia="zh-CN"/>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12</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权利义务符合招标文件规定</w:t>
            </w:r>
            <w:r>
              <w:rPr>
                <w:rStyle w:val="12"/>
                <w:rFonts w:hint="eastAsia" w:ascii="宋体" w:hAnsi="宋体" w:eastAsia="宋体" w:cs="宋体"/>
                <w:b w:val="0"/>
                <w:color w:val="auto"/>
                <w:spacing w:val="0"/>
                <w:w w:val="100"/>
                <w:sz w:val="22"/>
                <w:szCs w:val="22"/>
                <w:highlight w:val="none"/>
                <w:lang w:eastAsia="zh-CN"/>
              </w:rPr>
              <w:t>。</w:t>
            </w:r>
          </w:p>
          <w:p w14:paraId="5D93480C">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a.投标人应接受招标文件规定的风险划分原则，未提出新的风险划分办法；</w:t>
            </w:r>
          </w:p>
          <w:p w14:paraId="35641779">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b.投标人未增加发包人的责任范围，或减少投标人义务；</w:t>
            </w:r>
          </w:p>
          <w:p w14:paraId="24E75996">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c.投标人未提出不同的工程验收、计量、支付办法；</w:t>
            </w:r>
          </w:p>
          <w:p w14:paraId="39954B07">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d.投标人对合同纠纷、事故处理办法未提出异议；</w:t>
            </w:r>
          </w:p>
          <w:p w14:paraId="0C545BD5">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e.投标人在投标活动中无欺诈行为；</w:t>
            </w:r>
          </w:p>
          <w:p w14:paraId="7A2FE5FB">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f.投标人未对合同条款有重要保留。</w:t>
            </w:r>
          </w:p>
          <w:p w14:paraId="64694EB6">
            <w:pPr>
              <w:pStyle w:val="21"/>
              <w:spacing w:line="360" w:lineRule="auto"/>
              <w:jc w:val="left"/>
              <w:rPr>
                <w:rStyle w:val="12"/>
                <w:rFonts w:hint="eastAsia" w:ascii="宋体" w:hAnsi="宋体" w:eastAsia="宋体" w:cs="宋体"/>
                <w:b w:val="0"/>
                <w:color w:val="auto"/>
                <w:spacing w:val="0"/>
                <w:w w:val="100"/>
                <w:sz w:val="22"/>
                <w:szCs w:val="22"/>
                <w:highlight w:val="none"/>
                <w:lang w:eastAsia="zh-CN"/>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13</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lang w:val="zh-CN"/>
              </w:rPr>
              <w:t>围标、串标审查：如果有证据显示投标人以他人名义投标、与他人串通投标、以行贿手段谋取中标，以及投标弄虚作假的，评标委员会应对该投标文件作无效投标处理</w:t>
            </w:r>
            <w:r>
              <w:rPr>
                <w:rStyle w:val="12"/>
                <w:rFonts w:hint="eastAsia" w:ascii="宋体" w:hAnsi="宋体" w:eastAsia="宋体" w:cs="宋体"/>
                <w:b w:val="0"/>
                <w:color w:val="auto"/>
                <w:spacing w:val="0"/>
                <w:w w:val="100"/>
                <w:sz w:val="22"/>
                <w:szCs w:val="22"/>
                <w:highlight w:val="none"/>
                <w:lang w:eastAsia="zh-CN"/>
              </w:rPr>
              <w:t>。</w:t>
            </w:r>
          </w:p>
          <w:p w14:paraId="563AF2AA">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rPr>
              <w:t>14</w:t>
            </w:r>
            <w:r>
              <w:rPr>
                <w:rStyle w:val="12"/>
                <w:rFonts w:hint="eastAsia" w:ascii="宋体" w:hAnsi="宋体" w:eastAsia="宋体" w:cs="宋体"/>
                <w:b w:val="0"/>
                <w:color w:val="auto"/>
                <w:spacing w:val="0"/>
                <w:w w:val="100"/>
                <w:sz w:val="22"/>
                <w:szCs w:val="22"/>
                <w:highlight w:val="none"/>
                <w:lang w:eastAsia="zh-CN"/>
              </w:rPr>
              <w:t>）</w:t>
            </w:r>
            <w:r>
              <w:rPr>
                <w:rStyle w:val="12"/>
                <w:rFonts w:hint="eastAsia" w:ascii="宋体" w:hAnsi="宋体" w:eastAsia="宋体" w:cs="宋体"/>
                <w:b w:val="0"/>
                <w:color w:val="auto"/>
                <w:spacing w:val="0"/>
                <w:w w:val="100"/>
                <w:sz w:val="22"/>
                <w:szCs w:val="22"/>
                <w:highlight w:val="none"/>
                <w:lang w:val="zh-CN"/>
              </w:rPr>
              <w:t>评标委员会要对投标人的财务能力、管理水平和以往施工业绩及履约信誉进行详细评审。如发现投标文件有以下情况之一的，评标委员会将对其作无效投标处理：</w:t>
            </w:r>
          </w:p>
          <w:p w14:paraId="3C5EDAFB">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val="zh-CN"/>
              </w:rPr>
              <w:t>a.承诺的质量标准低于招标文件或国家强制性标准要求；</w:t>
            </w:r>
          </w:p>
          <w:p w14:paraId="08A287E7">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val="zh-CN"/>
              </w:rPr>
              <w:t>b.提供虚假施工业绩及履约信誉证明材料。</w:t>
            </w:r>
          </w:p>
          <w:p w14:paraId="11620C3F">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zh-CN" w:bidi="ar-SA"/>
              </w:rPr>
            </w:pPr>
            <w:r>
              <w:rPr>
                <w:rStyle w:val="12"/>
                <w:rFonts w:hint="eastAsia" w:ascii="宋体" w:hAnsi="宋体" w:eastAsia="宋体" w:cs="宋体"/>
                <w:b w:val="0"/>
                <w:color w:val="auto"/>
                <w:spacing w:val="0"/>
                <w:w w:val="100"/>
                <w:sz w:val="22"/>
                <w:szCs w:val="22"/>
                <w:highlight w:val="none"/>
                <w:lang w:val="zh-CN"/>
              </w:rPr>
              <w:t>（</w:t>
            </w:r>
            <w:r>
              <w:rPr>
                <w:rStyle w:val="12"/>
                <w:rFonts w:hint="eastAsia" w:ascii="宋体" w:hAnsi="宋体" w:eastAsia="宋体" w:cs="宋体"/>
                <w:b w:val="0"/>
                <w:color w:val="auto"/>
                <w:spacing w:val="0"/>
                <w:w w:val="100"/>
                <w:sz w:val="22"/>
                <w:szCs w:val="22"/>
                <w:highlight w:val="none"/>
                <w:lang w:val="en-US" w:eastAsia="zh-CN"/>
              </w:rPr>
              <w:t>15</w:t>
            </w:r>
            <w:r>
              <w:rPr>
                <w:rStyle w:val="12"/>
                <w:rFonts w:hint="eastAsia" w:ascii="宋体" w:hAnsi="宋体" w:eastAsia="宋体" w:cs="宋体"/>
                <w:b w:val="0"/>
                <w:color w:val="auto"/>
                <w:spacing w:val="0"/>
                <w:w w:val="100"/>
                <w:sz w:val="22"/>
                <w:szCs w:val="22"/>
                <w:highlight w:val="none"/>
                <w:lang w:val="zh-CN"/>
              </w:rPr>
              <w:t>）</w:t>
            </w:r>
            <w:r>
              <w:rPr>
                <w:rStyle w:val="12"/>
                <w:rFonts w:hint="eastAsia" w:ascii="宋体" w:hAnsi="宋体" w:eastAsia="宋体" w:cs="宋体"/>
                <w:b w:val="0"/>
                <w:color w:val="auto"/>
                <w:spacing w:val="0"/>
                <w:w w:val="100"/>
                <w:sz w:val="22"/>
                <w:szCs w:val="22"/>
                <w:highlight w:val="none"/>
                <w:lang w:val="en-US" w:eastAsia="zh-CN" w:bidi="ar-SA"/>
              </w:rPr>
              <w:t>投标函上填写的标段号与所投标段号一致。</w:t>
            </w:r>
          </w:p>
          <w:p w14:paraId="5C684C87">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val="zh-CN"/>
              </w:rPr>
              <w:t>（</w:t>
            </w:r>
            <w:r>
              <w:rPr>
                <w:rStyle w:val="12"/>
                <w:rFonts w:hint="eastAsia" w:ascii="宋体" w:hAnsi="宋体" w:eastAsia="宋体" w:cs="宋体"/>
                <w:b w:val="0"/>
                <w:color w:val="auto"/>
                <w:spacing w:val="0"/>
                <w:w w:val="100"/>
                <w:sz w:val="22"/>
                <w:szCs w:val="22"/>
                <w:highlight w:val="none"/>
                <w:lang w:val="en-US" w:eastAsia="zh-CN"/>
              </w:rPr>
              <w:t>16</w:t>
            </w:r>
            <w:r>
              <w:rPr>
                <w:rStyle w:val="12"/>
                <w:rFonts w:hint="eastAsia" w:ascii="宋体" w:hAnsi="宋体" w:eastAsia="宋体" w:cs="宋体"/>
                <w:b w:val="0"/>
                <w:color w:val="auto"/>
                <w:spacing w:val="0"/>
                <w:w w:val="100"/>
                <w:sz w:val="22"/>
                <w:szCs w:val="22"/>
                <w:highlight w:val="none"/>
                <w:lang w:val="zh-CN"/>
              </w:rPr>
              <w:t>）按照评标委员会的要求进行了澄清、说明或补正。</w:t>
            </w:r>
          </w:p>
          <w:p w14:paraId="1527A8B9">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val="zh-CN"/>
              </w:rPr>
              <w:t>（</w:t>
            </w:r>
            <w:r>
              <w:rPr>
                <w:rStyle w:val="12"/>
                <w:rFonts w:hint="eastAsia" w:ascii="宋体" w:hAnsi="宋体" w:eastAsia="宋体" w:cs="宋体"/>
                <w:b w:val="0"/>
                <w:color w:val="auto"/>
                <w:spacing w:val="0"/>
                <w:w w:val="100"/>
                <w:sz w:val="22"/>
                <w:szCs w:val="22"/>
                <w:highlight w:val="none"/>
                <w:lang w:val="en-US" w:eastAsia="zh-CN"/>
              </w:rPr>
              <w:t>17</w:t>
            </w:r>
            <w:r>
              <w:rPr>
                <w:rStyle w:val="12"/>
                <w:rFonts w:hint="eastAsia" w:ascii="宋体" w:hAnsi="宋体" w:eastAsia="宋体" w:cs="宋体"/>
                <w:b w:val="0"/>
                <w:color w:val="auto"/>
                <w:spacing w:val="0"/>
                <w:w w:val="100"/>
                <w:sz w:val="22"/>
                <w:szCs w:val="22"/>
                <w:highlight w:val="none"/>
                <w:lang w:val="zh-CN"/>
              </w:rPr>
              <w:t>）未附有招标人不能接受的其他条件。</w:t>
            </w:r>
          </w:p>
          <w:p w14:paraId="00E05EF7">
            <w:pPr>
              <w:pStyle w:val="21"/>
              <w:spacing w:line="360" w:lineRule="auto"/>
              <w:jc w:val="left"/>
              <w:rPr>
                <w:rStyle w:val="12"/>
                <w:rFonts w:hint="eastAsia" w:ascii="宋体" w:hAnsi="宋体" w:eastAsia="宋体" w:cs="宋体"/>
                <w:b w:val="0"/>
                <w:color w:val="auto"/>
                <w:spacing w:val="0"/>
                <w:w w:val="100"/>
                <w:sz w:val="22"/>
                <w:szCs w:val="22"/>
                <w:highlight w:val="none"/>
                <w:lang w:val="zh-CN"/>
              </w:rPr>
            </w:pPr>
            <w:r>
              <w:rPr>
                <w:rStyle w:val="12"/>
                <w:rFonts w:hint="eastAsia" w:ascii="宋体" w:hAnsi="宋体" w:eastAsia="宋体" w:cs="宋体"/>
                <w:b w:val="0"/>
                <w:color w:val="auto"/>
                <w:spacing w:val="0"/>
                <w:w w:val="100"/>
                <w:sz w:val="22"/>
                <w:szCs w:val="22"/>
                <w:highlight w:val="none"/>
                <w:lang w:val="en-US" w:eastAsia="zh-CN"/>
              </w:rPr>
              <w:t>（18）投标文件符合招标文件的其他相关规定。</w:t>
            </w:r>
          </w:p>
          <w:p w14:paraId="6CAD72DE">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投标文件未满足以上任一条件的，其投标视为无效，评标委员会将否决其投标。</w:t>
            </w:r>
          </w:p>
          <w:p w14:paraId="1C44A6B2">
            <w:pPr>
              <w:pStyle w:val="21"/>
              <w:spacing w:line="360" w:lineRule="auto"/>
              <w:jc w:val="left"/>
              <w:rPr>
                <w:rStyle w:val="12"/>
                <w:rFonts w:hint="eastAsia" w:ascii="宋体" w:hAnsi="宋体" w:eastAsia="宋体" w:cs="宋体"/>
                <w:b w:val="0"/>
                <w:color w:val="auto"/>
                <w:spacing w:val="0"/>
                <w:w w:val="100"/>
                <w:sz w:val="22"/>
                <w:szCs w:val="22"/>
                <w:highlight w:val="none"/>
              </w:rPr>
            </w:pPr>
          </w:p>
          <w:p w14:paraId="6E8FF03D">
            <w:pPr>
              <w:pStyle w:val="21"/>
              <w:spacing w:line="360" w:lineRule="auto"/>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第二个信封（报价文件）评审标准：</w:t>
            </w:r>
          </w:p>
          <w:p w14:paraId="6CF94168">
            <w:pPr>
              <w:pStyle w:val="21"/>
              <w:spacing w:line="360" w:lineRule="auto"/>
              <w:jc w:val="left"/>
              <w:rPr>
                <w:rStyle w:val="12"/>
                <w:rFonts w:hint="eastAsia" w:ascii="宋体" w:hAnsi="宋体" w:eastAsia="宋体" w:cs="宋体"/>
                <w:b w:val="0"/>
                <w:color w:val="auto"/>
                <w:spacing w:val="0"/>
                <w:w w:val="100"/>
                <w:sz w:val="22"/>
                <w:szCs w:val="22"/>
                <w:highlight w:val="none"/>
                <w:lang w:val="en-US" w:eastAsia="zh-CN"/>
              </w:rPr>
            </w:pPr>
            <w:r>
              <w:rPr>
                <w:rStyle w:val="12"/>
                <w:rFonts w:hint="eastAsia" w:ascii="宋体" w:hAnsi="宋体" w:eastAsia="宋体" w:cs="宋体"/>
                <w:b w:val="0"/>
                <w:color w:val="auto"/>
                <w:spacing w:val="0"/>
                <w:w w:val="100"/>
                <w:sz w:val="22"/>
                <w:szCs w:val="22"/>
                <w:highlight w:val="none"/>
                <w:lang w:val="en-US" w:eastAsia="zh-CN"/>
              </w:rPr>
              <w:t>（1）投标文件按照招标文件规定的格式、内容填写，字迹清晰可辨：</w:t>
            </w:r>
          </w:p>
          <w:p w14:paraId="5C9C4E42">
            <w:pPr>
              <w:pStyle w:val="21"/>
              <w:spacing w:line="360" w:lineRule="auto"/>
              <w:jc w:val="left"/>
              <w:rPr>
                <w:rStyle w:val="12"/>
                <w:rFonts w:hint="eastAsia" w:ascii="宋体" w:hAnsi="宋体" w:eastAsia="宋体" w:cs="宋体"/>
                <w:b w:val="0"/>
                <w:color w:val="auto"/>
                <w:spacing w:val="0"/>
                <w:w w:val="100"/>
                <w:sz w:val="22"/>
                <w:szCs w:val="22"/>
                <w:highlight w:val="none"/>
                <w:lang w:val="en-US" w:eastAsia="zh-CN"/>
              </w:rPr>
            </w:pPr>
            <w:r>
              <w:rPr>
                <w:rStyle w:val="12"/>
                <w:rFonts w:hint="eastAsia" w:ascii="宋体" w:hAnsi="宋体" w:eastAsia="宋体" w:cs="宋体"/>
                <w:b w:val="0"/>
                <w:color w:val="auto"/>
                <w:spacing w:val="0"/>
                <w:w w:val="100"/>
                <w:sz w:val="22"/>
                <w:szCs w:val="22"/>
                <w:highlight w:val="none"/>
                <w:lang w:val="en-US" w:eastAsia="zh-CN"/>
              </w:rPr>
              <w:t>a、投标函按招标文件规定填报了项目名称、标段号（如有）、补遗书编号（如有）、投标价（包括大写金额和小写金额）；</w:t>
            </w:r>
          </w:p>
          <w:p w14:paraId="51D20C6F">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rPr>
              <w:t>b、</w:t>
            </w:r>
            <w:r>
              <w:rPr>
                <w:rStyle w:val="12"/>
                <w:rFonts w:hint="eastAsia" w:ascii="宋体" w:hAnsi="宋体" w:eastAsia="宋体" w:cs="宋体"/>
                <w:b w:val="0"/>
                <w:color w:val="auto"/>
                <w:spacing w:val="0"/>
                <w:w w:val="100"/>
                <w:sz w:val="22"/>
                <w:szCs w:val="22"/>
                <w:highlight w:val="none"/>
                <w:lang w:val="en-US" w:eastAsia="zh-CN" w:bidi="ar-SA"/>
              </w:rPr>
              <w:t>已标价工程量清单说明文字与招标文件规定一致，未进行实质性修改和删减；</w:t>
            </w:r>
          </w:p>
          <w:p w14:paraId="1437330D">
            <w:pPr>
              <w:pStyle w:val="21"/>
              <w:spacing w:line="360" w:lineRule="auto"/>
              <w:jc w:val="left"/>
              <w:rPr>
                <w:rStyle w:val="12"/>
                <w:rFonts w:hint="eastAsia" w:ascii="宋体" w:hAnsi="宋体" w:eastAsia="宋体" w:cs="宋体"/>
                <w:b w:val="0"/>
                <w:color w:val="auto"/>
                <w:spacing w:val="0"/>
                <w:w w:val="100"/>
                <w:sz w:val="22"/>
                <w:szCs w:val="22"/>
                <w:highlight w:val="none"/>
                <w:lang w:val="en-US" w:eastAsia="zh-CN"/>
              </w:rPr>
            </w:pPr>
            <w:r>
              <w:rPr>
                <w:rStyle w:val="12"/>
                <w:rFonts w:hint="eastAsia" w:ascii="宋体" w:hAnsi="宋体" w:eastAsia="宋体" w:cs="宋体"/>
                <w:b w:val="0"/>
                <w:color w:val="auto"/>
                <w:spacing w:val="0"/>
                <w:w w:val="100"/>
                <w:sz w:val="22"/>
                <w:szCs w:val="22"/>
                <w:highlight w:val="none"/>
                <w:lang w:val="en-US" w:eastAsia="zh-CN"/>
              </w:rPr>
              <w:t>c、投标文件组成齐全完整，内容均按规定填写。</w:t>
            </w:r>
          </w:p>
          <w:p w14:paraId="790E426A">
            <w:pPr>
              <w:pStyle w:val="21"/>
              <w:spacing w:line="360" w:lineRule="auto"/>
              <w:jc w:val="left"/>
              <w:rPr>
                <w:rStyle w:val="12"/>
                <w:rFonts w:hint="eastAsia" w:ascii="宋体" w:hAnsi="宋体" w:eastAsia="宋体" w:cs="宋体"/>
                <w:b w:val="0"/>
                <w:color w:val="auto"/>
                <w:spacing w:val="0"/>
                <w:w w:val="100"/>
                <w:sz w:val="22"/>
                <w:szCs w:val="22"/>
                <w:highlight w:val="none"/>
                <w:lang w:val="en-US" w:eastAsia="zh-CN"/>
              </w:rPr>
            </w:pPr>
            <w:r>
              <w:rPr>
                <w:rStyle w:val="12"/>
                <w:rFonts w:hint="eastAsia" w:ascii="宋体" w:hAnsi="宋体" w:eastAsia="宋体" w:cs="宋体"/>
                <w:b w:val="0"/>
                <w:color w:val="auto"/>
                <w:spacing w:val="0"/>
                <w:w w:val="100"/>
                <w:sz w:val="22"/>
                <w:szCs w:val="22"/>
                <w:highlight w:val="none"/>
                <w:lang w:val="en-US" w:eastAsia="zh-CN"/>
              </w:rPr>
              <w:t>（2）投标文件上法定代表人或其授权代理人的签名、投标人的单位章盖章齐全，符合招标文件规定。</w:t>
            </w:r>
          </w:p>
          <w:p w14:paraId="4A21D15A">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（3）投标报价未超过招标文件设定的最高投标限价（如有）。 </w:t>
            </w:r>
          </w:p>
          <w:p w14:paraId="7FF13E52">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（4）投标报价的大写金额能够确定具体数值。 </w:t>
            </w:r>
          </w:p>
          <w:p w14:paraId="4A8EAA0E">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（5）同一投标人未提交两个以上不同的投标报价，但招标文件要求提交备选投标的除外。 </w:t>
            </w:r>
          </w:p>
          <w:p w14:paraId="42EDC8F7">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（6）投标人若填写工程量固化清单，填写完毕的工程量固化清单未对工程量固化清单电子文件中的数据、格式和运算定义进行修改；工程量固化清单中的投标报价和投标函大写金额报价一致。 </w:t>
            </w:r>
          </w:p>
          <w:p w14:paraId="7F8822E5">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（7）未修改招标人给定的暂估价（如有）或暂列金额（如有）。 </w:t>
            </w:r>
          </w:p>
          <w:p w14:paraId="037B8E3B">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（8）投标函上填写的标段号与所投标段号一致。</w:t>
            </w:r>
          </w:p>
          <w:p w14:paraId="1C3D4586">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lang w:val="en-US" w:eastAsia="zh-CN" w:bidi="ar-SA"/>
              </w:rPr>
              <w:t>投标文件未满足以上任一条件的，其投标视为无效，评标委员会将否决其投标。</w:t>
            </w:r>
          </w:p>
        </w:tc>
      </w:tr>
      <w:tr w14:paraId="72F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769" w:type="dxa"/>
            <w:tcBorders>
              <w:top w:val="single" w:color="000000" w:sz="2" w:space="0"/>
              <w:left w:val="single" w:color="000000" w:sz="2" w:space="0"/>
              <w:right w:val="single" w:color="000000" w:sz="2" w:space="0"/>
            </w:tcBorders>
            <w:noWrap w:val="0"/>
            <w:tcMar>
              <w:top w:w="100" w:type="dxa"/>
              <w:bottom w:w="100" w:type="dxa"/>
            </w:tcMar>
            <w:vAlign w:val="center"/>
          </w:tcPr>
          <w:p w14:paraId="1888F681">
            <w:pPr>
              <w:pStyle w:val="21"/>
              <w:spacing w:line="360" w:lineRule="auto"/>
              <w:jc w:val="center"/>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2.1.2</w:t>
            </w:r>
          </w:p>
        </w:tc>
        <w:tc>
          <w:tcPr>
            <w:tcW w:w="975" w:type="dxa"/>
            <w:tcBorders>
              <w:top w:val="single" w:color="000000" w:sz="2" w:space="0"/>
              <w:left w:val="single" w:color="000000" w:sz="2" w:space="0"/>
              <w:right w:val="single" w:color="000000" w:sz="2" w:space="0"/>
            </w:tcBorders>
            <w:noWrap w:val="0"/>
            <w:tcMar>
              <w:top w:w="100" w:type="dxa"/>
              <w:bottom w:w="100" w:type="dxa"/>
            </w:tcMar>
            <w:vAlign w:val="center"/>
          </w:tcPr>
          <w:p w14:paraId="46F992BC">
            <w:pPr>
              <w:pStyle w:val="21"/>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Style w:val="12"/>
                <w:rFonts w:hint="eastAsia" w:ascii="宋体" w:hAnsi="宋体" w:eastAsia="宋体" w:cs="宋体"/>
                <w:b w:val="0"/>
                <w:color w:val="auto"/>
                <w:spacing w:val="0"/>
                <w:w w:val="100"/>
                <w:sz w:val="22"/>
                <w:szCs w:val="22"/>
                <w:highlight w:val="none"/>
              </w:rPr>
            </w:pPr>
            <w:r>
              <w:rPr>
                <w:rStyle w:val="12"/>
                <w:rFonts w:hint="eastAsia" w:ascii="宋体" w:hAnsi="宋体" w:eastAsia="宋体" w:cs="宋体"/>
                <w:b w:val="0"/>
                <w:color w:val="auto"/>
                <w:spacing w:val="0"/>
                <w:w w:val="100"/>
                <w:sz w:val="22"/>
                <w:szCs w:val="22"/>
                <w:highlight w:val="none"/>
              </w:rPr>
              <w:t>资格评审标准</w:t>
            </w:r>
          </w:p>
        </w:tc>
        <w:tc>
          <w:tcPr>
            <w:tcW w:w="8219" w:type="dxa"/>
            <w:tcBorders>
              <w:top w:val="single" w:color="000000" w:sz="2" w:space="0"/>
              <w:left w:val="single" w:color="000000" w:sz="2" w:space="0"/>
              <w:bottom w:val="single" w:color="000000" w:sz="2" w:space="0"/>
              <w:right w:val="single" w:color="000000" w:sz="2" w:space="0"/>
            </w:tcBorders>
            <w:noWrap w:val="0"/>
            <w:vAlign w:val="center"/>
          </w:tcPr>
          <w:p w14:paraId="7C898098">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（1）投标人具备有效的企业法人营业执照副本、资质证书、安全生产许可证和基本账户信息扫描件。 </w:t>
            </w:r>
          </w:p>
          <w:p w14:paraId="40B03B76">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（2）投标人的资质等级符合招标文件投标人须知前附表附录 1 的规定。 </w:t>
            </w:r>
          </w:p>
          <w:p w14:paraId="7835F8F3">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（3）投标人的财务状况符合招标文件投标人须知前附表附录 2 的规定。 </w:t>
            </w:r>
          </w:p>
          <w:p w14:paraId="5A7D6329">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（4）投标人的类似项目业绩符合招标文件投标人须知前附表附录 3 的规定。 </w:t>
            </w:r>
          </w:p>
          <w:p w14:paraId="55D66A1D">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（5）投标人的信誉符合招标文件投标人须知前附表附录 4 的规定。 </w:t>
            </w:r>
          </w:p>
          <w:p w14:paraId="34380F9B">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（6）投标人的项目经理和项目总工资格、在岗情况符合招标文件投标人须知前附表附录 5 的规定。 </w:t>
            </w:r>
          </w:p>
          <w:p w14:paraId="4A89B0DA">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val="en-US" w:eastAsia="zh-CN" w:bidi="ar-SA"/>
              </w:rPr>
            </w:pPr>
            <w:r>
              <w:rPr>
                <w:rStyle w:val="12"/>
                <w:rFonts w:hint="eastAsia" w:ascii="宋体" w:hAnsi="宋体" w:eastAsia="宋体" w:cs="宋体"/>
                <w:b w:val="0"/>
                <w:color w:val="auto"/>
                <w:spacing w:val="0"/>
                <w:w w:val="100"/>
                <w:sz w:val="22"/>
                <w:szCs w:val="22"/>
                <w:highlight w:val="none"/>
                <w:lang w:val="en-US" w:eastAsia="zh-CN" w:bidi="ar-SA"/>
              </w:rPr>
              <w:t xml:space="preserve">（7）投标人不存在第二章“投标人须知”第 1.4.3 项或第 1.4.4 项规定的任何一种情形。 </w:t>
            </w:r>
          </w:p>
          <w:p w14:paraId="6555801B">
            <w:pPr>
              <w:keepNext w:val="0"/>
              <w:keepLines w:val="0"/>
              <w:widowControl/>
              <w:suppressLineNumbers w:val="0"/>
              <w:jc w:val="left"/>
              <w:rPr>
                <w:rStyle w:val="12"/>
                <w:rFonts w:hint="eastAsia" w:ascii="宋体" w:hAnsi="宋体" w:eastAsia="宋体" w:cs="宋体"/>
                <w:b w:val="0"/>
                <w:color w:val="auto"/>
                <w:spacing w:val="0"/>
                <w:w w:val="100"/>
                <w:sz w:val="22"/>
                <w:szCs w:val="22"/>
                <w:highlight w:val="none"/>
                <w:lang w:eastAsia="zh-CN"/>
              </w:rPr>
            </w:pPr>
            <w:r>
              <w:rPr>
                <w:rStyle w:val="12"/>
                <w:rFonts w:hint="eastAsia" w:ascii="宋体" w:hAnsi="宋体" w:eastAsia="宋体" w:cs="宋体"/>
                <w:b w:val="0"/>
                <w:color w:val="auto"/>
                <w:spacing w:val="0"/>
                <w:w w:val="100"/>
                <w:sz w:val="22"/>
                <w:szCs w:val="22"/>
                <w:highlight w:val="none"/>
                <w:lang w:val="en-US" w:eastAsia="zh-CN" w:bidi="ar-SA"/>
              </w:rPr>
              <w:t>投标文件未满足以上任一条件的，其投标视为无效，评标委员会将否决其投标。</w:t>
            </w:r>
          </w:p>
        </w:tc>
      </w:tr>
      <w:tr w14:paraId="32B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278B693">
            <w:pPr>
              <w:pStyle w:val="21"/>
              <w:spacing w:line="360" w:lineRule="auto"/>
              <w:jc w:val="left"/>
              <w:rPr>
                <w:rStyle w:val="12"/>
                <w:rFonts w:hint="eastAsia" w:ascii="宋体" w:hAnsi="宋体" w:eastAsia="宋体" w:cs="宋体"/>
                <w:b/>
                <w:color w:val="auto"/>
                <w:spacing w:val="0"/>
                <w:w w:val="100"/>
                <w:sz w:val="22"/>
                <w:szCs w:val="22"/>
                <w:highlight w:val="none"/>
              </w:rPr>
            </w:pPr>
            <w:r>
              <w:rPr>
                <w:rStyle w:val="12"/>
                <w:rFonts w:hint="eastAsia" w:ascii="宋体" w:hAnsi="宋体" w:eastAsia="宋体" w:cs="宋体"/>
                <w:b/>
                <w:color w:val="auto"/>
                <w:spacing w:val="0"/>
                <w:w w:val="100"/>
                <w:sz w:val="22"/>
                <w:szCs w:val="22"/>
                <w:highlight w:val="none"/>
              </w:rPr>
              <w:t>投标人递交的投标文件不满足形式评审与响应性评审标准中任意一项要求的，其投标文件不通过初步审查，评标委员会将否决其投标。</w:t>
            </w:r>
          </w:p>
        </w:tc>
      </w:tr>
      <w:bookmarkEnd w:id="10"/>
    </w:tbl>
    <w:p w14:paraId="42313B89">
      <w:pPr>
        <w:pStyle w:val="22"/>
        <w:spacing w:line="360" w:lineRule="auto"/>
        <w:ind w:firstLine="424" w:firstLineChars="202"/>
        <w:rPr>
          <w:rFonts w:hint="eastAsia" w:ascii="宋体" w:hAnsi="宋体" w:eastAsia="宋体" w:cs="宋体"/>
          <w:color w:val="auto"/>
          <w:sz w:val="21"/>
          <w:highlight w:val="none"/>
        </w:rPr>
      </w:pPr>
    </w:p>
    <w:p w14:paraId="2C3065C7">
      <w:pPr>
        <w:pStyle w:val="22"/>
        <w:spacing w:line="360" w:lineRule="auto"/>
        <w:ind w:firstLine="424" w:firstLineChars="202"/>
        <w:rPr>
          <w:rFonts w:hint="eastAsia" w:ascii="宋体" w:hAnsi="宋体" w:eastAsia="宋体" w:cs="宋体"/>
          <w:color w:val="auto"/>
          <w:sz w:val="21"/>
          <w:highlight w:val="none"/>
        </w:rPr>
      </w:pPr>
    </w:p>
    <w:p w14:paraId="151B0F2E">
      <w:pPr>
        <w:pStyle w:val="22"/>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tbl>
      <w:tblPr>
        <w:tblStyle w:val="17"/>
        <w:tblW w:w="889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914"/>
        <w:gridCol w:w="13"/>
        <w:gridCol w:w="1718"/>
        <w:gridCol w:w="13"/>
        <w:gridCol w:w="1310"/>
        <w:gridCol w:w="14"/>
        <w:gridCol w:w="1309"/>
        <w:gridCol w:w="13"/>
        <w:gridCol w:w="941"/>
        <w:gridCol w:w="14"/>
        <w:gridCol w:w="2629"/>
      </w:tblGrid>
      <w:tr w14:paraId="10A42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 w:type="dxa"/>
            <w:gridSpan w:val="3"/>
            <w:noWrap w:val="0"/>
            <w:vAlign w:val="center"/>
          </w:tcPr>
          <w:p w14:paraId="0357DD81">
            <w:pPr>
              <w:pStyle w:val="16"/>
              <w:spacing w:before="131" w:line="228" w:lineRule="auto"/>
              <w:jc w:val="center"/>
              <w:rPr>
                <w:sz w:val="24"/>
                <w:szCs w:val="24"/>
              </w:rPr>
            </w:pPr>
            <w:bookmarkStart w:id="11" w:name="EB33d07ae736ca4206a4f89a3636cfaa64"/>
            <w:bookmarkEnd w:id="11"/>
            <w:r>
              <w:rPr>
                <w:spacing w:val="6"/>
                <w:sz w:val="24"/>
                <w:szCs w:val="24"/>
              </w:rPr>
              <w:t>条款号</w:t>
            </w:r>
          </w:p>
        </w:tc>
        <w:tc>
          <w:tcPr>
            <w:tcW w:w="1731" w:type="dxa"/>
            <w:gridSpan w:val="2"/>
            <w:noWrap w:val="0"/>
            <w:vAlign w:val="center"/>
          </w:tcPr>
          <w:p w14:paraId="5008A5BD">
            <w:pPr>
              <w:pStyle w:val="16"/>
              <w:spacing w:before="131" w:line="228" w:lineRule="auto"/>
              <w:ind w:left="293"/>
              <w:jc w:val="center"/>
              <w:rPr>
                <w:sz w:val="24"/>
                <w:szCs w:val="24"/>
              </w:rPr>
            </w:pPr>
            <w:r>
              <w:rPr>
                <w:spacing w:val="6"/>
                <w:sz w:val="24"/>
                <w:szCs w:val="24"/>
              </w:rPr>
              <w:t>条款内容</w:t>
            </w:r>
          </w:p>
        </w:tc>
        <w:tc>
          <w:tcPr>
            <w:tcW w:w="6230" w:type="dxa"/>
            <w:gridSpan w:val="7"/>
            <w:noWrap w:val="0"/>
            <w:vAlign w:val="center"/>
          </w:tcPr>
          <w:p w14:paraId="2F69EB85">
            <w:pPr>
              <w:pStyle w:val="16"/>
              <w:spacing w:before="131" w:line="228" w:lineRule="auto"/>
              <w:ind w:left="2701"/>
              <w:jc w:val="center"/>
              <w:rPr>
                <w:sz w:val="24"/>
                <w:szCs w:val="24"/>
              </w:rPr>
            </w:pPr>
            <w:r>
              <w:rPr>
                <w:spacing w:val="6"/>
                <w:sz w:val="24"/>
                <w:szCs w:val="24"/>
              </w:rPr>
              <w:t>编列内容</w:t>
            </w:r>
          </w:p>
        </w:tc>
      </w:tr>
      <w:tr w14:paraId="50F3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929" w:type="dxa"/>
            <w:gridSpan w:val="3"/>
            <w:noWrap w:val="0"/>
            <w:vAlign w:val="center"/>
          </w:tcPr>
          <w:p w14:paraId="52361BD6">
            <w:pPr>
              <w:pStyle w:val="16"/>
              <w:spacing w:before="65" w:line="268" w:lineRule="exact"/>
              <w:jc w:val="center"/>
              <w:rPr>
                <w:sz w:val="24"/>
                <w:szCs w:val="24"/>
              </w:rPr>
            </w:pPr>
            <w:r>
              <w:rPr>
                <w:spacing w:val="2"/>
                <w:position w:val="1"/>
                <w:sz w:val="24"/>
                <w:szCs w:val="24"/>
              </w:rPr>
              <w:t>2.2.1</w:t>
            </w:r>
          </w:p>
        </w:tc>
        <w:tc>
          <w:tcPr>
            <w:tcW w:w="1731" w:type="dxa"/>
            <w:gridSpan w:val="2"/>
            <w:noWrap w:val="0"/>
            <w:vAlign w:val="center"/>
          </w:tcPr>
          <w:p w14:paraId="53C5DDBC">
            <w:pPr>
              <w:pStyle w:val="16"/>
              <w:spacing w:before="65" w:line="228" w:lineRule="auto"/>
              <w:ind w:left="188"/>
              <w:jc w:val="center"/>
              <w:rPr>
                <w:sz w:val="24"/>
                <w:szCs w:val="24"/>
              </w:rPr>
            </w:pPr>
            <w:r>
              <w:rPr>
                <w:spacing w:val="8"/>
                <w:sz w:val="24"/>
                <w:szCs w:val="24"/>
              </w:rPr>
              <w:t>第一个信封评分分值构</w:t>
            </w:r>
            <w:r>
              <w:rPr>
                <w:spacing w:val="7"/>
                <w:sz w:val="24"/>
                <w:szCs w:val="24"/>
              </w:rPr>
              <w:t>成③（总分</w:t>
            </w:r>
            <w:r>
              <w:rPr>
                <w:spacing w:val="-1"/>
                <w:sz w:val="24"/>
                <w:szCs w:val="24"/>
              </w:rPr>
              <w:t>100.00分）</w:t>
            </w:r>
          </w:p>
        </w:tc>
        <w:tc>
          <w:tcPr>
            <w:tcW w:w="6230" w:type="dxa"/>
            <w:gridSpan w:val="7"/>
            <w:noWrap w:val="0"/>
            <w:vAlign w:val="center"/>
          </w:tcPr>
          <w:p w14:paraId="2A93104C">
            <w:pPr>
              <w:pStyle w:val="16"/>
              <w:spacing w:before="130" w:line="228" w:lineRule="auto"/>
              <w:jc w:val="center"/>
              <w:rPr>
                <w:sz w:val="24"/>
                <w:szCs w:val="24"/>
              </w:rPr>
            </w:pPr>
            <w:r>
              <w:rPr>
                <w:spacing w:val="6"/>
                <w:sz w:val="24"/>
                <w:szCs w:val="24"/>
              </w:rPr>
              <w:t>施工组织设计：35.00分</w:t>
            </w:r>
            <w:r>
              <w:rPr>
                <w:spacing w:val="5"/>
                <w:sz w:val="24"/>
                <w:szCs w:val="24"/>
              </w:rPr>
              <w:t>主要人员：25.00分</w:t>
            </w:r>
            <w:r>
              <w:rPr>
                <w:spacing w:val="6"/>
                <w:sz w:val="24"/>
                <w:szCs w:val="24"/>
              </w:rPr>
              <w:t>技术能力：10.00分</w:t>
            </w:r>
            <w:r>
              <w:rPr>
                <w:spacing w:val="5"/>
                <w:sz w:val="24"/>
                <w:szCs w:val="24"/>
              </w:rPr>
              <w:t>履约信誉：15.00分业绩：15.00分</w:t>
            </w:r>
          </w:p>
        </w:tc>
      </w:tr>
      <w:tr w14:paraId="14E8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29" w:type="dxa"/>
            <w:gridSpan w:val="3"/>
            <w:noWrap w:val="0"/>
            <w:vAlign w:val="center"/>
          </w:tcPr>
          <w:p w14:paraId="33A8A8B4">
            <w:pPr>
              <w:pStyle w:val="16"/>
              <w:spacing w:before="65" w:line="268" w:lineRule="exact"/>
              <w:jc w:val="center"/>
              <w:rPr>
                <w:sz w:val="24"/>
                <w:szCs w:val="24"/>
              </w:rPr>
            </w:pPr>
            <w:r>
              <w:rPr>
                <w:spacing w:val="2"/>
                <w:position w:val="1"/>
                <w:sz w:val="24"/>
                <w:szCs w:val="24"/>
              </w:rPr>
              <w:t>2.2.3</w:t>
            </w:r>
          </w:p>
        </w:tc>
        <w:tc>
          <w:tcPr>
            <w:tcW w:w="1731" w:type="dxa"/>
            <w:gridSpan w:val="2"/>
            <w:noWrap w:val="0"/>
            <w:vAlign w:val="center"/>
          </w:tcPr>
          <w:p w14:paraId="5C3A13C7">
            <w:pPr>
              <w:pStyle w:val="16"/>
              <w:spacing w:before="130" w:line="228" w:lineRule="auto"/>
              <w:ind w:left="188"/>
              <w:jc w:val="center"/>
              <w:rPr>
                <w:sz w:val="24"/>
                <w:szCs w:val="24"/>
              </w:rPr>
            </w:pPr>
            <w:r>
              <w:rPr>
                <w:spacing w:val="8"/>
                <w:sz w:val="24"/>
                <w:szCs w:val="24"/>
              </w:rPr>
              <w:t>第二个信封</w:t>
            </w:r>
            <w:r>
              <w:rPr>
                <w:spacing w:val="7"/>
                <w:sz w:val="24"/>
                <w:szCs w:val="24"/>
              </w:rPr>
              <w:t>详细评审标</w:t>
            </w:r>
            <w:r>
              <w:rPr>
                <w:sz w:val="24"/>
                <w:szCs w:val="24"/>
              </w:rPr>
              <w:t>准</w:t>
            </w:r>
          </w:p>
        </w:tc>
        <w:tc>
          <w:tcPr>
            <w:tcW w:w="6230" w:type="dxa"/>
            <w:gridSpan w:val="7"/>
            <w:noWrap w:val="0"/>
            <w:vAlign w:val="center"/>
          </w:tcPr>
          <w:p w14:paraId="4124A376">
            <w:pPr>
              <w:pStyle w:val="16"/>
              <w:spacing w:before="130" w:line="226" w:lineRule="auto"/>
              <w:jc w:val="center"/>
              <w:rPr>
                <w:sz w:val="24"/>
                <w:szCs w:val="24"/>
              </w:rPr>
            </w:pPr>
            <w:r>
              <w:rPr>
                <w:spacing w:val="7"/>
                <w:sz w:val="24"/>
                <w:szCs w:val="24"/>
              </w:rPr>
              <w:t>评标价计算公式：</w:t>
            </w:r>
            <w:r>
              <w:rPr>
                <w:spacing w:val="9"/>
                <w:sz w:val="24"/>
                <w:szCs w:val="24"/>
              </w:rPr>
              <w:t>评标价＝修正后的投标报价－暂估价－暂列金额（不含计日工总</w:t>
            </w:r>
            <w:r>
              <w:rPr>
                <w:spacing w:val="6"/>
                <w:sz w:val="24"/>
                <w:szCs w:val="24"/>
              </w:rPr>
              <w:t>额）</w:t>
            </w:r>
          </w:p>
        </w:tc>
      </w:tr>
      <w:tr w14:paraId="0C287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29" w:type="dxa"/>
            <w:gridSpan w:val="3"/>
            <w:noWrap w:val="0"/>
            <w:vAlign w:val="center"/>
          </w:tcPr>
          <w:p w14:paraId="4C34BE82">
            <w:pPr>
              <w:pStyle w:val="16"/>
              <w:spacing w:before="65" w:line="267" w:lineRule="exact"/>
              <w:jc w:val="center"/>
              <w:rPr>
                <w:sz w:val="24"/>
                <w:szCs w:val="24"/>
              </w:rPr>
            </w:pPr>
            <w:r>
              <w:rPr>
                <w:spacing w:val="2"/>
                <w:position w:val="1"/>
                <w:sz w:val="24"/>
                <w:szCs w:val="24"/>
              </w:rPr>
              <w:t>3.2.4</w:t>
            </w:r>
          </w:p>
        </w:tc>
        <w:tc>
          <w:tcPr>
            <w:tcW w:w="1731" w:type="dxa"/>
            <w:gridSpan w:val="2"/>
            <w:noWrap w:val="0"/>
            <w:vAlign w:val="center"/>
          </w:tcPr>
          <w:p w14:paraId="2BF59FC2">
            <w:pPr>
              <w:pStyle w:val="16"/>
              <w:spacing w:before="130" w:line="228" w:lineRule="auto"/>
              <w:ind w:left="188"/>
              <w:jc w:val="center"/>
              <w:rPr>
                <w:sz w:val="24"/>
                <w:szCs w:val="24"/>
              </w:rPr>
            </w:pPr>
            <w:r>
              <w:rPr>
                <w:spacing w:val="8"/>
                <w:sz w:val="24"/>
                <w:szCs w:val="24"/>
              </w:rPr>
              <w:t>通过第一个信封详细评</w:t>
            </w:r>
            <w:r>
              <w:rPr>
                <w:spacing w:val="6"/>
                <w:sz w:val="24"/>
                <w:szCs w:val="24"/>
              </w:rPr>
              <w:t>审的投标人</w:t>
            </w:r>
            <w:r>
              <w:rPr>
                <w:spacing w:val="3"/>
                <w:sz w:val="24"/>
                <w:szCs w:val="24"/>
              </w:rPr>
              <w:t>数量</w:t>
            </w:r>
          </w:p>
        </w:tc>
        <w:tc>
          <w:tcPr>
            <w:tcW w:w="6230" w:type="dxa"/>
            <w:gridSpan w:val="7"/>
            <w:noWrap w:val="0"/>
            <w:vAlign w:val="center"/>
          </w:tcPr>
          <w:p w14:paraId="3EC1D887">
            <w:pPr>
              <w:pStyle w:val="16"/>
              <w:spacing w:before="65" w:line="221" w:lineRule="auto"/>
              <w:ind w:left="128"/>
              <w:jc w:val="center"/>
              <w:rPr>
                <w:sz w:val="24"/>
                <w:szCs w:val="24"/>
              </w:rPr>
            </w:pPr>
            <w:r>
              <w:rPr>
                <w:spacing w:val="9"/>
                <w:sz w:val="24"/>
                <w:szCs w:val="24"/>
              </w:rPr>
              <w:t>按照投</w:t>
            </w:r>
            <w:r>
              <w:rPr>
                <w:spacing w:val="9"/>
                <w:sz w:val="24"/>
                <w:szCs w:val="24"/>
                <w:highlight w:val="none"/>
              </w:rPr>
              <w:t>标人的商务和技术得分由高到低排序，选择前</w:t>
            </w:r>
            <w:r>
              <w:rPr>
                <w:rFonts w:hint="eastAsia"/>
                <w:spacing w:val="9"/>
                <w:sz w:val="24"/>
                <w:szCs w:val="24"/>
                <w:highlight w:val="none"/>
                <w:lang w:val="en-US" w:eastAsia="zh-CN"/>
              </w:rPr>
              <w:t>5</w:t>
            </w:r>
            <w:r>
              <w:rPr>
                <w:spacing w:val="9"/>
                <w:sz w:val="24"/>
                <w:szCs w:val="24"/>
                <w:highlight w:val="none"/>
              </w:rPr>
              <w:t>名</w:t>
            </w:r>
            <w:r>
              <w:rPr>
                <w:spacing w:val="7"/>
                <w:sz w:val="24"/>
                <w:szCs w:val="24"/>
                <w:highlight w:val="none"/>
              </w:rPr>
              <w:t>通过详细评审。</w:t>
            </w:r>
          </w:p>
        </w:tc>
      </w:tr>
      <w:tr w14:paraId="2346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61" w:type="dxa"/>
            <w:gridSpan w:val="11"/>
            <w:noWrap w:val="0"/>
            <w:vAlign w:val="center"/>
          </w:tcPr>
          <w:p w14:paraId="26BB5116">
            <w:pPr>
              <w:pStyle w:val="16"/>
              <w:spacing w:before="131" w:line="225" w:lineRule="auto"/>
              <w:ind w:left="2690"/>
              <w:jc w:val="center"/>
              <w:rPr>
                <w:sz w:val="24"/>
                <w:szCs w:val="24"/>
              </w:rPr>
            </w:pPr>
            <w:r>
              <w:rPr>
                <w:spacing w:val="9"/>
                <w:sz w:val="24"/>
                <w:szCs w:val="24"/>
              </w:rPr>
              <w:t>评分因素与权重分值</w:t>
            </w:r>
          </w:p>
        </w:tc>
        <w:tc>
          <w:tcPr>
            <w:tcW w:w="2629" w:type="dxa"/>
            <w:vMerge w:val="restart"/>
            <w:tcBorders>
              <w:bottom w:val="nil"/>
            </w:tcBorders>
            <w:noWrap w:val="0"/>
            <w:vAlign w:val="center"/>
          </w:tcPr>
          <w:p w14:paraId="5830818F">
            <w:pPr>
              <w:pStyle w:val="16"/>
              <w:spacing w:before="65" w:line="225" w:lineRule="auto"/>
              <w:ind w:left="190"/>
              <w:jc w:val="center"/>
              <w:rPr>
                <w:sz w:val="24"/>
                <w:szCs w:val="24"/>
              </w:rPr>
            </w:pPr>
            <w:r>
              <w:rPr>
                <w:spacing w:val="8"/>
                <w:sz w:val="24"/>
                <w:szCs w:val="24"/>
              </w:rPr>
              <w:t>评分标准</w:t>
            </w:r>
          </w:p>
        </w:tc>
      </w:tr>
      <w:tr w14:paraId="166C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929" w:type="dxa"/>
            <w:gridSpan w:val="3"/>
            <w:noWrap w:val="0"/>
            <w:vAlign w:val="center"/>
          </w:tcPr>
          <w:p w14:paraId="3937F2D7">
            <w:pPr>
              <w:pStyle w:val="16"/>
              <w:spacing w:before="265" w:line="228" w:lineRule="auto"/>
              <w:ind w:left="312"/>
              <w:jc w:val="center"/>
              <w:rPr>
                <w:sz w:val="24"/>
                <w:szCs w:val="24"/>
              </w:rPr>
            </w:pPr>
            <w:r>
              <w:rPr>
                <w:spacing w:val="6"/>
                <w:sz w:val="24"/>
                <w:szCs w:val="24"/>
              </w:rPr>
              <w:t>条款号</w:t>
            </w:r>
          </w:p>
        </w:tc>
        <w:tc>
          <w:tcPr>
            <w:tcW w:w="1731" w:type="dxa"/>
            <w:gridSpan w:val="2"/>
            <w:noWrap w:val="0"/>
            <w:vAlign w:val="center"/>
          </w:tcPr>
          <w:p w14:paraId="4949FE64">
            <w:pPr>
              <w:pStyle w:val="16"/>
              <w:spacing w:before="265" w:line="228" w:lineRule="auto"/>
              <w:jc w:val="center"/>
              <w:rPr>
                <w:sz w:val="24"/>
                <w:szCs w:val="24"/>
              </w:rPr>
            </w:pPr>
            <w:r>
              <w:rPr>
                <w:spacing w:val="7"/>
                <w:sz w:val="24"/>
                <w:szCs w:val="24"/>
              </w:rPr>
              <w:t>评分因素</w:t>
            </w:r>
          </w:p>
        </w:tc>
        <w:tc>
          <w:tcPr>
            <w:tcW w:w="1324" w:type="dxa"/>
            <w:gridSpan w:val="2"/>
            <w:noWrap w:val="0"/>
            <w:vAlign w:val="center"/>
          </w:tcPr>
          <w:p w14:paraId="4A188036">
            <w:pPr>
              <w:pStyle w:val="16"/>
              <w:spacing w:before="130" w:line="252" w:lineRule="auto"/>
              <w:ind w:left="114" w:right="179" w:hanging="1"/>
              <w:jc w:val="center"/>
              <w:rPr>
                <w:sz w:val="24"/>
                <w:szCs w:val="24"/>
              </w:rPr>
            </w:pPr>
            <w:r>
              <w:rPr>
                <w:spacing w:val="8"/>
                <w:sz w:val="24"/>
                <w:szCs w:val="24"/>
              </w:rPr>
              <w:t>评分因素权</w:t>
            </w:r>
            <w:r>
              <w:rPr>
                <w:spacing w:val="6"/>
                <w:sz w:val="24"/>
                <w:szCs w:val="24"/>
              </w:rPr>
              <w:t>重分值</w:t>
            </w:r>
          </w:p>
        </w:tc>
        <w:tc>
          <w:tcPr>
            <w:tcW w:w="1322" w:type="dxa"/>
            <w:gridSpan w:val="2"/>
            <w:noWrap w:val="0"/>
            <w:vAlign w:val="center"/>
          </w:tcPr>
          <w:p w14:paraId="4A9FE999">
            <w:pPr>
              <w:pStyle w:val="16"/>
              <w:spacing w:before="131" w:line="228" w:lineRule="auto"/>
              <w:ind w:left="120"/>
              <w:jc w:val="center"/>
              <w:rPr>
                <w:sz w:val="24"/>
                <w:szCs w:val="24"/>
              </w:rPr>
            </w:pPr>
            <w:r>
              <w:rPr>
                <w:spacing w:val="6"/>
                <w:sz w:val="24"/>
                <w:szCs w:val="24"/>
              </w:rPr>
              <w:t>各评分因素细分项</w:t>
            </w:r>
          </w:p>
        </w:tc>
        <w:tc>
          <w:tcPr>
            <w:tcW w:w="955" w:type="dxa"/>
            <w:gridSpan w:val="2"/>
            <w:noWrap w:val="0"/>
            <w:vAlign w:val="center"/>
          </w:tcPr>
          <w:p w14:paraId="6EBA0986">
            <w:pPr>
              <w:pStyle w:val="16"/>
              <w:spacing w:before="265" w:line="228" w:lineRule="auto"/>
              <w:ind w:left="332"/>
              <w:jc w:val="center"/>
              <w:rPr>
                <w:sz w:val="24"/>
                <w:szCs w:val="24"/>
              </w:rPr>
            </w:pPr>
            <w:r>
              <w:rPr>
                <w:spacing w:val="3"/>
                <w:sz w:val="24"/>
                <w:szCs w:val="24"/>
              </w:rPr>
              <w:t>分值</w:t>
            </w:r>
          </w:p>
        </w:tc>
        <w:tc>
          <w:tcPr>
            <w:tcW w:w="2629" w:type="dxa"/>
            <w:vMerge w:val="continue"/>
            <w:tcBorders>
              <w:top w:val="nil"/>
            </w:tcBorders>
            <w:noWrap w:val="0"/>
            <w:vAlign w:val="center"/>
          </w:tcPr>
          <w:p w14:paraId="4469CE08">
            <w:pPr>
              <w:jc w:val="center"/>
              <w:rPr>
                <w:rFonts w:ascii="Arial"/>
                <w:sz w:val="24"/>
                <w:szCs w:val="24"/>
              </w:rPr>
            </w:pPr>
          </w:p>
        </w:tc>
      </w:tr>
      <w:tr w14:paraId="14295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29" w:type="dxa"/>
            <w:gridSpan w:val="3"/>
            <w:vMerge w:val="restart"/>
            <w:noWrap w:val="0"/>
            <w:vAlign w:val="center"/>
          </w:tcPr>
          <w:p w14:paraId="2EF9B3F8">
            <w:pPr>
              <w:pStyle w:val="16"/>
              <w:spacing w:before="65"/>
              <w:ind w:left="116"/>
              <w:jc w:val="center"/>
              <w:rPr>
                <w:sz w:val="24"/>
                <w:szCs w:val="24"/>
              </w:rPr>
            </w:pPr>
            <w:r>
              <w:rPr>
                <w:spacing w:val="3"/>
                <w:sz w:val="24"/>
                <w:szCs w:val="24"/>
              </w:rPr>
              <w:t>2.2.2（1）</w:t>
            </w:r>
          </w:p>
        </w:tc>
        <w:tc>
          <w:tcPr>
            <w:tcW w:w="1731" w:type="dxa"/>
            <w:gridSpan w:val="2"/>
            <w:vMerge w:val="restart"/>
            <w:tcBorders>
              <w:bottom w:val="nil"/>
            </w:tcBorders>
            <w:noWrap w:val="0"/>
            <w:vAlign w:val="center"/>
          </w:tcPr>
          <w:p w14:paraId="67CA12E0">
            <w:pPr>
              <w:pStyle w:val="16"/>
              <w:spacing w:before="65" w:line="229" w:lineRule="auto"/>
              <w:jc w:val="center"/>
              <w:rPr>
                <w:sz w:val="24"/>
                <w:szCs w:val="24"/>
              </w:rPr>
            </w:pPr>
            <w:r>
              <w:rPr>
                <w:spacing w:val="8"/>
                <w:sz w:val="24"/>
                <w:szCs w:val="24"/>
              </w:rPr>
              <w:t>施工组织设计</w:t>
            </w:r>
          </w:p>
        </w:tc>
        <w:tc>
          <w:tcPr>
            <w:tcW w:w="1324" w:type="dxa"/>
            <w:gridSpan w:val="2"/>
            <w:vMerge w:val="restart"/>
            <w:tcBorders>
              <w:bottom w:val="nil"/>
            </w:tcBorders>
            <w:noWrap w:val="0"/>
            <w:vAlign w:val="center"/>
          </w:tcPr>
          <w:p w14:paraId="0C87A64A">
            <w:pPr>
              <w:pStyle w:val="16"/>
              <w:spacing w:before="65" w:line="268" w:lineRule="exact"/>
              <w:ind w:left="418"/>
              <w:jc w:val="center"/>
              <w:rPr>
                <w:sz w:val="24"/>
                <w:szCs w:val="24"/>
              </w:rPr>
            </w:pPr>
            <w:r>
              <w:rPr>
                <w:spacing w:val="2"/>
                <w:position w:val="1"/>
                <w:sz w:val="24"/>
                <w:szCs w:val="24"/>
              </w:rPr>
              <w:t>35.00</w:t>
            </w:r>
          </w:p>
        </w:tc>
        <w:tc>
          <w:tcPr>
            <w:tcW w:w="1322" w:type="dxa"/>
            <w:gridSpan w:val="2"/>
            <w:noWrap w:val="0"/>
            <w:vAlign w:val="center"/>
          </w:tcPr>
          <w:p w14:paraId="0BCFFB73">
            <w:pPr>
              <w:pStyle w:val="16"/>
              <w:spacing w:before="65" w:line="229" w:lineRule="auto"/>
              <w:ind w:left="119"/>
              <w:jc w:val="center"/>
              <w:rPr>
                <w:sz w:val="24"/>
                <w:szCs w:val="24"/>
              </w:rPr>
            </w:pPr>
            <w:r>
              <w:rPr>
                <w:spacing w:val="5"/>
                <w:sz w:val="24"/>
                <w:szCs w:val="24"/>
              </w:rPr>
              <w:t>总体施工</w:t>
            </w:r>
            <w:r>
              <w:rPr>
                <w:spacing w:val="6"/>
                <w:sz w:val="24"/>
                <w:szCs w:val="24"/>
              </w:rPr>
              <w:t>组织布置</w:t>
            </w:r>
            <w:r>
              <w:rPr>
                <w:spacing w:val="7"/>
                <w:sz w:val="24"/>
                <w:szCs w:val="24"/>
              </w:rPr>
              <w:t>及规划</w:t>
            </w:r>
          </w:p>
        </w:tc>
        <w:tc>
          <w:tcPr>
            <w:tcW w:w="955" w:type="dxa"/>
            <w:gridSpan w:val="2"/>
            <w:noWrap w:val="0"/>
            <w:vAlign w:val="center"/>
          </w:tcPr>
          <w:p w14:paraId="7C52DDDF">
            <w:pPr>
              <w:pStyle w:val="16"/>
              <w:spacing w:before="65" w:line="268" w:lineRule="exact"/>
              <w:ind w:left="387"/>
              <w:jc w:val="center"/>
              <w:rPr>
                <w:sz w:val="24"/>
                <w:szCs w:val="24"/>
              </w:rPr>
            </w:pPr>
            <w:r>
              <w:rPr>
                <w:spacing w:val="1"/>
                <w:position w:val="1"/>
                <w:sz w:val="24"/>
                <w:szCs w:val="24"/>
              </w:rPr>
              <w:t>5.0</w:t>
            </w:r>
          </w:p>
        </w:tc>
        <w:tc>
          <w:tcPr>
            <w:tcW w:w="2629" w:type="dxa"/>
            <w:noWrap w:val="0"/>
            <w:vAlign w:val="center"/>
          </w:tcPr>
          <w:p w14:paraId="18003677">
            <w:pPr>
              <w:pStyle w:val="16"/>
              <w:spacing w:before="129" w:line="228" w:lineRule="auto"/>
              <w:ind w:left="116"/>
              <w:jc w:val="center"/>
              <w:rPr>
                <w:sz w:val="24"/>
                <w:szCs w:val="24"/>
              </w:rPr>
            </w:pPr>
            <w:r>
              <w:rPr>
                <w:spacing w:val="16"/>
                <w:sz w:val="24"/>
                <w:szCs w:val="24"/>
              </w:rPr>
              <w:t>优：得4.5~</w:t>
            </w:r>
            <w:r>
              <w:rPr>
                <w:sz w:val="24"/>
                <w:szCs w:val="24"/>
              </w:rPr>
              <w:t>5.0分；</w:t>
            </w:r>
          </w:p>
          <w:p w14:paraId="58B6F21E">
            <w:pPr>
              <w:pStyle w:val="16"/>
              <w:spacing w:before="129" w:line="228" w:lineRule="auto"/>
              <w:ind w:left="116"/>
              <w:jc w:val="center"/>
              <w:rPr>
                <w:spacing w:val="1"/>
                <w:sz w:val="24"/>
                <w:szCs w:val="24"/>
              </w:rPr>
            </w:pPr>
            <w:r>
              <w:rPr>
                <w:spacing w:val="10"/>
                <w:sz w:val="24"/>
                <w:szCs w:val="24"/>
              </w:rPr>
              <w:t>良：得3.5~</w:t>
            </w:r>
            <w:r>
              <w:rPr>
                <w:spacing w:val="1"/>
                <w:sz w:val="24"/>
                <w:szCs w:val="24"/>
              </w:rPr>
              <w:t>4.5分；</w:t>
            </w:r>
          </w:p>
          <w:p w14:paraId="19A33954">
            <w:pPr>
              <w:pStyle w:val="16"/>
              <w:spacing w:before="129" w:line="228" w:lineRule="auto"/>
              <w:ind w:left="116"/>
              <w:jc w:val="center"/>
              <w:rPr>
                <w:sz w:val="24"/>
                <w:szCs w:val="24"/>
              </w:rPr>
            </w:pPr>
            <w:r>
              <w:rPr>
                <w:spacing w:val="12"/>
                <w:sz w:val="24"/>
                <w:szCs w:val="24"/>
              </w:rPr>
              <w:t>中：得3.0~</w:t>
            </w:r>
            <w:r>
              <w:rPr>
                <w:sz w:val="24"/>
                <w:szCs w:val="24"/>
              </w:rPr>
              <w:t>3.5分；</w:t>
            </w:r>
          </w:p>
          <w:p w14:paraId="7A5D5815">
            <w:pPr>
              <w:pStyle w:val="16"/>
              <w:spacing w:before="129" w:line="228" w:lineRule="auto"/>
              <w:ind w:left="116"/>
              <w:jc w:val="center"/>
              <w:rPr>
                <w:sz w:val="24"/>
                <w:szCs w:val="24"/>
              </w:rPr>
            </w:pPr>
            <w:r>
              <w:rPr>
                <w:spacing w:val="-2"/>
                <w:sz w:val="24"/>
                <w:szCs w:val="24"/>
              </w:rPr>
              <w:t>差：评分低于</w:t>
            </w:r>
            <w:r>
              <w:rPr>
                <w:spacing w:val="3"/>
                <w:sz w:val="24"/>
                <w:szCs w:val="24"/>
              </w:rPr>
              <w:t>3.0分，且作</w:t>
            </w:r>
            <w:r>
              <w:rPr>
                <w:spacing w:val="1"/>
                <w:sz w:val="24"/>
                <w:szCs w:val="24"/>
              </w:rPr>
              <w:t>出评审说明。</w:t>
            </w:r>
          </w:p>
        </w:tc>
      </w:tr>
      <w:tr w14:paraId="74F00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trPr>
        <w:tc>
          <w:tcPr>
            <w:tcW w:w="929" w:type="dxa"/>
            <w:gridSpan w:val="3"/>
            <w:vMerge w:val="continue"/>
            <w:noWrap w:val="0"/>
            <w:vAlign w:val="center"/>
          </w:tcPr>
          <w:p w14:paraId="2AE8A0A8">
            <w:pPr>
              <w:jc w:val="center"/>
              <w:rPr>
                <w:rFonts w:ascii="Arial"/>
                <w:sz w:val="24"/>
                <w:szCs w:val="24"/>
              </w:rPr>
            </w:pPr>
          </w:p>
        </w:tc>
        <w:tc>
          <w:tcPr>
            <w:tcW w:w="1731" w:type="dxa"/>
            <w:gridSpan w:val="2"/>
            <w:vMerge w:val="continue"/>
            <w:tcBorders>
              <w:top w:val="nil"/>
              <w:bottom w:val="nil"/>
            </w:tcBorders>
            <w:noWrap w:val="0"/>
            <w:vAlign w:val="center"/>
          </w:tcPr>
          <w:p w14:paraId="2FFDB679">
            <w:pPr>
              <w:jc w:val="center"/>
              <w:rPr>
                <w:rFonts w:ascii="Arial"/>
                <w:sz w:val="24"/>
                <w:szCs w:val="24"/>
              </w:rPr>
            </w:pPr>
          </w:p>
        </w:tc>
        <w:tc>
          <w:tcPr>
            <w:tcW w:w="1324" w:type="dxa"/>
            <w:gridSpan w:val="2"/>
            <w:vMerge w:val="continue"/>
            <w:tcBorders>
              <w:top w:val="nil"/>
              <w:bottom w:val="nil"/>
            </w:tcBorders>
            <w:noWrap w:val="0"/>
            <w:vAlign w:val="center"/>
          </w:tcPr>
          <w:p w14:paraId="46690D8E">
            <w:pPr>
              <w:jc w:val="center"/>
              <w:rPr>
                <w:rFonts w:ascii="Arial"/>
                <w:sz w:val="24"/>
                <w:szCs w:val="24"/>
              </w:rPr>
            </w:pPr>
          </w:p>
        </w:tc>
        <w:tc>
          <w:tcPr>
            <w:tcW w:w="1322" w:type="dxa"/>
            <w:gridSpan w:val="2"/>
            <w:noWrap w:val="0"/>
            <w:vAlign w:val="center"/>
          </w:tcPr>
          <w:p w14:paraId="7875FD7E">
            <w:pPr>
              <w:pStyle w:val="16"/>
              <w:spacing w:before="65" w:line="228" w:lineRule="auto"/>
              <w:ind w:left="116"/>
              <w:jc w:val="center"/>
              <w:rPr>
                <w:sz w:val="24"/>
                <w:szCs w:val="24"/>
              </w:rPr>
            </w:pPr>
            <w:r>
              <w:rPr>
                <w:spacing w:val="5"/>
                <w:sz w:val="24"/>
                <w:szCs w:val="24"/>
              </w:rPr>
              <w:t>项目重</w:t>
            </w:r>
            <w:r>
              <w:rPr>
                <w:spacing w:val="4"/>
                <w:sz w:val="24"/>
                <w:szCs w:val="24"/>
              </w:rPr>
              <w:t>点、难点</w:t>
            </w:r>
            <w:r>
              <w:rPr>
                <w:spacing w:val="6"/>
                <w:sz w:val="24"/>
                <w:szCs w:val="24"/>
              </w:rPr>
              <w:t>工程的施工方案及</w:t>
            </w:r>
            <w:r>
              <w:rPr>
                <w:spacing w:val="7"/>
                <w:sz w:val="24"/>
                <w:szCs w:val="24"/>
              </w:rPr>
              <w:t>技术措施</w:t>
            </w:r>
          </w:p>
        </w:tc>
        <w:tc>
          <w:tcPr>
            <w:tcW w:w="955" w:type="dxa"/>
            <w:gridSpan w:val="2"/>
            <w:noWrap w:val="0"/>
            <w:vAlign w:val="center"/>
          </w:tcPr>
          <w:p w14:paraId="1C265206">
            <w:pPr>
              <w:pStyle w:val="16"/>
              <w:spacing w:before="65" w:line="268" w:lineRule="exact"/>
              <w:ind w:left="387"/>
              <w:jc w:val="center"/>
              <w:rPr>
                <w:sz w:val="24"/>
                <w:szCs w:val="24"/>
              </w:rPr>
            </w:pPr>
            <w:r>
              <w:rPr>
                <w:position w:val="1"/>
                <w:sz w:val="24"/>
                <w:szCs w:val="24"/>
              </w:rPr>
              <w:t>7.0</w:t>
            </w:r>
          </w:p>
        </w:tc>
        <w:tc>
          <w:tcPr>
            <w:tcW w:w="2629" w:type="dxa"/>
            <w:noWrap w:val="0"/>
            <w:vAlign w:val="center"/>
          </w:tcPr>
          <w:p w14:paraId="072997D8">
            <w:pPr>
              <w:pStyle w:val="16"/>
              <w:spacing w:before="131" w:line="228" w:lineRule="auto"/>
              <w:ind w:left="116"/>
              <w:jc w:val="center"/>
              <w:rPr>
                <w:sz w:val="24"/>
                <w:szCs w:val="24"/>
              </w:rPr>
            </w:pPr>
            <w:r>
              <w:rPr>
                <w:spacing w:val="15"/>
                <w:sz w:val="24"/>
                <w:szCs w:val="24"/>
              </w:rPr>
              <w:t>优：得6.3~</w:t>
            </w:r>
            <w:r>
              <w:rPr>
                <w:sz w:val="24"/>
                <w:szCs w:val="24"/>
              </w:rPr>
              <w:t>7.0分；</w:t>
            </w:r>
          </w:p>
          <w:p w14:paraId="1C25A9BF">
            <w:pPr>
              <w:pStyle w:val="16"/>
              <w:spacing w:before="131" w:line="228" w:lineRule="auto"/>
              <w:ind w:left="116"/>
              <w:jc w:val="center"/>
              <w:rPr>
                <w:sz w:val="24"/>
                <w:szCs w:val="24"/>
              </w:rPr>
            </w:pPr>
            <w:r>
              <w:rPr>
                <w:spacing w:val="11"/>
                <w:sz w:val="24"/>
                <w:szCs w:val="24"/>
              </w:rPr>
              <w:t>良：得4.9~</w:t>
            </w:r>
            <w:r>
              <w:rPr>
                <w:sz w:val="24"/>
                <w:szCs w:val="24"/>
              </w:rPr>
              <w:t>6.3分；</w:t>
            </w:r>
          </w:p>
          <w:p w14:paraId="79697F23">
            <w:pPr>
              <w:pStyle w:val="16"/>
              <w:spacing w:before="131" w:line="228" w:lineRule="auto"/>
              <w:ind w:left="116"/>
              <w:jc w:val="center"/>
              <w:rPr>
                <w:spacing w:val="1"/>
                <w:sz w:val="24"/>
                <w:szCs w:val="24"/>
              </w:rPr>
            </w:pPr>
            <w:r>
              <w:rPr>
                <w:spacing w:val="13"/>
                <w:sz w:val="24"/>
                <w:szCs w:val="24"/>
              </w:rPr>
              <w:t>中：得4.2~</w:t>
            </w:r>
            <w:r>
              <w:rPr>
                <w:spacing w:val="1"/>
                <w:sz w:val="24"/>
                <w:szCs w:val="24"/>
              </w:rPr>
              <w:t>4.9分；</w:t>
            </w:r>
          </w:p>
          <w:p w14:paraId="174D9B40">
            <w:pPr>
              <w:pStyle w:val="16"/>
              <w:spacing w:before="131" w:line="228" w:lineRule="auto"/>
              <w:ind w:left="116"/>
              <w:jc w:val="center"/>
              <w:rPr>
                <w:sz w:val="24"/>
                <w:szCs w:val="24"/>
              </w:rPr>
            </w:pPr>
            <w:r>
              <w:rPr>
                <w:spacing w:val="-2"/>
                <w:sz w:val="24"/>
                <w:szCs w:val="24"/>
              </w:rPr>
              <w:t>差：评分低于</w:t>
            </w:r>
            <w:r>
              <w:rPr>
                <w:spacing w:val="4"/>
                <w:sz w:val="24"/>
                <w:szCs w:val="24"/>
              </w:rPr>
              <w:t>4.2分，且作</w:t>
            </w:r>
            <w:r>
              <w:rPr>
                <w:spacing w:val="3"/>
                <w:sz w:val="24"/>
                <w:szCs w:val="24"/>
              </w:rPr>
              <w:t>出评审说明。</w:t>
            </w:r>
          </w:p>
        </w:tc>
      </w:tr>
      <w:tr w14:paraId="4C51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929" w:type="dxa"/>
            <w:gridSpan w:val="3"/>
            <w:vMerge w:val="continue"/>
            <w:noWrap w:val="0"/>
            <w:vAlign w:val="center"/>
          </w:tcPr>
          <w:p w14:paraId="2CCCB2B7">
            <w:pPr>
              <w:jc w:val="center"/>
              <w:rPr>
                <w:rFonts w:ascii="Arial"/>
                <w:sz w:val="24"/>
                <w:szCs w:val="24"/>
              </w:rPr>
            </w:pPr>
          </w:p>
        </w:tc>
        <w:tc>
          <w:tcPr>
            <w:tcW w:w="1731" w:type="dxa"/>
            <w:gridSpan w:val="2"/>
            <w:vMerge w:val="continue"/>
            <w:tcBorders>
              <w:top w:val="nil"/>
            </w:tcBorders>
            <w:noWrap w:val="0"/>
            <w:vAlign w:val="center"/>
          </w:tcPr>
          <w:p w14:paraId="08D154F7">
            <w:pPr>
              <w:jc w:val="center"/>
              <w:rPr>
                <w:rFonts w:ascii="Arial"/>
                <w:sz w:val="24"/>
                <w:szCs w:val="24"/>
              </w:rPr>
            </w:pPr>
          </w:p>
        </w:tc>
        <w:tc>
          <w:tcPr>
            <w:tcW w:w="1324" w:type="dxa"/>
            <w:gridSpan w:val="2"/>
            <w:vMerge w:val="continue"/>
            <w:tcBorders>
              <w:top w:val="nil"/>
            </w:tcBorders>
            <w:noWrap w:val="0"/>
            <w:vAlign w:val="center"/>
          </w:tcPr>
          <w:p w14:paraId="279244FC">
            <w:pPr>
              <w:jc w:val="center"/>
              <w:rPr>
                <w:rFonts w:ascii="Arial"/>
                <w:sz w:val="24"/>
                <w:szCs w:val="24"/>
              </w:rPr>
            </w:pPr>
          </w:p>
        </w:tc>
        <w:tc>
          <w:tcPr>
            <w:tcW w:w="1322" w:type="dxa"/>
            <w:gridSpan w:val="2"/>
            <w:noWrap w:val="0"/>
            <w:vAlign w:val="center"/>
          </w:tcPr>
          <w:p w14:paraId="28350972">
            <w:pPr>
              <w:pStyle w:val="16"/>
              <w:spacing w:before="65" w:line="228" w:lineRule="auto"/>
              <w:ind w:left="116"/>
              <w:jc w:val="center"/>
              <w:rPr>
                <w:sz w:val="24"/>
                <w:szCs w:val="24"/>
              </w:rPr>
            </w:pPr>
            <w:r>
              <w:rPr>
                <w:spacing w:val="6"/>
                <w:sz w:val="24"/>
                <w:szCs w:val="24"/>
              </w:rPr>
              <w:t>工程质量管理体系</w:t>
            </w:r>
            <w:r>
              <w:rPr>
                <w:spacing w:val="7"/>
                <w:sz w:val="24"/>
                <w:szCs w:val="24"/>
              </w:rPr>
              <w:t>及保证措</w:t>
            </w:r>
            <w:r>
              <w:rPr>
                <w:spacing w:val="1"/>
                <w:sz w:val="24"/>
                <w:szCs w:val="24"/>
              </w:rPr>
              <w:t>施</w:t>
            </w:r>
          </w:p>
        </w:tc>
        <w:tc>
          <w:tcPr>
            <w:tcW w:w="955" w:type="dxa"/>
            <w:gridSpan w:val="2"/>
            <w:noWrap w:val="0"/>
            <w:vAlign w:val="center"/>
          </w:tcPr>
          <w:p w14:paraId="373D4C86">
            <w:pPr>
              <w:pStyle w:val="16"/>
              <w:spacing w:before="65" w:line="267" w:lineRule="exact"/>
              <w:ind w:left="387"/>
              <w:jc w:val="center"/>
              <w:rPr>
                <w:sz w:val="24"/>
                <w:szCs w:val="24"/>
              </w:rPr>
            </w:pPr>
            <w:r>
              <w:rPr>
                <w:spacing w:val="1"/>
                <w:position w:val="1"/>
                <w:sz w:val="24"/>
                <w:szCs w:val="24"/>
              </w:rPr>
              <w:t>5.0</w:t>
            </w:r>
          </w:p>
        </w:tc>
        <w:tc>
          <w:tcPr>
            <w:tcW w:w="2629" w:type="dxa"/>
            <w:noWrap w:val="0"/>
            <w:vAlign w:val="center"/>
          </w:tcPr>
          <w:p w14:paraId="34043BF5">
            <w:pPr>
              <w:pStyle w:val="16"/>
              <w:spacing w:before="133" w:line="228" w:lineRule="auto"/>
              <w:ind w:left="116"/>
              <w:jc w:val="center"/>
              <w:rPr>
                <w:sz w:val="24"/>
                <w:szCs w:val="24"/>
              </w:rPr>
            </w:pPr>
            <w:r>
              <w:rPr>
                <w:spacing w:val="16"/>
                <w:sz w:val="24"/>
                <w:szCs w:val="24"/>
              </w:rPr>
              <w:t>优：得4.5~</w:t>
            </w:r>
            <w:r>
              <w:rPr>
                <w:sz w:val="24"/>
                <w:szCs w:val="24"/>
              </w:rPr>
              <w:t>5.0分；</w:t>
            </w:r>
          </w:p>
          <w:p w14:paraId="61AE570E">
            <w:pPr>
              <w:pStyle w:val="16"/>
              <w:spacing w:before="133" w:line="228" w:lineRule="auto"/>
              <w:ind w:left="116"/>
              <w:jc w:val="center"/>
              <w:rPr>
                <w:spacing w:val="1"/>
                <w:sz w:val="24"/>
                <w:szCs w:val="24"/>
              </w:rPr>
            </w:pPr>
            <w:r>
              <w:rPr>
                <w:spacing w:val="10"/>
                <w:sz w:val="24"/>
                <w:szCs w:val="24"/>
              </w:rPr>
              <w:t>良：得3.5~</w:t>
            </w:r>
            <w:r>
              <w:rPr>
                <w:spacing w:val="1"/>
                <w:sz w:val="24"/>
                <w:szCs w:val="24"/>
              </w:rPr>
              <w:t>4.5分；</w:t>
            </w:r>
          </w:p>
          <w:p w14:paraId="2AE9D91C">
            <w:pPr>
              <w:pStyle w:val="16"/>
              <w:spacing w:before="133" w:line="228" w:lineRule="auto"/>
              <w:ind w:left="116"/>
              <w:jc w:val="center"/>
              <w:rPr>
                <w:sz w:val="24"/>
                <w:szCs w:val="24"/>
              </w:rPr>
            </w:pPr>
            <w:r>
              <w:rPr>
                <w:spacing w:val="12"/>
                <w:sz w:val="24"/>
                <w:szCs w:val="24"/>
              </w:rPr>
              <w:t>中：得3.0~</w:t>
            </w:r>
            <w:r>
              <w:rPr>
                <w:sz w:val="24"/>
                <w:szCs w:val="24"/>
              </w:rPr>
              <w:t>3.5分；</w:t>
            </w:r>
          </w:p>
          <w:p w14:paraId="33A3F9D1">
            <w:pPr>
              <w:pStyle w:val="16"/>
              <w:spacing w:before="133" w:line="228" w:lineRule="auto"/>
              <w:ind w:left="116"/>
              <w:jc w:val="center"/>
              <w:rPr>
                <w:sz w:val="24"/>
                <w:szCs w:val="24"/>
              </w:rPr>
            </w:pPr>
            <w:r>
              <w:rPr>
                <w:spacing w:val="-2"/>
                <w:sz w:val="24"/>
                <w:szCs w:val="24"/>
              </w:rPr>
              <w:t>差：评分低于</w:t>
            </w:r>
            <w:r>
              <w:rPr>
                <w:spacing w:val="3"/>
                <w:sz w:val="24"/>
                <w:szCs w:val="24"/>
              </w:rPr>
              <w:t>3.0分，且作出评审说明。</w:t>
            </w:r>
          </w:p>
        </w:tc>
      </w:tr>
      <w:tr w14:paraId="6621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042" w:hRule="atLeast"/>
        </w:trPr>
        <w:tc>
          <w:tcPr>
            <w:tcW w:w="927" w:type="dxa"/>
            <w:gridSpan w:val="2"/>
            <w:vMerge w:val="restart"/>
            <w:noWrap w:val="0"/>
            <w:vAlign w:val="center"/>
          </w:tcPr>
          <w:p w14:paraId="5080487A">
            <w:pPr>
              <w:jc w:val="center"/>
              <w:rPr>
                <w:rFonts w:ascii="Arial"/>
                <w:sz w:val="24"/>
                <w:szCs w:val="24"/>
              </w:rPr>
            </w:pPr>
          </w:p>
        </w:tc>
        <w:tc>
          <w:tcPr>
            <w:tcW w:w="1731" w:type="dxa"/>
            <w:gridSpan w:val="2"/>
            <w:vMerge w:val="continue"/>
            <w:tcBorders>
              <w:top w:val="nil"/>
              <w:bottom w:val="nil"/>
            </w:tcBorders>
            <w:noWrap w:val="0"/>
            <w:vAlign w:val="center"/>
          </w:tcPr>
          <w:p w14:paraId="20B9E3CE">
            <w:pPr>
              <w:jc w:val="center"/>
              <w:rPr>
                <w:rFonts w:ascii="Arial"/>
                <w:sz w:val="24"/>
                <w:szCs w:val="24"/>
              </w:rPr>
            </w:pPr>
          </w:p>
        </w:tc>
        <w:tc>
          <w:tcPr>
            <w:tcW w:w="1324" w:type="dxa"/>
            <w:gridSpan w:val="2"/>
            <w:vMerge w:val="continue"/>
            <w:tcBorders>
              <w:top w:val="nil"/>
              <w:bottom w:val="nil"/>
            </w:tcBorders>
            <w:noWrap w:val="0"/>
            <w:vAlign w:val="center"/>
          </w:tcPr>
          <w:p w14:paraId="3133DAB4">
            <w:pPr>
              <w:jc w:val="center"/>
              <w:rPr>
                <w:rFonts w:ascii="Arial"/>
                <w:sz w:val="24"/>
                <w:szCs w:val="24"/>
              </w:rPr>
            </w:pPr>
          </w:p>
        </w:tc>
        <w:tc>
          <w:tcPr>
            <w:tcW w:w="1322" w:type="dxa"/>
            <w:gridSpan w:val="2"/>
            <w:noWrap w:val="0"/>
            <w:vAlign w:val="center"/>
          </w:tcPr>
          <w:p w14:paraId="26C30778">
            <w:pPr>
              <w:pStyle w:val="16"/>
              <w:spacing w:before="65" w:line="252" w:lineRule="auto"/>
              <w:ind w:left="113" w:right="116" w:firstLine="2"/>
              <w:jc w:val="center"/>
              <w:rPr>
                <w:sz w:val="24"/>
                <w:szCs w:val="24"/>
              </w:rPr>
            </w:pPr>
            <w:r>
              <w:rPr>
                <w:spacing w:val="6"/>
                <w:sz w:val="24"/>
                <w:szCs w:val="24"/>
              </w:rPr>
              <w:t>工期保证</w:t>
            </w:r>
            <w:r>
              <w:rPr>
                <w:spacing w:val="4"/>
                <w:sz w:val="24"/>
                <w:szCs w:val="24"/>
              </w:rPr>
              <w:t>措施</w:t>
            </w:r>
          </w:p>
        </w:tc>
        <w:tc>
          <w:tcPr>
            <w:tcW w:w="955" w:type="dxa"/>
            <w:gridSpan w:val="2"/>
            <w:noWrap w:val="0"/>
            <w:vAlign w:val="center"/>
          </w:tcPr>
          <w:p w14:paraId="1F5443BF">
            <w:pPr>
              <w:pStyle w:val="16"/>
              <w:spacing w:before="65" w:line="268" w:lineRule="exact"/>
              <w:ind w:left="387"/>
              <w:jc w:val="center"/>
              <w:rPr>
                <w:sz w:val="24"/>
                <w:szCs w:val="24"/>
              </w:rPr>
            </w:pPr>
            <w:r>
              <w:rPr>
                <w:spacing w:val="1"/>
                <w:position w:val="1"/>
                <w:sz w:val="24"/>
                <w:szCs w:val="24"/>
              </w:rPr>
              <w:t>5.0</w:t>
            </w:r>
          </w:p>
        </w:tc>
        <w:tc>
          <w:tcPr>
            <w:tcW w:w="2629" w:type="dxa"/>
            <w:noWrap w:val="0"/>
            <w:vAlign w:val="center"/>
          </w:tcPr>
          <w:p w14:paraId="47829ED5">
            <w:pPr>
              <w:pStyle w:val="16"/>
              <w:spacing w:before="129" w:line="228" w:lineRule="auto"/>
              <w:ind w:left="116"/>
              <w:jc w:val="center"/>
              <w:rPr>
                <w:sz w:val="24"/>
                <w:szCs w:val="24"/>
              </w:rPr>
            </w:pPr>
            <w:r>
              <w:rPr>
                <w:spacing w:val="16"/>
                <w:sz w:val="24"/>
                <w:szCs w:val="24"/>
              </w:rPr>
              <w:t>优：得4.5~</w:t>
            </w:r>
            <w:r>
              <w:rPr>
                <w:sz w:val="24"/>
                <w:szCs w:val="24"/>
              </w:rPr>
              <w:t>5.0分；</w:t>
            </w:r>
          </w:p>
          <w:p w14:paraId="01E12FC9">
            <w:pPr>
              <w:pStyle w:val="16"/>
              <w:spacing w:before="129" w:line="228" w:lineRule="auto"/>
              <w:ind w:left="116"/>
              <w:jc w:val="center"/>
              <w:rPr>
                <w:spacing w:val="1"/>
                <w:sz w:val="24"/>
                <w:szCs w:val="24"/>
              </w:rPr>
            </w:pPr>
            <w:r>
              <w:rPr>
                <w:spacing w:val="10"/>
                <w:sz w:val="24"/>
                <w:szCs w:val="24"/>
              </w:rPr>
              <w:t>良：得3.5~</w:t>
            </w:r>
            <w:r>
              <w:rPr>
                <w:spacing w:val="1"/>
                <w:sz w:val="24"/>
                <w:szCs w:val="24"/>
              </w:rPr>
              <w:t>4.5分；</w:t>
            </w:r>
          </w:p>
          <w:p w14:paraId="47A2970D">
            <w:pPr>
              <w:pStyle w:val="16"/>
              <w:spacing w:before="129" w:line="228" w:lineRule="auto"/>
              <w:ind w:left="116"/>
              <w:jc w:val="center"/>
              <w:rPr>
                <w:sz w:val="24"/>
                <w:szCs w:val="24"/>
              </w:rPr>
            </w:pPr>
            <w:r>
              <w:rPr>
                <w:spacing w:val="12"/>
                <w:sz w:val="24"/>
                <w:szCs w:val="24"/>
              </w:rPr>
              <w:t>中：得3.0~</w:t>
            </w:r>
            <w:r>
              <w:rPr>
                <w:sz w:val="24"/>
                <w:szCs w:val="24"/>
              </w:rPr>
              <w:t>3.5分；</w:t>
            </w:r>
          </w:p>
          <w:p w14:paraId="2D1713DA">
            <w:pPr>
              <w:pStyle w:val="16"/>
              <w:spacing w:before="129" w:line="228" w:lineRule="auto"/>
              <w:ind w:left="116"/>
              <w:jc w:val="center"/>
              <w:rPr>
                <w:sz w:val="24"/>
                <w:szCs w:val="24"/>
              </w:rPr>
            </w:pPr>
            <w:r>
              <w:rPr>
                <w:spacing w:val="-2"/>
                <w:sz w:val="24"/>
                <w:szCs w:val="24"/>
              </w:rPr>
              <w:t>差：评分低于</w:t>
            </w:r>
            <w:r>
              <w:rPr>
                <w:spacing w:val="3"/>
                <w:sz w:val="24"/>
                <w:szCs w:val="24"/>
              </w:rPr>
              <w:t>3.0分，且作</w:t>
            </w:r>
            <w:r>
              <w:rPr>
                <w:spacing w:val="1"/>
                <w:sz w:val="24"/>
                <w:szCs w:val="24"/>
              </w:rPr>
              <w:t>出评审说明。</w:t>
            </w:r>
          </w:p>
        </w:tc>
      </w:tr>
      <w:tr w14:paraId="1B481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042" w:hRule="atLeast"/>
        </w:trPr>
        <w:tc>
          <w:tcPr>
            <w:tcW w:w="927" w:type="dxa"/>
            <w:gridSpan w:val="2"/>
            <w:vMerge w:val="continue"/>
            <w:noWrap w:val="0"/>
            <w:vAlign w:val="center"/>
          </w:tcPr>
          <w:p w14:paraId="6DC00249">
            <w:pPr>
              <w:jc w:val="center"/>
              <w:rPr>
                <w:rFonts w:ascii="Arial"/>
                <w:sz w:val="24"/>
                <w:szCs w:val="24"/>
              </w:rPr>
            </w:pPr>
          </w:p>
        </w:tc>
        <w:tc>
          <w:tcPr>
            <w:tcW w:w="1731" w:type="dxa"/>
            <w:gridSpan w:val="2"/>
            <w:vMerge w:val="continue"/>
            <w:tcBorders>
              <w:top w:val="nil"/>
              <w:bottom w:val="nil"/>
            </w:tcBorders>
            <w:noWrap w:val="0"/>
            <w:vAlign w:val="center"/>
          </w:tcPr>
          <w:p w14:paraId="6A0A25A4">
            <w:pPr>
              <w:jc w:val="center"/>
              <w:rPr>
                <w:rFonts w:ascii="Arial"/>
                <w:sz w:val="24"/>
                <w:szCs w:val="24"/>
              </w:rPr>
            </w:pPr>
          </w:p>
        </w:tc>
        <w:tc>
          <w:tcPr>
            <w:tcW w:w="1324" w:type="dxa"/>
            <w:gridSpan w:val="2"/>
            <w:vMerge w:val="continue"/>
            <w:tcBorders>
              <w:top w:val="nil"/>
              <w:bottom w:val="nil"/>
            </w:tcBorders>
            <w:noWrap w:val="0"/>
            <w:vAlign w:val="center"/>
          </w:tcPr>
          <w:p w14:paraId="65F18068">
            <w:pPr>
              <w:jc w:val="center"/>
              <w:rPr>
                <w:rFonts w:ascii="Arial"/>
                <w:sz w:val="24"/>
                <w:szCs w:val="24"/>
              </w:rPr>
            </w:pPr>
          </w:p>
        </w:tc>
        <w:tc>
          <w:tcPr>
            <w:tcW w:w="1322" w:type="dxa"/>
            <w:gridSpan w:val="2"/>
            <w:noWrap w:val="0"/>
            <w:vAlign w:val="center"/>
          </w:tcPr>
          <w:p w14:paraId="0D95C25E">
            <w:pPr>
              <w:pStyle w:val="16"/>
              <w:spacing w:before="65" w:line="228" w:lineRule="auto"/>
              <w:ind w:left="117"/>
              <w:jc w:val="center"/>
              <w:rPr>
                <w:sz w:val="24"/>
                <w:szCs w:val="24"/>
              </w:rPr>
            </w:pPr>
            <w:r>
              <w:rPr>
                <w:spacing w:val="6"/>
                <w:sz w:val="24"/>
                <w:szCs w:val="24"/>
              </w:rPr>
              <w:t>安全生产</w:t>
            </w:r>
            <w:r>
              <w:rPr>
                <w:spacing w:val="7"/>
                <w:sz w:val="24"/>
                <w:szCs w:val="24"/>
              </w:rPr>
              <w:t>保证措施</w:t>
            </w:r>
          </w:p>
        </w:tc>
        <w:tc>
          <w:tcPr>
            <w:tcW w:w="955" w:type="dxa"/>
            <w:gridSpan w:val="2"/>
            <w:noWrap w:val="0"/>
            <w:vAlign w:val="center"/>
          </w:tcPr>
          <w:p w14:paraId="6A85C200">
            <w:pPr>
              <w:pStyle w:val="16"/>
              <w:spacing w:before="65" w:line="267" w:lineRule="exact"/>
              <w:ind w:left="387"/>
              <w:jc w:val="center"/>
              <w:rPr>
                <w:sz w:val="24"/>
                <w:szCs w:val="24"/>
              </w:rPr>
            </w:pPr>
            <w:r>
              <w:rPr>
                <w:spacing w:val="1"/>
                <w:position w:val="1"/>
                <w:sz w:val="24"/>
                <w:szCs w:val="24"/>
              </w:rPr>
              <w:t>3.0</w:t>
            </w:r>
          </w:p>
        </w:tc>
        <w:tc>
          <w:tcPr>
            <w:tcW w:w="2629" w:type="dxa"/>
            <w:noWrap w:val="0"/>
            <w:vAlign w:val="center"/>
          </w:tcPr>
          <w:p w14:paraId="610E8770">
            <w:pPr>
              <w:pStyle w:val="16"/>
              <w:spacing w:before="129" w:line="228" w:lineRule="auto"/>
              <w:ind w:left="116"/>
              <w:jc w:val="center"/>
              <w:rPr>
                <w:sz w:val="24"/>
                <w:szCs w:val="24"/>
              </w:rPr>
            </w:pPr>
            <w:r>
              <w:rPr>
                <w:spacing w:val="15"/>
                <w:sz w:val="24"/>
                <w:szCs w:val="24"/>
              </w:rPr>
              <w:t>优：得2.7~</w:t>
            </w:r>
            <w:r>
              <w:rPr>
                <w:sz w:val="24"/>
                <w:szCs w:val="24"/>
              </w:rPr>
              <w:t>3.0分；</w:t>
            </w:r>
          </w:p>
          <w:p w14:paraId="0F6D35A5">
            <w:pPr>
              <w:pStyle w:val="16"/>
              <w:spacing w:before="129" w:line="228" w:lineRule="auto"/>
              <w:ind w:left="116"/>
              <w:jc w:val="center"/>
              <w:rPr>
                <w:sz w:val="24"/>
                <w:szCs w:val="24"/>
              </w:rPr>
            </w:pPr>
            <w:r>
              <w:rPr>
                <w:spacing w:val="10"/>
                <w:sz w:val="24"/>
                <w:szCs w:val="24"/>
              </w:rPr>
              <w:t>良：得2.1~</w:t>
            </w:r>
            <w:r>
              <w:rPr>
                <w:sz w:val="24"/>
                <w:szCs w:val="24"/>
              </w:rPr>
              <w:t>2.7分；</w:t>
            </w:r>
          </w:p>
          <w:p w14:paraId="704B9A8E">
            <w:pPr>
              <w:pStyle w:val="16"/>
              <w:spacing w:before="129" w:line="228" w:lineRule="auto"/>
              <w:ind w:left="116"/>
              <w:jc w:val="center"/>
              <w:rPr>
                <w:sz w:val="24"/>
                <w:szCs w:val="24"/>
              </w:rPr>
            </w:pPr>
            <w:r>
              <w:rPr>
                <w:spacing w:val="10"/>
                <w:sz w:val="24"/>
                <w:szCs w:val="24"/>
              </w:rPr>
              <w:t>中：得1.8~</w:t>
            </w:r>
            <w:r>
              <w:rPr>
                <w:sz w:val="24"/>
                <w:szCs w:val="24"/>
              </w:rPr>
              <w:t>2.1分；</w:t>
            </w:r>
          </w:p>
          <w:p w14:paraId="70178C3C">
            <w:pPr>
              <w:pStyle w:val="16"/>
              <w:spacing w:before="129" w:line="228" w:lineRule="auto"/>
              <w:ind w:left="116"/>
              <w:jc w:val="center"/>
              <w:rPr>
                <w:sz w:val="24"/>
                <w:szCs w:val="24"/>
              </w:rPr>
            </w:pPr>
            <w:r>
              <w:rPr>
                <w:spacing w:val="-2"/>
                <w:sz w:val="24"/>
                <w:szCs w:val="24"/>
              </w:rPr>
              <w:t>差：评分低于</w:t>
            </w:r>
            <w:r>
              <w:rPr>
                <w:spacing w:val="2"/>
                <w:sz w:val="24"/>
                <w:szCs w:val="24"/>
              </w:rPr>
              <w:t>1.8分，且作</w:t>
            </w:r>
            <w:r>
              <w:rPr>
                <w:spacing w:val="3"/>
                <w:sz w:val="24"/>
                <w:szCs w:val="24"/>
              </w:rPr>
              <w:t>出评审说明。</w:t>
            </w:r>
          </w:p>
        </w:tc>
      </w:tr>
      <w:tr w14:paraId="5D2D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922" w:hRule="atLeast"/>
        </w:trPr>
        <w:tc>
          <w:tcPr>
            <w:tcW w:w="927" w:type="dxa"/>
            <w:gridSpan w:val="2"/>
            <w:vMerge w:val="continue"/>
            <w:noWrap w:val="0"/>
            <w:vAlign w:val="center"/>
          </w:tcPr>
          <w:p w14:paraId="0D88EECC">
            <w:pPr>
              <w:jc w:val="center"/>
              <w:rPr>
                <w:rFonts w:ascii="Arial"/>
                <w:sz w:val="24"/>
                <w:szCs w:val="24"/>
              </w:rPr>
            </w:pPr>
          </w:p>
        </w:tc>
        <w:tc>
          <w:tcPr>
            <w:tcW w:w="1731" w:type="dxa"/>
            <w:gridSpan w:val="2"/>
            <w:vMerge w:val="continue"/>
            <w:tcBorders>
              <w:top w:val="nil"/>
              <w:bottom w:val="nil"/>
            </w:tcBorders>
            <w:noWrap w:val="0"/>
            <w:vAlign w:val="center"/>
          </w:tcPr>
          <w:p w14:paraId="16EE5BE0">
            <w:pPr>
              <w:jc w:val="center"/>
              <w:rPr>
                <w:rFonts w:ascii="Arial"/>
                <w:sz w:val="24"/>
                <w:szCs w:val="24"/>
              </w:rPr>
            </w:pPr>
          </w:p>
        </w:tc>
        <w:tc>
          <w:tcPr>
            <w:tcW w:w="1324" w:type="dxa"/>
            <w:gridSpan w:val="2"/>
            <w:vMerge w:val="continue"/>
            <w:tcBorders>
              <w:top w:val="nil"/>
              <w:bottom w:val="nil"/>
            </w:tcBorders>
            <w:noWrap w:val="0"/>
            <w:vAlign w:val="center"/>
          </w:tcPr>
          <w:p w14:paraId="31F70378">
            <w:pPr>
              <w:jc w:val="center"/>
              <w:rPr>
                <w:rFonts w:ascii="Arial"/>
                <w:sz w:val="24"/>
                <w:szCs w:val="24"/>
              </w:rPr>
            </w:pPr>
          </w:p>
        </w:tc>
        <w:tc>
          <w:tcPr>
            <w:tcW w:w="1322" w:type="dxa"/>
            <w:gridSpan w:val="2"/>
            <w:noWrap w:val="0"/>
            <w:vAlign w:val="center"/>
          </w:tcPr>
          <w:p w14:paraId="4D9851BF">
            <w:pPr>
              <w:pStyle w:val="16"/>
              <w:spacing w:before="130" w:line="228" w:lineRule="auto"/>
              <w:ind w:left="113"/>
              <w:jc w:val="center"/>
              <w:rPr>
                <w:sz w:val="24"/>
                <w:szCs w:val="24"/>
              </w:rPr>
            </w:pPr>
            <w:r>
              <w:rPr>
                <w:spacing w:val="6"/>
                <w:sz w:val="24"/>
                <w:szCs w:val="24"/>
              </w:rPr>
              <w:t>环境保</w:t>
            </w:r>
            <w:r>
              <w:rPr>
                <w:spacing w:val="7"/>
                <w:sz w:val="24"/>
                <w:szCs w:val="24"/>
              </w:rPr>
              <w:t>护、水土保持、施</w:t>
            </w:r>
            <w:r>
              <w:rPr>
                <w:spacing w:val="6"/>
                <w:sz w:val="24"/>
                <w:szCs w:val="24"/>
              </w:rPr>
              <w:t>工后期的</w:t>
            </w:r>
            <w:r>
              <w:rPr>
                <w:spacing w:val="7"/>
                <w:sz w:val="24"/>
                <w:szCs w:val="24"/>
              </w:rPr>
              <w:t>场地恢复措施及文</w:t>
            </w:r>
            <w:r>
              <w:rPr>
                <w:spacing w:val="2"/>
                <w:sz w:val="24"/>
                <w:szCs w:val="24"/>
              </w:rPr>
              <w:t>明施工保</w:t>
            </w:r>
            <w:r>
              <w:rPr>
                <w:spacing w:val="7"/>
                <w:sz w:val="24"/>
                <w:szCs w:val="24"/>
              </w:rPr>
              <w:t>证措施道</w:t>
            </w:r>
            <w:r>
              <w:rPr>
                <w:spacing w:val="6"/>
                <w:sz w:val="24"/>
                <w:szCs w:val="24"/>
              </w:rPr>
              <w:t>路保畅措</w:t>
            </w:r>
            <w:r>
              <w:rPr>
                <w:spacing w:val="1"/>
                <w:sz w:val="24"/>
                <w:szCs w:val="24"/>
              </w:rPr>
              <w:t>施</w:t>
            </w:r>
          </w:p>
        </w:tc>
        <w:tc>
          <w:tcPr>
            <w:tcW w:w="955" w:type="dxa"/>
            <w:gridSpan w:val="2"/>
            <w:noWrap w:val="0"/>
            <w:vAlign w:val="center"/>
          </w:tcPr>
          <w:p w14:paraId="5BDDBD4D">
            <w:pPr>
              <w:pStyle w:val="16"/>
              <w:spacing w:before="65" w:line="268" w:lineRule="exact"/>
              <w:ind w:left="387"/>
              <w:jc w:val="center"/>
              <w:rPr>
                <w:sz w:val="24"/>
                <w:szCs w:val="24"/>
              </w:rPr>
            </w:pPr>
            <w:r>
              <w:rPr>
                <w:spacing w:val="1"/>
                <w:position w:val="1"/>
                <w:sz w:val="24"/>
                <w:szCs w:val="24"/>
              </w:rPr>
              <w:t>5.0</w:t>
            </w:r>
          </w:p>
        </w:tc>
        <w:tc>
          <w:tcPr>
            <w:tcW w:w="2629" w:type="dxa"/>
            <w:noWrap w:val="0"/>
            <w:vAlign w:val="center"/>
          </w:tcPr>
          <w:p w14:paraId="506E8B6D">
            <w:pPr>
              <w:pStyle w:val="16"/>
              <w:spacing w:before="264" w:line="228" w:lineRule="auto"/>
              <w:ind w:left="116"/>
              <w:jc w:val="center"/>
              <w:rPr>
                <w:sz w:val="24"/>
                <w:szCs w:val="24"/>
              </w:rPr>
            </w:pPr>
            <w:r>
              <w:rPr>
                <w:spacing w:val="16"/>
                <w:sz w:val="24"/>
                <w:szCs w:val="24"/>
              </w:rPr>
              <w:t>优：得4.5~</w:t>
            </w:r>
            <w:r>
              <w:rPr>
                <w:sz w:val="24"/>
                <w:szCs w:val="24"/>
              </w:rPr>
              <w:t>5.0分；</w:t>
            </w:r>
          </w:p>
          <w:p w14:paraId="7859F600">
            <w:pPr>
              <w:pStyle w:val="16"/>
              <w:spacing w:before="264" w:line="228" w:lineRule="auto"/>
              <w:ind w:left="116"/>
              <w:jc w:val="center"/>
              <w:rPr>
                <w:spacing w:val="1"/>
                <w:sz w:val="24"/>
                <w:szCs w:val="24"/>
              </w:rPr>
            </w:pPr>
            <w:r>
              <w:rPr>
                <w:spacing w:val="10"/>
                <w:sz w:val="24"/>
                <w:szCs w:val="24"/>
              </w:rPr>
              <w:t>良：得3.5~</w:t>
            </w:r>
            <w:r>
              <w:rPr>
                <w:spacing w:val="1"/>
                <w:sz w:val="24"/>
                <w:szCs w:val="24"/>
              </w:rPr>
              <w:t>4.5分；</w:t>
            </w:r>
          </w:p>
          <w:p w14:paraId="39600A5F">
            <w:pPr>
              <w:pStyle w:val="16"/>
              <w:spacing w:before="264" w:line="228" w:lineRule="auto"/>
              <w:ind w:left="116"/>
              <w:jc w:val="center"/>
              <w:rPr>
                <w:sz w:val="24"/>
                <w:szCs w:val="24"/>
              </w:rPr>
            </w:pPr>
            <w:r>
              <w:rPr>
                <w:spacing w:val="12"/>
                <w:sz w:val="24"/>
                <w:szCs w:val="24"/>
              </w:rPr>
              <w:t>中：得3.0~</w:t>
            </w:r>
            <w:r>
              <w:rPr>
                <w:sz w:val="24"/>
                <w:szCs w:val="24"/>
              </w:rPr>
              <w:t>3.5分；</w:t>
            </w:r>
          </w:p>
          <w:p w14:paraId="3435252A">
            <w:pPr>
              <w:pStyle w:val="16"/>
              <w:spacing w:before="264" w:line="228" w:lineRule="auto"/>
              <w:ind w:left="116"/>
              <w:jc w:val="center"/>
              <w:rPr>
                <w:sz w:val="24"/>
                <w:szCs w:val="24"/>
              </w:rPr>
            </w:pPr>
            <w:r>
              <w:rPr>
                <w:spacing w:val="-2"/>
                <w:sz w:val="24"/>
                <w:szCs w:val="24"/>
              </w:rPr>
              <w:t>差：评分低于</w:t>
            </w:r>
            <w:r>
              <w:rPr>
                <w:spacing w:val="3"/>
                <w:sz w:val="24"/>
                <w:szCs w:val="24"/>
              </w:rPr>
              <w:t>3.0分，且作</w:t>
            </w:r>
            <w:r>
              <w:rPr>
                <w:spacing w:val="1"/>
                <w:sz w:val="24"/>
                <w:szCs w:val="24"/>
              </w:rPr>
              <w:t>出评审说明。</w:t>
            </w:r>
          </w:p>
        </w:tc>
      </w:tr>
      <w:tr w14:paraId="7A930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650" w:hRule="atLeast"/>
        </w:trPr>
        <w:tc>
          <w:tcPr>
            <w:tcW w:w="927" w:type="dxa"/>
            <w:gridSpan w:val="2"/>
            <w:vMerge w:val="continue"/>
            <w:noWrap w:val="0"/>
            <w:vAlign w:val="center"/>
          </w:tcPr>
          <w:p w14:paraId="15E0E11E">
            <w:pPr>
              <w:jc w:val="center"/>
              <w:rPr>
                <w:rFonts w:ascii="Arial"/>
                <w:sz w:val="24"/>
                <w:szCs w:val="24"/>
              </w:rPr>
            </w:pPr>
          </w:p>
        </w:tc>
        <w:tc>
          <w:tcPr>
            <w:tcW w:w="1731" w:type="dxa"/>
            <w:gridSpan w:val="2"/>
            <w:vMerge w:val="continue"/>
            <w:tcBorders>
              <w:top w:val="nil"/>
            </w:tcBorders>
            <w:noWrap w:val="0"/>
            <w:vAlign w:val="center"/>
          </w:tcPr>
          <w:p w14:paraId="313E58F2">
            <w:pPr>
              <w:jc w:val="center"/>
              <w:rPr>
                <w:rFonts w:ascii="Arial"/>
                <w:sz w:val="24"/>
                <w:szCs w:val="24"/>
              </w:rPr>
            </w:pPr>
          </w:p>
        </w:tc>
        <w:tc>
          <w:tcPr>
            <w:tcW w:w="1324" w:type="dxa"/>
            <w:gridSpan w:val="2"/>
            <w:vMerge w:val="continue"/>
            <w:tcBorders>
              <w:top w:val="nil"/>
            </w:tcBorders>
            <w:noWrap w:val="0"/>
            <w:vAlign w:val="center"/>
          </w:tcPr>
          <w:p w14:paraId="2C5CEA57">
            <w:pPr>
              <w:jc w:val="center"/>
              <w:rPr>
                <w:rFonts w:ascii="Arial"/>
                <w:sz w:val="24"/>
                <w:szCs w:val="24"/>
              </w:rPr>
            </w:pPr>
          </w:p>
        </w:tc>
        <w:tc>
          <w:tcPr>
            <w:tcW w:w="1322" w:type="dxa"/>
            <w:gridSpan w:val="2"/>
            <w:noWrap w:val="0"/>
            <w:vAlign w:val="center"/>
          </w:tcPr>
          <w:p w14:paraId="009C3DAE">
            <w:pPr>
              <w:pStyle w:val="16"/>
              <w:spacing w:before="65" w:line="228" w:lineRule="auto"/>
              <w:ind w:left="116"/>
              <w:jc w:val="center"/>
              <w:rPr>
                <w:sz w:val="24"/>
                <w:szCs w:val="24"/>
              </w:rPr>
            </w:pPr>
            <w:r>
              <w:rPr>
                <w:spacing w:val="6"/>
                <w:sz w:val="24"/>
                <w:szCs w:val="24"/>
              </w:rPr>
              <w:t>项目风险预测与防范，事故应急预案，支付</w:t>
            </w:r>
            <w:r>
              <w:rPr>
                <w:spacing w:val="7"/>
                <w:sz w:val="24"/>
                <w:szCs w:val="24"/>
              </w:rPr>
              <w:t>保障措施</w:t>
            </w:r>
          </w:p>
        </w:tc>
        <w:tc>
          <w:tcPr>
            <w:tcW w:w="955" w:type="dxa"/>
            <w:gridSpan w:val="2"/>
            <w:noWrap w:val="0"/>
            <w:vAlign w:val="center"/>
          </w:tcPr>
          <w:p w14:paraId="3D30C0E7">
            <w:pPr>
              <w:pStyle w:val="16"/>
              <w:spacing w:before="65" w:line="268" w:lineRule="exact"/>
              <w:ind w:left="387"/>
              <w:jc w:val="center"/>
              <w:rPr>
                <w:sz w:val="24"/>
                <w:szCs w:val="24"/>
              </w:rPr>
            </w:pPr>
            <w:r>
              <w:rPr>
                <w:spacing w:val="1"/>
                <w:position w:val="1"/>
                <w:sz w:val="24"/>
                <w:szCs w:val="24"/>
              </w:rPr>
              <w:t>5.0</w:t>
            </w:r>
          </w:p>
        </w:tc>
        <w:tc>
          <w:tcPr>
            <w:tcW w:w="2629" w:type="dxa"/>
            <w:noWrap w:val="0"/>
            <w:vAlign w:val="center"/>
          </w:tcPr>
          <w:p w14:paraId="628ED660">
            <w:pPr>
              <w:pStyle w:val="16"/>
              <w:spacing w:before="131" w:line="228" w:lineRule="auto"/>
              <w:ind w:left="116"/>
              <w:jc w:val="center"/>
              <w:rPr>
                <w:sz w:val="24"/>
                <w:szCs w:val="24"/>
              </w:rPr>
            </w:pPr>
            <w:r>
              <w:rPr>
                <w:spacing w:val="16"/>
                <w:sz w:val="24"/>
                <w:szCs w:val="24"/>
              </w:rPr>
              <w:t>优：得4.5~</w:t>
            </w:r>
            <w:r>
              <w:rPr>
                <w:sz w:val="24"/>
                <w:szCs w:val="24"/>
              </w:rPr>
              <w:t>5.0分；</w:t>
            </w:r>
          </w:p>
          <w:p w14:paraId="0EC345B7">
            <w:pPr>
              <w:pStyle w:val="16"/>
              <w:spacing w:before="131" w:line="228" w:lineRule="auto"/>
              <w:ind w:left="116"/>
              <w:jc w:val="center"/>
              <w:rPr>
                <w:spacing w:val="1"/>
                <w:sz w:val="24"/>
                <w:szCs w:val="24"/>
              </w:rPr>
            </w:pPr>
            <w:r>
              <w:rPr>
                <w:spacing w:val="10"/>
                <w:sz w:val="24"/>
                <w:szCs w:val="24"/>
              </w:rPr>
              <w:t>良：得3.5~</w:t>
            </w:r>
            <w:r>
              <w:rPr>
                <w:spacing w:val="1"/>
                <w:sz w:val="24"/>
                <w:szCs w:val="24"/>
              </w:rPr>
              <w:t>4.5分；</w:t>
            </w:r>
          </w:p>
          <w:p w14:paraId="5865FB3C">
            <w:pPr>
              <w:pStyle w:val="16"/>
              <w:spacing w:before="131" w:line="228" w:lineRule="auto"/>
              <w:ind w:left="116"/>
              <w:jc w:val="center"/>
              <w:rPr>
                <w:sz w:val="24"/>
                <w:szCs w:val="24"/>
              </w:rPr>
            </w:pPr>
            <w:r>
              <w:rPr>
                <w:spacing w:val="12"/>
                <w:sz w:val="24"/>
                <w:szCs w:val="24"/>
              </w:rPr>
              <w:t>中：得3.0~</w:t>
            </w:r>
            <w:r>
              <w:rPr>
                <w:sz w:val="24"/>
                <w:szCs w:val="24"/>
              </w:rPr>
              <w:t>3.5分；</w:t>
            </w:r>
          </w:p>
          <w:p w14:paraId="2CAEDA1A">
            <w:pPr>
              <w:pStyle w:val="16"/>
              <w:spacing w:before="131" w:line="228" w:lineRule="auto"/>
              <w:ind w:left="116"/>
              <w:jc w:val="center"/>
              <w:rPr>
                <w:sz w:val="24"/>
                <w:szCs w:val="24"/>
              </w:rPr>
            </w:pPr>
            <w:r>
              <w:rPr>
                <w:spacing w:val="-2"/>
                <w:sz w:val="24"/>
                <w:szCs w:val="24"/>
              </w:rPr>
              <w:t>差：评分低于</w:t>
            </w:r>
            <w:r>
              <w:rPr>
                <w:spacing w:val="3"/>
                <w:sz w:val="24"/>
                <w:szCs w:val="24"/>
              </w:rPr>
              <w:t>3.0分，且作</w:t>
            </w:r>
            <w:r>
              <w:rPr>
                <w:spacing w:val="1"/>
                <w:sz w:val="24"/>
                <w:szCs w:val="24"/>
              </w:rPr>
              <w:t>出评审说明。</w:t>
            </w:r>
          </w:p>
        </w:tc>
      </w:tr>
      <w:tr w14:paraId="6B83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89" w:hRule="atLeast"/>
        </w:trPr>
        <w:tc>
          <w:tcPr>
            <w:tcW w:w="927" w:type="dxa"/>
            <w:gridSpan w:val="2"/>
            <w:noWrap w:val="0"/>
            <w:vAlign w:val="center"/>
          </w:tcPr>
          <w:p w14:paraId="67EB1778">
            <w:pPr>
              <w:pStyle w:val="16"/>
              <w:spacing w:before="65"/>
              <w:ind w:left="116"/>
              <w:jc w:val="center"/>
              <w:rPr>
                <w:sz w:val="24"/>
                <w:szCs w:val="24"/>
              </w:rPr>
            </w:pPr>
            <w:r>
              <w:rPr>
                <w:spacing w:val="3"/>
                <w:sz w:val="24"/>
                <w:szCs w:val="24"/>
              </w:rPr>
              <w:t>2.2.2（2）</w:t>
            </w:r>
          </w:p>
        </w:tc>
        <w:tc>
          <w:tcPr>
            <w:tcW w:w="1731" w:type="dxa"/>
            <w:gridSpan w:val="2"/>
            <w:noWrap w:val="0"/>
            <w:vAlign w:val="center"/>
          </w:tcPr>
          <w:p w14:paraId="7C2E5A23">
            <w:pPr>
              <w:pStyle w:val="16"/>
              <w:spacing w:before="65" w:line="229" w:lineRule="auto"/>
              <w:jc w:val="center"/>
              <w:rPr>
                <w:sz w:val="24"/>
                <w:szCs w:val="24"/>
              </w:rPr>
            </w:pPr>
            <w:r>
              <w:rPr>
                <w:spacing w:val="6"/>
                <w:sz w:val="24"/>
                <w:szCs w:val="24"/>
              </w:rPr>
              <w:t>主要人员</w:t>
            </w:r>
          </w:p>
        </w:tc>
        <w:tc>
          <w:tcPr>
            <w:tcW w:w="1324" w:type="dxa"/>
            <w:gridSpan w:val="2"/>
            <w:noWrap w:val="0"/>
            <w:vAlign w:val="center"/>
          </w:tcPr>
          <w:p w14:paraId="1E23D92F">
            <w:pPr>
              <w:pStyle w:val="16"/>
              <w:spacing w:before="65" w:line="268" w:lineRule="exact"/>
              <w:jc w:val="center"/>
              <w:rPr>
                <w:sz w:val="24"/>
                <w:szCs w:val="24"/>
              </w:rPr>
            </w:pPr>
            <w:r>
              <w:rPr>
                <w:spacing w:val="2"/>
                <w:position w:val="1"/>
                <w:sz w:val="24"/>
                <w:szCs w:val="24"/>
              </w:rPr>
              <w:t>25.00</w:t>
            </w:r>
          </w:p>
        </w:tc>
        <w:tc>
          <w:tcPr>
            <w:tcW w:w="1322" w:type="dxa"/>
            <w:gridSpan w:val="2"/>
            <w:noWrap w:val="0"/>
            <w:vAlign w:val="center"/>
          </w:tcPr>
          <w:p w14:paraId="189F5792">
            <w:pPr>
              <w:pStyle w:val="16"/>
              <w:spacing w:before="65" w:line="228" w:lineRule="auto"/>
              <w:jc w:val="center"/>
              <w:rPr>
                <w:sz w:val="24"/>
                <w:szCs w:val="24"/>
              </w:rPr>
            </w:pPr>
            <w:r>
              <w:rPr>
                <w:spacing w:val="6"/>
                <w:sz w:val="24"/>
                <w:szCs w:val="24"/>
              </w:rPr>
              <w:t>项目经理</w:t>
            </w:r>
          </w:p>
        </w:tc>
        <w:tc>
          <w:tcPr>
            <w:tcW w:w="955" w:type="dxa"/>
            <w:gridSpan w:val="2"/>
            <w:noWrap w:val="0"/>
            <w:vAlign w:val="center"/>
          </w:tcPr>
          <w:p w14:paraId="683A4B73">
            <w:pPr>
              <w:pStyle w:val="16"/>
              <w:spacing w:before="65" w:line="268" w:lineRule="exact"/>
              <w:jc w:val="center"/>
              <w:rPr>
                <w:sz w:val="24"/>
                <w:szCs w:val="24"/>
              </w:rPr>
            </w:pPr>
            <w:r>
              <w:rPr>
                <w:spacing w:val="-1"/>
                <w:position w:val="1"/>
                <w:sz w:val="24"/>
                <w:szCs w:val="24"/>
              </w:rPr>
              <w:t>15.0</w:t>
            </w:r>
          </w:p>
        </w:tc>
        <w:tc>
          <w:tcPr>
            <w:tcW w:w="2629" w:type="dxa"/>
            <w:noWrap w:val="0"/>
            <w:vAlign w:val="center"/>
          </w:tcPr>
          <w:p w14:paraId="70378A9A">
            <w:pPr>
              <w:pStyle w:val="16"/>
              <w:spacing w:before="133" w:line="238" w:lineRule="auto"/>
              <w:jc w:val="center"/>
              <w:rPr>
                <w:spacing w:val="-1"/>
                <w:sz w:val="24"/>
                <w:szCs w:val="24"/>
              </w:rPr>
            </w:pPr>
            <w:r>
              <w:rPr>
                <w:rFonts w:hint="eastAsia"/>
                <w:spacing w:val="4"/>
                <w:sz w:val="24"/>
                <w:szCs w:val="24"/>
                <w:lang w:val="en-US" w:eastAsia="zh-CN"/>
              </w:rPr>
              <w:t>1.</w:t>
            </w:r>
            <w:r>
              <w:rPr>
                <w:spacing w:val="4"/>
                <w:sz w:val="24"/>
                <w:szCs w:val="24"/>
              </w:rPr>
              <w:t>满足资格</w:t>
            </w:r>
            <w:r>
              <w:rPr>
                <w:spacing w:val="-4"/>
                <w:sz w:val="24"/>
                <w:szCs w:val="24"/>
              </w:rPr>
              <w:t>审查条件（项</w:t>
            </w:r>
            <w:r>
              <w:rPr>
                <w:sz w:val="24"/>
                <w:szCs w:val="24"/>
              </w:rPr>
              <w:t>目经理和项目总工最低</w:t>
            </w:r>
            <w:r>
              <w:rPr>
                <w:spacing w:val="5"/>
                <w:sz w:val="24"/>
                <w:szCs w:val="24"/>
              </w:rPr>
              <w:t>要求）得9</w:t>
            </w:r>
            <w:r>
              <w:rPr>
                <w:spacing w:val="-1"/>
                <w:sz w:val="24"/>
                <w:szCs w:val="24"/>
              </w:rPr>
              <w:t>分；</w:t>
            </w:r>
          </w:p>
          <w:p w14:paraId="67155B9D">
            <w:pPr>
              <w:pStyle w:val="16"/>
              <w:spacing w:before="133" w:line="238" w:lineRule="auto"/>
              <w:jc w:val="center"/>
              <w:rPr>
                <w:rFonts w:hint="eastAsia" w:ascii="宋体" w:hAnsi="宋体" w:eastAsia="宋体" w:cs="宋体"/>
                <w:spacing w:val="-4"/>
                <w:sz w:val="24"/>
                <w:szCs w:val="24"/>
              </w:rPr>
            </w:pPr>
            <w:r>
              <w:rPr>
                <w:spacing w:val="6"/>
                <w:sz w:val="24"/>
                <w:szCs w:val="24"/>
              </w:rPr>
              <w:t>2.</w:t>
            </w:r>
            <w:r>
              <w:rPr>
                <w:rFonts w:hint="eastAsia" w:ascii="宋体" w:hAnsi="宋体" w:eastAsia="宋体" w:cs="宋体"/>
                <w:spacing w:val="-4"/>
                <w:sz w:val="24"/>
                <w:szCs w:val="24"/>
              </w:rPr>
              <w:t>在满足资格审查条件的基础上，近5年(任职时段在自招标公告发布之日起向前计算5年至投标截止之日，精确到天，以交工日期为准),每增加1个</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级及以上等级</w:t>
            </w:r>
            <w:r>
              <w:rPr>
                <w:rFonts w:hint="eastAsia" w:ascii="宋体" w:hAnsi="宋体" w:eastAsia="宋体" w:cs="宋体"/>
                <w:spacing w:val="-4"/>
                <w:sz w:val="24"/>
                <w:szCs w:val="24"/>
                <w:lang w:val="en-US" w:eastAsia="zh-CN"/>
              </w:rPr>
              <w:t>公路路基养护工程</w:t>
            </w:r>
            <w:r>
              <w:rPr>
                <w:rFonts w:hint="eastAsia" w:ascii="宋体" w:hAnsi="宋体" w:eastAsia="宋体" w:cs="宋体"/>
                <w:spacing w:val="-4"/>
                <w:sz w:val="24"/>
                <w:szCs w:val="24"/>
              </w:rPr>
              <w:t>施工的项目经理职务业绩加6分；在满足资格审查条件的基础上，近5年(任职时段在自招标公告发布之日起向前计算5年至投标截止之日，精确到天，以交工日期为准),每增加1个</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级及以上等级</w:t>
            </w:r>
            <w:r>
              <w:rPr>
                <w:rFonts w:hint="eastAsia" w:ascii="宋体" w:hAnsi="宋体" w:eastAsia="宋体" w:cs="宋体"/>
                <w:spacing w:val="-4"/>
                <w:sz w:val="24"/>
                <w:szCs w:val="24"/>
                <w:lang w:val="en-US" w:eastAsia="zh-CN"/>
              </w:rPr>
              <w:t>公路路基养护工程</w:t>
            </w:r>
            <w:r>
              <w:rPr>
                <w:rFonts w:hint="eastAsia" w:ascii="宋体" w:hAnsi="宋体" w:eastAsia="宋体" w:cs="宋体"/>
                <w:spacing w:val="-4"/>
                <w:sz w:val="24"/>
                <w:szCs w:val="24"/>
              </w:rPr>
              <w:t>施工的项目副经理职务的加3分。此项</w:t>
            </w:r>
          </w:p>
          <w:p w14:paraId="01AA0C53">
            <w:pPr>
              <w:pStyle w:val="16"/>
              <w:spacing w:before="133" w:line="238" w:lineRule="auto"/>
              <w:jc w:val="center"/>
              <w:rPr>
                <w:rFonts w:ascii="宋体" w:hAnsi="宋体" w:eastAsia="宋体" w:cs="宋体"/>
                <w:spacing w:val="-4"/>
                <w:sz w:val="24"/>
                <w:szCs w:val="24"/>
              </w:rPr>
            </w:pPr>
            <w:r>
              <w:rPr>
                <w:rFonts w:hint="eastAsia" w:ascii="宋体" w:hAnsi="宋体" w:eastAsia="宋体" w:cs="宋体"/>
                <w:spacing w:val="-4"/>
                <w:sz w:val="24"/>
                <w:szCs w:val="24"/>
              </w:rPr>
              <w:t>最多加6分。</w:t>
            </w:r>
          </w:p>
          <w:p w14:paraId="20E0137E">
            <w:pPr>
              <w:pStyle w:val="16"/>
              <w:spacing w:before="133" w:line="238" w:lineRule="auto"/>
              <w:jc w:val="center"/>
              <w:rPr>
                <w:rFonts w:hint="eastAsia" w:eastAsia="宋体"/>
                <w:spacing w:val="6"/>
                <w:sz w:val="24"/>
                <w:szCs w:val="24"/>
                <w:lang w:val="en-US" w:eastAsia="zh-CN"/>
              </w:rPr>
            </w:pPr>
            <w:r>
              <w:rPr>
                <w:spacing w:val="6"/>
                <w:sz w:val="24"/>
                <w:szCs w:val="24"/>
                <w:highlight w:val="none"/>
              </w:rPr>
              <w:t>3.业绩证明材料同招标文件资格审查附录5要求。</w:t>
            </w:r>
          </w:p>
        </w:tc>
      </w:tr>
      <w:tr w14:paraId="21BF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195" w:hRule="atLeast"/>
        </w:trPr>
        <w:tc>
          <w:tcPr>
            <w:tcW w:w="914" w:type="dxa"/>
            <w:tcBorders>
              <w:top w:val="nil"/>
            </w:tcBorders>
            <w:noWrap w:val="0"/>
            <w:vAlign w:val="center"/>
          </w:tcPr>
          <w:p w14:paraId="77D74C9A">
            <w:pPr>
              <w:jc w:val="center"/>
              <w:rPr>
                <w:rFonts w:ascii="Arial"/>
                <w:sz w:val="21"/>
              </w:rPr>
            </w:pPr>
          </w:p>
        </w:tc>
        <w:tc>
          <w:tcPr>
            <w:tcW w:w="1731" w:type="dxa"/>
            <w:gridSpan w:val="2"/>
            <w:tcBorders>
              <w:top w:val="nil"/>
            </w:tcBorders>
            <w:noWrap w:val="0"/>
            <w:vAlign w:val="center"/>
          </w:tcPr>
          <w:p w14:paraId="2C7D3F1A">
            <w:pPr>
              <w:jc w:val="center"/>
              <w:rPr>
                <w:rFonts w:ascii="Arial"/>
                <w:sz w:val="21"/>
              </w:rPr>
            </w:pPr>
          </w:p>
        </w:tc>
        <w:tc>
          <w:tcPr>
            <w:tcW w:w="1323" w:type="dxa"/>
            <w:gridSpan w:val="2"/>
            <w:tcBorders>
              <w:top w:val="nil"/>
            </w:tcBorders>
            <w:noWrap w:val="0"/>
            <w:vAlign w:val="center"/>
          </w:tcPr>
          <w:p w14:paraId="703C50AD">
            <w:pPr>
              <w:jc w:val="center"/>
              <w:rPr>
                <w:rFonts w:ascii="Arial"/>
                <w:sz w:val="21"/>
              </w:rPr>
            </w:pPr>
          </w:p>
        </w:tc>
        <w:tc>
          <w:tcPr>
            <w:tcW w:w="1323" w:type="dxa"/>
            <w:gridSpan w:val="2"/>
            <w:noWrap w:val="0"/>
            <w:vAlign w:val="center"/>
          </w:tcPr>
          <w:p w14:paraId="60A9F7CC">
            <w:pPr>
              <w:pStyle w:val="16"/>
              <w:spacing w:before="65" w:line="228" w:lineRule="auto"/>
              <w:ind w:left="116"/>
              <w:jc w:val="center"/>
              <w:rPr>
                <w:sz w:val="24"/>
                <w:szCs w:val="24"/>
              </w:rPr>
            </w:pPr>
            <w:r>
              <w:rPr>
                <w:spacing w:val="6"/>
                <w:sz w:val="24"/>
                <w:szCs w:val="24"/>
              </w:rPr>
              <w:t>项目总工</w:t>
            </w:r>
          </w:p>
        </w:tc>
        <w:tc>
          <w:tcPr>
            <w:tcW w:w="954" w:type="dxa"/>
            <w:gridSpan w:val="2"/>
            <w:noWrap w:val="0"/>
            <w:vAlign w:val="center"/>
          </w:tcPr>
          <w:p w14:paraId="6C8097B9">
            <w:pPr>
              <w:pStyle w:val="16"/>
              <w:spacing w:before="65" w:line="268" w:lineRule="exact"/>
              <w:ind w:left="345"/>
              <w:jc w:val="center"/>
              <w:rPr>
                <w:sz w:val="24"/>
                <w:szCs w:val="24"/>
              </w:rPr>
            </w:pPr>
            <w:r>
              <w:rPr>
                <w:spacing w:val="-1"/>
                <w:position w:val="1"/>
                <w:sz w:val="24"/>
                <w:szCs w:val="24"/>
              </w:rPr>
              <w:t>10.0</w:t>
            </w:r>
          </w:p>
        </w:tc>
        <w:tc>
          <w:tcPr>
            <w:tcW w:w="2643" w:type="dxa"/>
            <w:gridSpan w:val="2"/>
            <w:noWrap w:val="0"/>
            <w:vAlign w:val="center"/>
          </w:tcPr>
          <w:p w14:paraId="54757FF8">
            <w:pPr>
              <w:pStyle w:val="16"/>
              <w:numPr>
                <w:ilvl w:val="0"/>
                <w:numId w:val="0"/>
              </w:numPr>
              <w:spacing w:before="132" w:line="238" w:lineRule="auto"/>
              <w:jc w:val="center"/>
              <w:rPr>
                <w:spacing w:val="-1"/>
                <w:sz w:val="24"/>
                <w:szCs w:val="24"/>
              </w:rPr>
            </w:pPr>
            <w:r>
              <w:rPr>
                <w:rFonts w:hint="eastAsia"/>
                <w:spacing w:val="4"/>
                <w:sz w:val="24"/>
                <w:szCs w:val="24"/>
                <w:lang w:val="en-US" w:eastAsia="zh-CN"/>
              </w:rPr>
              <w:t>1.</w:t>
            </w:r>
            <w:r>
              <w:rPr>
                <w:spacing w:val="4"/>
                <w:sz w:val="24"/>
                <w:szCs w:val="24"/>
              </w:rPr>
              <w:t>满足资格</w:t>
            </w:r>
            <w:r>
              <w:rPr>
                <w:spacing w:val="-4"/>
                <w:sz w:val="24"/>
                <w:szCs w:val="24"/>
              </w:rPr>
              <w:t>审查条件（项</w:t>
            </w:r>
            <w:r>
              <w:rPr>
                <w:sz w:val="24"/>
                <w:szCs w:val="24"/>
              </w:rPr>
              <w:t>目经理和项目总工最低</w:t>
            </w:r>
            <w:r>
              <w:rPr>
                <w:spacing w:val="5"/>
                <w:sz w:val="24"/>
                <w:szCs w:val="24"/>
              </w:rPr>
              <w:t>要求）得6</w:t>
            </w:r>
            <w:r>
              <w:rPr>
                <w:spacing w:val="-1"/>
                <w:sz w:val="24"/>
                <w:szCs w:val="24"/>
              </w:rPr>
              <w:t>分；</w:t>
            </w:r>
          </w:p>
          <w:p w14:paraId="39FA72FA">
            <w:pPr>
              <w:pStyle w:val="16"/>
              <w:numPr>
                <w:ilvl w:val="0"/>
                <w:numId w:val="0"/>
              </w:numPr>
              <w:spacing w:before="132" w:line="238" w:lineRule="auto"/>
              <w:jc w:val="center"/>
              <w:rPr>
                <w:spacing w:val="4"/>
                <w:sz w:val="24"/>
                <w:szCs w:val="24"/>
              </w:rPr>
            </w:pPr>
            <w:r>
              <w:rPr>
                <w:spacing w:val="6"/>
                <w:sz w:val="24"/>
                <w:szCs w:val="24"/>
              </w:rPr>
              <w:t>2.</w:t>
            </w:r>
            <w:r>
              <w:rPr>
                <w:rFonts w:hint="eastAsia"/>
                <w:spacing w:val="6"/>
                <w:sz w:val="24"/>
                <w:szCs w:val="24"/>
              </w:rPr>
              <w:t>在满足资格审查条件的基础上，近5年(任职时段在自招标公告发布之日起向前计算5年至投标截止之日，精确到天，以交工日期为准),每增加1个</w:t>
            </w:r>
            <w:r>
              <w:rPr>
                <w:rFonts w:hint="eastAsia"/>
                <w:spacing w:val="6"/>
                <w:sz w:val="24"/>
                <w:szCs w:val="24"/>
                <w:lang w:val="en-US" w:eastAsia="zh-CN"/>
              </w:rPr>
              <w:t>一</w:t>
            </w:r>
            <w:r>
              <w:rPr>
                <w:rFonts w:hint="eastAsia"/>
                <w:spacing w:val="6"/>
                <w:sz w:val="24"/>
                <w:szCs w:val="24"/>
              </w:rPr>
              <w:t>级及以上等级</w:t>
            </w:r>
            <w:r>
              <w:rPr>
                <w:rFonts w:hint="eastAsia"/>
                <w:spacing w:val="6"/>
                <w:sz w:val="24"/>
                <w:szCs w:val="24"/>
                <w:lang w:val="en-US" w:eastAsia="zh-CN"/>
              </w:rPr>
              <w:t>公路路基养护工程</w:t>
            </w:r>
            <w:r>
              <w:rPr>
                <w:rFonts w:hint="eastAsia"/>
                <w:spacing w:val="6"/>
                <w:sz w:val="24"/>
                <w:szCs w:val="24"/>
              </w:rPr>
              <w:t>施工的项目总工职务业绩加4分；在满足资格审查条件的基础上，近5年(任职时段在自招标公告发布之日起向前计算5年至投标截止之日，精确到天，以交工日期为准),每增加1个</w:t>
            </w:r>
            <w:r>
              <w:rPr>
                <w:rFonts w:hint="eastAsia"/>
                <w:spacing w:val="6"/>
                <w:sz w:val="24"/>
                <w:szCs w:val="24"/>
                <w:lang w:val="en-US" w:eastAsia="zh-CN"/>
              </w:rPr>
              <w:t>一</w:t>
            </w:r>
            <w:r>
              <w:rPr>
                <w:rFonts w:hint="eastAsia"/>
                <w:spacing w:val="6"/>
                <w:sz w:val="24"/>
                <w:szCs w:val="24"/>
              </w:rPr>
              <w:t>级及以上等级</w:t>
            </w:r>
            <w:r>
              <w:rPr>
                <w:rFonts w:hint="eastAsia"/>
                <w:spacing w:val="6"/>
                <w:sz w:val="24"/>
                <w:szCs w:val="24"/>
                <w:lang w:val="en-US" w:eastAsia="zh-CN"/>
              </w:rPr>
              <w:t>公路路基养护工程</w:t>
            </w:r>
            <w:r>
              <w:rPr>
                <w:rFonts w:hint="eastAsia"/>
                <w:spacing w:val="6"/>
                <w:sz w:val="24"/>
                <w:szCs w:val="24"/>
              </w:rPr>
              <w:t>施工的项目副总工职务的加2分。此项最多加4分。</w:t>
            </w:r>
          </w:p>
          <w:p w14:paraId="03F9E701">
            <w:pPr>
              <w:pStyle w:val="16"/>
              <w:numPr>
                <w:ilvl w:val="0"/>
                <w:numId w:val="0"/>
              </w:numPr>
              <w:spacing w:before="132" w:line="238" w:lineRule="auto"/>
              <w:jc w:val="center"/>
              <w:rPr>
                <w:spacing w:val="4"/>
                <w:sz w:val="24"/>
                <w:szCs w:val="24"/>
              </w:rPr>
            </w:pPr>
            <w:r>
              <w:rPr>
                <w:spacing w:val="4"/>
                <w:sz w:val="24"/>
                <w:szCs w:val="24"/>
                <w:highlight w:val="none"/>
              </w:rPr>
              <w:t>3.业绩证明材料同招标文件资格审查附录5要求。</w:t>
            </w:r>
          </w:p>
        </w:tc>
      </w:tr>
    </w:tbl>
    <w:p w14:paraId="4C8A609C">
      <w:pPr>
        <w:jc w:val="center"/>
        <w:rPr>
          <w:rFonts w:hint="eastAsia" w:ascii="Arial" w:hAnsi="Arial" w:eastAsia="宋体" w:cs="Arial"/>
          <w:sz w:val="21"/>
          <w:szCs w:val="21"/>
          <w:lang w:eastAsia="zh-CN"/>
        </w:rPr>
        <w:sectPr>
          <w:footerReference r:id="rId3" w:type="default"/>
          <w:pgSz w:w="11907" w:h="16840"/>
          <w:pgMar w:top="1431" w:right="1477" w:bottom="1064" w:left="1533" w:header="0" w:footer="831" w:gutter="0"/>
          <w:pgNumType w:fmt="decimal"/>
          <w:cols w:space="720" w:num="1"/>
        </w:sectPr>
      </w:pPr>
    </w:p>
    <w:tbl>
      <w:tblPr>
        <w:tblStyle w:val="17"/>
        <w:tblW w:w="8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1432"/>
        <w:gridCol w:w="1227"/>
        <w:gridCol w:w="818"/>
        <w:gridCol w:w="4337"/>
      </w:tblGrid>
      <w:tr w14:paraId="47F0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2" w:hRule="atLeast"/>
        </w:trPr>
        <w:tc>
          <w:tcPr>
            <w:tcW w:w="968" w:type="dxa"/>
            <w:noWrap w:val="0"/>
            <w:vAlign w:val="center"/>
          </w:tcPr>
          <w:p w14:paraId="6189F90A">
            <w:pPr>
              <w:pStyle w:val="16"/>
              <w:spacing w:before="65"/>
              <w:ind w:left="116"/>
              <w:jc w:val="center"/>
              <w:rPr>
                <w:sz w:val="24"/>
                <w:szCs w:val="24"/>
              </w:rPr>
            </w:pPr>
            <w:r>
              <w:rPr>
                <w:spacing w:val="3"/>
                <w:sz w:val="24"/>
                <w:szCs w:val="24"/>
              </w:rPr>
              <w:t>2.2.2（3）</w:t>
            </w:r>
          </w:p>
        </w:tc>
        <w:tc>
          <w:tcPr>
            <w:tcW w:w="1432" w:type="dxa"/>
            <w:noWrap w:val="0"/>
            <w:vAlign w:val="center"/>
          </w:tcPr>
          <w:p w14:paraId="22C04234">
            <w:pPr>
              <w:pStyle w:val="16"/>
              <w:spacing w:before="65" w:line="228" w:lineRule="auto"/>
              <w:ind w:left="292"/>
              <w:jc w:val="center"/>
              <w:rPr>
                <w:sz w:val="24"/>
                <w:szCs w:val="24"/>
              </w:rPr>
            </w:pPr>
            <w:r>
              <w:rPr>
                <w:spacing w:val="7"/>
                <w:sz w:val="24"/>
                <w:szCs w:val="24"/>
              </w:rPr>
              <w:t>其他因素</w:t>
            </w:r>
          </w:p>
        </w:tc>
        <w:tc>
          <w:tcPr>
            <w:tcW w:w="1227" w:type="dxa"/>
            <w:noWrap w:val="0"/>
            <w:vAlign w:val="center"/>
          </w:tcPr>
          <w:p w14:paraId="7DA58672">
            <w:pPr>
              <w:pStyle w:val="16"/>
              <w:spacing w:before="65" w:line="228" w:lineRule="auto"/>
              <w:jc w:val="center"/>
              <w:rPr>
                <w:sz w:val="24"/>
                <w:szCs w:val="24"/>
              </w:rPr>
            </w:pPr>
            <w:r>
              <w:rPr>
                <w:spacing w:val="7"/>
                <w:sz w:val="24"/>
                <w:szCs w:val="24"/>
              </w:rPr>
              <w:t>技术能力</w:t>
            </w:r>
          </w:p>
        </w:tc>
        <w:tc>
          <w:tcPr>
            <w:tcW w:w="818" w:type="dxa"/>
            <w:noWrap w:val="0"/>
            <w:vAlign w:val="center"/>
          </w:tcPr>
          <w:p w14:paraId="1DD3C676">
            <w:pPr>
              <w:pStyle w:val="16"/>
              <w:spacing w:before="65" w:line="267" w:lineRule="exact"/>
              <w:jc w:val="center"/>
              <w:rPr>
                <w:sz w:val="24"/>
                <w:szCs w:val="24"/>
              </w:rPr>
            </w:pPr>
            <w:r>
              <w:rPr>
                <w:spacing w:val="-1"/>
                <w:position w:val="1"/>
                <w:sz w:val="24"/>
                <w:szCs w:val="24"/>
              </w:rPr>
              <w:t>10.0</w:t>
            </w:r>
          </w:p>
        </w:tc>
        <w:tc>
          <w:tcPr>
            <w:tcW w:w="4337" w:type="dxa"/>
            <w:noWrap w:val="0"/>
            <w:vAlign w:val="center"/>
          </w:tcPr>
          <w:p w14:paraId="156B10D0">
            <w:pPr>
              <w:pStyle w:val="16"/>
              <w:numPr>
                <w:ilvl w:val="0"/>
                <w:numId w:val="2"/>
              </w:numPr>
              <w:spacing w:before="134" w:line="251" w:lineRule="auto"/>
              <w:ind w:right="129"/>
              <w:jc w:val="center"/>
              <w:rPr>
                <w:sz w:val="24"/>
                <w:szCs w:val="24"/>
              </w:rPr>
            </w:pPr>
            <w:r>
              <w:rPr>
                <w:spacing w:val="5"/>
                <w:sz w:val="24"/>
                <w:szCs w:val="24"/>
              </w:rPr>
              <w:t>满足资格</w:t>
            </w:r>
            <w:r>
              <w:rPr>
                <w:spacing w:val="6"/>
                <w:sz w:val="24"/>
                <w:szCs w:val="24"/>
              </w:rPr>
              <w:t>审查最低要</w:t>
            </w:r>
            <w:r>
              <w:rPr>
                <w:spacing w:val="5"/>
                <w:sz w:val="24"/>
                <w:szCs w:val="24"/>
              </w:rPr>
              <w:t>求的，得8</w:t>
            </w:r>
            <w:r>
              <w:rPr>
                <w:spacing w:val="-1"/>
                <w:sz w:val="24"/>
                <w:szCs w:val="24"/>
              </w:rPr>
              <w:t>分；</w:t>
            </w:r>
            <w:r>
              <w:rPr>
                <w:spacing w:val="7"/>
                <w:sz w:val="24"/>
                <w:szCs w:val="24"/>
              </w:rPr>
              <w:t>2、在此基础上以下内容</w:t>
            </w:r>
            <w:r>
              <w:rPr>
                <w:spacing w:val="14"/>
                <w:sz w:val="24"/>
                <w:szCs w:val="24"/>
              </w:rPr>
              <w:t>累计最多加2</w:t>
            </w:r>
            <w:r>
              <w:rPr>
                <w:spacing w:val="-1"/>
                <w:sz w:val="24"/>
                <w:szCs w:val="24"/>
              </w:rPr>
              <w:t>分：</w:t>
            </w:r>
            <w:r>
              <w:rPr>
                <w:spacing w:val="8"/>
                <w:sz w:val="24"/>
                <w:szCs w:val="24"/>
              </w:rPr>
              <w:t>①工法或专</w:t>
            </w:r>
            <w:r>
              <w:rPr>
                <w:spacing w:val="-2"/>
                <w:sz w:val="24"/>
                <w:szCs w:val="24"/>
              </w:rPr>
              <w:t>利：获得的与</w:t>
            </w:r>
            <w:r>
              <w:rPr>
                <w:spacing w:val="22"/>
                <w:sz w:val="24"/>
                <w:szCs w:val="24"/>
              </w:rPr>
              <w:t>项目施工有</w:t>
            </w:r>
            <w:r>
              <w:rPr>
                <w:spacing w:val="7"/>
                <w:sz w:val="24"/>
                <w:szCs w:val="24"/>
              </w:rPr>
              <w:t>关的国家级</w:t>
            </w:r>
            <w:r>
              <w:rPr>
                <w:spacing w:val="-2"/>
                <w:sz w:val="24"/>
                <w:szCs w:val="24"/>
              </w:rPr>
              <w:t>工法，根据项</w:t>
            </w:r>
            <w:r>
              <w:rPr>
                <w:sz w:val="24"/>
                <w:szCs w:val="24"/>
              </w:rPr>
              <w:t>目类型选择</w:t>
            </w:r>
            <w:r>
              <w:rPr>
                <w:rFonts w:hint="eastAsia"/>
                <w:spacing w:val="6"/>
                <w:sz w:val="24"/>
                <w:szCs w:val="24"/>
                <w:lang w:eastAsia="zh-CN"/>
              </w:rPr>
              <w:t>路基</w:t>
            </w:r>
            <w:r>
              <w:rPr>
                <w:spacing w:val="6"/>
                <w:sz w:val="24"/>
                <w:szCs w:val="24"/>
              </w:rPr>
              <w:t>、</w:t>
            </w:r>
            <w:r>
              <w:rPr>
                <w:spacing w:val="2"/>
                <w:sz w:val="24"/>
                <w:szCs w:val="24"/>
              </w:rPr>
              <w:t>桥涵、隧道、</w:t>
            </w:r>
            <w:r>
              <w:rPr>
                <w:spacing w:val="23"/>
                <w:sz w:val="24"/>
                <w:szCs w:val="24"/>
              </w:rPr>
              <w:t>交通工程门</w:t>
            </w:r>
            <w:r>
              <w:rPr>
                <w:spacing w:val="-2"/>
                <w:sz w:val="24"/>
                <w:szCs w:val="24"/>
              </w:rPr>
              <w:t>类，以交通运</w:t>
            </w:r>
            <w:r>
              <w:rPr>
                <w:spacing w:val="23"/>
                <w:sz w:val="24"/>
                <w:szCs w:val="24"/>
              </w:rPr>
              <w:t>输部或中国</w:t>
            </w:r>
            <w:r>
              <w:rPr>
                <w:spacing w:val="6"/>
                <w:sz w:val="24"/>
                <w:szCs w:val="24"/>
              </w:rPr>
              <w:t>公路建设行</w:t>
            </w:r>
            <w:r>
              <w:rPr>
                <w:spacing w:val="8"/>
                <w:sz w:val="24"/>
                <w:szCs w:val="24"/>
              </w:rPr>
              <w:t>业协会网站</w:t>
            </w:r>
            <w:r>
              <w:rPr>
                <w:spacing w:val="-3"/>
                <w:sz w:val="24"/>
                <w:szCs w:val="24"/>
              </w:rPr>
              <w:t>公示为准（提</w:t>
            </w:r>
            <w:r>
              <w:rPr>
                <w:spacing w:val="5"/>
                <w:sz w:val="24"/>
                <w:szCs w:val="24"/>
              </w:rPr>
              <w:t>供截图</w:t>
            </w:r>
            <w:r>
              <w:rPr>
                <w:spacing w:val="-15"/>
                <w:sz w:val="24"/>
                <w:szCs w:val="24"/>
              </w:rPr>
              <w:t>），</w:t>
            </w:r>
            <w:r>
              <w:rPr>
                <w:spacing w:val="5"/>
                <w:sz w:val="24"/>
                <w:szCs w:val="24"/>
              </w:rPr>
              <w:t>且</w:t>
            </w:r>
            <w:r>
              <w:rPr>
                <w:spacing w:val="-1"/>
                <w:sz w:val="24"/>
                <w:szCs w:val="24"/>
              </w:rPr>
              <w:t>在有效期内；</w:t>
            </w:r>
            <w:r>
              <w:rPr>
                <w:spacing w:val="7"/>
                <w:sz w:val="24"/>
                <w:szCs w:val="24"/>
              </w:rPr>
              <w:t>或获得的国家知识产权局审批认定</w:t>
            </w:r>
            <w:r>
              <w:rPr>
                <w:spacing w:val="4"/>
                <w:sz w:val="24"/>
                <w:szCs w:val="24"/>
              </w:rPr>
              <w:t>的与项目施</w:t>
            </w:r>
            <w:r>
              <w:rPr>
                <w:spacing w:val="7"/>
                <w:sz w:val="24"/>
                <w:szCs w:val="24"/>
              </w:rPr>
              <w:t>工有关的专</w:t>
            </w:r>
            <w:r>
              <w:rPr>
                <w:spacing w:val="-2"/>
                <w:sz w:val="24"/>
                <w:szCs w:val="24"/>
              </w:rPr>
              <w:t>利，且在有效期内（提供专</w:t>
            </w:r>
            <w:r>
              <w:rPr>
                <w:spacing w:val="5"/>
                <w:sz w:val="24"/>
                <w:szCs w:val="24"/>
              </w:rPr>
              <w:t>利证书</w:t>
            </w:r>
            <w:r>
              <w:rPr>
                <w:spacing w:val="-15"/>
                <w:sz w:val="24"/>
                <w:szCs w:val="24"/>
              </w:rPr>
              <w:t>）；</w:t>
            </w:r>
            <w:r>
              <w:rPr>
                <w:spacing w:val="5"/>
                <w:sz w:val="24"/>
                <w:szCs w:val="24"/>
              </w:rPr>
              <w:t>每</w:t>
            </w:r>
            <w:r>
              <w:rPr>
                <w:spacing w:val="-5"/>
                <w:sz w:val="24"/>
                <w:szCs w:val="24"/>
              </w:rPr>
              <w:t>个加0.5分，</w:t>
            </w:r>
            <w:r>
              <w:rPr>
                <w:spacing w:val="3"/>
                <w:sz w:val="24"/>
                <w:szCs w:val="24"/>
              </w:rPr>
              <w:t>此项最多加1</w:t>
            </w:r>
            <w:r>
              <w:rPr>
                <w:spacing w:val="-1"/>
                <w:sz w:val="24"/>
                <w:szCs w:val="24"/>
              </w:rPr>
              <w:t>分。</w:t>
            </w:r>
            <w:r>
              <w:rPr>
                <w:spacing w:val="-2"/>
                <w:sz w:val="24"/>
                <w:szCs w:val="24"/>
              </w:rPr>
              <w:t>②获奖：获得</w:t>
            </w:r>
            <w:r>
              <w:rPr>
                <w:spacing w:val="4"/>
                <w:sz w:val="24"/>
                <w:szCs w:val="24"/>
              </w:rPr>
              <w:t>的与项目施</w:t>
            </w:r>
            <w:r>
              <w:rPr>
                <w:spacing w:val="7"/>
                <w:sz w:val="24"/>
                <w:szCs w:val="24"/>
              </w:rPr>
              <w:t>工有关的国家级或省部</w:t>
            </w:r>
            <w:r>
              <w:rPr>
                <w:spacing w:val="-2"/>
                <w:sz w:val="24"/>
                <w:szCs w:val="24"/>
              </w:rPr>
              <w:t>级奖项（提供获奖证书）的</w:t>
            </w:r>
            <w:r>
              <w:rPr>
                <w:spacing w:val="-5"/>
                <w:sz w:val="24"/>
                <w:szCs w:val="24"/>
              </w:rPr>
              <w:t>加0.5分，此</w:t>
            </w:r>
            <w:r>
              <w:rPr>
                <w:spacing w:val="12"/>
                <w:sz w:val="24"/>
                <w:szCs w:val="24"/>
              </w:rPr>
              <w:t>项最多加0.5</w:t>
            </w:r>
            <w:r>
              <w:rPr>
                <w:spacing w:val="-1"/>
                <w:sz w:val="24"/>
                <w:szCs w:val="24"/>
              </w:rPr>
              <w:t>分。</w:t>
            </w:r>
            <w:r>
              <w:rPr>
                <w:spacing w:val="6"/>
                <w:sz w:val="24"/>
                <w:szCs w:val="24"/>
              </w:rPr>
              <w:t>③标准制定：</w:t>
            </w:r>
            <w:r>
              <w:rPr>
                <w:spacing w:val="-2"/>
                <w:sz w:val="24"/>
                <w:szCs w:val="24"/>
              </w:rPr>
              <w:t>参与国家、行</w:t>
            </w:r>
            <w:r>
              <w:rPr>
                <w:spacing w:val="8"/>
                <w:sz w:val="24"/>
                <w:szCs w:val="24"/>
              </w:rPr>
              <w:t>业或省级地</w:t>
            </w:r>
            <w:r>
              <w:rPr>
                <w:spacing w:val="5"/>
                <w:sz w:val="24"/>
                <w:szCs w:val="24"/>
              </w:rPr>
              <w:t>区标准制定</w:t>
            </w:r>
            <w:r>
              <w:rPr>
                <w:spacing w:val="14"/>
                <w:sz w:val="24"/>
                <w:szCs w:val="24"/>
              </w:rPr>
              <w:t>的加0.5分</w:t>
            </w:r>
            <w:r>
              <w:rPr>
                <w:spacing w:val="22"/>
                <w:sz w:val="24"/>
                <w:szCs w:val="24"/>
              </w:rPr>
              <w:t>（提供相应</w:t>
            </w:r>
            <w:r>
              <w:rPr>
                <w:spacing w:val="7"/>
                <w:sz w:val="24"/>
                <w:szCs w:val="24"/>
              </w:rPr>
              <w:t>标准文件</w:t>
            </w:r>
            <w:r>
              <w:rPr>
                <w:spacing w:val="-16"/>
                <w:sz w:val="24"/>
                <w:szCs w:val="24"/>
              </w:rPr>
              <w:t>），</w:t>
            </w:r>
            <w:r>
              <w:rPr>
                <w:spacing w:val="22"/>
                <w:sz w:val="24"/>
                <w:szCs w:val="24"/>
              </w:rPr>
              <w:t>此项最多加</w:t>
            </w:r>
            <w:r>
              <w:rPr>
                <w:sz w:val="24"/>
                <w:szCs w:val="24"/>
              </w:rPr>
              <w:t>0.5分。</w:t>
            </w:r>
          </w:p>
        </w:tc>
      </w:tr>
      <w:tr w14:paraId="6C67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6" w:hRule="atLeast"/>
        </w:trPr>
        <w:tc>
          <w:tcPr>
            <w:tcW w:w="968" w:type="dxa"/>
            <w:noWrap w:val="0"/>
            <w:vAlign w:val="center"/>
          </w:tcPr>
          <w:p w14:paraId="2A3AC5CA">
            <w:pPr>
              <w:pStyle w:val="16"/>
              <w:spacing w:before="65"/>
              <w:ind w:left="116"/>
              <w:jc w:val="center"/>
              <w:rPr>
                <w:spacing w:val="3"/>
                <w:sz w:val="24"/>
                <w:szCs w:val="24"/>
              </w:rPr>
            </w:pPr>
          </w:p>
        </w:tc>
        <w:tc>
          <w:tcPr>
            <w:tcW w:w="1432" w:type="dxa"/>
            <w:noWrap w:val="0"/>
            <w:vAlign w:val="center"/>
          </w:tcPr>
          <w:p w14:paraId="5761B4E4">
            <w:pPr>
              <w:pStyle w:val="16"/>
              <w:spacing w:before="65" w:line="228" w:lineRule="auto"/>
              <w:ind w:left="292"/>
              <w:jc w:val="center"/>
              <w:rPr>
                <w:spacing w:val="7"/>
                <w:sz w:val="24"/>
                <w:szCs w:val="24"/>
              </w:rPr>
            </w:pPr>
          </w:p>
        </w:tc>
        <w:tc>
          <w:tcPr>
            <w:tcW w:w="1227" w:type="dxa"/>
            <w:noWrap w:val="0"/>
            <w:vAlign w:val="center"/>
          </w:tcPr>
          <w:p w14:paraId="7EE22D25">
            <w:pPr>
              <w:pStyle w:val="16"/>
              <w:spacing w:before="65" w:line="228" w:lineRule="auto"/>
              <w:jc w:val="center"/>
              <w:rPr>
                <w:spacing w:val="7"/>
                <w:sz w:val="24"/>
                <w:szCs w:val="24"/>
              </w:rPr>
            </w:pPr>
            <w:r>
              <w:rPr>
                <w:spacing w:val="6"/>
                <w:sz w:val="24"/>
                <w:szCs w:val="24"/>
              </w:rPr>
              <w:t>履约信誉</w:t>
            </w:r>
          </w:p>
        </w:tc>
        <w:tc>
          <w:tcPr>
            <w:tcW w:w="818" w:type="dxa"/>
            <w:noWrap w:val="0"/>
            <w:vAlign w:val="center"/>
          </w:tcPr>
          <w:p w14:paraId="78B9B137">
            <w:pPr>
              <w:pStyle w:val="16"/>
              <w:spacing w:before="65" w:line="267" w:lineRule="exact"/>
              <w:jc w:val="center"/>
              <w:rPr>
                <w:spacing w:val="-1"/>
                <w:position w:val="1"/>
                <w:sz w:val="24"/>
                <w:szCs w:val="24"/>
              </w:rPr>
            </w:pPr>
            <w:r>
              <w:rPr>
                <w:spacing w:val="-1"/>
                <w:position w:val="1"/>
                <w:sz w:val="24"/>
                <w:szCs w:val="24"/>
              </w:rPr>
              <w:t>15.0</w:t>
            </w:r>
          </w:p>
        </w:tc>
        <w:tc>
          <w:tcPr>
            <w:tcW w:w="4337" w:type="dxa"/>
            <w:noWrap w:val="0"/>
            <w:vAlign w:val="center"/>
          </w:tcPr>
          <w:p w14:paraId="6C14A01E">
            <w:pPr>
              <w:pStyle w:val="16"/>
              <w:numPr>
                <w:ilvl w:val="0"/>
                <w:numId w:val="0"/>
              </w:numPr>
              <w:spacing w:before="134" w:line="251" w:lineRule="auto"/>
              <w:ind w:right="129" w:rightChars="0"/>
              <w:jc w:val="center"/>
              <w:rPr>
                <w:spacing w:val="5"/>
                <w:sz w:val="24"/>
                <w:szCs w:val="24"/>
              </w:rPr>
            </w:pPr>
            <w:r>
              <w:rPr>
                <w:rFonts w:hint="eastAsia"/>
                <w:spacing w:val="5"/>
                <w:sz w:val="24"/>
                <w:szCs w:val="24"/>
                <w:lang w:val="en-US" w:eastAsia="zh-CN"/>
              </w:rPr>
              <w:t>信用等级为 AA 级的投标人，得15分；</w:t>
            </w:r>
          </w:p>
          <w:p w14:paraId="601F3A3B">
            <w:pPr>
              <w:pStyle w:val="16"/>
              <w:numPr>
                <w:ilvl w:val="0"/>
                <w:numId w:val="0"/>
              </w:numPr>
              <w:spacing w:before="134" w:line="251" w:lineRule="auto"/>
              <w:ind w:right="129" w:rightChars="0"/>
              <w:jc w:val="center"/>
              <w:rPr>
                <w:spacing w:val="5"/>
                <w:sz w:val="24"/>
                <w:szCs w:val="24"/>
              </w:rPr>
            </w:pPr>
            <w:r>
              <w:rPr>
                <w:rFonts w:hint="eastAsia"/>
                <w:spacing w:val="5"/>
                <w:sz w:val="24"/>
                <w:szCs w:val="24"/>
                <w:lang w:val="en-US" w:eastAsia="zh-CN"/>
              </w:rPr>
              <w:t>为 A 级的投标人，得14.7分；</w:t>
            </w:r>
          </w:p>
          <w:p w14:paraId="23A04DC7">
            <w:pPr>
              <w:pStyle w:val="16"/>
              <w:numPr>
                <w:ilvl w:val="0"/>
                <w:numId w:val="0"/>
              </w:numPr>
              <w:spacing w:before="134" w:line="251" w:lineRule="auto"/>
              <w:ind w:right="129" w:rightChars="0"/>
              <w:jc w:val="center"/>
              <w:rPr>
                <w:spacing w:val="5"/>
                <w:sz w:val="24"/>
                <w:szCs w:val="24"/>
              </w:rPr>
            </w:pPr>
            <w:r>
              <w:rPr>
                <w:rFonts w:hint="eastAsia"/>
                <w:spacing w:val="5"/>
                <w:sz w:val="24"/>
                <w:szCs w:val="24"/>
                <w:lang w:val="en-US" w:eastAsia="zh-CN"/>
              </w:rPr>
              <w:t>为 B 级的投标人，得14.1分；</w:t>
            </w:r>
          </w:p>
          <w:p w14:paraId="6BDB1438">
            <w:pPr>
              <w:pStyle w:val="16"/>
              <w:numPr>
                <w:ilvl w:val="0"/>
                <w:numId w:val="0"/>
              </w:numPr>
              <w:spacing w:before="134" w:line="251" w:lineRule="auto"/>
              <w:ind w:right="129" w:rightChars="0"/>
              <w:jc w:val="center"/>
              <w:rPr>
                <w:spacing w:val="5"/>
                <w:sz w:val="24"/>
                <w:szCs w:val="24"/>
              </w:rPr>
            </w:pPr>
            <w:r>
              <w:rPr>
                <w:rFonts w:hint="eastAsia"/>
                <w:spacing w:val="5"/>
                <w:sz w:val="24"/>
                <w:szCs w:val="24"/>
                <w:lang w:val="en-US" w:eastAsia="zh-CN"/>
              </w:rPr>
              <w:t>为 C 级的投标人，得 12.9分。</w:t>
            </w:r>
          </w:p>
          <w:p w14:paraId="14DD0802">
            <w:pPr>
              <w:pStyle w:val="16"/>
              <w:numPr>
                <w:ilvl w:val="0"/>
                <w:numId w:val="0"/>
              </w:numPr>
              <w:spacing w:before="134" w:line="251" w:lineRule="auto"/>
              <w:ind w:right="129" w:rightChars="0"/>
              <w:jc w:val="center"/>
              <w:rPr>
                <w:spacing w:val="5"/>
                <w:sz w:val="24"/>
                <w:szCs w:val="24"/>
              </w:rPr>
            </w:pPr>
            <w:r>
              <w:rPr>
                <w:rFonts w:hint="eastAsia"/>
                <w:spacing w:val="5"/>
                <w:sz w:val="24"/>
                <w:szCs w:val="24"/>
                <w:lang w:val="en-US" w:eastAsia="zh-CN"/>
              </w:rPr>
              <w:t>注：投标人按照投标文件格式中“信用评价等级”相关要求提供信用评价等级相关证明材料。</w:t>
            </w:r>
          </w:p>
        </w:tc>
      </w:tr>
      <w:tr w14:paraId="6F6FF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6" w:hRule="atLeast"/>
        </w:trPr>
        <w:tc>
          <w:tcPr>
            <w:tcW w:w="968" w:type="dxa"/>
            <w:noWrap w:val="0"/>
            <w:vAlign w:val="center"/>
          </w:tcPr>
          <w:p w14:paraId="186B7D5F">
            <w:pPr>
              <w:pStyle w:val="16"/>
              <w:spacing w:before="65"/>
              <w:ind w:left="116"/>
              <w:jc w:val="center"/>
              <w:rPr>
                <w:spacing w:val="3"/>
                <w:sz w:val="24"/>
                <w:szCs w:val="24"/>
              </w:rPr>
            </w:pPr>
          </w:p>
        </w:tc>
        <w:tc>
          <w:tcPr>
            <w:tcW w:w="1432" w:type="dxa"/>
            <w:noWrap w:val="0"/>
            <w:vAlign w:val="center"/>
          </w:tcPr>
          <w:p w14:paraId="055D3FC3">
            <w:pPr>
              <w:pStyle w:val="16"/>
              <w:spacing w:before="65" w:line="228" w:lineRule="auto"/>
              <w:ind w:left="292"/>
              <w:jc w:val="center"/>
              <w:rPr>
                <w:spacing w:val="7"/>
                <w:sz w:val="24"/>
                <w:szCs w:val="24"/>
              </w:rPr>
            </w:pPr>
          </w:p>
        </w:tc>
        <w:tc>
          <w:tcPr>
            <w:tcW w:w="1227" w:type="dxa"/>
            <w:noWrap w:val="0"/>
            <w:vAlign w:val="center"/>
          </w:tcPr>
          <w:p w14:paraId="14AB52AA">
            <w:pPr>
              <w:pStyle w:val="16"/>
              <w:spacing w:before="65" w:line="228" w:lineRule="auto"/>
              <w:jc w:val="center"/>
              <w:rPr>
                <w:spacing w:val="6"/>
                <w:sz w:val="24"/>
                <w:szCs w:val="24"/>
              </w:rPr>
            </w:pPr>
            <w:r>
              <w:rPr>
                <w:rFonts w:hint="eastAsia"/>
                <w:spacing w:val="6"/>
                <w:sz w:val="24"/>
                <w:szCs w:val="24"/>
                <w:lang w:val="en-US" w:eastAsia="zh-CN"/>
              </w:rPr>
              <w:t>业绩</w:t>
            </w:r>
          </w:p>
          <w:p w14:paraId="4662D8BD">
            <w:pPr>
              <w:pStyle w:val="16"/>
              <w:spacing w:before="65" w:line="228" w:lineRule="auto"/>
              <w:jc w:val="center"/>
              <w:rPr>
                <w:spacing w:val="6"/>
                <w:sz w:val="24"/>
                <w:szCs w:val="24"/>
              </w:rPr>
            </w:pPr>
          </w:p>
        </w:tc>
        <w:tc>
          <w:tcPr>
            <w:tcW w:w="818" w:type="dxa"/>
            <w:noWrap w:val="0"/>
            <w:vAlign w:val="center"/>
          </w:tcPr>
          <w:p w14:paraId="71E1138B">
            <w:pPr>
              <w:pStyle w:val="16"/>
              <w:spacing w:before="65" w:line="267" w:lineRule="exact"/>
              <w:jc w:val="center"/>
              <w:rPr>
                <w:rFonts w:hint="default" w:eastAsia="宋体"/>
                <w:spacing w:val="-1"/>
                <w:position w:val="1"/>
                <w:sz w:val="24"/>
                <w:szCs w:val="24"/>
                <w:lang w:val="en-US" w:eastAsia="zh-CN"/>
              </w:rPr>
            </w:pPr>
            <w:r>
              <w:rPr>
                <w:rFonts w:hint="eastAsia"/>
                <w:spacing w:val="-1"/>
                <w:position w:val="1"/>
                <w:sz w:val="24"/>
                <w:szCs w:val="24"/>
                <w:lang w:val="en-US" w:eastAsia="zh-CN"/>
              </w:rPr>
              <w:t>15.0</w:t>
            </w:r>
          </w:p>
        </w:tc>
        <w:tc>
          <w:tcPr>
            <w:tcW w:w="4337" w:type="dxa"/>
            <w:noWrap w:val="0"/>
            <w:vAlign w:val="center"/>
          </w:tcPr>
          <w:p w14:paraId="1227F0FA">
            <w:pPr>
              <w:pStyle w:val="16"/>
              <w:numPr>
                <w:ilvl w:val="0"/>
                <w:numId w:val="0"/>
              </w:numPr>
              <w:spacing w:before="134" w:line="251" w:lineRule="auto"/>
              <w:ind w:right="129" w:rightChars="0"/>
              <w:jc w:val="center"/>
              <w:rPr>
                <w:rFonts w:hint="eastAsia"/>
                <w:spacing w:val="5"/>
                <w:sz w:val="24"/>
                <w:szCs w:val="24"/>
                <w:lang w:val="en-US" w:eastAsia="zh-CN"/>
              </w:rPr>
            </w:pPr>
            <w:r>
              <w:rPr>
                <w:rFonts w:hint="eastAsia"/>
                <w:spacing w:val="5"/>
                <w:sz w:val="24"/>
                <w:szCs w:val="24"/>
                <w:lang w:val="en-US" w:eastAsia="zh-CN"/>
              </w:rPr>
              <w:t>1.满足资格审查条件（业绩最低要求）得 9 分；</w:t>
            </w:r>
          </w:p>
          <w:p w14:paraId="0B9676EC">
            <w:pPr>
              <w:pStyle w:val="16"/>
              <w:numPr>
                <w:ilvl w:val="0"/>
                <w:numId w:val="0"/>
              </w:numPr>
              <w:spacing w:before="134" w:line="251" w:lineRule="auto"/>
              <w:ind w:right="129" w:rightChars="0"/>
              <w:jc w:val="center"/>
              <w:rPr>
                <w:rFonts w:hint="eastAsia"/>
                <w:spacing w:val="5"/>
                <w:sz w:val="24"/>
                <w:szCs w:val="24"/>
                <w:lang w:val="en-US" w:eastAsia="zh-CN"/>
              </w:rPr>
            </w:pPr>
            <w:r>
              <w:rPr>
                <w:rFonts w:hint="eastAsia"/>
                <w:spacing w:val="5"/>
                <w:sz w:val="24"/>
                <w:szCs w:val="24"/>
                <w:lang w:val="en-US" w:eastAsia="zh-CN"/>
              </w:rPr>
              <w:t>2.在满足资格审查条件的基础上，近5年(自招标公告发布之日起向前计算5年至投标截止之日，精确到天，以交工日期为准)每增加一个一级及以上等级公路路基养护工程施工业绩加6分，此项最多加6分。</w:t>
            </w:r>
          </w:p>
          <w:p w14:paraId="19CF73DF">
            <w:pPr>
              <w:pStyle w:val="16"/>
              <w:numPr>
                <w:ilvl w:val="0"/>
                <w:numId w:val="0"/>
              </w:numPr>
              <w:spacing w:before="134" w:line="251" w:lineRule="auto"/>
              <w:ind w:right="129" w:rightChars="0"/>
              <w:jc w:val="center"/>
              <w:rPr>
                <w:rFonts w:hint="eastAsia"/>
                <w:spacing w:val="5"/>
                <w:sz w:val="24"/>
                <w:szCs w:val="24"/>
                <w:highlight w:val="none"/>
                <w:lang w:val="en-US" w:eastAsia="zh-CN"/>
              </w:rPr>
            </w:pPr>
            <w:r>
              <w:rPr>
                <w:rFonts w:hint="eastAsia"/>
                <w:spacing w:val="5"/>
                <w:sz w:val="24"/>
                <w:szCs w:val="24"/>
                <w:highlight w:val="none"/>
                <w:lang w:val="en-US" w:eastAsia="zh-CN"/>
              </w:rPr>
              <w:t>3.业绩证明材料同招标文件资格审查附录 3 要求。</w:t>
            </w:r>
          </w:p>
          <w:p w14:paraId="5F5F204B">
            <w:pPr>
              <w:pStyle w:val="16"/>
              <w:numPr>
                <w:ilvl w:val="0"/>
                <w:numId w:val="0"/>
              </w:numPr>
              <w:spacing w:before="134" w:line="251" w:lineRule="auto"/>
              <w:ind w:right="129" w:rightChars="0"/>
              <w:jc w:val="center"/>
              <w:rPr>
                <w:rFonts w:hint="eastAsia"/>
                <w:spacing w:val="5"/>
                <w:sz w:val="24"/>
                <w:szCs w:val="24"/>
                <w:lang w:val="en-US" w:eastAsia="zh-CN"/>
              </w:rPr>
            </w:pPr>
            <w:r>
              <w:rPr>
                <w:rFonts w:hint="eastAsia"/>
                <w:b/>
                <w:bCs/>
                <w:spacing w:val="5"/>
                <w:sz w:val="24"/>
                <w:szCs w:val="24"/>
                <w:highlight w:val="none"/>
                <w:lang w:val="en-US" w:eastAsia="zh-CN"/>
              </w:rPr>
              <w:t>注：（投标人提供的养护工程业绩须包括软基处理或路基加固等类似施工内容）</w:t>
            </w:r>
          </w:p>
        </w:tc>
      </w:tr>
    </w:tbl>
    <w:p w14:paraId="3C8981C5">
      <w:pPr>
        <w:jc w:val="center"/>
        <w:rPr>
          <w:rFonts w:hint="eastAsia" w:ascii="Arial" w:hAnsi="Arial" w:eastAsia="宋体" w:cs="Arial"/>
          <w:sz w:val="21"/>
          <w:szCs w:val="21"/>
          <w:lang w:eastAsia="zh-CN"/>
        </w:rPr>
        <w:sectPr>
          <w:footerReference r:id="rId4" w:type="default"/>
          <w:pgSz w:w="11907" w:h="16840"/>
          <w:pgMar w:top="1431" w:right="1477" w:bottom="1064" w:left="1533" w:header="0" w:footer="831" w:gutter="0"/>
          <w:pgNumType w:fmt="decimal"/>
          <w:cols w:space="720" w:num="1"/>
        </w:sectPr>
      </w:pPr>
    </w:p>
    <w:tbl>
      <w:tblPr>
        <w:tblStyle w:val="17"/>
        <w:tblW w:w="86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7747"/>
      </w:tblGrid>
      <w:tr w14:paraId="5BA5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689" w:type="dxa"/>
            <w:gridSpan w:val="2"/>
            <w:noWrap w:val="0"/>
            <w:vAlign w:val="top"/>
          </w:tcPr>
          <w:p w14:paraId="729BF34C">
            <w:pPr>
              <w:pStyle w:val="16"/>
              <w:spacing w:before="119" w:line="215" w:lineRule="auto"/>
              <w:ind w:left="27"/>
              <w:jc w:val="center"/>
              <w:rPr>
                <w:sz w:val="24"/>
                <w:szCs w:val="24"/>
              </w:rPr>
            </w:pPr>
            <w:r>
              <w:rPr>
                <w:spacing w:val="-3"/>
                <w:sz w:val="24"/>
                <w:szCs w:val="24"/>
              </w:rPr>
              <w:t>需要补充的其他内容：</w:t>
            </w:r>
          </w:p>
        </w:tc>
      </w:tr>
      <w:tr w14:paraId="608BF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2" w:type="dxa"/>
            <w:noWrap w:val="0"/>
            <w:vAlign w:val="top"/>
          </w:tcPr>
          <w:p w14:paraId="73E6F6D4">
            <w:pPr>
              <w:pStyle w:val="16"/>
              <w:spacing w:before="115" w:line="215" w:lineRule="auto"/>
              <w:ind w:left="119"/>
              <w:jc w:val="center"/>
              <w:rPr>
                <w:sz w:val="24"/>
                <w:szCs w:val="24"/>
              </w:rPr>
            </w:pPr>
            <w:r>
              <w:rPr>
                <w:spacing w:val="-4"/>
                <w:sz w:val="24"/>
                <w:szCs w:val="24"/>
              </w:rPr>
              <w:t>条款号</w:t>
            </w:r>
          </w:p>
        </w:tc>
        <w:tc>
          <w:tcPr>
            <w:tcW w:w="7747" w:type="dxa"/>
            <w:noWrap w:val="0"/>
            <w:vAlign w:val="top"/>
          </w:tcPr>
          <w:p w14:paraId="29FB4123">
            <w:pPr>
              <w:pStyle w:val="16"/>
              <w:spacing w:before="115" w:line="215" w:lineRule="auto"/>
              <w:ind w:left="3398"/>
              <w:jc w:val="center"/>
              <w:rPr>
                <w:sz w:val="24"/>
                <w:szCs w:val="24"/>
              </w:rPr>
            </w:pPr>
            <w:r>
              <w:rPr>
                <w:spacing w:val="-3"/>
                <w:sz w:val="24"/>
                <w:szCs w:val="24"/>
              </w:rPr>
              <w:t>编列内容</w:t>
            </w:r>
          </w:p>
        </w:tc>
      </w:tr>
      <w:tr w14:paraId="742E9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942" w:type="dxa"/>
            <w:noWrap w:val="0"/>
            <w:vAlign w:val="top"/>
          </w:tcPr>
          <w:p w14:paraId="43E0ADB0">
            <w:pPr>
              <w:jc w:val="center"/>
              <w:rPr>
                <w:rFonts w:ascii="Arial"/>
                <w:sz w:val="21"/>
              </w:rPr>
            </w:pPr>
          </w:p>
        </w:tc>
        <w:tc>
          <w:tcPr>
            <w:tcW w:w="7747" w:type="dxa"/>
            <w:noWrap w:val="0"/>
            <w:vAlign w:val="top"/>
          </w:tcPr>
          <w:p w14:paraId="6B3D4EF4">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4"/>
                <w:szCs w:val="24"/>
                <w:lang w:val="en-US" w:eastAsia="zh-CN" w:bidi="ar"/>
              </w:rPr>
              <w:t xml:space="preserve">评标办法 </w:t>
            </w:r>
          </w:p>
          <w:p w14:paraId="5F524D5B">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本条细化为： </w:t>
            </w:r>
          </w:p>
          <w:p w14:paraId="7C628B31">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1.1 本次评标采用双信封形式技术评分最低标价法，评标委员会首先对投标文件第一个信封（商务与技术文件）进行初步评审（形式评审与响应性评审、资格评审）。 </w:t>
            </w:r>
          </w:p>
          <w:p w14:paraId="65FF297C">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1.2 通过投标文件第一个信封初步评审的投标人未超过评标办法前附表第 3.2.4 项规定数量的，不再对投标人的商务和技术文件进行评分，其投标文件均通过投标文件第一个信封评审。 </w:t>
            </w:r>
          </w:p>
          <w:p w14:paraId="607A8B76">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1.3 通过投标文件第一个信封初步评审的投标人超过评标办法前附表第 3.2.4 项规定数量的，评标委员会对通过第一个信封初步评审的投标文件按照本章第 2.2 款规定的评分标准进行第一个信封详细评审及评分，并按照投标人的商务和技术得分（保留小数点后两位，小数点后第三“四舍五入”）由高到低排序，排名在评标办法前附表规定数量以内的投标人，其投标文件通过第一个信封评审。 </w:t>
            </w:r>
          </w:p>
          <w:p w14:paraId="17C83644">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当两家及以上投标人在标段中的商务和技术得分相等时，排名顺序则依次依据“履约信誉得分”、“主要人员得分”、“施工组织设计得分”、“技术能力得分”、“企业业绩得分”、“投标人上一年年末净资产”、“投标人近 3 年年平均营业收入”由高到低的顺序进行确定，若近 3 年年平均营业收入也相等时，则由评标委员会根据施工组织设计的编制情况投票确定其排名顺序。 </w:t>
            </w:r>
          </w:p>
          <w:p w14:paraId="0A5FCD46">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1.4 所有通过第一个信封初步评审后的投标文件方可进入第二个信封（报价文件）的开标，其第二个信封在监督机关的监督下进行开标；未通过第一个信封初步评审的投标人不进入第二个信封的评审，其第二个信封原封退回（或不予解密），不参与第二个信封的开标。 </w:t>
            </w:r>
          </w:p>
          <w:p w14:paraId="653C9DDA">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1.5 评标委员会对投标文件第二个信封进行初步评审（形式评审与响应性评审），并对通过第二个信封初步评审的投标人，评标委员会按评标价由低到高顺序确定中标候选人推荐排序，但评标价低于其成本的除外。 </w:t>
            </w:r>
          </w:p>
          <w:p w14:paraId="57BC31A7">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当两家及以上投标人在标段中的评标价相等时，若各投标人工程量清单子目单价也相同时，视为串标，其投标均被否决。当两家及以上投标人在标段中的评标价相等时，且各投标人工程量清单子目单价不尽相同时，推荐顺序则依次依据“履约信誉得分”、“主要人员得分”、“施工组织设 </w:t>
            </w:r>
          </w:p>
          <w:p w14:paraId="3E8EEA6F">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计得分”、“技术能力得分”、“企业业绩得分”、“投标人上一年年末净资产”、“投标人近 3 年年平均营业收入”由高到低的顺序进行确定，若近 3 年年平均营业收入也相等时，则由评标委员会根据施工组织设计的编制情况投票确定其推荐顺序。 </w:t>
            </w:r>
          </w:p>
          <w:p w14:paraId="6CA6D8A9">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1.6 参与本次招标投标的投标人，最多被允许取得其中</w:t>
            </w:r>
            <w:r>
              <w:rPr>
                <w:rFonts w:hint="eastAsia"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个标段的中标资格（适用于多个标段）。 </w:t>
            </w:r>
          </w:p>
          <w:p w14:paraId="5C3C99B2">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评标委员会推荐次序： </w:t>
            </w:r>
          </w:p>
          <w:p w14:paraId="20F75A0A">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1.7 某一标段通过第一个信封评审且参与第二个信封开标的投标人在 3 个及以上的，招标人将按规定的程序进行第二个信封开标；在对第二个信封进行评审后，有效投标不足 3 个使得投标明显缺乏竞争的，评标委员会可以否决这一标段的全部投标。评标委员会未否决全部投标的，应当在评标报告中阐明理由并推荐这一标段中标候选人。某一标段通过第一个信封评审且参与第二个信封开标的投标人少于 3 个的，评标委员会可以否决这一标段全部投标。未否决全部投标的，评标委员会应当在评标报告中阐明理由，招标人应当按照规定的程序进行第二信封开标，但评标委员会在进行报价文 件评审时仍有权否决全部投标；评标委员会未在报价文件评审时否决全部投标的，应当在评标报告中阐明理由并推荐中标候选人。</w:t>
            </w:r>
          </w:p>
          <w:p w14:paraId="2EE8BFE6">
            <w:pPr>
              <w:pStyle w:val="16"/>
              <w:numPr>
                <w:ilvl w:val="0"/>
                <w:numId w:val="0"/>
              </w:numPr>
              <w:spacing w:before="32" w:line="251" w:lineRule="auto"/>
              <w:jc w:val="both"/>
            </w:pPr>
          </w:p>
        </w:tc>
      </w:tr>
    </w:tbl>
    <w:p w14:paraId="5552FFE7">
      <w:pPr>
        <w:rPr>
          <w:rFonts w:hint="eastAsia" w:ascii="宋体" w:hAnsi="宋体" w:eastAsia="宋体" w:cs="宋体"/>
          <w:sz w:val="28"/>
          <w:szCs w:val="28"/>
        </w:rPr>
      </w:pPr>
      <w:r>
        <w:rPr>
          <w:rFonts w:hint="eastAsia" w:ascii="宋体" w:hAnsi="宋体" w:eastAsia="宋体" w:cs="宋体"/>
          <w:sz w:val="28"/>
          <w:szCs w:val="28"/>
        </w:rPr>
        <w:br w:type="page"/>
      </w:r>
    </w:p>
    <w:p w14:paraId="06B0CAA7">
      <w:pPr>
        <w:spacing w:line="360" w:lineRule="auto"/>
        <w:rPr>
          <w:rFonts w:hint="eastAsia" w:ascii="宋体" w:hAnsi="宋体" w:eastAsia="宋体" w:cs="宋体"/>
          <w:sz w:val="28"/>
          <w:szCs w:val="28"/>
        </w:rPr>
      </w:pPr>
    </w:p>
    <w:p w14:paraId="66ADB6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附件：国家级奖项</w:t>
      </w:r>
    </w:p>
    <w:tbl>
      <w:tblPr>
        <w:tblStyle w:val="17"/>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4424"/>
        <w:gridCol w:w="3929"/>
      </w:tblGrid>
      <w:tr w14:paraId="3DA5F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21" w:type="dxa"/>
            <w:noWrap w:val="0"/>
            <w:vAlign w:val="top"/>
          </w:tcPr>
          <w:p w14:paraId="1C2850B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4424" w:type="dxa"/>
            <w:noWrap w:val="0"/>
            <w:vAlign w:val="top"/>
          </w:tcPr>
          <w:p w14:paraId="0DA9911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奖项名称</w:t>
            </w:r>
          </w:p>
        </w:tc>
        <w:tc>
          <w:tcPr>
            <w:tcW w:w="3929" w:type="dxa"/>
            <w:noWrap w:val="0"/>
            <w:vAlign w:val="top"/>
          </w:tcPr>
          <w:p w14:paraId="44FC5C0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授予部门</w:t>
            </w:r>
          </w:p>
        </w:tc>
      </w:tr>
      <w:tr w14:paraId="5C9C6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6101C6F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4424" w:type="dxa"/>
            <w:noWrap w:val="0"/>
            <w:vAlign w:val="top"/>
          </w:tcPr>
          <w:p w14:paraId="6820384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中华人民共和国科学技术进步奖</w:t>
            </w:r>
          </w:p>
        </w:tc>
        <w:tc>
          <w:tcPr>
            <w:tcW w:w="3929" w:type="dxa"/>
            <w:noWrap w:val="0"/>
            <w:vAlign w:val="top"/>
          </w:tcPr>
          <w:p w14:paraId="6481E5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中华人民共和国国务院</w:t>
            </w:r>
          </w:p>
        </w:tc>
      </w:tr>
      <w:tr w14:paraId="27DA4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21" w:type="dxa"/>
            <w:noWrap w:val="0"/>
            <w:vAlign w:val="top"/>
          </w:tcPr>
          <w:p w14:paraId="66F8498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4424" w:type="dxa"/>
            <w:noWrap w:val="0"/>
            <w:vAlign w:val="top"/>
          </w:tcPr>
          <w:p w14:paraId="6CA0325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中国建筑工程鲁班奖</w:t>
            </w:r>
          </w:p>
        </w:tc>
        <w:tc>
          <w:tcPr>
            <w:tcW w:w="3929" w:type="dxa"/>
            <w:noWrap w:val="0"/>
            <w:vAlign w:val="top"/>
          </w:tcPr>
          <w:p w14:paraId="3068CE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中国建筑业协会</w:t>
            </w:r>
          </w:p>
        </w:tc>
      </w:tr>
      <w:tr w14:paraId="3D0C6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50DDE3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4424" w:type="dxa"/>
            <w:noWrap w:val="0"/>
            <w:vAlign w:val="top"/>
          </w:tcPr>
          <w:p w14:paraId="55A20E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国家优质工程奖</w:t>
            </w:r>
          </w:p>
        </w:tc>
        <w:tc>
          <w:tcPr>
            <w:tcW w:w="3929" w:type="dxa"/>
            <w:noWrap w:val="0"/>
            <w:vAlign w:val="top"/>
          </w:tcPr>
          <w:p w14:paraId="1B06E01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中国施工企业管理协会</w:t>
            </w:r>
          </w:p>
        </w:tc>
      </w:tr>
      <w:tr w14:paraId="1C96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176509E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4424" w:type="dxa"/>
            <w:noWrap w:val="0"/>
            <w:vAlign w:val="top"/>
          </w:tcPr>
          <w:p w14:paraId="18E60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中国土木工程詹天佑奖</w:t>
            </w:r>
          </w:p>
        </w:tc>
        <w:tc>
          <w:tcPr>
            <w:tcW w:w="3929" w:type="dxa"/>
            <w:noWrap w:val="0"/>
            <w:vAlign w:val="top"/>
          </w:tcPr>
          <w:p w14:paraId="6CE80A7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中国土木工程学会</w:t>
            </w:r>
          </w:p>
        </w:tc>
      </w:tr>
      <w:tr w14:paraId="189BA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6A75CE3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424" w:type="dxa"/>
            <w:noWrap w:val="0"/>
            <w:vAlign w:val="top"/>
          </w:tcPr>
          <w:p w14:paraId="23AF3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929" w:type="dxa"/>
            <w:noWrap w:val="0"/>
            <w:vAlign w:val="top"/>
          </w:tcPr>
          <w:p w14:paraId="2F3AB86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3EF6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21" w:type="dxa"/>
            <w:noWrap w:val="0"/>
            <w:vAlign w:val="top"/>
          </w:tcPr>
          <w:p w14:paraId="0D63D7B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424" w:type="dxa"/>
            <w:noWrap w:val="0"/>
            <w:vAlign w:val="top"/>
          </w:tcPr>
          <w:p w14:paraId="2A4135E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929" w:type="dxa"/>
            <w:noWrap w:val="0"/>
            <w:vAlign w:val="top"/>
          </w:tcPr>
          <w:p w14:paraId="77E71CA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5623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209E831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424" w:type="dxa"/>
            <w:noWrap w:val="0"/>
            <w:vAlign w:val="top"/>
          </w:tcPr>
          <w:p w14:paraId="401144D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929" w:type="dxa"/>
            <w:noWrap w:val="0"/>
            <w:vAlign w:val="top"/>
          </w:tcPr>
          <w:p w14:paraId="626BED1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51DB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1" w:type="dxa"/>
            <w:noWrap w:val="0"/>
            <w:vAlign w:val="top"/>
          </w:tcPr>
          <w:p w14:paraId="73B7ABA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424" w:type="dxa"/>
            <w:noWrap w:val="0"/>
            <w:vAlign w:val="top"/>
          </w:tcPr>
          <w:p w14:paraId="781CC21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929" w:type="dxa"/>
            <w:noWrap w:val="0"/>
            <w:vAlign w:val="top"/>
          </w:tcPr>
          <w:p w14:paraId="71CCAB2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02A7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21" w:type="dxa"/>
            <w:noWrap w:val="0"/>
            <w:vAlign w:val="top"/>
          </w:tcPr>
          <w:p w14:paraId="6402A63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424" w:type="dxa"/>
            <w:noWrap w:val="0"/>
            <w:vAlign w:val="top"/>
          </w:tcPr>
          <w:p w14:paraId="6B79051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929" w:type="dxa"/>
            <w:noWrap w:val="0"/>
            <w:vAlign w:val="top"/>
          </w:tcPr>
          <w:p w14:paraId="0AC88D0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bl>
    <w:p w14:paraId="37FE7C0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附件：省部级奖项</w:t>
      </w:r>
    </w:p>
    <w:tbl>
      <w:tblPr>
        <w:tblStyle w:val="17"/>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4367"/>
        <w:gridCol w:w="3874"/>
      </w:tblGrid>
      <w:tr w14:paraId="1BC64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13" w:type="dxa"/>
            <w:noWrap w:val="0"/>
            <w:vAlign w:val="top"/>
          </w:tcPr>
          <w:p w14:paraId="013EE55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4367" w:type="dxa"/>
            <w:noWrap w:val="0"/>
            <w:vAlign w:val="top"/>
          </w:tcPr>
          <w:p w14:paraId="163626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奖项名称</w:t>
            </w:r>
          </w:p>
        </w:tc>
        <w:tc>
          <w:tcPr>
            <w:tcW w:w="3874" w:type="dxa"/>
            <w:noWrap w:val="0"/>
            <w:vAlign w:val="top"/>
          </w:tcPr>
          <w:p w14:paraId="3FFB16C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授予部门</w:t>
            </w:r>
          </w:p>
        </w:tc>
      </w:tr>
      <w:tr w14:paraId="41D62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noWrap w:val="0"/>
            <w:vAlign w:val="top"/>
          </w:tcPr>
          <w:p w14:paraId="0FAC500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4367" w:type="dxa"/>
            <w:noWrap w:val="0"/>
            <w:vAlign w:val="top"/>
          </w:tcPr>
          <w:p w14:paraId="7A089FC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李春奖（公路交通优质工程奖）</w:t>
            </w:r>
          </w:p>
        </w:tc>
        <w:tc>
          <w:tcPr>
            <w:tcW w:w="3874" w:type="dxa"/>
            <w:noWrap w:val="0"/>
            <w:vAlign w:val="top"/>
          </w:tcPr>
          <w:p w14:paraId="305E137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中国公路建设行业协会</w:t>
            </w:r>
          </w:p>
        </w:tc>
      </w:tr>
      <w:tr w14:paraId="508FE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3" w:type="dxa"/>
            <w:noWrap w:val="0"/>
            <w:vAlign w:val="top"/>
          </w:tcPr>
          <w:p w14:paraId="351FB98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4367" w:type="dxa"/>
            <w:noWrap w:val="0"/>
            <w:vAlign w:val="top"/>
          </w:tcPr>
          <w:p w14:paraId="5A8C970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省级科学技术进步奖</w:t>
            </w:r>
          </w:p>
        </w:tc>
        <w:tc>
          <w:tcPr>
            <w:tcW w:w="3874" w:type="dxa"/>
            <w:noWrap w:val="0"/>
            <w:vAlign w:val="top"/>
          </w:tcPr>
          <w:p w14:paraId="6875F10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2976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noWrap w:val="0"/>
            <w:vAlign w:val="top"/>
          </w:tcPr>
          <w:p w14:paraId="075D2F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367" w:type="dxa"/>
            <w:noWrap w:val="0"/>
            <w:vAlign w:val="top"/>
          </w:tcPr>
          <w:p w14:paraId="72B9073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874" w:type="dxa"/>
            <w:noWrap w:val="0"/>
            <w:vAlign w:val="top"/>
          </w:tcPr>
          <w:p w14:paraId="5BF2194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3A25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3" w:type="dxa"/>
            <w:noWrap w:val="0"/>
            <w:vAlign w:val="top"/>
          </w:tcPr>
          <w:p w14:paraId="5D35404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367" w:type="dxa"/>
            <w:noWrap w:val="0"/>
            <w:vAlign w:val="top"/>
          </w:tcPr>
          <w:p w14:paraId="4AACE4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874" w:type="dxa"/>
            <w:noWrap w:val="0"/>
            <w:vAlign w:val="top"/>
          </w:tcPr>
          <w:p w14:paraId="5B60B37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6D837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noWrap w:val="0"/>
            <w:vAlign w:val="top"/>
          </w:tcPr>
          <w:p w14:paraId="68416FC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367" w:type="dxa"/>
            <w:noWrap w:val="0"/>
            <w:vAlign w:val="top"/>
          </w:tcPr>
          <w:p w14:paraId="24F5AB3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874" w:type="dxa"/>
            <w:noWrap w:val="0"/>
            <w:vAlign w:val="top"/>
          </w:tcPr>
          <w:p w14:paraId="6568E8F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2F4ED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noWrap w:val="0"/>
            <w:vAlign w:val="top"/>
          </w:tcPr>
          <w:p w14:paraId="01A0A32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367" w:type="dxa"/>
            <w:noWrap w:val="0"/>
            <w:vAlign w:val="top"/>
          </w:tcPr>
          <w:p w14:paraId="04EE00E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874" w:type="dxa"/>
            <w:noWrap w:val="0"/>
            <w:vAlign w:val="top"/>
          </w:tcPr>
          <w:p w14:paraId="0CE4004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r w14:paraId="00F4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13" w:type="dxa"/>
            <w:noWrap w:val="0"/>
            <w:vAlign w:val="top"/>
          </w:tcPr>
          <w:p w14:paraId="088FFB6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4367" w:type="dxa"/>
            <w:noWrap w:val="0"/>
            <w:vAlign w:val="top"/>
          </w:tcPr>
          <w:p w14:paraId="18DA4D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c>
          <w:tcPr>
            <w:tcW w:w="3874" w:type="dxa"/>
            <w:noWrap w:val="0"/>
            <w:vAlign w:val="top"/>
          </w:tcPr>
          <w:p w14:paraId="5C7BA5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outlineLvl w:val="9"/>
              <w:rPr>
                <w:rFonts w:hint="eastAsia" w:ascii="宋体" w:hAnsi="宋体" w:eastAsia="宋体" w:cs="宋体"/>
                <w:spacing w:val="0"/>
                <w:position w:val="0"/>
                <w:sz w:val="24"/>
                <w:szCs w:val="24"/>
              </w:rPr>
            </w:pPr>
          </w:p>
        </w:tc>
      </w:tr>
    </w:tbl>
    <w:p w14:paraId="317CA6B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sectPr>
          <w:footerReference r:id="rId5" w:type="default"/>
          <w:pgSz w:w="11907" w:h="16840"/>
          <w:pgMar w:top="1431" w:right="1296" w:bottom="1064" w:left="1531" w:header="0" w:footer="831" w:gutter="0"/>
          <w:pgNumType w:fmt="decimal"/>
          <w:cols w:space="720" w:num="1"/>
        </w:sectPr>
      </w:pPr>
    </w:p>
    <w:p w14:paraId="081B4B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 评标方法</w:t>
      </w:r>
    </w:p>
    <w:p w14:paraId="6F648F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本次评标采用技术评分最低标价法。评标委员会对满足招标文件实质性要求的 投标文件的施工组织设计、主要人员、技术能力等因素进行评分，按照得分由高到 低排序，对排名在招标文件规定数量以内的投标人的报价文件进行评审，按照评标 价由低到高的顺序推荐中标候选人，或根据招标人授权直接确定中标人，但投标报 价低于其成本的除外。评标价相等时，评标委员会应按照评标办法前附表规定的优 先次序推荐中标候选人或确定中标人。</w:t>
      </w:r>
    </w:p>
    <w:p w14:paraId="619F9AF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 评审标准</w:t>
      </w:r>
    </w:p>
    <w:p w14:paraId="7F7E750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 初步评审标准</w:t>
      </w:r>
    </w:p>
    <w:p w14:paraId="5B8656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 形式评审标准：见评标办法前附表。</w:t>
      </w:r>
    </w:p>
    <w:p w14:paraId="247981B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2.1.2 资格评审标准：见评标办法前附表（适用于未进行资格预审的）。</w:t>
      </w:r>
    </w:p>
    <w:p w14:paraId="35DD4F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 响应性评审标准：见评标办法前附表。</w:t>
      </w:r>
    </w:p>
    <w:p w14:paraId="382202A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 分值构成与评分标准</w:t>
      </w:r>
    </w:p>
    <w:p w14:paraId="2753A7C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2.2.1 第一个信封评分分值构成</w:t>
      </w:r>
    </w:p>
    <w:p w14:paraId="3073259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（1）施工组织设计：见评标办法前附表；</w:t>
      </w:r>
    </w:p>
    <w:p w14:paraId="5ED1B41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（2）主要人员：见评标办法前附表；</w:t>
      </w:r>
    </w:p>
    <w:p w14:paraId="07F24FD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（3）其他评分因素：见评标办法前附表。</w:t>
      </w:r>
    </w:p>
    <w:p w14:paraId="71A5C42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2.2.2 第一个信封评分标准</w:t>
      </w:r>
    </w:p>
    <w:p w14:paraId="1B1F86E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（1）施工组织设计评分标准：见评标办法前附表；</w:t>
      </w:r>
    </w:p>
    <w:p w14:paraId="7FE2C76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（2）主要人员评分标准：见评标办法前附表；</w:t>
      </w:r>
    </w:p>
    <w:p w14:paraId="5724443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（3）其他因素评分标准：见评标办法前附表。</w:t>
      </w:r>
    </w:p>
    <w:p w14:paraId="64A84EC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2.2.3 第二个信封详细评审标准：见评标办法前附表。</w:t>
      </w:r>
    </w:p>
    <w:p w14:paraId="58822F9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 评标程序</w:t>
      </w:r>
    </w:p>
    <w:p w14:paraId="04FF763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3.1 第一个信封初步评审</w:t>
      </w:r>
    </w:p>
    <w:p w14:paraId="48B0D1A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3.1.1 评标委员会依据本章第 2.1 款规定的标准对投标文件第一个信封（商务 及技术文件）进行初步评审。有一项不符合评审标准的，评标委员会应否决其投标。 （适用于未进行资格预审的）</w:t>
      </w:r>
    </w:p>
    <w:p w14:paraId="313988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sectPr>
          <w:footerReference r:id="rId6" w:type="default"/>
          <w:pgSz w:w="11907" w:h="16840"/>
          <w:pgMar w:top="1431" w:right="1506" w:bottom="1096" w:left="1652" w:header="0" w:footer="862" w:gutter="0"/>
          <w:pgNumType w:fmt="decimal"/>
          <w:cols w:space="720" w:num="1"/>
        </w:sectPr>
      </w:pPr>
    </w:p>
    <w:p w14:paraId="681355F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 第一个信封详细评审</w:t>
      </w:r>
    </w:p>
    <w:p w14:paraId="3F85570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3.2.1 评标委员会按本章第 2.2 款规定的量化因素和分值进行打分，并计算出 各投标人的商务和技术得分。</w:t>
      </w:r>
    </w:p>
    <w:p w14:paraId="26487A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（1）按本章第 2.2.2 项（1） 目规定的评审因素和分值对施工组织设计部分计 算出得分 A；</w:t>
      </w:r>
    </w:p>
    <w:p w14:paraId="1A3D1CB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（2）按本章第 2.2.2 项（2） 目规定的评审因素和分值对主要人员部分计算出 得分 B；</w:t>
      </w:r>
    </w:p>
    <w:p w14:paraId="6DDA4A7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（3）按本章第 2.2.2 项（3） 目规定的评审因素和分值对其他部分计算出得分 C。</w:t>
      </w:r>
    </w:p>
    <w:p w14:paraId="0805E80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3.2.2 投标人的商务和技术得分分值计算保留小数点后两位，小数点后第三位 “ 四舍五入 ”。</w:t>
      </w:r>
    </w:p>
    <w:p w14:paraId="2C010D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3.2.3 投标人的商务和技术得分=A+B+C。</w:t>
      </w:r>
    </w:p>
    <w:p w14:paraId="1CDABD7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3.2.4 评标委员会按照投标人的商务和技术得分由高到低排序，排名在评标办 法前附表规定数量以内的投标人，其投标文件第一个信封（商务及技术文件）通过 详细评审。</w:t>
      </w:r>
    </w:p>
    <w:p w14:paraId="3CCA76B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3.2.5 通过投标文件第一个信封（商务及技术文件）初步评审的投标人不少于 3 个且未超过评标办法前附表第 3.2.4 项规定数量的，均通过投标文件第一个信封 （商务及技术文件）详细评审，不再对投标人的商务和技术文件进行评分。</w:t>
      </w:r>
    </w:p>
    <w:p w14:paraId="2AD7BBA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 第二个信封开标</w:t>
      </w:r>
    </w:p>
    <w:p w14:paraId="4A8FA4E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第一个信封（商务及技术文件）评审结束后，招标人将按照第二章“投标人须 知 ”第 5.1 款规定的时间和地点对通过投标文件第一个信封（商务及技术文件）评 审的投标文件第二个信封（报价文件）进行开标。</w:t>
      </w:r>
    </w:p>
    <w:p w14:paraId="6859B0B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 第二个信封初步评审</w:t>
      </w:r>
    </w:p>
    <w:p w14:paraId="7FE8B00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3.4.1 评标委员会依据本章第 2.1.1 项、第 2.1.3 项规定的评审标准对投标文 件第二个信封（报价文件）进行初步评审。有一项不符合评审标准的，评标委员会 应否决其投标。</w:t>
      </w:r>
    </w:p>
    <w:p w14:paraId="52FEAF6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3.4.2 投标报价有算术错误的，评标委员会按以下原则对投标报价进行修正， 修正的价格经投标人数据电文确认后具有约束力。投标人不接受修正价格的，评标 委员会应否决其投标。</w:t>
      </w:r>
    </w:p>
    <w:p w14:paraId="2EEAF6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（1）投标文件中的大写金额与小写金额不一致的，以大写金额为准；</w:t>
      </w:r>
    </w:p>
    <w:p w14:paraId="72DA2A8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（2）总价金额与依据单价计算出的结果不一致的，以单价金额为准修正总价， 但单价金额小数点有明显错误的除外;</w:t>
      </w:r>
    </w:p>
    <w:p w14:paraId="34DAA1C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（3）当单价与数量相乘不等于合价时，以单价计算为准，如果单价有明显的小数点位置差错，应以标出的合价为准，同时对单价予以修正；</w:t>
      </w:r>
    </w:p>
    <w:p w14:paraId="4D8313A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（4）当各子目的合价累计不等于总价时，应以各子目合价累计数为准，修正总 价。</w:t>
      </w:r>
    </w:p>
    <w:p w14:paraId="06EA80C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3.4.3 工程量清单中的投标报价有其他错误的，评标委员会按以下原则对投标 报价进行修正，修正的价格经投标人数据电文确认后具有约束力。投标人不接受修 正价格的，评标委员会应否决其投标。</w:t>
      </w:r>
    </w:p>
    <w:p w14:paraId="1FA4315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（1）在招标人给定的工程量清单中漏报了某个工程子目的单价、合价或总额价， 或所报单价、合价或总额价减少了报价范围，则漏报的工程子目单价、合价和总额 价或单价、合价和总额价中减少的报价内容视为已含入其他工程子目的单价、合价 和总额价之中。</w:t>
      </w:r>
    </w:p>
    <w:p w14:paraId="779D6A7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（2）在招标人给定的工程量清单中多报了某个工程子目的单价、合价或总额价， 或所报单价、合价或总额价增加了报价范围，则从投标报价中扣除多报的工程子目 报价或工程子目报价中增加了报价范围的部分报价。</w:t>
      </w:r>
    </w:p>
    <w:p w14:paraId="377ADCE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（3）当单价与数量的乘积与合价（金额）虽然一致，但投标人修改了该子目的 工程数量，则其合价按招标人给定的工程数量乘以投标人所报单价予以修正。</w:t>
      </w:r>
    </w:p>
    <w:p w14:paraId="521A828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3.4.4 修正后的最终投标报价若超过最高投标限价（如有），评标委员会应否 决其投标。</w:t>
      </w:r>
    </w:p>
    <w:p w14:paraId="034CD3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 第二个信封详细评审</w:t>
      </w:r>
    </w:p>
    <w:p w14:paraId="26F5A7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3.5.1 评标委员会按本章第 2.2 款规定的量化因素和标准进行价格折算，计算 出评标价，并编制价格比较一览表。</w:t>
      </w:r>
    </w:p>
    <w:p w14:paraId="6AA1995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3.5.2 评标委员会发现投标人的报价明显低于其他投标报价，使得其投标报价 可能低于其个别成本的，应要求该投标人作出数据电文说明并提供相应的证明材料。 投标人不能合理说明或不能提供相应证明材料的，由评标委员会认定该投标人以低 于成本报价竞标，并否决其投标。</w:t>
      </w:r>
    </w:p>
    <w:p w14:paraId="392F833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 投标文件相关信息的核查</w:t>
      </w:r>
    </w:p>
    <w:p w14:paraId="32BEECB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3.6.1 在评标过程中，评标委员会应查询交通运输主管部门“公路建设市场信 用信息管理系统 ”，对投标人的资质、业绩、主要人员资历和目前在岗情况、信用 等级等信息进行核实。若投标文件载明的信息与交通运输主管部门“公路建设市场 信用信息管理系统 ”发布的信息不符，使得投标人的资格条件不符合招标文件规定 的，评标委员会应否决其投标。</w:t>
      </w:r>
    </w:p>
    <w:p w14:paraId="0438F73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3.6.2 评标委员会应对在评标过程中发现的投标人与投标人之间、投标人与招 标人之间存在的串通投标的情形进行评审和认定。投标人存在串通投标、弄虚作假、 行贿等违法行为的，评标委员会应否决其投标。</w:t>
      </w:r>
    </w:p>
    <w:p w14:paraId="2B6ED2E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（1）有下列情形之一的，属于投标人相互串通投标：</w:t>
      </w:r>
    </w:p>
    <w:p w14:paraId="471DCC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a.投标人之间协商投标报价等投标文件的实质性内容；</w:t>
      </w:r>
    </w:p>
    <w:p w14:paraId="659CDAA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b.投标人之间约定中标人；</w:t>
      </w:r>
    </w:p>
    <w:p w14:paraId="692B767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c.投标人之间约定部分投标人放弃投标或中标；</w:t>
      </w:r>
    </w:p>
    <w:p w14:paraId="38E8672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d.属于同一集团、协会、商会等组织成员的投标人按照该组织要求协同投标；</w:t>
      </w:r>
    </w:p>
    <w:p w14:paraId="5B1986D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e.投标人之间为谋取中标或排斥特定投标人而采取的其他联合行动。</w:t>
      </w:r>
    </w:p>
    <w:p w14:paraId="0165BF0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（2）有下列情形之一的，视为投标人相互串通投标：</w:t>
      </w:r>
    </w:p>
    <w:p w14:paraId="3E454DA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a.不同投标人的投标文件由同一单位或个人编制；</w:t>
      </w:r>
    </w:p>
    <w:p w14:paraId="00BA781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b.不同投标人委托同一单位或个人办理投标事宜；</w:t>
      </w:r>
    </w:p>
    <w:p w14:paraId="6D72D44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c.不同投标人的投标文件载明的项目管理成员为同一人；</w:t>
      </w:r>
    </w:p>
    <w:p w14:paraId="5E2322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d.不同投标人的投标文件异常一致或投标报价呈规律性差异；</w:t>
      </w:r>
    </w:p>
    <w:p w14:paraId="0E708B6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e.不同投标人的投标文件出自同一台电脑或同一单位电脑的；</w:t>
      </w:r>
    </w:p>
    <w:p w14:paraId="78786F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f.不同投标人的投标保证金从同一单位或个人的账户转出；</w:t>
      </w:r>
    </w:p>
    <w:p w14:paraId="39E30FC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g.不同投标人编制的投标文件存在两处以上相同错误的；</w:t>
      </w:r>
    </w:p>
    <w:p w14:paraId="116E65B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h.不同投标人通过同一单位的 IP 地址下载招标文件或上传投标文件的；</w:t>
      </w:r>
    </w:p>
    <w:p w14:paraId="27CC9F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i.参加投标活动的人员为同一项目其他投标人的在职人员的；</w:t>
      </w:r>
    </w:p>
    <w:p w14:paraId="27B8562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j.不同投标人的法定代表人或者委托代理人、项目负责人、项目总监等人员有 在同一单位缴纳社会保险的；</w:t>
      </w:r>
    </w:p>
    <w:p w14:paraId="3942F99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k.不同投标人的投标保证金由同一自然人、法人、其他组织账户或者同一账户 资金缴纳，或者不同投标人的投标保证金从各自的基本账户转出，但所需资金来自 同一自然人、法人或者其他组织账户的；</w:t>
      </w:r>
    </w:p>
    <w:p w14:paraId="2C62182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l.不同投标人参与同一项目招标投标活动中，使用的计算机网卡 MAC 地址、CPU 序列号、硬盘序列号、加密锁序列号等信息相同的。</w:t>
      </w:r>
    </w:p>
    <w:p w14:paraId="5379B02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（3）有下列情形之一的，属于招标人与投标人串通投标：</w:t>
      </w:r>
    </w:p>
    <w:p w14:paraId="6F73ACD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a.招标人在开标前开启投标文件并将有关信息泄露给其他投标人;</w:t>
      </w:r>
    </w:p>
    <w:p w14:paraId="5F8C28F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b.招标人直接或间接向投标人泄露标底、评标委员会成员等信息；</w:t>
      </w:r>
    </w:p>
    <w:p w14:paraId="1DFF3A9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c.招标人明示或暗示投标人压低或抬高投标报价；</w:t>
      </w:r>
    </w:p>
    <w:p w14:paraId="40BC7B3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d.招标人授意投标人撤换、修改投标文件；</w:t>
      </w:r>
    </w:p>
    <w:p w14:paraId="0DA74A9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e.招标人明示或暗示投标人为特定投标人中标提供方便；</w:t>
      </w:r>
    </w:p>
    <w:p w14:paraId="39EFC2A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f.招标人与投标人为谋求特定投标人中标而采取的其他串通行为；</w:t>
      </w:r>
    </w:p>
    <w:p w14:paraId="5A97E9A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g.招标人、招标代理机构故意损毁、篡改特定的投标文件内容，或者在资格预 审时损毁、篡改特定的资格预审申请文件内容的；</w:t>
      </w:r>
    </w:p>
    <w:p w14:paraId="6FD3953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h.招标人、招标代理机构、评标委员会成员直接或者间接向投标人或者投标人 的利害关系人泄露获取资格预审文件或者通过资格预审的申请人的名称、数量的； 或者泄露获取招标文件的潜在投标人的名称、数量的；</w:t>
      </w:r>
    </w:p>
    <w:p w14:paraId="2D908CE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i.招标人、招标代理机构、评标委员会成员直接或者间接向投标人或者投标人 的利害关系人泄露资格审查或者评标情况的；</w:t>
      </w:r>
    </w:p>
    <w:p w14:paraId="7B697F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j.招标人、招标代理机构以胁迫、劝退、利诱等方式，使特定投标人以外的其 他投标人放弃投标或者中标人放弃中标的；</w:t>
      </w:r>
    </w:p>
    <w:p w14:paraId="01C6AD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k.在依法必须进行招标的项目的中标人确定前，投标人已经开展该项目招标范 围内的工作的。</w:t>
      </w:r>
    </w:p>
    <w:p w14:paraId="421907D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（4）投标人有下列情形之一的，属于弄虚作假的行为：</w:t>
      </w:r>
    </w:p>
    <w:p w14:paraId="4003DDA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a.使用通过受让或租借等方式获取的资格、资质证书投标；</w:t>
      </w:r>
    </w:p>
    <w:p w14:paraId="7D6712A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b.使用伪造、变造的许可证件；</w:t>
      </w:r>
    </w:p>
    <w:p w14:paraId="1F039E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c.提供虚假的财务状况或业绩；</w:t>
      </w:r>
    </w:p>
    <w:p w14:paraId="10BD75A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d.提供虚假的项目负责人或主要技术人员简历、劳动关系证明；</w:t>
      </w:r>
    </w:p>
    <w:p w14:paraId="17BFFB6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e.提供虚假的信用状况；</w:t>
      </w:r>
    </w:p>
    <w:p w14:paraId="5EB3E8F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f.其他弄虚作假的行为。</w:t>
      </w:r>
    </w:p>
    <w:p w14:paraId="4C7F2C5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 投标文件的澄清和说明</w:t>
      </w:r>
    </w:p>
    <w:p w14:paraId="6B317C0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3.7.1 在评标过程中，评标委员会可以通过“宁夏回族自治区公共资源交易平 台 ”以数据电文形式要求投标人对投标文件中含义不明确的内容、明显文字错误进 行数据电文澄清或说明。评标委员会不接受投标人主动提出的澄清、说明。投标人 不按评标委员会要求澄清或说明的，评标委员会应否决其投标。</w:t>
      </w:r>
    </w:p>
    <w:p w14:paraId="27D4C2C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3.7.2 澄清和说明不得超出投标文件的范围或改变投标文件的实质性内容（算 术性错误的修正除外）。投标人的数据电文澄清、说明属于投标文件的组成部分。</w:t>
      </w:r>
    </w:p>
    <w:p w14:paraId="2BF544D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3.7.3 评标委员会不得暗示或诱导投标人作出澄清、说明，对投标人提交的澄 清、说明有疑问的，可以要求投标人进一步澄清或说明，直至满足评标委员会的要 求。</w:t>
      </w:r>
    </w:p>
    <w:p w14:paraId="1B1E60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3.7.4 凡超出招标文件规定的或给发包人带来未曾要求的利益的变化、偏差或 其他因素在评标时不予考虑。</w:t>
      </w:r>
    </w:p>
    <w:p w14:paraId="0962C6E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3.8 不得否决投标的情形</w:t>
      </w:r>
    </w:p>
    <w:p w14:paraId="2C3FC66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投标文件存在第二章“投标人须知 ”第 1.12.3 项所列情形的，均视为细微偏差，</w:t>
      </w:r>
    </w:p>
    <w:p w14:paraId="6179C83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评标委员会不得否决投标人的投标，应按照第二章“投标人须知 ”第 1.12.4 项规定 的原则处理。</w:t>
      </w:r>
    </w:p>
    <w:p w14:paraId="4A9D412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3.9 评标结果</w:t>
      </w:r>
    </w:p>
    <w:p w14:paraId="6FCCD35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3.9.1 除第二章“投标人须知 ”前附表授权直接确定中标人外，评标委员会按 照评标价由低到高的顺序推荐中标候选人，并标明排序。</w:t>
      </w:r>
    </w:p>
    <w:p w14:paraId="492914A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3.9.2 评标委员会完成评标后，应通过“宁夏回族自治区公共资源交易平台 ”向招标人提交评标报告。</w:t>
      </w:r>
    </w:p>
    <w:p w14:paraId="19BEE792">
      <w:pPr>
        <w:spacing w:line="360" w:lineRule="auto"/>
        <w:rPr>
          <w:rFonts w:hint="eastAsia" w:ascii="宋体" w:hAnsi="宋体" w:eastAsia="宋体" w:cs="宋体"/>
          <w:sz w:val="28"/>
          <w:szCs w:val="28"/>
        </w:rPr>
      </w:pPr>
    </w:p>
    <w:p w14:paraId="334AEC4B">
      <w:pPr>
        <w:spacing w:line="360" w:lineRule="auto"/>
        <w:rPr>
          <w:rFonts w:hint="eastAsia" w:ascii="宋体" w:hAnsi="宋体" w:eastAsia="宋体" w:cs="宋体"/>
          <w:sz w:val="28"/>
          <w:szCs w:val="28"/>
        </w:rPr>
      </w:pPr>
    </w:p>
    <w:p w14:paraId="109CB52F">
      <w:pPr>
        <w:spacing w:line="360" w:lineRule="auto"/>
        <w:rPr>
          <w:rStyle w:val="13"/>
          <w:rFonts w:hint="eastAsia" w:ascii="宋体" w:hAnsi="宋体" w:eastAsia="宋体" w:cs="宋体"/>
          <w:b w:val="0"/>
          <w:bCs/>
          <w:sz w:val="28"/>
          <w:szCs w:val="28"/>
          <w:highlight w:val="yellow"/>
          <w:lang w:val="en-US" w:eastAsia="zh-CN"/>
        </w:rPr>
      </w:pPr>
    </w:p>
    <w:sectPr>
      <w:footerReference r:id="rId7" w:type="default"/>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801">
    <w:pPr>
      <w:spacing w:line="229" w:lineRule="auto"/>
      <w:ind w:left="4369"/>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1D913">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C11D91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D8B1">
    <w:pPr>
      <w:spacing w:line="229" w:lineRule="auto"/>
      <w:ind w:left="4369"/>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1C7353">
                          <w:pPr>
                            <w:pStyle w:val="8"/>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11C7353">
                    <w:pPr>
                      <w:pStyle w:val="8"/>
                    </w:pPr>
                    <w:r>
                      <w:fldChar w:fldCharType="begin"/>
                    </w:r>
                    <w:r>
                      <w:instrText xml:space="preserve"> PAGE  \* MERGEFORMAT </w:instrText>
                    </w:r>
                    <w:r>
                      <w:fldChar w:fldCharType="separate"/>
                    </w:r>
                    <w:r>
                      <w:t>60</w:t>
                    </w:r>
                    <w:r>
                      <w:fldChar w:fldCharType="end"/>
                    </w:r>
                  </w:p>
                </w:txbxContent>
              </v:textbox>
            </v:shape>
          </w:pict>
        </mc:Fallback>
      </mc:AlternateContent>
    </w:r>
    <w:r>
      <w:rPr>
        <w:rFonts w:ascii="宋体" w:hAnsi="宋体" w:eastAsia="宋体" w:cs="宋体"/>
        <w:spacing w:val="-6"/>
        <w:sz w:val="18"/>
        <w:szCs w:val="18"/>
      </w:rPr>
      <w:t>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7360">
    <w:pPr>
      <w:spacing w:line="229" w:lineRule="auto"/>
      <w:ind w:left="437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EAFE3">
                          <w:pPr>
                            <w:pStyle w:val="8"/>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AEEAFE3">
                    <w:pPr>
                      <w:pStyle w:val="8"/>
                    </w:pPr>
                    <w:r>
                      <w:fldChar w:fldCharType="begin"/>
                    </w:r>
                    <w:r>
                      <w:instrText xml:space="preserve"> PAGE  \* MERGEFORMAT </w:instrText>
                    </w:r>
                    <w:r>
                      <w:fldChar w:fldCharType="separate"/>
                    </w:r>
                    <w:r>
                      <w:t>64</w:t>
                    </w:r>
                    <w:r>
                      <w:fldChar w:fldCharType="end"/>
                    </w:r>
                  </w:p>
                </w:txbxContent>
              </v:textbox>
            </v:shape>
          </w:pict>
        </mc:Fallback>
      </mc:AlternateContent>
    </w:r>
    <w:r>
      <w:rPr>
        <w:rFonts w:ascii="宋体" w:hAnsi="宋体" w:eastAsia="宋体" w:cs="宋体"/>
        <w:spacing w:val="-6"/>
        <w:sz w:val="18"/>
        <w:szCs w:val="18"/>
      </w:rPr>
      <w:t>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94ED">
    <w:pPr>
      <w:pStyle w:val="7"/>
      <w:spacing w:line="229" w:lineRule="auto"/>
      <w:ind w:left="4250"/>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C07F5">
                          <w:pPr>
                            <w:pStyle w:val="8"/>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6DC07F5">
                    <w:pPr>
                      <w:pStyle w:val="8"/>
                    </w:pPr>
                    <w:r>
                      <w:fldChar w:fldCharType="begin"/>
                    </w:r>
                    <w:r>
                      <w:instrText xml:space="preserve"> PAGE  \* MERGEFORMAT </w:instrText>
                    </w:r>
                    <w:r>
                      <w:fldChar w:fldCharType="separate"/>
                    </w:r>
                    <w:r>
                      <w:t>65</w:t>
                    </w:r>
                    <w:r>
                      <w:fldChar w:fldCharType="end"/>
                    </w:r>
                  </w:p>
                </w:txbxContent>
              </v:textbox>
            </v:shape>
          </w:pict>
        </mc:Fallback>
      </mc:AlternateContent>
    </w:r>
    <w:r>
      <w:rPr>
        <w:spacing w:val="-6"/>
        <w:sz w:val="18"/>
        <w:szCs w:val="18"/>
      </w:rPr>
      <w:t>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CCBB">
    <w:pPr>
      <w:spacing w:line="229" w:lineRule="auto"/>
      <w:ind w:left="4369"/>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10306">
                          <w:pPr>
                            <w:pStyle w:val="8"/>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910306">
                    <w:pPr>
                      <w:pStyle w:val="8"/>
                    </w:pPr>
                    <w:r>
                      <w:fldChar w:fldCharType="begin"/>
                    </w:r>
                    <w:r>
                      <w:instrText xml:space="preserve"> PAGE  \* MERGEFORMAT </w:instrText>
                    </w:r>
                    <w:r>
                      <w:fldChar w:fldCharType="separate"/>
                    </w:r>
                    <w:r>
                      <w:t>60</w:t>
                    </w:r>
                    <w:r>
                      <w:fldChar w:fldCharType="end"/>
                    </w:r>
                  </w:p>
                </w:txbxContent>
              </v:textbox>
            </v:shape>
          </w:pict>
        </mc:Fallback>
      </mc:AlternateContent>
    </w:r>
    <w:r>
      <w:rPr>
        <w:rFonts w:ascii="宋体" w:hAnsi="宋体" w:eastAsia="宋体" w:cs="宋体"/>
        <w:spacing w:val="-6"/>
        <w:sz w:val="18"/>
        <w:szCs w:val="18"/>
      </w:rPr>
      <w:t>73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27690"/>
    <w:multiLevelType w:val="singleLevel"/>
    <w:tmpl w:val="A7627690"/>
    <w:lvl w:ilvl="0" w:tentative="0">
      <w:start w:val="1"/>
      <w:numFmt w:val="chineseCounting"/>
      <w:suff w:val="nothing"/>
      <w:lvlText w:val="%1、"/>
      <w:lvlJc w:val="left"/>
      <w:rPr>
        <w:rFonts w:hint="eastAsia"/>
      </w:rPr>
    </w:lvl>
  </w:abstractNum>
  <w:abstractNum w:abstractNumId="1">
    <w:nsid w:val="14007279"/>
    <w:multiLevelType w:val="singleLevel"/>
    <w:tmpl w:val="1400727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B7F0B"/>
    <w:rsid w:val="3B3D6F2F"/>
    <w:rsid w:val="3F9A5D98"/>
    <w:rsid w:val="3FA80A84"/>
    <w:rsid w:val="3FD85478"/>
    <w:rsid w:val="4A9D3546"/>
    <w:rsid w:val="4CC011AD"/>
    <w:rsid w:val="5EBB04E6"/>
    <w:rsid w:val="63461DD4"/>
    <w:rsid w:val="6AD466B8"/>
    <w:rsid w:val="6E0E0A62"/>
    <w:rsid w:val="793B0E86"/>
    <w:rsid w:val="7A056BAC"/>
    <w:rsid w:val="7E93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3">
    <w:name w:val="heading 3"/>
    <w:basedOn w:val="1"/>
    <w:next w:val="1"/>
    <w:unhideWhenUsed/>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360" w:lineRule="auto"/>
      <w:ind w:left="420" w:leftChars="200" w:firstLine="640" w:firstLineChars="200"/>
    </w:pPr>
    <w:rPr>
      <w:rFonts w:ascii="宋体" w:hAnsi="宋体" w:eastAsia="宋体" w:cs="Times New Roman"/>
      <w:sz w:val="24"/>
    </w:rPr>
  </w:style>
  <w:style w:type="paragraph" w:styleId="6">
    <w:name w:val="Normal Indent"/>
    <w:basedOn w:val="1"/>
    <w:qFormat/>
    <w:uiPriority w:val="0"/>
    <w:pPr>
      <w:ind w:firstLine="420"/>
    </w:pPr>
    <w:rPr>
      <w:rFonts w:eastAsia="宋体"/>
      <w:kern w:val="0"/>
      <w:sz w:val="20"/>
      <w:szCs w:val="24"/>
    </w:rPr>
  </w:style>
  <w:style w:type="paragraph" w:styleId="7">
    <w:name w:val="Body Text"/>
    <w:basedOn w:val="1"/>
    <w:qFormat/>
    <w:uiPriority w:val="0"/>
    <w:pPr>
      <w:spacing w:after="120" w:afterLines="0"/>
    </w:pPr>
    <w:rPr>
      <w:rFonts w:ascii="Times New Roman" w:hAnsi="Times New Roman"/>
      <w:kern w:val="2"/>
      <w:szCs w:val="24"/>
    </w:rPr>
  </w:style>
  <w:style w:type="paragraph" w:styleId="8">
    <w:name w:val="footer"/>
    <w:basedOn w:val="1"/>
    <w:qFormat/>
    <w:uiPriority w:val="0"/>
    <w:pPr>
      <w:tabs>
        <w:tab w:val="center" w:pos="4153"/>
        <w:tab w:val="right" w:pos="8306"/>
      </w:tabs>
      <w:snapToGrid w:val="0"/>
      <w:jc w:val="left"/>
    </w:pPr>
    <w:rPr>
      <w:rFonts w:ascii="Times New Roman" w:hAnsi="Times New Roman"/>
      <w:kern w:val="2"/>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rPr>
  </w:style>
  <w:style w:type="paragraph" w:customStyle="1" w:styleId="14">
    <w:name w:val="正文_2"/>
    <w:next w:val="15"/>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5">
    <w:name w:val="正文缩进_1"/>
    <w:qFormat/>
    <w:uiPriority w:val="0"/>
    <w:pPr>
      <w:widowControl w:val="0"/>
      <w:ind w:firstLine="420" w:firstLineChars="200"/>
      <w:jc w:val="both"/>
    </w:pPr>
    <w:rPr>
      <w:rFonts w:ascii="Times New Roman" w:hAnsi="Times New Roman" w:eastAsia="仿宋_GB2312" w:cs="Times New Roman"/>
      <w:kern w:val="2"/>
      <w:sz w:val="28"/>
      <w:szCs w:val="24"/>
      <w:lang w:val="en-US" w:eastAsia="zh-CN" w:bidi="ar-SA"/>
    </w:rPr>
  </w:style>
  <w:style w:type="paragraph" w:customStyle="1" w:styleId="16">
    <w:name w:val="Table Text"/>
    <w:basedOn w:val="1"/>
    <w:semiHidden/>
    <w:qFormat/>
    <w:uiPriority w:val="0"/>
    <w:rPr>
      <w:rFonts w:ascii="宋体" w:hAnsi="宋体" w:eastAsia="宋体" w:cs="宋体"/>
      <w:sz w:val="23"/>
      <w:szCs w:val="23"/>
      <w:lang w:val="en-US" w:eastAsia="en-US" w:bidi="ar-SA"/>
    </w:rPr>
  </w:style>
  <w:style w:type="table" w:customStyle="1" w:styleId="17">
    <w:name w:val="Table Normal"/>
    <w:qFormat/>
    <w:uiPriority w:val="2"/>
    <w:rPr>
      <w:lang w:val="en-US" w:eastAsia="zh-CN" w:bidi="ar-SA"/>
    </w:rPr>
    <w:tblPr>
      <w:tblCellMar>
        <w:top w:w="0" w:type="dxa"/>
        <w:left w:w="0" w:type="dxa"/>
        <w:bottom w:w="0" w:type="dxa"/>
        <w:right w:w="0" w:type="dxa"/>
      </w:tblCellMar>
    </w:tblPr>
  </w:style>
  <w:style w:type="paragraph" w:customStyle="1" w:styleId="18">
    <w:name w:val="正文_2_0"/>
    <w:next w:val="19"/>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9">
    <w:name w:val="正文文本_2"/>
    <w:basedOn w:val="18"/>
    <w:next w:val="14"/>
    <w:qFormat/>
    <w:uiPriority w:val="99"/>
    <w:pPr>
      <w:spacing w:after="120" w:afterLines="0"/>
    </w:pPr>
  </w:style>
  <w:style w:type="paragraph" w:customStyle="1" w:styleId="20">
    <w:name w:val="Table Paragraph"/>
    <w:basedOn w:val="1"/>
    <w:qFormat/>
    <w:uiPriority w:val="1"/>
    <w:rPr>
      <w:rFonts w:ascii="Times New Roman" w:hAnsi="Times New Roman" w:eastAsia="宋体" w:cs="Times New Roman"/>
      <w:szCs w:val="24"/>
    </w:rPr>
  </w:style>
  <w:style w:type="paragraph" w:customStyle="1" w:styleId="21">
    <w:name w:val="Normal_5"/>
    <w:qFormat/>
    <w:uiPriority w:val="0"/>
    <w:rPr>
      <w:rFonts w:ascii="Times New Roman" w:hAnsi="Times New Roman" w:eastAsia="Times New Roman" w:cs="Times New Roman"/>
      <w:sz w:val="24"/>
      <w:szCs w:val="24"/>
      <w:lang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15216</Words>
  <Characters>16052</Characters>
  <Lines>0</Lines>
  <Paragraphs>0</Paragraphs>
  <TotalTime>0</TotalTime>
  <ScaleCrop>false</ScaleCrop>
  <LinksUpToDate>false</LinksUpToDate>
  <CharactersWithSpaces>16396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2025-04-17T08:58:00Z</dcterms:created>
  <dc:creator>AAA</dc:creator>
  <cp:lastModifiedBy>Administrator</cp:lastModifiedBy>
  <dcterms:modified xsi:type="dcterms:W3CDTF">2025-06-05T09:39:19Z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eyJoZGlkIjoiNGNjZGI3ZDk0YWU3NzAxZmUxY2M3YTYyMGZlNzM1MTciLCJ1c2VySWQiOiI2MTY1MDEyIn0=</vt:lpwstr>
  </property>
  <property fmtid="{D5CDD505-2E9C-101B-9397-08002B2CF9AE}" pid="4" name="ICV">
    <vt:lpwstr>C861E9C2E6134973B5674A998C228C22_13</vt:lpwstr>
  </property>
</Properties>
</file>