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color w:val="auto"/>
          <w:sz w:val="32"/>
          <w:szCs w:val="32"/>
          <w:u w:val="none"/>
          <w:lang w:val="en-US" w:eastAsia="zh-CN"/>
        </w:rPr>
      </w:pPr>
      <w:bookmarkStart w:id="19" w:name="_GoBack"/>
      <w:bookmarkEnd w:id="19"/>
      <w:r>
        <w:rPr>
          <w:rFonts w:hint="eastAsia" w:hAnsi="宋体" w:eastAsia="宋体" w:cs="宋体"/>
          <w:b/>
          <w:bCs/>
          <w:color w:val="auto"/>
          <w:kern w:val="2"/>
          <w:sz w:val="36"/>
          <w:szCs w:val="36"/>
          <w:lang w:val="en-US" w:eastAsia="zh-CN" w:bidi="ar-SA"/>
        </w:rPr>
        <w:t>宁夏公路管理中心银川分中心2025年公路养护工程施工监理、试验检测服务项目</w:t>
      </w:r>
      <w:r>
        <w:rPr>
          <w:rFonts w:hint="eastAsia" w:ascii="宋体" w:hAnsi="宋体" w:eastAsia="宋体" w:cs="宋体"/>
          <w:b/>
          <w:bCs/>
          <w:color w:val="auto"/>
          <w:sz w:val="32"/>
          <w:szCs w:val="32"/>
          <w:u w:val="none"/>
          <w:lang w:val="en-US" w:eastAsia="zh-CN"/>
        </w:rPr>
        <w:t>关键内容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color w:val="auto"/>
          <w:kern w:val="0"/>
          <w:sz w:val="21"/>
          <w:szCs w:val="21"/>
          <w:highlight w:val="none"/>
          <w:lang w:val="en-US" w:eastAsia="zh-CN"/>
        </w:rPr>
        <w:t>本项目涉及6项养护工程，具体概况如下：</w:t>
      </w:r>
    </w:p>
    <w:p>
      <w:pPr>
        <w:keepNext w:val="0"/>
        <w:keepLines w:val="0"/>
        <w:pageBreakBefore w:val="0"/>
        <w:widowControl/>
        <w:numPr>
          <w:ilvl w:val="0"/>
          <w:numId w:val="0"/>
        </w:numPr>
        <w:kinsoku/>
        <w:overflowPunct/>
        <w:autoSpaceDE/>
        <w:autoSpaceDN/>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宁夏公路管理中心银川分中心2025年普通国道安全设施精细化提升工程，主要对G109线(2处路段)、G110线(1处路段)、G211线(2处路段)、G244线(2处路段)、G307线(4处路段)、G344线(1处路段)等6条国道共计12处路段进行安全设施精细化提升，主要内容包括增设路侧护栏、增设中央分隔带护栏、处置护栏端部、不同形式护栏过渡、更换标志标牌、施划路面标线等。</w:t>
      </w:r>
    </w:p>
    <w:p>
      <w:pPr>
        <w:keepNext w:val="0"/>
        <w:keepLines w:val="0"/>
        <w:pageBreakBefore w:val="0"/>
        <w:widowControl/>
        <w:numPr>
          <w:ilvl w:val="0"/>
          <w:numId w:val="0"/>
        </w:numPr>
        <w:kinsoku/>
        <w:overflowPunct/>
        <w:autoSpaceDE/>
        <w:autoSpaceDN/>
        <w:bidi w:val="0"/>
        <w:spacing w:line="360" w:lineRule="auto"/>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（2）宁夏公路管理中心银川分中心2025年普通省道安全设施精细化提升工程工程，主要对S101线(1处路段)、S103线(2处路段)、S104线(2处路段)、S304线(2处路段)、S305 线(2处路段)、S307(1处路段)进行安全设施精细化提升，主要内容包括增设路侧护栏、增设中央分隔带护栏、处置护栏端部、不同形式护栏过渡、更换标志标牌、施划路面标线等。</w:t>
      </w:r>
    </w:p>
    <w:p>
      <w:pPr>
        <w:keepNext w:val="0"/>
        <w:keepLines w:val="0"/>
        <w:pageBreakBefore w:val="0"/>
        <w:widowControl/>
        <w:numPr>
          <w:ilvl w:val="0"/>
          <w:numId w:val="0"/>
        </w:numPr>
        <w:kinsoku/>
        <w:overflowPunct/>
        <w:autoSpaceDE/>
        <w:autoSpaceDN/>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宁夏公路管理中心银川分中心2025年普通国省干线公路地质灾害风险隐患治理工程，主要对对G244线（3处路段）、G307线（2处路段）、S307线（12处路段）、S104线（3处路段）等4条国省道共20处存在边坡碎落崩塌、路基沉降和水毁等地质灾害风险隐患路段进行综合治理。</w:t>
      </w:r>
    </w:p>
    <w:p>
      <w:pPr>
        <w:keepNext w:val="0"/>
        <w:keepLines w:val="0"/>
        <w:pageBreakBefore w:val="0"/>
        <w:widowControl/>
        <w:numPr>
          <w:ilvl w:val="0"/>
          <w:numId w:val="0"/>
        </w:numPr>
        <w:kinsoku/>
        <w:overflowPunct/>
        <w:autoSpaceDE/>
        <w:autoSpaceDN/>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G244线K185+580-K207+339(灵武市石荒洼-盐池县岔岱村)段计21.759km修复养护工程，本项目位于灵武市内，起点G244线与古石线平交口处，终点G244线灵武与盐池县交界处，桩号区间为K185+580-K207+339段，长21.894km，主要工程内容为对原路面病害处治后，铣刨重铺4cm HMAC-13高模量沥青混凝土上面层，维修利用涵洞，增设路侧波形梁护栏，施划路面标线等。</w:t>
      </w:r>
    </w:p>
    <w:p>
      <w:pPr>
        <w:keepNext w:val="0"/>
        <w:keepLines w:val="0"/>
        <w:pageBreakBefore w:val="0"/>
        <w:widowControl/>
        <w:numPr>
          <w:ilvl w:val="0"/>
          <w:numId w:val="0"/>
        </w:numPr>
        <w:kinsoku/>
        <w:overflowPunct/>
        <w:autoSpaceDE/>
        <w:autoSpaceDN/>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（5）S304线K32+788-K51+596(贺兰县金山村北至金山道班)段计18.808km修复养护工程，S304 线 K32+788-K51+596 段公路等级为四级公路，设计速度20km/h，除下穿铁路及局部桥头路段为水泥混凝土路面外，其余均为沥青路面。路基宽度多为7.5m，路面宽度6.0m。主要工程内容为铣刨重铺4cmAC-13C细粒式SBS改性沥青混凝+6cmAC-20C中粒式改性厂拌热再生沥青混凝土(RAP掺料30%)，维修加固桥梁、涵洞，拆除新建桥梁1座，增设路侧波形梁护栏，施划路面标线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G244线K104+232兵沟大桥河道防护工程，G244线兵沟大桥位于银川市以东国道244线K104+232处，桥梁全长107.12m，桥梁宽度为24.5m，双幅桥梁，桥面铺装为沥青混凝土桥面铺装，所在道路等级为一级公路，汽车荷载等级为公路-Ⅰ级，桥梁总体技术状况评定等级为2类。本项目主要工程内容为对桥位范围（24.5m），桥位上游（30m）及桥位下游（40m）共计94.5m沟道采用全断面防护，全断面防护末端设置隔水墙，同时在下游末端设置格宾石笼网防护，上游小桩号侧全断面防护末端增设长110m沟岸防护等。</w:t>
      </w:r>
    </w:p>
    <w:p>
      <w:pPr>
        <w:keepNext w:val="0"/>
        <w:keepLines w:val="0"/>
        <w:pageBreakBefore w:val="0"/>
        <w:widowControl/>
        <w:kinsoku/>
        <w:overflowPunct/>
        <w:autoSpaceDE/>
        <w:autoSpaceDN/>
        <w:bidi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本项目根据工程特性和规模，共划分为</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个标段，</w:t>
      </w:r>
      <w:r>
        <w:rPr>
          <w:rFonts w:hint="eastAsia" w:ascii="宋体" w:hAnsi="宋体" w:cs="Tahoma"/>
          <w:color w:val="auto"/>
          <w:kern w:val="0"/>
          <w:szCs w:val="21"/>
          <w:highlight w:val="none"/>
          <w:lang w:val="en-US" w:eastAsia="zh-CN"/>
        </w:rPr>
        <w:t>均</w:t>
      </w:r>
      <w:r>
        <w:rPr>
          <w:rFonts w:hint="eastAsia" w:ascii="宋体" w:hAnsi="宋体" w:cs="Tahoma"/>
          <w:color w:val="auto"/>
          <w:kern w:val="0"/>
          <w:szCs w:val="21"/>
          <w:highlight w:val="none"/>
        </w:rPr>
        <w:t>为</w:t>
      </w:r>
      <w:r>
        <w:rPr>
          <w:rFonts w:hint="eastAsia" w:ascii="宋体" w:hAnsi="宋体" w:cs="Tahoma"/>
          <w:color w:val="auto"/>
          <w:kern w:val="0"/>
          <w:szCs w:val="21"/>
          <w:highlight w:val="none"/>
          <w:lang w:eastAsia="zh-CN"/>
        </w:rPr>
        <w:t>不</w:t>
      </w:r>
      <w:r>
        <w:rPr>
          <w:rFonts w:hint="eastAsia" w:ascii="宋体" w:hAnsi="宋体" w:cs="Tahoma"/>
          <w:color w:val="auto"/>
          <w:kern w:val="0"/>
          <w:szCs w:val="21"/>
          <w:highlight w:val="none"/>
        </w:rPr>
        <w:t>见面的电子标</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内容如下</w:t>
      </w:r>
      <w:r>
        <w:rPr>
          <w:rFonts w:hint="eastAsia" w:ascii="宋体" w:hAnsi="宋体" w:eastAsia="宋体" w:cs="宋体"/>
          <w:color w:val="auto"/>
          <w:kern w:val="0"/>
          <w:sz w:val="21"/>
          <w:szCs w:val="21"/>
          <w:highlight w:val="none"/>
        </w:rPr>
        <w:t>：</w:t>
      </w:r>
    </w:p>
    <w:p>
      <w:pPr>
        <w:keepNext w:val="0"/>
        <w:keepLines w:val="0"/>
        <w:pageBreakBefore w:val="0"/>
        <w:widowControl/>
        <w:kinsoku/>
        <w:overflowPunct/>
        <w:autoSpaceDE/>
        <w:autoSpaceDN/>
        <w:bidi w:val="0"/>
        <w:spacing w:line="360" w:lineRule="auto"/>
        <w:ind w:firstLine="421"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第1标段施工监理：</w:t>
      </w:r>
      <w:r>
        <w:rPr>
          <w:rFonts w:hint="eastAsia" w:ascii="宋体" w:hAnsi="宋体" w:eastAsia="宋体" w:cs="宋体"/>
          <w:color w:val="auto"/>
          <w:sz w:val="21"/>
          <w:szCs w:val="21"/>
          <w:highlight w:val="none"/>
          <w:lang w:val="en-US" w:eastAsia="zh-CN"/>
        </w:rPr>
        <w:t>为宁夏公路管理中心银川分中心2025年普通国道安全设施精细化提升工程、宁夏公路管理中心银川分中心2025年普通省道安全设施精细化提升工程工程、宁夏公路管理中心银川分中心2025年普通国省干线公路地质灾害风险隐患治理工程</w:t>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监理服务，包括施工阶段和缺陷责任期阶段监理。</w:t>
      </w:r>
    </w:p>
    <w:p>
      <w:pPr>
        <w:keepNext w:val="0"/>
        <w:keepLines w:val="0"/>
        <w:pageBreakBefore w:val="0"/>
        <w:widowControl/>
        <w:kinsoku/>
        <w:wordWrap w:val="0"/>
        <w:overflowPunct/>
        <w:topLinePunct/>
        <w:autoSpaceDE/>
        <w:autoSpaceDN/>
        <w:bidi w:val="0"/>
        <w:adjustRightInd/>
        <w:snapToGrid/>
        <w:spacing w:line="360" w:lineRule="auto"/>
        <w:ind w:firstLine="421"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第2标段施工监理：</w:t>
      </w:r>
      <w:r>
        <w:rPr>
          <w:rFonts w:hint="eastAsia" w:ascii="宋体" w:hAnsi="宋体" w:eastAsia="宋体" w:cs="宋体"/>
          <w:color w:val="auto"/>
          <w:sz w:val="21"/>
          <w:szCs w:val="21"/>
          <w:highlight w:val="none"/>
          <w:lang w:val="en-US" w:eastAsia="zh-CN"/>
        </w:rPr>
        <w:t>为G244线K185+580-K207+339(灵武市石荒洼-盐池县岔岱村)段计21.759km修复养护工程、S304线K32+788-K51+596(贺兰县金山村北至金山道班)段计18.808km修复养护工程、G244线K104+232兵沟大桥河道防护工程</w:t>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监理服务，包括施工阶段和缺陷责任期阶段监理。</w:t>
      </w:r>
    </w:p>
    <w:p>
      <w:pPr>
        <w:keepNext w:val="0"/>
        <w:keepLines w:val="0"/>
        <w:pageBreakBefore w:val="0"/>
        <w:widowControl/>
        <w:kinsoku/>
        <w:wordWrap w:val="0"/>
        <w:overflowPunct/>
        <w:topLinePunct w:val="0"/>
        <w:autoSpaceDE/>
        <w:autoSpaceDN/>
        <w:bidi w:val="0"/>
        <w:adjustRightInd/>
        <w:snapToGrid/>
        <w:spacing w:line="360" w:lineRule="auto"/>
        <w:ind w:firstLine="421"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标段</w:t>
      </w:r>
      <w:r>
        <w:rPr>
          <w:rFonts w:hint="eastAsia" w:ascii="宋体" w:hAnsi="宋体" w:eastAsia="宋体" w:cs="宋体"/>
          <w:b/>
          <w:bCs/>
          <w:color w:val="auto"/>
          <w:szCs w:val="21"/>
          <w:highlight w:val="none"/>
          <w:lang w:val="en-US" w:eastAsia="zh-CN"/>
        </w:rPr>
        <w:t>试验</w:t>
      </w:r>
      <w:r>
        <w:rPr>
          <w:rFonts w:hint="eastAsia" w:ascii="宋体" w:hAnsi="宋体" w:eastAsia="宋体" w:cs="宋体"/>
          <w:b/>
          <w:bCs/>
          <w:color w:val="auto"/>
          <w:szCs w:val="21"/>
          <w:highlight w:val="none"/>
        </w:rPr>
        <w:t>检测：</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kern w:val="0"/>
          <w:sz w:val="21"/>
          <w:szCs w:val="21"/>
          <w:highlight w:val="none"/>
          <w:lang w:val="en-US" w:eastAsia="zh-CN"/>
        </w:rPr>
        <w:t>宁夏公路管理中心银川分中心2025年普通国道安全设施精细化提升工程、宁夏公路管理中心银川分中心2025年普通省道安全设施精细化提升工程工程、宁夏公路管理中心银川分中心2025年普通国省干线公路地质灾害风险隐患治理工程、</w:t>
      </w:r>
      <w:r>
        <w:rPr>
          <w:rFonts w:hint="eastAsia" w:ascii="宋体" w:hAnsi="宋体" w:eastAsia="宋体" w:cs="宋体"/>
          <w:color w:val="auto"/>
          <w:sz w:val="21"/>
          <w:szCs w:val="21"/>
          <w:highlight w:val="none"/>
          <w:lang w:val="en-US" w:eastAsia="zh-CN"/>
        </w:rPr>
        <w:t>G244线K185+580-K207+339(灵武市石荒洼-盐池县岔岱村)段计21.759km修复养护工程、S304线K32+788-K51+596(贺兰县金山村北至金山道班)段计18.808km修复养护工程、G244线K104+232兵沟大桥河道防护工程</w:t>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val="en-US" w:eastAsia="zh-CN"/>
        </w:rPr>
        <w:t>提供试验检测服务，承担</w:t>
      </w:r>
      <w:r>
        <w:rPr>
          <w:rFonts w:hint="eastAsia" w:ascii="宋体" w:hAnsi="宋体" w:eastAsia="宋体" w:cs="宋体"/>
          <w:color w:val="auto"/>
          <w:szCs w:val="21"/>
          <w:highlight w:val="none"/>
        </w:rPr>
        <w:t>业主试验室检测及交工检测服务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并出具过程检测报告及交工验收检测报告</w:t>
      </w:r>
      <w:r>
        <w:rPr>
          <w:rFonts w:hint="eastAsia" w:ascii="宋体" w:hAnsi="宋体" w:eastAsia="宋体" w:cs="宋体"/>
          <w:color w:val="auto"/>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kern w:val="2"/>
          <w:sz w:val="28"/>
          <w:szCs w:val="28"/>
          <w:lang w:val="en-US" w:eastAsia="zh-CN" w:bidi="ar-SA"/>
        </w:rPr>
        <w:t>二、</w:t>
      </w:r>
      <w:r>
        <w:rPr>
          <w:rFonts w:hint="eastAsia" w:ascii="宋体" w:hAnsi="宋体" w:eastAsia="宋体" w:cs="宋体"/>
          <w:b/>
          <w:bCs/>
          <w:color w:val="auto"/>
          <w:sz w:val="28"/>
          <w:szCs w:val="28"/>
          <w:u w:val="none"/>
          <w:lang w:val="en-US" w:eastAsia="zh-CN"/>
        </w:rPr>
        <w:t>对投标人的全部资格条件要求</w:t>
      </w:r>
    </w:p>
    <w:p>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详见招标公告。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三、资格审查办法</w:t>
      </w:r>
    </w:p>
    <w:p>
      <w:pPr>
        <w:spacing w:before="91" w:line="415" w:lineRule="exact"/>
        <w:jc w:val="center"/>
        <w:outlineLvl w:val="1"/>
        <w:rPr>
          <w:rFonts w:hint="eastAsia" w:ascii="宋体" w:hAnsi="宋体" w:eastAsia="宋体" w:cs="宋体"/>
          <w:b/>
          <w:bCs/>
          <w:color w:val="auto"/>
          <w:spacing w:val="-3"/>
          <w:position w:val="1"/>
          <w:sz w:val="28"/>
          <w:szCs w:val="28"/>
          <w:lang w:val="en-US" w:eastAsia="zh-CN"/>
        </w:rPr>
      </w:pPr>
    </w:p>
    <w:p>
      <w:pPr>
        <w:spacing w:before="91" w:line="415" w:lineRule="exact"/>
        <w:jc w:val="both"/>
        <w:outlineLvl w:val="1"/>
        <w:rPr>
          <w:rFonts w:hint="eastAsia" w:ascii="宋体" w:hAnsi="宋体" w:eastAsia="宋体" w:cs="宋体"/>
          <w:b/>
          <w:bCs/>
          <w:color w:val="auto"/>
          <w:sz w:val="13"/>
          <w:szCs w:val="13"/>
        </w:rPr>
      </w:pPr>
    </w:p>
    <w:p>
      <w:pPr>
        <w:spacing w:before="91" w:line="415" w:lineRule="exact"/>
        <w:jc w:val="both"/>
        <w:outlineLvl w:val="1"/>
        <w:rPr>
          <w:rFonts w:hint="eastAsia" w:ascii="宋体" w:hAnsi="宋体" w:eastAsia="宋体" w:cs="宋体"/>
          <w:b/>
          <w:bCs/>
          <w:color w:val="auto"/>
          <w:sz w:val="13"/>
          <w:szCs w:val="13"/>
        </w:rPr>
      </w:pPr>
    </w:p>
    <w:p>
      <w:pPr>
        <w:pStyle w:val="13"/>
        <w:bidi w:val="0"/>
        <w:jc w:val="center"/>
        <w:rPr>
          <w:rFonts w:hint="eastAsia" w:ascii="黑体" w:hAnsi="黑体" w:eastAsia="黑体"/>
          <w:b/>
          <w:color w:val="auto"/>
          <w:sz w:val="28"/>
        </w:rPr>
      </w:pPr>
      <w:bookmarkStart w:id="0" w:name="_Toc5103_WPSOffice_Level2"/>
      <w:r>
        <w:rPr>
          <w:rFonts w:hint="eastAsia" w:ascii="黑体" w:hAnsi="黑体" w:eastAsia="黑体"/>
          <w:b/>
          <w:color w:val="auto"/>
          <w:sz w:val="28"/>
          <w:highlight w:val="none"/>
          <w:lang w:val="en-US" w:eastAsia="zh-CN"/>
        </w:rPr>
        <w:t>第1标段、第2标段施工监理</w:t>
      </w:r>
    </w:p>
    <w:p>
      <w:pPr>
        <w:tabs>
          <w:tab w:val="left" w:pos="1051"/>
        </w:tabs>
        <w:spacing w:before="70" w:line="276" w:lineRule="auto"/>
        <w:ind w:right="38"/>
        <w:jc w:val="center"/>
        <w:rPr>
          <w:rFonts w:hint="eastAsia" w:ascii="黑体" w:hAnsi="黑体" w:eastAsia="黑体"/>
          <w:b/>
          <w:color w:val="auto"/>
          <w:sz w:val="28"/>
        </w:rPr>
      </w:pPr>
      <w:r>
        <w:rPr>
          <w:rFonts w:hint="eastAsia" w:ascii="黑体" w:hAnsi="黑体" w:eastAsia="黑体"/>
          <w:b/>
          <w:color w:val="auto"/>
          <w:sz w:val="28"/>
        </w:rPr>
        <w:t>附录</w:t>
      </w:r>
      <w:r>
        <w:rPr>
          <w:rFonts w:hint="eastAsia" w:ascii="黑体" w:hAnsi="黑体" w:eastAsia="黑体"/>
          <w:b/>
          <w:color w:val="auto"/>
          <w:spacing w:val="-69"/>
          <w:sz w:val="28"/>
        </w:rPr>
        <w:t xml:space="preserve"> </w:t>
      </w:r>
      <w:r>
        <w:rPr>
          <w:rFonts w:ascii="Times New Roman" w:hAnsi="Times New Roman" w:eastAsia="Times New Roman"/>
          <w:b/>
          <w:color w:val="auto"/>
          <w:sz w:val="28"/>
        </w:rPr>
        <w:t>1</w:t>
      </w:r>
      <w:r>
        <w:rPr>
          <w:rFonts w:hint="eastAsia" w:ascii="Times New Roman" w:hAnsi="Times New Roman" w:eastAsia="宋体"/>
          <w:b/>
          <w:color w:val="auto"/>
          <w:sz w:val="28"/>
          <w:lang w:val="en-US" w:eastAsia="zh-CN"/>
        </w:rPr>
        <w:t xml:space="preserve">  </w:t>
      </w:r>
      <w:r>
        <w:rPr>
          <w:rFonts w:hint="eastAsia" w:ascii="黑体" w:hAnsi="黑体" w:eastAsia="黑体"/>
          <w:b/>
          <w:color w:val="auto"/>
          <w:sz w:val="28"/>
        </w:rPr>
        <w:t>资格审查条件（资质最低要求）</w:t>
      </w:r>
      <w:bookmarkEnd w:id="0"/>
    </w:p>
    <w:tbl>
      <w:tblPr>
        <w:tblStyle w:val="8"/>
        <w:tblW w:w="9872"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87" w:type="dxa"/>
            <w:noWrap w:val="0"/>
            <w:vAlign w:val="center"/>
          </w:tcPr>
          <w:p>
            <w:pPr>
              <w:spacing w:line="240" w:lineRule="auto"/>
              <w:jc w:val="center"/>
              <w:rPr>
                <w:rFonts w:hint="default"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标段号</w:t>
            </w:r>
          </w:p>
        </w:tc>
        <w:tc>
          <w:tcPr>
            <w:tcW w:w="8585" w:type="dxa"/>
            <w:noWrap w:val="0"/>
            <w:vAlign w:val="center"/>
          </w:tcPr>
          <w:p>
            <w:pPr>
              <w:spacing w:line="240" w:lineRule="auto"/>
              <w:jc w:val="center"/>
              <w:rPr>
                <w:rFonts w:hint="eastAsia"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监理企业资质等级要求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87" w:type="dxa"/>
            <w:noWrap w:val="0"/>
            <w:vAlign w:val="center"/>
          </w:tcPr>
          <w:p>
            <w:pPr>
              <w:spacing w:line="360" w:lineRule="auto"/>
              <w:jc w:val="center"/>
              <w:rPr>
                <w:rFonts w:hint="eastAsia" w:eastAsia="宋体"/>
                <w:color w:val="auto"/>
                <w:lang w:val="en-US" w:eastAsia="zh-CN"/>
              </w:rPr>
            </w:pPr>
            <w:bookmarkStart w:id="1" w:name="EBe557d73c7c5f454c8f5a0d517b7bee4a"/>
            <w:bookmarkEnd w:id="1"/>
            <w:r>
              <w:rPr>
                <w:rFonts w:hint="eastAsia" w:eastAsia="宋体"/>
                <w:color w:val="auto"/>
                <w:lang w:val="en-US" w:eastAsia="zh-CN"/>
              </w:rPr>
              <w:t>第1标段</w:t>
            </w:r>
          </w:p>
          <w:p>
            <w:pPr>
              <w:spacing w:line="360" w:lineRule="auto"/>
              <w:jc w:val="center"/>
              <w:rPr>
                <w:rFonts w:hint="eastAsia" w:eastAsia="宋体"/>
                <w:color w:val="auto"/>
                <w:lang w:val="en-US" w:eastAsia="zh-CN"/>
              </w:rPr>
            </w:pPr>
            <w:r>
              <w:rPr>
                <w:rFonts w:hint="eastAsia" w:eastAsia="宋体"/>
                <w:color w:val="auto"/>
                <w:lang w:val="en-US" w:eastAsia="zh-CN"/>
              </w:rPr>
              <w:t>施工监理、第2标段</w:t>
            </w:r>
          </w:p>
          <w:p>
            <w:pPr>
              <w:spacing w:line="360" w:lineRule="auto"/>
              <w:jc w:val="center"/>
              <w:rPr>
                <w:rFonts w:hint="eastAsia" w:eastAsia="宋体"/>
                <w:color w:val="auto"/>
                <w:lang w:eastAsia="zh-CN"/>
              </w:rPr>
            </w:pPr>
            <w:r>
              <w:rPr>
                <w:rFonts w:hint="eastAsia" w:eastAsia="宋体"/>
                <w:color w:val="auto"/>
                <w:lang w:val="en-US" w:eastAsia="zh-CN"/>
              </w:rPr>
              <w:t>施工监理、</w:t>
            </w:r>
          </w:p>
        </w:tc>
        <w:tc>
          <w:tcPr>
            <w:tcW w:w="858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lang w:val="en-US" w:eastAsia="zh-CN"/>
              </w:rPr>
              <w:t>具有</w:t>
            </w:r>
            <w:r>
              <w:rPr>
                <w:rFonts w:hint="eastAsia" w:ascii="宋体" w:hAnsi="宋体" w:eastAsia="宋体" w:cs="宋体"/>
                <w:color w:val="auto"/>
                <w:kern w:val="0"/>
                <w:szCs w:val="21"/>
                <w:highlight w:val="none"/>
                <w:lang w:eastAsia="zh-CN"/>
              </w:rPr>
              <w:t>法人或其他组织资格；持有工商行政管理部门核发的有效企业营业执照或事业单位法人证书或社会团体法人登记证书；</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投标人具备公路工程乙级及以上监理资质且在有效期内，并在人员等方面具有相应的</w:t>
            </w:r>
            <w:r>
              <w:rPr>
                <w:rFonts w:hint="eastAsia" w:ascii="宋体" w:hAnsi="宋体" w:eastAsia="宋体" w:cs="宋体"/>
                <w:color w:val="auto"/>
                <w:kern w:val="0"/>
                <w:szCs w:val="21"/>
                <w:highlight w:val="none"/>
                <w:lang w:val="en-US" w:eastAsia="zh-CN"/>
              </w:rPr>
              <w:t>施工</w:t>
            </w:r>
            <w:r>
              <w:rPr>
                <w:rFonts w:hint="eastAsia" w:ascii="宋体" w:hAnsi="宋体" w:eastAsia="宋体" w:cs="宋体"/>
                <w:color w:val="auto"/>
                <w:kern w:val="0"/>
                <w:szCs w:val="21"/>
                <w:highlight w:val="none"/>
                <w:lang w:eastAsia="zh-CN"/>
              </w:rPr>
              <w:t>监理能力。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投标人应进入交通运输部“全国公路建设市场监督管理系统（https://hwdms.mot.gov.cn/BMWebSite/）”中的公路工程施工监理资质企业名录，且投标人名称和资质与该名录中的相应企业名称和资质完全一致。</w:t>
            </w:r>
            <w:r>
              <w:rPr>
                <w:rFonts w:hint="eastAsia" w:ascii="宋体" w:hAnsi="宋体" w:eastAsia="宋体" w:cs="宋体"/>
                <w:color w:val="auto"/>
                <w:kern w:val="0"/>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1" w:firstLineChars="200"/>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1" w:firstLineChars="200"/>
              <w:textAlignment w:val="auto"/>
              <w:rPr>
                <w:rFonts w:hint="eastAsia" w:ascii="宋体" w:hAnsi="宋体" w:eastAsia="宋体" w:cs="宋体"/>
                <w:b/>
                <w:bCs/>
                <w:color w:val="auto"/>
                <w:szCs w:val="20"/>
                <w:highlight w:val="none"/>
                <w:lang w:val="en-US" w:eastAsia="zh-CN"/>
              </w:rPr>
            </w:pPr>
            <w:r>
              <w:rPr>
                <w:rFonts w:hint="eastAsia" w:ascii="宋体" w:hAnsi="宋体" w:eastAsia="宋体" w:cs="宋体"/>
                <w:b/>
                <w:bCs/>
                <w:color w:val="auto"/>
                <w:szCs w:val="20"/>
                <w:highlight w:val="none"/>
                <w:lang w:val="en-US" w:eastAsia="zh-CN"/>
              </w:rPr>
              <w:t>补充投标人须知正文第3.5.1项为：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）投标人基本情况表”应附企业营业执照</w:t>
            </w:r>
            <w:r>
              <w:rPr>
                <w:rFonts w:hint="eastAsia" w:ascii="宋体" w:hAnsi="宋体" w:eastAsia="宋体" w:cs="宋体"/>
                <w:color w:val="auto"/>
                <w:kern w:val="0"/>
                <w:szCs w:val="21"/>
                <w:highlight w:val="none"/>
                <w:lang w:val="en-US" w:eastAsia="zh-CN"/>
              </w:rPr>
              <w:t>副本</w:t>
            </w:r>
            <w:r>
              <w:rPr>
                <w:rFonts w:hint="eastAsia" w:ascii="宋体" w:hAnsi="宋体" w:eastAsia="宋体" w:cs="宋体"/>
                <w:color w:val="auto"/>
                <w:kern w:val="0"/>
                <w:szCs w:val="21"/>
                <w:highlight w:val="none"/>
                <w:lang w:eastAsia="zh-CN"/>
              </w:rPr>
              <w:t>和组织机构代码证（按照“三证合一”或“五证合一”登记制度进行登记的，可仅提供营业执照）或事业单位法人证书或社会团体法人登记证书、监理资质证书</w:t>
            </w:r>
            <w:r>
              <w:rPr>
                <w:rFonts w:hint="eastAsia" w:ascii="宋体" w:hAnsi="宋体" w:eastAsia="宋体" w:cs="宋体"/>
                <w:color w:val="auto"/>
                <w:kern w:val="0"/>
                <w:szCs w:val="21"/>
                <w:highlight w:val="none"/>
                <w:lang w:val="en-US" w:eastAsia="zh-CN"/>
              </w:rPr>
              <w:t>副本</w:t>
            </w:r>
            <w:r>
              <w:rPr>
                <w:rFonts w:hint="eastAsia" w:ascii="宋体" w:hAnsi="宋体" w:eastAsia="宋体" w:cs="宋体"/>
                <w:color w:val="auto"/>
                <w:kern w:val="0"/>
                <w:szCs w:val="21"/>
                <w:highlight w:val="none"/>
                <w:lang w:eastAsia="zh-CN"/>
              </w:rPr>
              <w:t>、基本账户</w:t>
            </w:r>
            <w:r>
              <w:rPr>
                <w:rFonts w:hint="eastAsia" w:ascii="宋体" w:hAnsi="宋体" w:eastAsia="宋体" w:cs="宋体"/>
                <w:color w:val="auto"/>
                <w:kern w:val="0"/>
                <w:szCs w:val="21"/>
                <w:highlight w:val="none"/>
                <w:lang w:val="en-US" w:eastAsia="zh-CN"/>
              </w:rPr>
              <w:t>信息</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b/>
                <w:bCs/>
                <w:color w:val="auto"/>
                <w:kern w:val="0"/>
                <w:szCs w:val="21"/>
                <w:highlight w:val="none"/>
                <w:lang w:eastAsia="zh-CN"/>
              </w:rPr>
              <w:t>投标人在交通运输部“全国公路建设市场监督管理系统”公路工程施工监理资质企业名录中的网页截图，以及投标人在国家企业信用信息公示系统中基础信息（体现股东及出资详细信息）的网页截图。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）营业执照</w:t>
            </w:r>
            <w:r>
              <w:rPr>
                <w:rFonts w:hint="eastAsia" w:ascii="宋体" w:hAnsi="宋体" w:eastAsia="宋体" w:cs="宋体"/>
                <w:color w:val="auto"/>
                <w:kern w:val="0"/>
                <w:szCs w:val="21"/>
                <w:highlight w:val="none"/>
                <w:lang w:val="en-US" w:eastAsia="zh-CN"/>
              </w:rPr>
              <w:t>副本</w:t>
            </w:r>
            <w:r>
              <w:rPr>
                <w:rFonts w:hint="eastAsia" w:ascii="宋体" w:hAnsi="宋体" w:eastAsia="宋体" w:cs="宋体"/>
                <w:color w:val="auto"/>
                <w:kern w:val="0"/>
                <w:szCs w:val="21"/>
                <w:highlight w:val="none"/>
                <w:lang w:eastAsia="zh-CN"/>
              </w:rPr>
              <w:t>和组织机构代码证（按照“三证合一”或“五证合一”登记制度进行登记的，可仅提供营业执照）或事业单位法人证书或社会团体法人登记证书、监理资质证书</w:t>
            </w:r>
            <w:r>
              <w:rPr>
                <w:rFonts w:hint="eastAsia" w:ascii="宋体" w:hAnsi="宋体" w:eastAsia="宋体" w:cs="宋体"/>
                <w:color w:val="auto"/>
                <w:kern w:val="0"/>
                <w:szCs w:val="21"/>
                <w:highlight w:val="none"/>
                <w:lang w:val="en-US" w:eastAsia="zh-CN"/>
              </w:rPr>
              <w:t>副本</w:t>
            </w:r>
            <w:r>
              <w:rPr>
                <w:rFonts w:hint="eastAsia" w:ascii="宋体" w:hAnsi="宋体" w:eastAsia="宋体" w:cs="宋体"/>
                <w:color w:val="auto"/>
                <w:kern w:val="0"/>
                <w:szCs w:val="21"/>
                <w:highlight w:val="none"/>
                <w:lang w:eastAsia="zh-CN"/>
              </w:rPr>
              <w:t>、基本账户</w:t>
            </w:r>
            <w:r>
              <w:rPr>
                <w:rFonts w:hint="eastAsia" w:ascii="宋体" w:hAnsi="宋体" w:eastAsia="宋体" w:cs="宋体"/>
                <w:color w:val="auto"/>
                <w:kern w:val="0"/>
                <w:szCs w:val="21"/>
                <w:highlight w:val="none"/>
                <w:lang w:val="en-US" w:eastAsia="zh-CN"/>
              </w:rPr>
              <w:t>信息</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扫描件</w:t>
            </w:r>
            <w:r>
              <w:rPr>
                <w:rFonts w:hint="eastAsia" w:ascii="宋体" w:hAnsi="宋体" w:eastAsia="宋体" w:cs="宋体"/>
                <w:color w:val="auto"/>
                <w:kern w:val="0"/>
                <w:szCs w:val="21"/>
                <w:highlight w:val="none"/>
                <w:lang w:eastAsia="zh-CN"/>
              </w:rPr>
              <w:t>应提供全本（证书封面、封底、空白页除外），应包括投标人名称、投标人其他相关信息、颁发机构名称、投标人信息变更情况等关键页在内，并逐页加盖投标人单位章。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）对于法人发生重组或变更的投标人，应在投标文件中提供附有法人重组或变更时相关部门的合法批件、变更时的企业法人营业执照和资质证书的变更记录彩色扫描件。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color w:val="auto"/>
                <w:kern w:val="0"/>
                <w:szCs w:val="21"/>
                <w:highlight w:val="cyan"/>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因公告格式无法修改，招标公告投标人资格要求中“根据《关于发布公路工程从业企业资质名录的通知》（厅公路字〔2011〕114号）要求，投标人如为应通过名录对其资质条件进行审核的公路施工监理企业，则应进入交通运输部“全国公路建设市场监督管理系统”中的公路工程施工监理资质企业名录，且投标人名称和资质与该名录中的相应企业名称和资质完全一致”。本段规定仅适用于根据《关于发布公路工程从业企业资质名录的通知》(厅公路字(2011)114号)要求，招标人应通过名录对投标人资质条件进行审核的公路施工监理企业，具体包括由部审核、审批资质的监理甲级、乙级、机电专项资质企业，如投标人为以上资质企业，则应满足本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）招标文件中其他地方与此处不一致时，以此处为准。</w:t>
            </w:r>
            <w:r>
              <w:rPr>
                <w:rFonts w:hint="eastAsia" w:ascii="宋体" w:hAnsi="宋体" w:eastAsia="宋体" w:cs="宋体"/>
                <w:color w:val="auto"/>
                <w:kern w:val="0"/>
                <w:szCs w:val="21"/>
                <w:highlight w:val="none"/>
                <w:lang w:val="en-US" w:eastAsia="zh-CN"/>
              </w:rPr>
              <w:t xml:space="preserve"> </w:t>
            </w:r>
          </w:p>
        </w:tc>
      </w:tr>
    </w:tbl>
    <w:p>
      <w:pPr>
        <w:pStyle w:val="3"/>
        <w:spacing w:line="276" w:lineRule="auto"/>
        <w:rPr>
          <w:rFonts w:ascii="黑体"/>
          <w:b/>
          <w:color w:val="auto"/>
          <w:sz w:val="20"/>
        </w:rPr>
      </w:pPr>
    </w:p>
    <w:p>
      <w:pPr>
        <w:pStyle w:val="3"/>
        <w:spacing w:before="4" w:line="276" w:lineRule="auto"/>
        <w:jc w:val="center"/>
        <w:rPr>
          <w:rFonts w:hint="eastAsia" w:ascii="黑体" w:hAnsi="黑体" w:eastAsia="黑体"/>
          <w:b/>
          <w:color w:val="auto"/>
          <w:sz w:val="28"/>
        </w:rPr>
      </w:pPr>
      <w:bookmarkStart w:id="2" w:name="_bookmark22"/>
      <w:bookmarkEnd w:id="2"/>
      <w:r>
        <w:rPr>
          <w:rFonts w:hint="eastAsia" w:ascii="黑体" w:hAnsi="黑体" w:eastAsia="黑体"/>
          <w:b/>
          <w:color w:val="auto"/>
          <w:sz w:val="28"/>
        </w:rPr>
        <w:br w:type="page"/>
      </w:r>
    </w:p>
    <w:p>
      <w:pPr>
        <w:pStyle w:val="13"/>
        <w:bidi w:val="0"/>
        <w:jc w:val="center"/>
        <w:rPr>
          <w:rFonts w:hint="eastAsia" w:ascii="黑体" w:hAnsi="黑体" w:eastAsia="黑体"/>
          <w:b/>
          <w:color w:val="auto"/>
          <w:sz w:val="28"/>
        </w:rPr>
      </w:pPr>
      <w:r>
        <w:rPr>
          <w:rFonts w:hint="eastAsia" w:ascii="黑体" w:hAnsi="黑体" w:eastAsia="黑体"/>
          <w:b/>
          <w:color w:val="auto"/>
          <w:sz w:val="28"/>
          <w:highlight w:val="none"/>
          <w:lang w:val="en-US" w:eastAsia="zh-CN"/>
        </w:rPr>
        <w:t>第1标段、第2标段施工监理</w:t>
      </w:r>
    </w:p>
    <w:p>
      <w:pPr>
        <w:pStyle w:val="3"/>
        <w:spacing w:before="4" w:line="276" w:lineRule="auto"/>
        <w:jc w:val="center"/>
        <w:rPr>
          <w:rFonts w:ascii="黑体" w:hAnsi="黑体" w:eastAsia="黑体"/>
          <w:b/>
          <w:color w:val="auto"/>
          <w:sz w:val="14"/>
        </w:rPr>
      </w:pPr>
      <w:r>
        <w:rPr>
          <w:rFonts w:hint="eastAsia" w:ascii="黑体" w:hAnsi="黑体" w:eastAsia="黑体"/>
          <w:b/>
          <w:color w:val="auto"/>
          <w:sz w:val="28"/>
        </w:rPr>
        <w:t>附录</w:t>
      </w:r>
      <w:r>
        <w:rPr>
          <w:rFonts w:hint="eastAsia" w:ascii="黑体" w:hAnsi="黑体" w:eastAsia="黑体"/>
          <w:b/>
          <w:color w:val="auto"/>
          <w:spacing w:val="-69"/>
          <w:sz w:val="28"/>
        </w:rPr>
        <w:t xml:space="preserve"> </w:t>
      </w:r>
      <w:r>
        <w:rPr>
          <w:rFonts w:ascii="Times New Roman" w:hAnsi="Times New Roman" w:eastAsia="Times New Roman"/>
          <w:b/>
          <w:color w:val="auto"/>
          <w:sz w:val="28"/>
        </w:rPr>
        <w:t>2</w:t>
      </w:r>
      <w:r>
        <w:rPr>
          <w:rFonts w:ascii="Times New Roman" w:hAnsi="Times New Roman" w:eastAsia="Times New Roman"/>
          <w:b/>
          <w:color w:val="auto"/>
          <w:sz w:val="28"/>
        </w:rPr>
        <w:tab/>
      </w:r>
      <w:r>
        <w:rPr>
          <w:rFonts w:hint="eastAsia" w:ascii="Times New Roman" w:hAnsi="Times New Roman" w:eastAsia="宋体"/>
          <w:b/>
          <w:color w:val="auto"/>
          <w:sz w:val="28"/>
          <w:lang w:val="en-US" w:eastAsia="zh-CN"/>
        </w:rPr>
        <w:t xml:space="preserve">  </w:t>
      </w:r>
      <w:r>
        <w:rPr>
          <w:rFonts w:hint="eastAsia" w:ascii="黑体" w:hAnsi="黑体" w:eastAsia="黑体"/>
          <w:b/>
          <w:color w:val="auto"/>
          <w:sz w:val="28"/>
        </w:rPr>
        <w:t>资格审查条件（业绩最低要求）</w:t>
      </w:r>
    </w:p>
    <w:tbl>
      <w:tblPr>
        <w:tblStyle w:val="8"/>
        <w:tblW w:w="9458"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0" w:type="dxa"/>
            <w:noWrap w:val="0"/>
            <w:vAlign w:val="center"/>
          </w:tcPr>
          <w:p>
            <w:pPr>
              <w:spacing w:line="240" w:lineRule="auto"/>
              <w:jc w:val="center"/>
              <w:rPr>
                <w:rFonts w:hint="default" w:ascii="Times New Roman" w:hAnsi="Times New Roman" w:eastAsia="宋体" w:cs="Times New Roman"/>
                <w:b/>
                <w:bCs/>
                <w:color w:val="auto"/>
                <w:sz w:val="24"/>
                <w:szCs w:val="28"/>
                <w:lang w:val="en-US" w:eastAsia="zh-CN"/>
              </w:rPr>
            </w:pPr>
            <w:bookmarkStart w:id="3" w:name="_Toc26223_WPSOffice_Level2"/>
            <w:r>
              <w:rPr>
                <w:rFonts w:hint="eastAsia" w:ascii="Times New Roman" w:hAnsi="Times New Roman" w:eastAsia="宋体" w:cs="Times New Roman"/>
                <w:b/>
                <w:bCs/>
                <w:color w:val="auto"/>
                <w:sz w:val="24"/>
                <w:szCs w:val="28"/>
                <w:lang w:val="en-US" w:eastAsia="zh-CN"/>
              </w:rPr>
              <w:t>标段号</w:t>
            </w:r>
          </w:p>
        </w:tc>
        <w:tc>
          <w:tcPr>
            <w:tcW w:w="8018" w:type="dxa"/>
            <w:noWrap w:val="0"/>
            <w:vAlign w:val="center"/>
          </w:tcPr>
          <w:p>
            <w:pPr>
              <w:spacing w:line="240" w:lineRule="auto"/>
              <w:jc w:val="center"/>
              <w:rPr>
                <w:rFonts w:hint="eastAsia"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业绩要求</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40" w:type="dxa"/>
            <w:noWrap w:val="0"/>
            <w:vAlign w:val="center"/>
          </w:tcPr>
          <w:p>
            <w:pPr>
              <w:spacing w:line="360" w:lineRule="auto"/>
              <w:jc w:val="center"/>
              <w:rPr>
                <w:rFonts w:hint="eastAsia" w:eastAsia="宋体"/>
                <w:color w:val="auto"/>
                <w:lang w:val="en-US" w:eastAsia="zh-CN"/>
              </w:rPr>
            </w:pPr>
            <w:bookmarkStart w:id="4" w:name="EB0a994361b39c42349248d95b29298c49"/>
            <w:bookmarkEnd w:id="4"/>
            <w:r>
              <w:rPr>
                <w:rFonts w:hint="eastAsia" w:eastAsia="宋体"/>
                <w:color w:val="auto"/>
                <w:lang w:val="en-US" w:eastAsia="zh-CN"/>
              </w:rPr>
              <w:t>第1标段</w:t>
            </w:r>
          </w:p>
          <w:p>
            <w:pPr>
              <w:spacing w:line="360" w:lineRule="auto"/>
              <w:jc w:val="center"/>
              <w:rPr>
                <w:rFonts w:hint="eastAsia" w:eastAsia="宋体"/>
                <w:color w:val="auto"/>
                <w:lang w:val="en-US" w:eastAsia="zh-CN"/>
              </w:rPr>
            </w:pPr>
            <w:r>
              <w:rPr>
                <w:rFonts w:hint="eastAsia" w:eastAsia="宋体"/>
                <w:color w:val="auto"/>
                <w:lang w:val="en-US" w:eastAsia="zh-CN"/>
              </w:rPr>
              <w:t>施工监理、第2标段</w:t>
            </w:r>
          </w:p>
          <w:p>
            <w:pPr>
              <w:spacing w:line="360" w:lineRule="auto"/>
              <w:jc w:val="center"/>
              <w:rPr>
                <w:rFonts w:hint="eastAsia" w:ascii="宋体" w:hAnsi="宋体" w:eastAsia="宋体" w:cs="宋体"/>
                <w:b w:val="0"/>
                <w:bCs w:val="0"/>
                <w:color w:val="auto"/>
                <w:sz w:val="21"/>
                <w:szCs w:val="21"/>
                <w:highlight w:val="none"/>
              </w:rPr>
            </w:pPr>
            <w:r>
              <w:rPr>
                <w:rFonts w:hint="eastAsia" w:eastAsia="宋体"/>
                <w:color w:val="auto"/>
                <w:lang w:val="en-US" w:eastAsia="zh-CN"/>
              </w:rPr>
              <w:t>施工监理</w:t>
            </w:r>
          </w:p>
        </w:tc>
        <w:tc>
          <w:tcPr>
            <w:tcW w:w="8018" w:type="dxa"/>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jc w:val="both"/>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rPr>
              <w:t>投标人近5年（自</w:t>
            </w:r>
            <w:r>
              <w:rPr>
                <w:rFonts w:hint="eastAsia" w:ascii="宋体" w:hAnsi="宋体" w:eastAsia="宋体" w:cs="宋体"/>
                <w:b w:val="0"/>
                <w:bCs w:val="0"/>
                <w:color w:val="auto"/>
                <w:kern w:val="0"/>
                <w:szCs w:val="21"/>
                <w:highlight w:val="none"/>
                <w:lang w:eastAsia="zh-CN"/>
              </w:rPr>
              <w:t>2020年</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lang w:eastAsia="zh-CN"/>
              </w:rPr>
              <w:t>月</w:t>
            </w:r>
            <w:r>
              <w:rPr>
                <w:rFonts w:hint="eastAsia" w:ascii="宋体" w:hAnsi="宋体" w:cs="宋体"/>
                <w:b w:val="0"/>
                <w:bCs w:val="0"/>
                <w:color w:val="auto"/>
                <w:kern w:val="0"/>
                <w:szCs w:val="21"/>
                <w:highlight w:val="none"/>
                <w:lang w:val="en-US" w:eastAsia="zh-CN"/>
              </w:rPr>
              <w:t>28日</w:t>
            </w:r>
            <w:r>
              <w:rPr>
                <w:rFonts w:hint="eastAsia" w:ascii="宋体" w:hAnsi="宋体" w:eastAsia="宋体" w:cs="宋体"/>
                <w:b w:val="0"/>
                <w:bCs w:val="0"/>
                <w:color w:val="auto"/>
                <w:kern w:val="0"/>
                <w:szCs w:val="21"/>
                <w:highlight w:val="none"/>
              </w:rPr>
              <w:t>至投标文件递交截止之日止，以交工日期为准）</w:t>
            </w:r>
            <w:r>
              <w:rPr>
                <w:rFonts w:hint="eastAsia" w:ascii="宋体" w:hAnsi="宋体" w:eastAsia="宋体" w:cs="宋体"/>
                <w:b w:val="0"/>
                <w:bCs w:val="0"/>
                <w:color w:val="auto"/>
                <w:kern w:val="0"/>
                <w:szCs w:val="21"/>
                <w:highlight w:val="none"/>
                <w:lang w:val="en-US" w:eastAsia="zh-CN"/>
              </w:rPr>
              <w:t>至少</w:t>
            </w:r>
            <w:r>
              <w:rPr>
                <w:rFonts w:hint="eastAsia" w:ascii="宋体" w:hAnsi="宋体" w:eastAsia="宋体" w:cs="宋体"/>
                <w:b w:val="0"/>
                <w:bCs w:val="0"/>
                <w:color w:val="auto"/>
                <w:kern w:val="0"/>
                <w:szCs w:val="21"/>
                <w:highlight w:val="none"/>
              </w:rPr>
              <w:t>完成过1个一级及以上等级</w:t>
            </w:r>
            <w:r>
              <w:rPr>
                <w:rFonts w:hint="eastAsia" w:ascii="宋体" w:hAnsi="宋体" w:eastAsia="宋体" w:cs="宋体"/>
                <w:b w:val="0"/>
                <w:bCs w:val="0"/>
                <w:color w:val="auto"/>
                <w:kern w:val="0"/>
                <w:szCs w:val="21"/>
                <w:highlight w:val="none"/>
                <w:lang w:val="en-US" w:eastAsia="zh-CN"/>
              </w:rPr>
              <w:t>公路工程</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新建或改扩建或养护工程</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的施工监理业绩</w:t>
            </w:r>
            <w:r>
              <w:rPr>
                <w:rFonts w:hint="eastAsia" w:ascii="宋体" w:hAnsi="宋体" w:eastAsia="宋体" w:cs="宋体"/>
                <w:b w:val="0"/>
                <w:bCs w:val="0"/>
                <w:color w:val="auto"/>
                <w:kern w:val="0"/>
                <w:szCs w:val="21"/>
                <w:highlight w:val="none"/>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1" w:firstLineChars="200"/>
              <w:jc w:val="both"/>
              <w:textAlignment w:val="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1"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Cs w:val="20"/>
                <w:highlight w:val="none"/>
                <w:lang w:val="en-US" w:eastAsia="zh-CN"/>
              </w:rPr>
              <w:t>补充投标人须知正文第3.5.2项为：</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bCs/>
                <w:color w:val="auto"/>
                <w:sz w:val="21"/>
                <w:szCs w:val="21"/>
                <w:highlight w:val="none"/>
              </w:rPr>
            </w:pPr>
            <w:r>
              <w:rPr>
                <w:rFonts w:hint="eastAsia" w:ascii="宋体" w:hAnsi="宋体"/>
                <w:color w:val="auto"/>
                <w:sz w:val="21"/>
                <w:szCs w:val="21"/>
                <w:highlight w:val="none"/>
              </w:rPr>
              <w:t>应按</w:t>
            </w:r>
            <w:r>
              <w:rPr>
                <w:rFonts w:hint="eastAsia" w:ascii="宋体" w:hAnsi="宋体"/>
                <w:color w:val="auto"/>
                <w:sz w:val="21"/>
                <w:szCs w:val="21"/>
                <w:highlight w:val="none"/>
                <w:lang w:eastAsia="zh-CN"/>
              </w:rPr>
              <w:t>投标文件格式</w:t>
            </w:r>
            <w:r>
              <w:rPr>
                <w:rFonts w:hint="eastAsia" w:ascii="宋体" w:hAnsi="宋体"/>
                <w:color w:val="auto"/>
                <w:sz w:val="21"/>
                <w:szCs w:val="21"/>
                <w:highlight w:val="none"/>
              </w:rPr>
              <w:t>资格审查资料（三）近年完成的类似项目情况表</w:t>
            </w:r>
            <w:r>
              <w:rPr>
                <w:rFonts w:hint="eastAsia" w:ascii="宋体" w:hAnsi="宋体"/>
                <w:color w:val="auto"/>
                <w:sz w:val="21"/>
                <w:szCs w:val="21"/>
                <w:highlight w:val="none"/>
                <w:lang w:eastAsia="zh-CN"/>
              </w:rPr>
              <w:t>要求的内容</w:t>
            </w:r>
            <w:r>
              <w:rPr>
                <w:rFonts w:hint="eastAsia" w:ascii="宋体" w:hAnsi="宋体"/>
                <w:color w:val="auto"/>
                <w:sz w:val="21"/>
                <w:szCs w:val="21"/>
                <w:highlight w:val="none"/>
              </w:rPr>
              <w:t>填写所提供的业绩，且提供的每个业绩均应填写</w:t>
            </w:r>
            <w:r>
              <w:rPr>
                <w:rFonts w:hint="eastAsia" w:ascii="宋体" w:hAnsi="宋体"/>
                <w:bCs/>
                <w:color w:val="auto"/>
                <w:sz w:val="21"/>
                <w:szCs w:val="21"/>
                <w:highlight w:val="none"/>
              </w:rPr>
              <w:t>。</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color w:val="auto"/>
                <w:sz w:val="21"/>
                <w:szCs w:val="21"/>
                <w:highlight w:val="none"/>
              </w:rPr>
            </w:pPr>
            <w:r>
              <w:rPr>
                <w:rFonts w:hint="eastAsia" w:ascii="宋体" w:hAnsi="宋体"/>
                <w:bCs/>
                <w:color w:val="auto"/>
                <w:sz w:val="21"/>
                <w:szCs w:val="21"/>
                <w:highlight w:val="none"/>
              </w:rPr>
              <w:t>“近年完成的类似项目”应是已列入交通运输主管部门“公路建设市场信用信息管理系统”并公开的业绩</w:t>
            </w:r>
            <w:r>
              <w:rPr>
                <w:rFonts w:hint="eastAsia" w:ascii="宋体" w:hAnsi="宋体"/>
                <w:bCs/>
                <w:color w:val="auto"/>
                <w:sz w:val="21"/>
                <w:szCs w:val="21"/>
                <w:highlight w:val="none"/>
                <w:lang w:eastAsia="zh-CN"/>
              </w:rPr>
              <w:t>，</w:t>
            </w:r>
            <w:r>
              <w:rPr>
                <w:rFonts w:hint="eastAsia" w:ascii="宋体" w:hAnsi="宋体"/>
                <w:color w:val="auto"/>
                <w:sz w:val="21"/>
                <w:szCs w:val="21"/>
                <w:highlight w:val="none"/>
              </w:rPr>
              <w:t>项目状态显示为已交（竣）工，否则不予认可</w:t>
            </w:r>
            <w:r>
              <w:rPr>
                <w:rFonts w:hint="eastAsia" w:ascii="宋体" w:hAnsi="宋体"/>
                <w:bCs/>
                <w:color w:val="auto"/>
                <w:sz w:val="21"/>
                <w:szCs w:val="21"/>
                <w:highlight w:val="none"/>
                <w:lang w:eastAsia="zh-CN"/>
              </w:rPr>
              <w:t>。</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Times New Roman"/>
                <w:bCs/>
                <w:color w:val="auto"/>
                <w:sz w:val="21"/>
                <w:szCs w:val="21"/>
                <w:highlight w:val="none"/>
              </w:rPr>
            </w:pPr>
            <w:r>
              <w:rPr>
                <w:rFonts w:hint="eastAsia" w:ascii="宋体" w:hAnsi="宋体"/>
                <w:bCs/>
                <w:color w:val="auto"/>
                <w:sz w:val="21"/>
                <w:szCs w:val="21"/>
                <w:highlight w:val="none"/>
              </w:rPr>
              <w:t>“近年完成的类似项目情况表”</w:t>
            </w:r>
            <w:r>
              <w:rPr>
                <w:rFonts w:hint="eastAsia" w:ascii="宋体" w:hAnsi="宋体"/>
                <w:bCs/>
                <w:color w:val="auto"/>
                <w:sz w:val="21"/>
                <w:szCs w:val="21"/>
                <w:highlight w:val="none"/>
                <w:lang w:eastAsia="zh-CN"/>
              </w:rPr>
              <w:t>后</w:t>
            </w:r>
            <w:r>
              <w:rPr>
                <w:rFonts w:hint="eastAsia" w:ascii="宋体" w:hAnsi="宋体"/>
                <w:bCs/>
                <w:color w:val="auto"/>
                <w:sz w:val="21"/>
                <w:szCs w:val="21"/>
                <w:highlight w:val="none"/>
              </w:rPr>
              <w:t>应附在“</w:t>
            </w:r>
            <w:r>
              <w:rPr>
                <w:rFonts w:hint="eastAsia" w:ascii="宋体" w:hAnsi="宋体"/>
                <w:bCs/>
                <w:color w:val="auto"/>
                <w:sz w:val="21"/>
                <w:szCs w:val="21"/>
                <w:highlight w:val="none"/>
                <w:lang w:val="en-US" w:eastAsia="zh-CN"/>
              </w:rPr>
              <w:t>全国公路建设市场监督管理系统</w:t>
            </w:r>
            <w:r>
              <w:rPr>
                <w:rFonts w:hint="eastAsia" w:ascii="宋体" w:hAnsi="宋体"/>
                <w:bCs/>
                <w:color w:val="auto"/>
                <w:sz w:val="21"/>
                <w:szCs w:val="21"/>
                <w:highlight w:val="none"/>
              </w:rPr>
              <w:t>”中查询到的企业“业绩信息”相关项目网页截图。在“</w:t>
            </w:r>
            <w:r>
              <w:rPr>
                <w:rFonts w:hint="eastAsia" w:ascii="宋体" w:hAnsi="宋体"/>
                <w:bCs/>
                <w:color w:val="auto"/>
                <w:sz w:val="21"/>
                <w:szCs w:val="21"/>
                <w:highlight w:val="none"/>
                <w:lang w:eastAsia="zh-CN"/>
              </w:rPr>
              <w:t>全国公路建设市场监督管理系统</w:t>
            </w:r>
            <w:r>
              <w:rPr>
                <w:rFonts w:hint="eastAsia" w:ascii="宋体" w:hAnsi="宋体"/>
                <w:bCs/>
                <w:color w:val="auto"/>
                <w:sz w:val="21"/>
                <w:szCs w:val="21"/>
                <w:highlight w:val="none"/>
              </w:rPr>
              <w:t>”中无法查询的，但可在</w:t>
            </w:r>
            <w:r>
              <w:rPr>
                <w:rFonts w:hint="eastAsia" w:ascii="宋体" w:hAnsi="宋体"/>
                <w:bCs/>
                <w:color w:val="auto"/>
                <w:sz w:val="21"/>
                <w:szCs w:val="21"/>
                <w:highlight w:val="none"/>
                <w:lang w:val="en-US" w:eastAsia="zh-CN"/>
              </w:rPr>
              <w:t>工程</w:t>
            </w:r>
            <w:r>
              <w:rPr>
                <w:rFonts w:hint="eastAsia" w:ascii="宋体" w:hAnsi="宋体"/>
                <w:bCs/>
                <w:color w:val="auto"/>
                <w:sz w:val="21"/>
                <w:szCs w:val="21"/>
                <w:highlight w:val="none"/>
              </w:rPr>
              <w:t>所在地</w:t>
            </w:r>
            <w:r>
              <w:rPr>
                <w:rFonts w:hint="eastAsia" w:ascii="宋体" w:hAnsi="宋体"/>
                <w:bCs/>
                <w:color w:val="auto"/>
                <w:sz w:val="21"/>
                <w:szCs w:val="21"/>
                <w:highlight w:val="none"/>
                <w:lang w:val="en-US" w:eastAsia="zh-CN"/>
              </w:rPr>
              <w:t>省级公路建设与养护市场信用信息管理系</w:t>
            </w:r>
            <w:r>
              <w:rPr>
                <w:rFonts w:hint="eastAsia" w:ascii="宋体" w:hAnsi="宋体"/>
                <w:bCs/>
                <w:color w:val="auto"/>
                <w:sz w:val="21"/>
                <w:szCs w:val="21"/>
                <w:highlight w:val="none"/>
              </w:rPr>
              <w:t>统中查询的，应附</w:t>
            </w:r>
            <w:r>
              <w:rPr>
                <w:rFonts w:hint="eastAsia" w:ascii="宋体" w:hAnsi="宋体"/>
                <w:bCs/>
                <w:color w:val="auto"/>
                <w:sz w:val="21"/>
                <w:szCs w:val="21"/>
                <w:highlight w:val="none"/>
                <w:lang w:val="en-US" w:eastAsia="zh-CN"/>
              </w:rPr>
              <w:t>工程</w:t>
            </w:r>
            <w:r>
              <w:rPr>
                <w:rFonts w:hint="eastAsia" w:ascii="宋体" w:hAnsi="宋体"/>
                <w:bCs/>
                <w:color w:val="auto"/>
                <w:sz w:val="21"/>
                <w:szCs w:val="21"/>
                <w:highlight w:val="none"/>
              </w:rPr>
              <w:t>所在地</w:t>
            </w:r>
            <w:r>
              <w:rPr>
                <w:rFonts w:hint="eastAsia" w:ascii="宋体" w:hAnsi="宋体"/>
                <w:bCs/>
                <w:color w:val="auto"/>
                <w:sz w:val="21"/>
                <w:szCs w:val="21"/>
                <w:highlight w:val="none"/>
                <w:lang w:val="en-US" w:eastAsia="zh-CN"/>
              </w:rPr>
              <w:t>省级公路建设与养护市场信用信息管理系</w:t>
            </w:r>
            <w:r>
              <w:rPr>
                <w:rFonts w:hint="eastAsia" w:ascii="宋体" w:hAnsi="宋体"/>
                <w:bCs/>
                <w:color w:val="auto"/>
                <w:sz w:val="21"/>
                <w:szCs w:val="21"/>
                <w:highlight w:val="none"/>
              </w:rPr>
              <w:t>统中查询到的网页截图并注明查询路径。除网页截图外，投标人无须再提供任何业绩证明资料。若投标人未提供相关项目网页截图，或相关项目网页截图中的信息无法证实投标人满足招标文件规定的业绩最低要求</w:t>
            </w:r>
            <w:r>
              <w:rPr>
                <w:rFonts w:hint="eastAsia" w:ascii="宋体" w:hAnsi="宋体"/>
                <w:bCs/>
                <w:color w:val="auto"/>
                <w:sz w:val="21"/>
                <w:szCs w:val="21"/>
                <w:highlight w:val="none"/>
                <w:lang w:eastAsia="zh-CN"/>
              </w:rPr>
              <w:t>（如交工时间、规模、公路等级等）</w:t>
            </w:r>
            <w:r>
              <w:rPr>
                <w:rFonts w:hint="eastAsia" w:ascii="宋体" w:hAnsi="宋体"/>
                <w:bCs/>
                <w:color w:val="auto"/>
                <w:sz w:val="21"/>
                <w:szCs w:val="21"/>
                <w:highlight w:val="none"/>
              </w:rPr>
              <w:t>，则该</w:t>
            </w:r>
            <w:r>
              <w:rPr>
                <w:rFonts w:hint="eastAsia" w:ascii="宋体" w:hAnsi="宋体" w:eastAsia="宋体" w:cs="Times New Roman"/>
                <w:bCs/>
                <w:color w:val="auto"/>
                <w:sz w:val="21"/>
                <w:szCs w:val="21"/>
                <w:highlight w:val="none"/>
              </w:rPr>
              <w:t>项目业绩不予认定。</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eastAsia="zh-CN"/>
              </w:rPr>
              <w:t>对投标人所提供的企业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认定为失信投标行为（如中标同时取消其中标资格），并依据</w:t>
            </w:r>
            <w:r>
              <w:rPr>
                <w:rFonts w:hint="eastAsia" w:ascii="宋体" w:hAnsi="宋体" w:eastAsia="宋体" w:cs="Times New Roman"/>
                <w:bCs/>
                <w:color w:val="auto"/>
                <w:sz w:val="21"/>
                <w:szCs w:val="21"/>
                <w:highlight w:val="none"/>
                <w:lang w:val="en-US" w:eastAsia="zh-CN"/>
              </w:rPr>
              <w:t>《宁夏回族自治区公路建设与养护市场信用评价管理办法》的通知（</w:t>
            </w:r>
            <w:r>
              <w:rPr>
                <w:rFonts w:hint="eastAsia" w:ascii="宋体" w:hAnsi="宋体" w:eastAsia="宋体" w:cs="Times New Roman"/>
                <w:bCs/>
                <w:color w:val="auto"/>
                <w:sz w:val="21"/>
                <w:szCs w:val="21"/>
                <w:highlight w:val="none"/>
                <w:lang w:eastAsia="zh-CN"/>
              </w:rPr>
              <w:t>宁交规发〔2024〕1号）文件对投标人本次投标行为进行评价，同时将评价结果上报宁夏</w:t>
            </w:r>
            <w:r>
              <w:rPr>
                <w:rFonts w:hint="eastAsia" w:ascii="宋体" w:hAnsi="宋体" w:eastAsia="宋体" w:cs="Times New Roman"/>
                <w:bCs/>
                <w:color w:val="auto"/>
                <w:sz w:val="21"/>
                <w:szCs w:val="21"/>
                <w:highlight w:val="none"/>
                <w:lang w:val="en-US" w:eastAsia="zh-CN"/>
              </w:rPr>
              <w:t>回族自治区</w:t>
            </w:r>
            <w:r>
              <w:rPr>
                <w:rFonts w:hint="eastAsia" w:ascii="宋体" w:hAnsi="宋体" w:eastAsia="宋体" w:cs="Times New Roman"/>
                <w:bCs/>
                <w:color w:val="auto"/>
                <w:sz w:val="21"/>
                <w:szCs w:val="21"/>
                <w:highlight w:val="none"/>
                <w:lang w:eastAsia="zh-CN"/>
              </w:rPr>
              <w:t>交通运输厅，并在宁夏</w:t>
            </w:r>
            <w:r>
              <w:rPr>
                <w:rFonts w:hint="eastAsia" w:ascii="宋体" w:hAnsi="宋体" w:eastAsia="宋体" w:cs="Times New Roman"/>
                <w:bCs/>
                <w:color w:val="auto"/>
                <w:sz w:val="21"/>
                <w:szCs w:val="21"/>
                <w:highlight w:val="none"/>
                <w:lang w:val="en-US" w:eastAsia="zh-CN"/>
              </w:rPr>
              <w:t>回族自治区</w:t>
            </w:r>
            <w:r>
              <w:rPr>
                <w:rFonts w:hint="eastAsia" w:ascii="宋体" w:hAnsi="宋体" w:eastAsia="宋体" w:cs="Times New Roman"/>
                <w:bCs/>
                <w:color w:val="auto"/>
                <w:sz w:val="21"/>
                <w:szCs w:val="21"/>
                <w:highlight w:val="none"/>
                <w:lang w:eastAsia="zh-CN"/>
              </w:rPr>
              <w:t>交通运输厅网站予以公布。</w:t>
            </w:r>
          </w:p>
          <w:p>
            <w:pPr>
              <w:spacing w:line="360" w:lineRule="auto"/>
              <w:ind w:left="-3" w:firstLine="420" w:firstLineChars="200"/>
              <w:rPr>
                <w:rFonts w:hint="default" w:eastAsia="宋体"/>
                <w:color w:val="auto"/>
                <w:highlight w:val="none"/>
                <w:lang w:val="en-US" w:eastAsia="zh-CN"/>
              </w:rPr>
            </w:pP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lang w:eastAsia="zh-CN"/>
              </w:rPr>
              <w:t>招标文件中其他地方与此处不一致时，以此处为准。</w:t>
            </w:r>
            <w:r>
              <w:rPr>
                <w:rFonts w:hint="eastAsia" w:ascii="宋体" w:hAnsi="宋体" w:eastAsia="宋体" w:cs="Times New Roman"/>
                <w:bCs/>
                <w:color w:val="auto"/>
                <w:kern w:val="2"/>
                <w:sz w:val="21"/>
                <w:szCs w:val="21"/>
                <w:highlight w:val="none"/>
                <w:lang w:val="en-US" w:eastAsia="zh-CN" w:bidi="ar-SA"/>
              </w:rPr>
              <w:t xml:space="preserve"> </w:t>
            </w:r>
          </w:p>
        </w:tc>
      </w:tr>
    </w:tbl>
    <w:p>
      <w:pPr>
        <w:tabs>
          <w:tab w:val="left" w:pos="1051"/>
        </w:tabs>
        <w:spacing w:before="129" w:line="276" w:lineRule="auto"/>
        <w:ind w:right="38"/>
        <w:jc w:val="center"/>
        <w:rPr>
          <w:color w:val="auto"/>
          <w:sz w:val="18"/>
        </w:rPr>
      </w:pPr>
    </w:p>
    <w:p>
      <w:pPr>
        <w:tabs>
          <w:tab w:val="left" w:pos="1051"/>
        </w:tabs>
        <w:spacing w:before="129" w:line="276" w:lineRule="auto"/>
        <w:ind w:right="38"/>
        <w:jc w:val="center"/>
        <w:rPr>
          <w:color w:val="auto"/>
          <w:sz w:val="18"/>
        </w:rPr>
      </w:pPr>
      <w:r>
        <w:rPr>
          <w:color w:val="auto"/>
          <w:sz w:val="18"/>
        </w:rPr>
        <w:br w:type="page"/>
      </w:r>
    </w:p>
    <w:p>
      <w:pPr>
        <w:pStyle w:val="13"/>
        <w:bidi w:val="0"/>
        <w:jc w:val="center"/>
        <w:rPr>
          <w:rFonts w:hint="eastAsia" w:ascii="黑体" w:hAnsi="黑体" w:eastAsia="黑体"/>
          <w:b/>
          <w:color w:val="auto"/>
          <w:sz w:val="28"/>
        </w:rPr>
      </w:pPr>
      <w:r>
        <w:rPr>
          <w:rFonts w:hint="eastAsia" w:ascii="黑体" w:hAnsi="黑体" w:eastAsia="黑体"/>
          <w:b/>
          <w:color w:val="auto"/>
          <w:sz w:val="28"/>
          <w:highlight w:val="none"/>
          <w:lang w:val="en-US" w:eastAsia="zh-CN"/>
        </w:rPr>
        <w:t>第1标段、第2标段施工监理</w:t>
      </w:r>
    </w:p>
    <w:p>
      <w:pPr>
        <w:tabs>
          <w:tab w:val="left" w:pos="1051"/>
        </w:tabs>
        <w:spacing w:before="129" w:line="276" w:lineRule="auto"/>
        <w:ind w:right="38"/>
        <w:jc w:val="center"/>
        <w:rPr>
          <w:rFonts w:hint="eastAsia" w:ascii="黑体" w:hAnsi="黑体" w:eastAsia="黑体"/>
          <w:b/>
          <w:color w:val="auto"/>
          <w:sz w:val="28"/>
        </w:rPr>
      </w:pPr>
      <w:r>
        <w:rPr>
          <w:rFonts w:hint="eastAsia" w:ascii="黑体" w:hAnsi="黑体" w:eastAsia="黑体"/>
          <w:b/>
          <w:color w:val="auto"/>
          <w:sz w:val="28"/>
        </w:rPr>
        <w:t>附录</w:t>
      </w:r>
      <w:r>
        <w:rPr>
          <w:rFonts w:hint="eastAsia" w:ascii="黑体" w:hAnsi="黑体" w:eastAsia="黑体"/>
          <w:b/>
          <w:color w:val="auto"/>
          <w:spacing w:val="-69"/>
          <w:sz w:val="28"/>
        </w:rPr>
        <w:t xml:space="preserve"> </w:t>
      </w:r>
      <w:r>
        <w:rPr>
          <w:rFonts w:ascii="Times New Roman" w:hAnsi="Times New Roman" w:eastAsia="Times New Roman"/>
          <w:b/>
          <w:color w:val="auto"/>
          <w:sz w:val="28"/>
        </w:rPr>
        <w:t>3</w:t>
      </w:r>
      <w:r>
        <w:rPr>
          <w:rFonts w:hint="eastAsia" w:ascii="Times New Roman" w:hAnsi="Times New Roman" w:eastAsia="宋体"/>
          <w:b/>
          <w:color w:val="auto"/>
          <w:sz w:val="28"/>
          <w:lang w:val="en-US" w:eastAsia="zh-CN"/>
        </w:rPr>
        <w:t xml:space="preserve">  </w:t>
      </w:r>
      <w:r>
        <w:rPr>
          <w:rFonts w:hint="eastAsia" w:ascii="黑体" w:hAnsi="黑体" w:eastAsia="黑体"/>
          <w:b/>
          <w:color w:val="auto"/>
          <w:sz w:val="28"/>
        </w:rPr>
        <w:t>资格审查条件（信誉最低要求）</w:t>
      </w:r>
      <w:bookmarkStart w:id="5" w:name="_bookmark24"/>
      <w:bookmarkEnd w:id="5"/>
      <w:bookmarkStart w:id="6" w:name="_Toc635_WPSOffice_Level2"/>
    </w:p>
    <w:tbl>
      <w:tblPr>
        <w:tblStyle w:val="8"/>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0003" w:type="dxa"/>
            <w:noWrap w:val="0"/>
            <w:tcMar>
              <w:top w:w="57" w:type="dxa"/>
              <w:left w:w="108" w:type="dxa"/>
              <w:bottom w:w="57" w:type="dxa"/>
              <w:right w:w="108" w:type="dxa"/>
            </w:tcMar>
            <w:vAlign w:val="center"/>
          </w:tcPr>
          <w:p>
            <w:pPr>
              <w:pStyle w:val="11"/>
              <w:spacing w:line="240" w:lineRule="auto"/>
              <w:jc w:val="center"/>
              <w:rPr>
                <w:rStyle w:val="9"/>
                <w:rFonts w:hint="eastAsia" w:ascii="宋体" w:hAnsi="宋体" w:eastAsia="宋体" w:cs="宋体"/>
                <w:color w:val="auto"/>
                <w:sz w:val="24"/>
              </w:rPr>
            </w:pPr>
            <w:r>
              <w:rPr>
                <w:rStyle w:val="9"/>
                <w:rFonts w:hint="eastAsia" w:ascii="宋体" w:hAnsi="宋体" w:eastAsia="宋体" w:cs="宋体"/>
                <w:b/>
                <w:bCs/>
                <w:color w:val="auto"/>
                <w:sz w:val="24"/>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7" w:hRule="atLeast"/>
          <w:jc w:val="center"/>
        </w:trPr>
        <w:tc>
          <w:tcPr>
            <w:tcW w:w="10003" w:type="dxa"/>
            <w:noWrap w:val="0"/>
            <w:tcMar>
              <w:top w:w="57" w:type="dxa"/>
              <w:left w:w="108" w:type="dxa"/>
              <w:bottom w:w="57" w:type="dxa"/>
              <w:right w:w="108" w:type="dxa"/>
            </w:tcMar>
            <w:vAlign w:val="center"/>
          </w:tcPr>
          <w:p>
            <w:pPr>
              <w:pStyle w:val="4"/>
              <w:keepNext w:val="0"/>
              <w:keepLines w:val="0"/>
              <w:pageBreakBefore w:val="0"/>
              <w:widowControl w:val="0"/>
              <w:kinsoku/>
              <w:overflowPunct/>
              <w:topLinePunct w:val="0"/>
              <w:autoSpaceDE/>
              <w:autoSpaceDN/>
              <w:bidi w:val="0"/>
              <w:adjustRightInd/>
              <w:spacing w:line="360" w:lineRule="auto"/>
              <w:textAlignment w:val="auto"/>
              <w:rPr>
                <w:rStyle w:val="9"/>
                <w:rFonts w:hint="eastAsia" w:ascii="宋体" w:hAnsi="宋体" w:eastAsia="宋体" w:cs="宋体"/>
                <w:b/>
                <w:bCs/>
                <w:color w:val="auto"/>
                <w:sz w:val="21"/>
                <w:szCs w:val="21"/>
              </w:rPr>
            </w:pPr>
            <w:r>
              <w:rPr>
                <w:rStyle w:val="9"/>
                <w:rFonts w:hint="eastAsia" w:ascii="宋体" w:hAnsi="宋体" w:eastAsia="宋体" w:cs="宋体"/>
                <w:b/>
                <w:bCs/>
                <w:color w:val="auto"/>
                <w:sz w:val="21"/>
                <w:szCs w:val="21"/>
              </w:rPr>
              <w:t>投标人不得存在下列不良状况或不良信用记录：</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rPr>
              <w:t>（1）被省级及以上交通运输主管部门取消招标项目所在地的投标资格且处于有效期</w:t>
            </w:r>
            <w:r>
              <w:rPr>
                <w:rStyle w:val="9"/>
                <w:rFonts w:hint="eastAsia" w:ascii="宋体" w:hAnsi="宋体" w:eastAsia="宋体" w:cs="宋体"/>
                <w:color w:val="auto"/>
                <w:sz w:val="21"/>
                <w:szCs w:val="21"/>
                <w:highlight w:val="none"/>
              </w:rPr>
              <w:t>内；</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（2）被责令停业，暂扣或吊销执照，或吊销资质证书；</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（3）进入清算程序，或被宣告破产，或其他丧失履约能力的情形；</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（4）在国家企业信用信息公示系统（http：//www.gsxt.gov.cn/）中被列入严重违法失信企业名单</w:t>
            </w:r>
            <w:r>
              <w:rPr>
                <w:rStyle w:val="9"/>
                <w:rFonts w:hint="eastAsia" w:ascii="宋体" w:hAnsi="宋体" w:eastAsia="宋体" w:cs="宋体"/>
                <w:color w:val="auto"/>
                <w:sz w:val="21"/>
                <w:szCs w:val="21"/>
                <w:lang w:val="en-US" w:eastAsia="zh-CN"/>
              </w:rPr>
              <w:t>（附网站查询截图）</w:t>
            </w:r>
            <w:r>
              <w:rPr>
                <w:rStyle w:val="9"/>
                <w:rFonts w:hint="eastAsia" w:ascii="宋体" w:hAnsi="宋体" w:eastAsia="宋体" w:cs="宋体"/>
                <w:color w:val="auto"/>
                <w:sz w:val="21"/>
                <w:szCs w:val="21"/>
              </w:rPr>
              <w:t>；</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（5）在“信用中国”网站（http：//www.creditchina.gov.cn）中被列入失信被执行人名单</w:t>
            </w:r>
            <w:r>
              <w:rPr>
                <w:rFonts w:hint="eastAsia" w:ascii="宋体" w:hAnsi="宋体" w:eastAsia="宋体" w:cs="宋体"/>
                <w:color w:val="auto"/>
                <w:sz w:val="21"/>
                <w:szCs w:val="21"/>
                <w:highlight w:val="none"/>
                <w:lang w:val="en-US" w:eastAsia="zh-CN"/>
              </w:rPr>
              <w:t>（附网站查询截图）</w:t>
            </w:r>
            <w:r>
              <w:rPr>
                <w:rStyle w:val="9"/>
                <w:rFonts w:hint="eastAsia" w:ascii="宋体" w:hAnsi="宋体" w:eastAsia="宋体" w:cs="宋体"/>
                <w:color w:val="auto"/>
                <w:sz w:val="21"/>
                <w:szCs w:val="21"/>
              </w:rPr>
              <w:t>；</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（6）</w:t>
            </w:r>
            <w:r>
              <w:rPr>
                <w:rStyle w:val="9"/>
                <w:rFonts w:hint="eastAsia" w:ascii="宋体" w:hAnsi="宋体" w:eastAsia="宋体" w:cs="宋体"/>
                <w:color w:val="auto"/>
                <w:sz w:val="21"/>
                <w:szCs w:val="21"/>
                <w:highlight w:val="none"/>
              </w:rPr>
              <w:t>投标人或其法定代表人、拟委任的总监理工程师在近三年内</w:t>
            </w:r>
            <w:r>
              <w:rPr>
                <w:rFonts w:hint="eastAsia" w:ascii="宋体" w:hAnsi="宋体" w:cs="宋体"/>
                <w:b w:val="0"/>
                <w:bCs w:val="0"/>
                <w:color w:val="auto"/>
                <w:kern w:val="0"/>
                <w:szCs w:val="21"/>
                <w:highlight w:val="none"/>
                <w:lang w:val="en-US" w:eastAsia="zh-CN"/>
              </w:rPr>
              <w:t>（</w:t>
            </w:r>
            <w:r>
              <w:rPr>
                <w:rStyle w:val="9"/>
                <w:rFonts w:hint="eastAsia" w:ascii="宋体" w:hAnsi="宋体" w:eastAsia="宋体" w:cs="宋体"/>
                <w:color w:val="auto"/>
                <w:sz w:val="21"/>
                <w:szCs w:val="21"/>
                <w:highlight w:val="none"/>
                <w:lang w:val="en-US" w:eastAsia="zh-CN"/>
              </w:rPr>
              <w:t>自2022年3月28日以来）</w:t>
            </w:r>
            <w:r>
              <w:rPr>
                <w:rStyle w:val="9"/>
                <w:rFonts w:hint="eastAsia" w:ascii="宋体" w:hAnsi="宋体" w:eastAsia="宋体" w:cs="宋体"/>
                <w:color w:val="auto"/>
                <w:sz w:val="21"/>
                <w:szCs w:val="21"/>
                <w:highlight w:val="none"/>
              </w:rPr>
              <w:t>有行贿犯罪行为的</w:t>
            </w:r>
            <w:r>
              <w:rPr>
                <w:rFonts w:hint="eastAsia" w:ascii="宋体" w:hAnsi="宋体" w:eastAsia="宋体" w:cs="宋体"/>
                <w:color w:val="auto"/>
                <w:sz w:val="21"/>
                <w:szCs w:val="21"/>
                <w:highlight w:val="none"/>
                <w:lang w:val="en-US" w:eastAsia="zh-CN"/>
              </w:rPr>
              <w:t>（附承诺函原件）</w:t>
            </w:r>
            <w:r>
              <w:rPr>
                <w:rStyle w:val="9"/>
                <w:rFonts w:hint="eastAsia" w:ascii="宋体" w:hAnsi="宋体" w:eastAsia="宋体" w:cs="宋体"/>
                <w:color w:val="auto"/>
                <w:sz w:val="21"/>
                <w:szCs w:val="21"/>
                <w:highlight w:val="none"/>
              </w:rPr>
              <w:t>；</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（7）投标人在投标截止时间前最新的公路建设市场全国综合信用评价结果或宁夏回族自治区公路建设与养护市场从业单位监理企业信用等级评价结果公示中被评为D级</w:t>
            </w:r>
            <w:r>
              <w:rPr>
                <w:rFonts w:hint="eastAsia" w:ascii="宋体" w:hAnsi="宋体" w:eastAsia="宋体" w:cs="宋体"/>
                <w:color w:val="auto"/>
                <w:sz w:val="21"/>
                <w:szCs w:val="21"/>
                <w:highlight w:val="none"/>
                <w:lang w:val="en-US" w:eastAsia="zh-CN"/>
              </w:rPr>
              <w:t>（附网站查询截图）</w:t>
            </w:r>
            <w:r>
              <w:rPr>
                <w:rStyle w:val="9"/>
                <w:rFonts w:hint="eastAsia" w:ascii="宋体" w:hAnsi="宋体" w:eastAsia="宋体" w:cs="宋体"/>
                <w:color w:val="auto"/>
                <w:sz w:val="21"/>
                <w:szCs w:val="21"/>
              </w:rPr>
              <w:t>；</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（8）法律法规或投标人须知前附表规定的其他情形。</w:t>
            </w:r>
            <w:r>
              <w:rPr>
                <w:rStyle w:val="9"/>
                <w:rFonts w:hint="eastAsia" w:ascii="宋体" w:hAnsi="宋体" w:eastAsia="宋体" w:cs="宋体"/>
                <w:color w:val="auto"/>
                <w:sz w:val="21"/>
                <w:szCs w:val="21"/>
                <w:lang w:val="en-US" w:eastAsia="zh-CN"/>
              </w:rPr>
              <w:t xml:space="preserve">  </w:t>
            </w:r>
          </w:p>
          <w:p>
            <w:pPr>
              <w:pStyle w:val="11"/>
              <w:keepNext w:val="0"/>
              <w:keepLines w:val="0"/>
              <w:pageBreakBefore w:val="0"/>
              <w:widowControl w:val="0"/>
              <w:numPr>
                <w:ilvl w:val="0"/>
                <w:numId w:val="0"/>
              </w:numPr>
              <w:kinsoku/>
              <w:overflowPunct/>
              <w:topLinePunct w:val="0"/>
              <w:autoSpaceDE/>
              <w:autoSpaceDN/>
              <w:bidi w:val="0"/>
              <w:adjustRightInd/>
              <w:snapToGrid w:val="0"/>
              <w:spacing w:line="360" w:lineRule="auto"/>
              <w:ind w:left="0" w:firstLine="421"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注：</w:t>
            </w:r>
          </w:p>
          <w:p>
            <w:pPr>
              <w:pStyle w:val="11"/>
              <w:keepNext w:val="0"/>
              <w:keepLines w:val="0"/>
              <w:pageBreakBefore w:val="0"/>
              <w:widowControl w:val="0"/>
              <w:numPr>
                <w:ilvl w:val="0"/>
                <w:numId w:val="0"/>
              </w:numPr>
              <w:kinsoku/>
              <w:overflowPunct/>
              <w:topLinePunct w:val="0"/>
              <w:autoSpaceDE/>
              <w:autoSpaceDN/>
              <w:bidi w:val="0"/>
              <w:adjustRightInd/>
              <w:snapToGrid w:val="0"/>
              <w:spacing w:line="360" w:lineRule="auto"/>
              <w:ind w:left="0" w:firstLine="421"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1.投标人提供“投标人信誉情况表”时，按照以上内容及投标文件格式中的要求提供证明资料；</w:t>
            </w:r>
          </w:p>
          <w:p>
            <w:pPr>
              <w:pStyle w:val="4"/>
              <w:keepNext w:val="0"/>
              <w:keepLines w:val="0"/>
              <w:pageBreakBefore w:val="0"/>
              <w:widowControl w:val="0"/>
              <w:kinsoku/>
              <w:overflowPunct/>
              <w:topLinePunct w:val="0"/>
              <w:autoSpaceDE/>
              <w:autoSpaceDN/>
              <w:bidi w:val="0"/>
              <w:adjustRightInd/>
              <w:spacing w:line="360" w:lineRule="auto"/>
              <w:ind w:left="0" w:firstLine="421" w:firstLineChars="200"/>
              <w:textAlignment w:val="auto"/>
              <w:rPr>
                <w:rStyle w:val="9"/>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2.招标文件中其他地方与此处不一致时，以此处为准。</w:t>
            </w:r>
            <w:r>
              <w:rPr>
                <w:rStyle w:val="9"/>
                <w:rFonts w:hint="eastAsia" w:ascii="宋体" w:hAnsi="宋体" w:eastAsia="宋体" w:cs="宋体"/>
                <w:color w:val="auto"/>
                <w:sz w:val="21"/>
                <w:szCs w:val="21"/>
                <w:lang w:val="en-US" w:eastAsia="zh-CN"/>
              </w:rPr>
              <w:t xml:space="preserve"> </w:t>
            </w:r>
          </w:p>
        </w:tc>
      </w:tr>
    </w:tbl>
    <w:p>
      <w:pPr>
        <w:pStyle w:val="13"/>
        <w:bidi w:val="0"/>
        <w:jc w:val="center"/>
        <w:rPr>
          <w:rFonts w:hint="eastAsia" w:ascii="黑体" w:hAnsi="黑体" w:eastAsia="黑体"/>
          <w:b/>
          <w:color w:val="auto"/>
          <w:sz w:val="28"/>
        </w:rPr>
      </w:pPr>
      <w:r>
        <w:rPr>
          <w:rFonts w:hint="eastAsia" w:ascii="黑体" w:hAnsi="黑体" w:eastAsia="黑体"/>
          <w:b/>
          <w:color w:val="auto"/>
          <w:sz w:val="28"/>
        </w:rPr>
        <w:br w:type="page"/>
      </w:r>
    </w:p>
    <w:p>
      <w:pPr>
        <w:pStyle w:val="13"/>
        <w:bidi w:val="0"/>
        <w:jc w:val="center"/>
        <w:rPr>
          <w:rFonts w:hint="eastAsia" w:ascii="黑体" w:hAnsi="黑体" w:eastAsia="黑体"/>
          <w:b/>
          <w:color w:val="auto"/>
          <w:sz w:val="28"/>
        </w:rPr>
      </w:pPr>
      <w:r>
        <w:rPr>
          <w:rFonts w:hint="eastAsia" w:ascii="黑体" w:hAnsi="黑体" w:eastAsia="黑体"/>
          <w:b/>
          <w:color w:val="auto"/>
          <w:sz w:val="28"/>
          <w:highlight w:val="none"/>
          <w:lang w:val="en-US" w:eastAsia="zh-CN"/>
        </w:rPr>
        <w:t>第1标段、第2标段施工监理</w:t>
      </w:r>
    </w:p>
    <w:p>
      <w:pPr>
        <w:pStyle w:val="13"/>
        <w:bidi w:val="0"/>
        <w:jc w:val="center"/>
        <w:rPr>
          <w:rFonts w:hint="default" w:ascii="黑体" w:hAnsi="黑体" w:eastAsia="黑体"/>
          <w:b/>
          <w:color w:val="auto"/>
          <w:sz w:val="28"/>
          <w:highlight w:val="none"/>
          <w:lang w:val="en-US" w:eastAsia="zh-CN"/>
        </w:rPr>
      </w:pPr>
      <w:r>
        <w:rPr>
          <w:rFonts w:hint="eastAsia" w:ascii="黑体" w:hAnsi="黑体" w:eastAsia="黑体"/>
          <w:b/>
          <w:color w:val="auto"/>
          <w:sz w:val="28"/>
          <w:highlight w:val="none"/>
        </w:rPr>
        <w:t>附录</w:t>
      </w:r>
      <w:r>
        <w:rPr>
          <w:rFonts w:hint="eastAsia" w:ascii="黑体" w:hAnsi="黑体" w:eastAsia="黑体"/>
          <w:b/>
          <w:color w:val="auto"/>
          <w:spacing w:val="-70"/>
          <w:sz w:val="28"/>
          <w:highlight w:val="none"/>
        </w:rPr>
        <w:t xml:space="preserve"> </w:t>
      </w:r>
      <w:r>
        <w:rPr>
          <w:rFonts w:ascii="Times New Roman" w:hAnsi="Times New Roman" w:eastAsia="Times New Roman"/>
          <w:b/>
          <w:color w:val="auto"/>
          <w:sz w:val="28"/>
          <w:highlight w:val="none"/>
        </w:rPr>
        <w:t>4</w:t>
      </w:r>
      <w:r>
        <w:rPr>
          <w:rFonts w:hint="eastAsia" w:ascii="Times New Roman" w:hAnsi="Times New Roman" w:eastAsia="宋体"/>
          <w:b/>
          <w:color w:val="auto"/>
          <w:sz w:val="28"/>
          <w:highlight w:val="none"/>
          <w:lang w:val="en-US" w:eastAsia="zh-CN"/>
        </w:rPr>
        <w:t xml:space="preserve">  </w:t>
      </w:r>
      <w:r>
        <w:rPr>
          <w:rFonts w:hint="eastAsia" w:ascii="黑体" w:hAnsi="黑体" w:eastAsia="黑体"/>
          <w:b/>
          <w:color w:val="auto"/>
          <w:sz w:val="28"/>
          <w:highlight w:val="none"/>
        </w:rPr>
        <w:t>资格审查条件（总监理工程师最低要求）</w:t>
      </w:r>
      <w:bookmarkEnd w:id="6"/>
    </w:p>
    <w:tbl>
      <w:tblPr>
        <w:tblStyle w:val="8"/>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900"/>
        <w:gridCol w:w="7243"/>
        <w:gridCol w:w="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825" w:type="dxa"/>
            <w:noWrap w:val="0"/>
            <w:vAlign w:val="center"/>
          </w:tcPr>
          <w:p>
            <w:pPr>
              <w:pStyle w:val="14"/>
              <w:tabs>
                <w:tab w:val="left" w:pos="432"/>
              </w:tabs>
              <w:spacing w:before="171" w:line="240" w:lineRule="auto"/>
              <w:jc w:val="center"/>
              <w:rPr>
                <w:b/>
                <w:bCs/>
                <w:color w:val="auto"/>
                <w:sz w:val="24"/>
                <w:szCs w:val="28"/>
              </w:rPr>
            </w:pPr>
            <w:r>
              <w:rPr>
                <w:b/>
                <w:bCs/>
                <w:color w:val="auto"/>
                <w:sz w:val="24"/>
                <w:szCs w:val="28"/>
              </w:rPr>
              <w:t>人员</w:t>
            </w:r>
          </w:p>
        </w:tc>
        <w:tc>
          <w:tcPr>
            <w:tcW w:w="900" w:type="dxa"/>
            <w:noWrap w:val="0"/>
            <w:vAlign w:val="center"/>
          </w:tcPr>
          <w:p>
            <w:pPr>
              <w:pStyle w:val="14"/>
              <w:tabs>
                <w:tab w:val="left" w:pos="883"/>
              </w:tabs>
              <w:spacing w:before="171" w:line="240" w:lineRule="auto"/>
              <w:jc w:val="center"/>
              <w:rPr>
                <w:b/>
                <w:bCs/>
                <w:color w:val="auto"/>
                <w:sz w:val="24"/>
                <w:szCs w:val="28"/>
              </w:rPr>
            </w:pPr>
            <w:r>
              <w:rPr>
                <w:b/>
                <w:bCs/>
                <w:color w:val="auto"/>
                <w:sz w:val="24"/>
                <w:szCs w:val="28"/>
              </w:rPr>
              <w:t>数量</w:t>
            </w:r>
          </w:p>
        </w:tc>
        <w:tc>
          <w:tcPr>
            <w:tcW w:w="7243" w:type="dxa"/>
            <w:noWrap w:val="0"/>
            <w:vAlign w:val="center"/>
          </w:tcPr>
          <w:p>
            <w:pPr>
              <w:pStyle w:val="14"/>
              <w:spacing w:before="156" w:line="240" w:lineRule="auto"/>
              <w:jc w:val="center"/>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资格要求</w:t>
            </w:r>
          </w:p>
        </w:tc>
        <w:tc>
          <w:tcPr>
            <w:tcW w:w="812" w:type="dxa"/>
            <w:noWrap w:val="0"/>
            <w:vAlign w:val="center"/>
          </w:tcPr>
          <w:p>
            <w:pPr>
              <w:pStyle w:val="14"/>
              <w:spacing w:before="156" w:line="240" w:lineRule="auto"/>
              <w:jc w:val="center"/>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在岗</w:t>
            </w:r>
          </w:p>
          <w:p>
            <w:pPr>
              <w:pStyle w:val="14"/>
              <w:spacing w:before="156" w:line="240" w:lineRule="auto"/>
              <w:jc w:val="center"/>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5"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总监理</w:t>
            </w:r>
          </w:p>
          <w:p>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工程师</w:t>
            </w:r>
          </w:p>
        </w:tc>
        <w:tc>
          <w:tcPr>
            <w:tcW w:w="90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bookmarkStart w:id="7" w:name="EBdb4a4b41be694f039983b5ebd8e72742"/>
            <w:bookmarkEnd w:id="7"/>
            <w:r>
              <w:rPr>
                <w:rFonts w:hint="eastAsia" w:ascii="宋体" w:hAnsi="宋体" w:eastAsia="宋体" w:cs="宋体"/>
                <w:b w:val="0"/>
                <w:bCs w:val="0"/>
                <w:color w:val="auto"/>
                <w:sz w:val="21"/>
                <w:szCs w:val="21"/>
                <w:highlight w:val="none"/>
              </w:rPr>
              <w:t>1</w:t>
            </w:r>
          </w:p>
        </w:tc>
        <w:tc>
          <w:tcPr>
            <w:tcW w:w="7243" w:type="dxa"/>
            <w:noWrap w:val="0"/>
            <w:vAlign w:val="center"/>
          </w:tcPr>
          <w:p>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bookmarkStart w:id="8" w:name="EBdf3a2aeb359c4da19a34cbf9de9441c8"/>
            <w:bookmarkEnd w:id="8"/>
            <w:r>
              <w:rPr>
                <w:rFonts w:hint="eastAsia" w:ascii="宋体" w:hAnsi="宋体" w:eastAsia="宋体" w:cs="宋体"/>
                <w:b w:val="0"/>
                <w:bCs w:val="0"/>
                <w:color w:val="auto"/>
                <w:kern w:val="0"/>
                <w:szCs w:val="21"/>
                <w:highlight w:val="none"/>
                <w:lang w:val="en-US" w:eastAsia="zh-CN"/>
              </w:rPr>
              <w:t>具有公路工程相关专业中级及以上技术职称，具有交通运输部颁发的公路工程监理工程师证书或人社部颁发的交通运输工程监理工程师证书；</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Cs w:val="21"/>
                <w:highlight w:val="none"/>
              </w:rPr>
              <w:t>近5年（</w:t>
            </w:r>
            <w:r>
              <w:rPr>
                <w:rFonts w:hint="eastAsia" w:ascii="宋体" w:hAnsi="宋体" w:eastAsia="宋体" w:cs="宋体"/>
                <w:b w:val="0"/>
                <w:bCs w:val="0"/>
                <w:color w:val="auto"/>
                <w:kern w:val="0"/>
                <w:szCs w:val="21"/>
                <w:highlight w:val="none"/>
                <w:lang w:val="en-US" w:eastAsia="zh-CN"/>
              </w:rPr>
              <w:t>自2020年3月28日至</w:t>
            </w:r>
            <w:r>
              <w:rPr>
                <w:rFonts w:hint="eastAsia" w:ascii="宋体" w:hAnsi="宋体" w:eastAsia="宋体" w:cs="宋体"/>
                <w:b w:val="0"/>
                <w:bCs w:val="0"/>
                <w:color w:val="auto"/>
                <w:kern w:val="0"/>
                <w:szCs w:val="21"/>
                <w:highlight w:val="none"/>
              </w:rPr>
              <w:t>投标文件递交截止之日止</w:t>
            </w:r>
            <w:r>
              <w:rPr>
                <w:rFonts w:hint="eastAsia" w:ascii="宋体" w:hAnsi="宋体" w:eastAsia="宋体" w:cs="宋体"/>
                <w:b w:val="0"/>
                <w:bCs w:val="0"/>
                <w:color w:val="auto"/>
                <w:kern w:val="0"/>
                <w:szCs w:val="21"/>
                <w:highlight w:val="none"/>
                <w:lang w:val="en-US" w:eastAsia="zh-CN"/>
              </w:rPr>
              <w:t>，以交工日期为准</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至少担任过</w:t>
            </w:r>
            <w:r>
              <w:rPr>
                <w:rFonts w:hint="eastAsia" w:ascii="宋体" w:hAnsi="宋体" w:eastAsia="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rPr>
              <w:t>个</w:t>
            </w:r>
            <w:r>
              <w:rPr>
                <w:rFonts w:hint="eastAsia" w:ascii="宋体" w:hAnsi="宋体" w:eastAsia="宋体" w:cs="宋体"/>
                <w:b w:val="0"/>
                <w:bCs w:val="0"/>
                <w:color w:val="auto"/>
                <w:kern w:val="0"/>
                <w:szCs w:val="21"/>
                <w:highlight w:val="none"/>
                <w:lang w:val="en-US" w:eastAsia="zh-CN"/>
              </w:rPr>
              <w:t>一级及以上等级公路工程（新建或改扩建或养护</w:t>
            </w:r>
            <w:r>
              <w:rPr>
                <w:rFonts w:hint="eastAsia" w:ascii="宋体" w:hAnsi="宋体" w:eastAsia="宋体" w:cs="宋体"/>
                <w:b w:val="0"/>
                <w:bCs w:val="0"/>
                <w:color w:val="auto"/>
                <w:kern w:val="0"/>
                <w:szCs w:val="21"/>
                <w:highlight w:val="none"/>
              </w:rPr>
              <w:t>工程</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施工</w:t>
            </w:r>
            <w:r>
              <w:rPr>
                <w:rFonts w:hint="eastAsia" w:ascii="宋体" w:hAnsi="宋体" w:eastAsia="宋体" w:cs="宋体"/>
                <w:b w:val="0"/>
                <w:bCs w:val="0"/>
                <w:color w:val="auto"/>
                <w:kern w:val="0"/>
                <w:szCs w:val="21"/>
                <w:highlight w:val="none"/>
                <w:lang w:val="en-US" w:eastAsia="zh-CN"/>
              </w:rPr>
              <w:t>监理的总</w:t>
            </w:r>
            <w:r>
              <w:rPr>
                <w:rFonts w:hint="eastAsia" w:ascii="宋体" w:hAnsi="宋体" w:eastAsia="宋体" w:cs="宋体"/>
                <w:b w:val="0"/>
                <w:bCs w:val="0"/>
                <w:color w:val="auto"/>
                <w:kern w:val="0"/>
                <w:szCs w:val="21"/>
                <w:highlight w:val="none"/>
              </w:rPr>
              <w:t>监理工程师职务</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lang w:val="en-US" w:eastAsia="zh-CN"/>
              </w:rPr>
              <w:t>或</w:t>
            </w:r>
            <w:r>
              <w:rPr>
                <w:rFonts w:hint="eastAsia" w:ascii="宋体" w:hAnsi="宋体" w:eastAsia="宋体" w:cs="宋体"/>
                <w:b w:val="0"/>
                <w:bCs w:val="0"/>
                <w:color w:val="auto"/>
                <w:kern w:val="0"/>
                <w:szCs w:val="21"/>
                <w:highlight w:val="none"/>
              </w:rPr>
              <w:t>至少担任过</w:t>
            </w:r>
            <w:r>
              <w:rPr>
                <w:rFonts w:hint="eastAsia" w:ascii="宋体" w:hAnsi="宋体" w:eastAsia="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rPr>
              <w:t>个</w:t>
            </w:r>
            <w:r>
              <w:rPr>
                <w:rFonts w:hint="eastAsia" w:ascii="宋体" w:hAnsi="宋体" w:eastAsia="宋体" w:cs="宋体"/>
                <w:b w:val="0"/>
                <w:bCs w:val="0"/>
                <w:color w:val="auto"/>
                <w:kern w:val="0"/>
                <w:szCs w:val="21"/>
                <w:highlight w:val="none"/>
                <w:lang w:val="en-US" w:eastAsia="zh-CN"/>
              </w:rPr>
              <w:t>一级及以上等级公路工程（新建或改扩建或养护）</w:t>
            </w:r>
            <w:r>
              <w:rPr>
                <w:rFonts w:hint="eastAsia" w:ascii="宋体" w:hAnsi="宋体" w:eastAsia="宋体" w:cs="宋体"/>
                <w:b w:val="0"/>
                <w:bCs w:val="0"/>
                <w:color w:val="auto"/>
                <w:kern w:val="0"/>
                <w:szCs w:val="21"/>
                <w:highlight w:val="none"/>
              </w:rPr>
              <w:t>施工</w:t>
            </w:r>
            <w:r>
              <w:rPr>
                <w:rFonts w:hint="eastAsia" w:ascii="宋体" w:hAnsi="宋体" w:eastAsia="宋体" w:cs="宋体"/>
                <w:b w:val="0"/>
                <w:bCs w:val="0"/>
                <w:color w:val="auto"/>
                <w:kern w:val="0"/>
                <w:szCs w:val="21"/>
                <w:highlight w:val="none"/>
                <w:lang w:val="en-US" w:eastAsia="zh-CN"/>
              </w:rPr>
              <w:t>监理的副总</w:t>
            </w:r>
            <w:r>
              <w:rPr>
                <w:rFonts w:hint="eastAsia" w:ascii="宋体" w:hAnsi="宋体" w:eastAsia="宋体" w:cs="宋体"/>
                <w:b w:val="0"/>
                <w:bCs w:val="0"/>
                <w:color w:val="auto"/>
                <w:kern w:val="0"/>
                <w:szCs w:val="21"/>
                <w:highlight w:val="none"/>
              </w:rPr>
              <w:t>监理工程师（或驻地监理工程师）职务</w:t>
            </w:r>
            <w:r>
              <w:rPr>
                <w:rFonts w:hint="eastAsia" w:ascii="宋体" w:hAnsi="宋体" w:eastAsia="宋体" w:cs="宋体"/>
                <w:b w:val="0"/>
                <w:bCs w:val="0"/>
                <w:color w:val="auto"/>
                <w:kern w:val="0"/>
                <w:szCs w:val="21"/>
                <w:highlight w:val="none"/>
                <w:lang w:val="en-US" w:eastAsia="zh-CN"/>
              </w:rPr>
              <w:t>业绩。</w:t>
            </w:r>
          </w:p>
          <w:p>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1" w:firstLineChars="200"/>
              <w:jc w:val="both"/>
              <w:textAlignment w:val="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1"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Cs w:val="20"/>
                <w:lang w:val="en-US" w:eastAsia="zh-CN"/>
              </w:rPr>
              <w:t>补充投标人须知正文第3.5.4项为：</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bidi="ar"/>
              </w:rPr>
              <w:t>应按</w:t>
            </w:r>
            <w:r>
              <w:rPr>
                <w:rFonts w:hint="eastAsia" w:ascii="宋体" w:hAnsi="宋体" w:cs="宋体"/>
                <w:color w:val="auto"/>
                <w:kern w:val="0"/>
                <w:szCs w:val="21"/>
                <w:highlight w:val="none"/>
                <w:lang w:eastAsia="zh-CN" w:bidi="ar"/>
              </w:rPr>
              <w:t>投标文件格式</w:t>
            </w:r>
            <w:r>
              <w:rPr>
                <w:rFonts w:hint="eastAsia" w:ascii="宋体" w:hAnsi="宋体" w:cs="宋体"/>
                <w:color w:val="auto"/>
                <w:kern w:val="0"/>
                <w:szCs w:val="21"/>
                <w:highlight w:val="none"/>
                <w:lang w:bidi="ar"/>
              </w:rPr>
              <w:t>资格审查资料（五）拟委任的总监理工程师资历表的格式要求填写总监理工程师的资历</w:t>
            </w:r>
            <w:r>
              <w:rPr>
                <w:rFonts w:hint="eastAsia" w:ascii="宋体" w:hAnsi="宋体" w:cs="宋体"/>
                <w:color w:val="auto"/>
                <w:kern w:val="0"/>
                <w:szCs w:val="21"/>
                <w:highlight w:val="none"/>
                <w:lang w:eastAsia="zh-CN" w:bidi="ar"/>
              </w:rPr>
              <w:t>。</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“拟委任的总监理工程师资历表”</w:t>
            </w:r>
            <w:r>
              <w:rPr>
                <w:rFonts w:hint="eastAsia" w:ascii="宋体" w:hAnsi="宋体" w:cs="宋体"/>
                <w:color w:val="auto"/>
                <w:kern w:val="0"/>
                <w:szCs w:val="21"/>
                <w:highlight w:val="none"/>
                <w:lang w:eastAsia="zh-CN" w:bidi="ar"/>
              </w:rPr>
              <w:t>后</w:t>
            </w:r>
            <w:r>
              <w:rPr>
                <w:rFonts w:hint="eastAsia" w:ascii="宋体" w:hAnsi="宋体" w:cs="宋体"/>
                <w:color w:val="auto"/>
                <w:kern w:val="0"/>
                <w:szCs w:val="21"/>
                <w:highlight w:val="none"/>
                <w:lang w:bidi="ar"/>
              </w:rPr>
              <w:t>应附总监理工程师的身份证、职称资格证书以及监理工程师证</w:t>
            </w:r>
            <w:r>
              <w:rPr>
                <w:rFonts w:hint="eastAsia" w:ascii="宋体" w:hAnsi="宋体" w:cs="宋体"/>
                <w:color w:val="auto"/>
                <w:kern w:val="0"/>
                <w:szCs w:val="21"/>
                <w:highlight w:val="none"/>
                <w:lang w:val="en-US" w:eastAsia="zh-CN" w:bidi="ar"/>
              </w:rPr>
              <w:t>书扫描件</w:t>
            </w:r>
            <w:r>
              <w:rPr>
                <w:rFonts w:hint="eastAsia" w:ascii="宋体" w:hAnsi="宋体" w:cs="宋体"/>
                <w:color w:val="auto"/>
                <w:kern w:val="0"/>
                <w:szCs w:val="21"/>
                <w:highlight w:val="none"/>
                <w:lang w:bidi="ar"/>
              </w:rPr>
              <w:t>，</w:t>
            </w:r>
            <w:r>
              <w:rPr>
                <w:rFonts w:hint="eastAsia" w:ascii="宋体" w:hAnsi="宋体" w:eastAsia="宋体" w:cs="宋体"/>
                <w:color w:val="auto"/>
                <w:highlight w:val="none"/>
              </w:rPr>
              <w:t>以及在社保系统打印的拟委任的总监理工程师</w:t>
            </w:r>
            <w:r>
              <w:rPr>
                <w:rFonts w:hint="eastAsia" w:ascii="宋体" w:hAnsi="宋体" w:eastAsia="宋体" w:cs="宋体"/>
                <w:color w:val="auto"/>
                <w:highlight w:val="none"/>
                <w:lang w:val="en-US" w:eastAsia="zh-CN"/>
              </w:rPr>
              <w:t>自</w:t>
            </w:r>
            <w:r>
              <w:rPr>
                <w:rFonts w:hint="eastAsia" w:ascii="宋体" w:hAnsi="宋体" w:eastAsia="宋体" w:cs="宋体"/>
                <w:b/>
                <w:bCs/>
                <w:color w:val="auto"/>
                <w:kern w:val="0"/>
                <w:szCs w:val="21"/>
                <w:highlight w:val="none"/>
                <w:lang w:eastAsia="zh-CN" w:bidi="ar"/>
              </w:rPr>
              <w:t>20</w:t>
            </w:r>
            <w:r>
              <w:rPr>
                <w:rFonts w:hint="eastAsia" w:ascii="宋体" w:hAnsi="宋体" w:eastAsia="宋体" w:cs="宋体"/>
                <w:b/>
                <w:bCs/>
                <w:color w:val="auto"/>
                <w:kern w:val="0"/>
                <w:szCs w:val="21"/>
                <w:highlight w:val="none"/>
                <w:lang w:val="en-US" w:eastAsia="zh-CN" w:bidi="ar"/>
              </w:rPr>
              <w:t>24</w:t>
            </w:r>
            <w:r>
              <w:rPr>
                <w:rFonts w:hint="eastAsia" w:ascii="宋体" w:hAnsi="宋体" w:eastAsia="宋体" w:cs="宋体"/>
                <w:b/>
                <w:bCs/>
                <w:color w:val="auto"/>
                <w:kern w:val="0"/>
                <w:szCs w:val="21"/>
                <w:highlight w:val="none"/>
                <w:lang w:eastAsia="zh-CN" w:bidi="ar"/>
              </w:rPr>
              <w:t>年</w:t>
            </w:r>
            <w:r>
              <w:rPr>
                <w:rFonts w:hint="eastAsia" w:ascii="宋体" w:hAnsi="宋体" w:eastAsia="宋体" w:cs="宋体"/>
                <w:b/>
                <w:bCs/>
                <w:color w:val="auto"/>
                <w:kern w:val="0"/>
                <w:szCs w:val="21"/>
                <w:highlight w:val="none"/>
                <w:lang w:val="en-US" w:eastAsia="zh-CN" w:bidi="ar"/>
              </w:rPr>
              <w:t>10</w:t>
            </w:r>
            <w:r>
              <w:rPr>
                <w:rFonts w:hint="eastAsia" w:ascii="宋体" w:hAnsi="宋体" w:eastAsia="宋体" w:cs="宋体"/>
                <w:b/>
                <w:bCs/>
                <w:color w:val="auto"/>
                <w:kern w:val="0"/>
                <w:szCs w:val="21"/>
                <w:highlight w:val="none"/>
                <w:lang w:eastAsia="zh-CN" w:bidi="ar"/>
              </w:rPr>
              <w:t>月</w:t>
            </w:r>
            <w:r>
              <w:rPr>
                <w:rFonts w:hint="eastAsia" w:ascii="宋体" w:hAnsi="宋体" w:eastAsia="宋体" w:cs="宋体"/>
                <w:color w:val="auto"/>
                <w:kern w:val="0"/>
                <w:szCs w:val="21"/>
                <w:highlight w:val="none"/>
                <w:lang w:eastAsia="zh-CN" w:bidi="ar"/>
              </w:rPr>
              <w:t>以来连</w:t>
            </w:r>
            <w:r>
              <w:rPr>
                <w:rFonts w:hint="eastAsia" w:ascii="宋体" w:hAnsi="宋体" w:eastAsia="宋体" w:cs="宋体"/>
                <w:color w:val="auto"/>
                <w:kern w:val="0"/>
                <w:szCs w:val="21"/>
                <w:highlight w:val="none"/>
                <w:lang w:bidi="ar"/>
              </w:rPr>
              <w:t>续某3个月缴费明细扫描件。</w:t>
            </w:r>
            <w:r>
              <w:rPr>
                <w:rFonts w:hint="eastAsia" w:ascii="宋体" w:hAnsi="宋体" w:cs="宋体"/>
                <w:color w:val="auto"/>
                <w:kern w:val="0"/>
                <w:szCs w:val="21"/>
                <w:highlight w:val="none"/>
                <w:lang w:bidi="ar"/>
              </w:rPr>
              <w:t>否则资格审查不予通过。</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“拟委任的总监理工程师资历</w:t>
            </w:r>
            <w:r>
              <w:rPr>
                <w:rFonts w:hint="eastAsia" w:ascii="宋体" w:hAnsi="宋体" w:cs="宋体"/>
                <w:b w:val="0"/>
                <w:bCs w:val="0"/>
                <w:color w:val="auto"/>
                <w:kern w:val="0"/>
                <w:szCs w:val="21"/>
                <w:highlight w:val="none"/>
                <w:lang w:bidi="ar"/>
              </w:rPr>
              <w:t>表”还应附“</w:t>
            </w:r>
            <w:r>
              <w:rPr>
                <w:rFonts w:hint="eastAsia" w:ascii="宋体" w:hAnsi="宋体" w:cs="宋体"/>
                <w:b w:val="0"/>
                <w:bCs w:val="0"/>
                <w:color w:val="auto"/>
                <w:kern w:val="0"/>
                <w:szCs w:val="21"/>
                <w:highlight w:val="none"/>
                <w:lang w:eastAsia="zh-CN" w:bidi="ar"/>
              </w:rPr>
              <w:t>全国公路建设市场监督管理系统</w:t>
            </w:r>
            <w:r>
              <w:rPr>
                <w:rFonts w:hint="eastAsia" w:ascii="宋体" w:hAnsi="宋体" w:cs="宋体"/>
                <w:b w:val="0"/>
                <w:bCs w:val="0"/>
                <w:color w:val="auto"/>
                <w:kern w:val="0"/>
                <w:szCs w:val="21"/>
                <w:highlight w:val="none"/>
                <w:lang w:bidi="ar"/>
              </w:rPr>
              <w:t>”中载明的、能够证明总监理工程师具有相关业绩的网页截图。在“</w:t>
            </w:r>
            <w:r>
              <w:rPr>
                <w:rFonts w:hint="eastAsia" w:ascii="宋体" w:hAnsi="宋体" w:cs="宋体"/>
                <w:b w:val="0"/>
                <w:bCs w:val="0"/>
                <w:color w:val="auto"/>
                <w:kern w:val="0"/>
                <w:szCs w:val="21"/>
                <w:highlight w:val="none"/>
                <w:lang w:eastAsia="zh-CN" w:bidi="ar"/>
              </w:rPr>
              <w:t>全国公路建设市场监督管理系统</w:t>
            </w:r>
            <w:r>
              <w:rPr>
                <w:rFonts w:hint="eastAsia" w:ascii="宋体" w:hAnsi="宋体" w:cs="宋体"/>
                <w:b w:val="0"/>
                <w:bCs w:val="0"/>
                <w:color w:val="auto"/>
                <w:kern w:val="0"/>
                <w:szCs w:val="21"/>
                <w:highlight w:val="none"/>
                <w:lang w:bidi="ar"/>
              </w:rPr>
              <w:t>”中无法查询，但可在</w:t>
            </w:r>
            <w:r>
              <w:rPr>
                <w:rFonts w:hint="eastAsia" w:ascii="宋体" w:hAnsi="宋体" w:cs="宋体"/>
                <w:b w:val="0"/>
                <w:bCs w:val="0"/>
                <w:color w:val="auto"/>
                <w:kern w:val="0"/>
                <w:szCs w:val="21"/>
                <w:highlight w:val="none"/>
                <w:lang w:val="en-US" w:eastAsia="zh-CN" w:bidi="ar"/>
              </w:rPr>
              <w:t>工程</w:t>
            </w:r>
            <w:r>
              <w:rPr>
                <w:rFonts w:hint="eastAsia" w:ascii="宋体" w:hAnsi="宋体" w:cs="宋体"/>
                <w:b w:val="0"/>
                <w:bCs w:val="0"/>
                <w:color w:val="auto"/>
                <w:kern w:val="0"/>
                <w:szCs w:val="21"/>
                <w:highlight w:val="none"/>
                <w:lang w:bidi="ar"/>
              </w:rPr>
              <w:t>所在地</w:t>
            </w:r>
            <w:r>
              <w:rPr>
                <w:rFonts w:hint="eastAsia" w:ascii="宋体" w:hAnsi="宋体" w:cs="宋体"/>
                <w:b w:val="0"/>
                <w:bCs w:val="0"/>
                <w:color w:val="auto"/>
                <w:kern w:val="0"/>
                <w:szCs w:val="21"/>
                <w:highlight w:val="none"/>
                <w:lang w:val="en-US" w:eastAsia="zh-CN" w:bidi="ar"/>
              </w:rPr>
              <w:t>省级公路建设与养护市场信用信息管理系</w:t>
            </w:r>
            <w:r>
              <w:rPr>
                <w:rFonts w:hint="eastAsia" w:ascii="宋体" w:hAnsi="宋体" w:cs="宋体"/>
                <w:b w:val="0"/>
                <w:bCs w:val="0"/>
                <w:color w:val="auto"/>
                <w:kern w:val="0"/>
                <w:szCs w:val="21"/>
                <w:highlight w:val="none"/>
                <w:lang w:bidi="ar"/>
              </w:rPr>
              <w:t>统中查询的，应附</w:t>
            </w:r>
            <w:r>
              <w:rPr>
                <w:rFonts w:hint="eastAsia" w:ascii="宋体" w:hAnsi="宋体"/>
                <w:b w:val="0"/>
                <w:bCs w:val="0"/>
                <w:color w:val="auto"/>
                <w:szCs w:val="21"/>
                <w:highlight w:val="none"/>
                <w:lang w:val="en-US" w:eastAsia="zh-CN"/>
              </w:rPr>
              <w:t>工程</w:t>
            </w:r>
            <w:r>
              <w:rPr>
                <w:rFonts w:hint="eastAsia" w:ascii="宋体" w:hAnsi="宋体"/>
                <w:b w:val="0"/>
                <w:bCs w:val="0"/>
                <w:color w:val="auto"/>
                <w:szCs w:val="21"/>
                <w:highlight w:val="none"/>
              </w:rPr>
              <w:t>所在地</w:t>
            </w:r>
            <w:r>
              <w:rPr>
                <w:rFonts w:hint="eastAsia" w:ascii="宋体" w:hAnsi="宋体"/>
                <w:b w:val="0"/>
                <w:bCs w:val="0"/>
                <w:color w:val="auto"/>
                <w:szCs w:val="21"/>
                <w:highlight w:val="none"/>
                <w:lang w:val="en-US" w:eastAsia="zh-CN"/>
              </w:rPr>
              <w:t>省级公路建设与养护市场信用信息管理系</w:t>
            </w:r>
            <w:r>
              <w:rPr>
                <w:rFonts w:hint="eastAsia" w:ascii="宋体" w:hAnsi="宋体"/>
                <w:b w:val="0"/>
                <w:bCs w:val="0"/>
                <w:color w:val="auto"/>
                <w:szCs w:val="21"/>
                <w:highlight w:val="none"/>
              </w:rPr>
              <w:t>统</w:t>
            </w:r>
            <w:r>
              <w:rPr>
                <w:rFonts w:hint="eastAsia" w:ascii="宋体" w:hAnsi="宋体" w:cs="宋体"/>
                <w:b w:val="0"/>
                <w:bCs w:val="0"/>
                <w:color w:val="auto"/>
                <w:kern w:val="0"/>
                <w:szCs w:val="21"/>
                <w:highlight w:val="none"/>
                <w:lang w:bidi="ar"/>
              </w:rPr>
              <w:t>中</w:t>
            </w:r>
            <w:r>
              <w:rPr>
                <w:rFonts w:hint="eastAsia" w:ascii="宋体" w:hAnsi="宋体" w:cs="宋体"/>
                <w:color w:val="auto"/>
                <w:kern w:val="0"/>
                <w:szCs w:val="21"/>
                <w:highlight w:val="none"/>
                <w:lang w:bidi="ar"/>
              </w:rPr>
              <w:t>查询到的网页截图。除网页截图外，投标人无须再提供任何业绩证明资料。如投标人未提供相关业绩网页截图或相关业绩网页截图中的信息无法证实投标人满足招标文件规定的资格审查条件（总监理工程师最低要求），则该项目业绩不予认定。</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highlight w:val="none"/>
              </w:rPr>
            </w:pPr>
            <w:r>
              <w:rPr>
                <w:rFonts w:hint="eastAsia" w:ascii="宋体" w:hAnsi="宋体" w:eastAsia="宋体" w:cs="宋体"/>
                <w:color w:val="auto"/>
                <w:kern w:val="0"/>
                <w:szCs w:val="21"/>
                <w:highlight w:val="none"/>
                <w:lang w:val="en-US" w:eastAsia="zh-CN" w:bidi="ar"/>
              </w:rPr>
              <w:t>如总监理工程师目前仍在其他项目上中标或任职，则投标人应提供在岗撤离承诺书，如未提供在岗撤离承诺书，其资格审查不通过或取消中标资格。</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公路工程相关专业职称包括：公路工程、桥梁工程、公路与桥梁工程、交通土建工程、隧道（地下结构）工程、交通工程等专业职称。</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对投标人所提供的人员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认定为失信投标行为（如中标同时取消其中标资格），并依据《宁夏回族自治区公路建设与养护市场信用评价管理办法》的通知（宁交规发〔2024〕1号）文件对投标人本次投标行为进行评价，同时将评价结果上报宁夏回族自治区交通运输厅，并在宁夏回族自治区交通运输厅网站予以公布。</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lang w:val="en-US" w:eastAsia="zh-CN" w:bidi="ar"/>
              </w:rPr>
              <w:t>招标文件中其他地方与此处不一致时，以此处为准。</w:t>
            </w:r>
          </w:p>
        </w:tc>
        <w:tc>
          <w:tcPr>
            <w:tcW w:w="812"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无在岗项目（指目前未在其他项目上</w:t>
            </w:r>
            <w:r>
              <w:rPr>
                <w:rFonts w:hint="eastAsia" w:ascii="宋体" w:hAnsi="宋体" w:eastAsia="宋体" w:cs="宋体"/>
                <w:b w:val="0"/>
                <w:bCs w:val="0"/>
                <w:color w:val="auto"/>
                <w:sz w:val="21"/>
                <w:szCs w:val="21"/>
                <w:highlight w:val="none"/>
                <w:lang w:val="en-US" w:eastAsia="zh-CN"/>
              </w:rPr>
              <w:t>中标或</w:t>
            </w:r>
            <w:r>
              <w:rPr>
                <w:rFonts w:hint="eastAsia" w:ascii="宋体" w:hAnsi="宋体" w:eastAsia="宋体" w:cs="宋体"/>
                <w:b w:val="0"/>
                <w:bCs w:val="0"/>
                <w:color w:val="auto"/>
                <w:sz w:val="21"/>
                <w:szCs w:val="21"/>
                <w:highlight w:val="none"/>
              </w:rPr>
              <w:t>任职，或虽在其他项目上任职但本项目中标后能够从该项目撤离），且在工作时能随时到场</w:t>
            </w:r>
          </w:p>
        </w:tc>
      </w:tr>
    </w:tbl>
    <w:p>
      <w:pPr>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br w:type="page"/>
      </w:r>
    </w:p>
    <w:p>
      <w:pPr>
        <w:pStyle w:val="15"/>
        <w:spacing w:before="240" w:after="240"/>
        <w:rPr>
          <w:rFonts w:hint="eastAsia" w:ascii="黑体" w:hAnsi="黑体" w:eastAsia="黑体" w:cs="宋体"/>
          <w:b/>
          <w:bCs w:val="0"/>
          <w:color w:val="auto"/>
          <w:kern w:val="0"/>
          <w:sz w:val="28"/>
          <w:szCs w:val="22"/>
          <w:highlight w:val="none"/>
          <w:lang w:val="en-US" w:eastAsia="zh-CN" w:bidi="zh-CN"/>
        </w:rPr>
      </w:pPr>
      <w:bookmarkStart w:id="9" w:name="_Toc18049"/>
      <w:r>
        <w:rPr>
          <w:rFonts w:hint="eastAsia" w:ascii="黑体" w:hAnsi="黑体" w:eastAsia="黑体" w:cs="宋体"/>
          <w:b/>
          <w:bCs w:val="0"/>
          <w:color w:val="auto"/>
          <w:kern w:val="0"/>
          <w:sz w:val="28"/>
          <w:szCs w:val="22"/>
          <w:highlight w:val="none"/>
          <w:lang w:val="en-US" w:eastAsia="zh-CN" w:bidi="zh-CN"/>
        </w:rPr>
        <w:t>第3标段试验检测</w:t>
      </w:r>
    </w:p>
    <w:p>
      <w:pPr>
        <w:pStyle w:val="15"/>
        <w:spacing w:before="240" w:after="240"/>
        <w:rPr>
          <w:rFonts w:hint="eastAsia" w:ascii="黑体" w:hAnsi="黑体" w:eastAsia="黑体" w:cs="宋体"/>
          <w:b/>
          <w:bCs w:val="0"/>
          <w:color w:val="auto"/>
          <w:kern w:val="0"/>
          <w:sz w:val="28"/>
          <w:szCs w:val="22"/>
          <w:highlight w:val="none"/>
          <w:lang w:val="en-US" w:eastAsia="zh-CN" w:bidi="zh-CN"/>
        </w:rPr>
      </w:pPr>
      <w:r>
        <w:rPr>
          <w:rFonts w:hint="eastAsia" w:ascii="黑体" w:hAnsi="黑体" w:eastAsia="黑体" w:cs="宋体"/>
          <w:b/>
          <w:bCs w:val="0"/>
          <w:color w:val="auto"/>
          <w:kern w:val="0"/>
          <w:sz w:val="28"/>
          <w:szCs w:val="22"/>
          <w:highlight w:val="none"/>
          <w:lang w:val="en-US" w:eastAsia="zh-CN" w:bidi="zh-CN"/>
        </w:rPr>
        <w:t>附录1  资格审查条件(资质最低条件)</w:t>
      </w:r>
      <w:bookmarkEnd w:id="9"/>
    </w:p>
    <w:tbl>
      <w:tblPr>
        <w:tblStyle w:val="8"/>
        <w:tblW w:w="97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9798" w:type="dxa"/>
            <w:noWrap w:val="0"/>
            <w:tcMar>
              <w:top w:w="113" w:type="dxa"/>
              <w:left w:w="108" w:type="dxa"/>
              <w:bottom w:w="113" w:type="dxa"/>
              <w:right w:w="108" w:type="dxa"/>
            </w:tcMar>
            <w:vAlign w:val="center"/>
          </w:tcPr>
          <w:p>
            <w:pPr>
              <w:jc w:val="center"/>
              <w:rPr>
                <w:rFonts w:hint="eastAsia" w:ascii="宋体" w:hAnsi="宋体" w:cs="宋体"/>
                <w:color w:val="auto"/>
                <w:sz w:val="24"/>
              </w:rPr>
            </w:pPr>
            <w:r>
              <w:rPr>
                <w:rFonts w:hint="eastAsia" w:ascii="宋体" w:hAnsi="宋体" w:cs="宋体"/>
                <w:color w:val="auto"/>
                <w:sz w:val="24"/>
              </w:rPr>
              <w:t>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5" w:hRule="atLeast"/>
          <w:jc w:val="center"/>
        </w:trPr>
        <w:tc>
          <w:tcPr>
            <w:tcW w:w="9798" w:type="dxa"/>
            <w:noWrap w:val="0"/>
            <w:tcMar>
              <w:top w:w="113" w:type="dxa"/>
              <w:left w:w="108" w:type="dxa"/>
              <w:bottom w:w="113" w:type="dxa"/>
              <w:right w:w="108" w:type="dxa"/>
            </w:tcMar>
            <w:vAlign w:val="center"/>
          </w:tcPr>
          <w:p>
            <w:pPr>
              <w:numPr>
                <w:ilvl w:val="0"/>
                <w:numId w:val="6"/>
              </w:num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投标人须具备法人或其他组织资格；持有工商行政管理部门核发的有效企业营业执照或事业单位法人证书或社会团体法人登记证书；</w:t>
            </w:r>
          </w:p>
          <w:p>
            <w:pPr>
              <w:numPr>
                <w:ilvl w:val="0"/>
                <w:numId w:val="6"/>
              </w:numPr>
              <w:snapToGrid w:val="0"/>
              <w:spacing w:line="360" w:lineRule="auto"/>
              <w:ind w:firstLine="420" w:firstLineChars="200"/>
              <w:rPr>
                <w:rFonts w:hint="eastAsia" w:ascii="宋体" w:hAnsi="宋体" w:cs="宋体"/>
                <w:color w:val="auto"/>
                <w:szCs w:val="21"/>
              </w:rPr>
            </w:pPr>
            <w:r>
              <w:rPr>
                <w:rFonts w:hint="eastAsia" w:ascii="宋体" w:hAnsi="宋体" w:eastAsia="宋体" w:cs="宋体"/>
                <w:color w:val="auto"/>
                <w:kern w:val="0"/>
                <w:szCs w:val="21"/>
                <w:highlight w:val="none"/>
                <w:lang w:eastAsia="zh-CN"/>
              </w:rPr>
              <w:t>投标人应具备交通运输主管部门颁发的公路工程乙级及以上等级公路工程质量检测资质或公路工程综合乙级及以上等级公路工程试验检测资质且在有效期内，</w:t>
            </w:r>
            <w:r>
              <w:rPr>
                <w:rFonts w:hint="eastAsia" w:ascii="宋体" w:hAnsi="宋体" w:eastAsia="宋体" w:cs="宋体"/>
                <w:color w:val="auto"/>
                <w:kern w:val="0"/>
                <w:szCs w:val="21"/>
                <w:highlight w:val="none"/>
                <w:lang w:val="en-US" w:eastAsia="zh-CN"/>
              </w:rPr>
              <w:t>并在人员、设备、资金等方面具有相应的试验检测能力。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5" w:hRule="atLeast"/>
          <w:jc w:val="center"/>
        </w:trPr>
        <w:tc>
          <w:tcPr>
            <w:tcW w:w="9798" w:type="dxa"/>
            <w:noWrap w:val="0"/>
            <w:tcMar>
              <w:top w:w="113" w:type="dxa"/>
              <w:left w:w="108" w:type="dxa"/>
              <w:bottom w:w="113" w:type="dxa"/>
              <w:right w:w="108" w:type="dxa"/>
            </w:tcMar>
            <w:vAlign w:val="center"/>
          </w:tcPr>
          <w:p>
            <w:pPr>
              <w:spacing w:line="360" w:lineRule="auto"/>
              <w:ind w:firstLine="421"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注：</w:t>
            </w:r>
          </w:p>
          <w:p>
            <w:pPr>
              <w:spacing w:line="360" w:lineRule="auto"/>
              <w:ind w:firstLine="421" w:firstLineChars="200"/>
              <w:jc w:val="left"/>
              <w:rPr>
                <w:rFonts w:hint="default" w:ascii="宋体" w:hAnsi="宋体" w:cs="宋体"/>
                <w:b/>
                <w:bCs/>
                <w:color w:val="auto"/>
                <w:szCs w:val="21"/>
                <w:highlight w:val="none"/>
                <w:lang w:val="en-US"/>
              </w:rPr>
            </w:pPr>
            <w:r>
              <w:rPr>
                <w:rFonts w:hint="eastAsia" w:ascii="宋体" w:hAnsi="宋体" w:cs="宋体"/>
                <w:b/>
                <w:bCs/>
                <w:color w:val="auto"/>
                <w:szCs w:val="21"/>
                <w:highlight w:val="none"/>
                <w:lang w:val="en-US" w:eastAsia="zh-CN"/>
              </w:rPr>
              <w:t>（1）“投标人基本情况表”应附营业执照副本和组织机构代码证（按照“三证合一”或“五证合一”登记制度进行登记的，可仅提供营业执照）或事业单位法人证书或社会团体法人登记证书、试验检测资质证书副本、基本账户信息的</w:t>
            </w:r>
            <w:r>
              <w:rPr>
                <w:rFonts w:hint="eastAsia" w:ascii="宋体" w:hAnsi="宋体" w:cs="宋体"/>
                <w:b/>
                <w:bCs/>
                <w:color w:val="auto"/>
                <w:kern w:val="0"/>
                <w:szCs w:val="21"/>
                <w:highlight w:val="none"/>
                <w:lang w:val="en-US" w:eastAsia="zh-CN"/>
              </w:rPr>
              <w:t>扫描件</w:t>
            </w:r>
            <w:r>
              <w:rPr>
                <w:rFonts w:hint="eastAsia" w:ascii="宋体" w:hAnsi="宋体" w:eastAsia="宋体" w:cs="宋体"/>
                <w:b/>
                <w:bCs/>
                <w:color w:val="auto"/>
                <w:kern w:val="0"/>
                <w:szCs w:val="21"/>
                <w:highlight w:val="none"/>
                <w:lang w:eastAsia="zh-CN"/>
              </w:rPr>
              <w:t>，以及投标人在国家企业信用信息公示系统中基础信息（体现股东及出资详细信息）的网页截图。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1" w:firstLineChars="200"/>
              <w:textAlignment w:val="auto"/>
              <w:rPr>
                <w:rFonts w:hint="eastAsia" w:ascii="宋体" w:hAnsi="宋体" w:eastAsia="宋体" w:cs="宋体"/>
                <w:b/>
                <w:bCs/>
                <w:color w:val="auto"/>
                <w:kern w:val="0"/>
                <w:szCs w:val="21"/>
                <w:highlight w:val="none"/>
              </w:rPr>
            </w:pPr>
            <w:r>
              <w:rPr>
                <w:rFonts w:hint="eastAsia" w:ascii="宋体" w:hAnsi="宋体" w:cs="宋体"/>
                <w:b/>
                <w:bCs/>
                <w:color w:val="auto"/>
                <w:szCs w:val="21"/>
                <w:highlight w:val="none"/>
                <w:lang w:val="en-US" w:eastAsia="zh-CN"/>
              </w:rPr>
              <w:t>（2）营业执照副本和组织机构代码证（按照“三证合一”或“五证合一”登记制度进行登记的，可仅提供营业执照）或事业单位法人证书或社会团体法人登记证书、试验检测资质证书副本、基本账户信息的扫描件应提供全本（证书封面、封底、空白页除外），应包括投标人名称、投标人其他相关</w:t>
            </w:r>
            <w:r>
              <w:rPr>
                <w:rFonts w:hint="eastAsia" w:ascii="宋体" w:hAnsi="宋体" w:eastAsia="宋体" w:cs="宋体"/>
                <w:b/>
                <w:bCs/>
                <w:color w:val="auto"/>
                <w:szCs w:val="21"/>
                <w:highlight w:val="none"/>
                <w:lang w:val="en-US" w:eastAsia="zh-CN"/>
              </w:rPr>
              <w:t>信息、颁发机构名称、投标人信息变更情况等关键页在内。</w:t>
            </w:r>
            <w:r>
              <w:rPr>
                <w:rFonts w:hint="eastAsia" w:ascii="宋体" w:hAnsi="宋体" w:eastAsia="宋体" w:cs="宋体"/>
                <w:color w:val="auto"/>
                <w:kern w:val="0"/>
                <w:szCs w:val="21"/>
                <w:highlight w:val="none"/>
                <w:lang w:eastAsia="zh-CN"/>
              </w:rPr>
              <w:t>并逐页加盖投标人单位章。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1"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）对于法人发生重组或变更的投标人，应在投标文件中提供附有法人重组或变更时相关部门的合法批件、变更时的企业法人营业执照和资质证书的变更记录彩色扫描件。</w:t>
            </w:r>
          </w:p>
          <w:p>
            <w:pPr>
              <w:spacing w:line="360" w:lineRule="auto"/>
              <w:ind w:firstLine="421" w:firstLineChars="200"/>
              <w:jc w:val="left"/>
              <w:rPr>
                <w:rFonts w:hint="eastAsia" w:ascii="宋体" w:hAnsi="宋体" w:cs="宋体"/>
                <w:color w:val="auto"/>
                <w:szCs w:val="21"/>
              </w:rPr>
            </w:pPr>
            <w:r>
              <w:rPr>
                <w:rFonts w:hint="eastAsia" w:ascii="宋体" w:hAnsi="宋体" w:eastAsia="宋体" w:cs="宋体"/>
                <w:b/>
                <w:bCs/>
                <w:color w:val="auto"/>
                <w:szCs w:val="21"/>
                <w:highlight w:val="none"/>
                <w:lang w:val="en-US" w:eastAsia="zh-CN"/>
              </w:rPr>
              <w:t>（4）其他要求详见投标人须知正文第3.5.1项。</w:t>
            </w:r>
          </w:p>
        </w:tc>
      </w:tr>
    </w:tbl>
    <w:p>
      <w:pPr>
        <w:pStyle w:val="15"/>
        <w:spacing w:before="240" w:after="240"/>
        <w:rPr>
          <w:rFonts w:hint="eastAsia" w:cs="宋体"/>
          <w:color w:val="auto"/>
        </w:rPr>
      </w:pPr>
      <w:bookmarkStart w:id="10" w:name="_Toc10814"/>
      <w:r>
        <w:rPr>
          <w:rFonts w:hint="eastAsia" w:cs="宋体"/>
          <w:color w:val="auto"/>
        </w:rPr>
        <w:br w:type="page"/>
      </w:r>
      <w:bookmarkStart w:id="11" w:name="_Toc29227"/>
      <w:r>
        <w:rPr>
          <w:rFonts w:hint="eastAsia" w:cs="宋体"/>
          <w:color w:val="auto"/>
        </w:rPr>
        <w:t>附录2  资格审查条件(业绩最低要求)</w:t>
      </w:r>
      <w:bookmarkEnd w:id="10"/>
      <w:bookmarkEnd w:id="11"/>
    </w:p>
    <w:tbl>
      <w:tblPr>
        <w:tblStyle w:val="8"/>
        <w:tblW w:w="94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9411" w:type="dxa"/>
            <w:noWrap w:val="0"/>
            <w:tcMar>
              <w:top w:w="113" w:type="dxa"/>
              <w:left w:w="108" w:type="dxa"/>
              <w:bottom w:w="113"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40" w:lineRule="exact"/>
              <w:jc w:val="center"/>
              <w:textAlignment w:val="auto"/>
              <w:rPr>
                <w:rFonts w:hint="eastAsia" w:ascii="宋体" w:hAnsi="宋体" w:cs="宋体"/>
                <w:color w:val="auto"/>
                <w:sz w:val="24"/>
              </w:rPr>
            </w:pPr>
            <w:r>
              <w:rPr>
                <w:rFonts w:hint="eastAsia" w:ascii="宋体" w:hAnsi="宋体" w:eastAsia="宋体" w:cs="宋体"/>
                <w:color w:val="auto"/>
                <w:sz w:val="24"/>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jc w:val="center"/>
        </w:trPr>
        <w:tc>
          <w:tcPr>
            <w:tcW w:w="9411" w:type="dxa"/>
            <w:noWrap w:val="0"/>
            <w:tcMar>
              <w:top w:w="113" w:type="dxa"/>
              <w:left w:w="108" w:type="dxa"/>
              <w:bottom w:w="113" w:type="dxa"/>
              <w:right w:w="108" w:type="dxa"/>
            </w:tcMar>
            <w:vAlign w:val="center"/>
          </w:tcPr>
          <w:p>
            <w:pPr>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eastAsia="宋体" w:cs="宋体"/>
                <w:b w:val="0"/>
                <w:bCs w:val="0"/>
                <w:color w:val="auto"/>
                <w:kern w:val="0"/>
                <w:szCs w:val="21"/>
                <w:highlight w:val="none"/>
                <w:lang w:val="en-US" w:eastAsia="zh-CN"/>
              </w:rPr>
              <w:t>投标人近5年（2020年3月28日至投标文件递交截止之日止，以交工日期为准）内至少完成过1个一级及以上等级公路工程（新建或改扩建或养护工程）的中心试验室检测或业主第三方试验检测或交（竣）工验收检测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jc w:val="center"/>
        </w:trPr>
        <w:tc>
          <w:tcPr>
            <w:tcW w:w="9411" w:type="dxa"/>
            <w:noWrap w:val="0"/>
            <w:tcMar>
              <w:top w:w="113" w:type="dxa"/>
              <w:left w:w="108" w:type="dxa"/>
              <w:bottom w:w="113" w:type="dxa"/>
              <w:right w:w="108" w:type="dxa"/>
            </w:tcMar>
            <w:vAlign w:val="center"/>
          </w:tcPr>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cs="宋体"/>
                <w:b w:val="0"/>
                <w:bCs w:val="0"/>
                <w:color w:val="auto"/>
                <w:sz w:val="21"/>
                <w:szCs w:val="21"/>
              </w:rPr>
            </w:pPr>
            <w:r>
              <w:rPr>
                <w:rFonts w:hint="eastAsia" w:cs="宋体"/>
                <w:b w:val="0"/>
                <w:bCs w:val="0"/>
                <w:color w:val="auto"/>
                <w:sz w:val="21"/>
                <w:szCs w:val="21"/>
              </w:rPr>
              <w:t>注：1.投标人应按资格审查资料“近年完成的类似项目情况表”填写所提供的业绩，且提供的每个业绩均应填写。</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cs="宋体"/>
                <w:b w:val="0"/>
                <w:bCs w:val="0"/>
                <w:color w:val="auto"/>
                <w:sz w:val="21"/>
                <w:szCs w:val="21"/>
              </w:rPr>
            </w:pPr>
            <w:r>
              <w:rPr>
                <w:rFonts w:hint="eastAsia" w:cs="宋体"/>
                <w:b w:val="0"/>
                <w:bCs w:val="0"/>
                <w:color w:val="auto"/>
                <w:sz w:val="21"/>
                <w:szCs w:val="21"/>
              </w:rPr>
              <w:t>2.如投标人“近年完成的类似项目”是已列入交通运输主管部门“公路建设市场信用信息管理系统”或工程所在地省级公路建设与养护市场信用信息管理系统并公开的业绩，项目状态显示为已交(竣)工，否则不予认可。</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cs="宋体"/>
                <w:b w:val="0"/>
                <w:bCs w:val="0"/>
                <w:color w:val="auto"/>
                <w:sz w:val="21"/>
                <w:szCs w:val="21"/>
              </w:rPr>
            </w:pPr>
            <w:r>
              <w:rPr>
                <w:rFonts w:hint="eastAsia" w:cs="宋体"/>
                <w:b w:val="0"/>
                <w:bCs w:val="0"/>
                <w:color w:val="auto"/>
                <w:sz w:val="21"/>
                <w:szCs w:val="21"/>
              </w:rPr>
              <w:t>3.如投标人近年完成的业绩列入“全国公路建设市场监督管理系统”或工程所在地省级公路建设与养护市场信用信息管理系统。“近年完成的类似项目情况表”后应附在“全国公路建设市场监督管理系统”中查询到的企业“业绩信息”相关项目网页截图复印件，在“全国公路建设市场监督管理系统”中无法查询的，但可在工程所在地省级公路建设与养护市场信用信息管理系统中查询的，应附工程所在地省级公路建设与养护市场信用信息管理系统中查询到的网页截图复印件并注明查询路径。除网页截图复印件外，投标人无须再提供任何业绩证明资料。若投标人未提供相关项目网页截图，或相关项目网页截图中的信息无法证实投标人满足招标文件规定的业绩最低要求(如时间、公里数、公路等级等等)，则该项目业绩不予认定。</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cs="宋体"/>
                <w:b w:val="0"/>
                <w:bCs w:val="0"/>
                <w:color w:val="auto"/>
                <w:sz w:val="21"/>
                <w:szCs w:val="21"/>
              </w:rPr>
            </w:pPr>
            <w:r>
              <w:rPr>
                <w:rFonts w:hint="eastAsia" w:cs="宋体"/>
                <w:b w:val="0"/>
                <w:bCs w:val="0"/>
                <w:color w:val="auto"/>
                <w:sz w:val="21"/>
                <w:szCs w:val="21"/>
              </w:rPr>
              <w:t>4.如投标人近年完成的业绩未列入“全国公路建设市场监督管理系统”或工程所在地省级公路建设与养护市场信用信息管理系统，则投标人的企业业绩应</w:t>
            </w:r>
            <w:r>
              <w:rPr>
                <w:rFonts w:hint="eastAsia" w:cs="宋体"/>
                <w:b w:val="0"/>
                <w:bCs w:val="0"/>
                <w:color w:val="auto"/>
                <w:sz w:val="21"/>
                <w:szCs w:val="21"/>
                <w:lang w:val="en-US" w:eastAsia="zh-CN"/>
              </w:rPr>
              <w:t>提供</w:t>
            </w:r>
            <w:r>
              <w:rPr>
                <w:rFonts w:hint="eastAsia" w:cs="宋体"/>
                <w:b/>
                <w:bCs/>
                <w:color w:val="auto"/>
                <w:sz w:val="21"/>
                <w:szCs w:val="21"/>
              </w:rPr>
              <w:t>合同协议书和交(竣)工验收证书(或业主开具的已交(竣)工业绩证明材料)彩色扫描件</w:t>
            </w:r>
            <w:r>
              <w:rPr>
                <w:rFonts w:hint="eastAsia" w:cs="宋体"/>
                <w:b w:val="0"/>
                <w:bCs w:val="0"/>
                <w:color w:val="auto"/>
                <w:sz w:val="21"/>
                <w:szCs w:val="21"/>
              </w:rPr>
              <w:t>。业绩证明材料中须体现项目交(竣)工时间、规模、项目类型、金额等。如投标人未按要求提供企业业绩证明材料或企业业绩证明材料中的信息无法证实投标人满足招标文件规定的资格审查条件(业绩最低要求)，则该项目业绩不予认定。</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cs="宋体"/>
                <w:b w:val="0"/>
                <w:bCs w:val="0"/>
                <w:color w:val="auto"/>
                <w:sz w:val="21"/>
                <w:szCs w:val="21"/>
              </w:rPr>
            </w:pPr>
            <w:r>
              <w:rPr>
                <w:rFonts w:hint="eastAsia" w:cs="宋体"/>
                <w:b w:val="0"/>
                <w:bCs w:val="0"/>
                <w:color w:val="auto"/>
                <w:sz w:val="21"/>
                <w:szCs w:val="21"/>
              </w:rPr>
              <w:t>5.对投标人所提供的企业业绩，如通过“交通运输”或“住房和城乡建设”或“发展与改革”或“招投标监督管理”等政府主管部门各级官方网站的查询结果与投标人自行填报不符而使得投标人的业绩不符合招标文件规定的，则对应业绩将</w:t>
            </w:r>
            <w:r>
              <w:rPr>
                <w:rFonts w:hint="eastAsia" w:cs="宋体"/>
                <w:b w:val="0"/>
                <w:bCs w:val="0"/>
                <w:color w:val="auto"/>
                <w:sz w:val="21"/>
                <w:szCs w:val="21"/>
                <w:lang w:eastAsia="zh-CN"/>
              </w:rPr>
              <w:t>不予认定</w:t>
            </w:r>
            <w:r>
              <w:rPr>
                <w:rFonts w:hint="eastAsia" w:cs="宋体"/>
                <w:b w:val="0"/>
                <w:bCs w:val="0"/>
                <w:color w:val="auto"/>
                <w:sz w:val="21"/>
                <w:szCs w:val="21"/>
              </w:rPr>
              <w:t>。</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cs="宋体"/>
                <w:b w:val="0"/>
                <w:bCs w:val="0"/>
                <w:color w:val="auto"/>
                <w:sz w:val="21"/>
                <w:szCs w:val="21"/>
              </w:rPr>
            </w:pPr>
            <w:r>
              <w:rPr>
                <w:rFonts w:hint="eastAsia" w:cs="宋体"/>
                <w:b w:val="0"/>
                <w:bCs w:val="0"/>
                <w:color w:val="auto"/>
                <w:sz w:val="21"/>
                <w:szCs w:val="21"/>
              </w:rPr>
              <w:t>6.投标人对其递交投标文件中所有证明材料的真实性负责，若招标人收到反映投标人提供了虚假材料、不实信息或隐瞒招标文件要求填报的信息方面的投诉，招标人一经查实将认定为失信投标行为（如中标同时取消其中标资格），并依据《宁夏回族自治区公路建设与养护市场信用评价管理办法》的通知（宁交规发〔2024〕1号）对投标人本次投标行为进行评价，同时将评价结果上报宁夏回族自治区交通运输厅，并在宁夏回族自治区交通运输厅网站予以公布。</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80" w:firstLineChars="200"/>
              <w:jc w:val="both"/>
              <w:textAlignment w:val="auto"/>
              <w:rPr>
                <w:rFonts w:hint="eastAsia" w:cs="宋体"/>
                <w:b w:val="0"/>
                <w:bCs w:val="0"/>
                <w:color w:val="auto"/>
              </w:rPr>
            </w:pPr>
            <w:r>
              <w:rPr>
                <w:rFonts w:hint="eastAsia" w:cs="宋体"/>
                <w:b w:val="0"/>
                <w:bCs w:val="0"/>
                <w:color w:val="auto"/>
              </w:rPr>
              <w:t>7.如近年来，投标人法人机构发生合法变更或重组或法人名称变更时，应提供相关部门的合法批件或其他相关证明材料来证明其所附业绩的继承性。</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80" w:firstLineChars="200"/>
              <w:jc w:val="both"/>
              <w:textAlignment w:val="auto"/>
              <w:rPr>
                <w:rFonts w:hint="eastAsia" w:ascii="宋体" w:hAnsi="宋体" w:cs="宋体"/>
                <w:b w:val="0"/>
                <w:bCs w:val="0"/>
                <w:color w:val="auto"/>
                <w:sz w:val="18"/>
                <w:szCs w:val="18"/>
                <w:highlight w:val="none"/>
              </w:rPr>
            </w:pPr>
            <w:r>
              <w:rPr>
                <w:rFonts w:hint="eastAsia" w:cs="宋体"/>
                <w:b w:val="0"/>
                <w:bCs w:val="0"/>
                <w:color w:val="auto"/>
              </w:rPr>
              <w:t>8.招标文件中其他地方与此处不一致时，以此处为准。</w:t>
            </w:r>
            <w:r>
              <w:rPr>
                <w:rFonts w:hint="eastAsia" w:cs="宋体"/>
                <w:b w:val="0"/>
                <w:bCs w:val="0"/>
                <w:color w:val="auto"/>
              </w:rPr>
              <w:br w:type="page"/>
            </w:r>
          </w:p>
        </w:tc>
      </w:tr>
    </w:tbl>
    <w:p>
      <w:pPr>
        <w:pStyle w:val="15"/>
        <w:spacing w:before="240" w:after="240"/>
        <w:rPr>
          <w:rFonts w:hint="eastAsia" w:cs="宋体"/>
          <w:color w:val="auto"/>
        </w:rPr>
      </w:pPr>
      <w:bookmarkStart w:id="12" w:name="_Toc12033"/>
      <w:bookmarkStart w:id="13" w:name="_Toc22062"/>
      <w:r>
        <w:rPr>
          <w:rFonts w:hint="eastAsia" w:cs="宋体"/>
          <w:color w:val="auto"/>
        </w:rPr>
        <w:t>附录3  资格审查条件(信誉最低要求)</w:t>
      </w:r>
      <w:bookmarkEnd w:id="12"/>
      <w:bookmarkEnd w:id="13"/>
    </w:p>
    <w:tbl>
      <w:tblPr>
        <w:tblStyle w:val="8"/>
        <w:tblW w:w="9862" w:type="dxa"/>
        <w:tblInd w:w="-54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trPr>
        <w:tc>
          <w:tcPr>
            <w:tcW w:w="9862" w:type="dxa"/>
            <w:noWrap w:val="0"/>
            <w:tcMar>
              <w:top w:w="113" w:type="dxa"/>
              <w:left w:w="108" w:type="dxa"/>
              <w:bottom w:w="113" w:type="dxa"/>
              <w:right w:w="108" w:type="dxa"/>
            </w:tcMar>
            <w:vAlign w:val="center"/>
          </w:tcPr>
          <w:p>
            <w:pPr>
              <w:jc w:val="center"/>
              <w:rPr>
                <w:rFonts w:hint="eastAsia" w:ascii="宋体" w:hAnsi="宋体" w:cs="宋体"/>
                <w:color w:val="auto"/>
                <w:sz w:val="24"/>
              </w:rPr>
            </w:pPr>
            <w:r>
              <w:rPr>
                <w:rFonts w:hint="eastAsia" w:ascii="宋体" w:hAnsi="宋体" w:cs="宋体"/>
                <w:b/>
                <w:bCs/>
                <w:color w:val="auto"/>
                <w:sz w:val="24"/>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9862" w:type="dxa"/>
            <w:noWrap w:val="0"/>
            <w:tcMar>
              <w:top w:w="113" w:type="dxa"/>
              <w:left w:w="108" w:type="dxa"/>
              <w:bottom w:w="113" w:type="dxa"/>
              <w:right w:w="108" w:type="dxa"/>
            </w:tcMar>
            <w:vAlign w:val="center"/>
          </w:tcPr>
          <w:p>
            <w:pPr>
              <w:pStyle w:val="4"/>
              <w:keepNext w:val="0"/>
              <w:keepLines w:val="0"/>
              <w:pageBreakBefore w:val="0"/>
              <w:widowControl w:val="0"/>
              <w:kinsoku/>
              <w:overflowPunct/>
              <w:topLinePunct w:val="0"/>
              <w:autoSpaceDE/>
              <w:autoSpaceDN/>
              <w:bidi w:val="0"/>
              <w:adjustRightInd/>
              <w:spacing w:line="360" w:lineRule="auto"/>
              <w:textAlignment w:val="auto"/>
              <w:rPr>
                <w:rStyle w:val="9"/>
                <w:rFonts w:hint="eastAsia" w:ascii="宋体" w:hAnsi="宋体" w:eastAsia="宋体" w:cs="宋体"/>
                <w:b/>
                <w:bCs/>
                <w:color w:val="auto"/>
                <w:sz w:val="21"/>
                <w:szCs w:val="21"/>
              </w:rPr>
            </w:pPr>
            <w:r>
              <w:rPr>
                <w:rStyle w:val="9"/>
                <w:rFonts w:hint="eastAsia" w:ascii="宋体" w:hAnsi="宋体" w:eastAsia="宋体" w:cs="宋体"/>
                <w:b/>
                <w:bCs/>
                <w:color w:val="auto"/>
                <w:sz w:val="21"/>
                <w:szCs w:val="21"/>
              </w:rPr>
              <w:t>投标人不得存在下列不良状况或不良信用记录：</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（1）被省级及以上交通运输主管部门取消招标项目所在地的投标资格且处于有效</w:t>
            </w:r>
            <w:r>
              <w:rPr>
                <w:rStyle w:val="9"/>
                <w:rFonts w:hint="eastAsia" w:ascii="宋体" w:hAnsi="宋体" w:eastAsia="宋体" w:cs="宋体"/>
                <w:color w:val="auto"/>
                <w:sz w:val="21"/>
                <w:szCs w:val="21"/>
                <w:highlight w:val="none"/>
              </w:rPr>
              <w:t>期内；</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（2）被责令停业，暂扣或吊销执照，或吊销资质证书；</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（3）进入清算程序，或被宣告破产，或其他丧失履约能力的情形；</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（4）在国家企业信用信息公示系统（http：//www.gsxt.gov.cn/）中被列入严重违法失信企业名单</w:t>
            </w:r>
            <w:r>
              <w:rPr>
                <w:rStyle w:val="9"/>
                <w:rFonts w:hint="eastAsia" w:ascii="宋体" w:hAnsi="宋体" w:eastAsia="宋体" w:cs="宋体"/>
                <w:color w:val="auto"/>
                <w:sz w:val="21"/>
                <w:szCs w:val="21"/>
                <w:lang w:val="en-US" w:eastAsia="zh-CN"/>
              </w:rPr>
              <w:t>（附网站查询截图）</w:t>
            </w:r>
            <w:r>
              <w:rPr>
                <w:rStyle w:val="9"/>
                <w:rFonts w:hint="eastAsia" w:ascii="宋体" w:hAnsi="宋体" w:eastAsia="宋体" w:cs="宋体"/>
                <w:color w:val="auto"/>
                <w:sz w:val="21"/>
                <w:szCs w:val="21"/>
              </w:rPr>
              <w:t>；</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（5）在“信用中国”网站（http：//www.creditchina.gov.cn）中被列入失信被执行人名单</w:t>
            </w:r>
            <w:r>
              <w:rPr>
                <w:rFonts w:hint="eastAsia" w:ascii="宋体" w:hAnsi="宋体" w:eastAsia="宋体" w:cs="宋体"/>
                <w:color w:val="auto"/>
                <w:sz w:val="21"/>
                <w:szCs w:val="21"/>
                <w:highlight w:val="none"/>
                <w:lang w:val="en-US" w:eastAsia="zh-CN"/>
              </w:rPr>
              <w:t>（附网站查询截图）</w:t>
            </w:r>
            <w:r>
              <w:rPr>
                <w:rStyle w:val="9"/>
                <w:rFonts w:hint="eastAsia" w:ascii="宋体" w:hAnsi="宋体" w:eastAsia="宋体" w:cs="宋体"/>
                <w:color w:val="auto"/>
                <w:sz w:val="21"/>
                <w:szCs w:val="21"/>
              </w:rPr>
              <w:t>；</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（6）投标人或其法定代表人、拟委任</w:t>
            </w:r>
            <w:r>
              <w:rPr>
                <w:rStyle w:val="9"/>
                <w:rFonts w:hint="eastAsia" w:ascii="宋体" w:hAnsi="宋体" w:eastAsia="宋体" w:cs="宋体"/>
                <w:color w:val="auto"/>
                <w:sz w:val="21"/>
                <w:szCs w:val="21"/>
                <w:highlight w:val="none"/>
              </w:rPr>
              <w:t>的</w:t>
            </w:r>
            <w:r>
              <w:rPr>
                <w:rStyle w:val="9"/>
                <w:rFonts w:hint="eastAsia" w:ascii="宋体" w:hAnsi="宋体" w:eastAsia="宋体" w:cs="宋体"/>
                <w:color w:val="auto"/>
                <w:sz w:val="21"/>
                <w:szCs w:val="21"/>
                <w:highlight w:val="none"/>
                <w:lang w:val="en-US" w:eastAsia="zh-CN"/>
              </w:rPr>
              <w:t>检测负责人</w:t>
            </w:r>
            <w:r>
              <w:rPr>
                <w:rStyle w:val="9"/>
                <w:rFonts w:hint="eastAsia" w:ascii="宋体" w:hAnsi="宋体" w:eastAsia="宋体" w:cs="宋体"/>
                <w:color w:val="auto"/>
                <w:sz w:val="21"/>
                <w:szCs w:val="21"/>
                <w:highlight w:val="none"/>
              </w:rPr>
              <w:t>在近</w:t>
            </w:r>
            <w:r>
              <w:rPr>
                <w:rStyle w:val="9"/>
                <w:rFonts w:hint="eastAsia" w:ascii="宋体" w:hAnsi="宋体" w:eastAsia="宋体" w:cs="宋体"/>
                <w:color w:val="auto"/>
                <w:sz w:val="21"/>
                <w:szCs w:val="21"/>
              </w:rPr>
              <w:t>三年内</w:t>
            </w:r>
            <w:r>
              <w:rPr>
                <w:rFonts w:hint="eastAsia" w:ascii="宋体" w:hAnsi="宋体" w:cs="宋体"/>
                <w:b w:val="0"/>
                <w:bCs w:val="0"/>
                <w:color w:val="auto"/>
                <w:kern w:val="0"/>
                <w:szCs w:val="21"/>
                <w:highlight w:val="none"/>
                <w:lang w:val="en-US" w:eastAsia="zh-CN"/>
              </w:rPr>
              <w:t>（</w:t>
            </w:r>
            <w:r>
              <w:rPr>
                <w:rStyle w:val="9"/>
                <w:rFonts w:hint="eastAsia" w:ascii="宋体" w:hAnsi="宋体" w:eastAsia="宋体" w:cs="宋体"/>
                <w:color w:val="auto"/>
                <w:sz w:val="21"/>
                <w:szCs w:val="21"/>
                <w:lang w:val="en-US" w:eastAsia="zh-CN"/>
              </w:rPr>
              <w:t>自</w:t>
            </w:r>
            <w:r>
              <w:rPr>
                <w:rStyle w:val="9"/>
                <w:rFonts w:hint="eastAsia" w:ascii="宋体" w:hAnsi="宋体" w:eastAsia="宋体" w:cs="宋体"/>
                <w:color w:val="auto"/>
                <w:sz w:val="21"/>
                <w:szCs w:val="21"/>
                <w:highlight w:val="none"/>
                <w:lang w:val="en-US" w:eastAsia="zh-CN"/>
              </w:rPr>
              <w:t>2022年3月28日</w:t>
            </w:r>
            <w:r>
              <w:rPr>
                <w:rStyle w:val="9"/>
                <w:rFonts w:hint="eastAsia" w:ascii="宋体" w:hAnsi="宋体" w:eastAsia="宋体" w:cs="宋体"/>
                <w:color w:val="auto"/>
                <w:sz w:val="21"/>
                <w:szCs w:val="21"/>
                <w:lang w:val="en-US" w:eastAsia="zh-CN"/>
              </w:rPr>
              <w:t>以来）</w:t>
            </w:r>
            <w:r>
              <w:rPr>
                <w:rStyle w:val="9"/>
                <w:rFonts w:hint="eastAsia" w:ascii="宋体" w:hAnsi="宋体" w:eastAsia="宋体" w:cs="宋体"/>
                <w:color w:val="auto"/>
                <w:sz w:val="21"/>
                <w:szCs w:val="21"/>
              </w:rPr>
              <w:t>有行贿犯罪行为的</w:t>
            </w:r>
            <w:r>
              <w:rPr>
                <w:rStyle w:val="9"/>
                <w:rFonts w:hint="eastAsia" w:ascii="宋体" w:hAnsi="宋体" w:eastAsia="宋体" w:cs="宋体"/>
                <w:color w:val="auto"/>
                <w:sz w:val="21"/>
                <w:szCs w:val="21"/>
                <w:lang w:val="en-US" w:eastAsia="zh-CN"/>
              </w:rPr>
              <w:t>（附承诺函原件）</w:t>
            </w:r>
            <w:r>
              <w:rPr>
                <w:rStyle w:val="9"/>
                <w:rFonts w:hint="eastAsia" w:ascii="宋体" w:hAnsi="宋体" w:eastAsia="宋体" w:cs="宋体"/>
                <w:color w:val="auto"/>
                <w:sz w:val="21"/>
                <w:szCs w:val="21"/>
              </w:rPr>
              <w:t>；</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（7）投标人在投标截止时间前最新的公路建设市场全国综合信用评价结果或宁夏回族自治区公路建设与养护市场从业单位</w:t>
            </w:r>
            <w:r>
              <w:rPr>
                <w:rFonts w:hint="eastAsia" w:ascii="宋体" w:hAnsi="宋体" w:eastAsia="宋体" w:cs="宋体"/>
                <w:color w:val="auto"/>
                <w:kern w:val="0"/>
                <w:sz w:val="21"/>
                <w:szCs w:val="21"/>
                <w:highlight w:val="none"/>
                <w:lang w:val="en-US" w:eastAsia="zh-CN"/>
              </w:rPr>
              <w:t>公路工程试验检测机构</w:t>
            </w:r>
            <w:r>
              <w:rPr>
                <w:rStyle w:val="9"/>
                <w:rFonts w:hint="eastAsia" w:ascii="宋体" w:hAnsi="宋体" w:eastAsia="宋体" w:cs="宋体"/>
                <w:color w:val="auto"/>
                <w:sz w:val="21"/>
                <w:szCs w:val="21"/>
              </w:rPr>
              <w:t>信用等级评价结果公示中被评为D级</w:t>
            </w:r>
            <w:r>
              <w:rPr>
                <w:rFonts w:hint="eastAsia" w:ascii="宋体" w:hAnsi="宋体" w:eastAsia="宋体" w:cs="宋体"/>
                <w:color w:val="auto"/>
                <w:sz w:val="21"/>
                <w:szCs w:val="21"/>
                <w:highlight w:val="none"/>
                <w:lang w:val="en-US" w:eastAsia="zh-CN"/>
              </w:rPr>
              <w:t>（附网站查询截图）</w:t>
            </w:r>
            <w:r>
              <w:rPr>
                <w:rStyle w:val="9"/>
                <w:rFonts w:hint="eastAsia" w:ascii="宋体" w:hAnsi="宋体" w:eastAsia="宋体" w:cs="宋体"/>
                <w:color w:val="auto"/>
                <w:sz w:val="21"/>
                <w:szCs w:val="21"/>
              </w:rPr>
              <w:t>；</w:t>
            </w:r>
          </w:p>
          <w:p>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Fonts w:hint="eastAsia" w:ascii="宋体" w:hAnsi="宋体" w:cs="宋体"/>
                <w:bCs/>
                <w:color w:val="auto"/>
                <w:szCs w:val="21"/>
                <w:highlight w:val="none"/>
              </w:rPr>
            </w:pPr>
            <w:r>
              <w:rPr>
                <w:rStyle w:val="9"/>
                <w:rFonts w:hint="eastAsia" w:ascii="宋体" w:hAnsi="宋体" w:eastAsia="宋体" w:cs="宋体"/>
                <w:color w:val="auto"/>
                <w:sz w:val="21"/>
                <w:szCs w:val="21"/>
              </w:rPr>
              <w:t>（8）法律法规或投标人须知前附表规定的其他情形。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9862" w:type="dxa"/>
            <w:noWrap w:val="0"/>
            <w:tcMar>
              <w:top w:w="113" w:type="dxa"/>
              <w:left w:w="108" w:type="dxa"/>
              <w:bottom w:w="113"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1" w:firstLineChars="200"/>
              <w:textAlignment w:val="auto"/>
              <w:rPr>
                <w:rFonts w:hint="eastAsia" w:ascii="宋体" w:hAnsi="宋体" w:eastAsia="宋体" w:cs="宋体"/>
                <w:b/>
                <w:bCs/>
                <w:color w:val="auto"/>
                <w:szCs w:val="20"/>
                <w:lang w:val="en-US" w:eastAsia="zh-CN"/>
              </w:rPr>
            </w:pPr>
            <w:r>
              <w:rPr>
                <w:rFonts w:hint="eastAsia" w:ascii="宋体" w:hAnsi="宋体" w:cs="宋体"/>
                <w:b/>
                <w:bCs/>
                <w:color w:val="auto"/>
                <w:szCs w:val="20"/>
                <w:lang w:val="en-US" w:eastAsia="zh-CN"/>
              </w:rPr>
              <w:t>注：1.</w:t>
            </w:r>
            <w:r>
              <w:rPr>
                <w:rFonts w:hint="eastAsia" w:ascii="宋体" w:hAnsi="宋体" w:eastAsia="宋体" w:cs="宋体"/>
                <w:b/>
                <w:bCs/>
                <w:color w:val="auto"/>
                <w:szCs w:val="20"/>
                <w:lang w:val="en-US" w:eastAsia="zh-CN"/>
              </w:rPr>
              <w:t>投标人提供“投标人信誉情况表”时，按照以上内容及投标文件格式中的要求提供证明资料；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1" w:firstLineChars="200"/>
              <w:textAlignment w:val="auto"/>
              <w:rPr>
                <w:rFonts w:hint="eastAsia" w:ascii="宋体" w:cs="宋体"/>
                <w:color w:val="auto"/>
                <w:szCs w:val="21"/>
                <w:highlight w:val="none"/>
                <w:lang w:eastAsia="zh-CN"/>
              </w:rPr>
            </w:pPr>
            <w:r>
              <w:rPr>
                <w:rFonts w:hint="eastAsia" w:ascii="宋体" w:hAnsi="宋体" w:cs="宋体"/>
                <w:b/>
                <w:bCs/>
                <w:color w:val="auto"/>
                <w:szCs w:val="20"/>
                <w:lang w:val="en-US" w:eastAsia="zh-CN"/>
              </w:rPr>
              <w:t>2.</w:t>
            </w:r>
            <w:r>
              <w:rPr>
                <w:rFonts w:hint="eastAsia" w:ascii="宋体" w:hAnsi="宋体" w:eastAsia="宋体" w:cs="宋体"/>
                <w:b/>
                <w:bCs/>
                <w:color w:val="auto"/>
                <w:szCs w:val="20"/>
                <w:lang w:val="en-US" w:eastAsia="zh-CN"/>
              </w:rPr>
              <w:t>招标文件中其他地方与此处不一致时，以此处为准。</w:t>
            </w:r>
          </w:p>
        </w:tc>
      </w:tr>
    </w:tbl>
    <w:p>
      <w:pPr>
        <w:spacing w:line="360" w:lineRule="exact"/>
        <w:ind w:left="810" w:leftChars="228" w:hanging="331" w:hangingChars="150"/>
        <w:rPr>
          <w:rFonts w:hint="eastAsia" w:ascii="宋体" w:hAnsi="宋体" w:cs="宋体"/>
          <w:b/>
          <w:color w:val="auto"/>
          <w:sz w:val="22"/>
          <w:szCs w:val="22"/>
          <w:highlight w:val="none"/>
        </w:rPr>
      </w:pPr>
    </w:p>
    <w:p>
      <w:pPr>
        <w:spacing w:before="120" w:after="120" w:line="360" w:lineRule="auto"/>
        <w:jc w:val="center"/>
        <w:rPr>
          <w:rStyle w:val="16"/>
          <w:rFonts w:hint="eastAsia"/>
          <w:color w:val="auto"/>
          <w:highlight w:val="none"/>
        </w:rPr>
      </w:pPr>
      <w:bookmarkStart w:id="14" w:name="_Toc9406"/>
      <w:r>
        <w:rPr>
          <w:rFonts w:hint="eastAsia" w:ascii="宋体" w:hAnsi="宋体" w:cs="宋体"/>
          <w:b/>
          <w:bCs/>
          <w:color w:val="auto"/>
          <w:kern w:val="44"/>
          <w:sz w:val="30"/>
          <w:szCs w:val="30"/>
          <w:highlight w:val="none"/>
        </w:rPr>
        <w:br w:type="page"/>
      </w:r>
      <w:bookmarkStart w:id="15" w:name="_Toc17711"/>
      <w:r>
        <w:rPr>
          <w:rStyle w:val="16"/>
          <w:rFonts w:hint="eastAsia"/>
          <w:color w:val="auto"/>
          <w:highlight w:val="none"/>
        </w:rPr>
        <w:t>附录4  资格审查条件(检测负责人最低要求)</w:t>
      </w:r>
    </w:p>
    <w:bookmarkEnd w:id="15"/>
    <w:tbl>
      <w:tblPr>
        <w:tblStyle w:val="8"/>
        <w:tblW w:w="10025"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808"/>
        <w:gridCol w:w="579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047" w:type="dxa"/>
            <w:tcBorders>
              <w:bottom w:val="single" w:color="auto" w:sz="4" w:space="0"/>
            </w:tcBorders>
            <w:noWrap w:val="0"/>
            <w:vAlign w:val="center"/>
          </w:tcPr>
          <w:p>
            <w:pPr>
              <w:pStyle w:val="17"/>
              <w:wordWrap w:val="0"/>
              <w:spacing w:line="24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人员</w:t>
            </w:r>
          </w:p>
        </w:tc>
        <w:tc>
          <w:tcPr>
            <w:tcW w:w="808" w:type="dxa"/>
            <w:tcBorders>
              <w:bottom w:val="single" w:color="auto" w:sz="4" w:space="0"/>
            </w:tcBorders>
            <w:noWrap w:val="0"/>
            <w:vAlign w:val="center"/>
          </w:tcPr>
          <w:p>
            <w:pPr>
              <w:pStyle w:val="17"/>
              <w:wordWrap w:val="0"/>
              <w:spacing w:line="24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5792" w:type="dxa"/>
            <w:tcBorders>
              <w:bottom w:val="single" w:color="auto" w:sz="4" w:space="0"/>
            </w:tcBorders>
            <w:noWrap w:val="0"/>
            <w:vAlign w:val="center"/>
          </w:tcPr>
          <w:p>
            <w:pPr>
              <w:pStyle w:val="17"/>
              <w:wordWrap w:val="0"/>
              <w:spacing w:line="24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资  格  要  求</w:t>
            </w:r>
          </w:p>
        </w:tc>
        <w:tc>
          <w:tcPr>
            <w:tcW w:w="2378" w:type="dxa"/>
            <w:tcBorders>
              <w:bottom w:val="single" w:color="auto" w:sz="4" w:space="0"/>
            </w:tcBorders>
            <w:noWrap w:val="0"/>
            <w:vAlign w:val="center"/>
          </w:tcPr>
          <w:p>
            <w:pPr>
              <w:pStyle w:val="17"/>
              <w:wordWrap w:val="0"/>
              <w:spacing w:line="24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7" w:type="dxa"/>
            <w:noWrap w:val="0"/>
            <w:vAlign w:val="center"/>
          </w:tcPr>
          <w:p>
            <w:pPr>
              <w:pStyle w:val="2"/>
              <w:wordWrap w:val="0"/>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检测负责人</w:t>
            </w:r>
          </w:p>
        </w:tc>
        <w:tc>
          <w:tcPr>
            <w:tcW w:w="808" w:type="dxa"/>
            <w:noWrap w:val="0"/>
            <w:vAlign w:val="center"/>
          </w:tcPr>
          <w:p>
            <w:pPr>
              <w:pStyle w:val="2"/>
              <w:wordWrap w:val="0"/>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792" w:type="dxa"/>
            <w:noWrap w:val="0"/>
            <w:vAlign w:val="center"/>
          </w:tcPr>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kern w:val="0"/>
                <w:szCs w:val="21"/>
                <w:highlight w:val="none"/>
                <w:lang w:val="en-US" w:eastAsia="zh-CN"/>
              </w:rPr>
              <w:t>具有公路工程相关专业中级及以上技术职称，并持有交通运输部颁发的试验检测工程师资格证书或公路水运工程试验检测师证书；</w:t>
            </w:r>
          </w:p>
          <w:p>
            <w:pPr>
              <w:keepNext w:val="0"/>
              <w:keepLines w:val="0"/>
              <w:pageBreakBefore w:val="0"/>
              <w:kinsoku/>
              <w:wordWrap w:val="0"/>
              <w:overflowPunct/>
              <w:autoSpaceDE/>
              <w:autoSpaceDN/>
              <w:bidi w:val="0"/>
              <w:spacing w:line="360" w:lineRule="auto"/>
              <w:ind w:firstLine="420" w:firstLineChars="200"/>
              <w:jc w:val="left"/>
              <w:textAlignment w:val="auto"/>
              <w:rPr>
                <w:rFonts w:hint="default" w:ascii="宋体" w:hAnsi="宋体" w:cs="宋体"/>
                <w:color w:val="auto"/>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kern w:val="0"/>
                <w:szCs w:val="21"/>
                <w:highlight w:val="none"/>
                <w:lang w:val="en-US" w:eastAsia="zh-CN"/>
              </w:rPr>
              <w:t>近5年（2020年3月28日至投标文件递交截止之日止，以交工日期为准）至少担任过1个一级及以上等级公路工程（新建或改扩建或养护工程）的中心试验室主任或业主第三方试验检测负责人或交（竣）工验收检测负责人；或至少担任过2个一级及以上等级公路工程（新建或改扩建或养护工程）的中心试验室技术负责人或业主第三方试验检测技术负责人或交（竣）工验收检测技术负责人。</w:t>
            </w:r>
          </w:p>
        </w:tc>
        <w:tc>
          <w:tcPr>
            <w:tcW w:w="2378" w:type="dxa"/>
            <w:noWrap w:val="0"/>
            <w:vAlign w:val="center"/>
          </w:tcPr>
          <w:p>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无在岗项目（指目前未在其他项目上</w:t>
            </w:r>
            <w:r>
              <w:rPr>
                <w:rFonts w:hint="eastAsia" w:ascii="宋体" w:hAnsi="宋体" w:cs="宋体"/>
                <w:color w:val="auto"/>
                <w:szCs w:val="21"/>
                <w:highlight w:val="none"/>
                <w:lang w:val="en-US" w:eastAsia="zh-CN"/>
              </w:rPr>
              <w:t>中标或</w:t>
            </w:r>
            <w:r>
              <w:rPr>
                <w:rFonts w:hint="eastAsia" w:ascii="宋体" w:hAnsi="宋体" w:cs="宋体"/>
                <w:color w:val="auto"/>
                <w:szCs w:val="21"/>
                <w:highlight w:val="none"/>
              </w:rPr>
              <w:t>任职，或虽在其他项目上</w:t>
            </w:r>
            <w:r>
              <w:rPr>
                <w:rFonts w:hint="eastAsia" w:ascii="宋体" w:hAnsi="宋体" w:cs="宋体"/>
                <w:color w:val="auto"/>
                <w:szCs w:val="21"/>
                <w:highlight w:val="none"/>
                <w:lang w:val="en-US" w:eastAsia="zh-CN"/>
              </w:rPr>
              <w:t>中标或</w:t>
            </w:r>
            <w:r>
              <w:rPr>
                <w:rFonts w:hint="eastAsia" w:ascii="宋体" w:hAnsi="宋体" w:cs="宋体"/>
                <w:color w:val="auto"/>
                <w:szCs w:val="21"/>
                <w:highlight w:val="none"/>
              </w:rPr>
              <w:t>任职但本项目中标后能够从该项目撤离），且在工作时能随时到场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25" w:type="dxa"/>
            <w:gridSpan w:val="4"/>
            <w:noWrap w:val="0"/>
            <w:vAlign w:val="center"/>
          </w:tcPr>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注：1.“拟委任的检测负责人资历表”应附检测负责人的身份证、职称资格证书和试验检测师证书的彩色复印（扫描）件，以及在社保系统打印的拟委任的检测负责人自2024年10月以来连续某3个月缴费明细彩色扫描件，否则资格审查不予通过。</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2.如投标人“检测负责人近年完成的类似项目”是已列入“公路建设市场信用信息管理系统”或省级公路建设与养护市场信用信息管理系统并公开的业绩，项目状态显示为已交(竣)工，否则不予认可。</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如投标人“检测负责人近年完成的类似项目”是已列入“全国公路建设市场监督管理系统”或工程所在地省级公路建设与养护市场信用信息管理系统。“拟委任的检测负责人资历表”后应附“全国公路建设市场监督管理系统”中载明的、能够证明检测负责人具有相关业绩的网页截图。在“全国公路建设市场监督管理系统”中无法查询，但可在工程所在地省级公路建设与养护市场信用信息管理系统中查询的，应附工程所在地省级公路建设与养护市场信用信息管理系统中查询到的网页截图复印件并注明查询路径。提供的业绩网页截图中须有拟委派的人员姓名及对应满足上述要求的职务。除网页截图外，投标人无须再提供任何业绩证明材料。如投标人未提供相关业绩网页截图或相关业绩网页截图中的信息无法证实投标人满足招标文件规定的资格审查条件(检测负责人最低要求)，则该业绩不予认定。</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如检测负责人个人业绩未列入“全国公路建设市场监督管理系统”或工程所在地省级公路建设与养护市场信用信息管理系统，则投标人的检测负责人业绩应提供合同协议书（或中标通知书）和交(竣)工验收证书(或业主开具的已交(竣)工业绩证明材料)彩色扫描件。提供的业绩证明材料中须有拟委派的人员姓名及对应满足上述要求的职务。如投标人未按要求提供个人业绩证明材料或个人业绩证明材料中的信息无法证实投标委派人员业绩，则该业绩不予认定。</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对投标人所提供的人员业绩，如通过“交通运输”或“住房和城乡建设”或“发展与改革”或“招投标监督管理”等政府主管部门各级官方网站的查询结果与投标人自行填报不符而使得投标人的业绩不符合招标文件规定的，则对应业绩将不予认定。</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对投标人所提供的人员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认定为失信投标行为（如中标同时取消其中标资格），并依据《宁夏回族自治区公路建设与养护市场信用评价管理办法》的通知（宁交规发〔2024〕1号）对投标人本次投标行为进行评价，同时将评价结果上报宁夏回族自治区交通运输厅，并在宁夏回族自治区交通运输厅网站予以公布。</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7.公路工程相关专业职称包括：公路工程、桥梁工程、公路与桥梁工程、交通土建工程、隧道（地下结构）工程、交通工程等专业职称。</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8.如检测负责人目前仍在其他项目上中标或任职，则投标人应提供在岗撤离承诺书（如需、格式自拟），如未提供在岗撤离承诺书，其资格审查不通过或取消中标资格。</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9.招标文件中其他地方与此处不一致时，以此处为准。</w:t>
            </w:r>
          </w:p>
        </w:tc>
      </w:tr>
      <w:bookmarkEnd w:id="14"/>
    </w:tbl>
    <w:p>
      <w:pPr>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br w:type="page"/>
      </w:r>
    </w:p>
    <w:p>
      <w:pPr>
        <w:numPr>
          <w:ilvl w:val="0"/>
          <w:numId w:val="0"/>
        </w:numPr>
        <w:jc w:val="both"/>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kern w:val="2"/>
          <w:sz w:val="28"/>
          <w:szCs w:val="28"/>
          <w:lang w:val="en-US" w:eastAsia="zh-CN" w:bidi="ar-SA"/>
        </w:rPr>
        <w:t>四、</w:t>
      </w:r>
      <w:r>
        <w:rPr>
          <w:rFonts w:hint="eastAsia" w:ascii="宋体" w:hAnsi="宋体" w:eastAsia="宋体" w:cs="宋体"/>
          <w:b/>
          <w:bCs/>
          <w:color w:val="auto"/>
          <w:sz w:val="28"/>
          <w:szCs w:val="28"/>
          <w:u w:val="none"/>
          <w:lang w:val="en-US" w:eastAsia="zh-CN"/>
        </w:rPr>
        <w:t>评标办法全文</w:t>
      </w:r>
    </w:p>
    <w:p>
      <w:pPr>
        <w:jc w:val="center"/>
        <w:rPr>
          <w:rFonts w:hint="eastAsia" w:ascii="宋体" w:hAnsi="宋体" w:eastAsia="宋体" w:cs="宋体"/>
          <w:b/>
          <w:bCs/>
          <w:spacing w:val="-1"/>
          <w:sz w:val="28"/>
          <w:szCs w:val="28"/>
        </w:rPr>
      </w:pPr>
      <w:r>
        <w:rPr>
          <w:rFonts w:hint="eastAsia" w:ascii="宋体" w:hAnsi="宋体" w:eastAsia="宋体" w:cs="宋体"/>
          <w:b/>
          <w:bCs/>
          <w:spacing w:val="-1"/>
          <w:sz w:val="28"/>
          <w:szCs w:val="28"/>
          <w:lang w:val="en-US" w:eastAsia="zh-CN"/>
        </w:rPr>
        <w:t>第1标段、第2标段施工监理：</w:t>
      </w:r>
      <w:r>
        <w:rPr>
          <w:rFonts w:hint="eastAsia" w:ascii="宋体" w:hAnsi="宋体" w:eastAsia="宋体" w:cs="宋体"/>
          <w:b/>
          <w:bCs/>
          <w:spacing w:val="-1"/>
          <w:sz w:val="28"/>
          <w:szCs w:val="28"/>
        </w:rPr>
        <w:fldChar w:fldCharType="begin"/>
      </w:r>
      <w:r>
        <w:rPr>
          <w:rFonts w:hint="eastAsia" w:ascii="宋体" w:hAnsi="宋体" w:eastAsia="宋体" w:cs="宋体"/>
          <w:b/>
          <w:bCs/>
          <w:spacing w:val="-1"/>
          <w:sz w:val="28"/>
          <w:szCs w:val="28"/>
        </w:rPr>
        <w:instrText xml:space="preserve"> HYPERLINK \l "bookmark54" </w:instrText>
      </w:r>
      <w:r>
        <w:rPr>
          <w:rFonts w:hint="eastAsia" w:ascii="宋体" w:hAnsi="宋体" w:eastAsia="宋体" w:cs="宋体"/>
          <w:b/>
          <w:bCs/>
          <w:spacing w:val="-1"/>
          <w:sz w:val="28"/>
          <w:szCs w:val="28"/>
        </w:rPr>
        <w:fldChar w:fldCharType="separate"/>
      </w:r>
      <w:r>
        <w:rPr>
          <w:rFonts w:hint="eastAsia" w:ascii="宋体" w:hAnsi="宋体" w:eastAsia="宋体" w:cs="宋体"/>
          <w:b/>
          <w:bCs/>
          <w:spacing w:val="-1"/>
          <w:sz w:val="28"/>
          <w:szCs w:val="28"/>
        </w:rPr>
        <w:t>评标办法前附表</w:t>
      </w:r>
      <w:r>
        <w:rPr>
          <w:rFonts w:hint="eastAsia" w:ascii="宋体" w:hAnsi="宋体" w:eastAsia="宋体" w:cs="宋体"/>
          <w:b/>
          <w:bCs/>
          <w:spacing w:val="-1"/>
          <w:sz w:val="28"/>
          <w:szCs w:val="28"/>
        </w:rPr>
        <w:fldChar w:fldCharType="end"/>
      </w:r>
    </w:p>
    <w:tbl>
      <w:tblPr>
        <w:tblStyle w:val="8"/>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1194"/>
        <w:gridCol w:w="1386"/>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65" w:hRule="atLeast"/>
          <w:tblHeader/>
          <w:jc w:val="center"/>
        </w:trPr>
        <w:tc>
          <w:tcPr>
            <w:tcW w:w="2580" w:type="dxa"/>
            <w:gridSpan w:val="2"/>
            <w:noWrap w:val="0"/>
            <w:vAlign w:val="center"/>
          </w:tcPr>
          <w:p>
            <w:pPr>
              <w:tabs>
                <w:tab w:val="left" w:leader="middleDot" w:pos="8400"/>
                <w:tab w:val="left" w:leader="middleDot" w:pos="10500"/>
              </w:tabs>
              <w:adjustRightInd w:val="0"/>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761" w:type="dxa"/>
            <w:noWrap w:val="0"/>
            <w:vAlign w:val="center"/>
          </w:tcPr>
          <w:p>
            <w:pPr>
              <w:tabs>
                <w:tab w:val="left" w:leader="middleDot" w:pos="8400"/>
                <w:tab w:val="left" w:leader="middleDot" w:pos="10500"/>
              </w:tabs>
              <w:adjustRightInd w:val="0"/>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评审因素与评审标准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1205"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.1</w:t>
            </w:r>
          </w:p>
          <w:p>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w:t>
            </w:r>
          </w:p>
        </w:tc>
        <w:tc>
          <w:tcPr>
            <w:tcW w:w="1386"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形式评审与响应性评审标准</w:t>
            </w:r>
          </w:p>
        </w:tc>
        <w:tc>
          <w:tcPr>
            <w:tcW w:w="776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第一个信封（商务及技术文件）评审标准：</w:t>
            </w:r>
          </w:p>
          <w:p>
            <w:pPr>
              <w:pStyle w:val="18"/>
              <w:keepNext w:val="0"/>
              <w:keepLines w:val="0"/>
              <w:pageBreakBefore w:val="0"/>
              <w:numPr>
                <w:ilvl w:val="0"/>
                <w:numId w:val="7"/>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投标文件按照招标文件规定的格式、内容填写，字迹清晰可辨</w:t>
            </w:r>
            <w:r>
              <w:rPr>
                <w:rFonts w:hint="eastAsia" w:ascii="宋体" w:hAnsi="宋体" w:eastAsia="宋体" w:cs="宋体"/>
                <w:color w:val="auto"/>
                <w:sz w:val="21"/>
                <w:szCs w:val="21"/>
                <w:highlight w:val="none"/>
                <w:lang w:val="en-US" w:eastAsia="zh-CN"/>
              </w:rPr>
              <w:t>:</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a.投标函按招标文件规定填报了项目名称、标段号、补遗书编号（如有）、监理服务期限、工程质量要求及安全目标；</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b.投标文件组成齐全完整，内容均按规定填写。</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）投标人法定代表人授权委托代理人签署投标文件的，须提交授权委托书，且授权人和被授权人均在授权委托书上签名，签字盖章符合招标文件第二章“投标人须知”第3.7.3项规定。</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）投标人法定代表人亲自签署投标文件的，提供了法定代表人身份证明，且法定代表人在法定代表人身份证明上签名，签字盖章符合招标文件第二章“投标人须知”第3.7.3项规定。</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highlight w:val="none"/>
              </w:rPr>
              <w:t>投标人</w:t>
            </w:r>
            <w:r>
              <w:rPr>
                <w:rFonts w:hint="eastAsia" w:ascii="宋体" w:hAnsi="宋体" w:eastAsia="宋体" w:cs="宋体"/>
                <w:color w:val="auto"/>
                <w:sz w:val="21"/>
                <w:highlight w:val="none"/>
                <w:lang w:eastAsia="zh-CN"/>
              </w:rPr>
              <w:t>未</w:t>
            </w:r>
            <w:r>
              <w:rPr>
                <w:rFonts w:hint="eastAsia" w:ascii="宋体" w:hAnsi="宋体" w:eastAsia="宋体" w:cs="宋体"/>
                <w:color w:val="auto"/>
                <w:sz w:val="21"/>
                <w:highlight w:val="none"/>
              </w:rPr>
              <w:t>以联合体形式投标</w:t>
            </w:r>
            <w:r>
              <w:rPr>
                <w:rFonts w:hint="eastAsia" w:ascii="宋体" w:hAnsi="宋体" w:eastAsia="宋体" w:cs="宋体"/>
                <w:color w:val="auto"/>
                <w:sz w:val="21"/>
                <w:szCs w:val="21"/>
                <w:highlight w:val="none"/>
                <w:lang w:eastAsia="zh-CN"/>
              </w:rPr>
              <w:t>。</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）投标人无分包</w:t>
            </w:r>
            <w:r>
              <w:rPr>
                <w:rFonts w:hint="eastAsia" w:ascii="宋体" w:hAnsi="宋体" w:eastAsia="宋体" w:cs="宋体"/>
                <w:color w:val="auto"/>
                <w:sz w:val="21"/>
                <w:szCs w:val="21"/>
                <w:highlight w:val="none"/>
                <w:lang w:val="en-US" w:eastAsia="zh-CN"/>
              </w:rPr>
              <w:t>投标。</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）同一投标人未提交两个以上不同的投标文件，但招标文件要求提交备选投标的除外。</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）投标文件中未出现有关投标报价的内容。</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）投标文件载明的招标项目完成期限符合招标文件规定。</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）投标文件对招标文件的实质性要求和条件作出响应。</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）权利义务符合招标文件规定</w:t>
            </w:r>
            <w:r>
              <w:rPr>
                <w:rFonts w:hint="eastAsia" w:ascii="宋体" w:hAnsi="宋体" w:eastAsia="宋体" w:cs="宋体"/>
                <w:color w:val="auto"/>
                <w:sz w:val="21"/>
                <w:szCs w:val="21"/>
                <w:highlight w:val="none"/>
                <w:lang w:eastAsia="zh-CN"/>
              </w:rPr>
              <w:t>：</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b.投标人未增加委托人的责任范围，或减少投标人义务；</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）投标函上填写的标段号与所投标段号一致。</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）投标文件编制及提交方式满足投标人须知相关规定。</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（14）投标人按评标委员会要求澄清、说明或补正的</w:t>
            </w:r>
            <w:r>
              <w:rPr>
                <w:rFonts w:hint="eastAsia" w:ascii="宋体" w:hAnsi="宋体" w:eastAsia="宋体" w:cs="宋体"/>
                <w:color w:val="auto"/>
                <w:sz w:val="21"/>
                <w:szCs w:val="21"/>
                <w:highlight w:val="none"/>
                <w:lang w:eastAsia="zh-CN"/>
              </w:rPr>
              <w:t>。</w:t>
            </w:r>
          </w:p>
          <w:p>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（15）投标文件未附有招标人不能接受的条件。</w:t>
            </w:r>
          </w:p>
          <w:p>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投标文件未满足以上任一条件的，其投标视为无效，评标委员会将否决其投标。</w:t>
            </w:r>
          </w:p>
          <w:p>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第二个信封（报价文件）评审标准：</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（1）投标文件按照招标文件规定的格式、内容填写，字迹清晰可辨，内容齐全完整：</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a.投标函按招标文件规定填报了项目名称、标段号、补遗书编号（如有）、投标价（包括大写金额和小写金额）；</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b.已标价报价清单说明文字与招标文件规定一致，未进行实质性修改和删减；</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c.投标文件组成齐全完整，内容均按规定填写。</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（2）投标文件上法定代表人或其委托代理人的签字、投标人的单位章盖章齐全，符合招标文件规定。</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（3）投标报价未超过招标文件设定的最高投标限价（如有）。</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（4）投标报价的大写金额能够确定具体数值。</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（5）同一投标人未提交两个以上不同的投标报价，但招标文件要求提交备选投标的除外。</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（6）投标函上填写的标段号与所投标段号一致。</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（7）投标文件未附有招标人不能接受的条件。</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（8）未修改招标人给定的暂估价（如有）或暂列金额（如有）。</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（9）投标人电子标系统填写报价（开标记录表）与投标函报价一致。</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（10）投标文件未附有招标人不能接受的条件</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）按评标委员会要求澄清、说明或补正的。</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投标文件未满足以上任一条件的，其投标视为无效，评标委员会将否决其投标。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2" w:hRule="atLeast"/>
          <w:jc w:val="center"/>
        </w:trPr>
        <w:tc>
          <w:tcPr>
            <w:tcW w:w="1205"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386"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776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b w:val="0"/>
                <w:bCs w:val="0"/>
                <w:color w:val="auto"/>
                <w:kern w:val="0"/>
                <w:sz w:val="21"/>
                <w:szCs w:val="21"/>
                <w:highlight w:val="none"/>
                <w:lang w:bidi="ar"/>
              </w:rPr>
              <w:t>投标人具备有效的营业执照</w:t>
            </w:r>
            <w:r>
              <w:rPr>
                <w:rFonts w:hint="eastAsia" w:ascii="宋体" w:hAnsi="宋体" w:eastAsia="宋体" w:cs="宋体"/>
                <w:b w:val="0"/>
                <w:bCs w:val="0"/>
                <w:color w:val="auto"/>
                <w:kern w:val="0"/>
                <w:sz w:val="21"/>
                <w:szCs w:val="21"/>
                <w:highlight w:val="none"/>
                <w:lang w:val="en-US" w:eastAsia="zh-CN" w:bidi="ar"/>
              </w:rPr>
              <w:t>副本或事业单位法人证书或社会团体法人登记证书</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监理资质证书</w:t>
            </w:r>
            <w:r>
              <w:rPr>
                <w:rFonts w:hint="eastAsia" w:ascii="宋体" w:hAnsi="宋体" w:eastAsia="宋体" w:cs="宋体"/>
                <w:b w:val="0"/>
                <w:bCs w:val="0"/>
                <w:color w:val="auto"/>
                <w:kern w:val="0"/>
                <w:sz w:val="21"/>
                <w:szCs w:val="21"/>
                <w:highlight w:val="none"/>
                <w:lang w:val="en-US" w:eastAsia="zh-CN" w:bidi="ar"/>
              </w:rPr>
              <w:t>副本和</w:t>
            </w:r>
            <w:r>
              <w:rPr>
                <w:rFonts w:hint="eastAsia" w:ascii="宋体" w:hAnsi="宋体" w:eastAsia="宋体" w:cs="宋体"/>
                <w:b w:val="0"/>
                <w:bCs w:val="0"/>
                <w:color w:val="auto"/>
                <w:kern w:val="0"/>
                <w:sz w:val="21"/>
                <w:szCs w:val="21"/>
                <w:highlight w:val="none"/>
                <w:lang w:bidi="ar"/>
              </w:rPr>
              <w:t>基本账户信息</w:t>
            </w:r>
            <w:r>
              <w:rPr>
                <w:rFonts w:hint="eastAsia" w:ascii="宋体" w:hAnsi="宋体" w:eastAsia="宋体" w:cs="宋体"/>
                <w:b w:val="0"/>
                <w:bCs w:val="0"/>
                <w:color w:val="auto"/>
                <w:kern w:val="0"/>
                <w:sz w:val="21"/>
                <w:szCs w:val="21"/>
                <w:highlight w:val="none"/>
                <w:lang w:val="en-US" w:eastAsia="zh-CN" w:bidi="ar"/>
              </w:rPr>
              <w:t>的扫描件。</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（2）投标人的</w:t>
            </w:r>
            <w:r>
              <w:rPr>
                <w:rFonts w:hint="eastAsia" w:ascii="宋体" w:hAnsi="宋体" w:eastAsia="宋体" w:cs="宋体"/>
                <w:color w:val="auto"/>
                <w:kern w:val="0"/>
                <w:sz w:val="21"/>
                <w:szCs w:val="21"/>
                <w:highlight w:val="none"/>
                <w:lang w:val="en-US" w:eastAsia="zh-CN" w:bidi="ar"/>
              </w:rPr>
              <w:t>资质最低要求</w:t>
            </w:r>
            <w:r>
              <w:rPr>
                <w:rFonts w:hint="eastAsia" w:ascii="宋体" w:hAnsi="宋体" w:eastAsia="宋体" w:cs="宋体"/>
                <w:color w:val="auto"/>
                <w:kern w:val="0"/>
                <w:sz w:val="21"/>
                <w:szCs w:val="21"/>
                <w:highlight w:val="none"/>
                <w:lang w:bidi="ar"/>
              </w:rPr>
              <w:t>符合招标文件投标人须知</w:t>
            </w:r>
            <w:r>
              <w:rPr>
                <w:rFonts w:hint="eastAsia" w:ascii="宋体" w:hAnsi="宋体" w:eastAsia="宋体" w:cs="宋体"/>
                <w:b/>
                <w:bCs/>
                <w:color w:val="auto"/>
                <w:kern w:val="0"/>
                <w:sz w:val="21"/>
                <w:szCs w:val="21"/>
                <w:highlight w:val="none"/>
              </w:rPr>
              <w:t>附录1</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eastAsia="宋体" w:cs="宋体"/>
                <w:color w:val="auto"/>
                <w:kern w:val="0"/>
                <w:sz w:val="21"/>
                <w:szCs w:val="21"/>
                <w:highlight w:val="none"/>
                <w:lang w:bidi="ar"/>
              </w:rPr>
              <w:t>规定</w:t>
            </w:r>
            <w:r>
              <w:rPr>
                <w:rFonts w:hint="eastAsia" w:ascii="宋体" w:hAnsi="宋体" w:eastAsia="宋体" w:cs="宋体"/>
                <w:color w:val="auto"/>
                <w:kern w:val="0"/>
                <w:sz w:val="21"/>
                <w:szCs w:val="21"/>
                <w:highlight w:val="none"/>
                <w:lang w:eastAsia="zh-CN" w:bidi="ar"/>
              </w:rPr>
              <w:t>。</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（3）投标人的</w:t>
            </w:r>
            <w:r>
              <w:rPr>
                <w:rFonts w:hint="eastAsia" w:ascii="宋体" w:hAnsi="宋体" w:eastAsia="宋体" w:cs="宋体"/>
                <w:color w:val="auto"/>
                <w:kern w:val="0"/>
                <w:sz w:val="21"/>
                <w:szCs w:val="21"/>
                <w:highlight w:val="none"/>
                <w:lang w:val="en-US" w:eastAsia="zh-CN" w:bidi="ar"/>
              </w:rPr>
              <w:t>业绩最低要求</w:t>
            </w:r>
            <w:r>
              <w:rPr>
                <w:rFonts w:hint="eastAsia" w:ascii="宋体" w:hAnsi="宋体" w:eastAsia="宋体" w:cs="宋体"/>
                <w:color w:val="auto"/>
                <w:kern w:val="0"/>
                <w:sz w:val="21"/>
                <w:szCs w:val="21"/>
                <w:highlight w:val="none"/>
                <w:lang w:bidi="ar"/>
              </w:rPr>
              <w:t>符合招标文件投标人须知</w:t>
            </w:r>
            <w:r>
              <w:rPr>
                <w:rFonts w:hint="eastAsia" w:ascii="宋体" w:hAnsi="宋体" w:eastAsia="宋体" w:cs="宋体"/>
                <w:b/>
                <w:bCs/>
                <w:color w:val="auto"/>
                <w:kern w:val="0"/>
                <w:sz w:val="21"/>
                <w:szCs w:val="21"/>
                <w:highlight w:val="none"/>
              </w:rPr>
              <w:t>附录</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eastAsia="宋体" w:cs="宋体"/>
                <w:color w:val="auto"/>
                <w:kern w:val="0"/>
                <w:sz w:val="21"/>
                <w:szCs w:val="21"/>
                <w:highlight w:val="none"/>
                <w:lang w:bidi="ar"/>
              </w:rPr>
              <w:t>规定</w:t>
            </w:r>
            <w:r>
              <w:rPr>
                <w:rFonts w:hint="eastAsia" w:ascii="宋体" w:hAnsi="宋体" w:eastAsia="宋体" w:cs="宋体"/>
                <w:color w:val="auto"/>
                <w:kern w:val="0"/>
                <w:sz w:val="21"/>
                <w:szCs w:val="21"/>
                <w:highlight w:val="none"/>
                <w:lang w:eastAsia="zh-CN" w:bidi="ar"/>
              </w:rPr>
              <w:t>。</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（4）投标人的信誉</w:t>
            </w:r>
            <w:r>
              <w:rPr>
                <w:rFonts w:hint="eastAsia" w:ascii="宋体" w:hAnsi="宋体" w:eastAsia="宋体" w:cs="宋体"/>
                <w:color w:val="auto"/>
                <w:kern w:val="0"/>
                <w:sz w:val="21"/>
                <w:szCs w:val="21"/>
                <w:highlight w:val="none"/>
                <w:lang w:val="en-US" w:eastAsia="zh-CN" w:bidi="ar"/>
              </w:rPr>
              <w:t>最低要求</w:t>
            </w:r>
            <w:r>
              <w:rPr>
                <w:rFonts w:hint="eastAsia" w:ascii="宋体" w:hAnsi="宋体" w:eastAsia="宋体" w:cs="宋体"/>
                <w:color w:val="auto"/>
                <w:kern w:val="0"/>
                <w:sz w:val="21"/>
                <w:szCs w:val="21"/>
                <w:highlight w:val="none"/>
                <w:lang w:bidi="ar"/>
              </w:rPr>
              <w:t>符合招标文件投标人须知</w:t>
            </w:r>
            <w:r>
              <w:rPr>
                <w:rFonts w:hint="eastAsia" w:ascii="宋体" w:hAnsi="宋体" w:eastAsia="宋体" w:cs="宋体"/>
                <w:b/>
                <w:bCs/>
                <w:color w:val="auto"/>
                <w:kern w:val="0"/>
                <w:sz w:val="21"/>
                <w:szCs w:val="21"/>
                <w:highlight w:val="none"/>
              </w:rPr>
              <w:t>附录</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eastAsia="宋体" w:cs="宋体"/>
                <w:color w:val="auto"/>
                <w:kern w:val="0"/>
                <w:sz w:val="21"/>
                <w:szCs w:val="21"/>
                <w:highlight w:val="none"/>
                <w:lang w:bidi="ar"/>
              </w:rPr>
              <w:t>规定</w:t>
            </w:r>
            <w:r>
              <w:rPr>
                <w:rFonts w:hint="eastAsia" w:ascii="宋体" w:hAnsi="宋体" w:eastAsia="宋体" w:cs="宋体"/>
                <w:color w:val="auto"/>
                <w:kern w:val="0"/>
                <w:sz w:val="21"/>
                <w:szCs w:val="21"/>
                <w:highlight w:val="none"/>
                <w:lang w:eastAsia="zh-CN" w:bidi="ar"/>
              </w:rPr>
              <w:t>。</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（5）投标人的总监理工程师</w:t>
            </w:r>
            <w:r>
              <w:rPr>
                <w:rFonts w:hint="eastAsia" w:ascii="宋体" w:hAnsi="宋体" w:eastAsia="宋体" w:cs="宋体"/>
                <w:color w:val="auto"/>
                <w:kern w:val="0"/>
                <w:sz w:val="21"/>
                <w:szCs w:val="21"/>
                <w:highlight w:val="none"/>
                <w:lang w:val="en-US" w:eastAsia="zh-CN" w:bidi="ar"/>
              </w:rPr>
              <w:t>最低要求</w:t>
            </w:r>
            <w:r>
              <w:rPr>
                <w:rFonts w:hint="eastAsia" w:ascii="宋体" w:hAnsi="宋体" w:eastAsia="宋体" w:cs="宋体"/>
                <w:color w:val="auto"/>
                <w:kern w:val="0"/>
                <w:sz w:val="21"/>
                <w:szCs w:val="21"/>
                <w:highlight w:val="none"/>
                <w:lang w:bidi="ar"/>
              </w:rPr>
              <w:t>符合招标文件投标人须知</w:t>
            </w:r>
            <w:r>
              <w:rPr>
                <w:rFonts w:hint="eastAsia" w:ascii="宋体" w:hAnsi="宋体" w:eastAsia="宋体" w:cs="宋体"/>
                <w:b/>
                <w:bCs/>
                <w:color w:val="auto"/>
                <w:kern w:val="0"/>
                <w:sz w:val="21"/>
                <w:szCs w:val="21"/>
                <w:highlight w:val="none"/>
              </w:rPr>
              <w:t>附录</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eastAsia="宋体" w:cs="宋体"/>
                <w:color w:val="auto"/>
                <w:kern w:val="0"/>
                <w:sz w:val="21"/>
                <w:szCs w:val="21"/>
                <w:highlight w:val="none"/>
                <w:lang w:bidi="ar"/>
              </w:rPr>
              <w:t>规定</w:t>
            </w:r>
            <w:r>
              <w:rPr>
                <w:rFonts w:hint="eastAsia" w:ascii="宋体" w:hAnsi="宋体" w:eastAsia="宋体" w:cs="宋体"/>
                <w:color w:val="auto"/>
                <w:kern w:val="0"/>
                <w:sz w:val="21"/>
                <w:szCs w:val="21"/>
                <w:highlight w:val="none"/>
                <w:lang w:eastAsia="zh-CN" w:bidi="ar"/>
              </w:rPr>
              <w:t>。</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（6）投标人的其他要求符合招标文件规定</w:t>
            </w:r>
            <w:r>
              <w:rPr>
                <w:rFonts w:hint="eastAsia" w:ascii="宋体" w:hAnsi="宋体" w:eastAsia="宋体" w:cs="宋体"/>
                <w:color w:val="auto"/>
                <w:kern w:val="0"/>
                <w:sz w:val="21"/>
                <w:szCs w:val="21"/>
                <w:highlight w:val="none"/>
                <w:lang w:eastAsia="zh-CN" w:bidi="ar"/>
              </w:rPr>
              <w:t>。</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（7）投标人不存在第二章“投标人须知”第1.4.3项或第1.4.4项规定的任何一种情形。</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（8）投标人符合第二章“投标人须知”第1.4.5项规定</w:t>
            </w:r>
            <w:r>
              <w:rPr>
                <w:rFonts w:hint="eastAsia" w:ascii="宋体" w:hAnsi="宋体" w:eastAsia="宋体" w:cs="宋体"/>
                <w:color w:val="auto"/>
                <w:kern w:val="0"/>
                <w:sz w:val="21"/>
                <w:szCs w:val="21"/>
                <w:highlight w:val="none"/>
                <w:lang w:eastAsia="zh-CN" w:bidi="ar"/>
              </w:rPr>
              <w:t>。</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投标文件未满足以上任一条件的，其投标视为无效，评标委员会将否决其投标。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49" w:hRule="atLeast"/>
          <w:jc w:val="center"/>
        </w:trPr>
        <w:tc>
          <w:tcPr>
            <w:tcW w:w="1205"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2.2.1</w:t>
            </w:r>
          </w:p>
        </w:tc>
        <w:tc>
          <w:tcPr>
            <w:tcW w:w="1386"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776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技术建议书：</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.00分</w:t>
            </w:r>
          </w:p>
          <w:p>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.00分</w:t>
            </w:r>
          </w:p>
          <w:p>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业</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履约信誉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5.00分</w:t>
            </w:r>
          </w:p>
          <w:p>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第二个信封（报价文件）评分分值构成：</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w:t>
            </w:r>
            <w:r>
              <w:rPr>
                <w:rStyle w:val="10"/>
                <w:rFonts w:hint="eastAsia" w:ascii="宋体" w:hAnsi="宋体" w:eastAsia="宋体" w:cs="宋体"/>
                <w:color w:val="auto"/>
                <w:sz w:val="21"/>
                <w:szCs w:val="21"/>
                <w:highlight w:val="none"/>
              </w:rPr>
              <w:footnoteReference w:id="0"/>
            </w:r>
            <w:r>
              <w:rPr>
                <w:rFonts w:hint="eastAsia" w:ascii="宋体" w:hAnsi="宋体" w:eastAsia="宋体" w:cs="宋体"/>
                <w:color w:val="auto"/>
                <w:sz w:val="21"/>
                <w:szCs w:val="21"/>
                <w:highlight w:val="none"/>
              </w:rPr>
              <w:t>：10.00分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51" w:hRule="atLeast"/>
          <w:jc w:val="center"/>
        </w:trPr>
        <w:tc>
          <w:tcPr>
            <w:tcW w:w="1205"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2.2.</w:t>
            </w:r>
            <w:r>
              <w:rPr>
                <w:rFonts w:hint="eastAsia" w:ascii="宋体" w:hAnsi="宋体" w:eastAsia="宋体" w:cs="宋体"/>
                <w:color w:val="auto"/>
                <w:sz w:val="21"/>
                <w:szCs w:val="21"/>
                <w:highlight w:val="none"/>
              </w:rPr>
              <w:t>2</w:t>
            </w:r>
          </w:p>
        </w:tc>
        <w:tc>
          <w:tcPr>
            <w:tcW w:w="1386"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评标基准价</w:t>
            </w:r>
          </w:p>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计算方法</w:t>
            </w:r>
          </w:p>
        </w:tc>
        <w:tc>
          <w:tcPr>
            <w:tcW w:w="776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在开标现场，招标人将当场计算并宣布评标基准价。</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一、计算公式字母含义</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（一）P为评标基准价；</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（二）Di为评标价：Di＝投标函文字报价；</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（三）N为有效评标价的数量（有效评标价：除第一</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信封经评标委员会否决的投标人、第二</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信封开标现场被宣布为不进入评标基准价计算的评标价的投标人除外，剩余所有投标人的评标价均为有效评标价。）</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（四）n1为去掉最高有效评标价的数量，n2为去掉最低有效评标价的数量。</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n1、n2的取值方法：当N＜5时，n1、n2均取0；当5≤N时，n1、n2均取1。</w:t>
            </w:r>
          </w:p>
          <w:p>
            <w:pPr>
              <w:pStyle w:val="18"/>
              <w:keepNext w:val="0"/>
              <w:keepLines w:val="0"/>
              <w:pageBreakBefore w:val="0"/>
              <w:widowControl/>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w:t>
            </w:r>
          </w:p>
          <w:p>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评标基准价方法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有效评标价去掉n1个最高评标价和n2个最低评标价后取平均值作为评标基准价P；计算保留至小数点后两位，小数点后第三位“四舍五入”。</w:t>
            </w:r>
          </w:p>
          <w:p>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评标基准价的计算除开标时计算错误外，不因第二信封评审否决投标而改变，也不因招标投标当事人异议、投诉以及其它任何情形而改变。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4" w:hRule="atLeast"/>
          <w:jc w:val="center"/>
        </w:trPr>
        <w:tc>
          <w:tcPr>
            <w:tcW w:w="1205"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2.2.</w:t>
            </w:r>
            <w:r>
              <w:rPr>
                <w:rFonts w:hint="eastAsia" w:ascii="宋体" w:hAnsi="宋体" w:eastAsia="宋体" w:cs="宋体"/>
                <w:color w:val="auto"/>
                <w:sz w:val="21"/>
                <w:szCs w:val="21"/>
                <w:highlight w:val="none"/>
              </w:rPr>
              <w:t>3</w:t>
            </w:r>
          </w:p>
        </w:tc>
        <w:tc>
          <w:tcPr>
            <w:tcW w:w="1386"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评标价的偏差率计算公</w:t>
            </w:r>
            <w:r>
              <w:rPr>
                <w:rFonts w:hint="eastAsia" w:ascii="宋体" w:hAnsi="宋体" w:eastAsia="宋体" w:cs="宋体"/>
                <w:color w:val="auto"/>
                <w:sz w:val="21"/>
                <w:szCs w:val="21"/>
                <w:highlight w:val="none"/>
              </w:rPr>
              <w:t>式</w:t>
            </w:r>
          </w:p>
        </w:tc>
        <w:tc>
          <w:tcPr>
            <w:tcW w:w="776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偏差率=100%×（投标人评标价－评标基准价）/评标基准价</w:t>
            </w:r>
          </w:p>
          <w:p>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偏差率保留小数点后两位，小数点后第三位“四舍五入”</w:t>
            </w:r>
          </w:p>
        </w:tc>
      </w:tr>
    </w:tbl>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br w:type="page"/>
      </w:r>
    </w:p>
    <w:tbl>
      <w:tblPr>
        <w:tblStyle w:val="8"/>
        <w:tblW w:w="1035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
        <w:gridCol w:w="189"/>
        <w:gridCol w:w="763"/>
        <w:gridCol w:w="941"/>
        <w:gridCol w:w="725"/>
        <w:gridCol w:w="748"/>
        <w:gridCol w:w="818"/>
        <w:gridCol w:w="523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3" w:type="dxa"/>
            <w:gridSpan w:val="2"/>
            <w:vMerge w:val="restart"/>
            <w:tcBorders>
              <w:top w:val="single" w:color="auto" w:sz="4" w:space="0"/>
              <w:left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条款号</w:t>
            </w:r>
          </w:p>
        </w:tc>
        <w:tc>
          <w:tcPr>
            <w:tcW w:w="3995" w:type="dxa"/>
            <w:gridSpan w:val="5"/>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评分因素与权重分值</w:t>
            </w:r>
          </w:p>
        </w:tc>
        <w:tc>
          <w:tcPr>
            <w:tcW w:w="5234" w:type="dxa"/>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r>
              <w:rPr>
                <w:rStyle w:val="10"/>
                <w:rFonts w:hint="eastAsia" w:ascii="宋体" w:hAnsi="宋体" w:eastAsia="宋体" w:cs="宋体"/>
                <w:color w:val="auto"/>
                <w:sz w:val="21"/>
                <w:szCs w:val="21"/>
                <w:highlight w:val="none"/>
                <w:lang w:eastAsia="zh-CN"/>
              </w:rPr>
              <w:footnoteReference w:id="1"/>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9" w:hRule="atLeast"/>
          <w:jc w:val="center"/>
        </w:trPr>
        <w:tc>
          <w:tcPr>
            <w:tcW w:w="1123" w:type="dxa"/>
            <w:gridSpan w:val="2"/>
            <w:vMerge w:val="continue"/>
            <w:tcBorders>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r>
              <w:rPr>
                <w:rStyle w:val="10"/>
                <w:rFonts w:hint="eastAsia" w:ascii="宋体" w:hAnsi="宋体" w:eastAsia="宋体" w:cs="宋体"/>
                <w:color w:val="auto"/>
                <w:sz w:val="21"/>
                <w:szCs w:val="21"/>
                <w:highlight w:val="none"/>
                <w:lang w:eastAsia="zh-CN"/>
              </w:rPr>
              <w:footnoteReference w:id="2"/>
            </w:r>
          </w:p>
        </w:tc>
        <w:tc>
          <w:tcPr>
            <w:tcW w:w="94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评分因素</w:t>
            </w:r>
            <w:r>
              <w:rPr>
                <w:rFonts w:hint="eastAsia" w:ascii="宋体" w:hAnsi="宋体" w:eastAsia="宋体" w:cs="宋体"/>
                <w:color w:val="auto"/>
                <w:sz w:val="21"/>
                <w:szCs w:val="21"/>
                <w:highlight w:val="none"/>
                <w:lang w:val="en-US" w:eastAsia="zh-CN"/>
              </w:rPr>
              <w:t>权重分值</w:t>
            </w:r>
          </w:p>
        </w:tc>
        <w:tc>
          <w:tcPr>
            <w:tcW w:w="1473"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各评分因素细分项</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w:t>
            </w:r>
          </w:p>
        </w:tc>
        <w:tc>
          <w:tcPr>
            <w:tcW w:w="5234" w:type="dxa"/>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50" w:hRule="atLeast"/>
          <w:jc w:val="center"/>
        </w:trPr>
        <w:tc>
          <w:tcPr>
            <w:tcW w:w="1123" w:type="dxa"/>
            <w:gridSpan w:val="2"/>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2.2.4（1）</w:t>
            </w:r>
          </w:p>
        </w:tc>
        <w:tc>
          <w:tcPr>
            <w:tcW w:w="763" w:type="dxa"/>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技术建议书</w:t>
            </w:r>
          </w:p>
        </w:tc>
        <w:tc>
          <w:tcPr>
            <w:tcW w:w="941" w:type="dxa"/>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35</w:t>
            </w:r>
          </w:p>
        </w:tc>
        <w:tc>
          <w:tcPr>
            <w:tcW w:w="1473"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监理大纲（或监理方案）和措施</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优：得 13.5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15.0分；</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良：得 10.5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13.5分；</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中：得 9.0</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10.5分；</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差：评分低于9分，</w:t>
            </w:r>
            <w:r>
              <w:rPr>
                <w:rFonts w:hint="eastAsia" w:ascii="宋体" w:hAnsi="宋体" w:eastAsia="宋体" w:cs="宋体"/>
                <w:color w:val="auto"/>
                <w:sz w:val="21"/>
                <w:szCs w:val="21"/>
                <w:highlight w:val="none"/>
              </w:rPr>
              <w:t>且</w:t>
            </w:r>
            <w:r>
              <w:rPr>
                <w:rFonts w:hint="eastAsia" w:ascii="宋体" w:hAnsi="宋体" w:eastAsia="宋体" w:cs="宋体"/>
                <w:color w:val="auto"/>
                <w:kern w:val="0"/>
                <w:sz w:val="21"/>
                <w:szCs w:val="21"/>
                <w:highlight w:val="none"/>
                <w:lang w:bidi="ar"/>
              </w:rPr>
              <w:t>作出评审说明。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3" w:hRule="atLeast"/>
          <w:jc w:val="center"/>
        </w:trPr>
        <w:tc>
          <w:tcPr>
            <w:tcW w:w="1123" w:type="dxa"/>
            <w:gridSpan w:val="2"/>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p>
        </w:tc>
        <w:tc>
          <w:tcPr>
            <w:tcW w:w="763" w:type="dxa"/>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p>
        </w:tc>
        <w:tc>
          <w:tcPr>
            <w:tcW w:w="1473"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本工程监理工作的重点与难点分析</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 分；</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9.0分；</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7.0分；</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差：评分低于6.0分</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且</w:t>
            </w:r>
            <w:r>
              <w:rPr>
                <w:rFonts w:hint="eastAsia" w:ascii="宋体" w:hAnsi="宋体" w:eastAsia="宋体" w:cs="宋体"/>
                <w:color w:val="auto"/>
                <w:kern w:val="0"/>
                <w:sz w:val="21"/>
                <w:szCs w:val="21"/>
                <w:highlight w:val="none"/>
                <w:lang w:bidi="ar"/>
              </w:rPr>
              <w:t>作出评审说明。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4" w:hRule="atLeast"/>
          <w:jc w:val="center"/>
        </w:trPr>
        <w:tc>
          <w:tcPr>
            <w:tcW w:w="1123" w:type="dxa"/>
            <w:gridSpan w:val="2"/>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 xml:space="preserve"> </w:t>
            </w:r>
          </w:p>
        </w:tc>
        <w:tc>
          <w:tcPr>
            <w:tcW w:w="763" w:type="dxa"/>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p>
        </w:tc>
        <w:tc>
          <w:tcPr>
            <w:tcW w:w="1473"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对本工程的建议</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 9.0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10.0分；</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9.0分；</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7.0分；</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差：评分低于6.0分，且作出评审说明。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 w:hRule="atLeast"/>
          <w:jc w:val="center"/>
        </w:trPr>
        <w:tc>
          <w:tcPr>
            <w:tcW w:w="1123"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2.2.4（2）</w:t>
            </w:r>
          </w:p>
        </w:tc>
        <w:tc>
          <w:tcPr>
            <w:tcW w:w="763"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主要人员</w:t>
            </w:r>
          </w:p>
        </w:tc>
        <w:tc>
          <w:tcPr>
            <w:tcW w:w="94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25</w:t>
            </w:r>
          </w:p>
        </w:tc>
        <w:tc>
          <w:tcPr>
            <w:tcW w:w="1473"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总监理</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rPr>
              <w:t>程师任职资格与业绩</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25</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1.满足资格审查条件（总监理工程师最低要求）得15分；</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2.在满足资格审查条件（总监理工程师最低要求）的基础上，近5年（</w:t>
            </w:r>
            <w:r>
              <w:rPr>
                <w:rFonts w:hint="eastAsia" w:ascii="宋体" w:hAnsi="宋体" w:eastAsia="宋体" w:cs="宋体"/>
                <w:color w:val="auto"/>
                <w:spacing w:val="0"/>
                <w:kern w:val="0"/>
                <w:sz w:val="21"/>
                <w:szCs w:val="21"/>
                <w:highlight w:val="none"/>
                <w:lang w:val="en-US" w:eastAsia="zh-CN"/>
              </w:rPr>
              <w:t>任职时段在2020年3月28日至投标文件递交截止之日止，以交工日期为准</w:t>
            </w:r>
            <w:r>
              <w:rPr>
                <w:rFonts w:hint="eastAsia" w:ascii="宋体" w:hAnsi="宋体" w:eastAsia="宋体" w:cs="宋体"/>
                <w:color w:val="auto"/>
                <w:sz w:val="21"/>
                <w:szCs w:val="21"/>
                <w:highlight w:val="none"/>
                <w:lang w:val="en-US" w:eastAsia="zh-CN"/>
              </w:rPr>
              <w:t>）每增加1个一级及以上等级公路工程（</w:t>
            </w:r>
            <w:r>
              <w:rPr>
                <w:rFonts w:hint="eastAsia" w:ascii="宋体" w:hAnsi="宋体" w:eastAsia="宋体" w:cs="宋体"/>
                <w:color w:val="auto"/>
                <w:kern w:val="2"/>
                <w:sz w:val="21"/>
                <w:szCs w:val="21"/>
                <w:highlight w:val="none"/>
                <w:lang w:val="en-US" w:eastAsia="zh-CN" w:bidi="ar-SA"/>
              </w:rPr>
              <w:t>新建或改扩建或养护工程）</w:t>
            </w:r>
            <w:r>
              <w:rPr>
                <w:rFonts w:hint="eastAsia" w:ascii="宋体" w:hAnsi="宋体" w:eastAsia="宋体" w:cs="宋体"/>
                <w:color w:val="auto"/>
                <w:sz w:val="21"/>
                <w:szCs w:val="21"/>
                <w:highlight w:val="none"/>
                <w:lang w:val="en-US" w:eastAsia="zh-CN"/>
              </w:rPr>
              <w:t>施工监理的总监理工程师的业绩加10分；或每增加1个一级及以上等级公路工程（</w:t>
            </w:r>
            <w:r>
              <w:rPr>
                <w:rFonts w:hint="eastAsia" w:ascii="宋体" w:hAnsi="宋体" w:eastAsia="宋体" w:cs="宋体"/>
                <w:color w:val="auto"/>
                <w:kern w:val="2"/>
                <w:sz w:val="21"/>
                <w:szCs w:val="21"/>
                <w:highlight w:val="none"/>
                <w:lang w:val="en-US" w:eastAsia="zh-CN" w:bidi="ar-SA"/>
              </w:rPr>
              <w:t>新建或改扩建或养护工程）</w:t>
            </w:r>
            <w:r>
              <w:rPr>
                <w:rFonts w:hint="eastAsia" w:ascii="宋体" w:hAnsi="宋体" w:eastAsia="宋体" w:cs="宋体"/>
                <w:color w:val="auto"/>
                <w:sz w:val="21"/>
                <w:szCs w:val="21"/>
                <w:highlight w:val="none"/>
                <w:lang w:val="en-US" w:eastAsia="zh-CN"/>
              </w:rPr>
              <w:t>施工监理的副总监理工程师（或驻地监理工程师）的业绩加5分，此项最多加10分。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10" w:hRule="atLeast"/>
          <w:jc w:val="center"/>
        </w:trPr>
        <w:tc>
          <w:tcPr>
            <w:tcW w:w="1123"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2.2.4（3）</w:t>
            </w:r>
          </w:p>
        </w:tc>
        <w:tc>
          <w:tcPr>
            <w:tcW w:w="3177" w:type="dxa"/>
            <w:gridSpan w:val="4"/>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rPr>
              <w:t>评标价</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评标价得分按照下面规定计算：</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(1)如果投标人的评标价&gt;评标基准价，则评标价得分＝F－偏差率×100×E1；</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(2)如果投标人的评标价≤评标基准价，则评标价得分＝F＋偏差率×100×E2。</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F是10分，E1是评标价每高于评标基准价一个百分点的扣分值，E2评标价每低于评标基准价一个百分点的扣分值；其中E1＝0.2，E2＝0.1。评标价得分分值保留小数点后两位，小数点后第三位“四舍五入”，最低分为0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5" w:hRule="atLeast"/>
          <w:jc w:val="center"/>
        </w:trPr>
        <w:tc>
          <w:tcPr>
            <w:tcW w:w="1123" w:type="dxa"/>
            <w:gridSpan w:val="2"/>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2.2.4（4）</w:t>
            </w:r>
          </w:p>
        </w:tc>
        <w:tc>
          <w:tcPr>
            <w:tcW w:w="763" w:type="dxa"/>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其他因素</w:t>
            </w:r>
          </w:p>
        </w:tc>
        <w:tc>
          <w:tcPr>
            <w:tcW w:w="94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业绩</w:t>
            </w:r>
          </w:p>
        </w:tc>
        <w:tc>
          <w:tcPr>
            <w:tcW w:w="725"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w:t>
            </w:r>
          </w:p>
        </w:tc>
        <w:tc>
          <w:tcPr>
            <w:tcW w:w="74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企业</w:t>
            </w:r>
            <w:r>
              <w:rPr>
                <w:rFonts w:hint="eastAsia" w:ascii="宋体" w:hAnsi="宋体" w:eastAsia="宋体" w:cs="宋体"/>
                <w:color w:val="auto"/>
                <w:kern w:val="0"/>
                <w:sz w:val="21"/>
                <w:szCs w:val="21"/>
                <w:highlight w:val="none"/>
                <w:lang w:bidi="ar"/>
              </w:rPr>
              <w:t>业绩</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1.满足资格审查条件（业绩最低要求）得15分；</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2.在满足资格条件审查（业绩最低要求）的基础上，近5年（自2020年3月28日至投标文件递交截止之日止，以交工日期为准），每增加1个</w:t>
            </w:r>
            <w:r>
              <w:rPr>
                <w:rFonts w:hint="eastAsia" w:ascii="宋体" w:hAnsi="宋体" w:eastAsia="宋体" w:cs="宋体"/>
                <w:color w:val="auto"/>
                <w:sz w:val="21"/>
                <w:szCs w:val="21"/>
                <w:highlight w:val="none"/>
                <w:lang w:val="en-US" w:eastAsia="zh-CN"/>
              </w:rPr>
              <w:t>一级及以上等级公路工程（新建或改扩建或养护工程）施工</w:t>
            </w:r>
            <w:r>
              <w:rPr>
                <w:rFonts w:hint="eastAsia" w:ascii="宋体" w:hAnsi="宋体" w:eastAsia="宋体" w:cs="宋体"/>
                <w:color w:val="auto"/>
                <w:kern w:val="0"/>
                <w:sz w:val="21"/>
                <w:szCs w:val="21"/>
                <w:highlight w:val="none"/>
                <w:lang w:val="en-US" w:eastAsia="zh-CN" w:bidi="ar"/>
              </w:rPr>
              <w:t>监理业绩加10分。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50" w:hRule="atLeast"/>
          <w:jc w:val="center"/>
        </w:trPr>
        <w:tc>
          <w:tcPr>
            <w:tcW w:w="1123" w:type="dxa"/>
            <w:gridSpan w:val="2"/>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p>
        </w:tc>
        <w:tc>
          <w:tcPr>
            <w:tcW w:w="763" w:type="dxa"/>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p>
        </w:tc>
        <w:tc>
          <w:tcPr>
            <w:tcW w:w="94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rPr>
              <w:t>履约信誉</w:t>
            </w:r>
          </w:p>
        </w:tc>
        <w:tc>
          <w:tcPr>
            <w:tcW w:w="725"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5</w:t>
            </w:r>
          </w:p>
        </w:tc>
        <w:tc>
          <w:tcPr>
            <w:tcW w:w="74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信用评价</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rPr>
              <w:t>5</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numPr>
                <w:ilvl w:val="0"/>
                <w:numId w:val="0"/>
              </w:numPr>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信用等级为AA级的投标人，得5分；为A级的投标人，得4.8分；为B级的投标人，得4.4分；为C级的投标人，得3.6分。</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投标人信用等级的认定条件为：宁夏回族自治区交通运输厅网站公布的最新年度宁夏公路建设与养护市场从业单位监理企业信用评价结果公示的信用等级；投标人当前无自治区范围内信用评价结果的，需要进行初次认定，初次认定等级根据《宁夏回族自治区公路建设与养护市场信用评价管理办法》的通知宁交规发〔2024〕1号确定。</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（1）从业主体当前有全国评价结果的，按照全国评价结果初次认定。</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（2）从业主体当前无全国评价结果的，按照从业主体当前注册地省级综合评价结果确定初次认定。</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从业主体当前无注册地省级综合评价结果的，若无失信记录，从业单位应按A级初次认定，从业人员应按未被信用扣分认定；若有失信记录，视其严重程度对从业单位按B级及以下初次认定，对从业人员按“评价周期内从业承诺履行状况较差”“信用较差”或“评价周期内从业承诺履行状况很差”“信用差”初次认定。</w:t>
            </w:r>
          </w:p>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u w:val="none"/>
                <w:shd w:val="clear" w:color="auto" w:fill="auto"/>
                <w:lang w:val="en-US" w:eastAsia="zh-CN"/>
              </w:rPr>
              <w:t>注：投标人须按照投标文件格式中“信用评价等级”相关要求提供信用评价等级相关证明材料。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1" w:hRule="atLeast"/>
          <w:jc w:val="center"/>
        </w:trPr>
        <w:tc>
          <w:tcPr>
            <w:tcW w:w="10352" w:type="dxa"/>
            <w:gridSpan w:val="8"/>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59" w:hRule="atLeast"/>
          <w:jc w:val="center"/>
        </w:trPr>
        <w:tc>
          <w:tcPr>
            <w:tcW w:w="9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418" w:type="dxa"/>
            <w:gridSpan w:val="7"/>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pPr>
              <w:pStyle w:val="3"/>
              <w:keepNext w:val="0"/>
              <w:keepLines w:val="0"/>
              <w:pageBreakBefore w:val="0"/>
              <w:numPr>
                <w:ilvl w:val="0"/>
                <w:numId w:val="0"/>
              </w:numPr>
              <w:kinsoku/>
              <w:wordWrap/>
              <w:overflowPunct/>
              <w:topLinePunct w:val="0"/>
              <w:bidi w:val="0"/>
              <w:adjustRightInd/>
              <w:snapToGrid/>
              <w:spacing w:line="36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1.评标办法</w:t>
            </w:r>
          </w:p>
          <w:p>
            <w:pPr>
              <w:pStyle w:val="3"/>
              <w:keepNext w:val="0"/>
              <w:keepLines w:val="0"/>
              <w:pageBreakBefore w:val="0"/>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本条细化为：</w:t>
            </w:r>
          </w:p>
          <w:p>
            <w:pPr>
              <w:pStyle w:val="3"/>
              <w:keepNext w:val="0"/>
              <w:keepLines w:val="0"/>
              <w:pageBreakBefore w:val="0"/>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评标委员会首先对投标文件第一个信封（商务与技术文件）进行初步评审（形式评审与响应性评审、资格评审），并对通过第一个信封初步评审的投标文件按照本章第2.2款规定的评分标准进行第一个信封详细评审及评分。</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所有通过第一个信封初步评审后的投标文件方可进入第二个信封（报价文件）的开标，其第二个信封在监督机关的监督下进行开标；未通过第一个信封初步评审的投标人不进入第二个信封的评审，其第二个信封原封退回（或不予解密），不参与第二个信封的开标。</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评标委员会对投标文件第二个信封进行初步评审（形式评审与响应性评审），并对通过第二个信封初步评审的投标文件按照本章第2.2款规定的评分标准进行评标价评分（保留小数点后两位，小数点后第三位“四舍五入”），各投标人的最终得分为第一个信封与第二个信封得分之和，评标委员会按最终得分由高到低顺序确定中标候选人推荐排序，但投标报价低于其成本的除外。</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两家及以上投标人在标段中的综合得分相等时，若评标价不相等，以评标价较低者优先；当两家及以上投标人在标段中的综合得分相等且评标价也相等时，若各投标人报价清单子目单价也相同时，视为串标，其投标均被否决。</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当两家及以上投标人在标段中的综合得分相等且评标价也相等时，且各投标人报价清单子目单价不尽相同时，推荐顺序则依次依据“</w:t>
            </w:r>
            <w:r>
              <w:rPr>
                <w:rFonts w:hint="eastAsia" w:ascii="宋体" w:hAnsi="宋体" w:eastAsia="宋体" w:cs="宋体"/>
                <w:b w:val="0"/>
                <w:bCs w:val="0"/>
                <w:color w:val="auto"/>
                <w:sz w:val="21"/>
                <w:szCs w:val="21"/>
                <w:highlight w:val="none"/>
              </w:rPr>
              <w:t>履约信誉得分”“业绩得分”“主要人员得分”“技术建议书得分”由高到低的顺序进行确定，若投标人技术建议书得分也相等</w:t>
            </w:r>
            <w:r>
              <w:rPr>
                <w:rFonts w:hint="eastAsia" w:ascii="宋体" w:hAnsi="宋体" w:eastAsia="宋体" w:cs="宋体"/>
                <w:b w:val="0"/>
                <w:bCs w:val="0"/>
                <w:color w:val="auto"/>
                <w:sz w:val="21"/>
                <w:szCs w:val="21"/>
              </w:rPr>
              <w:t>时，则由评标委员会根据技术建议书的编制情况投票确定其推荐顺序。</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1.4参与本次招标投标的投标人，</w:t>
            </w:r>
            <w:r>
              <w:rPr>
                <w:rFonts w:hint="eastAsia" w:ascii="宋体" w:hAnsi="宋体" w:eastAsia="宋体" w:cs="宋体"/>
                <w:b w:val="0"/>
                <w:bCs w:val="0"/>
                <w:color w:val="auto"/>
                <w:sz w:val="21"/>
                <w:szCs w:val="21"/>
                <w:highlight w:val="none"/>
              </w:rPr>
              <w:t>最多被允许取得其中</w:t>
            </w:r>
            <w:r>
              <w:rPr>
                <w:rFonts w:hint="eastAsia" w:ascii="宋体" w:hAnsi="宋体" w:eastAsia="宋体" w:cs="宋体"/>
                <w:b w:val="0"/>
                <w:bCs w:val="0"/>
                <w:color w:val="auto"/>
                <w:sz w:val="21"/>
                <w:szCs w:val="21"/>
                <w:highlight w:val="none"/>
                <w:u w:val="single"/>
                <w:lang w:val="en-US" w:eastAsia="zh-CN"/>
              </w:rPr>
              <w:t xml:space="preserve"> 1 </w:t>
            </w:r>
            <w:r>
              <w:rPr>
                <w:rFonts w:hint="eastAsia" w:ascii="宋体" w:hAnsi="宋体" w:eastAsia="宋体" w:cs="宋体"/>
                <w:b w:val="0"/>
                <w:bCs w:val="0"/>
                <w:color w:val="auto"/>
                <w:sz w:val="21"/>
                <w:szCs w:val="21"/>
                <w:highlight w:val="none"/>
              </w:rPr>
              <w:t>个</w:t>
            </w:r>
            <w:r>
              <w:rPr>
                <w:rFonts w:hint="eastAsia" w:ascii="宋体" w:hAnsi="宋体" w:eastAsia="宋体" w:cs="宋体"/>
                <w:b w:val="0"/>
                <w:bCs w:val="0"/>
                <w:color w:val="auto"/>
                <w:sz w:val="21"/>
                <w:szCs w:val="21"/>
              </w:rPr>
              <w:t>标段的中标资格（适用于多个标段招标）。</w:t>
            </w:r>
          </w:p>
          <w:p>
            <w:pPr>
              <w:pStyle w:val="3"/>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1"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评标委员会推荐次序：</w:t>
            </w:r>
            <w:r>
              <w:rPr>
                <w:rFonts w:hint="eastAsia" w:ascii="宋体" w:hAnsi="宋体" w:eastAsia="宋体" w:cs="宋体"/>
                <w:b/>
                <w:bCs/>
                <w:color w:val="auto"/>
                <w:sz w:val="21"/>
                <w:szCs w:val="21"/>
                <w:highlight w:val="none"/>
                <w:lang w:val="en-US" w:eastAsia="zh-CN"/>
              </w:rPr>
              <w:t>由评标委员会按标段的先后顺序确定第一中标候选人，如某一投标人在2个及以上标段的推荐次序均为第一时，则推荐该投标人为第1标段第一中标候选人，其他标段不再推荐该投标人为第一中标候选人，其他标段推荐排名第二、三、四名的投标人依次替补为第一、二、三名中标候选人，依次类推，直至各标段推荐出不同的第一中标候选人为止。</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某一标段通过第一个信封评审且参与第二个信封开标的投标人在3个及以上的，招标人将按规定的程序进行第二个信封开标；在对第二个信封进行评审后，有效投标不足3个使得投标明显缺乏竞争的，评标委员会可以否决这一标段的全部投标。评标委员会未否决全部投标的，应当在评标报告中阐明理由并推荐这一标段中标候选人。</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某一标段通过第一个信封评审且参与第二个信封开标的投标人少于3个的，评标委员会可以否决这一标段全部投标。未否决全部投标的，评标委员会应当在评标报告中阐明理由，招标人应当按照规定的程序进行第二信封开标，但评标委员会在进行报价文件评审时仍有权否决全部投标；评标委员会未在报价文件评审时否决全部投标的，应当在评标报告中阐明理由并推荐中标候选人。</w:t>
            </w:r>
          </w:p>
        </w:tc>
      </w:tr>
    </w:tbl>
    <w:p>
      <w:pPr>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br w:type="page"/>
      </w:r>
    </w:p>
    <w:p>
      <w:pPr>
        <w:pStyle w:val="19"/>
        <w:spacing w:before="120" w:after="120"/>
        <w:rPr>
          <w:rFonts w:hint="eastAsia" w:cs="宋体"/>
          <w:color w:val="auto"/>
          <w:sz w:val="32"/>
          <w:szCs w:val="32"/>
          <w:lang w:val="en-US" w:eastAsia="zh-CN"/>
        </w:rPr>
      </w:pPr>
      <w:bookmarkStart w:id="16" w:name="_Toc2205"/>
      <w:bookmarkStart w:id="17" w:name="_Toc3965"/>
      <w:r>
        <w:rPr>
          <w:rFonts w:hint="eastAsia" w:cs="宋体"/>
          <w:color w:val="auto"/>
          <w:sz w:val="32"/>
          <w:szCs w:val="32"/>
          <w:lang w:val="en-US" w:eastAsia="zh-CN"/>
        </w:rPr>
        <w:t>3标段试验检测</w:t>
      </w:r>
    </w:p>
    <w:p>
      <w:pPr>
        <w:pStyle w:val="19"/>
        <w:spacing w:before="120" w:after="120"/>
        <w:rPr>
          <w:rFonts w:hint="eastAsia" w:cs="宋体"/>
          <w:color w:val="auto"/>
        </w:rPr>
      </w:pPr>
      <w:r>
        <w:rPr>
          <w:rFonts w:hint="eastAsia" w:cs="宋体"/>
          <w:color w:val="auto"/>
          <w:sz w:val="32"/>
          <w:szCs w:val="32"/>
        </w:rPr>
        <w:t>评标办法（综合评估法）</w:t>
      </w:r>
      <w:bookmarkEnd w:id="16"/>
      <w:bookmarkEnd w:id="17"/>
      <w:bookmarkStart w:id="18" w:name="_Toc30537"/>
      <w:r>
        <w:rPr>
          <w:rFonts w:hint="eastAsia" w:cs="宋体"/>
          <w:color w:val="auto"/>
          <w:sz w:val="32"/>
          <w:szCs w:val="32"/>
        </w:rPr>
        <w:t>评标办法前附表</w:t>
      </w:r>
      <w:bookmarkEnd w:id="18"/>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863"/>
        <w:gridCol w:w="897"/>
        <w:gridCol w:w="734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2" w:hRule="atLeast"/>
          <w:tblHeader/>
          <w:jc w:val="center"/>
        </w:trPr>
        <w:tc>
          <w:tcPr>
            <w:tcW w:w="1760" w:type="dxa"/>
            <w:gridSpan w:val="2"/>
            <w:noWrap w:val="0"/>
            <w:tcMar>
              <w:top w:w="113" w:type="dxa"/>
              <w:left w:w="113" w:type="dxa"/>
              <w:bottom w:w="113" w:type="dxa"/>
              <w:right w:w="113" w:type="dxa"/>
            </w:tcMar>
            <w:vAlign w:val="center"/>
          </w:tcPr>
          <w:p>
            <w:pPr>
              <w:autoSpaceDE w:val="0"/>
              <w:autoSpaceDN w:val="0"/>
              <w:spacing w:line="400" w:lineRule="exact"/>
              <w:jc w:val="center"/>
              <w:rPr>
                <w:rFonts w:hint="eastAsia" w:ascii="宋体" w:hAnsi="宋体" w:cs="宋体"/>
                <w:b/>
                <w:color w:val="auto"/>
                <w:kern w:val="0"/>
                <w:szCs w:val="18"/>
              </w:rPr>
            </w:pPr>
            <w:r>
              <w:rPr>
                <w:rFonts w:hint="eastAsia" w:ascii="宋体" w:hAnsi="宋体" w:cs="宋体"/>
                <w:b/>
                <w:color w:val="auto"/>
                <w:kern w:val="0"/>
                <w:szCs w:val="18"/>
              </w:rPr>
              <w:t>条款号</w:t>
            </w:r>
          </w:p>
        </w:tc>
        <w:tc>
          <w:tcPr>
            <w:tcW w:w="7346" w:type="dxa"/>
            <w:noWrap w:val="0"/>
            <w:tcMar>
              <w:top w:w="113" w:type="dxa"/>
              <w:left w:w="113" w:type="dxa"/>
              <w:bottom w:w="113" w:type="dxa"/>
              <w:right w:w="113" w:type="dxa"/>
            </w:tcMar>
            <w:vAlign w:val="center"/>
          </w:tcPr>
          <w:p>
            <w:pPr>
              <w:autoSpaceDE w:val="0"/>
              <w:autoSpaceDN w:val="0"/>
              <w:spacing w:line="400" w:lineRule="exact"/>
              <w:jc w:val="center"/>
              <w:rPr>
                <w:rFonts w:hint="eastAsia" w:ascii="宋体" w:hAnsi="宋体" w:cs="宋体"/>
                <w:b/>
                <w:color w:val="auto"/>
                <w:kern w:val="0"/>
                <w:szCs w:val="18"/>
              </w:rPr>
            </w:pPr>
            <w:r>
              <w:rPr>
                <w:rFonts w:hint="eastAsia" w:ascii="宋体" w:hAnsi="宋体" w:cs="宋体"/>
                <w:b/>
                <w:color w:val="auto"/>
                <w:kern w:val="0"/>
                <w:szCs w:val="18"/>
              </w:rPr>
              <w:t>评审因素与标准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601" w:hRule="atLeast"/>
          <w:jc w:val="center"/>
        </w:trPr>
        <w:tc>
          <w:tcPr>
            <w:tcW w:w="863" w:type="dxa"/>
            <w:noWrap w:val="0"/>
            <w:tcMar>
              <w:top w:w="113" w:type="dxa"/>
              <w:left w:w="113" w:type="dxa"/>
              <w:bottom w:w="113" w:type="dxa"/>
              <w:right w:w="113" w:type="dxa"/>
            </w:tcMar>
            <w:vAlign w:val="center"/>
          </w:tcPr>
          <w:p>
            <w:pPr>
              <w:autoSpaceDE w:val="0"/>
              <w:autoSpaceDN w:val="0"/>
              <w:spacing w:line="360" w:lineRule="exact"/>
              <w:jc w:val="center"/>
              <w:rPr>
                <w:rFonts w:hint="eastAsia" w:ascii="宋体" w:hAnsi="宋体" w:cs="宋体"/>
                <w:color w:val="auto"/>
                <w:kern w:val="0"/>
                <w:szCs w:val="18"/>
              </w:rPr>
            </w:pPr>
            <w:r>
              <w:rPr>
                <w:rFonts w:hint="eastAsia" w:ascii="宋体" w:hAnsi="宋体" w:cs="宋体"/>
                <w:color w:val="auto"/>
                <w:kern w:val="0"/>
                <w:szCs w:val="18"/>
              </w:rPr>
              <w:t>2.1.1</w:t>
            </w:r>
          </w:p>
          <w:p>
            <w:pPr>
              <w:autoSpaceDE w:val="0"/>
              <w:autoSpaceDN w:val="0"/>
              <w:spacing w:line="360" w:lineRule="exact"/>
              <w:jc w:val="center"/>
              <w:rPr>
                <w:rFonts w:hint="eastAsia" w:ascii="宋体" w:hAnsi="宋体" w:cs="宋体"/>
                <w:color w:val="auto"/>
                <w:kern w:val="0"/>
                <w:szCs w:val="18"/>
              </w:rPr>
            </w:pPr>
            <w:r>
              <w:rPr>
                <w:rFonts w:hint="eastAsia" w:ascii="宋体" w:hAnsi="宋体" w:cs="宋体"/>
                <w:color w:val="auto"/>
                <w:kern w:val="0"/>
                <w:szCs w:val="18"/>
              </w:rPr>
              <w:t>2.1.3</w:t>
            </w:r>
          </w:p>
        </w:tc>
        <w:tc>
          <w:tcPr>
            <w:tcW w:w="897" w:type="dxa"/>
            <w:noWrap w:val="0"/>
            <w:tcMar>
              <w:top w:w="113" w:type="dxa"/>
              <w:left w:w="113" w:type="dxa"/>
              <w:bottom w:w="113" w:type="dxa"/>
              <w:right w:w="113" w:type="dxa"/>
            </w:tcMar>
            <w:vAlign w:val="center"/>
          </w:tcPr>
          <w:p>
            <w:pPr>
              <w:autoSpaceDE w:val="0"/>
              <w:autoSpaceDN w:val="0"/>
              <w:spacing w:line="360" w:lineRule="exact"/>
              <w:jc w:val="center"/>
              <w:rPr>
                <w:rFonts w:hint="eastAsia" w:ascii="宋体" w:hAnsi="宋体" w:cs="宋体"/>
                <w:color w:val="auto"/>
                <w:kern w:val="0"/>
                <w:szCs w:val="18"/>
              </w:rPr>
            </w:pPr>
            <w:r>
              <w:rPr>
                <w:rFonts w:hint="eastAsia" w:ascii="宋体" w:hAnsi="宋体" w:cs="宋体"/>
                <w:color w:val="auto"/>
                <w:kern w:val="0"/>
                <w:szCs w:val="18"/>
              </w:rPr>
              <w:t>形式评审与响应性评审标准</w:t>
            </w:r>
          </w:p>
        </w:tc>
        <w:tc>
          <w:tcPr>
            <w:tcW w:w="7346" w:type="dxa"/>
            <w:noWrap w:val="0"/>
            <w:tcMar>
              <w:top w:w="113" w:type="dxa"/>
              <w:left w:w="113" w:type="dxa"/>
              <w:bottom w:w="113" w:type="dxa"/>
              <w:right w:w="113" w:type="dxa"/>
            </w:tcMar>
            <w:vAlign w:val="center"/>
          </w:tcPr>
          <w:p>
            <w:pPr>
              <w:keepNext w:val="0"/>
              <w:keepLines w:val="0"/>
              <w:pageBreakBefore w:val="0"/>
              <w:tabs>
                <w:tab w:val="left" w:pos="246"/>
              </w:tabs>
              <w:wordWrap/>
              <w:topLinePunct w:val="0"/>
              <w:autoSpaceDE w:val="0"/>
              <w:autoSpaceDN w:val="0"/>
              <w:bidi w:val="0"/>
              <w:adjustRightInd/>
              <w:snapToGrid/>
              <w:spacing w:line="240" w:lineRule="auto"/>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rPr>
              <w:t>第一个信封（商务及技术文件）评审标准：</w:t>
            </w:r>
          </w:p>
          <w:p>
            <w:pPr>
              <w:keepNext w:val="0"/>
              <w:keepLines w:val="0"/>
              <w:pageBreakBefore w:val="0"/>
              <w:numPr>
                <w:ilvl w:val="0"/>
                <w:numId w:val="0"/>
              </w:numPr>
              <w:tabs>
                <w:tab w:val="left" w:pos="246"/>
              </w:tabs>
              <w:wordWrap/>
              <w:topLinePunct w:val="0"/>
              <w:autoSpaceDE w:val="0"/>
              <w:autoSpaceDN w:val="0"/>
              <w:bidi w:val="0"/>
              <w:adjustRightInd/>
              <w:snapToGrid/>
              <w:spacing w:line="240" w:lineRule="auto"/>
              <w:textAlignment w:val="auto"/>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投标文件按照招标文件规定的格式、内容填写，字迹清晰可辨：</w:t>
            </w:r>
          </w:p>
          <w:p>
            <w:pPr>
              <w:keepNext w:val="0"/>
              <w:keepLines w:val="0"/>
              <w:pageBreakBefore w:val="0"/>
              <w:numPr>
                <w:ilvl w:val="0"/>
                <w:numId w:val="0"/>
              </w:numPr>
              <w:tabs>
                <w:tab w:val="left" w:pos="246"/>
              </w:tabs>
              <w:wordWrap/>
              <w:topLinePunct w:val="0"/>
              <w:autoSpaceDE w:val="0"/>
              <w:autoSpaceDN w:val="0"/>
              <w:bidi w:val="0"/>
              <w:adjustRightInd/>
              <w:snapToGrid/>
              <w:spacing w:line="240" w:lineRule="auto"/>
              <w:textAlignment w:val="auto"/>
              <w:rPr>
                <w:rFonts w:hint="eastAsia" w:ascii="宋体" w:hAnsi="宋体" w:cs="宋体"/>
                <w:color w:val="auto"/>
                <w:sz w:val="21"/>
                <w:szCs w:val="21"/>
                <w:highlight w:val="none"/>
              </w:rPr>
            </w:pPr>
            <w:r>
              <w:rPr>
                <w:rFonts w:hint="eastAsia" w:ascii="宋体" w:hAnsi="宋体" w:cs="宋体"/>
                <w:color w:val="auto"/>
                <w:kern w:val="0"/>
                <w:sz w:val="21"/>
                <w:szCs w:val="21"/>
                <w:lang w:val="en-US" w:eastAsia="zh-CN"/>
              </w:rPr>
              <w:t>a.</w:t>
            </w:r>
            <w:r>
              <w:rPr>
                <w:rFonts w:hint="eastAsia" w:ascii="宋体" w:hAnsi="宋体" w:cs="宋体"/>
                <w:color w:val="auto"/>
                <w:kern w:val="0"/>
                <w:sz w:val="21"/>
                <w:szCs w:val="21"/>
              </w:rPr>
              <w:t>投标函按招标文件规定填报了项目名称、</w:t>
            </w:r>
            <w:r>
              <w:rPr>
                <w:rStyle w:val="9"/>
                <w:rFonts w:hint="eastAsia" w:ascii="宋体" w:hAnsi="宋体" w:eastAsia="宋体" w:cs="宋体"/>
                <w:b w:val="0"/>
                <w:snapToGrid w:val="0"/>
                <w:color w:val="auto"/>
                <w:spacing w:val="0"/>
                <w:w w:val="100"/>
                <w:sz w:val="21"/>
                <w:szCs w:val="21"/>
                <w:highlight w:val="none"/>
                <w:lang w:eastAsia="zh-CN"/>
              </w:rPr>
              <w:t>标段</w:t>
            </w:r>
            <w:r>
              <w:rPr>
                <w:rStyle w:val="9"/>
                <w:rFonts w:hint="eastAsia" w:ascii="宋体" w:hAnsi="宋体" w:eastAsia="宋体" w:cs="宋体"/>
                <w:b w:val="0"/>
                <w:snapToGrid w:val="0"/>
                <w:color w:val="auto"/>
                <w:spacing w:val="0"/>
                <w:w w:val="100"/>
                <w:sz w:val="21"/>
                <w:szCs w:val="21"/>
                <w:highlight w:val="none"/>
                <w:lang w:val="en-US" w:eastAsia="zh-CN"/>
              </w:rPr>
              <w:t>号</w:t>
            </w:r>
            <w:r>
              <w:rPr>
                <w:rStyle w:val="9"/>
                <w:rFonts w:hint="eastAsia" w:ascii="宋体" w:hAnsi="宋体" w:eastAsia="宋体" w:cs="宋体"/>
                <w:b w:val="0"/>
                <w:snapToGrid w:val="0"/>
                <w:color w:val="auto"/>
                <w:spacing w:val="0"/>
                <w:w w:val="100"/>
                <w:sz w:val="21"/>
                <w:szCs w:val="21"/>
                <w:highlight w:val="none"/>
                <w:lang w:eastAsia="zh-CN"/>
              </w:rPr>
              <w:t>、</w:t>
            </w:r>
            <w:r>
              <w:rPr>
                <w:rFonts w:hint="eastAsia" w:ascii="宋体" w:hAnsi="宋体" w:cs="宋体"/>
                <w:color w:val="auto"/>
                <w:kern w:val="0"/>
                <w:sz w:val="21"/>
                <w:szCs w:val="21"/>
              </w:rPr>
              <w:t>补遗书编号（如</w:t>
            </w:r>
            <w:r>
              <w:rPr>
                <w:rFonts w:hint="eastAsia" w:ascii="宋体" w:hAnsi="宋体" w:cs="宋体"/>
                <w:color w:val="auto"/>
                <w:sz w:val="21"/>
                <w:szCs w:val="21"/>
              </w:rPr>
              <w:t>有）、检测服务期</w:t>
            </w:r>
            <w:r>
              <w:rPr>
                <w:rFonts w:hint="eastAsia" w:ascii="宋体" w:hAnsi="宋体" w:cs="宋体"/>
                <w:color w:val="auto"/>
                <w:sz w:val="21"/>
                <w:szCs w:val="21"/>
                <w:highlight w:val="none"/>
              </w:rPr>
              <w:t>、</w:t>
            </w:r>
            <w:r>
              <w:rPr>
                <w:rFonts w:hint="eastAsia" w:ascii="宋体" w:hAnsi="宋体" w:cs="宋体"/>
                <w:color w:val="auto"/>
                <w:szCs w:val="21"/>
                <w:highlight w:val="none"/>
              </w:rPr>
              <w:t>服务质量要求、</w:t>
            </w:r>
            <w:r>
              <w:rPr>
                <w:rFonts w:hint="eastAsia" w:ascii="宋体" w:hAnsi="宋体" w:cs="宋体"/>
                <w:color w:val="auto"/>
                <w:szCs w:val="21"/>
                <w:highlight w:val="none"/>
                <w:lang w:val="en-US" w:eastAsia="zh-CN"/>
              </w:rPr>
              <w:t>安全目标</w:t>
            </w:r>
            <w:r>
              <w:rPr>
                <w:rFonts w:hint="eastAsia" w:ascii="宋体" w:hAnsi="宋体" w:cs="宋体"/>
                <w:color w:val="auto"/>
                <w:szCs w:val="21"/>
                <w:highlight w:val="none"/>
              </w:rPr>
              <w:t>等内容</w:t>
            </w:r>
            <w:r>
              <w:rPr>
                <w:rFonts w:hint="eastAsia" w:ascii="宋体" w:hAnsi="宋体" w:cs="宋体"/>
                <w:color w:val="auto"/>
                <w:sz w:val="21"/>
                <w:szCs w:val="21"/>
                <w:highlight w:val="none"/>
              </w:rPr>
              <w:t>；</w:t>
            </w:r>
          </w:p>
          <w:p>
            <w:pPr>
              <w:keepNext w:val="0"/>
              <w:keepLines w:val="0"/>
              <w:pageBreakBefore w:val="0"/>
              <w:numPr>
                <w:ilvl w:val="0"/>
                <w:numId w:val="0"/>
              </w:numPr>
              <w:tabs>
                <w:tab w:val="left" w:pos="246"/>
              </w:tabs>
              <w:wordWrap/>
              <w:topLinePunct w:val="0"/>
              <w:autoSpaceDE w:val="0"/>
              <w:autoSpaceDN w:val="0"/>
              <w:bidi w:val="0"/>
              <w:adjustRightInd/>
              <w:snapToGrid/>
              <w:spacing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b.</w:t>
            </w:r>
            <w:r>
              <w:rPr>
                <w:rFonts w:hint="eastAsia" w:ascii="宋体" w:hAnsi="宋体" w:cs="宋体"/>
                <w:color w:val="auto"/>
                <w:sz w:val="21"/>
                <w:szCs w:val="21"/>
                <w:highlight w:val="none"/>
              </w:rPr>
              <w:t>投标文件组成齐全完整，内容均按规定填写。</w:t>
            </w:r>
          </w:p>
          <w:p>
            <w:pPr>
              <w:pStyle w:val="18"/>
              <w:keepNext w:val="0"/>
              <w:keepLines w:val="0"/>
              <w:pageBreakBefore w:val="0"/>
              <w:numPr>
                <w:ilvl w:val="0"/>
                <w:numId w:val="0"/>
              </w:numPr>
              <w:wordWrap/>
              <w:topLinePunct w:val="0"/>
              <w:bidi w:val="0"/>
              <w:adjustRightInd/>
              <w:snapToGrid/>
              <w:spacing w:line="240" w:lineRule="auto"/>
              <w:textAlignment w:val="auto"/>
              <w:rPr>
                <w:rFonts w:ascii="宋体" w:hAnsi="宋体" w:eastAsia="宋体" w:cs="宋体"/>
                <w:color w:val="auto"/>
                <w:sz w:val="21"/>
                <w:highlight w:val="none"/>
              </w:rPr>
            </w:pPr>
            <w:r>
              <w:rPr>
                <w:rFonts w:ascii="宋体" w:hAnsi="宋体" w:eastAsia="宋体" w:cs="宋体"/>
                <w:color w:val="auto"/>
                <w:sz w:val="21"/>
                <w:highlight w:val="none"/>
              </w:rPr>
              <w:t>（2）投标文件上法定代表人或其委托代理人的签字、投标人的单位章盖章齐全，符合招标文件规定。</w:t>
            </w:r>
          </w:p>
          <w:p>
            <w:pPr>
              <w:pStyle w:val="18"/>
              <w:keepNext w:val="0"/>
              <w:keepLines w:val="0"/>
              <w:pageBreakBefore w:val="0"/>
              <w:numPr>
                <w:ilvl w:val="0"/>
                <w:numId w:val="0"/>
              </w:numPr>
              <w:wordWrap/>
              <w:topLinePunct w:val="0"/>
              <w:bidi w:val="0"/>
              <w:adjustRightInd/>
              <w:snapToGrid/>
              <w:spacing w:line="240" w:lineRule="auto"/>
              <w:textAlignment w:val="auto"/>
              <w:rPr>
                <w:rFonts w:ascii="宋体" w:hAnsi="宋体" w:eastAsia="宋体" w:cs="宋体"/>
                <w:color w:val="auto"/>
                <w:sz w:val="21"/>
                <w:highlight w:val="none"/>
              </w:rPr>
            </w:pPr>
            <w:r>
              <w:rPr>
                <w:rFonts w:ascii="宋体" w:hAnsi="宋体" w:eastAsia="宋体" w:cs="宋体"/>
                <w:color w:val="auto"/>
                <w:sz w:val="21"/>
                <w:highlight w:val="none"/>
              </w:rPr>
              <w:t>（</w:t>
            </w:r>
            <w:r>
              <w:rPr>
                <w:rFonts w:hint="eastAsia" w:ascii="宋体" w:hAnsi="宋体" w:eastAsia="宋体" w:cs="宋体"/>
                <w:color w:val="auto"/>
                <w:sz w:val="21"/>
                <w:highlight w:val="none"/>
                <w:lang w:val="en-US" w:eastAsia="zh-CN"/>
              </w:rPr>
              <w:t>3</w:t>
            </w:r>
            <w:r>
              <w:rPr>
                <w:rFonts w:ascii="宋体" w:hAnsi="宋体" w:eastAsia="宋体" w:cs="宋体"/>
                <w:color w:val="auto"/>
                <w:sz w:val="21"/>
                <w:highlight w:val="none"/>
              </w:rPr>
              <w:t>）投标人法定代表人授权委托代理人签署投标文件的，须提交授权委托书，且授权人和被授权人均在授权委托书上签名，签字盖章符合招标文件第二章“投标人须知”第 3.7.3项规定。</w:t>
            </w:r>
          </w:p>
          <w:p>
            <w:pPr>
              <w:pStyle w:val="18"/>
              <w:keepNext w:val="0"/>
              <w:keepLines w:val="0"/>
              <w:pageBreakBefore w:val="0"/>
              <w:numPr>
                <w:ilvl w:val="0"/>
                <w:numId w:val="0"/>
              </w:numPr>
              <w:wordWrap/>
              <w:topLinePunct w:val="0"/>
              <w:bidi w:val="0"/>
              <w:adjustRightInd/>
              <w:snapToGrid/>
              <w:spacing w:line="240" w:lineRule="auto"/>
              <w:textAlignment w:val="auto"/>
              <w:rPr>
                <w:rFonts w:ascii="宋体" w:hAnsi="宋体" w:eastAsia="宋体" w:cs="宋体"/>
                <w:color w:val="auto"/>
                <w:sz w:val="21"/>
                <w:highlight w:val="none"/>
              </w:rPr>
            </w:pPr>
            <w:r>
              <w:rPr>
                <w:rFonts w:ascii="宋体" w:hAnsi="宋体" w:eastAsia="宋体" w:cs="宋体"/>
                <w:color w:val="auto"/>
                <w:sz w:val="21"/>
                <w:highlight w:val="none"/>
              </w:rPr>
              <w:t>（</w:t>
            </w:r>
            <w:r>
              <w:rPr>
                <w:rFonts w:hint="eastAsia" w:ascii="宋体" w:hAnsi="宋体" w:eastAsia="宋体" w:cs="宋体"/>
                <w:color w:val="auto"/>
                <w:sz w:val="21"/>
                <w:highlight w:val="none"/>
                <w:lang w:val="en-US" w:eastAsia="zh-CN"/>
              </w:rPr>
              <w:t>4</w:t>
            </w:r>
            <w:r>
              <w:rPr>
                <w:rFonts w:ascii="宋体" w:hAnsi="宋体" w:eastAsia="宋体" w:cs="宋体"/>
                <w:color w:val="auto"/>
                <w:sz w:val="21"/>
                <w:highlight w:val="none"/>
              </w:rPr>
              <w:t>）投标人法定代表人亲自签署投标文件的，提供了法定代表人身份证明，且法定代表人在法定代表人身份证明上签名，签字盖章符合招标文件第二章“投标人须知”第3.7.3项规定。</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w:t>
            </w:r>
            <w:r>
              <w:rPr>
                <w:rStyle w:val="9"/>
                <w:rFonts w:hint="eastAsia" w:ascii="宋体" w:hAnsi="宋体" w:eastAsia="宋体" w:cs="宋体"/>
                <w:b w:val="0"/>
                <w:snapToGrid w:val="0"/>
                <w:color w:val="auto"/>
                <w:spacing w:val="0"/>
                <w:w w:val="100"/>
                <w:sz w:val="21"/>
                <w:szCs w:val="21"/>
                <w:highlight w:val="none"/>
                <w:lang w:val="en-US" w:eastAsia="zh-CN"/>
              </w:rPr>
              <w:t>5</w:t>
            </w:r>
            <w:r>
              <w:rPr>
                <w:rStyle w:val="9"/>
                <w:rFonts w:hint="eastAsia" w:ascii="宋体" w:hAnsi="宋体" w:eastAsia="宋体" w:cs="宋体"/>
                <w:b w:val="0"/>
                <w:snapToGrid w:val="0"/>
                <w:color w:val="auto"/>
                <w:spacing w:val="0"/>
                <w:w w:val="100"/>
                <w:sz w:val="21"/>
                <w:szCs w:val="21"/>
                <w:highlight w:val="none"/>
              </w:rPr>
              <w:t>）投标人</w:t>
            </w:r>
            <w:r>
              <w:rPr>
                <w:rStyle w:val="9"/>
                <w:rFonts w:hint="eastAsia" w:ascii="宋体" w:hAnsi="宋体" w:eastAsia="宋体" w:cs="宋体"/>
                <w:b w:val="0"/>
                <w:snapToGrid w:val="0"/>
                <w:color w:val="auto"/>
                <w:spacing w:val="0"/>
                <w:w w:val="100"/>
                <w:sz w:val="21"/>
                <w:szCs w:val="21"/>
                <w:highlight w:val="none"/>
                <w:lang w:eastAsia="zh-CN"/>
              </w:rPr>
              <w:t>未</w:t>
            </w:r>
            <w:r>
              <w:rPr>
                <w:rStyle w:val="9"/>
                <w:rFonts w:hint="eastAsia" w:ascii="宋体" w:hAnsi="宋体" w:eastAsia="宋体" w:cs="宋体"/>
                <w:b w:val="0"/>
                <w:snapToGrid w:val="0"/>
                <w:color w:val="auto"/>
                <w:spacing w:val="0"/>
                <w:w w:val="100"/>
                <w:sz w:val="21"/>
                <w:szCs w:val="21"/>
                <w:highlight w:val="none"/>
              </w:rPr>
              <w:t>以联合体形式投标</w:t>
            </w:r>
            <w:r>
              <w:rPr>
                <w:rStyle w:val="9"/>
                <w:rFonts w:hint="eastAsia" w:ascii="宋体" w:hAnsi="宋体" w:eastAsia="宋体" w:cs="宋体"/>
                <w:b w:val="0"/>
                <w:snapToGrid w:val="0"/>
                <w:color w:val="auto"/>
                <w:spacing w:val="0"/>
                <w:w w:val="100"/>
                <w:sz w:val="21"/>
                <w:szCs w:val="21"/>
                <w:highlight w:val="none"/>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Fonts w:hint="eastAsia" w:ascii="宋体" w:hAnsi="宋体" w:eastAsia="宋体" w:cs="宋体"/>
                <w:snapToGrid w:val="0"/>
                <w:color w:val="auto"/>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w:t>
            </w:r>
            <w:r>
              <w:rPr>
                <w:rStyle w:val="9"/>
                <w:rFonts w:hint="eastAsia" w:ascii="宋体" w:hAnsi="宋体" w:eastAsia="宋体" w:cs="宋体"/>
                <w:b w:val="0"/>
                <w:snapToGrid w:val="0"/>
                <w:color w:val="auto"/>
                <w:spacing w:val="0"/>
                <w:w w:val="100"/>
                <w:sz w:val="21"/>
                <w:szCs w:val="21"/>
                <w:highlight w:val="none"/>
                <w:lang w:val="en-US" w:eastAsia="zh-CN"/>
              </w:rPr>
              <w:t>6</w:t>
            </w:r>
            <w:r>
              <w:rPr>
                <w:rStyle w:val="9"/>
                <w:rFonts w:hint="eastAsia" w:ascii="宋体" w:hAnsi="宋体" w:eastAsia="宋体" w:cs="宋体"/>
                <w:b w:val="0"/>
                <w:snapToGrid w:val="0"/>
                <w:color w:val="auto"/>
                <w:spacing w:val="0"/>
                <w:w w:val="100"/>
                <w:sz w:val="21"/>
                <w:szCs w:val="21"/>
                <w:highlight w:val="none"/>
              </w:rPr>
              <w:t>）投标人无分包</w:t>
            </w:r>
            <w:r>
              <w:rPr>
                <w:rStyle w:val="9"/>
                <w:rFonts w:hint="eastAsia" w:ascii="宋体" w:hAnsi="宋体" w:eastAsia="宋体" w:cs="宋体"/>
                <w:b w:val="0"/>
                <w:snapToGrid w:val="0"/>
                <w:color w:val="auto"/>
                <w:spacing w:val="0"/>
                <w:w w:val="100"/>
                <w:sz w:val="21"/>
                <w:szCs w:val="21"/>
                <w:highlight w:val="none"/>
                <w:lang w:val="en-US" w:eastAsia="zh-CN"/>
              </w:rPr>
              <w:t>投标</w:t>
            </w:r>
            <w:r>
              <w:rPr>
                <w:rFonts w:hint="eastAsia" w:ascii="宋体" w:hAnsi="宋体" w:eastAsia="宋体" w:cs="宋体"/>
                <w:snapToGrid w:val="0"/>
                <w:color w:val="auto"/>
                <w:sz w:val="21"/>
                <w:szCs w:val="21"/>
                <w:highlight w:val="none"/>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w:t>
            </w:r>
            <w:r>
              <w:rPr>
                <w:rStyle w:val="9"/>
                <w:rFonts w:hint="eastAsia" w:ascii="宋体" w:hAnsi="宋体" w:eastAsia="宋体" w:cs="宋体"/>
                <w:b w:val="0"/>
                <w:snapToGrid w:val="0"/>
                <w:color w:val="auto"/>
                <w:spacing w:val="0"/>
                <w:w w:val="100"/>
                <w:sz w:val="21"/>
                <w:szCs w:val="21"/>
                <w:highlight w:val="none"/>
              </w:rPr>
              <w:t>同一投标人未提交两个以上不同的投标文件</w:t>
            </w:r>
            <w:r>
              <w:rPr>
                <w:rStyle w:val="9"/>
                <w:rFonts w:hint="eastAsia" w:ascii="宋体" w:hAnsi="宋体" w:eastAsia="宋体" w:cs="宋体"/>
                <w:b w:val="0"/>
                <w:snapToGrid w:val="0"/>
                <w:color w:val="auto"/>
                <w:spacing w:val="0"/>
                <w:w w:val="100"/>
                <w:sz w:val="21"/>
                <w:szCs w:val="21"/>
                <w:highlight w:val="none"/>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w:t>
            </w:r>
            <w:r>
              <w:rPr>
                <w:rStyle w:val="9"/>
                <w:rFonts w:hint="eastAsia" w:ascii="宋体" w:hAnsi="宋体" w:eastAsia="宋体" w:cs="宋体"/>
                <w:b w:val="0"/>
                <w:snapToGrid w:val="0"/>
                <w:color w:val="auto"/>
                <w:spacing w:val="0"/>
                <w:w w:val="100"/>
                <w:sz w:val="21"/>
                <w:szCs w:val="21"/>
                <w:highlight w:val="none"/>
                <w:lang w:val="en-US" w:eastAsia="zh-CN"/>
              </w:rPr>
              <w:t>8</w:t>
            </w:r>
            <w:r>
              <w:rPr>
                <w:rStyle w:val="9"/>
                <w:rFonts w:hint="eastAsia" w:ascii="宋体" w:hAnsi="宋体" w:eastAsia="宋体" w:cs="宋体"/>
                <w:b w:val="0"/>
                <w:snapToGrid w:val="0"/>
                <w:color w:val="auto"/>
                <w:spacing w:val="0"/>
                <w:w w:val="100"/>
                <w:sz w:val="21"/>
                <w:szCs w:val="21"/>
                <w:highlight w:val="none"/>
              </w:rPr>
              <w:t>）投标文件第一</w:t>
            </w:r>
            <w:r>
              <w:rPr>
                <w:rStyle w:val="9"/>
                <w:rFonts w:hint="eastAsia" w:ascii="宋体" w:hAnsi="宋体" w:eastAsia="宋体" w:cs="宋体"/>
                <w:b w:val="0"/>
                <w:snapToGrid w:val="0"/>
                <w:color w:val="auto"/>
                <w:spacing w:val="0"/>
                <w:w w:val="100"/>
                <w:sz w:val="21"/>
                <w:szCs w:val="21"/>
                <w:highlight w:val="none"/>
                <w:lang w:val="en-US" w:eastAsia="zh-CN"/>
              </w:rPr>
              <w:t>个</w:t>
            </w:r>
            <w:r>
              <w:rPr>
                <w:rStyle w:val="9"/>
                <w:rFonts w:hint="eastAsia" w:ascii="宋体" w:hAnsi="宋体" w:eastAsia="宋体" w:cs="宋体"/>
                <w:b w:val="0"/>
                <w:snapToGrid w:val="0"/>
                <w:color w:val="auto"/>
                <w:spacing w:val="0"/>
                <w:w w:val="100"/>
                <w:sz w:val="21"/>
                <w:szCs w:val="21"/>
                <w:highlight w:val="none"/>
              </w:rPr>
              <w:t>信封中未出现有关投标报价的内容</w:t>
            </w:r>
            <w:r>
              <w:rPr>
                <w:rStyle w:val="9"/>
                <w:rFonts w:hint="eastAsia" w:ascii="宋体" w:hAnsi="宋体" w:eastAsia="宋体" w:cs="宋体"/>
                <w:b w:val="0"/>
                <w:snapToGrid w:val="0"/>
                <w:color w:val="auto"/>
                <w:spacing w:val="0"/>
                <w:w w:val="100"/>
                <w:sz w:val="21"/>
                <w:szCs w:val="21"/>
                <w:highlight w:val="none"/>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w:t>
            </w:r>
            <w:r>
              <w:rPr>
                <w:rStyle w:val="9"/>
                <w:rFonts w:hint="eastAsia" w:ascii="宋体" w:hAnsi="宋体" w:eastAsia="宋体" w:cs="宋体"/>
                <w:b w:val="0"/>
                <w:snapToGrid w:val="0"/>
                <w:color w:val="auto"/>
                <w:spacing w:val="0"/>
                <w:w w:val="100"/>
                <w:sz w:val="21"/>
                <w:szCs w:val="21"/>
                <w:highlight w:val="none"/>
                <w:lang w:val="en-US" w:eastAsia="zh-CN"/>
              </w:rPr>
              <w:t>9</w:t>
            </w:r>
            <w:r>
              <w:rPr>
                <w:rStyle w:val="9"/>
                <w:rFonts w:hint="eastAsia" w:ascii="宋体" w:hAnsi="宋体" w:eastAsia="宋体" w:cs="宋体"/>
                <w:b w:val="0"/>
                <w:snapToGrid w:val="0"/>
                <w:color w:val="auto"/>
                <w:spacing w:val="0"/>
                <w:w w:val="100"/>
                <w:sz w:val="21"/>
                <w:szCs w:val="21"/>
                <w:highlight w:val="none"/>
              </w:rPr>
              <w:t>）投标文件载明的招标项目完成期限</w:t>
            </w:r>
            <w:r>
              <w:rPr>
                <w:rStyle w:val="9"/>
                <w:rFonts w:hint="eastAsia" w:ascii="宋体" w:hAnsi="宋体" w:eastAsia="宋体" w:cs="宋体"/>
                <w:b w:val="0"/>
                <w:snapToGrid w:val="0"/>
                <w:color w:val="auto"/>
                <w:spacing w:val="0"/>
                <w:w w:val="100"/>
                <w:sz w:val="21"/>
                <w:szCs w:val="21"/>
                <w:highlight w:val="none"/>
                <w:lang w:val="en-US" w:eastAsia="zh-CN"/>
              </w:rPr>
              <w:t>符合</w:t>
            </w:r>
            <w:r>
              <w:rPr>
                <w:rStyle w:val="9"/>
                <w:rFonts w:hint="eastAsia" w:ascii="宋体" w:hAnsi="宋体" w:eastAsia="宋体" w:cs="宋体"/>
                <w:b w:val="0"/>
                <w:snapToGrid w:val="0"/>
                <w:color w:val="auto"/>
                <w:spacing w:val="0"/>
                <w:w w:val="100"/>
                <w:sz w:val="21"/>
                <w:szCs w:val="21"/>
                <w:highlight w:val="none"/>
              </w:rPr>
              <w:t>招标文件规定的时限</w:t>
            </w:r>
            <w:r>
              <w:rPr>
                <w:rStyle w:val="9"/>
                <w:rFonts w:hint="eastAsia" w:ascii="宋体" w:hAnsi="宋体" w:eastAsia="宋体" w:cs="宋体"/>
                <w:b w:val="0"/>
                <w:snapToGrid w:val="0"/>
                <w:color w:val="auto"/>
                <w:spacing w:val="0"/>
                <w:w w:val="100"/>
                <w:sz w:val="21"/>
                <w:szCs w:val="21"/>
                <w:highlight w:val="none"/>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val="en-US" w:eastAsia="zh-CN"/>
              </w:rPr>
            </w:pPr>
            <w:r>
              <w:rPr>
                <w:rStyle w:val="9"/>
                <w:rFonts w:hint="eastAsia" w:ascii="宋体" w:hAnsi="宋体" w:eastAsia="宋体" w:cs="宋体"/>
                <w:b w:val="0"/>
                <w:snapToGrid w:val="0"/>
                <w:color w:val="auto"/>
                <w:spacing w:val="0"/>
                <w:w w:val="100"/>
                <w:sz w:val="21"/>
                <w:szCs w:val="21"/>
                <w:highlight w:val="none"/>
              </w:rPr>
              <w:t>（</w:t>
            </w:r>
            <w:r>
              <w:rPr>
                <w:rStyle w:val="9"/>
                <w:rFonts w:hint="eastAsia" w:ascii="宋体" w:hAnsi="宋体" w:eastAsia="宋体" w:cs="宋体"/>
                <w:b w:val="0"/>
                <w:snapToGrid w:val="0"/>
                <w:color w:val="auto"/>
                <w:spacing w:val="0"/>
                <w:w w:val="100"/>
                <w:sz w:val="21"/>
                <w:szCs w:val="21"/>
                <w:highlight w:val="none"/>
                <w:lang w:val="en-US" w:eastAsia="zh-CN"/>
              </w:rPr>
              <w:t>10</w:t>
            </w:r>
            <w:r>
              <w:rPr>
                <w:rStyle w:val="9"/>
                <w:rFonts w:hint="eastAsia" w:ascii="宋体" w:hAnsi="宋体" w:eastAsia="宋体" w:cs="宋体"/>
                <w:b w:val="0"/>
                <w:snapToGrid w:val="0"/>
                <w:color w:val="auto"/>
                <w:spacing w:val="0"/>
                <w:w w:val="100"/>
                <w:sz w:val="21"/>
                <w:szCs w:val="21"/>
                <w:highlight w:val="none"/>
              </w:rPr>
              <w:t>）投标文件对招标文件的实质性要求和条件作出响应</w:t>
            </w:r>
            <w:r>
              <w:rPr>
                <w:rStyle w:val="9"/>
                <w:rFonts w:hint="eastAsia" w:ascii="宋体" w:hAnsi="宋体" w:eastAsia="宋体" w:cs="宋体"/>
                <w:b w:val="0"/>
                <w:snapToGrid w:val="0"/>
                <w:color w:val="auto"/>
                <w:spacing w:val="0"/>
                <w:w w:val="100"/>
                <w:sz w:val="21"/>
                <w:szCs w:val="21"/>
                <w:highlight w:val="none"/>
                <w:lang w:val="en-US" w:eastAsia="zh-CN"/>
              </w:rPr>
              <w:t>。</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（1</w:t>
            </w:r>
            <w:r>
              <w:rPr>
                <w:rStyle w:val="9"/>
                <w:rFonts w:hint="eastAsia" w:ascii="宋体" w:hAnsi="宋体" w:eastAsia="宋体" w:cs="宋体"/>
                <w:b w:val="0"/>
                <w:snapToGrid w:val="0"/>
                <w:color w:val="auto"/>
                <w:spacing w:val="0"/>
                <w:w w:val="100"/>
                <w:sz w:val="21"/>
                <w:szCs w:val="21"/>
                <w:highlight w:val="none"/>
                <w:lang w:val="en-US" w:eastAsia="zh-CN"/>
              </w:rPr>
              <w:t>1</w:t>
            </w:r>
            <w:r>
              <w:rPr>
                <w:rStyle w:val="9"/>
                <w:rFonts w:hint="eastAsia" w:ascii="宋体" w:hAnsi="宋体" w:eastAsia="宋体" w:cs="宋体"/>
                <w:b w:val="0"/>
                <w:snapToGrid w:val="0"/>
                <w:color w:val="auto"/>
                <w:spacing w:val="0"/>
                <w:w w:val="100"/>
                <w:sz w:val="21"/>
                <w:szCs w:val="21"/>
                <w:highlight w:val="none"/>
              </w:rPr>
              <w:t>）权利义务符合招标文件规定:</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a.投标人应接受招标文件规定的风险划分原则，未提出新的风险划分办法；</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b.投标人未增加发包人的责任范围，或减少投标人义务；</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c.投标人未提出不同的工程验收、计量、支付办法；</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d.投标人对合同纠纷、事故处理办法未提出异议；</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e.投标人在投标活动中无欺诈行为；</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f.投标人未对合同条款有重要保留。</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（1</w:t>
            </w:r>
            <w:r>
              <w:rPr>
                <w:rStyle w:val="9"/>
                <w:rFonts w:hint="eastAsia" w:ascii="宋体" w:hAnsi="宋体" w:eastAsia="宋体" w:cs="宋体"/>
                <w:b w:val="0"/>
                <w:snapToGrid w:val="0"/>
                <w:color w:val="auto"/>
                <w:spacing w:val="0"/>
                <w:w w:val="100"/>
                <w:sz w:val="21"/>
                <w:szCs w:val="21"/>
                <w:highlight w:val="none"/>
                <w:lang w:val="en-US" w:eastAsia="zh-CN"/>
              </w:rPr>
              <w:t>2</w:t>
            </w:r>
            <w:r>
              <w:rPr>
                <w:rStyle w:val="9"/>
                <w:rFonts w:hint="eastAsia" w:ascii="宋体" w:hAnsi="宋体" w:eastAsia="宋体" w:cs="宋体"/>
                <w:b w:val="0"/>
                <w:snapToGrid w:val="0"/>
                <w:color w:val="auto"/>
                <w:spacing w:val="0"/>
                <w:w w:val="100"/>
                <w:sz w:val="21"/>
                <w:szCs w:val="21"/>
                <w:highlight w:val="none"/>
              </w:rPr>
              <w:t>）投标函上填写的标段号与所投标段号一致。</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（1</w:t>
            </w:r>
            <w:r>
              <w:rPr>
                <w:rStyle w:val="9"/>
                <w:rFonts w:hint="eastAsia" w:ascii="宋体" w:hAnsi="宋体" w:eastAsia="宋体" w:cs="宋体"/>
                <w:b w:val="0"/>
                <w:snapToGrid w:val="0"/>
                <w:color w:val="auto"/>
                <w:spacing w:val="0"/>
                <w:w w:val="100"/>
                <w:sz w:val="21"/>
                <w:szCs w:val="21"/>
                <w:highlight w:val="none"/>
                <w:lang w:val="en-US" w:eastAsia="zh-CN"/>
              </w:rPr>
              <w:t>3</w:t>
            </w:r>
            <w:r>
              <w:rPr>
                <w:rStyle w:val="9"/>
                <w:rFonts w:hint="eastAsia" w:ascii="宋体" w:hAnsi="宋体" w:eastAsia="宋体" w:cs="宋体"/>
                <w:b w:val="0"/>
                <w:snapToGrid w:val="0"/>
                <w:color w:val="auto"/>
                <w:spacing w:val="0"/>
                <w:w w:val="100"/>
                <w:sz w:val="21"/>
                <w:szCs w:val="21"/>
                <w:highlight w:val="none"/>
              </w:rPr>
              <w:t>）</w:t>
            </w:r>
            <w:r>
              <w:rPr>
                <w:rFonts w:hint="eastAsia" w:ascii="宋体" w:hAnsi="宋体" w:eastAsia="宋体" w:cs="宋体"/>
                <w:color w:val="auto"/>
                <w:sz w:val="21"/>
                <w:szCs w:val="21"/>
                <w:highlight w:val="none"/>
              </w:rPr>
              <w:t>投标文件编制及提交方式满足投标人须知相关规定。</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（1</w:t>
            </w:r>
            <w:r>
              <w:rPr>
                <w:rStyle w:val="9"/>
                <w:rFonts w:hint="eastAsia" w:ascii="宋体" w:hAnsi="宋体" w:eastAsia="宋体" w:cs="宋体"/>
                <w:b w:val="0"/>
                <w:snapToGrid w:val="0"/>
                <w:color w:val="auto"/>
                <w:spacing w:val="0"/>
                <w:w w:val="100"/>
                <w:sz w:val="21"/>
                <w:szCs w:val="21"/>
                <w:highlight w:val="none"/>
                <w:lang w:val="en-US" w:eastAsia="zh-CN"/>
              </w:rPr>
              <w:t>4</w:t>
            </w:r>
            <w:r>
              <w:rPr>
                <w:rStyle w:val="9"/>
                <w:rFonts w:hint="eastAsia" w:ascii="宋体" w:hAnsi="宋体" w:eastAsia="宋体" w:cs="宋体"/>
                <w:b w:val="0"/>
                <w:snapToGrid w:val="0"/>
                <w:color w:val="auto"/>
                <w:spacing w:val="0"/>
                <w:w w:val="100"/>
                <w:sz w:val="21"/>
                <w:szCs w:val="21"/>
                <w:highlight w:val="none"/>
              </w:rPr>
              <w:t>）投标人按评标委员会的要求做出了澄清、说明或补正</w:t>
            </w:r>
            <w:r>
              <w:rPr>
                <w:rStyle w:val="9"/>
                <w:rFonts w:hint="eastAsia" w:ascii="宋体" w:hAnsi="宋体" w:eastAsia="宋体" w:cs="宋体"/>
                <w:b w:val="0"/>
                <w:snapToGrid w:val="0"/>
                <w:color w:val="auto"/>
                <w:spacing w:val="0"/>
                <w:w w:val="100"/>
                <w:sz w:val="21"/>
                <w:szCs w:val="21"/>
                <w:highlight w:val="none"/>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Fonts w:hint="eastAsia" w:ascii="宋体" w:hAnsi="宋体" w:eastAsia="宋体" w:cs="宋体"/>
                <w:snapToGrid w:val="0"/>
                <w:color w:val="auto"/>
                <w:sz w:val="21"/>
                <w:szCs w:val="21"/>
                <w:lang w:eastAsia="zh-CN"/>
              </w:rPr>
            </w:pPr>
            <w:r>
              <w:rPr>
                <w:rStyle w:val="9"/>
                <w:rFonts w:hint="eastAsia" w:ascii="宋体" w:hAnsi="宋体" w:eastAsia="宋体" w:cs="宋体"/>
                <w:b w:val="0"/>
                <w:snapToGrid w:val="0"/>
                <w:color w:val="auto"/>
                <w:spacing w:val="0"/>
                <w:w w:val="100"/>
                <w:sz w:val="21"/>
                <w:szCs w:val="21"/>
                <w:highlight w:val="none"/>
                <w:lang w:val="en-US" w:eastAsia="zh-CN"/>
              </w:rPr>
              <w:t xml:space="preserve">（15）投标文件未附有招标人不能接受的条件。 </w:t>
            </w:r>
          </w:p>
          <w:p>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snapToGrid w:val="0"/>
                <w:color w:val="auto"/>
                <w:sz w:val="21"/>
                <w:szCs w:val="21"/>
                <w:lang w:eastAsia="zh-CN"/>
              </w:rPr>
              <w:t>投标文件未满足以上任一条件的，其投标视为无效，评标委员会将否决其投标。</w:t>
            </w:r>
          </w:p>
          <w:p>
            <w:pPr>
              <w:tabs>
                <w:tab w:val="left" w:pos="246"/>
              </w:tabs>
              <w:autoSpaceDE w:val="0"/>
              <w:autoSpaceDN w:val="0"/>
              <w:spacing w:line="360" w:lineRule="exact"/>
              <w:rPr>
                <w:rFonts w:hint="eastAsia" w:ascii="宋体" w:hAnsi="宋体" w:cs="宋体"/>
                <w:b/>
                <w:bCs/>
                <w:color w:val="auto"/>
                <w:kern w:val="0"/>
                <w:sz w:val="21"/>
                <w:szCs w:val="21"/>
              </w:rPr>
            </w:pPr>
            <w:r>
              <w:rPr>
                <w:rFonts w:hint="eastAsia" w:ascii="宋体" w:hAnsi="宋体" w:cs="宋体"/>
                <w:b/>
                <w:bCs/>
                <w:color w:val="auto"/>
                <w:kern w:val="0"/>
                <w:sz w:val="21"/>
                <w:szCs w:val="21"/>
              </w:rPr>
              <w:t>第二个信封（报价文件）评审标准：</w:t>
            </w:r>
          </w:p>
          <w:p>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（1）投标文件按照招标文件规定的格式、内容填写，字迹清晰可辨，内容齐全完整：</w:t>
            </w:r>
          </w:p>
          <w:p>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lang w:val="en-US" w:eastAsia="zh-CN"/>
              </w:rPr>
              <w:t>a.</w:t>
            </w:r>
            <w:r>
              <w:rPr>
                <w:rStyle w:val="9"/>
                <w:rFonts w:hint="eastAsia" w:ascii="宋体" w:hAnsi="宋体" w:eastAsia="宋体" w:cs="宋体"/>
                <w:b w:val="0"/>
                <w:snapToGrid w:val="0"/>
                <w:color w:val="auto"/>
                <w:spacing w:val="0"/>
                <w:w w:val="100"/>
                <w:sz w:val="21"/>
                <w:szCs w:val="21"/>
                <w:highlight w:val="none"/>
              </w:rPr>
              <w:t>投标函按招标文件规定填报了项目名称、</w:t>
            </w:r>
            <w:r>
              <w:rPr>
                <w:rStyle w:val="9"/>
                <w:rFonts w:hint="eastAsia" w:ascii="宋体" w:hAnsi="宋体" w:eastAsia="宋体" w:cs="宋体"/>
                <w:b w:val="0"/>
                <w:snapToGrid w:val="0"/>
                <w:color w:val="auto"/>
                <w:spacing w:val="0"/>
                <w:w w:val="100"/>
                <w:sz w:val="21"/>
                <w:szCs w:val="21"/>
                <w:highlight w:val="none"/>
                <w:lang w:eastAsia="zh-CN"/>
              </w:rPr>
              <w:t>标段</w:t>
            </w:r>
            <w:r>
              <w:rPr>
                <w:rStyle w:val="9"/>
                <w:rFonts w:hint="eastAsia" w:ascii="宋体" w:hAnsi="宋体" w:eastAsia="宋体" w:cs="宋体"/>
                <w:b w:val="0"/>
                <w:snapToGrid w:val="0"/>
                <w:color w:val="auto"/>
                <w:spacing w:val="0"/>
                <w:w w:val="100"/>
                <w:sz w:val="21"/>
                <w:szCs w:val="21"/>
                <w:highlight w:val="none"/>
                <w:lang w:val="en-US" w:eastAsia="zh-CN"/>
              </w:rPr>
              <w:t>号</w:t>
            </w:r>
            <w:r>
              <w:rPr>
                <w:rStyle w:val="9"/>
                <w:rFonts w:hint="eastAsia" w:ascii="宋体" w:hAnsi="宋体" w:eastAsia="宋体" w:cs="宋体"/>
                <w:b w:val="0"/>
                <w:snapToGrid w:val="0"/>
                <w:color w:val="auto"/>
                <w:spacing w:val="0"/>
                <w:w w:val="100"/>
                <w:sz w:val="21"/>
                <w:szCs w:val="21"/>
                <w:highlight w:val="none"/>
                <w:lang w:eastAsia="zh-CN"/>
              </w:rPr>
              <w:t>、</w:t>
            </w:r>
            <w:r>
              <w:rPr>
                <w:rStyle w:val="9"/>
                <w:rFonts w:hint="eastAsia" w:ascii="宋体" w:hAnsi="宋体" w:eastAsia="宋体" w:cs="宋体"/>
                <w:b w:val="0"/>
                <w:snapToGrid w:val="0"/>
                <w:color w:val="auto"/>
                <w:spacing w:val="0"/>
                <w:w w:val="100"/>
                <w:sz w:val="21"/>
                <w:szCs w:val="21"/>
                <w:highlight w:val="none"/>
              </w:rPr>
              <w:t>补遗书编号（如有）、投标价；</w:t>
            </w:r>
          </w:p>
          <w:p>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lang w:val="en-US" w:eastAsia="zh-CN"/>
              </w:rPr>
              <w:t>b.</w:t>
            </w:r>
            <w:r>
              <w:rPr>
                <w:rStyle w:val="9"/>
                <w:rFonts w:hint="eastAsia" w:ascii="宋体" w:hAnsi="宋体" w:eastAsia="宋体" w:cs="宋体"/>
                <w:b w:val="0"/>
                <w:snapToGrid w:val="0"/>
                <w:color w:val="auto"/>
                <w:spacing w:val="0"/>
                <w:w w:val="100"/>
                <w:sz w:val="21"/>
                <w:szCs w:val="21"/>
                <w:highlight w:val="none"/>
              </w:rPr>
              <w:t>投标文件组成齐全完整，内容均按规定填写。</w:t>
            </w:r>
          </w:p>
          <w:p>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（2）投标文件上法定代表人或其授权代理人的签字、投标人的单位章盖章齐全，</w:t>
            </w:r>
            <w:r>
              <w:rPr>
                <w:rFonts w:hint="eastAsia" w:ascii="宋体" w:hAnsi="宋体" w:eastAsia="宋体" w:cs="宋体"/>
                <w:color w:val="auto"/>
                <w:kern w:val="0"/>
                <w:sz w:val="21"/>
                <w:szCs w:val="21"/>
                <w:highlight w:val="none"/>
              </w:rPr>
              <w:t>符合招标文件规定。</w:t>
            </w:r>
          </w:p>
          <w:p>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（3）投标报价未超过招标文件设定的最高投标限价（如有）</w:t>
            </w:r>
            <w:r>
              <w:rPr>
                <w:rStyle w:val="9"/>
                <w:rFonts w:hint="eastAsia" w:ascii="宋体" w:hAnsi="宋体" w:eastAsia="宋体" w:cs="宋体"/>
                <w:b w:val="0"/>
                <w:snapToGrid w:val="0"/>
                <w:color w:val="auto"/>
                <w:spacing w:val="0"/>
                <w:w w:val="100"/>
                <w:sz w:val="21"/>
                <w:szCs w:val="21"/>
                <w:highlight w:val="none"/>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（4）投标人按评标委员会的要求做出了澄清、说明或补正</w:t>
            </w:r>
            <w:r>
              <w:rPr>
                <w:rFonts w:hint="eastAsia" w:ascii="宋体" w:hAnsi="宋体" w:eastAsia="宋体" w:cs="宋体"/>
                <w:snapToGrid w:val="0"/>
                <w:color w:val="auto"/>
                <w:sz w:val="21"/>
                <w:szCs w:val="21"/>
                <w:highlight w:val="none"/>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（5）同一投标人未提交两个以上不同的投标报价</w:t>
            </w:r>
            <w:r>
              <w:rPr>
                <w:rFonts w:hint="eastAsia" w:ascii="宋体" w:hAnsi="宋体" w:eastAsia="宋体" w:cs="宋体"/>
                <w:snapToGrid w:val="0"/>
                <w:color w:val="auto"/>
                <w:sz w:val="21"/>
                <w:szCs w:val="21"/>
                <w:highlight w:val="none"/>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rPr>
              <w:t>投标文件编制符合电子投标文件编制规定</w:t>
            </w:r>
            <w:r>
              <w:rPr>
                <w:rFonts w:hint="eastAsia" w:ascii="宋体" w:hAnsi="宋体" w:eastAsia="宋体" w:cs="宋体"/>
                <w:snapToGrid w:val="0"/>
                <w:color w:val="auto"/>
                <w:sz w:val="21"/>
                <w:szCs w:val="21"/>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rPr>
              <w:t>）</w:t>
            </w:r>
            <w:r>
              <w:rPr>
                <w:rFonts w:hint="eastAsia" w:ascii="宋体" w:hAnsi="宋体" w:eastAsia="宋体" w:cs="宋体"/>
                <w:color w:val="auto"/>
                <w:kern w:val="0"/>
                <w:sz w:val="21"/>
                <w:szCs w:val="21"/>
                <w:highlight w:val="none"/>
              </w:rPr>
              <w:t>投标函上填写的标段号与所投标段号一致。</w:t>
            </w:r>
          </w:p>
          <w:p>
            <w:pPr>
              <w:pStyle w:val="18"/>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8</w:t>
            </w:r>
            <w:r>
              <w:rPr>
                <w:rFonts w:hint="eastAsia" w:ascii="宋体" w:hAnsi="宋体" w:eastAsia="宋体" w:cs="宋体"/>
                <w:snapToGrid w:val="0"/>
                <w:color w:val="auto"/>
                <w:sz w:val="21"/>
                <w:szCs w:val="21"/>
                <w:highlight w:val="none"/>
              </w:rPr>
              <w:t>）投标人</w:t>
            </w:r>
            <w:r>
              <w:rPr>
                <w:rFonts w:hint="eastAsia" w:ascii="宋体" w:hAnsi="宋体" w:eastAsia="宋体" w:cs="宋体"/>
                <w:snapToGrid w:val="0"/>
                <w:color w:val="auto"/>
                <w:sz w:val="21"/>
                <w:szCs w:val="21"/>
                <w:highlight w:val="none"/>
                <w:lang w:eastAsia="zh-CN"/>
              </w:rPr>
              <w:t>电子标系统填写报价（开标记录表）与投标函报价一致。</w:t>
            </w:r>
          </w:p>
          <w:p>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9</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rPr>
              <w:t>投标人未对工程量固化清单电子文件中的数据、格式和运算定义进行修改</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工程量固化清单中的投标报价和投标函大写金额报价一致</w:t>
            </w:r>
            <w:r>
              <w:rPr>
                <w:rFonts w:hint="eastAsia" w:ascii="宋体" w:hAnsi="宋体" w:eastAsia="宋体" w:cs="宋体"/>
                <w:snapToGrid w:val="0"/>
                <w:color w:val="auto"/>
                <w:sz w:val="21"/>
                <w:szCs w:val="21"/>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10</w:t>
            </w:r>
            <w:r>
              <w:rPr>
                <w:rFonts w:hint="eastAsia" w:ascii="宋体" w:hAnsi="宋体" w:eastAsia="宋体" w:cs="宋体"/>
                <w:snapToGrid w:val="0"/>
                <w:color w:val="auto"/>
                <w:sz w:val="21"/>
                <w:szCs w:val="21"/>
                <w:highlight w:val="none"/>
                <w:lang w:eastAsia="zh-CN"/>
              </w:rPr>
              <w:t>）投标报价的大写金额能够确定具体数值。</w:t>
            </w:r>
          </w:p>
          <w:p>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11</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投标文件未附有招标人不能接受的条件</w:t>
            </w:r>
            <w:r>
              <w:rPr>
                <w:rFonts w:hint="eastAsia" w:ascii="宋体" w:hAnsi="宋体" w:eastAsia="宋体" w:cs="宋体"/>
                <w:snapToGrid w:val="0"/>
                <w:color w:val="auto"/>
                <w:sz w:val="21"/>
                <w:szCs w:val="21"/>
                <w:lang w:eastAsia="zh-CN"/>
              </w:rPr>
              <w:t>。</w:t>
            </w:r>
          </w:p>
          <w:p>
            <w:pPr>
              <w:pStyle w:val="18"/>
              <w:keepNext w:val="0"/>
              <w:keepLines w:val="0"/>
              <w:pageBreakBefore w:val="0"/>
              <w:widowControl w:val="0"/>
              <w:kinsoku w:val="0"/>
              <w:wordWrap/>
              <w:overflowPunct w:val="0"/>
              <w:topLinePunct w:val="0"/>
              <w:autoSpaceDE w:val="0"/>
              <w:autoSpaceDN w:val="0"/>
              <w:bidi w:val="0"/>
              <w:adjustRightInd/>
              <w:snapToGrid/>
              <w:ind w:firstLine="421" w:firstLineChars="200"/>
              <w:jc w:val="left"/>
              <w:textAlignment w:val="auto"/>
              <w:rPr>
                <w:rFonts w:hint="eastAsia" w:ascii="宋体" w:hAnsi="宋体" w:eastAsia="宋体" w:cs="宋体"/>
                <w:snapToGrid w:val="0"/>
                <w:color w:val="auto"/>
                <w:sz w:val="21"/>
                <w:szCs w:val="21"/>
                <w:lang w:eastAsia="zh-CN"/>
              </w:rPr>
            </w:pPr>
            <w:r>
              <w:rPr>
                <w:rFonts w:hint="eastAsia" w:ascii="宋体" w:hAnsi="宋体" w:eastAsia="宋体" w:cs="宋体"/>
                <w:b/>
                <w:bCs/>
                <w:snapToGrid w:val="0"/>
                <w:color w:val="auto"/>
                <w:sz w:val="21"/>
                <w:szCs w:val="21"/>
                <w:lang w:eastAsia="zh-CN"/>
              </w:rPr>
              <w:t>投标文件未满足以上任一条件的，其投标视为无效，评标委员会将否决其投标。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863" w:type="dxa"/>
            <w:noWrap w:val="0"/>
            <w:tcMar>
              <w:top w:w="113" w:type="dxa"/>
              <w:left w:w="113" w:type="dxa"/>
              <w:bottom w:w="113" w:type="dxa"/>
              <w:right w:w="113" w:type="dxa"/>
            </w:tcMar>
            <w:vAlign w:val="center"/>
          </w:tcPr>
          <w:p>
            <w:pPr>
              <w:spacing w:line="360" w:lineRule="exact"/>
              <w:rPr>
                <w:rFonts w:hint="eastAsia" w:ascii="宋体" w:hAnsi="宋体" w:cs="宋体"/>
                <w:color w:val="auto"/>
                <w:szCs w:val="18"/>
              </w:rPr>
            </w:pPr>
            <w:r>
              <w:rPr>
                <w:rFonts w:hint="eastAsia" w:ascii="宋体" w:hAnsi="宋体" w:cs="宋体"/>
                <w:color w:val="auto"/>
                <w:szCs w:val="18"/>
              </w:rPr>
              <w:t>2.1.2</w:t>
            </w:r>
          </w:p>
        </w:tc>
        <w:tc>
          <w:tcPr>
            <w:tcW w:w="897" w:type="dxa"/>
            <w:noWrap w:val="0"/>
            <w:tcMar>
              <w:top w:w="113" w:type="dxa"/>
              <w:left w:w="113" w:type="dxa"/>
              <w:bottom w:w="113" w:type="dxa"/>
              <w:right w:w="113" w:type="dxa"/>
            </w:tcMar>
            <w:vAlign w:val="center"/>
          </w:tcPr>
          <w:p>
            <w:pPr>
              <w:spacing w:line="360" w:lineRule="exact"/>
              <w:rPr>
                <w:rFonts w:hint="eastAsia" w:ascii="宋体" w:hAnsi="宋体" w:cs="宋体"/>
                <w:color w:val="auto"/>
                <w:szCs w:val="18"/>
              </w:rPr>
            </w:pPr>
            <w:r>
              <w:rPr>
                <w:rFonts w:hint="eastAsia" w:ascii="宋体" w:hAnsi="宋体" w:cs="宋体"/>
                <w:color w:val="auto"/>
                <w:szCs w:val="18"/>
              </w:rPr>
              <w:t>资格评审标准</w:t>
            </w:r>
          </w:p>
        </w:tc>
        <w:tc>
          <w:tcPr>
            <w:tcW w:w="7346" w:type="dxa"/>
            <w:noWrap w:val="0"/>
            <w:tcMar>
              <w:top w:w="113" w:type="dxa"/>
              <w:left w:w="113" w:type="dxa"/>
              <w:bottom w:w="113" w:type="dxa"/>
              <w:right w:w="113" w:type="dxa"/>
            </w:tcMar>
            <w:vAlign w:val="center"/>
          </w:tcPr>
          <w:p>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rPr>
              <w:t>投标</w:t>
            </w:r>
            <w:r>
              <w:rPr>
                <w:rFonts w:hint="eastAsia" w:ascii="宋体" w:hAnsi="宋体" w:cs="宋体"/>
                <w:color w:val="auto"/>
                <w:szCs w:val="18"/>
                <w:highlight w:val="none"/>
              </w:rPr>
              <w:t>人具备有效的</w:t>
            </w:r>
            <w:r>
              <w:rPr>
                <w:rFonts w:hint="eastAsia" w:ascii="宋体" w:hAnsi="宋体" w:eastAsia="宋体" w:cs="宋体"/>
                <w:color w:val="auto"/>
                <w:kern w:val="0"/>
                <w:sz w:val="21"/>
                <w:szCs w:val="21"/>
                <w:highlight w:val="none"/>
              </w:rPr>
              <w:t>营业执照</w:t>
            </w:r>
            <w:r>
              <w:rPr>
                <w:rFonts w:hint="eastAsia" w:ascii="宋体" w:hAnsi="宋体" w:eastAsia="宋体" w:cs="宋体"/>
                <w:color w:val="auto"/>
                <w:kern w:val="0"/>
                <w:sz w:val="21"/>
                <w:szCs w:val="21"/>
                <w:highlight w:val="none"/>
                <w:lang w:val="en-US" w:eastAsia="zh-CN"/>
              </w:rPr>
              <w:t>副本或事业单位法人证书或社会团体法人登记证书</w:t>
            </w:r>
            <w:r>
              <w:rPr>
                <w:rFonts w:hint="eastAsia" w:ascii="宋体" w:hAnsi="宋体" w:cs="宋体"/>
                <w:color w:val="auto"/>
                <w:szCs w:val="18"/>
                <w:highlight w:val="none"/>
              </w:rPr>
              <w:t>、</w:t>
            </w:r>
            <w:r>
              <w:rPr>
                <w:rFonts w:hint="eastAsia" w:ascii="宋体" w:hAnsi="宋体" w:cs="宋体"/>
                <w:color w:val="auto"/>
                <w:szCs w:val="18"/>
                <w:highlight w:val="none"/>
                <w:lang w:val="en-US" w:eastAsia="zh-CN"/>
              </w:rPr>
              <w:t>试验检测资质证书</w:t>
            </w:r>
            <w:r>
              <w:rPr>
                <w:rFonts w:hint="eastAsia" w:ascii="宋体" w:hAnsi="宋体" w:eastAsia="宋体" w:cs="宋体"/>
                <w:color w:val="auto"/>
                <w:kern w:val="0"/>
                <w:sz w:val="21"/>
                <w:szCs w:val="21"/>
                <w:highlight w:val="none"/>
                <w:lang w:val="en-US" w:eastAsia="zh-CN"/>
              </w:rPr>
              <w:t>副本</w:t>
            </w:r>
            <w:r>
              <w:rPr>
                <w:rFonts w:hint="eastAsia" w:ascii="宋体" w:hAnsi="宋体" w:cs="宋体"/>
                <w:color w:val="auto"/>
                <w:szCs w:val="18"/>
                <w:highlight w:val="none"/>
                <w:lang w:val="en-US" w:eastAsia="zh-CN"/>
              </w:rPr>
              <w:t>和</w:t>
            </w:r>
            <w:r>
              <w:rPr>
                <w:rFonts w:hint="eastAsia" w:ascii="宋体" w:hAnsi="宋体" w:cs="宋体"/>
                <w:color w:val="auto"/>
                <w:szCs w:val="18"/>
                <w:highlight w:val="none"/>
              </w:rPr>
              <w:t>基本账户</w:t>
            </w:r>
            <w:r>
              <w:rPr>
                <w:rFonts w:hint="eastAsia" w:ascii="宋体" w:hAnsi="宋体" w:cs="宋体"/>
                <w:color w:val="auto"/>
                <w:szCs w:val="18"/>
                <w:highlight w:val="none"/>
                <w:lang w:val="en-US" w:eastAsia="zh-CN"/>
              </w:rPr>
              <w:t>信息</w:t>
            </w:r>
            <w:r>
              <w:rPr>
                <w:rFonts w:hint="eastAsia" w:ascii="宋体" w:hAnsi="宋体" w:eastAsia="宋体" w:cs="宋体"/>
                <w:color w:val="auto"/>
                <w:kern w:val="0"/>
                <w:szCs w:val="21"/>
                <w:highlight w:val="none"/>
                <w:lang w:val="en-US" w:eastAsia="zh-CN" w:bidi="ar"/>
              </w:rPr>
              <w:t>扫描件</w:t>
            </w:r>
            <w:r>
              <w:rPr>
                <w:rFonts w:hint="eastAsia" w:ascii="宋体" w:hAnsi="宋体" w:cs="宋体"/>
                <w:color w:val="auto"/>
                <w:szCs w:val="18"/>
                <w:highlight w:val="none"/>
              </w:rPr>
              <w:t>。</w:t>
            </w:r>
          </w:p>
          <w:p>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highlight w:val="none"/>
              </w:rPr>
              <w:t>投标人的</w:t>
            </w:r>
            <w:r>
              <w:rPr>
                <w:rFonts w:hint="eastAsia" w:ascii="宋体" w:hAnsi="宋体" w:eastAsia="宋体" w:cs="宋体"/>
                <w:color w:val="auto"/>
                <w:kern w:val="0"/>
                <w:sz w:val="21"/>
                <w:szCs w:val="21"/>
                <w:highlight w:val="none"/>
                <w:lang w:val="en-US" w:eastAsia="zh-CN" w:bidi="ar"/>
              </w:rPr>
              <w:t>资质最低要求</w:t>
            </w:r>
            <w:r>
              <w:rPr>
                <w:rFonts w:hint="eastAsia" w:ascii="宋体" w:hAnsi="宋体" w:cs="宋体"/>
                <w:color w:val="auto"/>
                <w:szCs w:val="18"/>
                <w:highlight w:val="none"/>
              </w:rPr>
              <w:t>符合招标文件</w:t>
            </w:r>
            <w:r>
              <w:rPr>
                <w:rFonts w:hint="eastAsia" w:ascii="宋体" w:hAnsi="宋体" w:eastAsia="宋体" w:cs="宋体"/>
                <w:color w:val="auto"/>
                <w:kern w:val="0"/>
                <w:szCs w:val="21"/>
                <w:highlight w:val="none"/>
                <w:lang w:bidi="ar"/>
              </w:rPr>
              <w:t>投标人须知</w:t>
            </w:r>
            <w:r>
              <w:rPr>
                <w:rFonts w:hint="eastAsia" w:ascii="宋体" w:hAnsi="宋体" w:cs="宋体"/>
                <w:b/>
                <w:bCs/>
                <w:color w:val="auto"/>
                <w:szCs w:val="18"/>
                <w:highlight w:val="none"/>
              </w:rPr>
              <w:t>附录1</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cs="宋体"/>
                <w:color w:val="auto"/>
                <w:szCs w:val="18"/>
                <w:highlight w:val="none"/>
              </w:rPr>
              <w:t>规定。</w:t>
            </w:r>
          </w:p>
          <w:p>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highlight w:val="none"/>
              </w:rPr>
              <w:t>投标人的</w:t>
            </w:r>
            <w:r>
              <w:rPr>
                <w:rFonts w:hint="eastAsia" w:cs="宋体"/>
                <w:color w:val="auto"/>
                <w:highlight w:val="none"/>
              </w:rPr>
              <w:t>业绩最低要求</w:t>
            </w:r>
            <w:r>
              <w:rPr>
                <w:rFonts w:hint="eastAsia" w:ascii="宋体" w:hAnsi="宋体" w:cs="宋体"/>
                <w:color w:val="auto"/>
                <w:szCs w:val="18"/>
                <w:highlight w:val="none"/>
              </w:rPr>
              <w:t>符合招标文件</w:t>
            </w:r>
            <w:r>
              <w:rPr>
                <w:rFonts w:hint="eastAsia" w:ascii="宋体" w:hAnsi="宋体" w:eastAsia="宋体" w:cs="宋体"/>
                <w:color w:val="auto"/>
                <w:kern w:val="0"/>
                <w:szCs w:val="21"/>
                <w:highlight w:val="none"/>
                <w:lang w:bidi="ar"/>
              </w:rPr>
              <w:t>投标人须知</w:t>
            </w:r>
            <w:r>
              <w:rPr>
                <w:rFonts w:hint="eastAsia" w:ascii="宋体" w:hAnsi="宋体" w:cs="宋体"/>
                <w:b/>
                <w:bCs/>
                <w:color w:val="auto"/>
                <w:szCs w:val="18"/>
                <w:highlight w:val="none"/>
              </w:rPr>
              <w:t>附录</w:t>
            </w:r>
            <w:r>
              <w:rPr>
                <w:rFonts w:hint="eastAsia" w:ascii="宋体" w:hAnsi="宋体" w:cs="宋体"/>
                <w:b/>
                <w:bCs/>
                <w:color w:val="auto"/>
                <w:szCs w:val="18"/>
                <w:highlight w:val="none"/>
                <w:lang w:val="en-US" w:eastAsia="zh-CN"/>
              </w:rPr>
              <w:t>2</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cs="宋体"/>
                <w:color w:val="auto"/>
                <w:szCs w:val="18"/>
                <w:highlight w:val="none"/>
              </w:rPr>
              <w:t>规定。</w:t>
            </w:r>
          </w:p>
          <w:p>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highlight w:val="none"/>
              </w:rPr>
              <w:t>投标人的</w:t>
            </w:r>
            <w:r>
              <w:rPr>
                <w:rFonts w:hint="eastAsia" w:ascii="宋体" w:hAnsi="宋体" w:eastAsia="宋体" w:cs="宋体"/>
                <w:color w:val="auto"/>
                <w:kern w:val="0"/>
                <w:sz w:val="21"/>
                <w:szCs w:val="21"/>
                <w:highlight w:val="none"/>
                <w:lang w:bidi="ar"/>
              </w:rPr>
              <w:t>信誉</w:t>
            </w:r>
            <w:r>
              <w:rPr>
                <w:rFonts w:hint="eastAsia" w:ascii="宋体" w:hAnsi="宋体" w:eastAsia="宋体" w:cs="宋体"/>
                <w:color w:val="auto"/>
                <w:kern w:val="0"/>
                <w:sz w:val="21"/>
                <w:szCs w:val="21"/>
                <w:highlight w:val="none"/>
                <w:lang w:val="en-US" w:eastAsia="zh-CN" w:bidi="ar"/>
              </w:rPr>
              <w:t>最低要求</w:t>
            </w:r>
            <w:r>
              <w:rPr>
                <w:rFonts w:hint="eastAsia" w:ascii="宋体" w:hAnsi="宋体" w:cs="宋体"/>
                <w:color w:val="auto"/>
                <w:szCs w:val="18"/>
                <w:highlight w:val="none"/>
              </w:rPr>
              <w:t>符合招标文件</w:t>
            </w:r>
            <w:r>
              <w:rPr>
                <w:rFonts w:hint="eastAsia" w:ascii="宋体" w:hAnsi="宋体" w:eastAsia="宋体" w:cs="宋体"/>
                <w:color w:val="auto"/>
                <w:kern w:val="0"/>
                <w:szCs w:val="21"/>
                <w:highlight w:val="none"/>
                <w:lang w:bidi="ar"/>
              </w:rPr>
              <w:t>投标人须知</w:t>
            </w:r>
            <w:r>
              <w:rPr>
                <w:rFonts w:hint="eastAsia" w:ascii="宋体" w:hAnsi="宋体" w:cs="宋体"/>
                <w:b/>
                <w:bCs/>
                <w:color w:val="auto"/>
                <w:szCs w:val="18"/>
                <w:highlight w:val="none"/>
              </w:rPr>
              <w:t>附录</w:t>
            </w:r>
            <w:r>
              <w:rPr>
                <w:rFonts w:hint="eastAsia" w:ascii="宋体" w:hAnsi="宋体" w:cs="宋体"/>
                <w:b/>
                <w:bCs/>
                <w:color w:val="auto"/>
                <w:szCs w:val="18"/>
                <w:highlight w:val="none"/>
                <w:lang w:val="en-US" w:eastAsia="zh-CN"/>
              </w:rPr>
              <w:t>3</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cs="宋体"/>
                <w:color w:val="auto"/>
                <w:szCs w:val="18"/>
                <w:highlight w:val="none"/>
              </w:rPr>
              <w:t>规定。</w:t>
            </w:r>
          </w:p>
          <w:p>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highlight w:val="none"/>
              </w:rPr>
              <w:t>投标人的检测负责人最低要求符合招标文件</w:t>
            </w:r>
            <w:r>
              <w:rPr>
                <w:rFonts w:hint="eastAsia" w:ascii="宋体" w:hAnsi="宋体" w:eastAsia="宋体" w:cs="宋体"/>
                <w:color w:val="auto"/>
                <w:kern w:val="0"/>
                <w:szCs w:val="21"/>
                <w:highlight w:val="none"/>
                <w:lang w:bidi="ar"/>
              </w:rPr>
              <w:t>投标人须知</w:t>
            </w:r>
            <w:r>
              <w:rPr>
                <w:rFonts w:hint="eastAsia" w:ascii="宋体" w:hAnsi="宋体" w:cs="宋体"/>
                <w:b/>
                <w:bCs/>
                <w:color w:val="auto"/>
                <w:szCs w:val="18"/>
                <w:highlight w:val="none"/>
              </w:rPr>
              <w:t>附录</w:t>
            </w:r>
            <w:r>
              <w:rPr>
                <w:rFonts w:hint="eastAsia" w:ascii="宋体" w:hAnsi="宋体" w:cs="宋体"/>
                <w:b/>
                <w:bCs/>
                <w:color w:val="auto"/>
                <w:szCs w:val="18"/>
                <w:highlight w:val="none"/>
                <w:lang w:val="en-US" w:eastAsia="zh-CN"/>
              </w:rPr>
              <w:t>4</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cs="宋体"/>
                <w:color w:val="auto"/>
                <w:szCs w:val="18"/>
                <w:highlight w:val="none"/>
              </w:rPr>
              <w:t>规定。</w:t>
            </w:r>
          </w:p>
          <w:p>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highlight w:val="none"/>
              </w:rPr>
              <w:t>投标人的其他要求符合招标文件规定。</w:t>
            </w:r>
          </w:p>
          <w:p>
            <w:pPr>
              <w:numPr>
                <w:ilvl w:val="0"/>
                <w:numId w:val="9"/>
              </w:numPr>
              <w:spacing w:line="360" w:lineRule="exact"/>
              <w:rPr>
                <w:rFonts w:hint="eastAsia" w:ascii="宋体" w:hAnsi="宋体" w:eastAsia="宋体" w:cs="宋体"/>
                <w:color w:val="auto"/>
                <w:kern w:val="0"/>
                <w:szCs w:val="21"/>
                <w:highlight w:val="none"/>
                <w:lang w:bidi="ar"/>
              </w:rPr>
            </w:pPr>
            <w:r>
              <w:rPr>
                <w:rFonts w:hint="eastAsia" w:ascii="宋体" w:hAnsi="宋体" w:cs="宋体"/>
                <w:color w:val="auto"/>
                <w:szCs w:val="18"/>
                <w:highlight w:val="none"/>
              </w:rPr>
              <w:t>投标人不存在第二章“投标人须知”第1.4.3项</w:t>
            </w:r>
            <w:r>
              <w:rPr>
                <w:rFonts w:hint="eastAsia" w:ascii="宋体" w:hAnsi="宋体" w:cs="宋体"/>
                <w:color w:val="auto"/>
                <w:szCs w:val="18"/>
                <w:highlight w:val="none"/>
                <w:lang w:val="en-US" w:eastAsia="zh-CN"/>
              </w:rPr>
              <w:t>或第1.4.4项</w:t>
            </w:r>
            <w:r>
              <w:rPr>
                <w:rFonts w:hint="eastAsia" w:ascii="宋体" w:hAnsi="宋体" w:cs="宋体"/>
                <w:color w:val="auto"/>
                <w:szCs w:val="18"/>
                <w:highlight w:val="none"/>
              </w:rPr>
              <w:t>规定的任何一种情形。</w:t>
            </w:r>
          </w:p>
          <w:p>
            <w:pPr>
              <w:pStyle w:val="3"/>
              <w:ind w:firstLine="481" w:firstLineChars="200"/>
              <w:rPr>
                <w:rFonts w:hint="eastAsia"/>
                <w:color w:val="auto"/>
              </w:rPr>
            </w:pPr>
            <w:r>
              <w:rPr>
                <w:rFonts w:hint="eastAsia" w:ascii="宋体" w:hAnsi="宋体" w:eastAsia="宋体" w:cs="宋体"/>
                <w:b/>
                <w:bCs/>
                <w:color w:val="auto"/>
                <w:kern w:val="0"/>
                <w:szCs w:val="21"/>
                <w:highlight w:val="none"/>
                <w:lang w:bidi="ar"/>
              </w:rPr>
              <w:t>投标文件未满足以上任一条件的，其投标视为无效，评标委员会将否决其投标。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863" w:type="dxa"/>
            <w:noWrap w:val="0"/>
            <w:tcMar>
              <w:top w:w="113" w:type="dxa"/>
              <w:left w:w="113" w:type="dxa"/>
              <w:bottom w:w="113" w:type="dxa"/>
              <w:right w:w="113" w:type="dxa"/>
            </w:tcMar>
            <w:vAlign w:val="center"/>
          </w:tcPr>
          <w:p>
            <w:pPr>
              <w:autoSpaceDE w:val="0"/>
              <w:autoSpaceDN w:val="0"/>
              <w:spacing w:line="360" w:lineRule="exact"/>
              <w:jc w:val="center"/>
              <w:rPr>
                <w:rFonts w:hint="eastAsia" w:ascii="宋体" w:hAnsi="宋体" w:cs="宋体"/>
                <w:color w:val="auto"/>
                <w:szCs w:val="18"/>
              </w:rPr>
            </w:pPr>
            <w:r>
              <w:rPr>
                <w:rFonts w:hint="eastAsia" w:ascii="宋体" w:hAnsi="宋体" w:cs="宋体"/>
                <w:color w:val="auto"/>
                <w:kern w:val="0"/>
                <w:szCs w:val="21"/>
              </w:rPr>
              <w:t>2.2.1</w:t>
            </w:r>
          </w:p>
        </w:tc>
        <w:tc>
          <w:tcPr>
            <w:tcW w:w="897" w:type="dxa"/>
            <w:noWrap w:val="0"/>
            <w:tcMar>
              <w:top w:w="113" w:type="dxa"/>
              <w:left w:w="113" w:type="dxa"/>
              <w:bottom w:w="113" w:type="dxa"/>
              <w:right w:w="113" w:type="dxa"/>
            </w:tcMar>
            <w:vAlign w:val="center"/>
          </w:tcPr>
          <w:p>
            <w:pPr>
              <w:spacing w:line="360" w:lineRule="exact"/>
              <w:jc w:val="center"/>
              <w:rPr>
                <w:rFonts w:hint="eastAsia" w:ascii="宋体" w:hAnsi="宋体" w:cs="宋体"/>
                <w:color w:val="auto"/>
                <w:szCs w:val="21"/>
              </w:rPr>
            </w:pPr>
            <w:r>
              <w:rPr>
                <w:rFonts w:hint="eastAsia" w:ascii="宋体" w:hAnsi="宋体" w:cs="宋体"/>
                <w:color w:val="auto"/>
                <w:szCs w:val="21"/>
              </w:rPr>
              <w:t>分值</w:t>
            </w:r>
          </w:p>
          <w:p>
            <w:pPr>
              <w:spacing w:line="360" w:lineRule="exact"/>
              <w:jc w:val="center"/>
              <w:rPr>
                <w:rFonts w:hint="eastAsia" w:ascii="宋体" w:hAnsi="宋体" w:cs="宋体"/>
                <w:color w:val="auto"/>
                <w:szCs w:val="21"/>
              </w:rPr>
            </w:pPr>
            <w:r>
              <w:rPr>
                <w:rFonts w:hint="eastAsia" w:ascii="宋体" w:hAnsi="宋体" w:cs="宋体"/>
                <w:color w:val="auto"/>
                <w:szCs w:val="21"/>
              </w:rPr>
              <w:t>构成</w:t>
            </w:r>
          </w:p>
          <w:p>
            <w:pPr>
              <w:spacing w:line="360" w:lineRule="exact"/>
              <w:jc w:val="center"/>
              <w:rPr>
                <w:rFonts w:hint="eastAsia" w:ascii="宋体" w:hAnsi="宋体" w:cs="宋体"/>
                <w:b/>
                <w:bCs/>
                <w:color w:val="auto"/>
                <w:szCs w:val="21"/>
              </w:rPr>
            </w:pPr>
          </w:p>
          <w:p>
            <w:pPr>
              <w:spacing w:line="360" w:lineRule="exact"/>
              <w:jc w:val="center"/>
              <w:rPr>
                <w:rFonts w:hint="eastAsia" w:ascii="宋体" w:hAnsi="宋体" w:cs="宋体"/>
                <w:color w:val="auto"/>
                <w:szCs w:val="18"/>
              </w:rPr>
            </w:pPr>
            <w:r>
              <w:rPr>
                <w:rFonts w:hint="eastAsia" w:ascii="宋体" w:hAnsi="宋体" w:cs="宋体"/>
                <w:b/>
                <w:bCs/>
                <w:color w:val="auto"/>
                <w:szCs w:val="21"/>
              </w:rPr>
              <w:t>总分</w:t>
            </w:r>
            <w:r>
              <w:rPr>
                <w:rFonts w:hint="eastAsia" w:ascii="宋体" w:hAnsi="宋体" w:eastAsia="宋体" w:cs="宋体"/>
                <w:b/>
                <w:bCs/>
                <w:color w:val="auto"/>
                <w:szCs w:val="21"/>
                <w:lang w:val="en-US" w:eastAsia="zh-CN"/>
              </w:rPr>
              <w:t>10</w:t>
            </w:r>
            <w:r>
              <w:rPr>
                <w:rFonts w:hint="eastAsia" w:ascii="宋体" w:hAnsi="宋体" w:cs="宋体"/>
                <w:b/>
                <w:bCs/>
                <w:color w:val="auto"/>
                <w:szCs w:val="21"/>
              </w:rPr>
              <w:t>0分</w:t>
            </w:r>
          </w:p>
        </w:tc>
        <w:tc>
          <w:tcPr>
            <w:tcW w:w="7346" w:type="dxa"/>
            <w:noWrap w:val="0"/>
            <w:tcMar>
              <w:top w:w="113" w:type="dxa"/>
              <w:left w:w="113" w:type="dxa"/>
              <w:bottom w:w="113" w:type="dxa"/>
              <w:right w:w="113" w:type="dxa"/>
            </w:tcMar>
            <w:vAlign w:val="center"/>
          </w:tcPr>
          <w:p>
            <w:pPr>
              <w:autoSpaceDE w:val="0"/>
              <w:autoSpaceDN w:val="0"/>
              <w:spacing w:line="360" w:lineRule="exact"/>
              <w:rPr>
                <w:rFonts w:hint="eastAsia" w:ascii="宋体" w:hAnsi="宋体" w:cs="宋体"/>
                <w:b/>
                <w:color w:val="auto"/>
                <w:szCs w:val="21"/>
              </w:rPr>
            </w:pPr>
            <w:r>
              <w:rPr>
                <w:rFonts w:hint="eastAsia" w:ascii="宋体" w:hAnsi="宋体" w:cs="宋体"/>
                <w:b/>
                <w:color w:val="auto"/>
                <w:szCs w:val="21"/>
              </w:rPr>
              <w:t>第一个信封（商务及技术文件）评分分值构成</w:t>
            </w:r>
          </w:p>
          <w:p>
            <w:pPr>
              <w:numPr>
                <w:ilvl w:val="0"/>
                <w:numId w:val="0"/>
              </w:numPr>
              <w:spacing w:line="360" w:lineRule="exact"/>
              <w:rPr>
                <w:rFonts w:hint="eastAsia" w:ascii="宋体" w:hAnsi="宋体" w:cs="宋体"/>
                <w:color w:val="auto"/>
                <w:szCs w:val="18"/>
                <w:lang w:val="en-US" w:eastAsia="zh-CN"/>
              </w:rPr>
            </w:pPr>
            <w:r>
              <w:rPr>
                <w:rFonts w:hint="eastAsia" w:ascii="宋体" w:hAnsi="宋体" w:cs="宋体"/>
                <w:color w:val="auto"/>
                <w:szCs w:val="18"/>
                <w:lang w:val="en-US" w:eastAsia="zh-CN"/>
              </w:rPr>
              <w:t>技术建议书：   35分</w:t>
            </w:r>
          </w:p>
          <w:p>
            <w:pPr>
              <w:numPr>
                <w:ilvl w:val="0"/>
                <w:numId w:val="0"/>
              </w:numPr>
              <w:spacing w:line="360" w:lineRule="exact"/>
              <w:rPr>
                <w:rFonts w:hint="eastAsia" w:ascii="宋体" w:hAnsi="宋体" w:cs="宋体"/>
                <w:color w:val="auto"/>
                <w:szCs w:val="18"/>
                <w:lang w:val="en-US" w:eastAsia="zh-CN"/>
              </w:rPr>
            </w:pPr>
            <w:r>
              <w:rPr>
                <w:rFonts w:hint="eastAsia" w:ascii="宋体" w:hAnsi="宋体" w:cs="宋体"/>
                <w:color w:val="auto"/>
                <w:szCs w:val="18"/>
                <w:lang w:val="en-US" w:eastAsia="zh-CN"/>
              </w:rPr>
              <w:t>主要人员：     25分</w:t>
            </w:r>
          </w:p>
          <w:p>
            <w:pPr>
              <w:numPr>
                <w:ilvl w:val="0"/>
                <w:numId w:val="0"/>
              </w:numPr>
              <w:spacing w:line="360" w:lineRule="exact"/>
              <w:rPr>
                <w:rFonts w:hint="eastAsia" w:ascii="宋体" w:hAnsi="宋体" w:cs="宋体"/>
                <w:color w:val="auto"/>
                <w:szCs w:val="18"/>
                <w:lang w:val="en-US" w:eastAsia="zh-CN"/>
              </w:rPr>
            </w:pPr>
            <w:r>
              <w:rPr>
                <w:rFonts w:hint="eastAsia" w:ascii="宋体" w:hAnsi="宋体" w:cs="宋体"/>
                <w:color w:val="auto"/>
                <w:szCs w:val="18"/>
                <w:lang w:val="en-US" w:eastAsia="zh-CN"/>
              </w:rPr>
              <w:t>业绩：         25分</w:t>
            </w:r>
          </w:p>
          <w:p>
            <w:pPr>
              <w:numPr>
                <w:ilvl w:val="0"/>
                <w:numId w:val="0"/>
              </w:numPr>
              <w:spacing w:line="360" w:lineRule="exact"/>
              <w:rPr>
                <w:rFonts w:hint="eastAsia" w:ascii="宋体" w:hAnsi="宋体" w:eastAsia="宋体" w:cs="宋体"/>
                <w:color w:val="auto"/>
                <w:szCs w:val="18"/>
                <w:lang w:eastAsia="zh-CN"/>
              </w:rPr>
            </w:pPr>
            <w:r>
              <w:rPr>
                <w:rFonts w:hint="eastAsia" w:ascii="宋体" w:hAnsi="宋体" w:cs="宋体"/>
                <w:color w:val="auto"/>
                <w:szCs w:val="18"/>
                <w:lang w:val="en-US" w:eastAsia="zh-CN"/>
              </w:rPr>
              <w:t>履约信誉：     5分</w:t>
            </w:r>
          </w:p>
          <w:p>
            <w:pPr>
              <w:autoSpaceDE w:val="0"/>
              <w:autoSpaceDN w:val="0"/>
              <w:spacing w:line="360" w:lineRule="exact"/>
              <w:rPr>
                <w:rFonts w:hint="eastAsia" w:ascii="宋体" w:hAnsi="宋体" w:cs="宋体"/>
                <w:b/>
                <w:color w:val="auto"/>
                <w:szCs w:val="21"/>
              </w:rPr>
            </w:pPr>
            <w:r>
              <w:rPr>
                <w:rFonts w:hint="eastAsia" w:ascii="宋体" w:hAnsi="宋体" w:cs="宋体"/>
                <w:b/>
                <w:color w:val="auto"/>
                <w:szCs w:val="21"/>
              </w:rPr>
              <w:t>第二个信封（报价文件）评分分值构成</w:t>
            </w:r>
          </w:p>
          <w:p>
            <w:pPr>
              <w:autoSpaceDE w:val="0"/>
              <w:autoSpaceDN w:val="0"/>
              <w:spacing w:line="360" w:lineRule="exact"/>
              <w:rPr>
                <w:rFonts w:hint="eastAsia" w:ascii="宋体" w:hAnsi="宋体" w:cs="宋体"/>
                <w:color w:val="auto"/>
                <w:szCs w:val="18"/>
              </w:rPr>
            </w:pPr>
            <w:r>
              <w:rPr>
                <w:rFonts w:hint="eastAsia" w:ascii="宋体" w:hAnsi="宋体" w:cs="宋体"/>
                <w:color w:val="auto"/>
                <w:szCs w:val="21"/>
              </w:rPr>
              <w:t>评标价：</w:t>
            </w:r>
            <w:r>
              <w:rPr>
                <w:rFonts w:hint="eastAsia" w:ascii="宋体" w:cs="宋体"/>
                <w:color w:val="auto"/>
                <w:kern w:val="0"/>
                <w:szCs w:val="21"/>
              </w:rPr>
              <w:t xml:space="preserve">    </w:t>
            </w:r>
            <w:r>
              <w:rPr>
                <w:rFonts w:hint="eastAsia" w:ascii="宋体" w:cs="宋体"/>
                <w:color w:val="auto"/>
                <w:kern w:val="0"/>
                <w:szCs w:val="21"/>
                <w:lang w:val="en-US" w:eastAsia="zh-CN"/>
              </w:rPr>
              <w:t xml:space="preserve">   </w:t>
            </w:r>
            <w:r>
              <w:rPr>
                <w:rFonts w:hint="eastAsia" w:ascii="宋体" w:cs="宋体"/>
                <w:color w:val="auto"/>
                <w:kern w:val="0"/>
                <w:szCs w:val="21"/>
              </w:rPr>
              <w:t>10分</w:t>
            </w:r>
          </w:p>
        </w:tc>
      </w:tr>
    </w:tbl>
    <w:p>
      <w:pPr>
        <w:rPr>
          <w:rFonts w:hint="eastAsia" w:ascii="宋体" w:hAnsi="宋体" w:cs="宋体"/>
          <w:color w:val="auto"/>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53"/>
        <w:gridCol w:w="1490"/>
        <w:gridCol w:w="675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16" w:hRule="atLeast"/>
          <w:jc w:val="center"/>
        </w:trPr>
        <w:tc>
          <w:tcPr>
            <w:tcW w:w="953" w:type="dxa"/>
            <w:noWrap w:val="0"/>
            <w:tcMar>
              <w:top w:w="113" w:type="dxa"/>
              <w:left w:w="113" w:type="dxa"/>
              <w:bottom w:w="113" w:type="dxa"/>
              <w:right w:w="113" w:type="dxa"/>
            </w:tcMar>
            <w:vAlign w:val="center"/>
          </w:tcPr>
          <w:p>
            <w:pPr>
              <w:autoSpaceDE w:val="0"/>
              <w:autoSpaceDN w:val="0"/>
              <w:jc w:val="center"/>
              <w:rPr>
                <w:rFonts w:hint="eastAsia" w:ascii="宋体" w:hAnsi="宋体" w:cs="宋体"/>
                <w:b/>
                <w:color w:val="auto"/>
                <w:kern w:val="0"/>
                <w:szCs w:val="21"/>
              </w:rPr>
            </w:pPr>
            <w:r>
              <w:rPr>
                <w:rFonts w:hint="eastAsia" w:ascii="宋体" w:hAnsi="宋体" w:cs="宋体"/>
                <w:b/>
                <w:color w:val="auto"/>
                <w:kern w:val="0"/>
                <w:szCs w:val="21"/>
              </w:rPr>
              <w:t>条款号</w:t>
            </w:r>
          </w:p>
        </w:tc>
        <w:tc>
          <w:tcPr>
            <w:tcW w:w="1490" w:type="dxa"/>
            <w:noWrap w:val="0"/>
            <w:tcMar>
              <w:top w:w="113" w:type="dxa"/>
              <w:left w:w="113" w:type="dxa"/>
              <w:bottom w:w="113" w:type="dxa"/>
              <w:right w:w="113" w:type="dxa"/>
            </w:tcMar>
            <w:vAlign w:val="center"/>
          </w:tcPr>
          <w:p>
            <w:pPr>
              <w:autoSpaceDE w:val="0"/>
              <w:autoSpaceDN w:val="0"/>
              <w:jc w:val="center"/>
              <w:rPr>
                <w:rFonts w:hint="eastAsia" w:ascii="宋体" w:hAnsi="宋体" w:cs="宋体"/>
                <w:b/>
                <w:color w:val="auto"/>
                <w:kern w:val="0"/>
                <w:szCs w:val="21"/>
              </w:rPr>
            </w:pPr>
            <w:r>
              <w:rPr>
                <w:rFonts w:hint="eastAsia" w:ascii="宋体" w:hAnsi="宋体" w:cs="宋体"/>
                <w:b/>
                <w:color w:val="auto"/>
                <w:kern w:val="0"/>
                <w:szCs w:val="21"/>
              </w:rPr>
              <w:t>条款内容</w:t>
            </w:r>
          </w:p>
        </w:tc>
        <w:tc>
          <w:tcPr>
            <w:tcW w:w="6757" w:type="dxa"/>
            <w:noWrap w:val="0"/>
            <w:tcMar>
              <w:top w:w="113" w:type="dxa"/>
              <w:left w:w="113" w:type="dxa"/>
              <w:bottom w:w="113" w:type="dxa"/>
              <w:right w:w="113" w:type="dxa"/>
            </w:tcMar>
            <w:vAlign w:val="center"/>
          </w:tcPr>
          <w:p>
            <w:pPr>
              <w:autoSpaceDE w:val="0"/>
              <w:autoSpaceDN w:val="0"/>
              <w:jc w:val="center"/>
              <w:rPr>
                <w:rFonts w:hint="eastAsia" w:ascii="宋体" w:hAnsi="宋体" w:cs="宋体"/>
                <w:b/>
                <w:color w:val="auto"/>
                <w:kern w:val="0"/>
                <w:szCs w:val="21"/>
              </w:rPr>
            </w:pPr>
            <w:r>
              <w:rPr>
                <w:rFonts w:hint="eastAsia" w:ascii="宋体" w:hAnsi="宋体" w:cs="宋体"/>
                <w:b/>
                <w:color w:val="auto"/>
                <w:kern w:val="0"/>
                <w:szCs w:val="21"/>
              </w:rPr>
              <w:t>编列内容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349" w:hRule="atLeast"/>
          <w:jc w:val="center"/>
        </w:trPr>
        <w:tc>
          <w:tcPr>
            <w:tcW w:w="953" w:type="dxa"/>
            <w:noWrap w:val="0"/>
            <w:tcMar>
              <w:top w:w="113" w:type="dxa"/>
              <w:left w:w="113" w:type="dxa"/>
              <w:bottom w:w="113" w:type="dxa"/>
              <w:right w:w="113" w:type="dxa"/>
            </w:tcMar>
            <w:vAlign w:val="center"/>
          </w:tcPr>
          <w:p>
            <w:pPr>
              <w:autoSpaceDE w:val="0"/>
              <w:autoSpaceDN w:val="0"/>
              <w:jc w:val="center"/>
              <w:rPr>
                <w:rFonts w:hint="eastAsia" w:ascii="宋体" w:hAnsi="宋体" w:cs="宋体"/>
                <w:color w:val="auto"/>
                <w:kern w:val="0"/>
                <w:szCs w:val="21"/>
              </w:rPr>
            </w:pPr>
            <w:r>
              <w:rPr>
                <w:rFonts w:hint="eastAsia" w:ascii="宋体" w:hAnsi="宋体" w:cs="宋体"/>
                <w:color w:val="auto"/>
                <w:kern w:val="0"/>
                <w:szCs w:val="21"/>
              </w:rPr>
              <w:t>2.2.2</w:t>
            </w:r>
          </w:p>
        </w:tc>
        <w:tc>
          <w:tcPr>
            <w:tcW w:w="1490" w:type="dxa"/>
            <w:noWrap w:val="0"/>
            <w:tcMar>
              <w:top w:w="113" w:type="dxa"/>
              <w:left w:w="113" w:type="dxa"/>
              <w:bottom w:w="113" w:type="dxa"/>
              <w:right w:w="113" w:type="dxa"/>
            </w:tcMar>
            <w:vAlign w:val="center"/>
          </w:tcPr>
          <w:p>
            <w:pPr>
              <w:jc w:val="center"/>
              <w:rPr>
                <w:rFonts w:hint="eastAsia" w:ascii="宋体" w:hAnsi="宋体" w:cs="宋体"/>
                <w:color w:val="auto"/>
                <w:szCs w:val="21"/>
              </w:rPr>
            </w:pPr>
            <w:r>
              <w:rPr>
                <w:rFonts w:hint="eastAsia" w:ascii="宋体" w:hAnsi="宋体" w:cs="宋体"/>
                <w:color w:val="auto"/>
                <w:szCs w:val="21"/>
              </w:rPr>
              <w:t>评标基准价</w:t>
            </w:r>
          </w:p>
          <w:p>
            <w:pPr>
              <w:jc w:val="center"/>
              <w:rPr>
                <w:rFonts w:hint="eastAsia" w:ascii="宋体" w:hAnsi="宋体" w:cs="宋体"/>
                <w:color w:val="auto"/>
                <w:szCs w:val="21"/>
              </w:rPr>
            </w:pPr>
            <w:r>
              <w:rPr>
                <w:rFonts w:hint="eastAsia" w:ascii="宋体" w:hAnsi="宋体" w:cs="宋体"/>
                <w:color w:val="auto"/>
                <w:szCs w:val="21"/>
              </w:rPr>
              <w:t>计算方法</w:t>
            </w:r>
          </w:p>
        </w:tc>
        <w:tc>
          <w:tcPr>
            <w:tcW w:w="6757" w:type="dxa"/>
            <w:noWrap w:val="0"/>
            <w:tcMar>
              <w:top w:w="113" w:type="dxa"/>
              <w:left w:w="113" w:type="dxa"/>
              <w:bottom w:w="113" w:type="dxa"/>
              <w:right w:w="113" w:type="dxa"/>
            </w:tcMar>
            <w:vAlign w:val="center"/>
          </w:tcPr>
          <w:p>
            <w:pPr>
              <w:pStyle w:val="18"/>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在开标现场，招标人将当场计算并宣布评标基准价。</w:t>
            </w:r>
          </w:p>
          <w:p>
            <w:pPr>
              <w:pStyle w:val="18"/>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一、计算公式字母含义</w:t>
            </w:r>
          </w:p>
          <w:p>
            <w:pPr>
              <w:pStyle w:val="18"/>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（一）P为评标基准价；</w:t>
            </w:r>
          </w:p>
          <w:p>
            <w:pPr>
              <w:pStyle w:val="18"/>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（二）Di为评标价：Di＝投标函文字报价；</w:t>
            </w:r>
          </w:p>
          <w:p>
            <w:pPr>
              <w:pStyle w:val="18"/>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（三）N为有效评标价的数量（有效评标价：除第一信封经评标委员会否决的投标人、第二信封开标现场被宣布为不进入评标基准价计算的评标价的投标人除外，剩余所有投标人的评标价均为有效评标价。）</w:t>
            </w:r>
          </w:p>
          <w:p>
            <w:pPr>
              <w:pStyle w:val="18"/>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（四）n1为去掉最高有效评标价的数量，n2为去掉最低有效评标</w:t>
            </w:r>
          </w:p>
          <w:p>
            <w:pPr>
              <w:pStyle w:val="18"/>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价的数量。</w:t>
            </w:r>
          </w:p>
          <w:p>
            <w:pPr>
              <w:pStyle w:val="18"/>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n1、n2的取值方法：当 N＜5时，n1、n2均取0；当5≤N时，n1、</w:t>
            </w:r>
          </w:p>
          <w:p>
            <w:pPr>
              <w:pStyle w:val="18"/>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n2均取1。</w:t>
            </w:r>
          </w:p>
          <w:p>
            <w:pPr>
              <w:pStyle w:val="18"/>
              <w:keepNext w:val="0"/>
              <w:keepLines w:val="0"/>
              <w:pageBreakBefore w:val="0"/>
              <w:widowControl/>
              <w:numPr>
                <w:ilvl w:val="0"/>
                <w:numId w:val="8"/>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评标基准价方法：</w:t>
            </w:r>
          </w:p>
          <w:p>
            <w:pPr>
              <w:pStyle w:val="3"/>
              <w:spacing w:line="36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有效评标价去掉n1个最高评标价和n2个最低评标价后取平均值作为评标基准价P；计算保留至小数点后两位，小数点后第三位“四舍五入”。</w:t>
            </w:r>
          </w:p>
          <w:p>
            <w:pPr>
              <w:pStyle w:val="3"/>
              <w:spacing w:line="36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3"/>
              <w:spacing w:line="360" w:lineRule="exact"/>
              <w:ind w:firstLine="420" w:firstLineChars="200"/>
              <w:rPr>
                <w:rFonts w:hint="eastAsia" w:ascii="宋体" w:hAnsi="宋体" w:cs="宋体"/>
                <w:color w:val="auto"/>
                <w:szCs w:val="21"/>
                <w:highlight w:val="yellow"/>
              </w:rPr>
            </w:pPr>
            <w:r>
              <w:rPr>
                <w:rFonts w:hint="eastAsia" w:ascii="宋体" w:hAnsi="宋体" w:eastAsia="宋体" w:cs="宋体"/>
                <w:color w:val="auto"/>
                <w:sz w:val="21"/>
                <w:highlight w:val="none"/>
              </w:rPr>
              <w:t>评标基准价的计算除开标时计算错误外，不因第二信封评审否决投标而改变，也不因招标投标当事人异议、投诉以及其它任何情形而改变。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26" w:hRule="atLeast"/>
          <w:jc w:val="center"/>
        </w:trPr>
        <w:tc>
          <w:tcPr>
            <w:tcW w:w="953" w:type="dxa"/>
            <w:noWrap w:val="0"/>
            <w:tcMar>
              <w:top w:w="113" w:type="dxa"/>
              <w:left w:w="113" w:type="dxa"/>
              <w:bottom w:w="113" w:type="dxa"/>
              <w:right w:w="113" w:type="dxa"/>
            </w:tcMar>
            <w:vAlign w:val="center"/>
          </w:tcPr>
          <w:p>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2.2.3</w:t>
            </w:r>
          </w:p>
        </w:tc>
        <w:tc>
          <w:tcPr>
            <w:tcW w:w="1490" w:type="dxa"/>
            <w:noWrap w:val="0"/>
            <w:tcMar>
              <w:top w:w="113" w:type="dxa"/>
              <w:left w:w="113" w:type="dxa"/>
              <w:bottom w:w="113" w:type="dxa"/>
              <w:right w:w="113"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6757" w:type="dxa"/>
            <w:noWrap w:val="0"/>
            <w:tcMar>
              <w:top w:w="113" w:type="dxa"/>
              <w:left w:w="113" w:type="dxa"/>
              <w:bottom w:w="113" w:type="dxa"/>
              <w:right w:w="113" w:type="dxa"/>
            </w:tcMar>
            <w:vAlign w:val="center"/>
          </w:tcPr>
          <w:p>
            <w:pPr>
              <w:pStyle w:val="18"/>
              <w:rPr>
                <w:rFonts w:ascii="宋体" w:hAnsi="宋体" w:eastAsia="宋体" w:cs="宋体"/>
                <w:color w:val="auto"/>
                <w:sz w:val="21"/>
                <w:highlight w:val="none"/>
              </w:rPr>
            </w:pPr>
            <w:r>
              <w:rPr>
                <w:rFonts w:ascii="宋体" w:hAnsi="宋体" w:eastAsia="宋体" w:cs="宋体"/>
                <w:color w:val="auto"/>
                <w:sz w:val="21"/>
                <w:highlight w:val="none"/>
              </w:rPr>
              <w:t>偏差率=100%×（投标人评标价－评标基准价）/评标基准价</w:t>
            </w:r>
          </w:p>
          <w:p>
            <w:pPr>
              <w:autoSpaceDE w:val="0"/>
              <w:autoSpaceDN w:val="0"/>
              <w:rPr>
                <w:rFonts w:hint="eastAsia" w:ascii="宋体" w:hAnsi="宋体" w:cs="宋体"/>
                <w:color w:val="auto"/>
                <w:szCs w:val="21"/>
                <w:highlight w:val="none"/>
              </w:rPr>
            </w:pPr>
            <w:r>
              <w:rPr>
                <w:rFonts w:hint="eastAsia" w:ascii="宋体" w:hAnsi="宋体" w:eastAsia="宋体" w:cs="宋体"/>
                <w:color w:val="auto"/>
                <w:sz w:val="21"/>
                <w:highlight w:val="none"/>
              </w:rPr>
              <w:t>偏差率保留小数点后两位，小数点后第三位“四舍五入”</w:t>
            </w:r>
          </w:p>
        </w:tc>
      </w:tr>
    </w:tbl>
    <w:p>
      <w:pPr>
        <w:jc w:val="both"/>
        <w:rPr>
          <w:rFonts w:hint="eastAsia" w:ascii="宋体" w:hAnsi="宋体" w:eastAsia="宋体" w:cs="宋体"/>
          <w:b/>
          <w:bCs/>
          <w:spacing w:val="-1"/>
          <w:sz w:val="28"/>
          <w:szCs w:val="28"/>
          <w:lang w:val="en-US" w:eastAsia="zh-CN"/>
        </w:rPr>
        <w:sectPr>
          <w:pgSz w:w="11906" w:h="16838"/>
          <w:pgMar w:top="1440" w:right="1800" w:bottom="1440" w:left="1800" w:header="851" w:footer="992" w:gutter="0"/>
          <w:cols w:space="425" w:num="1"/>
          <w:docGrid w:type="lines" w:linePitch="312" w:charSpace="0"/>
        </w:sectPr>
      </w:pPr>
    </w:p>
    <w:tbl>
      <w:tblPr>
        <w:tblStyle w:val="8"/>
        <w:tblW w:w="14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513"/>
        <w:gridCol w:w="1044"/>
        <w:gridCol w:w="1159"/>
        <w:gridCol w:w="3027"/>
        <w:gridCol w:w="987"/>
        <w:gridCol w:w="7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94" w:type="dxa"/>
            <w:vMerge w:val="restart"/>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ind w:left="0"/>
              <w:jc w:val="center"/>
              <w:textAlignment w:val="auto"/>
              <w:rPr>
                <w:b/>
                <w:color w:val="auto"/>
                <w:sz w:val="21"/>
                <w:highlight w:val="none"/>
              </w:rPr>
            </w:pPr>
            <w:r>
              <w:rPr>
                <w:b/>
                <w:color w:val="auto"/>
                <w:sz w:val="21"/>
                <w:highlight w:val="none"/>
              </w:rPr>
              <w:t>条款号</w:t>
            </w:r>
          </w:p>
        </w:tc>
        <w:tc>
          <w:tcPr>
            <w:tcW w:w="6730" w:type="dxa"/>
            <w:gridSpan w:val="5"/>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ind w:left="0" w:right="0"/>
              <w:jc w:val="center"/>
              <w:textAlignment w:val="auto"/>
              <w:rPr>
                <w:b/>
                <w:color w:val="auto"/>
                <w:sz w:val="21"/>
                <w:highlight w:val="none"/>
              </w:rPr>
            </w:pPr>
            <w:r>
              <w:rPr>
                <w:b/>
                <w:color w:val="auto"/>
                <w:sz w:val="21"/>
                <w:highlight w:val="none"/>
              </w:rPr>
              <w:t>评分因素与权重分值</w:t>
            </w:r>
          </w:p>
        </w:tc>
        <w:tc>
          <w:tcPr>
            <w:tcW w:w="7271" w:type="dxa"/>
            <w:vMerge w:val="restart"/>
            <w:noWrap w:val="0"/>
            <w:tcMar>
              <w:top w:w="57" w:type="dxa"/>
              <w:left w:w="57" w:type="dxa"/>
              <w:bottom w:w="57" w:type="dxa"/>
              <w:right w:w="57" w:type="dxa"/>
            </w:tcMar>
            <w:vAlign w:val="center"/>
          </w:tcPr>
          <w:p>
            <w:pPr>
              <w:pStyle w:val="14"/>
              <w:spacing w:before="162"/>
              <w:ind w:left="2210" w:right="2104"/>
              <w:jc w:val="center"/>
              <w:rPr>
                <w:b/>
                <w:color w:val="auto"/>
                <w:sz w:val="21"/>
                <w:highlight w:val="none"/>
              </w:rPr>
            </w:pPr>
            <w:r>
              <w:rPr>
                <w:b/>
                <w:color w:val="auto"/>
                <w:sz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894" w:type="dxa"/>
            <w:vMerge w:val="continue"/>
            <w:tcBorders>
              <w:top w:val="nil"/>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color w:val="auto"/>
                <w:sz w:val="2"/>
                <w:szCs w:val="2"/>
                <w:highlight w:val="none"/>
              </w:rPr>
            </w:pPr>
          </w:p>
        </w:tc>
        <w:tc>
          <w:tcPr>
            <w:tcW w:w="1557" w:type="dxa"/>
            <w:gridSpan w:val="2"/>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ind w:left="0"/>
              <w:jc w:val="center"/>
              <w:textAlignment w:val="auto"/>
              <w:rPr>
                <w:b/>
                <w:color w:val="auto"/>
                <w:sz w:val="21"/>
                <w:highlight w:val="none"/>
              </w:rPr>
            </w:pPr>
            <w:r>
              <w:rPr>
                <w:b/>
                <w:color w:val="auto"/>
                <w:sz w:val="21"/>
                <w:highlight w:val="none"/>
              </w:rPr>
              <w:t>评分因素</w:t>
            </w:r>
          </w:p>
        </w:tc>
        <w:tc>
          <w:tcPr>
            <w:tcW w:w="1159"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ind w:left="0"/>
              <w:jc w:val="center"/>
              <w:textAlignment w:val="auto"/>
              <w:rPr>
                <w:b/>
                <w:color w:val="auto"/>
                <w:sz w:val="21"/>
                <w:highlight w:val="none"/>
              </w:rPr>
            </w:pPr>
            <w:r>
              <w:rPr>
                <w:b/>
                <w:color w:val="auto"/>
                <w:sz w:val="21"/>
                <w:highlight w:val="none"/>
              </w:rPr>
              <w:t>评分因素</w:t>
            </w:r>
          </w:p>
          <w:p>
            <w:pPr>
              <w:pStyle w:val="14"/>
              <w:keepNext w:val="0"/>
              <w:keepLines w:val="0"/>
              <w:pageBreakBefore w:val="0"/>
              <w:widowControl w:val="0"/>
              <w:kinsoku/>
              <w:wordWrap/>
              <w:overflowPunct/>
              <w:topLinePunct w:val="0"/>
              <w:autoSpaceDE/>
              <w:autoSpaceDN/>
              <w:bidi w:val="0"/>
              <w:adjustRightInd/>
              <w:snapToGrid/>
              <w:spacing w:line="250" w:lineRule="exact"/>
              <w:ind w:left="0"/>
              <w:jc w:val="center"/>
              <w:textAlignment w:val="auto"/>
              <w:rPr>
                <w:b/>
                <w:color w:val="auto"/>
                <w:sz w:val="21"/>
                <w:highlight w:val="none"/>
              </w:rPr>
            </w:pPr>
            <w:r>
              <w:rPr>
                <w:b/>
                <w:color w:val="auto"/>
                <w:spacing w:val="-1"/>
                <w:sz w:val="21"/>
                <w:highlight w:val="none"/>
              </w:rPr>
              <w:t>权重分值</w:t>
            </w:r>
          </w:p>
        </w:tc>
        <w:tc>
          <w:tcPr>
            <w:tcW w:w="302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ind w:left="0"/>
              <w:jc w:val="center"/>
              <w:textAlignment w:val="auto"/>
              <w:rPr>
                <w:b/>
                <w:color w:val="auto"/>
                <w:sz w:val="21"/>
                <w:highlight w:val="none"/>
              </w:rPr>
            </w:pPr>
            <w:r>
              <w:rPr>
                <w:b/>
                <w:color w:val="auto"/>
                <w:sz w:val="21"/>
                <w:highlight w:val="none"/>
              </w:rPr>
              <w:t>各评分因素细分项</w:t>
            </w:r>
          </w:p>
        </w:tc>
        <w:tc>
          <w:tcPr>
            <w:tcW w:w="98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ind w:left="0" w:right="83"/>
              <w:jc w:val="center"/>
              <w:textAlignment w:val="auto"/>
              <w:rPr>
                <w:b/>
                <w:color w:val="auto"/>
                <w:sz w:val="21"/>
                <w:highlight w:val="none"/>
              </w:rPr>
            </w:pPr>
            <w:r>
              <w:rPr>
                <w:b/>
                <w:color w:val="auto"/>
                <w:sz w:val="21"/>
                <w:highlight w:val="none"/>
              </w:rPr>
              <w:t>分值</w:t>
            </w:r>
          </w:p>
        </w:tc>
        <w:tc>
          <w:tcPr>
            <w:tcW w:w="7271" w:type="dxa"/>
            <w:vMerge w:val="continue"/>
            <w:tcBorders>
              <w:top w:val="nil"/>
            </w:tcBorders>
            <w:noWrap w:val="0"/>
            <w:tcMar>
              <w:top w:w="57" w:type="dxa"/>
              <w:left w:w="57" w:type="dxa"/>
              <w:bottom w:w="57" w:type="dxa"/>
              <w:right w:w="57" w:type="dxa"/>
            </w:tcMar>
            <w:vAlign w:val="top"/>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894" w:type="dxa"/>
            <w:vMerge w:val="restart"/>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spacing w:val="-14"/>
                <w:w w:val="100"/>
                <w:kern w:val="0"/>
                <w:sz w:val="21"/>
                <w:szCs w:val="21"/>
                <w:highlight w:val="none"/>
              </w:rPr>
            </w:pPr>
            <w:r>
              <w:rPr>
                <w:rFonts w:hint="eastAsia" w:ascii="宋体" w:hAnsi="宋体" w:eastAsia="宋体" w:cs="宋体"/>
                <w:color w:val="auto"/>
                <w:w w:val="100"/>
                <w:kern w:val="0"/>
                <w:sz w:val="21"/>
                <w:szCs w:val="21"/>
                <w:highlight w:val="none"/>
              </w:rPr>
              <w:t>2.2.</w:t>
            </w:r>
            <w:r>
              <w:rPr>
                <w:rFonts w:hint="eastAsia" w:ascii="宋体" w:hAnsi="宋体" w:eastAsia="宋体" w:cs="宋体"/>
                <w:color w:val="auto"/>
                <w:spacing w:val="-14"/>
                <w:w w:val="100"/>
                <w:kern w:val="0"/>
                <w:sz w:val="21"/>
                <w:szCs w:val="21"/>
                <w:highlight w:val="none"/>
              </w:rPr>
              <w:t>4</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w w:val="100"/>
                <w:kern w:val="0"/>
                <w:sz w:val="21"/>
                <w:szCs w:val="21"/>
                <w:highlight w:val="none"/>
              </w:rPr>
              <w:t>（1</w:t>
            </w:r>
            <w:r>
              <w:rPr>
                <w:rFonts w:hint="eastAsia" w:ascii="宋体" w:hAnsi="宋体" w:eastAsia="宋体" w:cs="宋体"/>
                <w:color w:val="auto"/>
                <w:spacing w:val="-108"/>
                <w:w w:val="100"/>
                <w:kern w:val="0"/>
                <w:sz w:val="21"/>
                <w:szCs w:val="21"/>
                <w:highlight w:val="none"/>
              </w:rPr>
              <w:t>）</w:t>
            </w:r>
          </w:p>
        </w:tc>
        <w:tc>
          <w:tcPr>
            <w:tcW w:w="1557" w:type="dxa"/>
            <w:gridSpan w:val="2"/>
            <w:vMerge w:val="restart"/>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技术建议书</w:t>
            </w:r>
          </w:p>
        </w:tc>
        <w:tc>
          <w:tcPr>
            <w:tcW w:w="1159" w:type="dxa"/>
            <w:vMerge w:val="restart"/>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3</w:t>
            </w:r>
            <w:r>
              <w:rPr>
                <w:rFonts w:hint="eastAsia" w:ascii="宋体" w:hAnsi="宋体" w:eastAsia="宋体"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u w:val="none"/>
              </w:rPr>
              <w:t>分</w:t>
            </w:r>
          </w:p>
        </w:tc>
        <w:tc>
          <w:tcPr>
            <w:tcW w:w="302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技术服务工作建议书（技术服务工作大纲）和措施</w:t>
            </w:r>
          </w:p>
        </w:tc>
        <w:tc>
          <w:tcPr>
            <w:tcW w:w="98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val="en-US" w:eastAsia="zh-CN"/>
              </w:rPr>
              <w:t>15</w:t>
            </w:r>
            <w:r>
              <w:rPr>
                <w:rFonts w:hint="eastAsia" w:ascii="宋体" w:hAnsi="宋体" w:eastAsia="宋体" w:cs="宋体"/>
                <w:color w:val="auto"/>
                <w:kern w:val="0"/>
                <w:sz w:val="21"/>
                <w:szCs w:val="21"/>
                <w:highlight w:val="none"/>
                <w:u w:val="none"/>
              </w:rPr>
              <w:t>分</w:t>
            </w:r>
          </w:p>
        </w:tc>
        <w:tc>
          <w:tcPr>
            <w:tcW w:w="7271"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eastAsia="zh-CN"/>
              </w:rPr>
              <w:t>优：得13.5</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color w:val="auto"/>
                <w:spacing w:val="0"/>
                <w:kern w:val="0"/>
                <w:sz w:val="21"/>
                <w:szCs w:val="21"/>
                <w:highlight w:val="none"/>
                <w:lang w:eastAsia="zh-CN"/>
              </w:rPr>
              <w:t>15.0分；</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eastAsia="zh-CN"/>
              </w:rPr>
              <w:t>良：得10.5</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color w:val="auto"/>
                <w:spacing w:val="0"/>
                <w:kern w:val="0"/>
                <w:sz w:val="21"/>
                <w:szCs w:val="21"/>
                <w:highlight w:val="none"/>
                <w:lang w:eastAsia="zh-CN"/>
              </w:rPr>
              <w:t>13.5分；</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eastAsia="zh-CN"/>
              </w:rPr>
              <w:t>中：得9.0</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color w:val="auto"/>
                <w:spacing w:val="0"/>
                <w:kern w:val="0"/>
                <w:sz w:val="21"/>
                <w:szCs w:val="21"/>
                <w:highlight w:val="none"/>
                <w:lang w:eastAsia="zh-CN"/>
              </w:rPr>
              <w:t>10.5分；</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eastAsia="zh-CN"/>
              </w:rPr>
              <w:t>差：评分低于9分，且作出评审说明。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894" w:type="dxa"/>
            <w:vMerge w:val="continue"/>
            <w:tcBorders>
              <w:top w:val="nil"/>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1557" w:type="dxa"/>
            <w:gridSpan w:val="2"/>
            <w:vMerge w:val="continue"/>
            <w:tcBorders>
              <w:top w:val="nil"/>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1159" w:type="dxa"/>
            <w:vMerge w:val="continue"/>
            <w:tcBorders>
              <w:top w:val="nil"/>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rPr>
            </w:pPr>
          </w:p>
        </w:tc>
        <w:tc>
          <w:tcPr>
            <w:tcW w:w="3027"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本工程试验检测工作的重点与难点分析</w:t>
            </w:r>
          </w:p>
        </w:tc>
        <w:tc>
          <w:tcPr>
            <w:tcW w:w="987" w:type="dxa"/>
            <w:noWrap w:val="0"/>
            <w:tcMar>
              <w:top w:w="57" w:type="dxa"/>
              <w:left w:w="57" w:type="dxa"/>
              <w:bottom w:w="57" w:type="dxa"/>
              <w:right w:w="57" w:type="dxa"/>
            </w:tcMar>
            <w:vAlign w:val="center"/>
          </w:tcPr>
          <w:p>
            <w:pPr>
              <w:spacing w:line="300" w:lineRule="exact"/>
              <w:ind w:right="-88" w:rightChars="0"/>
              <w:jc w:val="center"/>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10分</w:t>
            </w:r>
          </w:p>
        </w:tc>
        <w:tc>
          <w:tcPr>
            <w:tcW w:w="7271" w:type="dxa"/>
            <w:noWrap w:val="0"/>
            <w:tcMar>
              <w:top w:w="57" w:type="dxa"/>
              <w:left w:w="57" w:type="dxa"/>
              <w:bottom w:w="57" w:type="dxa"/>
              <w:right w:w="57" w:type="dxa"/>
            </w:tcMar>
            <w:vAlign w:val="center"/>
          </w:tcPr>
          <w:p>
            <w:pPr>
              <w:spacing w:line="300" w:lineRule="exact"/>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优：得9.0-10.0分；</w:t>
            </w:r>
          </w:p>
          <w:p>
            <w:pPr>
              <w:spacing w:line="300" w:lineRule="exact"/>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良：得7.0-9.0分；</w:t>
            </w:r>
          </w:p>
          <w:p>
            <w:pPr>
              <w:spacing w:line="300" w:lineRule="exact"/>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中：得6.0-7.0分；</w:t>
            </w:r>
          </w:p>
          <w:p>
            <w:pPr>
              <w:spacing w:line="300" w:lineRule="exact"/>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差：评分低于6.0分，且作出评审说明。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894" w:type="dxa"/>
            <w:vMerge w:val="continue"/>
            <w:tcBorders>
              <w:top w:val="nil"/>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1557" w:type="dxa"/>
            <w:gridSpan w:val="2"/>
            <w:vMerge w:val="continue"/>
            <w:tcBorders>
              <w:top w:val="nil"/>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1159" w:type="dxa"/>
            <w:vMerge w:val="continue"/>
            <w:tcBorders>
              <w:top w:val="nil"/>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rPr>
            </w:pPr>
          </w:p>
        </w:tc>
        <w:tc>
          <w:tcPr>
            <w:tcW w:w="302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对本项目的理解和建议</w:t>
            </w:r>
          </w:p>
        </w:tc>
        <w:tc>
          <w:tcPr>
            <w:tcW w:w="98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val="en-US" w:eastAsia="zh-CN"/>
              </w:rPr>
              <w:t>10</w:t>
            </w:r>
            <w:r>
              <w:rPr>
                <w:rFonts w:hint="eastAsia" w:ascii="宋体" w:hAnsi="宋体" w:eastAsia="宋体" w:cs="宋体"/>
                <w:color w:val="auto"/>
                <w:kern w:val="0"/>
                <w:sz w:val="21"/>
                <w:szCs w:val="21"/>
                <w:highlight w:val="none"/>
                <w:u w:val="none"/>
              </w:rPr>
              <w:t>分</w:t>
            </w:r>
          </w:p>
        </w:tc>
        <w:tc>
          <w:tcPr>
            <w:tcW w:w="7271"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优：得9.0-10.0分；</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良：得7.0-9.0分；</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中：得6.0-7.0分；</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val="en-US" w:eastAsia="zh-CN" w:bidi="ar-SA"/>
              </w:rPr>
              <w:t>差：评分低于6.0分，且作出评审说明。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894"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spacing w:val="-14"/>
                <w:w w:val="100"/>
                <w:kern w:val="0"/>
                <w:sz w:val="21"/>
                <w:szCs w:val="21"/>
                <w:highlight w:val="none"/>
              </w:rPr>
            </w:pPr>
            <w:r>
              <w:rPr>
                <w:rFonts w:hint="eastAsia" w:ascii="宋体" w:hAnsi="宋体" w:eastAsia="宋体" w:cs="宋体"/>
                <w:color w:val="auto"/>
                <w:w w:val="100"/>
                <w:kern w:val="0"/>
                <w:sz w:val="21"/>
                <w:szCs w:val="21"/>
                <w:highlight w:val="none"/>
              </w:rPr>
              <w:t>2.2.</w:t>
            </w:r>
            <w:r>
              <w:rPr>
                <w:rFonts w:hint="eastAsia" w:ascii="宋体" w:hAnsi="宋体" w:eastAsia="宋体" w:cs="宋体"/>
                <w:color w:val="auto"/>
                <w:spacing w:val="-14"/>
                <w:w w:val="100"/>
                <w:kern w:val="0"/>
                <w:sz w:val="21"/>
                <w:szCs w:val="21"/>
                <w:highlight w:val="none"/>
              </w:rPr>
              <w:t>4</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w w:val="100"/>
                <w:kern w:val="0"/>
                <w:sz w:val="21"/>
                <w:szCs w:val="21"/>
                <w:highlight w:val="none"/>
              </w:rPr>
              <w:t>（2</w:t>
            </w:r>
            <w:r>
              <w:rPr>
                <w:rFonts w:hint="eastAsia" w:ascii="宋体" w:hAnsi="宋体" w:eastAsia="宋体" w:cs="宋体"/>
                <w:color w:val="auto"/>
                <w:spacing w:val="-108"/>
                <w:w w:val="100"/>
                <w:kern w:val="0"/>
                <w:sz w:val="21"/>
                <w:szCs w:val="21"/>
                <w:highlight w:val="none"/>
              </w:rPr>
              <w:t>）</w:t>
            </w:r>
          </w:p>
        </w:tc>
        <w:tc>
          <w:tcPr>
            <w:tcW w:w="1557" w:type="dxa"/>
            <w:gridSpan w:val="2"/>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主要人员</w:t>
            </w:r>
          </w:p>
        </w:tc>
        <w:tc>
          <w:tcPr>
            <w:tcW w:w="1159"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val="en-US" w:eastAsia="zh-CN"/>
              </w:rPr>
              <w:t>25</w:t>
            </w:r>
            <w:r>
              <w:rPr>
                <w:rFonts w:hint="eastAsia" w:ascii="宋体" w:hAnsi="宋体" w:eastAsia="宋体" w:cs="宋体"/>
                <w:color w:val="auto"/>
                <w:kern w:val="0"/>
                <w:sz w:val="21"/>
                <w:szCs w:val="21"/>
                <w:highlight w:val="none"/>
                <w:u w:val="none"/>
              </w:rPr>
              <w:t>分</w:t>
            </w:r>
          </w:p>
        </w:tc>
        <w:tc>
          <w:tcPr>
            <w:tcW w:w="302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检测负责人任职资格与</w:t>
            </w:r>
            <w:r>
              <w:rPr>
                <w:rFonts w:hint="eastAsia" w:ascii="宋体" w:hAnsi="宋体" w:eastAsia="宋体" w:cs="宋体"/>
                <w:color w:val="auto"/>
                <w:kern w:val="0"/>
                <w:sz w:val="21"/>
                <w:szCs w:val="21"/>
                <w:highlight w:val="none"/>
              </w:rPr>
              <w:t>业绩</w:t>
            </w:r>
          </w:p>
        </w:tc>
        <w:tc>
          <w:tcPr>
            <w:tcW w:w="98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rPr>
              <w:t>25分</w:t>
            </w:r>
          </w:p>
        </w:tc>
        <w:tc>
          <w:tcPr>
            <w:tcW w:w="7271" w:type="dxa"/>
            <w:noWrap w:val="0"/>
            <w:tcMar>
              <w:top w:w="57" w:type="dxa"/>
              <w:left w:w="57" w:type="dxa"/>
              <w:bottom w:w="57" w:type="dxa"/>
              <w:right w:w="57" w:type="dxa"/>
            </w:tcMar>
            <w:vAlign w:val="center"/>
          </w:tcPr>
          <w:p>
            <w:pPr>
              <w:spacing w:line="30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1.满足资格审查条件（</w:t>
            </w:r>
            <w:r>
              <w:rPr>
                <w:rFonts w:hint="eastAsia" w:ascii="宋体" w:hAnsi="宋体" w:eastAsia="宋体" w:cs="宋体"/>
                <w:b w:val="0"/>
                <w:bCs w:val="0"/>
                <w:color w:val="auto"/>
                <w:sz w:val="21"/>
                <w:szCs w:val="21"/>
                <w:highlight w:val="none"/>
                <w:lang w:val="en-US" w:eastAsia="zh-CN"/>
              </w:rPr>
              <w:t>检测负责人</w:t>
            </w:r>
            <w:r>
              <w:rPr>
                <w:rFonts w:hint="eastAsia" w:ascii="宋体" w:hAnsi="宋体" w:eastAsia="宋体" w:cs="宋体"/>
                <w:b w:val="0"/>
                <w:bCs w:val="0"/>
                <w:color w:val="auto"/>
                <w:sz w:val="21"/>
                <w:szCs w:val="21"/>
                <w:highlight w:val="none"/>
              </w:rPr>
              <w:t>最低要求）得15分；</w:t>
            </w:r>
          </w:p>
          <w:p>
            <w:pPr>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2.在满足资格审查条件（</w:t>
            </w:r>
            <w:r>
              <w:rPr>
                <w:rFonts w:hint="eastAsia" w:ascii="宋体" w:hAnsi="宋体" w:eastAsia="宋体" w:cs="宋体"/>
                <w:b w:val="0"/>
                <w:bCs w:val="0"/>
                <w:color w:val="auto"/>
                <w:sz w:val="21"/>
                <w:szCs w:val="21"/>
                <w:highlight w:val="none"/>
                <w:lang w:val="en-US" w:eastAsia="zh-CN"/>
              </w:rPr>
              <w:t>检测负责人</w:t>
            </w:r>
            <w:r>
              <w:rPr>
                <w:rFonts w:hint="eastAsia" w:ascii="宋体" w:hAnsi="宋体" w:eastAsia="宋体" w:cs="宋体"/>
                <w:b w:val="0"/>
                <w:bCs w:val="0"/>
                <w:color w:val="auto"/>
                <w:sz w:val="21"/>
                <w:szCs w:val="21"/>
                <w:highlight w:val="none"/>
              </w:rPr>
              <w:t>最低要求）的基础上，近</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自2020年3月28日至投标截止时间，</w:t>
            </w:r>
            <w:r>
              <w:rPr>
                <w:rFonts w:hint="eastAsia" w:ascii="宋体" w:hAnsi="宋体" w:eastAsia="宋体" w:cs="宋体"/>
                <w:b w:val="0"/>
                <w:bCs w:val="0"/>
                <w:color w:val="auto"/>
                <w:kern w:val="0"/>
                <w:szCs w:val="21"/>
                <w:highlight w:val="none"/>
                <w:lang w:val="en-US" w:eastAsia="zh-CN"/>
              </w:rPr>
              <w:t>以交工日期为准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，每增加</w:t>
            </w:r>
            <w:r>
              <w:rPr>
                <w:rFonts w:hint="eastAsia" w:ascii="宋体" w:hAnsi="宋体" w:eastAsia="宋体" w:cs="宋体"/>
                <w:b w:val="0"/>
                <w:bCs w:val="0"/>
                <w:color w:val="auto"/>
                <w:sz w:val="21"/>
                <w:szCs w:val="21"/>
                <w:highlight w:val="none"/>
                <w:lang w:val="en-US" w:eastAsia="zh-CN"/>
              </w:rPr>
              <w:t>1个</w:t>
            </w:r>
            <w:r>
              <w:rPr>
                <w:rFonts w:hint="eastAsia" w:ascii="宋体" w:hAnsi="宋体" w:eastAsia="宋体" w:cs="宋体"/>
                <w:b w:val="0"/>
                <w:bCs w:val="0"/>
                <w:color w:val="auto"/>
                <w:kern w:val="0"/>
                <w:szCs w:val="21"/>
                <w:highlight w:val="none"/>
                <w:lang w:val="en-US" w:eastAsia="zh-CN"/>
              </w:rPr>
              <w:t>一级及以上等级公路工程（新建或改扩建或养护工程）的中心试验室主任或业主第三方试验检测负责人或交（竣）工验收检测负责人</w:t>
            </w:r>
            <w:r>
              <w:rPr>
                <w:rFonts w:hint="eastAsia" w:ascii="宋体" w:hAnsi="宋体" w:eastAsia="宋体" w:cs="宋体"/>
                <w:b w:val="0"/>
                <w:bCs w:val="0"/>
                <w:color w:val="auto"/>
                <w:sz w:val="21"/>
                <w:szCs w:val="21"/>
                <w:highlight w:val="none"/>
                <w:lang w:val="en-US" w:eastAsia="zh-CN"/>
              </w:rPr>
              <w:t>业绩加10分；或每增加1个</w:t>
            </w:r>
            <w:r>
              <w:rPr>
                <w:rFonts w:hint="eastAsia" w:ascii="宋体" w:hAnsi="宋体" w:eastAsia="宋体" w:cs="宋体"/>
                <w:b w:val="0"/>
                <w:bCs w:val="0"/>
                <w:color w:val="auto"/>
                <w:kern w:val="0"/>
                <w:szCs w:val="21"/>
                <w:highlight w:val="none"/>
                <w:lang w:val="en-US" w:eastAsia="zh-CN"/>
              </w:rPr>
              <w:t>一级及以上等级公路工程（新建或改扩建或养护工程）的中心试验室技术负责人或业主第三方试验检测技术负责人或交（竣）工验收检测技术负责人</w:t>
            </w:r>
            <w:r>
              <w:rPr>
                <w:rFonts w:hint="eastAsia" w:ascii="宋体" w:hAnsi="宋体" w:eastAsia="宋体" w:cs="宋体"/>
                <w:b w:val="0"/>
                <w:bCs w:val="0"/>
                <w:color w:val="auto"/>
                <w:sz w:val="21"/>
                <w:szCs w:val="21"/>
                <w:highlight w:val="none"/>
                <w:lang w:val="en-US" w:eastAsia="zh-CN"/>
              </w:rPr>
              <w:t>业绩加5分。</w:t>
            </w:r>
          </w:p>
          <w:p>
            <w:pPr>
              <w:spacing w:line="300" w:lineRule="auto"/>
              <w:jc w:val="left"/>
              <w:rPr>
                <w:rFonts w:hint="default"/>
                <w:color w:val="auto"/>
                <w:lang w:val="en-US" w:eastAsia="zh-CN"/>
              </w:rPr>
            </w:pPr>
            <w:r>
              <w:rPr>
                <w:rFonts w:hint="eastAsia" w:ascii="宋体" w:hAnsi="宋体" w:eastAsia="宋体" w:cs="宋体"/>
                <w:b w:val="0"/>
                <w:bCs w:val="0"/>
                <w:color w:val="auto"/>
                <w:sz w:val="21"/>
                <w:szCs w:val="21"/>
                <w:highlight w:val="none"/>
                <w:lang w:val="en-US" w:eastAsia="zh-CN"/>
              </w:rPr>
              <w:t>此项最多加10分。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jc w:val="center"/>
        </w:trPr>
        <w:tc>
          <w:tcPr>
            <w:tcW w:w="894" w:type="dxa"/>
            <w:tcBorders>
              <w:bottom w:val="single" w:color="auto" w:sz="4" w:space="0"/>
            </w:tcBorders>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spacing w:val="-14"/>
                <w:w w:val="100"/>
                <w:kern w:val="0"/>
                <w:sz w:val="21"/>
                <w:szCs w:val="21"/>
                <w:highlight w:val="none"/>
              </w:rPr>
            </w:pPr>
            <w:r>
              <w:rPr>
                <w:rFonts w:hint="eastAsia" w:ascii="宋体" w:hAnsi="宋体" w:eastAsia="宋体" w:cs="宋体"/>
                <w:color w:val="auto"/>
                <w:w w:val="100"/>
                <w:kern w:val="0"/>
                <w:sz w:val="21"/>
                <w:szCs w:val="21"/>
                <w:highlight w:val="none"/>
              </w:rPr>
              <w:t>2.2.</w:t>
            </w:r>
            <w:r>
              <w:rPr>
                <w:rFonts w:hint="eastAsia" w:ascii="宋体" w:hAnsi="宋体" w:eastAsia="宋体" w:cs="宋体"/>
                <w:color w:val="auto"/>
                <w:spacing w:val="-14"/>
                <w:w w:val="100"/>
                <w:kern w:val="0"/>
                <w:sz w:val="21"/>
                <w:szCs w:val="21"/>
                <w:highlight w:val="none"/>
              </w:rPr>
              <w:t>4</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w w:val="100"/>
                <w:kern w:val="0"/>
                <w:sz w:val="21"/>
                <w:szCs w:val="21"/>
                <w:highlight w:val="none"/>
              </w:rPr>
              <w:t>（3</w:t>
            </w:r>
            <w:r>
              <w:rPr>
                <w:rFonts w:hint="eastAsia" w:ascii="宋体" w:hAnsi="宋体" w:eastAsia="宋体" w:cs="宋体"/>
                <w:color w:val="auto"/>
                <w:spacing w:val="-108"/>
                <w:w w:val="100"/>
                <w:kern w:val="0"/>
                <w:sz w:val="21"/>
                <w:szCs w:val="21"/>
                <w:highlight w:val="none"/>
              </w:rPr>
              <w:t>）</w:t>
            </w:r>
          </w:p>
        </w:tc>
        <w:tc>
          <w:tcPr>
            <w:tcW w:w="1557" w:type="dxa"/>
            <w:gridSpan w:val="2"/>
            <w:tcBorders>
              <w:bottom w:val="single" w:color="auto" w:sz="4" w:space="0"/>
            </w:tcBorders>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评标价</w:t>
            </w:r>
          </w:p>
        </w:tc>
        <w:tc>
          <w:tcPr>
            <w:tcW w:w="1159"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10分</w:t>
            </w:r>
          </w:p>
        </w:tc>
        <w:tc>
          <w:tcPr>
            <w:tcW w:w="11285" w:type="dxa"/>
            <w:gridSpan w:val="3"/>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default" w:ascii="宋体" w:hAnsi="宋体" w:eastAsia="宋体" w:cs="宋体"/>
                <w:color w:val="auto"/>
                <w:spacing w:val="0"/>
                <w:kern w:val="0"/>
                <w:sz w:val="21"/>
                <w:szCs w:val="21"/>
                <w:highlight w:val="none"/>
                <w:lang w:val="en-US" w:eastAsia="zh-CN"/>
              </w:rPr>
            </w:pPr>
            <w:r>
              <w:rPr>
                <w:rFonts w:hint="default" w:ascii="宋体" w:hAnsi="宋体" w:eastAsia="宋体" w:cs="宋体"/>
                <w:color w:val="auto"/>
                <w:spacing w:val="0"/>
                <w:kern w:val="0"/>
                <w:sz w:val="21"/>
                <w:szCs w:val="21"/>
                <w:highlight w:val="none"/>
                <w:lang w:val="en-US" w:eastAsia="zh-CN"/>
              </w:rPr>
              <w:t>评标价得分按照下面规定计算：</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default" w:ascii="宋体" w:hAnsi="宋体" w:eastAsia="宋体" w:cs="宋体"/>
                <w:color w:val="auto"/>
                <w:spacing w:val="0"/>
                <w:kern w:val="0"/>
                <w:sz w:val="21"/>
                <w:szCs w:val="21"/>
                <w:highlight w:val="none"/>
                <w:lang w:val="en-US" w:eastAsia="zh-CN"/>
              </w:rPr>
            </w:pPr>
            <w:r>
              <w:rPr>
                <w:rFonts w:hint="default" w:ascii="宋体" w:hAnsi="宋体" w:eastAsia="宋体" w:cs="宋体"/>
                <w:color w:val="auto"/>
                <w:spacing w:val="0"/>
                <w:kern w:val="0"/>
                <w:sz w:val="21"/>
                <w:szCs w:val="21"/>
                <w:highlight w:val="none"/>
                <w:lang w:val="en-US" w:eastAsia="zh-CN"/>
              </w:rPr>
              <w:t>(1)如果投标人的评标价&gt;评标基准价，则评标价得分＝F－偏差率×100×E1；</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default" w:ascii="宋体" w:hAnsi="宋体" w:eastAsia="宋体" w:cs="宋体"/>
                <w:color w:val="auto"/>
                <w:spacing w:val="0"/>
                <w:kern w:val="0"/>
                <w:sz w:val="21"/>
                <w:szCs w:val="21"/>
                <w:highlight w:val="none"/>
                <w:lang w:val="en-US" w:eastAsia="zh-CN"/>
              </w:rPr>
            </w:pPr>
            <w:r>
              <w:rPr>
                <w:rFonts w:hint="default" w:ascii="宋体" w:hAnsi="宋体" w:eastAsia="宋体" w:cs="宋体"/>
                <w:color w:val="auto"/>
                <w:spacing w:val="0"/>
                <w:kern w:val="0"/>
                <w:sz w:val="21"/>
                <w:szCs w:val="21"/>
                <w:highlight w:val="none"/>
                <w:lang w:val="en-US" w:eastAsia="zh-CN"/>
              </w:rPr>
              <w:t>(2)如果投标人的评标价≤评标基准价，则评标价得分＝F＋偏差率×100×E2。</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default" w:ascii="宋体" w:hAnsi="宋体" w:eastAsia="宋体" w:cs="宋体"/>
                <w:color w:val="auto"/>
                <w:spacing w:val="-14"/>
                <w:kern w:val="0"/>
                <w:sz w:val="21"/>
                <w:szCs w:val="21"/>
                <w:highlight w:val="none"/>
                <w:lang w:val="en-US" w:eastAsia="zh-CN"/>
              </w:rPr>
            </w:pPr>
            <w:r>
              <w:rPr>
                <w:rFonts w:hint="default" w:ascii="宋体" w:hAnsi="宋体" w:eastAsia="宋体" w:cs="宋体"/>
                <w:color w:val="auto"/>
                <w:spacing w:val="0"/>
                <w:kern w:val="0"/>
                <w:sz w:val="21"/>
                <w:szCs w:val="21"/>
                <w:highlight w:val="none"/>
                <w:lang w:val="en-US" w:eastAsia="zh-CN"/>
              </w:rPr>
              <w:t>其中：F是10分，E1是评标价每高于评标基准价一个百分点的扣分值，E2评标价每低于评标基准价一个百分点的扣分值；其中E1＝0.2，E2＝0.1。评标价得分分值保留小数点后两位，小数点后第三位“四舍五入”，最低分为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spacing w:val="-14"/>
                <w:w w:val="100"/>
                <w:kern w:val="0"/>
                <w:sz w:val="21"/>
                <w:szCs w:val="21"/>
                <w:highlight w:val="none"/>
              </w:rPr>
            </w:pPr>
            <w:r>
              <w:rPr>
                <w:rFonts w:hint="eastAsia" w:ascii="宋体" w:hAnsi="宋体" w:eastAsia="宋体" w:cs="宋体"/>
                <w:color w:val="auto"/>
                <w:w w:val="100"/>
                <w:kern w:val="0"/>
                <w:sz w:val="21"/>
                <w:szCs w:val="21"/>
                <w:highlight w:val="none"/>
              </w:rPr>
              <w:t>2.2.</w:t>
            </w:r>
            <w:r>
              <w:rPr>
                <w:rFonts w:hint="eastAsia" w:ascii="宋体" w:hAnsi="宋体" w:eastAsia="宋体" w:cs="宋体"/>
                <w:color w:val="auto"/>
                <w:spacing w:val="-14"/>
                <w:w w:val="100"/>
                <w:kern w:val="0"/>
                <w:sz w:val="21"/>
                <w:szCs w:val="21"/>
                <w:highlight w:val="none"/>
              </w:rPr>
              <w:t>4</w:t>
            </w:r>
          </w:p>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w w:val="100"/>
                <w:kern w:val="0"/>
                <w:sz w:val="21"/>
                <w:szCs w:val="21"/>
                <w:highlight w:val="none"/>
              </w:rPr>
              <w:t>（4</w:t>
            </w:r>
            <w:r>
              <w:rPr>
                <w:rFonts w:hint="eastAsia" w:ascii="宋体" w:hAnsi="宋体" w:eastAsia="宋体" w:cs="宋体"/>
                <w:color w:val="auto"/>
                <w:spacing w:val="-108"/>
                <w:w w:val="100"/>
                <w:kern w:val="0"/>
                <w:sz w:val="21"/>
                <w:szCs w:val="21"/>
                <w:highlight w:val="none"/>
              </w:rPr>
              <w:t>）</w:t>
            </w:r>
          </w:p>
        </w:tc>
        <w:tc>
          <w:tcPr>
            <w:tcW w:w="513" w:type="dxa"/>
            <w:vMerge w:val="restar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其他因素</w:t>
            </w:r>
          </w:p>
        </w:tc>
        <w:tc>
          <w:tcPr>
            <w:tcW w:w="104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业绩</w:t>
            </w:r>
          </w:p>
        </w:tc>
        <w:tc>
          <w:tcPr>
            <w:tcW w:w="1159" w:type="dxa"/>
            <w:tcBorders>
              <w:left w:val="single" w:color="auto" w:sz="4" w:space="0"/>
            </w:tcBorders>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val="en-US" w:eastAsia="zh-CN"/>
              </w:rPr>
              <w:t>25</w:t>
            </w:r>
            <w:r>
              <w:rPr>
                <w:rFonts w:hint="eastAsia" w:ascii="宋体" w:hAnsi="宋体" w:eastAsia="宋体" w:cs="宋体"/>
                <w:color w:val="auto"/>
                <w:kern w:val="0"/>
                <w:sz w:val="21"/>
                <w:szCs w:val="21"/>
                <w:highlight w:val="none"/>
                <w:u w:val="none"/>
              </w:rPr>
              <w:t>分</w:t>
            </w:r>
          </w:p>
        </w:tc>
        <w:tc>
          <w:tcPr>
            <w:tcW w:w="302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yellow"/>
                <w:lang w:eastAsia="zh-CN"/>
              </w:rPr>
            </w:pPr>
            <w:r>
              <w:rPr>
                <w:rFonts w:hint="eastAsia" w:ascii="宋体" w:hAnsi="宋体" w:eastAsia="宋体" w:cs="宋体"/>
                <w:color w:val="auto"/>
                <w:kern w:val="0"/>
                <w:sz w:val="21"/>
                <w:szCs w:val="21"/>
                <w:highlight w:val="none"/>
                <w:lang w:val="en-US" w:eastAsia="zh-CN"/>
              </w:rPr>
              <w:t>企业</w:t>
            </w:r>
            <w:r>
              <w:rPr>
                <w:rFonts w:hint="eastAsia" w:ascii="宋体" w:hAnsi="宋体" w:eastAsia="宋体" w:cs="宋体"/>
                <w:color w:val="auto"/>
                <w:kern w:val="0"/>
                <w:sz w:val="21"/>
                <w:szCs w:val="21"/>
                <w:highlight w:val="none"/>
              </w:rPr>
              <w:t>业绩</w:t>
            </w:r>
          </w:p>
        </w:tc>
        <w:tc>
          <w:tcPr>
            <w:tcW w:w="98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25</w:t>
            </w:r>
            <w:r>
              <w:rPr>
                <w:rFonts w:hint="eastAsia" w:ascii="宋体" w:hAnsi="宋体" w:eastAsia="宋体" w:cs="宋体"/>
                <w:b w:val="0"/>
                <w:bCs w:val="0"/>
                <w:color w:val="auto"/>
                <w:kern w:val="0"/>
                <w:sz w:val="21"/>
                <w:szCs w:val="21"/>
                <w:highlight w:val="none"/>
              </w:rPr>
              <w:t>分</w:t>
            </w:r>
          </w:p>
        </w:tc>
        <w:tc>
          <w:tcPr>
            <w:tcW w:w="7271" w:type="dxa"/>
            <w:noWrap w:val="0"/>
            <w:tcMar>
              <w:top w:w="57" w:type="dxa"/>
              <w:left w:w="57" w:type="dxa"/>
              <w:bottom w:w="57" w:type="dxa"/>
              <w:right w:w="57" w:type="dxa"/>
            </w:tcMar>
            <w:vAlign w:val="center"/>
          </w:tcPr>
          <w:p>
            <w:pPr>
              <w:spacing w:line="30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1.满足资格审查条件（业绩最低要求）得15分；</w:t>
            </w:r>
          </w:p>
          <w:p>
            <w:pPr>
              <w:spacing w:line="300" w:lineRule="auto"/>
              <w:jc w:val="left"/>
              <w:rPr>
                <w:rFonts w:hint="default"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z w:val="21"/>
                <w:szCs w:val="21"/>
                <w:highlight w:val="none"/>
              </w:rPr>
              <w:t>2.在满足资格审查条件（业绩最低要求）的基础上，近</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cs="宋体"/>
                <w:b w:val="0"/>
                <w:bCs w:val="0"/>
                <w:color w:val="auto"/>
                <w:kern w:val="0"/>
                <w:szCs w:val="21"/>
                <w:highlight w:val="none"/>
                <w:lang w:val="en-US" w:eastAsia="zh-CN" w:bidi="ar"/>
              </w:rPr>
              <w:t>自</w:t>
            </w:r>
            <w:r>
              <w:rPr>
                <w:rFonts w:hint="eastAsia" w:ascii="宋体" w:hAnsi="宋体" w:eastAsia="宋体" w:cs="宋体"/>
                <w:b w:val="0"/>
                <w:bCs w:val="0"/>
                <w:color w:val="auto"/>
                <w:spacing w:val="0"/>
                <w:kern w:val="0"/>
                <w:sz w:val="21"/>
                <w:szCs w:val="21"/>
                <w:highlight w:val="none"/>
                <w:lang w:val="en-US" w:eastAsia="zh-CN"/>
              </w:rPr>
              <w:t>2020年3月28日</w:t>
            </w:r>
            <w:r>
              <w:rPr>
                <w:rFonts w:hint="eastAsia" w:ascii="宋体" w:hAnsi="宋体" w:eastAsia="宋体" w:cs="宋体"/>
                <w:b w:val="0"/>
                <w:bCs w:val="0"/>
                <w:color w:val="auto"/>
                <w:sz w:val="21"/>
                <w:szCs w:val="21"/>
                <w:highlight w:val="none"/>
              </w:rPr>
              <w:t>至投标截止时间，</w:t>
            </w:r>
            <w:r>
              <w:rPr>
                <w:rFonts w:hint="eastAsia" w:ascii="宋体" w:hAnsi="宋体" w:eastAsia="宋体" w:cs="宋体"/>
                <w:b w:val="0"/>
                <w:bCs w:val="0"/>
                <w:color w:val="auto"/>
                <w:kern w:val="0"/>
                <w:szCs w:val="21"/>
                <w:highlight w:val="none"/>
                <w:lang w:val="en-US" w:eastAsia="zh-CN"/>
              </w:rPr>
              <w:t>以交工日期为准</w:t>
            </w:r>
            <w:r>
              <w:rPr>
                <w:rFonts w:hint="eastAsia" w:ascii="宋体" w:hAnsi="宋体" w:eastAsia="宋体" w:cs="宋体"/>
                <w:b w:val="0"/>
                <w:bCs w:val="0"/>
                <w:color w:val="auto"/>
                <w:sz w:val="21"/>
                <w:szCs w:val="21"/>
                <w:highlight w:val="none"/>
              </w:rPr>
              <w:t>），投标人每增加1个</w:t>
            </w:r>
            <w:r>
              <w:rPr>
                <w:rFonts w:hint="eastAsia" w:ascii="宋体" w:hAnsi="宋体" w:eastAsia="宋体" w:cs="宋体"/>
                <w:b w:val="0"/>
                <w:bCs w:val="0"/>
                <w:color w:val="auto"/>
                <w:kern w:val="0"/>
                <w:szCs w:val="21"/>
                <w:highlight w:val="none"/>
                <w:lang w:val="en-US" w:eastAsia="zh-CN"/>
              </w:rPr>
              <w:t>一级及以上等级公路工程（新建或改扩建或养护工程）的中心试验室检测或业主第三方试验检测或交（竣）工验收检测业绩</w:t>
            </w:r>
            <w:r>
              <w:rPr>
                <w:rFonts w:hint="eastAsia" w:ascii="宋体" w:hAnsi="宋体" w:eastAsia="宋体" w:cs="宋体"/>
                <w:b w:val="0"/>
                <w:bCs w:val="0"/>
                <w:color w:val="auto"/>
                <w:sz w:val="21"/>
                <w:szCs w:val="21"/>
                <w:highlight w:val="none"/>
              </w:rPr>
              <w:t>加10分，此项最多加10分。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94"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513"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104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履约信誉</w:t>
            </w:r>
          </w:p>
        </w:tc>
        <w:tc>
          <w:tcPr>
            <w:tcW w:w="1159" w:type="dxa"/>
            <w:tcBorders>
              <w:left w:val="single" w:color="auto" w:sz="4" w:space="0"/>
            </w:tcBorders>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5分</w:t>
            </w:r>
          </w:p>
        </w:tc>
        <w:tc>
          <w:tcPr>
            <w:tcW w:w="302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信用评价</w:t>
            </w:r>
          </w:p>
        </w:tc>
        <w:tc>
          <w:tcPr>
            <w:tcW w:w="987" w:type="dxa"/>
            <w:noWrap w:val="0"/>
            <w:tcMar>
              <w:top w:w="57" w:type="dxa"/>
              <w:left w:w="57" w:type="dxa"/>
              <w:bottom w:w="57" w:type="dxa"/>
              <w:right w:w="57" w:type="dxa"/>
            </w:tcMar>
            <w:vAlign w:val="center"/>
          </w:tcPr>
          <w:p>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5分</w:t>
            </w:r>
          </w:p>
        </w:tc>
        <w:tc>
          <w:tcPr>
            <w:tcW w:w="7271" w:type="dxa"/>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eastAsia="zh-CN"/>
              </w:rPr>
              <w:t>信用等级为AA级的投标人，得5分；为A级的投标人，得4.8分；为B级的投标人，得4.4分；为C级的投标人，得3.6分。</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投标人信用等级的认定条件为：宁夏回族自治区交通运输厅网站公布的最新年度宁夏公路建设与养护市场从业单位公路工程试验检测机构企业信用评价结果公示的信用等级；投标人当前无自治区范围内信用评价结果的，需要进行初次认定，初次认定等级根据《宁夏回族自治区公路建设与养护市场信用评价管理办法》的通知宁交规发〔2024〕1号确定。</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（1）从业主体当前有全国评价结果的，按照全国评价结果初次认定。</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（2）从业主体当前无全国评价结果的，按照从业主体当前注册地省级综合评价结果确定初次认定。</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cs="宋体"/>
                <w:b/>
                <w:bCs/>
                <w:color w:val="auto"/>
                <w:szCs w:val="21"/>
                <w:highlight w:val="none"/>
                <w:u w:val="none"/>
                <w:shd w:val="clear" w:color="auto" w:fill="auto"/>
                <w:lang w:val="en-US" w:eastAsia="zh-CN"/>
              </w:rPr>
            </w:pPr>
            <w:r>
              <w:rPr>
                <w:rFonts w:hint="eastAsia" w:ascii="宋体" w:hAnsi="宋体" w:eastAsia="宋体" w:cs="宋体"/>
                <w:color w:val="auto"/>
                <w:kern w:val="0"/>
                <w:sz w:val="21"/>
                <w:szCs w:val="21"/>
                <w:highlight w:val="none"/>
                <w:lang w:val="en-US" w:eastAsia="zh-CN" w:bidi="ar"/>
              </w:rPr>
              <w:t>（3）从业主体当前无注册地省级综合评价结果的，若无失信记录，从业单位应按A级初次认定，从业人员应按未被信用扣分认定；若有失信记录，视其严重程度对从业单位按B级及以下初次认定，对从业人员按“评价周期内从业承诺履行状况较差”“信用较差”或“评价周期内从业承诺履行状况很差”“信用差”初次认定。</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kern w:val="0"/>
                <w:sz w:val="21"/>
                <w:szCs w:val="21"/>
                <w:highlight w:val="none"/>
                <w:lang w:eastAsia="zh-CN"/>
              </w:rPr>
            </w:pPr>
            <w:r>
              <w:rPr>
                <w:rFonts w:hint="eastAsia" w:ascii="宋体" w:hAnsi="宋体" w:cs="宋体"/>
                <w:b/>
                <w:bCs/>
                <w:color w:val="auto"/>
                <w:szCs w:val="21"/>
                <w:highlight w:val="none"/>
                <w:u w:val="none"/>
                <w:shd w:val="clear" w:color="auto" w:fill="auto"/>
                <w:lang w:val="en-US" w:eastAsia="zh-CN"/>
              </w:rPr>
              <w:t>注：投标人须按照投标文件格式中“信用评价等级”相关要求提供信用评价等级相关证明材料。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7" w:hRule="atLeast"/>
          <w:jc w:val="center"/>
        </w:trPr>
        <w:tc>
          <w:tcPr>
            <w:tcW w:w="14895" w:type="dxa"/>
            <w:gridSpan w:val="7"/>
            <w:tcBorders>
              <w:top w:val="nil"/>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pacing w:val="0"/>
                <w:kern w:val="0"/>
                <w:sz w:val="21"/>
                <w:szCs w:val="21"/>
                <w:highlight w:val="none"/>
                <w:lang w:val="en-US" w:eastAsia="zh-CN"/>
              </w:rPr>
            </w:pPr>
            <w:r>
              <w:rPr>
                <w:rFonts w:hint="eastAsia" w:ascii="宋体" w:hAnsi="宋体" w:eastAsia="宋体" w:cs="宋体"/>
                <w:b/>
                <w:bCs/>
                <w:color w:val="auto"/>
                <w:spacing w:val="0"/>
                <w:kern w:val="0"/>
                <w:sz w:val="21"/>
                <w:szCs w:val="21"/>
                <w:highlight w:val="none"/>
                <w:lang w:val="en-US" w:eastAsia="zh-CN"/>
              </w:rPr>
              <w:t>需要补充的其他内容:</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本条细化为：</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评标委员会首先对投标文件第一个信封（商务与技术文件）进行初步评审（形式评审与响应性评审、资格评审），并对通过第一个信封初步评审的投标文件按照本章第2.2款规定的评分标准进行第一个信封详细评审及评分。</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所有通过第一个信封初步评审后的投标文件方可进入第二个信封（报价文件）的开标，其第二个信封在监督机关的监督下进行开标；未通过第一个信封初步评审的投标人不进入第二个信封的评审，其第二个信封原封退回（或不予解密），不参与第二个信封的开标。</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评标委员会对投标文件第二个信封进行初步评审（形式评审与响应性评审），并对通过第二个信封初步评审的投标文件按照本章第2.2款规定的评分标准进行评标价评分（保留小数点后两位，小数点后第三位“四舍五入”），各投标人的最终得分为第一个信封与第二个信封得分之和，评标委员会按最终得分由高到低顺序确定中标候选人推荐排序，但投标报价低于其成本的除外。</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当两家及以上投标人在标段中的综合得分相等时，若评标价不相等，以评标价较低者优先；当两家及以上投标人在标段中的综合得分相等且评标价也相等时，若各投标人报价清单子目单价也相同时，视为串标，其投标均被否决。</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当两家及以上投标人在标段中的综合得分相等且评标价也相等时，且各投标人报价清单子目单价不尽相同时，推荐顺序则依次依据“履约信誉得分”“业绩得分”“主要人员得分”“技术建议书得分”由高到低的顺序进行确定，若投标人技术建议书得分也相等时，则由评标委员会根据技术建议书的编制情况投票确定其推荐顺序。</w:t>
            </w:r>
          </w:p>
          <w:p>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参与本次招标投标的投标人，最多被允许取得其中</w:t>
            </w:r>
            <w:r>
              <w:rPr>
                <w:rFonts w:hint="eastAsia" w:ascii="宋体" w:hAnsi="宋体" w:eastAsia="宋体" w:cs="宋体"/>
                <w:b w:val="0"/>
                <w:bCs w:val="0"/>
                <w:color w:val="auto"/>
                <w:sz w:val="21"/>
                <w:szCs w:val="21"/>
                <w:highlight w:val="none"/>
                <w:u w:val="single"/>
                <w:lang w:val="en-US" w:eastAsia="zh-CN"/>
              </w:rPr>
              <w:t xml:space="preserve"> 1 </w:t>
            </w:r>
            <w:r>
              <w:rPr>
                <w:rFonts w:hint="eastAsia" w:ascii="宋体" w:hAnsi="宋体" w:eastAsia="宋体" w:cs="宋体"/>
                <w:b w:val="0"/>
                <w:bCs w:val="0"/>
                <w:color w:val="auto"/>
                <w:sz w:val="21"/>
                <w:szCs w:val="21"/>
                <w:highlight w:val="none"/>
              </w:rPr>
              <w:t>个标段的中标资格。</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bCs/>
                <w:color w:val="auto"/>
                <w:spacing w:val="0"/>
                <w:kern w:val="0"/>
                <w:sz w:val="21"/>
                <w:szCs w:val="21"/>
                <w:highlight w:val="none"/>
                <w:lang w:val="en-US" w:eastAsia="zh-CN"/>
              </w:rPr>
            </w:pPr>
            <w:r>
              <w:rPr>
                <w:rFonts w:hint="eastAsia" w:ascii="宋体" w:hAnsi="宋体" w:eastAsia="宋体" w:cs="宋体"/>
                <w:b w:val="0"/>
                <w:bCs w:val="0"/>
                <w:color w:val="auto"/>
                <w:sz w:val="21"/>
                <w:szCs w:val="21"/>
                <w:highlight w:val="none"/>
              </w:rPr>
              <w:t>评标委员会推荐次序：</w:t>
            </w:r>
            <w:r>
              <w:rPr>
                <w:rFonts w:hint="eastAsia" w:ascii="宋体" w:hAnsi="宋体" w:eastAsia="宋体" w:cs="宋体"/>
                <w:b/>
                <w:bCs/>
                <w:color w:val="auto"/>
                <w:sz w:val="21"/>
                <w:szCs w:val="21"/>
                <w:highlight w:val="none"/>
                <w:u w:val="single"/>
                <w:lang w:val="en-US" w:eastAsia="zh-CN"/>
              </w:rPr>
              <w:t>由评标委员会按标段的先后顺序确定第一中标候选人，如某一投标人在2个及以上标段的推荐次序均为第一时，则推荐该投标人为第1标段第一中标候选人，其他标段不再推荐该投标人为第一中标候选人，其他标段推荐排名第二、三、四名的投标人依次替补为第一、二、三名中标候选人，依次类推，直至各标段推荐出不同的第一中标候选人为止</w:t>
            </w:r>
            <w:r>
              <w:rPr>
                <w:rFonts w:hint="eastAsia" w:ascii="宋体" w:hAnsi="宋体" w:eastAsia="宋体" w:cs="宋体"/>
                <w:b w:val="0"/>
                <w:bCs w:val="0"/>
                <w:color w:val="auto"/>
                <w:sz w:val="21"/>
                <w:szCs w:val="21"/>
                <w:highlight w:val="none"/>
                <w:u w:val="single"/>
                <w:lang w:val="en-US" w:eastAsia="zh-CN"/>
              </w:rPr>
              <w:t>。</w:t>
            </w:r>
          </w:p>
        </w:tc>
      </w:tr>
    </w:tbl>
    <w:p>
      <w:pPr>
        <w:jc w:val="both"/>
        <w:rPr>
          <w:rFonts w:hint="eastAsia" w:ascii="宋体" w:hAnsi="宋体" w:eastAsia="宋体" w:cs="宋体"/>
          <w:b/>
          <w:bCs/>
          <w:spacing w:val="-1"/>
          <w:sz w:val="28"/>
          <w:szCs w:val="28"/>
          <w:lang w:val="en-US" w:eastAsia="zh-CN"/>
        </w:rPr>
        <w:sectPr>
          <w:pgSz w:w="16838" w:h="11906" w:orient="landscape"/>
          <w:pgMar w:top="1800" w:right="1440" w:bottom="1800" w:left="1440" w:header="851" w:footer="992" w:gutter="0"/>
          <w:cols w:space="425" w:num="1"/>
          <w:docGrid w:type="lines" w:linePitch="312" w:charSpace="0"/>
        </w:sectPr>
      </w:pP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textAlignment w:val="auto"/>
        <w:rPr>
          <w:rFonts w:hint="eastAsia" w:ascii="宋体" w:hAnsi="宋体" w:eastAsia="Calibri" w:cs="宋体"/>
          <w:b/>
          <w:bCs/>
          <w:color w:val="auto"/>
          <w:spacing w:val="20"/>
          <w:sz w:val="24"/>
          <w:szCs w:val="24"/>
          <w:highlight w:val="none"/>
        </w:rPr>
      </w:pPr>
      <w:r>
        <w:rPr>
          <w:rFonts w:hint="eastAsia" w:ascii="宋体" w:hAnsi="宋体" w:eastAsia="Calibri" w:cs="宋体"/>
          <w:b/>
          <w:bCs/>
          <w:color w:val="auto"/>
          <w:spacing w:val="20"/>
          <w:sz w:val="24"/>
          <w:szCs w:val="24"/>
          <w:highlight w:val="none"/>
        </w:rPr>
        <w:t>五、招标人联系方式</w:t>
      </w:r>
    </w:p>
    <w:tbl>
      <w:tblPr>
        <w:tblStyle w:val="8"/>
        <w:tblW w:w="9579" w:type="dxa"/>
        <w:tblInd w:w="-167" w:type="dxa"/>
        <w:tblLayout w:type="autofit"/>
        <w:tblCellMar>
          <w:top w:w="0" w:type="dxa"/>
          <w:left w:w="108" w:type="dxa"/>
          <w:bottom w:w="0" w:type="dxa"/>
          <w:right w:w="108" w:type="dxa"/>
        </w:tblCellMar>
      </w:tblPr>
      <w:tblGrid>
        <w:gridCol w:w="9579"/>
      </w:tblGrid>
      <w:tr>
        <w:tblPrEx>
          <w:tblCellMar>
            <w:top w:w="0" w:type="dxa"/>
            <w:left w:w="108" w:type="dxa"/>
            <w:bottom w:w="0" w:type="dxa"/>
            <w:right w:w="108" w:type="dxa"/>
          </w:tblCellMar>
        </w:tblPrEx>
        <w:trPr>
          <w:trHeight w:val="421" w:hRule="atLeast"/>
        </w:trPr>
        <w:tc>
          <w:tcPr>
            <w:tcW w:w="448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 标 人：</w:t>
            </w:r>
            <w:r>
              <w:rPr>
                <w:rFonts w:hint="eastAsia" w:ascii="宋体" w:hAnsi="宋体" w:eastAsia="宋体" w:cs="宋体"/>
                <w:color w:val="auto"/>
                <w:kern w:val="0"/>
                <w:sz w:val="21"/>
                <w:szCs w:val="21"/>
                <w:highlight w:val="none"/>
              </w:rPr>
              <w:t>宁夏公路管理中心</w:t>
            </w:r>
            <w:r>
              <w:rPr>
                <w:rFonts w:hint="eastAsia" w:ascii="宋体" w:hAnsi="宋体" w:eastAsia="宋体" w:cs="宋体"/>
                <w:color w:val="auto"/>
                <w:kern w:val="0"/>
                <w:sz w:val="21"/>
                <w:szCs w:val="21"/>
                <w:highlight w:val="none"/>
                <w:lang w:val="en-US" w:eastAsia="zh-CN"/>
              </w:rPr>
              <w:t>银川分中心</w:t>
            </w:r>
          </w:p>
        </w:tc>
      </w:tr>
      <w:tr>
        <w:tblPrEx>
          <w:tblCellMar>
            <w:top w:w="0" w:type="dxa"/>
            <w:left w:w="108" w:type="dxa"/>
            <w:bottom w:w="0" w:type="dxa"/>
            <w:right w:w="108" w:type="dxa"/>
          </w:tblCellMar>
        </w:tblPrEx>
        <w:trPr>
          <w:trHeight w:val="431" w:hRule="atLeast"/>
        </w:trPr>
        <w:tc>
          <w:tcPr>
            <w:tcW w:w="448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kern w:val="0"/>
                <w:sz w:val="21"/>
                <w:szCs w:val="21"/>
                <w:highlight w:val="none"/>
                <w:lang w:val="en-US" w:eastAsia="zh-CN"/>
              </w:rPr>
              <w:t>银川市兴庆区青银高速公路银川东收费站北侧大楼</w:t>
            </w:r>
          </w:p>
        </w:tc>
      </w:tr>
      <w:tr>
        <w:tblPrEx>
          <w:tblCellMar>
            <w:top w:w="0" w:type="dxa"/>
            <w:left w:w="108" w:type="dxa"/>
            <w:bottom w:w="0" w:type="dxa"/>
            <w:right w:w="108" w:type="dxa"/>
          </w:tblCellMar>
        </w:tblPrEx>
        <w:trPr>
          <w:trHeight w:val="399" w:hRule="atLeast"/>
        </w:trPr>
        <w:tc>
          <w:tcPr>
            <w:tcW w:w="448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750000</w:t>
            </w:r>
          </w:p>
        </w:tc>
      </w:tr>
      <w:tr>
        <w:tblPrEx>
          <w:tblCellMar>
            <w:top w:w="0" w:type="dxa"/>
            <w:left w:w="108" w:type="dxa"/>
            <w:bottom w:w="0" w:type="dxa"/>
            <w:right w:w="108" w:type="dxa"/>
          </w:tblCellMar>
        </w:tblPrEx>
        <w:trPr>
          <w:trHeight w:val="90" w:hRule="atLeast"/>
        </w:trPr>
        <w:tc>
          <w:tcPr>
            <w:tcW w:w="448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lang w:val="en-US" w:eastAsia="zh-CN"/>
              </w:rPr>
              <w:t>刘先生</w:t>
            </w:r>
          </w:p>
        </w:tc>
      </w:tr>
      <w:tr>
        <w:tblPrEx>
          <w:tblCellMar>
            <w:top w:w="0" w:type="dxa"/>
            <w:left w:w="108" w:type="dxa"/>
            <w:bottom w:w="0" w:type="dxa"/>
            <w:right w:w="108" w:type="dxa"/>
          </w:tblCellMar>
        </w:tblPrEx>
        <w:trPr>
          <w:trHeight w:val="431" w:hRule="atLeast"/>
        </w:trPr>
        <w:tc>
          <w:tcPr>
            <w:tcW w:w="448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：0951-8597162</w:t>
            </w:r>
          </w:p>
        </w:tc>
      </w:tr>
    </w:tbl>
    <w:p>
      <w:pPr>
        <w:jc w:val="both"/>
        <w:rPr>
          <w:rFonts w:hint="default" w:ascii="宋体" w:hAnsi="宋体" w:eastAsia="宋体" w:cs="宋体"/>
          <w:b/>
          <w:bCs/>
          <w:spacing w:val="-1"/>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黑体_GBK">
    <w:panose1 w:val="02000000000000000000"/>
    <w:charset w:val="86"/>
    <w:family w:val="auto"/>
    <w:pitch w:val="default"/>
    <w:sig w:usb0="00000001" w:usb1="08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7"/>
        <w:snapToGrid w:val="0"/>
      </w:pPr>
      <w:r>
        <w:rPr>
          <w:rStyle w:val="10"/>
        </w:rPr>
        <w:footnoteRef/>
      </w:r>
      <w:r>
        <w:rPr>
          <w:rFonts w:ascii="宋体" w:hAnsi="宋体" w:eastAsia="宋体" w:cs="宋体"/>
          <w:b w:val="0"/>
          <w:bCs w:val="0"/>
          <w:color w:val="000000"/>
          <w:sz w:val="13"/>
          <w:szCs w:val="13"/>
        </w:rPr>
        <w:t xml:space="preserve">评标价权重分值不宜超过 </w:t>
      </w:r>
      <w:r>
        <w:rPr>
          <w:rFonts w:ascii="TimesNewRomanPSMT" w:hAnsi="TimesNewRomanPSMT" w:eastAsia="TimesNewRomanPSMT" w:cs="TimesNewRomanPSMT"/>
          <w:b w:val="0"/>
          <w:bCs w:val="0"/>
          <w:color w:val="000000"/>
          <w:sz w:val="13"/>
          <w:szCs w:val="13"/>
        </w:rPr>
        <w:t xml:space="preserve">10 </w:t>
      </w:r>
      <w:r>
        <w:rPr>
          <w:rFonts w:ascii="宋体" w:hAnsi="宋体" w:eastAsia="宋体" w:cs="宋体"/>
          <w:b w:val="0"/>
          <w:bCs w:val="0"/>
          <w:color w:val="000000"/>
          <w:sz w:val="13"/>
          <w:szCs w:val="13"/>
        </w:rPr>
        <w:t>分。</w:t>
      </w:r>
    </w:p>
  </w:footnote>
  <w:footnote w:id="1">
    <w:p>
      <w:pPr>
        <w:pStyle w:val="7"/>
        <w:snapToGrid w:val="0"/>
        <w:rPr>
          <w:rFonts w:ascii="宋体" w:hAnsi="宋体" w:eastAsia="宋体" w:cs="宋体"/>
          <w:b w:val="0"/>
          <w:bCs w:val="0"/>
          <w:color w:val="000000"/>
          <w:sz w:val="15"/>
          <w:szCs w:val="15"/>
        </w:rPr>
      </w:pPr>
      <w:r>
        <w:rPr>
          <w:rStyle w:val="10"/>
          <w:sz w:val="15"/>
          <w:szCs w:val="15"/>
        </w:rPr>
        <w:footnoteRef/>
      </w:r>
      <w:r>
        <w:rPr>
          <w:sz w:val="15"/>
          <w:szCs w:val="15"/>
        </w:rPr>
        <w:t xml:space="preserve"> </w:t>
      </w:r>
      <w:r>
        <w:rPr>
          <w:rFonts w:ascii="宋体" w:hAnsi="宋体" w:eastAsia="宋体" w:cs="宋体"/>
          <w:b w:val="0"/>
          <w:bCs w:val="0"/>
          <w:color w:val="000000"/>
          <w:sz w:val="15"/>
          <w:szCs w:val="15"/>
        </w:rPr>
        <w:t xml:space="preserve">招标人应根据项目具体情况确定各评分因素及评分因素权重分值，并对各评分因素进行细分（如有）、确定 各评分因素细分项的分值，各评分因素权重分值合计应为 </w:t>
      </w:r>
      <w:r>
        <w:rPr>
          <w:rFonts w:ascii="TimesNewRomanPSMT" w:hAnsi="TimesNewRomanPSMT" w:eastAsia="TimesNewRomanPSMT" w:cs="TimesNewRomanPSMT"/>
          <w:b w:val="0"/>
          <w:bCs w:val="0"/>
          <w:color w:val="000000"/>
          <w:sz w:val="15"/>
          <w:szCs w:val="15"/>
        </w:rPr>
        <w:t xml:space="preserve">100 </w:t>
      </w:r>
      <w:r>
        <w:rPr>
          <w:rFonts w:ascii="宋体" w:hAnsi="宋体" w:eastAsia="宋体" w:cs="宋体"/>
          <w:b w:val="0"/>
          <w:bCs w:val="0"/>
          <w:color w:val="000000"/>
          <w:sz w:val="15"/>
          <w:szCs w:val="15"/>
        </w:rPr>
        <w:t xml:space="preserve">分。标准电子化版本各评分因素权重分值构成如表 中所示。各评分因素（评标价和履约信誉评分项除外）得分一般不得低于其权重分值的 </w:t>
      </w:r>
      <w:r>
        <w:rPr>
          <w:rFonts w:hint="default" w:ascii="TimesNewRomanPSMT" w:hAnsi="TimesNewRomanPSMT" w:eastAsia="TimesNewRomanPSMT" w:cs="TimesNewRomanPSMT"/>
          <w:b w:val="0"/>
          <w:bCs w:val="0"/>
          <w:color w:val="000000"/>
          <w:sz w:val="15"/>
          <w:szCs w:val="15"/>
        </w:rPr>
        <w:t>60%</w:t>
      </w:r>
      <w:r>
        <w:rPr>
          <w:rFonts w:ascii="宋体" w:hAnsi="宋体" w:eastAsia="宋体" w:cs="宋体"/>
          <w:b w:val="0"/>
          <w:bCs w:val="0"/>
          <w:color w:val="000000"/>
          <w:sz w:val="15"/>
          <w:szCs w:val="15"/>
        </w:rPr>
        <w:t xml:space="preserve">，且各评分因素得分 应以评标委员会各成员的打分平均值确定，评标委员会成员总数为 </w:t>
      </w:r>
      <w:r>
        <w:rPr>
          <w:rFonts w:hint="default" w:ascii="TimesNewRomanPSMT" w:hAnsi="TimesNewRomanPSMT" w:eastAsia="TimesNewRomanPSMT" w:cs="TimesNewRomanPSMT"/>
          <w:b w:val="0"/>
          <w:bCs w:val="0"/>
          <w:color w:val="000000"/>
          <w:sz w:val="15"/>
          <w:szCs w:val="15"/>
        </w:rPr>
        <w:t xml:space="preserve">7 </w:t>
      </w:r>
      <w:r>
        <w:rPr>
          <w:rFonts w:ascii="宋体" w:hAnsi="宋体" w:eastAsia="宋体" w:cs="宋体"/>
          <w:b w:val="0"/>
          <w:bCs w:val="0"/>
          <w:color w:val="000000"/>
          <w:sz w:val="15"/>
          <w:szCs w:val="15"/>
        </w:rPr>
        <w:t xml:space="preserve">人以上时，该平均值以去掉一个最高分和一 个最低分后计算。评标委员会成员对某一项评分因素的评分低于权重分值 </w:t>
      </w:r>
      <w:r>
        <w:rPr>
          <w:rFonts w:hint="default" w:ascii="TimesNewRomanPSMT" w:hAnsi="TimesNewRomanPSMT" w:eastAsia="TimesNewRomanPSMT" w:cs="TimesNewRomanPSMT"/>
          <w:b w:val="0"/>
          <w:bCs w:val="0"/>
          <w:color w:val="000000"/>
          <w:sz w:val="15"/>
          <w:szCs w:val="15"/>
        </w:rPr>
        <w:t>60%</w:t>
      </w:r>
      <w:r>
        <w:rPr>
          <w:rFonts w:ascii="宋体" w:hAnsi="宋体" w:eastAsia="宋体" w:cs="宋体"/>
          <w:b w:val="0"/>
          <w:bCs w:val="0"/>
          <w:color w:val="000000"/>
          <w:sz w:val="15"/>
          <w:szCs w:val="15"/>
        </w:rPr>
        <w:t>的，应在评标报告中作出说明。</w:t>
      </w:r>
    </w:p>
  </w:footnote>
  <w:footnote w:id="2">
    <w:p>
      <w:pPr>
        <w:pStyle w:val="7"/>
        <w:snapToGrid w:val="0"/>
        <w:rPr>
          <w:rFonts w:ascii="宋体" w:hAnsi="宋体" w:eastAsia="宋体" w:cs="宋体"/>
          <w:b w:val="0"/>
          <w:bCs w:val="0"/>
          <w:color w:val="000000"/>
          <w:sz w:val="15"/>
          <w:szCs w:val="15"/>
        </w:rPr>
      </w:pPr>
      <w:r>
        <w:rPr>
          <w:rFonts w:ascii="宋体" w:hAnsi="宋体" w:eastAsia="宋体" w:cs="宋体"/>
          <w:b w:val="0"/>
          <w:bCs w:val="0"/>
          <w:color w:val="000000"/>
          <w:sz w:val="11"/>
          <w:szCs w:val="11"/>
        </w:rPr>
        <w:footnoteRef/>
      </w:r>
      <w:r>
        <w:rPr>
          <w:rFonts w:ascii="宋体" w:hAnsi="宋体" w:eastAsia="宋体" w:cs="宋体"/>
          <w:b w:val="0"/>
          <w:bCs w:val="0"/>
          <w:color w:val="000000"/>
          <w:sz w:val="11"/>
          <w:szCs w:val="11"/>
        </w:rPr>
        <w:t xml:space="preserve"> </w:t>
      </w:r>
      <w:r>
        <w:rPr>
          <w:rFonts w:ascii="宋体" w:hAnsi="宋体" w:eastAsia="宋体" w:cs="宋体"/>
          <w:b w:val="0"/>
          <w:bCs w:val="0"/>
          <w:color w:val="000000"/>
          <w:sz w:val="15"/>
          <w:szCs w:val="15"/>
        </w:rPr>
        <w:t>招标人应列明各评分因素或各评分因素细分项(如有</w:t>
      </w:r>
      <w:r>
        <w:rPr>
          <w:rFonts w:hint="default" w:ascii="宋体" w:hAnsi="宋体" w:eastAsia="宋体" w:cs="宋体"/>
          <w:b w:val="0"/>
          <w:bCs w:val="0"/>
          <w:color w:val="000000"/>
          <w:sz w:val="15"/>
          <w:szCs w:val="15"/>
        </w:rPr>
        <w:t>)</w:t>
      </w:r>
      <w:r>
        <w:rPr>
          <w:rFonts w:ascii="宋体" w:hAnsi="宋体" w:eastAsia="宋体" w:cs="宋体"/>
          <w:b w:val="0"/>
          <w:bCs w:val="0"/>
          <w:color w:val="000000"/>
          <w:sz w:val="15"/>
          <w:szCs w:val="15"/>
        </w:rPr>
        <w:t>的评分标准并作为评标委员会进行评分的依据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2C3E7"/>
    <w:multiLevelType w:val="singleLevel"/>
    <w:tmpl w:val="8602C3E7"/>
    <w:lvl w:ilvl="0" w:tentative="0">
      <w:start w:val="2"/>
      <w:numFmt w:val="chineseCounting"/>
      <w:suff w:val="nothing"/>
      <w:lvlText w:val="%1、"/>
      <w:lvlJc w:val="left"/>
      <w:rPr>
        <w:rFonts w:hint="eastAsia"/>
      </w:rPr>
    </w:lvl>
  </w:abstractNum>
  <w:abstractNum w:abstractNumId="1">
    <w:nsid w:val="DF86F833"/>
    <w:multiLevelType w:val="singleLevel"/>
    <w:tmpl w:val="DF86F833"/>
    <w:lvl w:ilvl="0" w:tentative="0">
      <w:start w:val="1"/>
      <w:numFmt w:val="chineseCounting"/>
      <w:suff w:val="nothing"/>
      <w:lvlText w:val="%1、"/>
      <w:lvlJc w:val="left"/>
      <w:rPr>
        <w:rFonts w:hint="eastAsia"/>
      </w:rPr>
    </w:lvl>
  </w:abstractNum>
  <w:abstractNum w:abstractNumId="2">
    <w:nsid w:val="E9AD2835"/>
    <w:multiLevelType w:val="singleLevel"/>
    <w:tmpl w:val="E9AD2835"/>
    <w:lvl w:ilvl="0" w:tentative="0">
      <w:start w:val="1"/>
      <w:numFmt w:val="decimal"/>
      <w:suff w:val="nothing"/>
      <w:lvlText w:val="（%1）"/>
      <w:lvlJc w:val="left"/>
    </w:lvl>
  </w:abstractNum>
  <w:abstractNum w:abstractNumId="3">
    <w:nsid w:val="F473B4D9"/>
    <w:multiLevelType w:val="singleLevel"/>
    <w:tmpl w:val="F473B4D9"/>
    <w:lvl w:ilvl="0" w:tentative="0">
      <w:start w:val="1"/>
      <w:numFmt w:val="decimal"/>
      <w:suff w:val="nothing"/>
      <w:lvlText w:val="（%1）"/>
      <w:lvlJc w:val="left"/>
    </w:lvl>
  </w:abstractNum>
  <w:abstractNum w:abstractNumId="4">
    <w:nsid w:val="FB6E9E53"/>
    <w:multiLevelType w:val="singleLevel"/>
    <w:tmpl w:val="FB6E9E53"/>
    <w:lvl w:ilvl="0" w:tentative="0">
      <w:start w:val="1"/>
      <w:numFmt w:val="decimal"/>
      <w:suff w:val="nothing"/>
      <w:lvlText w:val="%1、"/>
      <w:lvlJc w:val="left"/>
    </w:lvl>
  </w:abstractNum>
  <w:abstractNum w:abstractNumId="5">
    <w:nsid w:val="3300C32A"/>
    <w:multiLevelType w:val="singleLevel"/>
    <w:tmpl w:val="3300C32A"/>
    <w:lvl w:ilvl="0" w:tentative="0">
      <w:start w:val="1"/>
      <w:numFmt w:val="decimal"/>
      <w:suff w:val="nothing"/>
      <w:lvlText w:val="（%1）"/>
      <w:lvlJc w:val="left"/>
    </w:lvl>
  </w:abstractNum>
  <w:abstractNum w:abstractNumId="6">
    <w:nsid w:val="5AA89C72"/>
    <w:multiLevelType w:val="singleLevel"/>
    <w:tmpl w:val="5AA89C72"/>
    <w:lvl w:ilvl="0" w:tentative="0">
      <w:start w:val="1"/>
      <w:numFmt w:val="decimal"/>
      <w:suff w:val="nothing"/>
      <w:lvlText w:val="（%1）"/>
      <w:lvlJc w:val="left"/>
    </w:lvl>
  </w:abstractNum>
  <w:abstractNum w:abstractNumId="7">
    <w:nsid w:val="69F1E5DA"/>
    <w:multiLevelType w:val="singleLevel"/>
    <w:tmpl w:val="69F1E5DA"/>
    <w:lvl w:ilvl="0" w:tentative="0">
      <w:start w:val="1"/>
      <w:numFmt w:val="decimal"/>
      <w:lvlText w:val="%1."/>
      <w:lvlJc w:val="left"/>
      <w:pPr>
        <w:tabs>
          <w:tab w:val="left" w:pos="312"/>
        </w:tabs>
      </w:pPr>
    </w:lvl>
  </w:abstractNum>
  <w:abstractNum w:abstractNumId="8">
    <w:nsid w:val="7384B14D"/>
    <w:multiLevelType w:val="singleLevel"/>
    <w:tmpl w:val="7384B14D"/>
    <w:lvl w:ilvl="0" w:tentative="0">
      <w:start w:val="1"/>
      <w:numFmt w:val="decimal"/>
      <w:suff w:val="nothing"/>
      <w:lvlText w:val="（%1）"/>
      <w:lvlJc w:val="left"/>
    </w:lvl>
  </w:abstractNum>
  <w:num w:numId="1">
    <w:abstractNumId w:val="1"/>
  </w:num>
  <w:num w:numId="2">
    <w:abstractNumId w:val="7"/>
  </w:num>
  <w:num w:numId="3">
    <w:abstractNumId w:val="2"/>
  </w:num>
  <w:num w:numId="4">
    <w:abstractNumId w:val="4"/>
  </w:num>
  <w:num w:numId="5">
    <w:abstractNumId w:val="8"/>
  </w:num>
  <w:num w:numId="6">
    <w:abstractNumId w:val="3"/>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57DD2"/>
    <w:rsid w:val="30E57DD2"/>
    <w:rsid w:val="32565979"/>
    <w:rsid w:val="37620D65"/>
    <w:rsid w:val="397D1A60"/>
    <w:rsid w:val="5FBF7ECE"/>
    <w:rsid w:val="63B87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sz w:val="24"/>
      <w:szCs w:val="24"/>
    </w:rPr>
  </w:style>
  <w:style w:type="paragraph" w:styleId="4">
    <w:name w:val="Balloon Text"/>
    <w:basedOn w:val="1"/>
    <w:unhideWhenUsed/>
    <w:qFormat/>
    <w:uiPriority w:val="99"/>
    <w:rPr>
      <w:kern w:val="0"/>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toc 1"/>
    <w:basedOn w:val="1"/>
    <w:next w:val="1"/>
    <w:qFormat/>
    <w:uiPriority w:val="39"/>
    <w:pPr>
      <w:tabs>
        <w:tab w:val="right" w:leader="dot" w:pos="9515"/>
      </w:tabs>
      <w:spacing w:line="360" w:lineRule="auto"/>
    </w:pPr>
  </w:style>
  <w:style w:type="paragraph" w:styleId="7">
    <w:name w:val="footnote text"/>
    <w:basedOn w:val="1"/>
    <w:semiHidden/>
    <w:qFormat/>
    <w:uiPriority w:val="0"/>
    <w:pPr>
      <w:snapToGrid w:val="0"/>
    </w:pPr>
    <w:rPr>
      <w:sz w:val="18"/>
      <w:szCs w:val="18"/>
    </w:rPr>
  </w:style>
  <w:style w:type="character" w:styleId="10">
    <w:name w:val="footnote reference"/>
    <w:semiHidden/>
    <w:qFormat/>
    <w:uiPriority w:val="0"/>
    <w:rPr>
      <w:vertAlign w:val="superscript"/>
    </w:rPr>
  </w:style>
  <w:style w:type="paragraph" w:customStyle="1" w:styleId="11">
    <w:name w:val="正文_2"/>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正文缩进_1"/>
    <w:basedOn w:val="11"/>
    <w:qFormat/>
    <w:uiPriority w:val="0"/>
    <w:pPr>
      <w:ind w:firstLine="420" w:firstLineChars="200"/>
    </w:pPr>
  </w:style>
  <w:style w:type="paragraph" w:customStyle="1" w:styleId="13">
    <w:name w:val="正文_0_0"/>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14">
    <w:name w:val="Table Paragraph"/>
    <w:basedOn w:val="1"/>
    <w:qFormat/>
    <w:uiPriority w:val="1"/>
  </w:style>
  <w:style w:type="paragraph" w:customStyle="1" w:styleId="15">
    <w:name w:val="最 中间标题"/>
    <w:basedOn w:val="1"/>
    <w:link w:val="16"/>
    <w:qFormat/>
    <w:uiPriority w:val="0"/>
    <w:pPr>
      <w:spacing w:before="100" w:beforeLines="100" w:after="100" w:afterLines="100"/>
      <w:jc w:val="center"/>
    </w:pPr>
    <w:rPr>
      <w:rFonts w:ascii="宋体" w:hAnsi="宋体"/>
      <w:b/>
      <w:bCs/>
      <w:kern w:val="0"/>
      <w:sz w:val="30"/>
      <w:szCs w:val="30"/>
    </w:rPr>
  </w:style>
  <w:style w:type="character" w:customStyle="1" w:styleId="16">
    <w:name w:val="最 中间标题 Char"/>
    <w:link w:val="15"/>
    <w:qFormat/>
    <w:uiPriority w:val="0"/>
    <w:rPr>
      <w:rFonts w:ascii="宋体" w:hAnsi="宋体"/>
      <w:b/>
      <w:bCs/>
      <w:kern w:val="0"/>
      <w:sz w:val="30"/>
      <w:szCs w:val="30"/>
    </w:rPr>
  </w:style>
  <w:style w:type="paragraph" w:customStyle="1" w:styleId="17">
    <w:name w:val="表中"/>
    <w:basedOn w:val="1"/>
    <w:qFormat/>
    <w:locked/>
    <w:uiPriority w:val="0"/>
    <w:pPr>
      <w:adjustRightInd w:val="0"/>
      <w:snapToGrid w:val="0"/>
      <w:spacing w:line="420" w:lineRule="atLeast"/>
      <w:jc w:val="center"/>
      <w:textAlignment w:val="baseline"/>
    </w:pPr>
    <w:rPr>
      <w:snapToGrid w:val="0"/>
      <w:kern w:val="0"/>
      <w:szCs w:val="20"/>
    </w:rPr>
  </w:style>
  <w:style w:type="paragraph" w:customStyle="1" w:styleId="18">
    <w:name w:val="Normal_0"/>
    <w:qFormat/>
    <w:uiPriority w:val="0"/>
    <w:rPr>
      <w:rFonts w:ascii="Times New Roman" w:hAnsi="Times New Roman" w:eastAsia="Times New Roman" w:cs="Times New Roman"/>
      <w:sz w:val="24"/>
      <w:szCs w:val="24"/>
      <w:lang w:bidi="ar-SA"/>
    </w:rPr>
  </w:style>
  <w:style w:type="paragraph" w:customStyle="1" w:styleId="19">
    <w:name w:val="最 章"/>
    <w:basedOn w:val="1"/>
    <w:qFormat/>
    <w:uiPriority w:val="0"/>
    <w:pPr>
      <w:spacing w:before="50" w:beforeLines="50" w:after="50" w:afterLines="50" w:line="240" w:lineRule="auto"/>
      <w:jc w:val="center"/>
    </w:pPr>
    <w:rPr>
      <w:rFonts w:ascii="宋体" w:hAnsi="宋体"/>
      <w:b/>
      <w:bCs/>
      <w:kern w:val="0"/>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11613</Words>
  <Characters>12454</Characters>
  <Lines>0</Lines>
  <Paragraphs>0</Paragraphs>
  <TotalTime>7</TotalTime>
  <ScaleCrop>false</ScaleCrop>
  <LinksUpToDate>false</LinksUpToDate>
  <CharactersWithSpaces>12509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2025-03-27T09:47:00Z</dcterms:created>
  <dc:creator>Administrator</dc:creator>
  <cp:lastModifiedBy>admin</cp:lastModifiedBy>
  <dcterms:modified xsi:type="dcterms:W3CDTF">2025-09-02T18:05:51Z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87B2781BF4C04ABA9D20556806FEF2CC_11</vt:lpwstr>
  </property>
  <property fmtid="{D5CDD505-2E9C-101B-9397-08002B2CF9AE}" pid="4" name="KSOTemplateDocerSaveRecord">
    <vt:lpwstr>eyJoZGlkIjoiMGEyMDhkM2MwYWE0N2NlMGY1NmZlMmNiZGE0ZTg2NDgiLCJ1c2VySWQiOiIxNDUyNjE2MDkwIn0=</vt:lpwstr>
  </property>
</Properties>
</file>