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798"/>
        </w:tabs>
        <w:spacing w:before="97" w:line="360" w:lineRule="auto"/>
        <w:jc w:val="center"/>
        <w:rPr>
          <w:rFonts w:hint="eastAsia" w:ascii="宋体" w:hAnsi="宋体" w:eastAsia="宋体" w:cs="宋体"/>
          <w:b/>
          <w:bCs/>
          <w:color w:val="auto"/>
          <w:sz w:val="32"/>
          <w:szCs w:val="32"/>
          <w:highlight w:val="none"/>
          <w:u w:val="none" w:color="auto"/>
          <w:lang w:eastAsia="zh-CN"/>
        </w:rPr>
      </w:pPr>
      <w:r>
        <w:rPr>
          <w:rFonts w:hint="eastAsia" w:ascii="宋体" w:hAnsi="宋体" w:eastAsia="宋体" w:cs="宋体"/>
          <w:b/>
          <w:bCs/>
          <w:color w:val="auto"/>
          <w:sz w:val="32"/>
          <w:szCs w:val="32"/>
          <w:highlight w:val="none"/>
          <w:u w:val="none" w:color="auto"/>
          <w:lang w:eastAsia="zh-CN"/>
        </w:rPr>
        <w:t>宁夏公路管理中心石嘴山分中心2025年公路灾害防治工程</w:t>
      </w:r>
    </w:p>
    <w:p>
      <w:pPr>
        <w:jc w:val="center"/>
        <w:rPr>
          <w:rFonts w:hint="eastAsia" w:ascii="宋体" w:hAnsi="宋体" w:eastAsia="宋体" w:cs="宋体"/>
          <w:b/>
          <w:bCs/>
          <w:color w:val="auto"/>
          <w:sz w:val="32"/>
          <w:szCs w:val="32"/>
          <w:highlight w:val="none"/>
          <w:u w:val="none" w:color="auto"/>
          <w:lang w:val="en-US" w:eastAsia="zh-CN"/>
        </w:rPr>
      </w:pPr>
      <w:r>
        <w:rPr>
          <w:rFonts w:hint="eastAsia" w:ascii="宋体" w:hAnsi="宋体" w:eastAsia="宋体" w:cs="宋体"/>
          <w:b/>
          <w:bCs/>
          <w:color w:val="auto"/>
          <w:spacing w:val="8"/>
          <w:sz w:val="32"/>
          <w:szCs w:val="32"/>
          <w:highlight w:val="none"/>
          <w:u w:val="none" w:color="auto"/>
        </w:rPr>
        <w:t>施工</w:t>
      </w:r>
      <w:r>
        <w:rPr>
          <w:rFonts w:hint="eastAsia" w:ascii="宋体" w:hAnsi="宋体" w:eastAsia="宋体" w:cs="宋体"/>
          <w:b/>
          <w:bCs/>
          <w:color w:val="auto"/>
          <w:spacing w:val="8"/>
          <w:sz w:val="32"/>
          <w:szCs w:val="32"/>
          <w:highlight w:val="none"/>
          <w:u w:val="none" w:color="auto"/>
          <w:lang w:eastAsia="zh-CN"/>
        </w:rPr>
        <w:t>招标</w:t>
      </w:r>
      <w:r>
        <w:rPr>
          <w:rFonts w:hint="eastAsia" w:ascii="宋体" w:hAnsi="宋体" w:eastAsia="宋体" w:cs="宋体"/>
          <w:b/>
          <w:bCs/>
          <w:color w:val="auto"/>
          <w:sz w:val="32"/>
          <w:szCs w:val="32"/>
          <w:highlight w:val="none"/>
          <w:u w:val="none" w:color="auto"/>
          <w:lang w:val="en-US" w:eastAsia="zh-CN"/>
        </w:rPr>
        <w:t>关键内容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宋体" w:hAnsi="宋体" w:eastAsia="宋体" w:cs="宋体"/>
          <w:b/>
          <w:bCs/>
          <w:color w:val="auto"/>
          <w:sz w:val="28"/>
          <w:szCs w:val="28"/>
          <w:highlight w:val="none"/>
          <w:u w:val="none"/>
          <w:lang w:val="en-US" w:eastAsia="zh-CN"/>
        </w:rPr>
      </w:pPr>
      <w:r>
        <w:rPr>
          <w:rFonts w:hint="eastAsia" w:ascii="宋体" w:hAnsi="宋体" w:eastAsia="宋体" w:cs="宋体"/>
          <w:b/>
          <w:bCs/>
          <w:color w:val="auto"/>
          <w:kern w:val="2"/>
          <w:sz w:val="28"/>
          <w:szCs w:val="28"/>
          <w:highlight w:val="none"/>
          <w:lang w:val="en-US" w:eastAsia="zh-CN" w:bidi="ar-SA"/>
        </w:rPr>
        <w:t>一、</w:t>
      </w:r>
      <w:r>
        <w:rPr>
          <w:rFonts w:hint="eastAsia" w:ascii="宋体" w:hAnsi="宋体" w:eastAsia="宋体" w:cs="宋体"/>
          <w:b/>
          <w:bCs/>
          <w:color w:val="auto"/>
          <w:sz w:val="28"/>
          <w:szCs w:val="28"/>
          <w:highlight w:val="none"/>
          <w:u w:val="none"/>
          <w:lang w:val="en-US" w:eastAsia="zh-CN"/>
        </w:rPr>
        <w:t>项目概况</w:t>
      </w:r>
    </w:p>
    <w:p>
      <w:pPr>
        <w:keepNext w:val="0"/>
        <w:keepLines w:val="0"/>
        <w:pageBreakBefore w:val="0"/>
        <w:widowControl/>
        <w:kinsoku w:val="0"/>
        <w:wordWrap/>
        <w:overflowPunct/>
        <w:topLinePunct w:val="0"/>
        <w:autoSpaceDE w:val="0"/>
        <w:autoSpaceDN w:val="0"/>
        <w:bidi w:val="0"/>
        <w:adjustRightInd w:val="0"/>
        <w:snapToGrid w:val="0"/>
        <w:ind w:firstLine="480" w:firstLineChars="200"/>
        <w:jc w:val="both"/>
        <w:textAlignment w:val="baseline"/>
        <w:rPr>
          <w:rFonts w:hint="eastAsia" w:ascii="宋体" w:hAnsi="宋体" w:eastAsia="宋体" w:cs="宋体"/>
          <w:b w:val="0"/>
          <w:bCs w:val="0"/>
          <w:color w:val="auto"/>
          <w:sz w:val="24"/>
          <w:szCs w:val="24"/>
          <w:highlight w:val="none"/>
          <w:u w:val="none" w:color="auto"/>
          <w:lang w:val="en-US" w:eastAsia="zh-CN"/>
        </w:rPr>
      </w:pPr>
      <w:r>
        <w:rPr>
          <w:rFonts w:hint="eastAsia" w:ascii="宋体" w:hAnsi="宋体" w:eastAsia="宋体" w:cs="宋体"/>
          <w:b w:val="0"/>
          <w:bCs w:val="0"/>
          <w:color w:val="auto"/>
          <w:sz w:val="24"/>
          <w:szCs w:val="24"/>
          <w:highlight w:val="none"/>
          <w:u w:val="none" w:color="auto"/>
          <w:lang w:val="en-US" w:eastAsia="zh-CN"/>
        </w:rPr>
        <w:t>本项目位于宁夏回族自治区石嘴山市境内，包含对石嘴山分中心管理养护的S302线（3处路段）、S303线（34处路段）等2条省道共37处存在边坡崩塌、坡面泥石流、路肩开裂滑移等主要地质灾害和病害路段进行专项防治。主要工程量为边坡崩塌灾害处治，新建主动防护网28903平方米、笼石挡墙103米，挂网锚喷2460平方米。路基路面病害处置后，上面层重铺AC-13C改性沥青混凝土85平方米、下面层重铺AC-20C改性沥青混凝土85平方米。新建Gr-SB-2E护栏34米、路肩钢管桩57根，设置视频监控设施6套等。具体内容详见工程量清单。</w:t>
      </w:r>
    </w:p>
    <w:p>
      <w:pPr>
        <w:keepNext w:val="0"/>
        <w:keepLines w:val="0"/>
        <w:pageBreakBefore w:val="0"/>
        <w:widowControl/>
        <w:kinsoku w:val="0"/>
        <w:wordWrap/>
        <w:overflowPunct/>
        <w:topLinePunct w:val="0"/>
        <w:autoSpaceDE w:val="0"/>
        <w:autoSpaceDN w:val="0"/>
        <w:bidi w:val="0"/>
        <w:adjustRightInd w:val="0"/>
        <w:snapToGrid w:val="0"/>
        <w:ind w:firstLine="480" w:firstLineChars="200"/>
        <w:jc w:val="both"/>
        <w:textAlignment w:val="baseline"/>
        <w:rPr>
          <w:rFonts w:hint="eastAsia" w:ascii="宋体" w:hAnsi="宋体" w:eastAsia="宋体" w:cs="宋体"/>
          <w:b w:val="0"/>
          <w:bCs w:val="0"/>
          <w:color w:val="auto"/>
          <w:sz w:val="24"/>
          <w:szCs w:val="24"/>
          <w:highlight w:val="none"/>
          <w:u w:val="none" w:color="auto"/>
          <w:lang w:val="en-US" w:eastAsia="zh-CN"/>
        </w:rPr>
      </w:pPr>
      <w:r>
        <w:rPr>
          <w:rFonts w:hint="eastAsia" w:ascii="宋体" w:hAnsi="宋体" w:eastAsia="宋体" w:cs="宋体"/>
          <w:b w:val="0"/>
          <w:bCs w:val="0"/>
          <w:color w:val="auto"/>
          <w:sz w:val="24"/>
          <w:szCs w:val="24"/>
          <w:highlight w:val="none"/>
          <w:u w:val="none" w:color="auto"/>
          <w:lang w:val="en-US" w:eastAsia="zh-CN"/>
        </w:rPr>
        <w:t>标段划分：本项目共划分为一个标段。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宋体" w:hAnsi="宋体" w:eastAsia="宋体" w:cs="宋体"/>
          <w:b/>
          <w:bCs/>
          <w:color w:val="auto"/>
          <w:sz w:val="28"/>
          <w:szCs w:val="28"/>
          <w:highlight w:val="none"/>
          <w:u w:val="none"/>
          <w:lang w:val="en-US" w:eastAsia="zh-CN"/>
        </w:rPr>
      </w:pPr>
      <w:r>
        <w:rPr>
          <w:rFonts w:hint="eastAsia" w:ascii="宋体" w:hAnsi="宋体" w:eastAsia="宋体" w:cs="宋体"/>
          <w:b/>
          <w:bCs/>
          <w:color w:val="auto"/>
          <w:kern w:val="2"/>
          <w:sz w:val="28"/>
          <w:szCs w:val="28"/>
          <w:highlight w:val="none"/>
          <w:lang w:val="en-US" w:eastAsia="zh-CN" w:bidi="ar-SA"/>
        </w:rPr>
        <w:t>二、</w:t>
      </w:r>
      <w:r>
        <w:rPr>
          <w:rFonts w:hint="eastAsia" w:ascii="宋体" w:hAnsi="宋体" w:eastAsia="宋体" w:cs="宋体"/>
          <w:b/>
          <w:bCs/>
          <w:color w:val="auto"/>
          <w:sz w:val="28"/>
          <w:szCs w:val="28"/>
          <w:highlight w:val="none"/>
          <w:u w:val="none"/>
          <w:lang w:val="en-US" w:eastAsia="zh-CN"/>
        </w:rPr>
        <w:t>对投标人的全部资格条件要求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eastAsia="宋体" w:cs="宋体"/>
          <w:b w:val="0"/>
          <w:bCs w:val="0"/>
          <w:color w:val="auto"/>
          <w:sz w:val="28"/>
          <w:szCs w:val="28"/>
          <w:highlight w:val="none"/>
          <w:u w:val="none"/>
          <w:lang w:val="en-US" w:eastAsia="zh-CN"/>
        </w:rPr>
      </w:pPr>
      <w:r>
        <w:rPr>
          <w:rFonts w:hint="eastAsia" w:ascii="宋体" w:hAnsi="宋体" w:eastAsia="宋体" w:cs="宋体"/>
          <w:b w:val="0"/>
          <w:bCs w:val="0"/>
          <w:color w:val="auto"/>
          <w:sz w:val="28"/>
          <w:szCs w:val="28"/>
          <w:highlight w:val="none"/>
          <w:u w:val="none"/>
          <w:lang w:val="en-US" w:eastAsia="zh-CN"/>
        </w:rPr>
        <w:t>详见招标公告。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宋体" w:hAnsi="宋体" w:eastAsia="宋体" w:cs="宋体"/>
          <w:b/>
          <w:bCs/>
          <w:color w:val="auto"/>
          <w:sz w:val="28"/>
          <w:szCs w:val="28"/>
          <w:highlight w:val="none"/>
          <w:u w:val="none"/>
          <w:lang w:val="en-US" w:eastAsia="zh-CN"/>
        </w:rPr>
      </w:pPr>
      <w:r>
        <w:rPr>
          <w:rFonts w:hint="eastAsia" w:ascii="宋体" w:hAnsi="宋体" w:eastAsia="宋体" w:cs="宋体"/>
          <w:b/>
          <w:bCs/>
          <w:color w:val="auto"/>
          <w:sz w:val="28"/>
          <w:szCs w:val="28"/>
          <w:highlight w:val="none"/>
          <w:u w:val="none"/>
          <w:lang w:val="en-US" w:eastAsia="zh-CN"/>
        </w:rPr>
        <w:t>三、资格审查办法</w:t>
      </w:r>
    </w:p>
    <w:p>
      <w:pPr>
        <w:spacing w:before="91" w:line="415" w:lineRule="exact"/>
        <w:ind w:left="1977"/>
        <w:outlineLvl w:val="0"/>
        <w:rPr>
          <w:rFonts w:hint="eastAsia" w:ascii="宋体" w:hAnsi="宋体" w:eastAsia="宋体" w:cs="宋体"/>
          <w:color w:val="auto"/>
          <w:sz w:val="13"/>
          <w:szCs w:val="13"/>
          <w:highlight w:val="none"/>
        </w:rPr>
      </w:pPr>
      <w:bookmarkStart w:id="0" w:name="_Toc23356"/>
      <w:r>
        <w:rPr>
          <w:rFonts w:hint="eastAsia" w:ascii="宋体" w:hAnsi="宋体" w:eastAsia="宋体" w:cs="宋体"/>
          <w:color w:val="auto"/>
          <w:spacing w:val="-3"/>
          <w:position w:val="1"/>
          <w:sz w:val="28"/>
          <w:szCs w:val="28"/>
          <w:highlight w:val="none"/>
        </w:rPr>
        <w:t>附录1资格审查条件（资质最低要求）</w:t>
      </w:r>
      <w:bookmarkEnd w:id="0"/>
    </w:p>
    <w:p>
      <w:pPr>
        <w:spacing w:line="188" w:lineRule="exact"/>
        <w:rPr>
          <w:rFonts w:hint="eastAsia" w:ascii="宋体" w:hAnsi="宋体" w:eastAsia="宋体" w:cs="宋体"/>
          <w:color w:val="auto"/>
          <w:highlight w:val="none"/>
        </w:rPr>
      </w:pPr>
    </w:p>
    <w:tbl>
      <w:tblPr>
        <w:tblStyle w:val="7"/>
        <w:tblW w:w="97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9"/>
        <w:gridCol w:w="853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1189" w:type="dxa"/>
            <w:vAlign w:val="top"/>
          </w:tcPr>
          <w:p>
            <w:pPr>
              <w:keepNext w:val="0"/>
              <w:keepLines w:val="0"/>
              <w:pageBreakBefore w:val="0"/>
              <w:widowControl/>
              <w:kinsoku w:val="0"/>
              <w:wordWrap/>
              <w:overflowPunct/>
              <w:topLinePunct w:val="0"/>
              <w:autoSpaceDE w:val="0"/>
              <w:autoSpaceDN w:val="0"/>
              <w:bidi w:val="0"/>
              <w:adjustRightInd w:val="0"/>
              <w:snapToGrid w:val="0"/>
              <w:spacing w:before="274" w:line="240" w:lineRule="auto"/>
              <w:ind w:left="286"/>
              <w:textAlignment w:val="baseline"/>
              <w:rPr>
                <w:rFonts w:hint="eastAsia" w:ascii="宋体" w:hAnsi="宋体" w:eastAsia="宋体" w:cs="宋体"/>
                <w:color w:val="auto"/>
                <w:sz w:val="23"/>
                <w:szCs w:val="23"/>
                <w:highlight w:val="none"/>
              </w:rPr>
            </w:pPr>
            <w:r>
              <w:rPr>
                <w:rFonts w:hint="eastAsia" w:ascii="宋体" w:hAnsi="宋体" w:eastAsia="宋体" w:cs="宋体"/>
                <w:color w:val="auto"/>
                <w:spacing w:val="6"/>
                <w:sz w:val="23"/>
                <w:szCs w:val="23"/>
                <w:highlight w:val="none"/>
              </w:rPr>
              <w:t>标段号</w:t>
            </w:r>
          </w:p>
        </w:tc>
        <w:tc>
          <w:tcPr>
            <w:tcW w:w="8534" w:type="dxa"/>
            <w:vAlign w:val="top"/>
          </w:tcPr>
          <w:p>
            <w:pPr>
              <w:keepNext w:val="0"/>
              <w:keepLines w:val="0"/>
              <w:pageBreakBefore w:val="0"/>
              <w:widowControl/>
              <w:kinsoku w:val="0"/>
              <w:wordWrap/>
              <w:overflowPunct/>
              <w:topLinePunct w:val="0"/>
              <w:autoSpaceDE w:val="0"/>
              <w:autoSpaceDN w:val="0"/>
              <w:bidi w:val="0"/>
              <w:adjustRightInd w:val="0"/>
              <w:snapToGrid w:val="0"/>
              <w:spacing w:before="273" w:line="240" w:lineRule="auto"/>
              <w:ind w:left="2863"/>
              <w:textAlignment w:val="baseline"/>
              <w:rPr>
                <w:rFonts w:hint="eastAsia" w:ascii="宋体" w:hAnsi="宋体" w:eastAsia="宋体" w:cs="宋体"/>
                <w:color w:val="auto"/>
                <w:sz w:val="23"/>
                <w:szCs w:val="23"/>
                <w:highlight w:val="none"/>
              </w:rPr>
            </w:pPr>
            <w:r>
              <w:rPr>
                <w:rFonts w:hint="eastAsia" w:ascii="宋体" w:hAnsi="宋体" w:eastAsia="宋体" w:cs="宋体"/>
                <w:color w:val="auto"/>
                <w:spacing w:val="9"/>
                <w:sz w:val="23"/>
                <w:szCs w:val="23"/>
                <w:highlight w:val="none"/>
              </w:rPr>
              <w:t>施工企业资质等级要求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9" w:hRule="atLeast"/>
        </w:trPr>
        <w:tc>
          <w:tcPr>
            <w:tcW w:w="118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z w:val="23"/>
                <w:szCs w:val="23"/>
                <w:highlight w:val="none"/>
                <w:lang w:eastAsia="zh-CN"/>
              </w:rPr>
            </w:pPr>
            <w:r>
              <w:rPr>
                <w:rFonts w:hint="eastAsia" w:ascii="宋体" w:hAnsi="宋体" w:eastAsia="宋体" w:cs="宋体"/>
                <w:color w:val="auto"/>
                <w:sz w:val="23"/>
                <w:szCs w:val="23"/>
                <w:highlight w:val="none"/>
                <w:lang w:eastAsia="zh-CN"/>
              </w:rPr>
              <w:t>系统自带标段号</w:t>
            </w:r>
          </w:p>
        </w:tc>
        <w:tc>
          <w:tcPr>
            <w:tcW w:w="8534"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color w:val="auto"/>
                <w:sz w:val="23"/>
                <w:szCs w:val="23"/>
                <w:highlight w:val="none"/>
              </w:rPr>
            </w:pPr>
          </w:p>
          <w:p>
            <w:pPr>
              <w:keepNext w:val="0"/>
              <w:keepLines w:val="0"/>
              <w:pageBreakBefore w:val="0"/>
              <w:widowControl/>
              <w:kinsoku w:val="0"/>
              <w:wordWrap/>
              <w:overflowPunct/>
              <w:topLinePunct w:val="0"/>
              <w:autoSpaceDE w:val="0"/>
              <w:autoSpaceDN w:val="0"/>
              <w:bidi w:val="0"/>
              <w:adjustRightInd w:val="0"/>
              <w:snapToGrid w:val="0"/>
              <w:spacing w:before="132" w:line="240" w:lineRule="auto"/>
              <w:ind w:left="105" w:leftChars="50" w:firstLine="488" w:firstLineChars="200"/>
              <w:jc w:val="left"/>
              <w:textAlignment w:val="baseline"/>
              <w:rPr>
                <w:rFonts w:hint="eastAsia" w:ascii="宋体" w:hAnsi="宋体" w:eastAsia="宋体" w:cs="宋体"/>
                <w:color w:val="auto"/>
                <w:spacing w:val="6"/>
                <w:sz w:val="23"/>
                <w:szCs w:val="23"/>
                <w:highlight w:val="none"/>
              </w:rPr>
            </w:pPr>
            <w:r>
              <w:rPr>
                <w:rFonts w:hint="eastAsia" w:ascii="宋体" w:hAnsi="宋体" w:eastAsia="宋体" w:cs="宋体"/>
                <w:color w:val="auto"/>
                <w:spacing w:val="7"/>
                <w:sz w:val="23"/>
                <w:szCs w:val="23"/>
                <w:highlight w:val="none"/>
                <w:lang w:val="en-US" w:eastAsia="zh-CN"/>
              </w:rPr>
              <w:t>投标人须具备法人或其他组织资格，持有工商行政管理部门核发的有效企业营业执照或事业单位法人证书或社会团体法人登记证书；具备交通运输主管部门颁发的路基路面养护乙级及以上资质或具备二类公路养护工程乙级资质证书且在有效期内；具备建设主管部门颁发的有效安全生产许可证，并在人员、设备、资金等方面具有相应的施工能力。</w:t>
            </w:r>
          </w:p>
          <w:p>
            <w:pPr>
              <w:keepNext w:val="0"/>
              <w:keepLines w:val="0"/>
              <w:pageBreakBefore w:val="0"/>
              <w:widowControl/>
              <w:kinsoku w:val="0"/>
              <w:wordWrap/>
              <w:overflowPunct/>
              <w:topLinePunct w:val="0"/>
              <w:autoSpaceDE w:val="0"/>
              <w:autoSpaceDN w:val="0"/>
              <w:bidi w:val="0"/>
              <w:adjustRightInd w:val="0"/>
              <w:snapToGrid w:val="0"/>
              <w:spacing w:before="131" w:line="240" w:lineRule="auto"/>
              <w:ind w:left="105" w:leftChars="50"/>
              <w:jc w:val="left"/>
              <w:textAlignment w:val="baseline"/>
              <w:rPr>
                <w:rFonts w:hint="eastAsia" w:ascii="宋体" w:hAnsi="宋体" w:eastAsia="宋体" w:cs="宋体"/>
                <w:color w:val="auto"/>
                <w:spacing w:val="9"/>
                <w:sz w:val="23"/>
                <w:szCs w:val="23"/>
                <w:highlight w:val="none"/>
                <w:lang w:eastAsia="zh-CN"/>
              </w:rPr>
            </w:pPr>
            <w:r>
              <w:rPr>
                <w:rFonts w:hint="eastAsia" w:ascii="宋体" w:hAnsi="宋体" w:eastAsia="宋体" w:cs="宋体"/>
                <w:color w:val="auto"/>
                <w:spacing w:val="9"/>
                <w:sz w:val="23"/>
                <w:szCs w:val="23"/>
                <w:highlight w:val="none"/>
                <w:lang w:eastAsia="zh-CN"/>
              </w:rPr>
              <w:t>注：(1)“投标人基本情况表”应附营业执照和组织机构代码证(按照“三证合一”或“五证合一”登记制度进行登记的，可仅提供营业执照，下同)或事业单位法人证书或社会团体法人登记证书、资质证书、安全生产许可证、基本账户开户银行提供的开户或账户信息证明的彩色扫描件。</w:t>
            </w:r>
          </w:p>
          <w:p>
            <w:pPr>
              <w:keepNext w:val="0"/>
              <w:keepLines w:val="0"/>
              <w:pageBreakBefore w:val="0"/>
              <w:widowControl/>
              <w:kinsoku w:val="0"/>
              <w:wordWrap/>
              <w:overflowPunct/>
              <w:topLinePunct w:val="0"/>
              <w:autoSpaceDE w:val="0"/>
              <w:autoSpaceDN w:val="0"/>
              <w:bidi w:val="0"/>
              <w:adjustRightInd w:val="0"/>
              <w:snapToGrid w:val="0"/>
              <w:spacing w:before="131" w:line="240" w:lineRule="auto"/>
              <w:ind w:left="105" w:leftChars="50" w:firstLine="496" w:firstLineChars="200"/>
              <w:jc w:val="left"/>
              <w:textAlignment w:val="baseline"/>
              <w:rPr>
                <w:rFonts w:hint="eastAsia" w:ascii="宋体" w:hAnsi="宋体" w:eastAsia="宋体" w:cs="宋体"/>
                <w:color w:val="auto"/>
                <w:spacing w:val="9"/>
                <w:sz w:val="23"/>
                <w:szCs w:val="23"/>
                <w:highlight w:val="none"/>
                <w:lang w:eastAsia="zh-CN"/>
              </w:rPr>
            </w:pPr>
            <w:r>
              <w:rPr>
                <w:rFonts w:hint="eastAsia" w:ascii="宋体" w:hAnsi="宋体" w:eastAsia="宋体" w:cs="宋体"/>
                <w:color w:val="auto"/>
                <w:spacing w:val="9"/>
                <w:sz w:val="23"/>
                <w:szCs w:val="23"/>
                <w:highlight w:val="none"/>
                <w:lang w:eastAsia="zh-CN"/>
              </w:rPr>
              <w:t>投标人如为应通过名录对其资质条件进行审核的公路施工企业，则应进入交通运输部“全国公路建设市场监督管理系统（https://hwdms.mot.gov.cn）”中的公路工程施工资质企业名录，需附网页截图（本段规定仅适用于根据《关于发布公路工程从业企业资质名录的通知》（厅公路字〔2011〕114号）要求，招标人应通过名录对投标人资质条件进行审核的公路施工企业，具体包括由部审核、审批资质的施工特级、一级及交通工程资质企业，如投标人为以上资质企业，则应满足本要求）。</w:t>
            </w:r>
          </w:p>
          <w:p>
            <w:pPr>
              <w:keepNext w:val="0"/>
              <w:keepLines w:val="0"/>
              <w:pageBreakBefore w:val="0"/>
              <w:widowControl/>
              <w:kinsoku w:val="0"/>
              <w:wordWrap/>
              <w:overflowPunct/>
              <w:topLinePunct w:val="0"/>
              <w:autoSpaceDE w:val="0"/>
              <w:autoSpaceDN w:val="0"/>
              <w:bidi w:val="0"/>
              <w:adjustRightInd w:val="0"/>
              <w:snapToGrid w:val="0"/>
              <w:spacing w:before="131" w:line="240" w:lineRule="auto"/>
              <w:ind w:left="105" w:leftChars="50"/>
              <w:jc w:val="left"/>
              <w:textAlignment w:val="baseline"/>
              <w:rPr>
                <w:rFonts w:hint="eastAsia" w:ascii="宋体" w:hAnsi="宋体" w:eastAsia="宋体" w:cs="宋体"/>
                <w:color w:val="auto"/>
                <w:spacing w:val="9"/>
                <w:sz w:val="23"/>
                <w:szCs w:val="23"/>
                <w:highlight w:val="none"/>
                <w:lang w:eastAsia="zh-CN"/>
              </w:rPr>
            </w:pPr>
            <w:r>
              <w:rPr>
                <w:rFonts w:hint="eastAsia" w:ascii="宋体" w:hAnsi="宋体" w:eastAsia="宋体" w:cs="宋体"/>
                <w:color w:val="auto"/>
                <w:spacing w:val="9"/>
                <w:sz w:val="23"/>
                <w:szCs w:val="23"/>
                <w:highlight w:val="none"/>
                <w:lang w:eastAsia="zh-CN"/>
              </w:rPr>
              <w:t>(2)营业执照和组织机构代码证或事业单位法人证书或社会团体法人登记证书、施工资质证书、安全生产许可证的扫描件应提供全本(证书封面、封底、空白页除外),应包括投标人名称、投标人其他相关信息、颁发机构名称、投标人信息变更情况等关键页在内；</w:t>
            </w:r>
          </w:p>
          <w:p>
            <w:pPr>
              <w:keepNext w:val="0"/>
              <w:keepLines w:val="0"/>
              <w:pageBreakBefore w:val="0"/>
              <w:widowControl/>
              <w:kinsoku w:val="0"/>
              <w:wordWrap/>
              <w:overflowPunct/>
              <w:topLinePunct w:val="0"/>
              <w:autoSpaceDE w:val="0"/>
              <w:autoSpaceDN w:val="0"/>
              <w:bidi w:val="0"/>
              <w:adjustRightInd w:val="0"/>
              <w:snapToGrid w:val="0"/>
              <w:spacing w:before="131" w:line="240" w:lineRule="auto"/>
              <w:ind w:left="105" w:leftChars="50"/>
              <w:jc w:val="left"/>
              <w:textAlignment w:val="baseline"/>
              <w:rPr>
                <w:rFonts w:hint="eastAsia" w:ascii="宋体" w:hAnsi="宋体" w:eastAsia="宋体" w:cs="宋体"/>
                <w:color w:val="auto"/>
                <w:spacing w:val="9"/>
                <w:sz w:val="23"/>
                <w:szCs w:val="23"/>
                <w:highlight w:val="none"/>
                <w:lang w:eastAsia="zh-CN"/>
              </w:rPr>
            </w:pPr>
            <w:r>
              <w:rPr>
                <w:rFonts w:hint="eastAsia" w:ascii="宋体" w:hAnsi="宋体" w:eastAsia="宋体" w:cs="宋体"/>
                <w:color w:val="auto"/>
                <w:spacing w:val="9"/>
                <w:sz w:val="23"/>
                <w:szCs w:val="23"/>
                <w:highlight w:val="none"/>
                <w:lang w:eastAsia="zh-CN"/>
              </w:rPr>
              <w:t>(3)对于法人发生重组或变更的投标人，应在投标文件中提供附有法人重组或变更时相关部门的合法批件、变更时的企业法人营业执照和资质证书的变更记录彩色扫描件；</w:t>
            </w:r>
          </w:p>
          <w:p>
            <w:pPr>
              <w:keepNext w:val="0"/>
              <w:keepLines w:val="0"/>
              <w:pageBreakBefore w:val="0"/>
              <w:widowControl/>
              <w:kinsoku w:val="0"/>
              <w:wordWrap/>
              <w:overflowPunct/>
              <w:topLinePunct w:val="0"/>
              <w:autoSpaceDE w:val="0"/>
              <w:autoSpaceDN w:val="0"/>
              <w:bidi w:val="0"/>
              <w:adjustRightInd w:val="0"/>
              <w:snapToGrid w:val="0"/>
              <w:spacing w:before="131" w:line="240" w:lineRule="auto"/>
              <w:ind w:left="105" w:leftChars="50"/>
              <w:jc w:val="left"/>
              <w:textAlignment w:val="baseline"/>
              <w:rPr>
                <w:rFonts w:hint="eastAsia" w:ascii="宋体" w:hAnsi="宋体" w:eastAsia="宋体" w:cs="宋体"/>
                <w:color w:val="auto"/>
                <w:spacing w:val="9"/>
                <w:sz w:val="23"/>
                <w:szCs w:val="23"/>
                <w:highlight w:val="none"/>
                <w:lang w:eastAsia="zh-CN"/>
              </w:rPr>
            </w:pPr>
            <w:r>
              <w:rPr>
                <w:rFonts w:hint="eastAsia" w:ascii="宋体" w:hAnsi="宋体" w:eastAsia="宋体" w:cs="宋体"/>
                <w:color w:val="auto"/>
                <w:spacing w:val="9"/>
                <w:sz w:val="23"/>
                <w:szCs w:val="23"/>
                <w:highlight w:val="none"/>
                <w:lang w:eastAsia="zh-CN"/>
              </w:rPr>
              <w:t>(4)根据《交通运输部关于取消一批证明事项的决定》(交法规[2020]1号)文件规定，投标人无须提供在国家企业信用信息公示系统中基础信息(体现股东及出资详细信息)的网页截图或由法定的社会验资机构出具的验资报告或注册地工商部门出具的股东出资情况证明复印件；</w:t>
            </w:r>
          </w:p>
          <w:p>
            <w:pPr>
              <w:keepNext w:val="0"/>
              <w:keepLines w:val="0"/>
              <w:pageBreakBefore w:val="0"/>
              <w:widowControl/>
              <w:kinsoku w:val="0"/>
              <w:wordWrap/>
              <w:overflowPunct/>
              <w:topLinePunct w:val="0"/>
              <w:autoSpaceDE w:val="0"/>
              <w:autoSpaceDN w:val="0"/>
              <w:bidi w:val="0"/>
              <w:adjustRightInd w:val="0"/>
              <w:snapToGrid w:val="0"/>
              <w:spacing w:before="131" w:line="240" w:lineRule="auto"/>
              <w:ind w:left="105" w:leftChars="50"/>
              <w:jc w:val="left"/>
              <w:textAlignment w:val="baseline"/>
              <w:rPr>
                <w:rFonts w:hint="eastAsia" w:ascii="宋体" w:hAnsi="宋体" w:eastAsia="宋体" w:cs="宋体"/>
                <w:color w:val="auto"/>
                <w:spacing w:val="6"/>
                <w:sz w:val="23"/>
                <w:szCs w:val="23"/>
                <w:highlight w:val="none"/>
              </w:rPr>
            </w:pPr>
            <w:r>
              <w:rPr>
                <w:rFonts w:hint="eastAsia" w:ascii="宋体" w:hAnsi="宋体" w:eastAsia="宋体" w:cs="宋体"/>
                <w:color w:val="auto"/>
                <w:spacing w:val="9"/>
                <w:sz w:val="23"/>
                <w:szCs w:val="23"/>
                <w:highlight w:val="none"/>
                <w:lang w:eastAsia="zh-CN"/>
              </w:rPr>
              <w:t>(5)招标文件中其他地方与此处不一致时，以此处为准。</w:t>
            </w:r>
          </w:p>
        </w:tc>
      </w:tr>
    </w:tbl>
    <w:p>
      <w:pPr>
        <w:spacing w:before="91" w:line="414" w:lineRule="exact"/>
        <w:jc w:val="center"/>
        <w:outlineLvl w:val="0"/>
        <w:rPr>
          <w:rFonts w:hint="eastAsia" w:ascii="宋体" w:hAnsi="宋体" w:eastAsia="宋体" w:cs="宋体"/>
          <w:color w:val="auto"/>
          <w:sz w:val="13"/>
          <w:szCs w:val="13"/>
          <w:highlight w:val="none"/>
        </w:rPr>
      </w:pPr>
      <w:bookmarkStart w:id="1" w:name="_Toc5750"/>
      <w:r>
        <w:rPr>
          <w:rFonts w:hint="eastAsia" w:ascii="宋体" w:hAnsi="宋体" w:eastAsia="宋体" w:cs="宋体"/>
          <w:color w:val="auto"/>
          <w:spacing w:val="-2"/>
          <w:position w:val="1"/>
          <w:sz w:val="28"/>
          <w:szCs w:val="28"/>
          <w:highlight w:val="none"/>
        </w:rPr>
        <w:t>附录2资格审查条件（财务最低要求）</w:t>
      </w:r>
      <w:bookmarkEnd w:id="1"/>
    </w:p>
    <w:p>
      <w:pPr>
        <w:spacing w:line="189" w:lineRule="exact"/>
        <w:rPr>
          <w:rFonts w:hint="eastAsia" w:ascii="宋体" w:hAnsi="宋体" w:eastAsia="宋体" w:cs="宋体"/>
          <w:color w:val="auto"/>
          <w:highlight w:val="none"/>
        </w:rPr>
      </w:pPr>
    </w:p>
    <w:tbl>
      <w:tblPr>
        <w:tblStyle w:val="7"/>
        <w:tblW w:w="97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91"/>
        <w:gridCol w:w="863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6" w:hRule="atLeast"/>
        </w:trPr>
        <w:tc>
          <w:tcPr>
            <w:tcW w:w="1091" w:type="dxa"/>
            <w:vAlign w:val="top"/>
          </w:tcPr>
          <w:p>
            <w:pPr>
              <w:keepNext w:val="0"/>
              <w:keepLines w:val="0"/>
              <w:pageBreakBefore w:val="0"/>
              <w:widowControl/>
              <w:kinsoku w:val="0"/>
              <w:wordWrap/>
              <w:overflowPunct/>
              <w:topLinePunct w:val="0"/>
              <w:autoSpaceDE w:val="0"/>
              <w:autoSpaceDN w:val="0"/>
              <w:bidi w:val="0"/>
              <w:adjustRightInd w:val="0"/>
              <w:snapToGrid w:val="0"/>
              <w:spacing w:before="274" w:line="240" w:lineRule="auto"/>
              <w:ind w:left="236"/>
              <w:textAlignment w:val="baseline"/>
              <w:rPr>
                <w:rFonts w:hint="eastAsia" w:ascii="宋体" w:hAnsi="宋体" w:eastAsia="宋体" w:cs="宋体"/>
                <w:color w:val="auto"/>
                <w:sz w:val="23"/>
                <w:szCs w:val="23"/>
                <w:highlight w:val="none"/>
              </w:rPr>
            </w:pPr>
            <w:r>
              <w:rPr>
                <w:rFonts w:hint="eastAsia" w:ascii="宋体" w:hAnsi="宋体" w:eastAsia="宋体" w:cs="宋体"/>
                <w:color w:val="auto"/>
                <w:spacing w:val="6"/>
                <w:sz w:val="23"/>
                <w:szCs w:val="23"/>
                <w:highlight w:val="none"/>
              </w:rPr>
              <w:t>标段号</w:t>
            </w:r>
          </w:p>
        </w:tc>
        <w:tc>
          <w:tcPr>
            <w:tcW w:w="8632" w:type="dxa"/>
            <w:vAlign w:val="top"/>
          </w:tcPr>
          <w:p>
            <w:pPr>
              <w:keepNext w:val="0"/>
              <w:keepLines w:val="0"/>
              <w:pageBreakBefore w:val="0"/>
              <w:widowControl/>
              <w:kinsoku w:val="0"/>
              <w:wordWrap/>
              <w:overflowPunct/>
              <w:topLinePunct w:val="0"/>
              <w:autoSpaceDE w:val="0"/>
              <w:autoSpaceDN w:val="0"/>
              <w:bidi w:val="0"/>
              <w:adjustRightInd w:val="0"/>
              <w:snapToGrid w:val="0"/>
              <w:spacing w:before="273" w:line="240" w:lineRule="auto"/>
              <w:ind w:left="3542"/>
              <w:textAlignment w:val="baseline"/>
              <w:rPr>
                <w:rFonts w:hint="eastAsia" w:ascii="宋体" w:hAnsi="宋体" w:eastAsia="宋体" w:cs="宋体"/>
                <w:color w:val="auto"/>
                <w:sz w:val="23"/>
                <w:szCs w:val="23"/>
                <w:highlight w:val="none"/>
              </w:rPr>
            </w:pPr>
            <w:r>
              <w:rPr>
                <w:rFonts w:hint="eastAsia" w:ascii="宋体" w:hAnsi="宋体" w:eastAsia="宋体" w:cs="宋体"/>
                <w:color w:val="auto"/>
                <w:spacing w:val="7"/>
                <w:sz w:val="23"/>
                <w:szCs w:val="23"/>
                <w:highlight w:val="none"/>
              </w:rPr>
              <w:t>财务要求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0" w:hRule="atLeast"/>
        </w:trPr>
        <w:tc>
          <w:tcPr>
            <w:tcW w:w="1091"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z w:val="23"/>
                <w:szCs w:val="23"/>
                <w:highlight w:val="none"/>
              </w:rPr>
            </w:pPr>
            <w:r>
              <w:rPr>
                <w:rFonts w:hint="eastAsia" w:ascii="宋体" w:hAnsi="宋体" w:eastAsia="宋体" w:cs="宋体"/>
                <w:color w:val="auto"/>
                <w:sz w:val="23"/>
                <w:szCs w:val="23"/>
                <w:highlight w:val="none"/>
                <w:lang w:eastAsia="zh-CN"/>
              </w:rPr>
              <w:t>系统自带标段号</w:t>
            </w:r>
          </w:p>
        </w:tc>
        <w:tc>
          <w:tcPr>
            <w:tcW w:w="8632" w:type="dxa"/>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firstLine="244" w:firstLineChars="100"/>
              <w:jc w:val="both"/>
              <w:textAlignment w:val="baseline"/>
              <w:rPr>
                <w:rFonts w:hint="eastAsia" w:ascii="宋体" w:hAnsi="宋体" w:eastAsia="宋体" w:cs="宋体"/>
                <w:color w:val="auto"/>
                <w:spacing w:val="7"/>
                <w:sz w:val="23"/>
                <w:szCs w:val="23"/>
                <w:highlight w:val="none"/>
              </w:rPr>
            </w:pPr>
            <w:r>
              <w:rPr>
                <w:rFonts w:hint="eastAsia" w:ascii="宋体" w:hAnsi="宋体" w:eastAsia="宋体" w:cs="宋体"/>
                <w:color w:val="auto"/>
                <w:spacing w:val="7"/>
                <w:sz w:val="23"/>
                <w:szCs w:val="23"/>
                <w:highlight w:val="none"/>
              </w:rPr>
              <w:t>投标人需满足以下要求：</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105" w:leftChars="50" w:firstLine="488" w:firstLineChars="200"/>
              <w:jc w:val="both"/>
              <w:textAlignment w:val="baseline"/>
              <w:rPr>
                <w:rFonts w:hint="eastAsia" w:ascii="宋体" w:hAnsi="宋体" w:eastAsia="宋体" w:cs="宋体"/>
                <w:color w:val="auto"/>
                <w:spacing w:val="7"/>
                <w:sz w:val="23"/>
                <w:szCs w:val="23"/>
                <w:highlight w:val="none"/>
              </w:rPr>
            </w:pPr>
            <w:r>
              <w:rPr>
                <w:rFonts w:hint="eastAsia" w:ascii="宋体" w:hAnsi="宋体" w:eastAsia="宋体" w:cs="宋体"/>
                <w:color w:val="auto"/>
                <w:spacing w:val="7"/>
                <w:sz w:val="23"/>
                <w:szCs w:val="23"/>
                <w:highlight w:val="none"/>
              </w:rPr>
              <w:t>投标人在近3年</w:t>
            </w:r>
            <w:r>
              <w:rPr>
                <w:rFonts w:hint="eastAsia" w:ascii="宋体" w:hAnsi="宋体" w:eastAsia="宋体" w:cs="宋体"/>
                <w:color w:val="auto"/>
                <w:spacing w:val="7"/>
                <w:sz w:val="23"/>
                <w:szCs w:val="23"/>
                <w:highlight w:val="none"/>
                <w:lang w:eastAsia="zh-CN"/>
              </w:rPr>
              <w:t>（</w:t>
            </w:r>
            <w:r>
              <w:rPr>
                <w:rFonts w:hint="eastAsia" w:ascii="宋体" w:hAnsi="宋体" w:eastAsia="宋体" w:cs="宋体"/>
                <w:color w:val="auto"/>
                <w:spacing w:val="7"/>
                <w:sz w:val="23"/>
                <w:szCs w:val="23"/>
                <w:highlight w:val="none"/>
                <w:lang w:val="en-US" w:eastAsia="zh-CN"/>
              </w:rPr>
              <w:t>2021年至2023年</w:t>
            </w:r>
            <w:r>
              <w:rPr>
                <w:rFonts w:hint="eastAsia" w:ascii="宋体" w:hAnsi="宋体" w:eastAsia="宋体" w:cs="宋体"/>
                <w:color w:val="auto"/>
                <w:spacing w:val="7"/>
                <w:sz w:val="23"/>
                <w:szCs w:val="23"/>
                <w:highlight w:val="none"/>
                <w:lang w:eastAsia="zh-CN"/>
              </w:rPr>
              <w:t>）</w:t>
            </w:r>
            <w:r>
              <w:rPr>
                <w:rFonts w:hint="eastAsia" w:ascii="宋体" w:hAnsi="宋体" w:eastAsia="宋体" w:cs="宋体"/>
                <w:color w:val="auto"/>
                <w:spacing w:val="7"/>
                <w:sz w:val="23"/>
                <w:szCs w:val="23"/>
                <w:highlight w:val="none"/>
              </w:rPr>
              <w:t>每一年度末</w:t>
            </w:r>
            <w:r>
              <w:rPr>
                <w:rFonts w:hint="eastAsia" w:ascii="宋体" w:hAnsi="宋体" w:eastAsia="宋体" w:cs="宋体"/>
                <w:color w:val="auto"/>
                <w:spacing w:val="7"/>
                <w:sz w:val="23"/>
                <w:szCs w:val="23"/>
                <w:highlight w:val="none"/>
                <w:lang w:eastAsia="zh-CN"/>
              </w:rPr>
              <w:t>的</w:t>
            </w:r>
            <w:r>
              <w:rPr>
                <w:rFonts w:hint="eastAsia" w:ascii="宋体" w:hAnsi="宋体" w:eastAsia="宋体" w:cs="宋体"/>
                <w:color w:val="auto"/>
                <w:spacing w:val="7"/>
                <w:sz w:val="23"/>
                <w:szCs w:val="23"/>
                <w:highlight w:val="none"/>
              </w:rPr>
              <w:t>流动资产与流动负债比均不小于1。</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105" w:leftChars="50"/>
              <w:jc w:val="both"/>
              <w:textAlignment w:val="baseline"/>
              <w:rPr>
                <w:rFonts w:hint="eastAsia" w:ascii="宋体" w:hAnsi="宋体" w:eastAsia="宋体" w:cs="宋体"/>
                <w:color w:val="auto"/>
                <w:spacing w:val="7"/>
                <w:sz w:val="23"/>
                <w:szCs w:val="23"/>
                <w:highlight w:val="none"/>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105" w:leftChars="50"/>
              <w:jc w:val="both"/>
              <w:textAlignment w:val="baseline"/>
              <w:rPr>
                <w:rFonts w:hint="eastAsia" w:ascii="宋体" w:hAnsi="宋体" w:eastAsia="宋体" w:cs="宋体"/>
                <w:color w:val="auto"/>
                <w:spacing w:val="7"/>
                <w:sz w:val="23"/>
                <w:szCs w:val="23"/>
                <w:highlight w:val="none"/>
              </w:rPr>
            </w:pPr>
            <w:r>
              <w:rPr>
                <w:rFonts w:hint="eastAsia" w:ascii="宋体" w:hAnsi="宋体" w:eastAsia="宋体" w:cs="宋体"/>
                <w:color w:val="auto"/>
                <w:spacing w:val="7"/>
                <w:sz w:val="23"/>
                <w:szCs w:val="23"/>
                <w:highlight w:val="none"/>
              </w:rPr>
              <w:t>注：</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105" w:leftChars="50" w:firstLine="230" w:firstLineChars="100"/>
              <w:jc w:val="both"/>
              <w:textAlignment w:val="baseline"/>
              <w:rPr>
                <w:rFonts w:hint="eastAsia" w:ascii="宋体" w:hAnsi="宋体" w:eastAsia="宋体" w:cs="宋体"/>
                <w:color w:val="auto"/>
                <w:sz w:val="23"/>
                <w:szCs w:val="23"/>
                <w:highlight w:val="none"/>
              </w:rPr>
            </w:pPr>
            <w:r>
              <w:rPr>
                <w:rFonts w:hint="eastAsia" w:ascii="宋体" w:hAnsi="宋体" w:eastAsia="宋体" w:cs="宋体"/>
                <w:color w:val="auto"/>
                <w:sz w:val="23"/>
                <w:szCs w:val="23"/>
                <w:highlight w:val="none"/>
              </w:rPr>
              <w:t>（1）投标人应在投标文件中附近3年经会计师事务所或审计机构审计的财务会计报表，包括资产负债表、现金流量表、利润表和财务情况说明书的扫描件。</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105" w:leftChars="50" w:firstLine="230" w:firstLineChars="100"/>
              <w:jc w:val="both"/>
              <w:textAlignment w:val="baseline"/>
              <w:rPr>
                <w:rFonts w:hint="eastAsia" w:ascii="宋体" w:hAnsi="宋体" w:eastAsia="宋体" w:cs="宋体"/>
                <w:color w:val="auto"/>
                <w:sz w:val="23"/>
                <w:szCs w:val="23"/>
                <w:highlight w:val="none"/>
              </w:rPr>
            </w:pPr>
            <w:r>
              <w:rPr>
                <w:rFonts w:hint="eastAsia" w:ascii="宋体" w:hAnsi="宋体" w:eastAsia="宋体" w:cs="宋体"/>
                <w:color w:val="auto"/>
                <w:sz w:val="23"/>
                <w:szCs w:val="23"/>
                <w:highlight w:val="none"/>
              </w:rPr>
              <w:t>（2）投标人的成立时间少于规定年份的可以对本项目投标，应提供成立以来的财务状况表，且投标人所提供的财务报表均需满足以上要求。</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105" w:leftChars="50" w:firstLine="230" w:firstLineChars="100"/>
              <w:jc w:val="both"/>
              <w:textAlignment w:val="baseline"/>
              <w:rPr>
                <w:rFonts w:hint="eastAsia" w:ascii="宋体" w:hAnsi="宋体" w:eastAsia="宋体" w:cs="宋体"/>
                <w:color w:val="auto"/>
                <w:sz w:val="23"/>
                <w:szCs w:val="23"/>
                <w:highlight w:val="none"/>
              </w:rPr>
            </w:pPr>
            <w:r>
              <w:rPr>
                <w:rFonts w:hint="eastAsia" w:ascii="宋体" w:hAnsi="宋体" w:eastAsia="宋体" w:cs="宋体"/>
                <w:color w:val="auto"/>
                <w:sz w:val="23"/>
                <w:szCs w:val="23"/>
                <w:highlight w:val="none"/>
              </w:rPr>
              <w:t>（3）投标人如为集团公司，财务会计报表指合并财务会计报表。</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105" w:leftChars="50" w:firstLine="230" w:firstLineChars="100"/>
              <w:jc w:val="both"/>
              <w:textAlignment w:val="baseline"/>
              <w:rPr>
                <w:rFonts w:hint="eastAsia" w:ascii="宋体" w:hAnsi="宋体" w:eastAsia="宋体" w:cs="宋体"/>
                <w:color w:val="auto"/>
                <w:spacing w:val="7"/>
                <w:sz w:val="23"/>
                <w:szCs w:val="23"/>
                <w:highlight w:val="none"/>
              </w:rPr>
            </w:pPr>
            <w:r>
              <w:rPr>
                <w:rFonts w:hint="eastAsia" w:ascii="宋体" w:hAnsi="宋体" w:eastAsia="宋体" w:cs="宋体"/>
                <w:color w:val="auto"/>
                <w:sz w:val="23"/>
                <w:szCs w:val="23"/>
                <w:highlight w:val="none"/>
              </w:rPr>
              <w:t>（4）招标文件中其他地方与此处不一致时，以此处为准。</w:t>
            </w:r>
          </w:p>
        </w:tc>
      </w:tr>
    </w:tbl>
    <w:p>
      <w:pPr>
        <w:pStyle w:val="2"/>
        <w:spacing w:line="244" w:lineRule="auto"/>
        <w:rPr>
          <w:rFonts w:hint="eastAsia" w:ascii="宋体" w:hAnsi="宋体" w:eastAsia="宋体" w:cs="宋体"/>
          <w:color w:val="auto"/>
          <w:highlight w:val="none"/>
        </w:rPr>
      </w:pPr>
    </w:p>
    <w:p>
      <w:pPr>
        <w:pStyle w:val="2"/>
        <w:spacing w:line="244" w:lineRule="auto"/>
        <w:rPr>
          <w:rFonts w:hint="eastAsia" w:ascii="宋体" w:hAnsi="宋体" w:eastAsia="宋体" w:cs="宋体"/>
          <w:color w:val="auto"/>
          <w:highlight w:val="none"/>
        </w:rPr>
      </w:pPr>
    </w:p>
    <w:p>
      <w:pPr>
        <w:pStyle w:val="2"/>
        <w:spacing w:line="244" w:lineRule="auto"/>
        <w:rPr>
          <w:rFonts w:hint="eastAsia" w:ascii="宋体" w:hAnsi="宋体" w:eastAsia="宋体" w:cs="宋体"/>
          <w:color w:val="auto"/>
          <w:highlight w:val="none"/>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105" w:leftChars="50" w:firstLine="230" w:firstLineChars="100"/>
        <w:jc w:val="both"/>
        <w:textAlignment w:val="baseline"/>
        <w:rPr>
          <w:rFonts w:hint="eastAsia" w:ascii="宋体" w:hAnsi="宋体" w:eastAsia="宋体" w:cs="宋体"/>
          <w:color w:val="auto"/>
          <w:sz w:val="23"/>
          <w:szCs w:val="23"/>
          <w:highlight w:val="none"/>
        </w:rPr>
      </w:pPr>
      <w:r>
        <w:rPr>
          <w:rFonts w:hint="eastAsia" w:ascii="宋体" w:hAnsi="宋体" w:eastAsia="宋体" w:cs="宋体"/>
          <w:color w:val="auto"/>
          <w:sz w:val="23"/>
          <w:szCs w:val="23"/>
          <w:highlight w:val="none"/>
        </w:rPr>
        <w:t>注：①投标截止时间在5月1日之前的，近3年指递交截止时间推算前4年，上一年指递交截止时间推算前2年；投标截止时间在5月1日之后的，近3年指递交截止时间推算前3年，上一年指递交截止时间推算前1年。</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105" w:leftChars="50" w:firstLine="230" w:firstLineChars="100"/>
        <w:jc w:val="both"/>
        <w:textAlignment w:val="baseline"/>
        <w:rPr>
          <w:rFonts w:hint="eastAsia" w:ascii="宋体" w:hAnsi="宋体" w:eastAsia="宋体" w:cs="宋体"/>
          <w:color w:val="auto"/>
          <w:sz w:val="23"/>
          <w:szCs w:val="23"/>
          <w:highlight w:val="none"/>
        </w:rPr>
      </w:pPr>
      <w:r>
        <w:rPr>
          <w:rFonts w:hint="eastAsia" w:ascii="宋体" w:hAnsi="宋体" w:eastAsia="宋体" w:cs="宋体"/>
          <w:color w:val="auto"/>
          <w:sz w:val="23"/>
          <w:szCs w:val="23"/>
          <w:highlight w:val="none"/>
        </w:rPr>
        <w:t>②新成立的单位，提供成立以来至递交截止时间年度的财务情况证明材料。</w:t>
      </w:r>
    </w:p>
    <w:p>
      <w:pPr>
        <w:pStyle w:val="2"/>
        <w:spacing w:line="244" w:lineRule="auto"/>
        <w:rPr>
          <w:rFonts w:hint="eastAsia" w:ascii="宋体" w:hAnsi="宋体" w:eastAsia="宋体" w:cs="宋体"/>
          <w:color w:val="auto"/>
          <w:highlight w:val="none"/>
        </w:rPr>
      </w:pPr>
    </w:p>
    <w:p>
      <w:pPr>
        <w:pStyle w:val="2"/>
        <w:spacing w:line="244" w:lineRule="auto"/>
        <w:rPr>
          <w:rFonts w:hint="eastAsia" w:ascii="宋体" w:hAnsi="宋体" w:eastAsia="宋体" w:cs="宋体"/>
          <w:color w:val="auto"/>
          <w:highlight w:val="none"/>
        </w:rPr>
      </w:pPr>
    </w:p>
    <w:p>
      <w:pPr>
        <w:pStyle w:val="2"/>
        <w:spacing w:line="244" w:lineRule="auto"/>
        <w:rPr>
          <w:rFonts w:hint="eastAsia" w:ascii="宋体" w:hAnsi="宋体" w:eastAsia="宋体" w:cs="宋体"/>
          <w:color w:val="auto"/>
          <w:highlight w:val="none"/>
        </w:rPr>
      </w:pPr>
    </w:p>
    <w:p>
      <w:pPr>
        <w:pStyle w:val="2"/>
        <w:spacing w:line="244" w:lineRule="auto"/>
        <w:rPr>
          <w:rFonts w:hint="eastAsia" w:ascii="宋体" w:hAnsi="宋体" w:eastAsia="宋体" w:cs="宋体"/>
          <w:color w:val="auto"/>
          <w:highlight w:val="none"/>
        </w:rPr>
      </w:pPr>
    </w:p>
    <w:p>
      <w:pPr>
        <w:pStyle w:val="2"/>
        <w:spacing w:line="244" w:lineRule="auto"/>
        <w:rPr>
          <w:rFonts w:hint="eastAsia" w:ascii="宋体" w:hAnsi="宋体" w:eastAsia="宋体" w:cs="宋体"/>
          <w:color w:val="auto"/>
          <w:highlight w:val="none"/>
        </w:rPr>
      </w:pPr>
    </w:p>
    <w:p>
      <w:pPr>
        <w:pStyle w:val="2"/>
        <w:spacing w:line="244" w:lineRule="auto"/>
        <w:rPr>
          <w:rFonts w:hint="eastAsia" w:ascii="宋体" w:hAnsi="宋体" w:eastAsia="宋体" w:cs="宋体"/>
          <w:color w:val="auto"/>
          <w:highlight w:val="none"/>
        </w:rPr>
      </w:pPr>
    </w:p>
    <w:p>
      <w:pPr>
        <w:pStyle w:val="2"/>
        <w:spacing w:line="244" w:lineRule="auto"/>
        <w:rPr>
          <w:rFonts w:hint="eastAsia" w:ascii="宋体" w:hAnsi="宋体" w:eastAsia="宋体" w:cs="宋体"/>
          <w:color w:val="auto"/>
          <w:highlight w:val="none"/>
        </w:rPr>
      </w:pPr>
    </w:p>
    <w:p>
      <w:pPr>
        <w:pStyle w:val="2"/>
        <w:spacing w:line="244" w:lineRule="auto"/>
        <w:rPr>
          <w:rFonts w:hint="eastAsia" w:ascii="宋体" w:hAnsi="宋体" w:eastAsia="宋体" w:cs="宋体"/>
          <w:color w:val="auto"/>
          <w:highlight w:val="none"/>
        </w:rPr>
      </w:pPr>
    </w:p>
    <w:p>
      <w:pPr>
        <w:pStyle w:val="2"/>
        <w:spacing w:line="244" w:lineRule="auto"/>
        <w:rPr>
          <w:rFonts w:hint="eastAsia" w:ascii="宋体" w:hAnsi="宋体" w:eastAsia="宋体" w:cs="宋体"/>
          <w:color w:val="auto"/>
          <w:highlight w:val="none"/>
        </w:rPr>
      </w:pPr>
    </w:p>
    <w:p>
      <w:pPr>
        <w:pStyle w:val="2"/>
        <w:spacing w:line="244" w:lineRule="auto"/>
        <w:rPr>
          <w:rFonts w:hint="eastAsia" w:ascii="宋体" w:hAnsi="宋体" w:eastAsia="宋体" w:cs="宋体"/>
          <w:color w:val="auto"/>
          <w:highlight w:val="none"/>
        </w:rPr>
      </w:pPr>
    </w:p>
    <w:p>
      <w:pPr>
        <w:pStyle w:val="2"/>
        <w:spacing w:line="244" w:lineRule="auto"/>
        <w:rPr>
          <w:rFonts w:hint="eastAsia" w:ascii="宋体" w:hAnsi="宋体" w:eastAsia="宋体" w:cs="宋体"/>
          <w:color w:val="auto"/>
          <w:highlight w:val="none"/>
        </w:rPr>
      </w:pPr>
    </w:p>
    <w:p>
      <w:pPr>
        <w:pStyle w:val="2"/>
        <w:spacing w:line="244" w:lineRule="auto"/>
        <w:rPr>
          <w:rFonts w:hint="eastAsia" w:ascii="宋体" w:hAnsi="宋体" w:eastAsia="宋体" w:cs="宋体"/>
          <w:color w:val="auto"/>
          <w:highlight w:val="none"/>
        </w:rPr>
      </w:pPr>
    </w:p>
    <w:p>
      <w:pPr>
        <w:pStyle w:val="2"/>
        <w:spacing w:line="245" w:lineRule="auto"/>
        <w:rPr>
          <w:rFonts w:hint="eastAsia" w:ascii="宋体" w:hAnsi="宋体" w:eastAsia="宋体" w:cs="宋体"/>
          <w:color w:val="auto"/>
          <w:highlight w:val="none"/>
        </w:rPr>
      </w:pPr>
    </w:p>
    <w:p>
      <w:pPr>
        <w:pStyle w:val="2"/>
        <w:spacing w:line="245" w:lineRule="auto"/>
        <w:rPr>
          <w:rFonts w:hint="eastAsia" w:ascii="宋体" w:hAnsi="宋体" w:eastAsia="宋体" w:cs="宋体"/>
          <w:color w:val="auto"/>
          <w:highlight w:val="none"/>
        </w:rPr>
      </w:pPr>
    </w:p>
    <w:p>
      <w:pPr>
        <w:spacing w:before="91" w:line="414" w:lineRule="exact"/>
        <w:ind w:left="1975"/>
        <w:rPr>
          <w:rFonts w:hint="eastAsia" w:ascii="宋体" w:hAnsi="宋体" w:eastAsia="宋体" w:cs="宋体"/>
          <w:color w:val="auto"/>
          <w:sz w:val="13"/>
          <w:szCs w:val="13"/>
          <w:highlight w:val="none"/>
        </w:rPr>
      </w:pPr>
      <w:bookmarkStart w:id="2" w:name="bookmark53"/>
      <w:bookmarkEnd w:id="2"/>
      <w:r>
        <w:rPr>
          <w:rFonts w:hint="eastAsia" w:ascii="宋体" w:hAnsi="宋体" w:eastAsia="宋体" w:cs="宋体"/>
          <w:color w:val="auto"/>
          <w:spacing w:val="-2"/>
          <w:position w:val="1"/>
          <w:sz w:val="28"/>
          <w:szCs w:val="28"/>
          <w:highlight w:val="none"/>
        </w:rPr>
        <w:t>附录3资格审查条件（业绩最低要求）</w:t>
      </w:r>
    </w:p>
    <w:p>
      <w:pPr>
        <w:spacing w:line="188" w:lineRule="exact"/>
        <w:rPr>
          <w:rFonts w:hint="eastAsia" w:ascii="宋体" w:hAnsi="宋体" w:eastAsia="宋体" w:cs="宋体"/>
          <w:color w:val="auto"/>
          <w:highlight w:val="none"/>
        </w:rPr>
      </w:pPr>
    </w:p>
    <w:tbl>
      <w:tblPr>
        <w:tblStyle w:val="7"/>
        <w:tblW w:w="970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2"/>
        <w:gridCol w:w="872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trPr>
        <w:tc>
          <w:tcPr>
            <w:tcW w:w="972" w:type="dxa"/>
            <w:vAlign w:val="center"/>
          </w:tcPr>
          <w:p>
            <w:pPr>
              <w:keepNext w:val="0"/>
              <w:keepLines w:val="0"/>
              <w:pageBreakBefore w:val="0"/>
              <w:widowControl/>
              <w:kinsoku w:val="0"/>
              <w:wordWrap/>
              <w:overflowPunct/>
              <w:topLinePunct w:val="0"/>
              <w:autoSpaceDE w:val="0"/>
              <w:autoSpaceDN w:val="0"/>
              <w:bidi w:val="0"/>
              <w:adjustRightInd w:val="0"/>
              <w:snapToGrid w:val="0"/>
              <w:spacing w:before="100" w:line="240" w:lineRule="auto"/>
              <w:jc w:val="center"/>
              <w:textAlignment w:val="baseline"/>
              <w:rPr>
                <w:rFonts w:hint="eastAsia" w:ascii="宋体" w:hAnsi="宋体" w:eastAsia="宋体" w:cs="宋体"/>
                <w:color w:val="auto"/>
                <w:sz w:val="23"/>
                <w:szCs w:val="23"/>
                <w:highlight w:val="none"/>
              </w:rPr>
            </w:pPr>
            <w:r>
              <w:rPr>
                <w:rFonts w:hint="eastAsia" w:ascii="宋体" w:hAnsi="宋体" w:eastAsia="宋体" w:cs="宋体"/>
                <w:color w:val="auto"/>
                <w:spacing w:val="6"/>
                <w:sz w:val="23"/>
                <w:szCs w:val="23"/>
                <w:highlight w:val="none"/>
              </w:rPr>
              <w:t>标段号</w:t>
            </w:r>
          </w:p>
        </w:tc>
        <w:tc>
          <w:tcPr>
            <w:tcW w:w="8728" w:type="dxa"/>
            <w:vAlign w:val="center"/>
          </w:tcPr>
          <w:p>
            <w:pPr>
              <w:keepNext w:val="0"/>
              <w:keepLines w:val="0"/>
              <w:pageBreakBefore w:val="0"/>
              <w:widowControl/>
              <w:kinsoku w:val="0"/>
              <w:wordWrap/>
              <w:overflowPunct/>
              <w:topLinePunct w:val="0"/>
              <w:autoSpaceDE w:val="0"/>
              <w:autoSpaceDN w:val="0"/>
              <w:bidi w:val="0"/>
              <w:adjustRightInd w:val="0"/>
              <w:snapToGrid w:val="0"/>
              <w:spacing w:before="100" w:line="240" w:lineRule="auto"/>
              <w:jc w:val="center"/>
              <w:textAlignment w:val="baseline"/>
              <w:rPr>
                <w:rFonts w:hint="eastAsia" w:ascii="宋体" w:hAnsi="宋体" w:eastAsia="宋体" w:cs="宋体"/>
                <w:color w:val="auto"/>
                <w:sz w:val="23"/>
                <w:szCs w:val="23"/>
                <w:highlight w:val="none"/>
              </w:rPr>
            </w:pPr>
            <w:r>
              <w:rPr>
                <w:rFonts w:hint="eastAsia" w:ascii="宋体" w:hAnsi="宋体" w:eastAsia="宋体" w:cs="宋体"/>
                <w:color w:val="auto"/>
                <w:spacing w:val="7"/>
                <w:sz w:val="23"/>
                <w:szCs w:val="23"/>
                <w:highlight w:val="none"/>
              </w:rPr>
              <w:t>业绩要求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06" w:hRule="atLeast"/>
        </w:trPr>
        <w:tc>
          <w:tcPr>
            <w:tcW w:w="97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z w:val="23"/>
                <w:szCs w:val="23"/>
                <w:highlight w:val="none"/>
              </w:rPr>
            </w:pPr>
            <w:r>
              <w:rPr>
                <w:rFonts w:hint="eastAsia" w:ascii="宋体" w:hAnsi="宋体" w:eastAsia="宋体" w:cs="宋体"/>
                <w:color w:val="auto"/>
                <w:sz w:val="23"/>
                <w:szCs w:val="23"/>
                <w:highlight w:val="none"/>
                <w:lang w:eastAsia="zh-CN"/>
              </w:rPr>
              <w:t>系统自带标段号</w:t>
            </w:r>
          </w:p>
        </w:tc>
        <w:tc>
          <w:tcPr>
            <w:tcW w:w="8728" w:type="dxa"/>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firstLine="244" w:firstLineChars="100"/>
              <w:jc w:val="both"/>
              <w:textAlignment w:val="baseline"/>
              <w:rPr>
                <w:rFonts w:hint="eastAsia" w:ascii="宋体" w:hAnsi="宋体" w:eastAsia="宋体" w:cs="宋体"/>
                <w:color w:val="auto"/>
                <w:spacing w:val="7"/>
                <w:sz w:val="23"/>
                <w:szCs w:val="23"/>
                <w:highlight w:val="none"/>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488" w:firstLineChars="200"/>
              <w:jc w:val="both"/>
              <w:textAlignment w:val="baseline"/>
              <w:rPr>
                <w:rFonts w:hint="eastAsia" w:ascii="宋体" w:hAnsi="宋体" w:eastAsia="宋体" w:cs="宋体"/>
                <w:color w:val="auto"/>
                <w:spacing w:val="7"/>
                <w:sz w:val="23"/>
                <w:szCs w:val="23"/>
                <w:highlight w:val="none"/>
              </w:rPr>
            </w:pPr>
            <w:r>
              <w:rPr>
                <w:rFonts w:hint="eastAsia" w:ascii="宋体" w:hAnsi="宋体" w:eastAsia="宋体" w:cs="宋体"/>
                <w:color w:val="auto"/>
                <w:spacing w:val="7"/>
                <w:sz w:val="23"/>
                <w:szCs w:val="23"/>
                <w:highlight w:val="none"/>
              </w:rPr>
              <w:t>投标人</w:t>
            </w:r>
            <w:r>
              <w:rPr>
                <w:rFonts w:hint="eastAsia" w:ascii="宋体" w:hAnsi="宋体" w:eastAsia="宋体" w:cs="宋体"/>
                <w:snapToGrid w:val="0"/>
                <w:color w:val="auto"/>
                <w:spacing w:val="8"/>
                <w:kern w:val="0"/>
                <w:sz w:val="23"/>
                <w:szCs w:val="23"/>
                <w:highlight w:val="none"/>
                <w:lang w:val="en-US" w:eastAsia="zh-CN" w:bidi="ar-SA"/>
              </w:rPr>
              <w:t>近3年（2022年3月28日至投标截止时间，精确到天，以交工日期为准）</w:t>
            </w:r>
            <w:r>
              <w:rPr>
                <w:rFonts w:hint="eastAsia" w:ascii="宋体" w:hAnsi="宋体" w:eastAsia="宋体" w:cs="宋体"/>
                <w:color w:val="auto"/>
                <w:spacing w:val="7"/>
                <w:sz w:val="23"/>
                <w:szCs w:val="23"/>
                <w:highlight w:val="none"/>
              </w:rPr>
              <w:t>至少完成过1个二级及以上等级公路路基养护工程施工业绩。</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firstLine="246" w:firstLineChars="100"/>
              <w:jc w:val="both"/>
              <w:textAlignment w:val="baseline"/>
              <w:rPr>
                <w:rFonts w:hint="eastAsia" w:ascii="宋体" w:hAnsi="宋体" w:eastAsia="宋体" w:cs="宋体"/>
                <w:snapToGrid w:val="0"/>
                <w:color w:val="auto"/>
                <w:spacing w:val="8"/>
                <w:kern w:val="0"/>
                <w:sz w:val="23"/>
                <w:szCs w:val="23"/>
                <w:highlight w:val="none"/>
                <w:lang w:val="en-US" w:eastAsia="zh-CN" w:bidi="ar-SA"/>
              </w:rPr>
            </w:pPr>
            <w:r>
              <w:rPr>
                <w:rFonts w:hint="eastAsia" w:ascii="宋体" w:hAnsi="宋体" w:eastAsia="宋体" w:cs="宋体"/>
                <w:snapToGrid w:val="0"/>
                <w:color w:val="auto"/>
                <w:spacing w:val="8"/>
                <w:kern w:val="0"/>
                <w:sz w:val="23"/>
                <w:szCs w:val="23"/>
                <w:highlight w:val="none"/>
                <w:lang w:val="en-US" w:eastAsia="zh-CN" w:bidi="ar-SA"/>
              </w:rPr>
              <w:t>（1）投标人应按资格审查资料中的表（四）（近年完成的类似项目情况表）填写所提供的业绩，提供的每个业绩均应填写，未按照表（四）（近年完成的类似项目情况表）规定的格式填报的业绩，其业绩审查将不予认可。</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firstLine="246" w:firstLineChars="100"/>
              <w:jc w:val="both"/>
              <w:textAlignment w:val="baseline"/>
              <w:rPr>
                <w:rFonts w:hint="eastAsia" w:ascii="宋体" w:hAnsi="宋体" w:eastAsia="宋体" w:cs="宋体"/>
                <w:snapToGrid w:val="0"/>
                <w:color w:val="auto"/>
                <w:spacing w:val="8"/>
                <w:kern w:val="0"/>
                <w:sz w:val="23"/>
                <w:szCs w:val="23"/>
                <w:highlight w:val="none"/>
                <w:lang w:val="en-US" w:eastAsia="zh-CN" w:bidi="ar-SA"/>
              </w:rPr>
            </w:pPr>
            <w:r>
              <w:rPr>
                <w:rFonts w:hint="eastAsia" w:ascii="宋体" w:hAnsi="宋体" w:eastAsia="宋体" w:cs="宋体"/>
                <w:snapToGrid w:val="0"/>
                <w:color w:val="auto"/>
                <w:spacing w:val="8"/>
                <w:kern w:val="0"/>
                <w:sz w:val="23"/>
                <w:szCs w:val="23"/>
                <w:highlight w:val="none"/>
                <w:lang w:val="en-US" w:eastAsia="zh-CN" w:bidi="ar-SA"/>
              </w:rPr>
              <w:t>（2）“近年完成的类似项目情况表”应是已列入“全国公路建设市场监督管理系统”或工程所在地省级公路建设与养护市场信用信息管理系统并公开的主包已建业绩或分包已建业绩。</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firstLine="246" w:firstLineChars="100"/>
              <w:jc w:val="both"/>
              <w:textAlignment w:val="baseline"/>
              <w:rPr>
                <w:rFonts w:hint="eastAsia" w:ascii="宋体" w:hAnsi="宋体" w:eastAsia="宋体" w:cs="宋体"/>
                <w:snapToGrid w:val="0"/>
                <w:color w:val="auto"/>
                <w:spacing w:val="8"/>
                <w:kern w:val="0"/>
                <w:sz w:val="23"/>
                <w:szCs w:val="23"/>
                <w:highlight w:val="none"/>
                <w:lang w:val="en-US" w:eastAsia="zh-CN" w:bidi="ar-SA"/>
              </w:rPr>
            </w:pPr>
            <w:r>
              <w:rPr>
                <w:rFonts w:hint="eastAsia" w:ascii="宋体" w:hAnsi="宋体" w:eastAsia="宋体" w:cs="宋体"/>
                <w:snapToGrid w:val="0"/>
                <w:color w:val="auto"/>
                <w:spacing w:val="8"/>
                <w:kern w:val="0"/>
                <w:sz w:val="23"/>
                <w:szCs w:val="23"/>
                <w:highlight w:val="none"/>
                <w:lang w:val="en-US" w:eastAsia="zh-CN" w:bidi="ar-SA"/>
              </w:rPr>
              <w:t>（3）“近年完成的类似项目情况表”应附在“全国公路建设市场监督管理系统”中查询到的企业“业绩信息”相关项目网页截图（即包括“项目名称”“标段类型”“合同价”“主要工程量”“项目主要管理人员”等栏目在内的项目详细信息网页截图）。在“全国公路建设市场监督管理系统”中无法查询，但可在工程所在地省级交通运输主管部门公路建设与养护市场信用信息管理系统中查询的，应附工程所在地省级交通运输主管部门公路建设与养护市场信用信息管理系统中查询到的网页截图。除网页截图外，投标人无须再提供任何业绩证明资料。除网页截图外，其余企业业绩材料体现的但系统网站中未载明的信息在评审时均不予采信。如投标人未提供相关项目网页截图或相关项目网页截图中的信息无法证实投标人满足招标文件规定的资格审查条件（业绩最低要求），则该项目业绩不予认定。</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firstLine="246" w:firstLineChars="100"/>
              <w:jc w:val="both"/>
              <w:textAlignment w:val="baseline"/>
              <w:rPr>
                <w:rFonts w:hint="eastAsia" w:ascii="宋体" w:hAnsi="宋体" w:eastAsia="宋体" w:cs="宋体"/>
                <w:snapToGrid w:val="0"/>
                <w:color w:val="auto"/>
                <w:spacing w:val="8"/>
                <w:kern w:val="0"/>
                <w:sz w:val="23"/>
                <w:szCs w:val="23"/>
                <w:highlight w:val="none"/>
                <w:lang w:val="en-US" w:eastAsia="zh-CN" w:bidi="ar-SA"/>
              </w:rPr>
            </w:pPr>
            <w:r>
              <w:rPr>
                <w:rFonts w:hint="eastAsia" w:ascii="宋体" w:hAnsi="宋体" w:eastAsia="宋体" w:cs="宋体"/>
                <w:snapToGrid w:val="0"/>
                <w:color w:val="auto"/>
                <w:spacing w:val="8"/>
                <w:kern w:val="0"/>
                <w:sz w:val="23"/>
                <w:szCs w:val="23"/>
                <w:highlight w:val="none"/>
                <w:lang w:val="en-US" w:eastAsia="zh-CN" w:bidi="ar-SA"/>
              </w:rPr>
              <w:t>（4）如投标人提供的养护工程施工业绩截图中工程内容包含公路路基工程，则该业绩也予以认定。</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firstLine="246" w:firstLineChars="100"/>
              <w:jc w:val="both"/>
              <w:textAlignment w:val="baseline"/>
              <w:rPr>
                <w:rFonts w:hint="eastAsia" w:ascii="宋体" w:hAnsi="宋体" w:eastAsia="宋体" w:cs="宋体"/>
                <w:snapToGrid w:val="0"/>
                <w:color w:val="auto"/>
                <w:spacing w:val="8"/>
                <w:kern w:val="0"/>
                <w:sz w:val="23"/>
                <w:szCs w:val="23"/>
                <w:highlight w:val="none"/>
                <w:lang w:val="en-US" w:eastAsia="zh-CN" w:bidi="ar-SA"/>
              </w:rPr>
            </w:pPr>
            <w:r>
              <w:rPr>
                <w:rFonts w:hint="eastAsia" w:ascii="宋体" w:hAnsi="宋体" w:eastAsia="宋体" w:cs="宋体"/>
                <w:snapToGrid w:val="0"/>
                <w:color w:val="auto"/>
                <w:spacing w:val="8"/>
                <w:kern w:val="0"/>
                <w:sz w:val="23"/>
                <w:szCs w:val="23"/>
                <w:highlight w:val="none"/>
                <w:lang w:val="en-US" w:eastAsia="zh-CN" w:bidi="ar-SA"/>
              </w:rPr>
              <w:t>（5）如近年来，投标人法人机构发生合法变更或重组或法人名称变更时，应提供相关部门的合法批件或其他相关证明材料来证明其所附业绩的继承性。</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firstLine="246" w:firstLineChars="100"/>
              <w:jc w:val="both"/>
              <w:textAlignment w:val="baseline"/>
              <w:rPr>
                <w:rFonts w:hint="eastAsia" w:ascii="宋体" w:hAnsi="宋体" w:eastAsia="宋体" w:cs="宋体"/>
                <w:snapToGrid w:val="0"/>
                <w:color w:val="auto"/>
                <w:spacing w:val="8"/>
                <w:kern w:val="0"/>
                <w:sz w:val="23"/>
                <w:szCs w:val="23"/>
                <w:highlight w:val="none"/>
                <w:lang w:val="en-US" w:eastAsia="zh-CN" w:bidi="ar-SA"/>
              </w:rPr>
            </w:pPr>
            <w:r>
              <w:rPr>
                <w:rFonts w:hint="eastAsia" w:ascii="宋体" w:hAnsi="宋体" w:eastAsia="宋体" w:cs="宋体"/>
                <w:snapToGrid w:val="0"/>
                <w:color w:val="auto"/>
                <w:spacing w:val="8"/>
                <w:kern w:val="0"/>
                <w:sz w:val="23"/>
                <w:szCs w:val="23"/>
                <w:highlight w:val="none"/>
                <w:lang w:val="en-US" w:eastAsia="zh-CN" w:bidi="ar-SA"/>
              </w:rPr>
              <w:t>（6）对投标人所提供的企业业绩，如通过上述网站查询后结果与投标人自行提供结果不符，则对应业绩将不予认定。投标人对其递交投标文件中所有证明材料的真实性负责，若招标人收到反映投标人提供了虚假材料、不实信息或隐瞒招标文件要求填报的信息方面的投诉，招标人一经查实将不予退还投标保证金，并认定为失信投标行为（如中标同时取消其中标资格），并依据《宁夏回族自治区公路建设与养护市场信用评价管理办法》（宁交规发〔2024〕1号）文件对投标人本次投标行为进行评价，同时将评价结果上报宁夏回族自治区交通运输厅，并在宁夏回族自治区交通运输厅网站予以公布。</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firstLine="246" w:firstLineChars="100"/>
              <w:jc w:val="both"/>
              <w:textAlignment w:val="baseline"/>
              <w:rPr>
                <w:rFonts w:hint="eastAsia" w:ascii="宋体" w:hAnsi="宋体" w:eastAsia="宋体" w:cs="宋体"/>
                <w:color w:val="auto"/>
                <w:spacing w:val="8"/>
                <w:sz w:val="23"/>
                <w:szCs w:val="23"/>
                <w:highlight w:val="none"/>
                <w:lang w:eastAsia="zh-CN"/>
              </w:rPr>
            </w:pPr>
            <w:r>
              <w:rPr>
                <w:rFonts w:hint="eastAsia" w:ascii="宋体" w:hAnsi="宋体" w:eastAsia="宋体" w:cs="宋体"/>
                <w:snapToGrid w:val="0"/>
                <w:color w:val="auto"/>
                <w:spacing w:val="8"/>
                <w:kern w:val="0"/>
                <w:sz w:val="23"/>
                <w:szCs w:val="23"/>
                <w:highlight w:val="none"/>
                <w:lang w:val="en-US" w:eastAsia="zh-CN" w:bidi="ar-SA"/>
              </w:rPr>
              <w:t>（7）招标文件中其他地方与此处不一致时，以此处为准。</w:t>
            </w:r>
          </w:p>
        </w:tc>
      </w:tr>
    </w:tbl>
    <w:p>
      <w:pPr>
        <w:pStyle w:val="2"/>
        <w:spacing w:line="246" w:lineRule="auto"/>
        <w:rPr>
          <w:rFonts w:hint="eastAsia" w:ascii="宋体" w:hAnsi="宋体" w:eastAsia="宋体" w:cs="宋体"/>
          <w:color w:val="auto"/>
          <w:highlight w:val="none"/>
        </w:rPr>
      </w:pPr>
    </w:p>
    <w:p>
      <w:pPr>
        <w:pStyle w:val="2"/>
        <w:spacing w:line="246" w:lineRule="auto"/>
        <w:rPr>
          <w:rFonts w:hint="eastAsia" w:ascii="宋体" w:hAnsi="宋体" w:eastAsia="宋体" w:cs="宋体"/>
          <w:color w:val="auto"/>
          <w:highlight w:val="none"/>
        </w:rPr>
      </w:pPr>
    </w:p>
    <w:p>
      <w:pPr>
        <w:spacing w:before="91" w:line="222" w:lineRule="auto"/>
        <w:ind w:left="2049"/>
        <w:outlineLvl w:val="0"/>
        <w:rPr>
          <w:rFonts w:hint="eastAsia" w:ascii="宋体" w:hAnsi="宋体" w:eastAsia="宋体" w:cs="宋体"/>
          <w:color w:val="auto"/>
          <w:spacing w:val="-2"/>
          <w:sz w:val="28"/>
          <w:szCs w:val="28"/>
          <w:highlight w:val="none"/>
        </w:rPr>
      </w:pPr>
      <w:bookmarkStart w:id="3" w:name="_Toc21479"/>
    </w:p>
    <w:p>
      <w:pPr>
        <w:spacing w:before="91" w:line="222" w:lineRule="auto"/>
        <w:ind w:left="2049"/>
        <w:outlineLvl w:val="0"/>
        <w:rPr>
          <w:rFonts w:hint="eastAsia" w:ascii="宋体" w:hAnsi="宋体" w:eastAsia="宋体" w:cs="宋体"/>
          <w:color w:val="auto"/>
          <w:spacing w:val="-2"/>
          <w:sz w:val="28"/>
          <w:szCs w:val="28"/>
          <w:highlight w:val="none"/>
        </w:rPr>
      </w:pPr>
    </w:p>
    <w:p>
      <w:pPr>
        <w:spacing w:before="91" w:line="222" w:lineRule="auto"/>
        <w:ind w:left="2049"/>
        <w:outlineLvl w:val="0"/>
        <w:rPr>
          <w:rFonts w:hint="eastAsia" w:ascii="宋体" w:hAnsi="宋体" w:eastAsia="宋体" w:cs="宋体"/>
          <w:color w:val="auto"/>
          <w:spacing w:val="-2"/>
          <w:sz w:val="28"/>
          <w:szCs w:val="28"/>
          <w:highlight w:val="none"/>
        </w:rPr>
      </w:pPr>
    </w:p>
    <w:p>
      <w:pPr>
        <w:spacing w:before="91" w:line="222" w:lineRule="auto"/>
        <w:jc w:val="center"/>
        <w:outlineLvl w:val="0"/>
        <w:rPr>
          <w:rFonts w:hint="eastAsia" w:ascii="宋体" w:hAnsi="宋体" w:eastAsia="宋体" w:cs="宋体"/>
          <w:color w:val="auto"/>
          <w:spacing w:val="-2"/>
          <w:sz w:val="28"/>
          <w:szCs w:val="28"/>
          <w:highlight w:val="none"/>
        </w:rPr>
      </w:pPr>
    </w:p>
    <w:p>
      <w:pPr>
        <w:spacing w:before="91" w:line="222" w:lineRule="auto"/>
        <w:jc w:val="center"/>
        <w:outlineLvl w:val="0"/>
        <w:rPr>
          <w:rFonts w:hint="eastAsia" w:ascii="宋体" w:hAnsi="宋体" w:eastAsia="宋体" w:cs="宋体"/>
          <w:color w:val="auto"/>
          <w:spacing w:val="-2"/>
          <w:sz w:val="28"/>
          <w:szCs w:val="28"/>
          <w:highlight w:val="none"/>
        </w:rPr>
      </w:pPr>
    </w:p>
    <w:p>
      <w:pPr>
        <w:spacing w:before="91" w:line="222" w:lineRule="auto"/>
        <w:jc w:val="center"/>
        <w:outlineLvl w:val="0"/>
        <w:rPr>
          <w:rFonts w:hint="eastAsia" w:ascii="宋体" w:hAnsi="宋体" w:eastAsia="宋体" w:cs="宋体"/>
          <w:color w:val="auto"/>
          <w:sz w:val="28"/>
          <w:szCs w:val="28"/>
          <w:highlight w:val="none"/>
        </w:rPr>
      </w:pPr>
      <w:r>
        <w:rPr>
          <w:rFonts w:hint="eastAsia" w:ascii="宋体" w:hAnsi="宋体" w:eastAsia="宋体" w:cs="宋体"/>
          <w:color w:val="auto"/>
          <w:spacing w:val="-2"/>
          <w:sz w:val="28"/>
          <w:szCs w:val="28"/>
          <w:highlight w:val="none"/>
        </w:rPr>
        <w:t>附录4资格审查条件（信誉最低要求）</w:t>
      </w:r>
      <w:bookmarkEnd w:id="3"/>
    </w:p>
    <w:p>
      <w:pPr>
        <w:spacing w:line="223" w:lineRule="exact"/>
        <w:rPr>
          <w:rFonts w:hint="eastAsia" w:ascii="宋体" w:hAnsi="宋体" w:eastAsia="宋体" w:cs="宋体"/>
          <w:color w:val="auto"/>
          <w:highlight w:val="none"/>
        </w:rPr>
      </w:pPr>
    </w:p>
    <w:tbl>
      <w:tblPr>
        <w:tblStyle w:val="7"/>
        <w:tblW w:w="971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1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3" w:hRule="atLeast"/>
        </w:trPr>
        <w:tc>
          <w:tcPr>
            <w:tcW w:w="9712"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color w:val="auto"/>
                <w:sz w:val="23"/>
                <w:szCs w:val="23"/>
                <w:highlight w:val="none"/>
              </w:rPr>
            </w:pPr>
          </w:p>
          <w:p>
            <w:pPr>
              <w:keepNext w:val="0"/>
              <w:keepLines w:val="0"/>
              <w:pageBreakBefore w:val="0"/>
              <w:widowControl/>
              <w:kinsoku w:val="0"/>
              <w:wordWrap/>
              <w:overflowPunct/>
              <w:topLinePunct w:val="0"/>
              <w:autoSpaceDE w:val="0"/>
              <w:autoSpaceDN w:val="0"/>
              <w:bidi w:val="0"/>
              <w:adjustRightInd w:val="0"/>
              <w:snapToGrid w:val="0"/>
              <w:spacing w:before="65" w:line="240" w:lineRule="auto"/>
              <w:ind w:left="3933"/>
              <w:textAlignment w:val="baseline"/>
              <w:rPr>
                <w:rFonts w:hint="eastAsia" w:ascii="宋体" w:hAnsi="宋体" w:eastAsia="宋体" w:cs="宋体"/>
                <w:color w:val="auto"/>
                <w:sz w:val="23"/>
                <w:szCs w:val="23"/>
                <w:highlight w:val="none"/>
              </w:rPr>
            </w:pPr>
            <w:r>
              <w:rPr>
                <w:rFonts w:hint="eastAsia" w:ascii="宋体" w:hAnsi="宋体" w:eastAsia="宋体" w:cs="宋体"/>
                <w:color w:val="auto"/>
                <w:sz w:val="23"/>
                <w:szCs w:val="23"/>
                <w:highlight w:val="none"/>
              </w:rPr>
              <w:t>信誉要求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5" w:hRule="atLeast"/>
        </w:trPr>
        <w:tc>
          <w:tcPr>
            <w:tcW w:w="9712"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textAlignment w:val="baseline"/>
              <w:rPr>
                <w:rFonts w:hint="eastAsia" w:ascii="宋体" w:hAnsi="宋体" w:eastAsia="宋体" w:cs="宋体"/>
                <w:color w:val="auto"/>
                <w:spacing w:val="8"/>
                <w:sz w:val="23"/>
                <w:szCs w:val="23"/>
                <w:highlight w:val="none"/>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246" w:firstLineChars="100"/>
              <w:textAlignment w:val="baseline"/>
              <w:rPr>
                <w:rFonts w:hint="eastAsia" w:ascii="宋体" w:hAnsi="宋体" w:eastAsia="宋体" w:cs="宋体"/>
                <w:color w:val="auto"/>
                <w:sz w:val="23"/>
                <w:szCs w:val="23"/>
                <w:highlight w:val="none"/>
              </w:rPr>
            </w:pPr>
            <w:r>
              <w:rPr>
                <w:rFonts w:hint="eastAsia" w:ascii="宋体" w:hAnsi="宋体" w:eastAsia="宋体" w:cs="宋体"/>
                <w:color w:val="auto"/>
                <w:spacing w:val="8"/>
                <w:sz w:val="23"/>
                <w:szCs w:val="23"/>
                <w:highlight w:val="none"/>
              </w:rPr>
              <w:t>投标人不得存在下列不良状况或不良信用记录：</w:t>
            </w:r>
          </w:p>
          <w:p>
            <w:pPr>
              <w:keepNext w:val="0"/>
              <w:keepLines w:val="0"/>
              <w:pageBreakBefore w:val="0"/>
              <w:widowControl/>
              <w:kinsoku w:val="0"/>
              <w:wordWrap/>
              <w:overflowPunct/>
              <w:topLinePunct w:val="0"/>
              <w:autoSpaceDE w:val="0"/>
              <w:autoSpaceDN w:val="0"/>
              <w:bidi w:val="0"/>
              <w:adjustRightInd w:val="0"/>
              <w:snapToGrid w:val="0"/>
              <w:spacing w:before="153" w:line="240" w:lineRule="auto"/>
              <w:ind w:firstLine="496" w:firstLineChars="200"/>
              <w:textAlignment w:val="baseline"/>
              <w:rPr>
                <w:rFonts w:hint="eastAsia" w:ascii="宋体" w:hAnsi="宋体" w:eastAsia="宋体" w:cs="宋体"/>
                <w:color w:val="auto"/>
                <w:sz w:val="23"/>
                <w:szCs w:val="23"/>
                <w:highlight w:val="none"/>
                <w:lang w:eastAsia="zh-CN"/>
              </w:rPr>
            </w:pPr>
            <w:r>
              <w:rPr>
                <w:rFonts w:hint="eastAsia" w:ascii="宋体" w:hAnsi="宋体" w:eastAsia="宋体" w:cs="宋体"/>
                <w:color w:val="auto"/>
                <w:spacing w:val="9"/>
                <w:sz w:val="23"/>
                <w:szCs w:val="23"/>
                <w:highlight w:val="none"/>
              </w:rPr>
              <w:t>（1）被省级及以上交通运输主管部门取消招标项目所在地的投标资格且处于有效期内</w:t>
            </w:r>
          </w:p>
          <w:p>
            <w:pPr>
              <w:keepNext w:val="0"/>
              <w:keepLines w:val="0"/>
              <w:pageBreakBefore w:val="0"/>
              <w:widowControl/>
              <w:kinsoku w:val="0"/>
              <w:wordWrap/>
              <w:overflowPunct/>
              <w:topLinePunct w:val="0"/>
              <w:autoSpaceDE w:val="0"/>
              <w:autoSpaceDN w:val="0"/>
              <w:bidi w:val="0"/>
              <w:adjustRightInd w:val="0"/>
              <w:snapToGrid w:val="0"/>
              <w:spacing w:before="154" w:line="240" w:lineRule="auto"/>
              <w:ind w:firstLine="492" w:firstLineChars="200"/>
              <w:textAlignment w:val="baseline"/>
              <w:rPr>
                <w:rFonts w:hint="eastAsia" w:ascii="宋体" w:hAnsi="宋体" w:eastAsia="宋体" w:cs="宋体"/>
                <w:color w:val="auto"/>
                <w:sz w:val="23"/>
                <w:szCs w:val="23"/>
                <w:highlight w:val="none"/>
              </w:rPr>
            </w:pPr>
            <w:r>
              <w:rPr>
                <w:rFonts w:hint="eastAsia" w:ascii="宋体" w:hAnsi="宋体" w:eastAsia="宋体" w:cs="宋体"/>
                <w:color w:val="auto"/>
                <w:spacing w:val="8"/>
                <w:sz w:val="23"/>
                <w:szCs w:val="23"/>
                <w:highlight w:val="none"/>
              </w:rPr>
              <w:t>（2）被责令停业，暂扣或吊销执照，或吊销资质证书；</w:t>
            </w:r>
          </w:p>
          <w:p>
            <w:pPr>
              <w:keepNext w:val="0"/>
              <w:keepLines w:val="0"/>
              <w:pageBreakBefore w:val="0"/>
              <w:widowControl/>
              <w:kinsoku w:val="0"/>
              <w:wordWrap/>
              <w:overflowPunct/>
              <w:topLinePunct w:val="0"/>
              <w:autoSpaceDE w:val="0"/>
              <w:autoSpaceDN w:val="0"/>
              <w:bidi w:val="0"/>
              <w:adjustRightInd w:val="0"/>
              <w:snapToGrid w:val="0"/>
              <w:spacing w:before="152" w:line="240" w:lineRule="auto"/>
              <w:ind w:firstLine="496" w:firstLineChars="200"/>
              <w:textAlignment w:val="baseline"/>
              <w:rPr>
                <w:rFonts w:hint="eastAsia" w:ascii="宋体" w:hAnsi="宋体" w:eastAsia="宋体" w:cs="宋体"/>
                <w:color w:val="auto"/>
                <w:sz w:val="23"/>
                <w:szCs w:val="23"/>
                <w:highlight w:val="none"/>
              </w:rPr>
            </w:pPr>
            <w:r>
              <w:rPr>
                <w:rFonts w:hint="eastAsia" w:ascii="宋体" w:hAnsi="宋体" w:eastAsia="宋体" w:cs="宋体"/>
                <w:color w:val="auto"/>
                <w:spacing w:val="9"/>
                <w:sz w:val="23"/>
                <w:szCs w:val="23"/>
                <w:highlight w:val="none"/>
              </w:rPr>
              <w:t>（3）进入清算程序，或被宣告破产，或其他丧失履</w:t>
            </w:r>
            <w:r>
              <w:rPr>
                <w:rFonts w:hint="eastAsia" w:ascii="宋体" w:hAnsi="宋体" w:eastAsia="宋体" w:cs="宋体"/>
                <w:color w:val="auto"/>
                <w:spacing w:val="8"/>
                <w:sz w:val="23"/>
                <w:szCs w:val="23"/>
                <w:highlight w:val="none"/>
              </w:rPr>
              <w:t>约能力的情形；</w:t>
            </w:r>
          </w:p>
          <w:p>
            <w:pPr>
              <w:keepNext w:val="0"/>
              <w:keepLines w:val="0"/>
              <w:pageBreakBefore w:val="0"/>
              <w:widowControl/>
              <w:kinsoku w:val="0"/>
              <w:wordWrap/>
              <w:overflowPunct/>
              <w:topLinePunct w:val="0"/>
              <w:autoSpaceDE w:val="0"/>
              <w:autoSpaceDN w:val="0"/>
              <w:bidi w:val="0"/>
              <w:adjustRightInd w:val="0"/>
              <w:snapToGrid w:val="0"/>
              <w:spacing w:before="156" w:line="240" w:lineRule="auto"/>
              <w:ind w:right="107" w:firstLine="500" w:firstLineChars="200"/>
              <w:textAlignment w:val="baseline"/>
              <w:rPr>
                <w:rFonts w:hint="eastAsia" w:ascii="宋体" w:hAnsi="宋体" w:eastAsia="宋体" w:cs="宋体"/>
                <w:color w:val="auto"/>
                <w:sz w:val="23"/>
                <w:szCs w:val="23"/>
                <w:highlight w:val="none"/>
                <w:lang w:eastAsia="zh-CN"/>
              </w:rPr>
            </w:pPr>
            <w:r>
              <w:rPr>
                <w:rFonts w:hint="eastAsia" w:ascii="宋体" w:hAnsi="宋体" w:eastAsia="宋体" w:cs="宋体"/>
                <w:color w:val="auto"/>
                <w:spacing w:val="10"/>
                <w:sz w:val="23"/>
                <w:szCs w:val="23"/>
                <w:highlight w:val="none"/>
              </w:rPr>
              <w:t>（4）在国家企业信用信息公示系统（</w:t>
            </w:r>
            <w:r>
              <w:rPr>
                <w:rFonts w:hint="eastAsia" w:ascii="宋体" w:hAnsi="宋体" w:eastAsia="宋体" w:cs="宋体"/>
                <w:color w:val="auto"/>
                <w:sz w:val="23"/>
                <w:szCs w:val="23"/>
                <w:highlight w:val="none"/>
              </w:rPr>
              <w:t>http</w:t>
            </w:r>
            <w:r>
              <w:rPr>
                <w:rFonts w:hint="eastAsia" w:ascii="宋体" w:hAnsi="宋体" w:eastAsia="宋体" w:cs="宋体"/>
                <w:color w:val="auto"/>
                <w:spacing w:val="10"/>
                <w:sz w:val="23"/>
                <w:szCs w:val="23"/>
                <w:highlight w:val="none"/>
              </w:rPr>
              <w:t>://</w:t>
            </w:r>
            <w:r>
              <w:rPr>
                <w:rFonts w:hint="eastAsia" w:ascii="宋体" w:hAnsi="宋体" w:eastAsia="宋体" w:cs="宋体"/>
                <w:color w:val="auto"/>
                <w:sz w:val="23"/>
                <w:szCs w:val="23"/>
                <w:highlight w:val="none"/>
              </w:rPr>
              <w:t>www</w:t>
            </w:r>
            <w:r>
              <w:rPr>
                <w:rFonts w:hint="eastAsia" w:ascii="宋体" w:hAnsi="宋体" w:eastAsia="宋体" w:cs="宋体"/>
                <w:color w:val="auto"/>
                <w:spacing w:val="10"/>
                <w:sz w:val="23"/>
                <w:szCs w:val="23"/>
                <w:highlight w:val="none"/>
              </w:rPr>
              <w:t>.</w:t>
            </w:r>
            <w:r>
              <w:rPr>
                <w:rFonts w:hint="eastAsia" w:ascii="宋体" w:hAnsi="宋体" w:eastAsia="宋体" w:cs="宋体"/>
                <w:color w:val="auto"/>
                <w:sz w:val="23"/>
                <w:szCs w:val="23"/>
                <w:highlight w:val="none"/>
              </w:rPr>
              <w:t>gsxt</w:t>
            </w:r>
            <w:r>
              <w:rPr>
                <w:rFonts w:hint="eastAsia" w:ascii="宋体" w:hAnsi="宋体" w:eastAsia="宋体" w:cs="宋体"/>
                <w:color w:val="auto"/>
                <w:spacing w:val="10"/>
                <w:sz w:val="23"/>
                <w:szCs w:val="23"/>
                <w:highlight w:val="none"/>
              </w:rPr>
              <w:t>.</w:t>
            </w:r>
            <w:r>
              <w:rPr>
                <w:rFonts w:hint="eastAsia" w:ascii="宋体" w:hAnsi="宋体" w:eastAsia="宋体" w:cs="宋体"/>
                <w:color w:val="auto"/>
                <w:sz w:val="23"/>
                <w:szCs w:val="23"/>
                <w:highlight w:val="none"/>
              </w:rPr>
              <w:t>gov</w:t>
            </w:r>
            <w:r>
              <w:rPr>
                <w:rFonts w:hint="eastAsia" w:ascii="宋体" w:hAnsi="宋体" w:eastAsia="宋体" w:cs="宋体"/>
                <w:color w:val="auto"/>
                <w:spacing w:val="10"/>
                <w:sz w:val="23"/>
                <w:szCs w:val="23"/>
                <w:highlight w:val="none"/>
              </w:rPr>
              <w:t>.</w:t>
            </w:r>
            <w:r>
              <w:rPr>
                <w:rFonts w:hint="eastAsia" w:ascii="宋体" w:hAnsi="宋体" w:eastAsia="宋体" w:cs="宋体"/>
                <w:color w:val="auto"/>
                <w:sz w:val="23"/>
                <w:szCs w:val="23"/>
                <w:highlight w:val="none"/>
              </w:rPr>
              <w:t>cn</w:t>
            </w:r>
            <w:r>
              <w:rPr>
                <w:rFonts w:hint="eastAsia" w:ascii="宋体" w:hAnsi="宋体" w:eastAsia="宋体" w:cs="宋体"/>
                <w:color w:val="auto"/>
                <w:spacing w:val="10"/>
                <w:sz w:val="23"/>
                <w:szCs w:val="23"/>
                <w:highlight w:val="none"/>
              </w:rPr>
              <w:t>/）</w:t>
            </w:r>
            <w:r>
              <w:rPr>
                <w:rFonts w:hint="eastAsia" w:ascii="宋体" w:hAnsi="宋体" w:eastAsia="宋体" w:cs="宋体"/>
                <w:color w:val="auto"/>
                <w:spacing w:val="9"/>
                <w:sz w:val="23"/>
                <w:szCs w:val="23"/>
                <w:highlight w:val="none"/>
              </w:rPr>
              <w:t>中被列入严重违法失信企</w:t>
            </w:r>
            <w:r>
              <w:rPr>
                <w:rFonts w:hint="eastAsia" w:ascii="宋体" w:hAnsi="宋体" w:eastAsia="宋体" w:cs="宋体"/>
                <w:color w:val="auto"/>
                <w:spacing w:val="5"/>
                <w:sz w:val="23"/>
                <w:szCs w:val="23"/>
                <w:highlight w:val="none"/>
              </w:rPr>
              <w:t>业名单；</w:t>
            </w:r>
            <w:r>
              <w:rPr>
                <w:rFonts w:hint="eastAsia" w:ascii="宋体" w:hAnsi="宋体" w:eastAsia="宋体" w:cs="宋体"/>
                <w:color w:val="auto"/>
                <w:spacing w:val="5"/>
                <w:sz w:val="23"/>
                <w:szCs w:val="23"/>
                <w:highlight w:val="none"/>
                <w:lang w:eastAsia="zh-CN"/>
              </w:rPr>
              <w:t>（提供网站查询截图）</w:t>
            </w:r>
          </w:p>
          <w:p>
            <w:pPr>
              <w:keepNext w:val="0"/>
              <w:keepLines w:val="0"/>
              <w:pageBreakBefore w:val="0"/>
              <w:widowControl/>
              <w:kinsoku w:val="0"/>
              <w:wordWrap/>
              <w:overflowPunct/>
              <w:topLinePunct w:val="0"/>
              <w:autoSpaceDE w:val="0"/>
              <w:autoSpaceDN w:val="0"/>
              <w:bidi w:val="0"/>
              <w:adjustRightInd w:val="0"/>
              <w:snapToGrid w:val="0"/>
              <w:spacing w:before="156" w:line="240" w:lineRule="auto"/>
              <w:ind w:right="107" w:firstLine="504" w:firstLineChars="200"/>
              <w:textAlignment w:val="baseline"/>
              <w:rPr>
                <w:rFonts w:hint="eastAsia" w:ascii="宋体" w:hAnsi="宋体" w:eastAsia="宋体" w:cs="宋体"/>
                <w:color w:val="auto"/>
                <w:sz w:val="23"/>
                <w:szCs w:val="23"/>
                <w:highlight w:val="none"/>
              </w:rPr>
            </w:pPr>
            <w:r>
              <w:rPr>
                <w:rFonts w:hint="eastAsia" w:ascii="宋体" w:hAnsi="宋体" w:eastAsia="宋体" w:cs="宋体"/>
                <w:color w:val="auto"/>
                <w:spacing w:val="11"/>
                <w:sz w:val="23"/>
                <w:szCs w:val="23"/>
                <w:highlight w:val="none"/>
              </w:rPr>
              <w:t>（5）在“信用中国”网站（</w:t>
            </w:r>
            <w:r>
              <w:rPr>
                <w:rFonts w:hint="eastAsia" w:ascii="宋体" w:hAnsi="宋体" w:eastAsia="宋体" w:cs="宋体"/>
                <w:color w:val="auto"/>
                <w:sz w:val="23"/>
                <w:szCs w:val="23"/>
                <w:highlight w:val="none"/>
              </w:rPr>
              <w:t>http</w:t>
            </w:r>
            <w:r>
              <w:rPr>
                <w:rFonts w:hint="eastAsia" w:ascii="宋体" w:hAnsi="宋体" w:eastAsia="宋体" w:cs="宋体"/>
                <w:color w:val="auto"/>
                <w:spacing w:val="11"/>
                <w:sz w:val="23"/>
                <w:szCs w:val="23"/>
                <w:highlight w:val="none"/>
              </w:rPr>
              <w:t>://</w:t>
            </w:r>
            <w:r>
              <w:rPr>
                <w:rFonts w:hint="eastAsia" w:ascii="宋体" w:hAnsi="宋体" w:eastAsia="宋体" w:cs="宋体"/>
                <w:color w:val="auto"/>
                <w:sz w:val="23"/>
                <w:szCs w:val="23"/>
                <w:highlight w:val="none"/>
              </w:rPr>
              <w:t>www</w:t>
            </w:r>
            <w:r>
              <w:rPr>
                <w:rFonts w:hint="eastAsia" w:ascii="宋体" w:hAnsi="宋体" w:eastAsia="宋体" w:cs="宋体"/>
                <w:color w:val="auto"/>
                <w:spacing w:val="11"/>
                <w:sz w:val="23"/>
                <w:szCs w:val="23"/>
                <w:highlight w:val="none"/>
              </w:rPr>
              <w:t>.</w:t>
            </w:r>
            <w:r>
              <w:rPr>
                <w:rFonts w:hint="eastAsia" w:ascii="宋体" w:hAnsi="宋体" w:eastAsia="宋体" w:cs="宋体"/>
                <w:color w:val="auto"/>
                <w:sz w:val="23"/>
                <w:szCs w:val="23"/>
                <w:highlight w:val="none"/>
              </w:rPr>
              <w:t>creditchina</w:t>
            </w:r>
            <w:r>
              <w:rPr>
                <w:rFonts w:hint="eastAsia" w:ascii="宋体" w:hAnsi="宋体" w:eastAsia="宋体" w:cs="宋体"/>
                <w:color w:val="auto"/>
                <w:spacing w:val="11"/>
                <w:sz w:val="23"/>
                <w:szCs w:val="23"/>
                <w:highlight w:val="none"/>
              </w:rPr>
              <w:t>.</w:t>
            </w:r>
            <w:r>
              <w:rPr>
                <w:rFonts w:hint="eastAsia" w:ascii="宋体" w:hAnsi="宋体" w:eastAsia="宋体" w:cs="宋体"/>
                <w:color w:val="auto"/>
                <w:sz w:val="23"/>
                <w:szCs w:val="23"/>
                <w:highlight w:val="none"/>
              </w:rPr>
              <w:t>gov</w:t>
            </w:r>
            <w:r>
              <w:rPr>
                <w:rFonts w:hint="eastAsia" w:ascii="宋体" w:hAnsi="宋体" w:eastAsia="宋体" w:cs="宋体"/>
                <w:color w:val="auto"/>
                <w:spacing w:val="11"/>
                <w:sz w:val="23"/>
                <w:szCs w:val="23"/>
                <w:highlight w:val="none"/>
              </w:rPr>
              <w:t>.</w:t>
            </w:r>
            <w:r>
              <w:rPr>
                <w:rFonts w:hint="eastAsia" w:ascii="宋体" w:hAnsi="宋体" w:eastAsia="宋体" w:cs="宋体"/>
                <w:color w:val="auto"/>
                <w:sz w:val="23"/>
                <w:szCs w:val="23"/>
                <w:highlight w:val="none"/>
              </w:rPr>
              <w:t>cn</w:t>
            </w:r>
            <w:r>
              <w:rPr>
                <w:rFonts w:hint="eastAsia" w:ascii="宋体" w:hAnsi="宋体" w:eastAsia="宋体" w:cs="宋体"/>
                <w:color w:val="auto"/>
                <w:spacing w:val="11"/>
                <w:sz w:val="23"/>
                <w:szCs w:val="23"/>
                <w:highlight w:val="none"/>
              </w:rPr>
              <w:t>/）中</w:t>
            </w:r>
            <w:r>
              <w:rPr>
                <w:rFonts w:hint="eastAsia" w:ascii="宋体" w:hAnsi="宋体" w:eastAsia="宋体" w:cs="宋体"/>
                <w:color w:val="auto"/>
                <w:spacing w:val="10"/>
                <w:sz w:val="23"/>
                <w:szCs w:val="23"/>
                <w:highlight w:val="none"/>
              </w:rPr>
              <w:t>被列入失信被执行人名</w:t>
            </w:r>
            <w:r>
              <w:rPr>
                <w:rFonts w:hint="eastAsia" w:ascii="宋体" w:hAnsi="宋体" w:eastAsia="宋体" w:cs="宋体"/>
                <w:color w:val="auto"/>
                <w:spacing w:val="-1"/>
                <w:sz w:val="23"/>
                <w:szCs w:val="23"/>
                <w:highlight w:val="none"/>
              </w:rPr>
              <w:t>单；</w:t>
            </w:r>
            <w:r>
              <w:rPr>
                <w:rFonts w:hint="eastAsia" w:ascii="宋体" w:hAnsi="宋体" w:eastAsia="宋体" w:cs="宋体"/>
                <w:color w:val="auto"/>
                <w:spacing w:val="5"/>
                <w:sz w:val="23"/>
                <w:szCs w:val="23"/>
                <w:highlight w:val="none"/>
                <w:lang w:eastAsia="zh-CN"/>
              </w:rPr>
              <w:t>（提供网站查询截图）</w:t>
            </w:r>
          </w:p>
          <w:p>
            <w:pPr>
              <w:keepNext w:val="0"/>
              <w:keepLines w:val="0"/>
              <w:pageBreakBefore w:val="0"/>
              <w:widowControl/>
              <w:kinsoku w:val="0"/>
              <w:wordWrap/>
              <w:overflowPunct/>
              <w:topLinePunct w:val="0"/>
              <w:autoSpaceDE w:val="0"/>
              <w:autoSpaceDN w:val="0"/>
              <w:bidi w:val="0"/>
              <w:adjustRightInd w:val="0"/>
              <w:snapToGrid w:val="0"/>
              <w:spacing w:before="153" w:line="240" w:lineRule="auto"/>
              <w:ind w:right="13" w:firstLine="492" w:firstLineChars="200"/>
              <w:jc w:val="left"/>
              <w:textAlignment w:val="baseline"/>
              <w:rPr>
                <w:rFonts w:hint="eastAsia" w:ascii="宋体" w:hAnsi="宋体" w:eastAsia="宋体" w:cs="宋体"/>
                <w:color w:val="auto"/>
                <w:sz w:val="23"/>
                <w:szCs w:val="23"/>
                <w:highlight w:val="none"/>
                <w:lang w:eastAsia="zh-CN"/>
              </w:rPr>
            </w:pPr>
            <w:r>
              <w:rPr>
                <w:rFonts w:hint="eastAsia" w:ascii="宋体" w:hAnsi="宋体" w:eastAsia="宋体" w:cs="宋体"/>
                <w:color w:val="auto"/>
                <w:spacing w:val="8"/>
                <w:sz w:val="23"/>
                <w:szCs w:val="23"/>
                <w:highlight w:val="none"/>
              </w:rPr>
              <w:t>（6）投标人或其法定代表人、拟委任的项目经理和项目总工在近三年内有行贿犯罪行为的；</w:t>
            </w:r>
            <w:r>
              <w:rPr>
                <w:rFonts w:hint="eastAsia" w:ascii="宋体" w:hAnsi="宋体" w:eastAsia="宋体" w:cs="宋体"/>
                <w:color w:val="auto"/>
                <w:spacing w:val="8"/>
                <w:sz w:val="23"/>
                <w:szCs w:val="23"/>
                <w:highlight w:val="none"/>
                <w:lang w:eastAsia="zh-CN"/>
              </w:rPr>
              <w:t>（附承诺函）</w:t>
            </w:r>
          </w:p>
          <w:p>
            <w:pPr>
              <w:keepNext w:val="0"/>
              <w:keepLines w:val="0"/>
              <w:pageBreakBefore w:val="0"/>
              <w:widowControl/>
              <w:kinsoku w:val="0"/>
              <w:wordWrap/>
              <w:overflowPunct/>
              <w:topLinePunct w:val="0"/>
              <w:autoSpaceDE w:val="0"/>
              <w:autoSpaceDN w:val="0"/>
              <w:bidi w:val="0"/>
              <w:adjustRightInd w:val="0"/>
              <w:snapToGrid w:val="0"/>
              <w:spacing w:before="153" w:line="240" w:lineRule="auto"/>
              <w:ind w:right="184" w:firstLine="496" w:firstLineChars="200"/>
              <w:textAlignment w:val="baseline"/>
              <w:rPr>
                <w:rFonts w:hint="eastAsia" w:ascii="宋体" w:hAnsi="宋体" w:eastAsia="宋体" w:cs="宋体"/>
                <w:color w:val="auto"/>
                <w:sz w:val="23"/>
                <w:szCs w:val="23"/>
                <w:highlight w:val="none"/>
              </w:rPr>
            </w:pPr>
            <w:r>
              <w:rPr>
                <w:rFonts w:hint="eastAsia" w:ascii="宋体" w:hAnsi="宋体" w:eastAsia="宋体" w:cs="宋体"/>
                <w:color w:val="auto"/>
                <w:spacing w:val="9"/>
                <w:sz w:val="23"/>
                <w:szCs w:val="23"/>
                <w:highlight w:val="none"/>
              </w:rPr>
              <w:t>（7）投标人在投标截止时间前最新的公路建设市场全国综合信用评价结果或宁夏回族自治</w:t>
            </w:r>
            <w:r>
              <w:rPr>
                <w:rFonts w:hint="eastAsia" w:ascii="宋体" w:hAnsi="宋体" w:eastAsia="宋体" w:cs="宋体"/>
                <w:color w:val="auto"/>
                <w:spacing w:val="8"/>
                <w:sz w:val="23"/>
                <w:szCs w:val="23"/>
                <w:highlight w:val="none"/>
              </w:rPr>
              <w:t>区公路建设与养护市场从业单位施工企业信用等级评价结果公示中被评为D级。</w:t>
            </w:r>
          </w:p>
          <w:p>
            <w:pPr>
              <w:keepNext w:val="0"/>
              <w:keepLines w:val="0"/>
              <w:pageBreakBefore w:val="0"/>
              <w:widowControl/>
              <w:kinsoku w:val="0"/>
              <w:wordWrap/>
              <w:overflowPunct/>
              <w:topLinePunct w:val="0"/>
              <w:autoSpaceDE w:val="0"/>
              <w:autoSpaceDN w:val="0"/>
              <w:bidi w:val="0"/>
              <w:adjustRightInd w:val="0"/>
              <w:snapToGrid w:val="0"/>
              <w:spacing w:before="156" w:line="240" w:lineRule="auto"/>
              <w:ind w:firstLine="492" w:firstLineChars="200"/>
              <w:textAlignment w:val="baseline"/>
              <w:rPr>
                <w:rFonts w:hint="eastAsia" w:ascii="宋体" w:hAnsi="宋体" w:eastAsia="宋体" w:cs="宋体"/>
                <w:color w:val="auto"/>
                <w:sz w:val="23"/>
                <w:szCs w:val="23"/>
                <w:highlight w:val="none"/>
              </w:rPr>
            </w:pPr>
            <w:r>
              <w:rPr>
                <w:rFonts w:hint="eastAsia" w:ascii="宋体" w:hAnsi="宋体" w:eastAsia="宋体" w:cs="宋体"/>
                <w:color w:val="auto"/>
                <w:spacing w:val="8"/>
                <w:sz w:val="23"/>
                <w:szCs w:val="23"/>
                <w:highlight w:val="none"/>
              </w:rPr>
              <w:t>（8）法律法规或投标人须知前附表规定的其他情形。</w:t>
            </w:r>
          </w:p>
        </w:tc>
      </w:tr>
    </w:tbl>
    <w:p>
      <w:pPr>
        <w:pStyle w:val="2"/>
        <w:rPr>
          <w:rFonts w:hint="eastAsia" w:ascii="宋体" w:hAnsi="宋体" w:eastAsia="宋体" w:cs="宋体"/>
          <w:color w:val="auto"/>
          <w:highlight w:val="none"/>
        </w:rPr>
      </w:pPr>
    </w:p>
    <w:p>
      <w:pPr>
        <w:rPr>
          <w:rFonts w:hint="eastAsia" w:ascii="宋体" w:hAnsi="宋体" w:eastAsia="宋体" w:cs="宋体"/>
          <w:color w:val="auto"/>
          <w:highlight w:val="none"/>
        </w:rPr>
        <w:sectPr>
          <w:headerReference r:id="rId5" w:type="default"/>
          <w:footerReference r:id="rId6" w:type="default"/>
          <w:pgSz w:w="11907" w:h="16840"/>
          <w:pgMar w:top="1440" w:right="1080" w:bottom="1440" w:left="1080" w:header="866" w:footer="881" w:gutter="0"/>
          <w:pgBorders>
            <w:top w:val="none" w:sz="0" w:space="0"/>
            <w:left w:val="none" w:sz="0" w:space="0"/>
            <w:bottom w:val="none" w:sz="0" w:space="0"/>
            <w:right w:val="none" w:sz="0" w:space="0"/>
          </w:pgBorders>
          <w:pgNumType w:fmt="decimal"/>
          <w:cols w:space="720" w:num="1"/>
        </w:sectPr>
      </w:pPr>
    </w:p>
    <w:p>
      <w:pPr>
        <w:spacing w:before="91" w:line="415" w:lineRule="exact"/>
        <w:ind w:left="997"/>
        <w:outlineLvl w:val="0"/>
        <w:rPr>
          <w:rFonts w:hint="eastAsia" w:ascii="宋体" w:hAnsi="宋体" w:eastAsia="宋体" w:cs="宋体"/>
          <w:color w:val="auto"/>
          <w:sz w:val="13"/>
          <w:szCs w:val="13"/>
          <w:highlight w:val="none"/>
        </w:rPr>
      </w:pPr>
      <w:bookmarkStart w:id="4" w:name="_Toc30052"/>
      <w:r>
        <w:rPr>
          <w:rFonts w:hint="eastAsia" w:ascii="宋体" w:hAnsi="宋体" w:eastAsia="宋体" w:cs="宋体"/>
          <w:color w:val="auto"/>
          <w:spacing w:val="-1"/>
          <w:position w:val="1"/>
          <w:sz w:val="28"/>
          <w:szCs w:val="28"/>
          <w:highlight w:val="none"/>
        </w:rPr>
        <w:t>附录5资格审查条件（项目经理和项目总工最低要求）</w:t>
      </w:r>
      <w:bookmarkEnd w:id="4"/>
    </w:p>
    <w:p>
      <w:pPr>
        <w:spacing w:line="188" w:lineRule="exact"/>
        <w:rPr>
          <w:rFonts w:hint="eastAsia" w:ascii="宋体" w:hAnsi="宋体" w:eastAsia="宋体" w:cs="宋体"/>
          <w:color w:val="auto"/>
          <w:highlight w:val="none"/>
        </w:rPr>
      </w:pPr>
    </w:p>
    <w:tbl>
      <w:tblPr>
        <w:tblStyle w:val="7"/>
        <w:tblW w:w="97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7"/>
        <w:gridCol w:w="675"/>
        <w:gridCol w:w="7002"/>
        <w:gridCol w:w="132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jc w:val="center"/>
        </w:trPr>
        <w:tc>
          <w:tcPr>
            <w:tcW w:w="717"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z w:val="23"/>
                <w:szCs w:val="23"/>
                <w:highlight w:val="none"/>
              </w:rPr>
            </w:pPr>
            <w:r>
              <w:rPr>
                <w:rFonts w:hint="eastAsia" w:ascii="宋体" w:hAnsi="宋体" w:eastAsia="宋体" w:cs="宋体"/>
                <w:color w:val="auto"/>
                <w:spacing w:val="-1"/>
                <w:sz w:val="23"/>
                <w:szCs w:val="23"/>
                <w:highlight w:val="none"/>
              </w:rPr>
              <w:t>人员</w:t>
            </w:r>
          </w:p>
        </w:tc>
        <w:tc>
          <w:tcPr>
            <w:tcW w:w="675"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pacing w:val="-1"/>
                <w:sz w:val="23"/>
                <w:szCs w:val="23"/>
                <w:highlight w:val="none"/>
              </w:rPr>
            </w:pPr>
            <w:r>
              <w:rPr>
                <w:rFonts w:hint="eastAsia" w:ascii="宋体" w:hAnsi="宋体" w:eastAsia="宋体" w:cs="宋体"/>
                <w:color w:val="auto"/>
                <w:spacing w:val="-1"/>
                <w:sz w:val="23"/>
                <w:szCs w:val="23"/>
                <w:highlight w:val="none"/>
              </w:rPr>
              <w:t>数量</w:t>
            </w:r>
          </w:p>
        </w:tc>
        <w:tc>
          <w:tcPr>
            <w:tcW w:w="700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pacing w:val="-1"/>
                <w:sz w:val="23"/>
                <w:szCs w:val="23"/>
                <w:highlight w:val="none"/>
              </w:rPr>
            </w:pPr>
            <w:r>
              <w:rPr>
                <w:rFonts w:hint="eastAsia" w:ascii="宋体" w:hAnsi="宋体" w:eastAsia="宋体" w:cs="宋体"/>
                <w:color w:val="auto"/>
                <w:spacing w:val="-1"/>
                <w:sz w:val="23"/>
                <w:szCs w:val="23"/>
                <w:highlight w:val="none"/>
              </w:rPr>
              <w:t>资格要求</w:t>
            </w:r>
          </w:p>
        </w:tc>
        <w:tc>
          <w:tcPr>
            <w:tcW w:w="132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pacing w:val="-1"/>
                <w:sz w:val="23"/>
                <w:szCs w:val="23"/>
                <w:highlight w:val="none"/>
              </w:rPr>
            </w:pPr>
            <w:r>
              <w:rPr>
                <w:rFonts w:hint="eastAsia" w:ascii="宋体" w:hAnsi="宋体" w:eastAsia="宋体" w:cs="宋体"/>
                <w:color w:val="auto"/>
                <w:spacing w:val="-1"/>
                <w:sz w:val="23"/>
                <w:szCs w:val="23"/>
                <w:highlight w:val="none"/>
              </w:rPr>
              <w:t>在岗要求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2" w:hRule="atLeast"/>
          <w:jc w:val="center"/>
        </w:trPr>
        <w:tc>
          <w:tcPr>
            <w:tcW w:w="717"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pacing w:val="-1"/>
                <w:sz w:val="23"/>
                <w:szCs w:val="23"/>
                <w:highlight w:val="none"/>
              </w:rPr>
            </w:pPr>
            <w:r>
              <w:rPr>
                <w:rFonts w:hint="eastAsia" w:ascii="宋体" w:hAnsi="宋体" w:eastAsia="宋体" w:cs="宋体"/>
                <w:color w:val="auto"/>
                <w:spacing w:val="-1"/>
                <w:sz w:val="23"/>
                <w:szCs w:val="23"/>
                <w:highlight w:val="none"/>
              </w:rPr>
              <w:t>项目</w:t>
            </w: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pacing w:val="-1"/>
                <w:sz w:val="23"/>
                <w:szCs w:val="23"/>
                <w:highlight w:val="none"/>
              </w:rPr>
            </w:pPr>
            <w:r>
              <w:rPr>
                <w:rFonts w:hint="eastAsia" w:ascii="宋体" w:hAnsi="宋体" w:eastAsia="宋体" w:cs="宋体"/>
                <w:color w:val="auto"/>
                <w:spacing w:val="-1"/>
                <w:sz w:val="23"/>
                <w:szCs w:val="23"/>
                <w:highlight w:val="none"/>
              </w:rPr>
              <w:t>经理</w:t>
            </w:r>
          </w:p>
        </w:tc>
        <w:tc>
          <w:tcPr>
            <w:tcW w:w="675"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z w:val="23"/>
                <w:szCs w:val="23"/>
                <w:highlight w:val="none"/>
                <w:lang w:val="en-US" w:eastAsia="zh-CN"/>
              </w:rPr>
            </w:pPr>
            <w:r>
              <w:rPr>
                <w:rFonts w:hint="eastAsia" w:ascii="宋体" w:hAnsi="宋体" w:eastAsia="宋体" w:cs="宋体"/>
                <w:color w:val="auto"/>
                <w:sz w:val="23"/>
                <w:szCs w:val="23"/>
                <w:highlight w:val="none"/>
                <w:lang w:val="en-US" w:eastAsia="zh-CN"/>
              </w:rPr>
              <w:t>1</w:t>
            </w:r>
          </w:p>
        </w:tc>
        <w:tc>
          <w:tcPr>
            <w:tcW w:w="7002" w:type="dxa"/>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color w:val="auto"/>
                <w:spacing w:val="4"/>
                <w:sz w:val="23"/>
                <w:szCs w:val="23"/>
                <w:highlight w:val="none"/>
              </w:rPr>
            </w:pPr>
            <w:r>
              <w:rPr>
                <w:rFonts w:hint="eastAsia" w:ascii="宋体" w:hAnsi="宋体" w:eastAsia="宋体" w:cs="宋体"/>
                <w:color w:val="auto"/>
                <w:spacing w:val="7"/>
                <w:sz w:val="23"/>
                <w:szCs w:val="23"/>
                <w:highlight w:val="none"/>
              </w:rPr>
              <w:t>投标人需满足以下要求：</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238" w:firstLineChars="100"/>
              <w:jc w:val="left"/>
              <w:textAlignment w:val="baseline"/>
              <w:rPr>
                <w:rFonts w:hint="eastAsia" w:ascii="宋体" w:hAnsi="宋体" w:eastAsia="宋体" w:cs="宋体"/>
                <w:color w:val="auto"/>
                <w:sz w:val="23"/>
                <w:szCs w:val="23"/>
                <w:highlight w:val="none"/>
                <w:lang w:eastAsia="zh-CN"/>
              </w:rPr>
            </w:pPr>
            <w:r>
              <w:rPr>
                <w:rFonts w:hint="eastAsia" w:ascii="宋体" w:hAnsi="宋体" w:eastAsia="宋体" w:cs="宋体"/>
                <w:color w:val="auto"/>
                <w:spacing w:val="4"/>
                <w:sz w:val="23"/>
                <w:szCs w:val="23"/>
                <w:highlight w:val="none"/>
              </w:rPr>
              <w:t>1、</w:t>
            </w:r>
            <w:r>
              <w:rPr>
                <w:rFonts w:hint="eastAsia" w:ascii="宋体" w:hAnsi="宋体" w:eastAsia="宋体" w:cs="宋体"/>
                <w:color w:val="auto"/>
                <w:spacing w:val="4"/>
                <w:sz w:val="23"/>
                <w:szCs w:val="23"/>
                <w:highlight w:val="none"/>
                <w:u w:val="single" w:color="auto"/>
              </w:rPr>
              <w:t>具有公路工程</w:t>
            </w:r>
            <w:r>
              <w:rPr>
                <w:rFonts w:hint="eastAsia" w:ascii="宋体" w:hAnsi="宋体" w:eastAsia="宋体" w:cs="宋体"/>
                <w:color w:val="auto"/>
                <w:spacing w:val="4"/>
                <w:sz w:val="23"/>
                <w:szCs w:val="23"/>
                <w:highlight w:val="none"/>
              </w:rPr>
              <w:t>相关专业</w:t>
            </w:r>
            <w:r>
              <w:rPr>
                <w:rFonts w:hint="eastAsia" w:ascii="宋体" w:hAnsi="宋体" w:eastAsia="宋体" w:cs="宋体"/>
                <w:color w:val="auto"/>
                <w:spacing w:val="4"/>
                <w:sz w:val="23"/>
                <w:szCs w:val="23"/>
                <w:highlight w:val="none"/>
                <w:u w:val="single" w:color="auto"/>
              </w:rPr>
              <w:t>中</w:t>
            </w:r>
            <w:r>
              <w:rPr>
                <w:rFonts w:hint="eastAsia" w:ascii="宋体" w:hAnsi="宋体" w:eastAsia="宋体" w:cs="宋体"/>
                <w:color w:val="auto"/>
                <w:spacing w:val="4"/>
                <w:sz w:val="23"/>
                <w:szCs w:val="23"/>
                <w:highlight w:val="none"/>
              </w:rPr>
              <w:t>级</w:t>
            </w:r>
            <w:r>
              <w:rPr>
                <w:rFonts w:hint="eastAsia" w:ascii="宋体" w:hAnsi="宋体" w:eastAsia="宋体" w:cs="宋体"/>
                <w:color w:val="auto"/>
                <w:spacing w:val="4"/>
                <w:sz w:val="23"/>
                <w:szCs w:val="23"/>
                <w:highlight w:val="none"/>
                <w:lang w:eastAsia="zh-CN"/>
              </w:rPr>
              <w:t>及</w:t>
            </w:r>
            <w:r>
              <w:rPr>
                <w:rFonts w:hint="eastAsia" w:ascii="宋体" w:hAnsi="宋体" w:eastAsia="宋体" w:cs="宋体"/>
                <w:color w:val="auto"/>
                <w:spacing w:val="4"/>
                <w:sz w:val="23"/>
                <w:szCs w:val="23"/>
                <w:highlight w:val="none"/>
              </w:rPr>
              <w:t>以上职称，</w:t>
            </w:r>
            <w:r>
              <w:rPr>
                <w:rFonts w:hint="eastAsia" w:ascii="宋体" w:hAnsi="宋体" w:eastAsia="宋体" w:cs="宋体"/>
                <w:color w:val="auto"/>
                <w:spacing w:val="4"/>
                <w:sz w:val="23"/>
                <w:szCs w:val="23"/>
                <w:highlight w:val="none"/>
                <w:lang w:eastAsia="zh-CN"/>
              </w:rPr>
              <w:t>并</w:t>
            </w:r>
            <w:r>
              <w:rPr>
                <w:rFonts w:hint="eastAsia" w:ascii="宋体" w:hAnsi="宋体" w:eastAsia="宋体" w:cs="宋体"/>
                <w:color w:val="auto"/>
                <w:spacing w:val="4"/>
                <w:sz w:val="23"/>
                <w:szCs w:val="23"/>
                <w:highlight w:val="none"/>
              </w:rPr>
              <w:t>具有</w:t>
            </w:r>
            <w:r>
              <w:rPr>
                <w:rFonts w:hint="eastAsia" w:ascii="宋体" w:hAnsi="宋体" w:eastAsia="宋体" w:cs="宋体"/>
                <w:color w:val="auto"/>
                <w:spacing w:val="4"/>
                <w:sz w:val="23"/>
                <w:szCs w:val="23"/>
                <w:highlight w:val="none"/>
                <w:lang w:eastAsia="zh-CN"/>
              </w:rPr>
              <w:t>目前注册在投标人单位的由住房和城乡建设部门颁发的公路工程专业</w:t>
            </w:r>
            <w:r>
              <w:rPr>
                <w:rFonts w:hint="eastAsia" w:ascii="宋体" w:hAnsi="宋体" w:eastAsia="宋体" w:cs="宋体"/>
                <w:color w:val="auto"/>
                <w:spacing w:val="4"/>
                <w:sz w:val="23"/>
                <w:szCs w:val="23"/>
                <w:highlight w:val="none"/>
                <w:u w:val="single" w:color="auto"/>
                <w:lang w:eastAsia="zh-CN"/>
              </w:rPr>
              <w:t>二</w:t>
            </w:r>
            <w:r>
              <w:rPr>
                <w:rFonts w:hint="eastAsia" w:ascii="宋体" w:hAnsi="宋体" w:eastAsia="宋体" w:cs="宋体"/>
                <w:color w:val="auto"/>
                <w:spacing w:val="4"/>
                <w:sz w:val="23"/>
                <w:szCs w:val="23"/>
                <w:highlight w:val="none"/>
                <w:u w:val="single" w:color="auto"/>
              </w:rPr>
              <w:t>级</w:t>
            </w:r>
            <w:r>
              <w:rPr>
                <w:rFonts w:hint="eastAsia" w:ascii="宋体" w:hAnsi="宋体" w:eastAsia="宋体" w:cs="宋体"/>
                <w:color w:val="auto"/>
                <w:spacing w:val="4"/>
                <w:sz w:val="23"/>
                <w:szCs w:val="23"/>
                <w:highlight w:val="none"/>
                <w:u w:val="single" w:color="auto"/>
                <w:lang w:eastAsia="zh-CN"/>
              </w:rPr>
              <w:t>及以上</w:t>
            </w:r>
            <w:r>
              <w:rPr>
                <w:rFonts w:hint="eastAsia" w:ascii="宋体" w:hAnsi="宋体" w:eastAsia="宋体" w:cs="宋体"/>
                <w:color w:val="auto"/>
                <w:spacing w:val="4"/>
                <w:sz w:val="23"/>
                <w:szCs w:val="23"/>
                <w:highlight w:val="none"/>
                <w:u w:val="single" w:color="auto"/>
              </w:rPr>
              <w:t>注册</w:t>
            </w:r>
            <w:r>
              <w:rPr>
                <w:rFonts w:hint="eastAsia" w:ascii="宋体" w:hAnsi="宋体" w:eastAsia="宋体" w:cs="宋体"/>
                <w:color w:val="auto"/>
                <w:spacing w:val="4"/>
                <w:sz w:val="23"/>
                <w:szCs w:val="23"/>
                <w:highlight w:val="none"/>
              </w:rPr>
              <w:t>建造师证</w:t>
            </w:r>
            <w:r>
              <w:rPr>
                <w:rFonts w:hint="eastAsia" w:ascii="宋体" w:hAnsi="宋体" w:eastAsia="宋体" w:cs="宋体"/>
                <w:color w:val="auto"/>
                <w:spacing w:val="4"/>
                <w:sz w:val="23"/>
                <w:szCs w:val="23"/>
                <w:highlight w:val="none"/>
                <w:lang w:eastAsia="zh-CN"/>
              </w:rPr>
              <w:t>，持有</w:t>
            </w:r>
            <w:r>
              <w:rPr>
                <w:rFonts w:hint="eastAsia" w:ascii="宋体" w:hAnsi="宋体" w:eastAsia="宋体" w:cs="宋体"/>
                <w:color w:val="auto"/>
                <w:spacing w:val="5"/>
                <w:sz w:val="23"/>
                <w:szCs w:val="23"/>
                <w:highlight w:val="none"/>
              </w:rPr>
              <w:t>交通行业主管部门颁发B</w:t>
            </w:r>
            <w:r>
              <w:rPr>
                <w:rFonts w:hint="eastAsia" w:ascii="宋体" w:hAnsi="宋体" w:eastAsia="宋体" w:cs="宋体"/>
                <w:color w:val="auto"/>
                <w:spacing w:val="4"/>
                <w:sz w:val="23"/>
                <w:szCs w:val="23"/>
                <w:highlight w:val="none"/>
              </w:rPr>
              <w:t>类</w:t>
            </w:r>
            <w:r>
              <w:rPr>
                <w:rFonts w:hint="eastAsia" w:ascii="宋体" w:hAnsi="宋体" w:eastAsia="宋体" w:cs="宋体"/>
                <w:color w:val="auto"/>
                <w:spacing w:val="4"/>
                <w:sz w:val="23"/>
                <w:szCs w:val="23"/>
                <w:highlight w:val="none"/>
                <w:lang w:eastAsia="zh-CN"/>
              </w:rPr>
              <w:t>安全生产合格</w:t>
            </w:r>
            <w:r>
              <w:rPr>
                <w:rFonts w:hint="eastAsia" w:ascii="宋体" w:hAnsi="宋体" w:eastAsia="宋体" w:cs="宋体"/>
                <w:color w:val="auto"/>
                <w:spacing w:val="4"/>
                <w:sz w:val="23"/>
                <w:szCs w:val="23"/>
                <w:highlight w:val="none"/>
              </w:rPr>
              <w:t>证书并在有效期内。</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firstLine="232" w:firstLineChars="100"/>
              <w:jc w:val="left"/>
              <w:textAlignment w:val="baseline"/>
              <w:rPr>
                <w:rFonts w:hint="eastAsia" w:ascii="宋体" w:hAnsi="宋体" w:eastAsia="宋体" w:cs="宋体"/>
                <w:color w:val="auto"/>
                <w:highlight w:val="none"/>
                <w:lang w:eastAsia="zh-CN"/>
              </w:rPr>
            </w:pPr>
            <w:r>
              <w:rPr>
                <w:rFonts w:hint="eastAsia" w:ascii="宋体" w:hAnsi="宋体" w:eastAsia="宋体" w:cs="宋体"/>
                <w:color w:val="auto"/>
                <w:spacing w:val="1"/>
                <w:sz w:val="23"/>
                <w:szCs w:val="23"/>
                <w:highlight w:val="none"/>
              </w:rPr>
              <w:t>2、</w:t>
            </w:r>
            <w:r>
              <w:rPr>
                <w:rFonts w:hint="eastAsia" w:ascii="宋体" w:hAnsi="宋体" w:eastAsia="宋体" w:cs="宋体"/>
                <w:color w:val="auto"/>
                <w:spacing w:val="4"/>
                <w:sz w:val="23"/>
                <w:szCs w:val="23"/>
                <w:highlight w:val="none"/>
              </w:rPr>
              <w:t>近</w:t>
            </w:r>
            <w:r>
              <w:rPr>
                <w:rFonts w:hint="eastAsia" w:ascii="宋体" w:hAnsi="宋体" w:eastAsia="宋体" w:cs="宋体"/>
                <w:color w:val="auto"/>
                <w:spacing w:val="4"/>
                <w:sz w:val="23"/>
                <w:szCs w:val="23"/>
                <w:highlight w:val="none"/>
                <w:lang w:val="en-US" w:eastAsia="zh-CN"/>
              </w:rPr>
              <w:t>3年内</w:t>
            </w:r>
            <w:r>
              <w:rPr>
                <w:rFonts w:hint="eastAsia" w:ascii="宋体" w:hAnsi="宋体" w:eastAsia="宋体" w:cs="宋体"/>
                <w:color w:val="auto"/>
                <w:spacing w:val="4"/>
                <w:sz w:val="23"/>
                <w:szCs w:val="23"/>
                <w:highlight w:val="none"/>
              </w:rPr>
              <w:t>（</w:t>
            </w:r>
            <w:r>
              <w:rPr>
                <w:rFonts w:hint="eastAsia" w:ascii="宋体" w:hAnsi="宋体" w:eastAsia="宋体" w:cs="宋体"/>
                <w:color w:val="auto"/>
                <w:spacing w:val="4"/>
                <w:sz w:val="23"/>
                <w:szCs w:val="23"/>
                <w:highlight w:val="none"/>
                <w:lang w:val="en-US" w:eastAsia="zh-CN"/>
              </w:rPr>
              <w:t>2022</w:t>
            </w:r>
            <w:r>
              <w:rPr>
                <w:rFonts w:hint="eastAsia" w:ascii="宋体" w:hAnsi="宋体" w:eastAsia="宋体" w:cs="宋体"/>
                <w:color w:val="auto"/>
                <w:spacing w:val="4"/>
                <w:sz w:val="23"/>
                <w:szCs w:val="23"/>
                <w:highlight w:val="none"/>
              </w:rPr>
              <w:t>年</w:t>
            </w:r>
            <w:r>
              <w:rPr>
                <w:rFonts w:hint="eastAsia" w:ascii="宋体" w:hAnsi="宋体" w:eastAsia="宋体" w:cs="宋体"/>
                <w:color w:val="auto"/>
                <w:spacing w:val="4"/>
                <w:sz w:val="23"/>
                <w:szCs w:val="23"/>
                <w:highlight w:val="none"/>
                <w:lang w:val="en-US" w:eastAsia="zh-CN"/>
              </w:rPr>
              <w:t>3</w:t>
            </w:r>
            <w:r>
              <w:rPr>
                <w:rFonts w:hint="eastAsia" w:ascii="宋体" w:hAnsi="宋体" w:eastAsia="宋体" w:cs="宋体"/>
                <w:color w:val="auto"/>
                <w:spacing w:val="4"/>
                <w:sz w:val="23"/>
                <w:szCs w:val="23"/>
                <w:highlight w:val="none"/>
              </w:rPr>
              <w:t>月</w:t>
            </w:r>
            <w:r>
              <w:rPr>
                <w:rFonts w:hint="eastAsia" w:ascii="宋体" w:hAnsi="宋体" w:eastAsia="宋体" w:cs="宋体"/>
                <w:color w:val="auto"/>
                <w:spacing w:val="4"/>
                <w:sz w:val="23"/>
                <w:szCs w:val="23"/>
                <w:highlight w:val="none"/>
                <w:lang w:val="en-US" w:eastAsia="zh-CN"/>
              </w:rPr>
              <w:t>28</w:t>
            </w:r>
            <w:r>
              <w:rPr>
                <w:rFonts w:hint="eastAsia" w:ascii="宋体" w:hAnsi="宋体" w:eastAsia="宋体" w:cs="宋体"/>
                <w:color w:val="auto"/>
                <w:spacing w:val="4"/>
                <w:sz w:val="23"/>
                <w:szCs w:val="23"/>
                <w:highlight w:val="none"/>
              </w:rPr>
              <w:t>日至投标截止时间，精确到天</w:t>
            </w:r>
            <w:r>
              <w:rPr>
                <w:rFonts w:hint="eastAsia" w:ascii="宋体" w:hAnsi="宋体" w:eastAsia="宋体" w:cs="宋体"/>
                <w:color w:val="auto"/>
                <w:spacing w:val="4"/>
                <w:sz w:val="23"/>
                <w:szCs w:val="23"/>
                <w:highlight w:val="none"/>
                <w:lang w:eastAsia="zh-CN"/>
              </w:rPr>
              <w:t>，以交工日期为准）</w:t>
            </w:r>
            <w:r>
              <w:rPr>
                <w:rFonts w:hint="eastAsia" w:ascii="宋体" w:hAnsi="宋体" w:eastAsia="宋体" w:cs="宋体"/>
                <w:color w:val="auto"/>
                <w:spacing w:val="4"/>
                <w:sz w:val="23"/>
                <w:szCs w:val="23"/>
                <w:highlight w:val="none"/>
              </w:rPr>
              <w:t>至少担任过1个</w:t>
            </w:r>
            <w:r>
              <w:rPr>
                <w:rFonts w:hint="eastAsia" w:ascii="宋体" w:hAnsi="宋体" w:eastAsia="宋体" w:cs="宋体"/>
                <w:color w:val="auto"/>
                <w:spacing w:val="4"/>
                <w:sz w:val="23"/>
                <w:szCs w:val="23"/>
                <w:highlight w:val="none"/>
                <w:lang w:eastAsia="zh-CN"/>
              </w:rPr>
              <w:t>二</w:t>
            </w:r>
            <w:r>
              <w:rPr>
                <w:rFonts w:hint="eastAsia" w:ascii="宋体" w:hAnsi="宋体" w:eastAsia="宋体" w:cs="宋体"/>
                <w:color w:val="auto"/>
                <w:spacing w:val="4"/>
                <w:sz w:val="23"/>
                <w:szCs w:val="23"/>
                <w:highlight w:val="none"/>
              </w:rPr>
              <w:t>级及以上等级公路</w:t>
            </w:r>
            <w:r>
              <w:rPr>
                <w:rFonts w:hint="eastAsia" w:ascii="宋体" w:hAnsi="宋体" w:eastAsia="宋体" w:cs="宋体"/>
                <w:color w:val="auto"/>
                <w:spacing w:val="4"/>
                <w:sz w:val="23"/>
                <w:szCs w:val="23"/>
                <w:highlight w:val="none"/>
                <w:lang w:eastAsia="zh-CN"/>
              </w:rPr>
              <w:t>路基</w:t>
            </w:r>
            <w:r>
              <w:rPr>
                <w:rFonts w:hint="eastAsia" w:ascii="宋体" w:hAnsi="宋体" w:eastAsia="宋体" w:cs="宋体"/>
                <w:color w:val="auto"/>
                <w:spacing w:val="4"/>
                <w:sz w:val="23"/>
                <w:szCs w:val="23"/>
                <w:highlight w:val="none"/>
              </w:rPr>
              <w:t>养护工程施工的项目经理职务（或2个项目副经理职务）</w:t>
            </w:r>
            <w:r>
              <w:rPr>
                <w:rFonts w:hint="eastAsia" w:ascii="宋体" w:hAnsi="宋体" w:eastAsia="宋体" w:cs="宋体"/>
                <w:color w:val="auto"/>
                <w:highlight w:val="none"/>
              </w:rPr>
              <w:t>。</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firstLine="240" w:firstLineChars="100"/>
              <w:jc w:val="left"/>
              <w:textAlignment w:val="baseline"/>
              <w:rPr>
                <w:rFonts w:hint="eastAsia" w:ascii="宋体" w:hAnsi="宋体" w:eastAsia="宋体" w:cs="宋体"/>
                <w:color w:val="auto"/>
                <w:spacing w:val="5"/>
                <w:sz w:val="23"/>
                <w:szCs w:val="23"/>
                <w:highlight w:val="none"/>
                <w:lang w:eastAsia="zh-CN"/>
              </w:rPr>
            </w:pPr>
            <w:r>
              <w:rPr>
                <w:rFonts w:hint="eastAsia" w:ascii="宋体" w:hAnsi="宋体" w:eastAsia="宋体" w:cs="宋体"/>
                <w:b/>
                <w:bCs/>
                <w:color w:val="auto"/>
                <w:spacing w:val="5"/>
                <w:sz w:val="23"/>
                <w:szCs w:val="23"/>
                <w:highlight w:val="none"/>
                <w:lang w:eastAsia="zh-CN"/>
              </w:rPr>
              <w:t>注：</w:t>
            </w:r>
            <w:r>
              <w:rPr>
                <w:rFonts w:hint="eastAsia" w:ascii="宋体" w:hAnsi="宋体" w:eastAsia="宋体" w:cs="宋体"/>
                <w:color w:val="auto"/>
                <w:spacing w:val="5"/>
                <w:sz w:val="23"/>
                <w:szCs w:val="23"/>
                <w:highlight w:val="none"/>
                <w:lang w:eastAsia="zh-CN"/>
              </w:rPr>
              <w:t>补充投标人须知正文第3.5.5项：</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firstLine="240" w:firstLineChars="100"/>
              <w:jc w:val="left"/>
              <w:textAlignment w:val="baseline"/>
              <w:rPr>
                <w:rFonts w:hint="eastAsia" w:ascii="宋体" w:hAnsi="宋体" w:eastAsia="宋体" w:cs="宋体"/>
                <w:color w:val="auto"/>
                <w:spacing w:val="5"/>
                <w:sz w:val="23"/>
                <w:szCs w:val="23"/>
                <w:highlight w:val="none"/>
                <w:lang w:eastAsia="zh-CN"/>
              </w:rPr>
            </w:pPr>
            <w:r>
              <w:rPr>
                <w:rFonts w:hint="eastAsia" w:ascii="宋体" w:hAnsi="宋体" w:eastAsia="宋体" w:cs="宋体"/>
                <w:color w:val="auto"/>
                <w:spacing w:val="5"/>
                <w:sz w:val="23"/>
                <w:szCs w:val="23"/>
                <w:highlight w:val="none"/>
                <w:lang w:eastAsia="zh-CN"/>
              </w:rPr>
              <w:t>（1）投标人应按资格审查资料表（六）拟委任的项目经理和项目总工资历表的格式要求分别填写项目经理和项目总工的资历，还应后附相关资格证明材料的扫描件。</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firstLine="240" w:firstLineChars="100"/>
              <w:jc w:val="left"/>
              <w:textAlignment w:val="baseline"/>
              <w:rPr>
                <w:rFonts w:hint="eastAsia" w:ascii="宋体" w:hAnsi="宋体" w:eastAsia="宋体" w:cs="宋体"/>
                <w:color w:val="auto"/>
                <w:spacing w:val="5"/>
                <w:sz w:val="23"/>
                <w:szCs w:val="23"/>
                <w:highlight w:val="none"/>
                <w:lang w:eastAsia="zh-CN"/>
              </w:rPr>
            </w:pPr>
            <w:r>
              <w:rPr>
                <w:rFonts w:hint="eastAsia" w:ascii="宋体" w:hAnsi="宋体" w:eastAsia="宋体" w:cs="宋体"/>
                <w:color w:val="auto"/>
                <w:spacing w:val="5"/>
                <w:sz w:val="23"/>
                <w:szCs w:val="23"/>
                <w:highlight w:val="none"/>
                <w:lang w:eastAsia="zh-CN"/>
              </w:rPr>
              <w:t>（2）项目经理须提供的资格证明材料：身份证、职称资格证书、建造师注册证书、B类安全生产考核合格证书，建造师注册证书及B类安全生产考核合格证书在政府相关部门网站上公开信息的网页截图以及在社保系统打印的拟委任的项目经理2024年</w:t>
            </w:r>
            <w:r>
              <w:rPr>
                <w:rFonts w:hint="eastAsia" w:ascii="宋体" w:hAnsi="宋体" w:eastAsia="宋体" w:cs="宋体"/>
                <w:color w:val="auto"/>
                <w:spacing w:val="5"/>
                <w:sz w:val="23"/>
                <w:szCs w:val="23"/>
                <w:highlight w:val="none"/>
                <w:lang w:val="en-US" w:eastAsia="zh-CN"/>
              </w:rPr>
              <w:t>10</w:t>
            </w:r>
            <w:r>
              <w:rPr>
                <w:rFonts w:hint="eastAsia" w:ascii="宋体" w:hAnsi="宋体" w:eastAsia="宋体" w:cs="宋体"/>
                <w:color w:val="auto"/>
                <w:spacing w:val="5"/>
                <w:sz w:val="23"/>
                <w:szCs w:val="23"/>
                <w:highlight w:val="none"/>
                <w:lang w:eastAsia="zh-CN"/>
              </w:rPr>
              <w:t>月至今任意连续3个月的缴费明细扫描件、人员相关业绩的网页截图、在岗撤离承诺书（如需）。</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firstLine="240" w:firstLineChars="100"/>
              <w:jc w:val="left"/>
              <w:textAlignment w:val="baseline"/>
              <w:rPr>
                <w:rFonts w:hint="eastAsia" w:ascii="宋体" w:hAnsi="宋体" w:eastAsia="宋体" w:cs="宋体"/>
                <w:color w:val="auto"/>
                <w:spacing w:val="5"/>
                <w:sz w:val="23"/>
                <w:szCs w:val="23"/>
                <w:highlight w:val="none"/>
                <w:lang w:eastAsia="zh-CN"/>
              </w:rPr>
            </w:pPr>
            <w:r>
              <w:rPr>
                <w:rFonts w:hint="eastAsia" w:ascii="宋体" w:hAnsi="宋体" w:eastAsia="宋体" w:cs="宋体"/>
                <w:color w:val="auto"/>
                <w:spacing w:val="5"/>
                <w:sz w:val="23"/>
                <w:szCs w:val="23"/>
                <w:highlight w:val="none"/>
                <w:lang w:eastAsia="zh-CN"/>
              </w:rPr>
              <w:t>（</w:t>
            </w:r>
            <w:r>
              <w:rPr>
                <w:rFonts w:hint="eastAsia" w:ascii="宋体" w:hAnsi="宋体" w:eastAsia="宋体" w:cs="宋体"/>
                <w:color w:val="auto"/>
                <w:spacing w:val="5"/>
                <w:sz w:val="23"/>
                <w:szCs w:val="23"/>
                <w:highlight w:val="none"/>
                <w:lang w:val="en-US" w:eastAsia="zh-CN"/>
              </w:rPr>
              <w:t>3</w:t>
            </w:r>
            <w:r>
              <w:rPr>
                <w:rFonts w:hint="eastAsia" w:ascii="宋体" w:hAnsi="宋体" w:eastAsia="宋体" w:cs="宋体"/>
                <w:color w:val="auto"/>
                <w:spacing w:val="5"/>
                <w:sz w:val="23"/>
                <w:szCs w:val="23"/>
                <w:highlight w:val="none"/>
                <w:lang w:eastAsia="zh-CN"/>
              </w:rPr>
              <w:t>）项目经理其他要求：必须是在投标人单位参加社会保险的全日制从业人员；注册建造师证书注册的单位必须为投标人，社保缴费单位与投标人名称必须一致；所有证件需清楚的反映有效期、年检情况及单位变更情况信息（如有）；所附人员的各类证书、证照以及各种证明材料中该人员的姓名应完全一致（除曾用名）。</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firstLine="240" w:firstLineChars="100"/>
              <w:jc w:val="left"/>
              <w:textAlignment w:val="baseline"/>
              <w:rPr>
                <w:rFonts w:hint="eastAsia" w:ascii="宋体" w:hAnsi="宋体" w:eastAsia="宋体" w:cs="宋体"/>
                <w:color w:val="auto"/>
                <w:spacing w:val="5"/>
                <w:sz w:val="23"/>
                <w:szCs w:val="23"/>
                <w:highlight w:val="none"/>
                <w:lang w:eastAsia="zh-CN"/>
              </w:rPr>
            </w:pPr>
            <w:r>
              <w:rPr>
                <w:rFonts w:hint="eastAsia" w:ascii="宋体" w:hAnsi="宋体" w:eastAsia="宋体" w:cs="宋体"/>
                <w:color w:val="auto"/>
                <w:spacing w:val="5"/>
                <w:sz w:val="23"/>
                <w:szCs w:val="23"/>
                <w:highlight w:val="none"/>
                <w:lang w:eastAsia="zh-CN"/>
              </w:rPr>
              <w:t>（</w:t>
            </w:r>
            <w:r>
              <w:rPr>
                <w:rFonts w:hint="eastAsia" w:ascii="宋体" w:hAnsi="宋体" w:eastAsia="宋体" w:cs="宋体"/>
                <w:color w:val="auto"/>
                <w:spacing w:val="5"/>
                <w:sz w:val="23"/>
                <w:szCs w:val="23"/>
                <w:highlight w:val="none"/>
                <w:lang w:val="en-US" w:eastAsia="zh-CN"/>
              </w:rPr>
              <w:t>4</w:t>
            </w:r>
            <w:r>
              <w:rPr>
                <w:rFonts w:hint="eastAsia" w:ascii="宋体" w:hAnsi="宋体" w:eastAsia="宋体" w:cs="宋体"/>
                <w:color w:val="auto"/>
                <w:spacing w:val="5"/>
                <w:sz w:val="23"/>
                <w:szCs w:val="23"/>
                <w:highlight w:val="none"/>
                <w:lang w:eastAsia="zh-CN"/>
              </w:rPr>
              <w:t>）人员相关业绩的网页截图要求：“拟委任的项目经理和项目总工资历表”还应附“全国公路建设市场监督管理系统”中载明的、能够证明项目经理和项目总工具有相关业绩的网页截图。在“全国公路建设市场监督管理系统”中无法查询，但可在工程所在地省级交通运输主管部门公路建设与养护市场信用信息管理系统中查询的，应附工程所在地省级交通运输主管部门公路建设与养护市场信用信息管理系统中查询到的网页截图。除网页截图外，投标人无须再提供任何业绩证明资料。除网页截图外，其余业绩材料体现的但系统网站中未载明的信息在评审时均不予采信。如投标人未提供相关项目网页截图或相关项目网页截图中的信息无法证实投标人满足招标文件规定的资格审查条件（项目经理和项目总工最低要求），则该项目业绩不予认定。</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firstLine="240" w:firstLineChars="100"/>
              <w:jc w:val="left"/>
              <w:textAlignment w:val="baseline"/>
              <w:rPr>
                <w:rFonts w:hint="eastAsia" w:ascii="宋体" w:hAnsi="宋体" w:eastAsia="宋体" w:cs="宋体"/>
                <w:color w:val="auto"/>
                <w:spacing w:val="5"/>
                <w:sz w:val="23"/>
                <w:szCs w:val="23"/>
                <w:highlight w:val="none"/>
                <w:lang w:eastAsia="zh-CN"/>
              </w:rPr>
            </w:pPr>
            <w:r>
              <w:rPr>
                <w:rFonts w:hint="eastAsia" w:ascii="宋体" w:hAnsi="宋体" w:eastAsia="宋体" w:cs="宋体"/>
                <w:color w:val="auto"/>
                <w:spacing w:val="5"/>
                <w:sz w:val="23"/>
                <w:szCs w:val="23"/>
                <w:highlight w:val="none"/>
                <w:lang w:eastAsia="zh-CN"/>
              </w:rPr>
              <w:t>（</w:t>
            </w:r>
            <w:r>
              <w:rPr>
                <w:rFonts w:hint="eastAsia" w:ascii="宋体" w:hAnsi="宋体" w:eastAsia="宋体" w:cs="宋体"/>
                <w:color w:val="auto"/>
                <w:spacing w:val="5"/>
                <w:sz w:val="23"/>
                <w:szCs w:val="23"/>
                <w:highlight w:val="none"/>
                <w:lang w:val="en-US" w:eastAsia="zh-CN"/>
              </w:rPr>
              <w:t>5</w:t>
            </w:r>
            <w:r>
              <w:rPr>
                <w:rFonts w:hint="eastAsia" w:ascii="宋体" w:hAnsi="宋体" w:eastAsia="宋体" w:cs="宋体"/>
                <w:color w:val="auto"/>
                <w:spacing w:val="5"/>
                <w:sz w:val="23"/>
                <w:szCs w:val="23"/>
                <w:highlight w:val="none"/>
                <w:lang w:eastAsia="zh-CN"/>
              </w:rPr>
              <w:t>）如投标人提供的养护工程施工业绩截图中工程内容包含公路路基工程，则该业绩也予以认定。</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firstLine="240" w:firstLineChars="100"/>
              <w:jc w:val="left"/>
              <w:textAlignment w:val="baseline"/>
              <w:rPr>
                <w:rFonts w:hint="eastAsia" w:ascii="宋体" w:hAnsi="宋体" w:eastAsia="宋体" w:cs="宋体"/>
                <w:color w:val="auto"/>
                <w:spacing w:val="5"/>
                <w:sz w:val="23"/>
                <w:szCs w:val="23"/>
                <w:highlight w:val="none"/>
                <w:lang w:eastAsia="zh-CN"/>
              </w:rPr>
            </w:pPr>
            <w:r>
              <w:rPr>
                <w:rFonts w:hint="eastAsia" w:ascii="宋体" w:hAnsi="宋体" w:eastAsia="宋体" w:cs="宋体"/>
                <w:color w:val="auto"/>
                <w:spacing w:val="5"/>
                <w:sz w:val="23"/>
                <w:szCs w:val="23"/>
                <w:highlight w:val="none"/>
                <w:lang w:eastAsia="zh-CN"/>
              </w:rPr>
              <w:t>（</w:t>
            </w:r>
            <w:r>
              <w:rPr>
                <w:rFonts w:hint="eastAsia" w:ascii="宋体" w:hAnsi="宋体" w:eastAsia="宋体" w:cs="宋体"/>
                <w:color w:val="auto"/>
                <w:spacing w:val="5"/>
                <w:sz w:val="23"/>
                <w:szCs w:val="23"/>
                <w:highlight w:val="none"/>
                <w:lang w:val="en-US" w:eastAsia="zh-CN"/>
              </w:rPr>
              <w:t>6</w:t>
            </w:r>
            <w:r>
              <w:rPr>
                <w:rFonts w:hint="eastAsia" w:ascii="宋体" w:hAnsi="宋体" w:eastAsia="宋体" w:cs="宋体"/>
                <w:color w:val="auto"/>
                <w:spacing w:val="5"/>
                <w:sz w:val="23"/>
                <w:szCs w:val="23"/>
                <w:highlight w:val="none"/>
                <w:lang w:eastAsia="zh-CN"/>
              </w:rPr>
              <w:t>）如项目经理或项目总工目前仍在其他项目上任职，则投标人应出具上述人员能够从该项目撤离的承诺书。</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firstLine="240" w:firstLineChars="100"/>
              <w:jc w:val="left"/>
              <w:textAlignment w:val="baseline"/>
              <w:rPr>
                <w:rFonts w:hint="eastAsia" w:ascii="宋体" w:hAnsi="宋体" w:eastAsia="宋体" w:cs="宋体"/>
                <w:color w:val="auto"/>
                <w:spacing w:val="5"/>
                <w:sz w:val="23"/>
                <w:szCs w:val="23"/>
                <w:highlight w:val="none"/>
                <w:lang w:eastAsia="zh-CN"/>
              </w:rPr>
            </w:pPr>
            <w:r>
              <w:rPr>
                <w:rFonts w:hint="eastAsia" w:ascii="宋体" w:hAnsi="宋体" w:eastAsia="宋体" w:cs="宋体"/>
                <w:color w:val="auto"/>
                <w:spacing w:val="5"/>
                <w:sz w:val="23"/>
                <w:szCs w:val="23"/>
                <w:highlight w:val="none"/>
                <w:lang w:eastAsia="zh-CN"/>
              </w:rPr>
              <w:t>（</w:t>
            </w:r>
            <w:r>
              <w:rPr>
                <w:rFonts w:hint="eastAsia" w:ascii="宋体" w:hAnsi="宋体" w:eastAsia="宋体" w:cs="宋体"/>
                <w:color w:val="auto"/>
                <w:spacing w:val="5"/>
                <w:sz w:val="23"/>
                <w:szCs w:val="23"/>
                <w:highlight w:val="none"/>
                <w:lang w:val="en-US" w:eastAsia="zh-CN"/>
              </w:rPr>
              <w:t>7</w:t>
            </w:r>
            <w:r>
              <w:rPr>
                <w:rFonts w:hint="eastAsia" w:ascii="宋体" w:hAnsi="宋体" w:eastAsia="宋体" w:cs="宋体"/>
                <w:color w:val="auto"/>
                <w:spacing w:val="5"/>
                <w:sz w:val="23"/>
                <w:szCs w:val="23"/>
                <w:highlight w:val="none"/>
                <w:lang w:eastAsia="zh-CN"/>
              </w:rPr>
              <w:t>）公路工程相关专业职称包括：公路工程、桥梁工程、公路与桥梁工程、交通土建工程、隧道（地下结构）工程、交通工程等专业职称。</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firstLine="240" w:firstLineChars="100"/>
              <w:jc w:val="left"/>
              <w:textAlignment w:val="baseline"/>
              <w:rPr>
                <w:rFonts w:hint="eastAsia" w:ascii="宋体" w:hAnsi="宋体" w:eastAsia="宋体" w:cs="宋体"/>
                <w:color w:val="auto"/>
                <w:spacing w:val="5"/>
                <w:sz w:val="23"/>
                <w:szCs w:val="23"/>
                <w:highlight w:val="none"/>
                <w:lang w:eastAsia="zh-CN"/>
              </w:rPr>
            </w:pPr>
            <w:r>
              <w:rPr>
                <w:rFonts w:hint="eastAsia" w:ascii="宋体" w:hAnsi="宋体" w:eastAsia="宋体" w:cs="宋体"/>
                <w:color w:val="auto"/>
                <w:spacing w:val="5"/>
                <w:sz w:val="23"/>
                <w:szCs w:val="23"/>
                <w:highlight w:val="none"/>
                <w:lang w:eastAsia="zh-CN"/>
              </w:rPr>
              <w:t>（</w:t>
            </w:r>
            <w:r>
              <w:rPr>
                <w:rFonts w:hint="eastAsia" w:ascii="宋体" w:hAnsi="宋体" w:eastAsia="宋体" w:cs="宋体"/>
                <w:color w:val="auto"/>
                <w:spacing w:val="5"/>
                <w:sz w:val="23"/>
                <w:szCs w:val="23"/>
                <w:highlight w:val="none"/>
                <w:lang w:val="en-US" w:eastAsia="zh-CN"/>
              </w:rPr>
              <w:t>8</w:t>
            </w:r>
            <w:r>
              <w:rPr>
                <w:rFonts w:hint="eastAsia" w:ascii="宋体" w:hAnsi="宋体" w:eastAsia="宋体" w:cs="宋体"/>
                <w:color w:val="auto"/>
                <w:spacing w:val="5"/>
                <w:sz w:val="23"/>
                <w:szCs w:val="23"/>
                <w:highlight w:val="none"/>
                <w:lang w:eastAsia="zh-CN"/>
              </w:rPr>
              <w:t>）在评审过程中招标人将通过网上核实投标人所提供的网页截图的内容、建造师注册证书、B类安全生产考核合格证书等相关信息，核实后如发现投标人提供的网页截图、信息与招标人核实的内容不一致的，或投标人提供虚假截屏信息的，招标人将视为该投标文件不符合招标文件的规定，在资格评审中不予通过。</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firstLine="240" w:firstLineChars="100"/>
              <w:jc w:val="left"/>
              <w:textAlignment w:val="baseline"/>
              <w:rPr>
                <w:rFonts w:hint="eastAsia" w:ascii="宋体" w:hAnsi="宋体" w:eastAsia="宋体" w:cs="宋体"/>
                <w:color w:val="auto"/>
                <w:spacing w:val="5"/>
                <w:sz w:val="23"/>
                <w:szCs w:val="23"/>
                <w:highlight w:val="none"/>
                <w:lang w:eastAsia="zh-CN"/>
              </w:rPr>
            </w:pPr>
            <w:r>
              <w:rPr>
                <w:rFonts w:hint="eastAsia" w:ascii="宋体" w:hAnsi="宋体" w:eastAsia="宋体" w:cs="宋体"/>
                <w:color w:val="auto"/>
                <w:spacing w:val="5"/>
                <w:sz w:val="23"/>
                <w:szCs w:val="23"/>
                <w:highlight w:val="none"/>
                <w:lang w:eastAsia="zh-CN"/>
              </w:rPr>
              <w:t>（</w:t>
            </w:r>
            <w:r>
              <w:rPr>
                <w:rFonts w:hint="eastAsia" w:ascii="宋体" w:hAnsi="宋体" w:eastAsia="宋体" w:cs="宋体"/>
                <w:color w:val="auto"/>
                <w:spacing w:val="5"/>
                <w:sz w:val="23"/>
                <w:szCs w:val="23"/>
                <w:highlight w:val="none"/>
                <w:lang w:val="en-US" w:eastAsia="zh-CN"/>
              </w:rPr>
              <w:t>9</w:t>
            </w:r>
            <w:r>
              <w:rPr>
                <w:rFonts w:hint="eastAsia" w:ascii="宋体" w:hAnsi="宋体" w:eastAsia="宋体" w:cs="宋体"/>
                <w:color w:val="auto"/>
                <w:spacing w:val="5"/>
                <w:sz w:val="23"/>
                <w:szCs w:val="23"/>
                <w:highlight w:val="none"/>
                <w:lang w:eastAsia="zh-CN"/>
              </w:rPr>
              <w:t>）投标人对投标文件中拟委任的项目经理、项目总工是否在岗必须如实填报，在评标过程中或公示期间，若招标人收到有关反映投标人项目经理、项目总工有在岗项目的投诉，招标人一经查实将认定为失信投标行为（如中标同时取消其中标资格），并依据《宁夏回族自治区公路建设与养护市场信用评价管理办法》（宁交规发〔2024〕1号）文件对投标人本次投标行为进行评价，同时将评价结果上报宁夏回族自治区交通运输厅，并在宁夏回族自治区交通运输厅网站予以公布。</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firstLine="240" w:firstLineChars="100"/>
              <w:jc w:val="left"/>
              <w:textAlignment w:val="baseline"/>
              <w:rPr>
                <w:rFonts w:hint="eastAsia" w:ascii="宋体" w:hAnsi="宋体" w:eastAsia="宋体" w:cs="宋体"/>
                <w:color w:val="auto"/>
                <w:spacing w:val="5"/>
                <w:sz w:val="23"/>
                <w:szCs w:val="23"/>
                <w:highlight w:val="none"/>
                <w:lang w:eastAsia="zh-CN"/>
              </w:rPr>
            </w:pPr>
            <w:r>
              <w:rPr>
                <w:rFonts w:hint="eastAsia" w:ascii="宋体" w:hAnsi="宋体" w:eastAsia="宋体" w:cs="宋体"/>
                <w:color w:val="auto"/>
                <w:spacing w:val="5"/>
                <w:sz w:val="23"/>
                <w:szCs w:val="23"/>
                <w:highlight w:val="none"/>
                <w:lang w:eastAsia="zh-CN"/>
              </w:rPr>
              <w:t>（</w:t>
            </w:r>
            <w:r>
              <w:rPr>
                <w:rFonts w:hint="eastAsia" w:ascii="宋体" w:hAnsi="宋体" w:eastAsia="宋体" w:cs="宋体"/>
                <w:color w:val="auto"/>
                <w:spacing w:val="5"/>
                <w:sz w:val="23"/>
                <w:szCs w:val="23"/>
                <w:highlight w:val="none"/>
                <w:lang w:val="en-US" w:eastAsia="zh-CN"/>
              </w:rPr>
              <w:t>10</w:t>
            </w:r>
            <w:r>
              <w:rPr>
                <w:rFonts w:hint="eastAsia" w:ascii="宋体" w:hAnsi="宋体" w:eastAsia="宋体" w:cs="宋体"/>
                <w:color w:val="auto"/>
                <w:spacing w:val="5"/>
                <w:sz w:val="23"/>
                <w:szCs w:val="23"/>
                <w:highlight w:val="none"/>
                <w:lang w:eastAsia="zh-CN"/>
              </w:rPr>
              <w:t>）招标文件中其他地方与此处不一致时，以此处为准。</w:t>
            </w:r>
          </w:p>
        </w:tc>
        <w:tc>
          <w:tcPr>
            <w:tcW w:w="1320" w:type="dxa"/>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65" w:line="240" w:lineRule="auto"/>
              <w:ind w:left="113" w:right="107" w:firstLine="2"/>
              <w:jc w:val="center"/>
              <w:textAlignment w:val="baseline"/>
              <w:rPr>
                <w:rFonts w:hint="eastAsia" w:ascii="宋体" w:hAnsi="宋体" w:eastAsia="宋体" w:cs="宋体"/>
                <w:color w:val="auto"/>
                <w:sz w:val="23"/>
                <w:szCs w:val="23"/>
                <w:highlight w:val="none"/>
              </w:rPr>
            </w:pPr>
            <w:r>
              <w:rPr>
                <w:rFonts w:hint="eastAsia" w:ascii="宋体" w:hAnsi="宋体" w:eastAsia="宋体" w:cs="宋体"/>
                <w:color w:val="auto"/>
                <w:spacing w:val="10"/>
                <w:sz w:val="23"/>
                <w:szCs w:val="23"/>
                <w:highlight w:val="none"/>
              </w:rPr>
              <w:t>无在岗项</w:t>
            </w:r>
            <w:r>
              <w:rPr>
                <w:rFonts w:hint="eastAsia" w:ascii="宋体" w:hAnsi="宋体" w:eastAsia="宋体" w:cs="宋体"/>
                <w:color w:val="auto"/>
                <w:spacing w:val="11"/>
                <w:sz w:val="23"/>
                <w:szCs w:val="23"/>
                <w:highlight w:val="none"/>
              </w:rPr>
              <w:t>目（指目前未在其他项目上任职，或虽在其他项目上任职但本项目中标后能够从该</w:t>
            </w:r>
            <w:r>
              <w:rPr>
                <w:rFonts w:hint="eastAsia" w:ascii="宋体" w:hAnsi="宋体" w:eastAsia="宋体" w:cs="宋体"/>
                <w:color w:val="auto"/>
                <w:spacing w:val="-12"/>
                <w:sz w:val="23"/>
                <w:szCs w:val="23"/>
                <w:highlight w:val="none"/>
              </w:rPr>
              <w:t>项目撤</w:t>
            </w:r>
            <w:r>
              <w:rPr>
                <w:rFonts w:hint="eastAsia" w:ascii="宋体" w:hAnsi="宋体" w:eastAsia="宋体" w:cs="宋体"/>
                <w:color w:val="auto"/>
                <w:sz w:val="23"/>
                <w:szCs w:val="23"/>
                <w:highlight w:val="none"/>
              </w:rPr>
              <w:t>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3" w:hRule="atLeast"/>
          <w:jc w:val="center"/>
        </w:trPr>
        <w:tc>
          <w:tcPr>
            <w:tcW w:w="717"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pacing w:val="-1"/>
                <w:sz w:val="23"/>
                <w:szCs w:val="23"/>
                <w:highlight w:val="none"/>
              </w:rPr>
            </w:pPr>
            <w:r>
              <w:rPr>
                <w:rFonts w:hint="eastAsia" w:ascii="宋体" w:hAnsi="宋体" w:eastAsia="宋体" w:cs="宋体"/>
                <w:color w:val="auto"/>
                <w:spacing w:val="-1"/>
                <w:sz w:val="23"/>
                <w:szCs w:val="23"/>
                <w:highlight w:val="none"/>
              </w:rPr>
              <w:t>项目</w:t>
            </w: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pacing w:val="-1"/>
                <w:sz w:val="23"/>
                <w:szCs w:val="23"/>
                <w:highlight w:val="none"/>
              </w:rPr>
            </w:pPr>
            <w:r>
              <w:rPr>
                <w:rFonts w:hint="eastAsia" w:ascii="宋体" w:hAnsi="宋体" w:eastAsia="宋体" w:cs="宋体"/>
                <w:color w:val="auto"/>
                <w:spacing w:val="-1"/>
                <w:sz w:val="23"/>
                <w:szCs w:val="23"/>
                <w:highlight w:val="none"/>
              </w:rPr>
              <w:t>总工</w:t>
            </w:r>
          </w:p>
        </w:tc>
        <w:tc>
          <w:tcPr>
            <w:tcW w:w="675"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z w:val="23"/>
                <w:szCs w:val="23"/>
                <w:highlight w:val="none"/>
                <w:lang w:val="en-US" w:eastAsia="zh-CN"/>
              </w:rPr>
            </w:pPr>
            <w:r>
              <w:rPr>
                <w:rFonts w:hint="eastAsia" w:ascii="宋体" w:hAnsi="宋体" w:eastAsia="宋体" w:cs="宋体"/>
                <w:color w:val="auto"/>
                <w:sz w:val="23"/>
                <w:szCs w:val="23"/>
                <w:highlight w:val="none"/>
                <w:lang w:val="en-US" w:eastAsia="zh-CN"/>
              </w:rPr>
              <w:t>1</w:t>
            </w:r>
          </w:p>
        </w:tc>
        <w:tc>
          <w:tcPr>
            <w:tcW w:w="7002" w:type="dxa"/>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color w:val="auto"/>
                <w:spacing w:val="7"/>
                <w:sz w:val="23"/>
                <w:szCs w:val="23"/>
                <w:highlight w:val="none"/>
              </w:rPr>
            </w:pPr>
            <w:r>
              <w:rPr>
                <w:rFonts w:hint="eastAsia" w:ascii="宋体" w:hAnsi="宋体" w:eastAsia="宋体" w:cs="宋体"/>
                <w:color w:val="auto"/>
                <w:spacing w:val="7"/>
                <w:sz w:val="23"/>
                <w:szCs w:val="23"/>
                <w:highlight w:val="none"/>
              </w:rPr>
              <w:t>投标人需满足以下要求：</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firstLine="240" w:firstLineChars="100"/>
              <w:jc w:val="left"/>
              <w:textAlignment w:val="baseline"/>
              <w:rPr>
                <w:rFonts w:hint="eastAsia" w:ascii="宋体" w:hAnsi="宋体" w:eastAsia="宋体" w:cs="宋体"/>
                <w:color w:val="auto"/>
                <w:spacing w:val="5"/>
                <w:sz w:val="23"/>
                <w:szCs w:val="23"/>
                <w:highlight w:val="none"/>
                <w:lang w:eastAsia="zh-CN"/>
              </w:rPr>
            </w:pPr>
            <w:r>
              <w:rPr>
                <w:rFonts w:hint="eastAsia" w:ascii="宋体" w:hAnsi="宋体" w:eastAsia="宋体" w:cs="宋体"/>
                <w:color w:val="auto"/>
                <w:spacing w:val="5"/>
                <w:sz w:val="23"/>
                <w:szCs w:val="23"/>
                <w:highlight w:val="none"/>
                <w:lang w:eastAsia="zh-CN"/>
              </w:rPr>
              <w:t>具有公路工程相关专业中级及以上职称。</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firstLine="240" w:firstLineChars="100"/>
              <w:jc w:val="left"/>
              <w:textAlignment w:val="baseline"/>
              <w:rPr>
                <w:rFonts w:hint="eastAsia" w:ascii="宋体" w:hAnsi="宋体" w:eastAsia="宋体" w:cs="宋体"/>
                <w:color w:val="auto"/>
                <w:spacing w:val="5"/>
                <w:sz w:val="23"/>
                <w:szCs w:val="23"/>
                <w:highlight w:val="none"/>
                <w:lang w:eastAsia="zh-CN"/>
              </w:rPr>
            </w:pPr>
            <w:r>
              <w:rPr>
                <w:rFonts w:hint="eastAsia" w:ascii="宋体" w:hAnsi="宋体" w:eastAsia="宋体" w:cs="宋体"/>
                <w:color w:val="auto"/>
                <w:spacing w:val="5"/>
                <w:sz w:val="23"/>
                <w:szCs w:val="23"/>
                <w:highlight w:val="none"/>
                <w:lang w:eastAsia="zh-CN"/>
              </w:rPr>
              <w:t>近3年内（2022年3月</w:t>
            </w:r>
            <w:r>
              <w:rPr>
                <w:rFonts w:hint="eastAsia" w:ascii="宋体" w:hAnsi="宋体" w:eastAsia="宋体" w:cs="宋体"/>
                <w:color w:val="auto"/>
                <w:spacing w:val="5"/>
                <w:sz w:val="23"/>
                <w:szCs w:val="23"/>
                <w:highlight w:val="none"/>
                <w:lang w:val="en-US" w:eastAsia="zh-CN"/>
              </w:rPr>
              <w:t>28</w:t>
            </w:r>
            <w:r>
              <w:rPr>
                <w:rFonts w:hint="eastAsia" w:ascii="宋体" w:hAnsi="宋体" w:eastAsia="宋体" w:cs="宋体"/>
                <w:color w:val="auto"/>
                <w:spacing w:val="5"/>
                <w:sz w:val="23"/>
                <w:szCs w:val="23"/>
                <w:highlight w:val="none"/>
                <w:lang w:eastAsia="zh-CN"/>
              </w:rPr>
              <w:t>日至投标截止时间，精确到天，以交工日期为准）至少完成过1个二级及以上等级公路路基养护工程施工的项目总工职务(或2个项目副总工职务)。</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firstLine="240" w:firstLineChars="100"/>
              <w:jc w:val="left"/>
              <w:textAlignment w:val="baseline"/>
              <w:rPr>
                <w:rFonts w:hint="eastAsia" w:ascii="宋体" w:hAnsi="宋体" w:eastAsia="宋体" w:cs="宋体"/>
                <w:color w:val="auto"/>
                <w:spacing w:val="5"/>
                <w:sz w:val="23"/>
                <w:szCs w:val="23"/>
                <w:highlight w:val="none"/>
                <w:lang w:eastAsia="zh-CN"/>
              </w:rPr>
            </w:pPr>
            <w:r>
              <w:rPr>
                <w:rFonts w:hint="eastAsia" w:ascii="宋体" w:hAnsi="宋体" w:eastAsia="宋体" w:cs="宋体"/>
                <w:color w:val="auto"/>
                <w:spacing w:val="5"/>
                <w:sz w:val="23"/>
                <w:szCs w:val="23"/>
                <w:highlight w:val="none"/>
                <w:lang w:eastAsia="zh-CN"/>
              </w:rPr>
              <w:t>注：</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firstLine="240" w:firstLineChars="100"/>
              <w:jc w:val="left"/>
              <w:textAlignment w:val="baseline"/>
              <w:rPr>
                <w:rFonts w:hint="eastAsia" w:ascii="宋体" w:hAnsi="宋体" w:eastAsia="宋体" w:cs="宋体"/>
                <w:color w:val="auto"/>
                <w:spacing w:val="5"/>
                <w:sz w:val="23"/>
                <w:szCs w:val="23"/>
                <w:highlight w:val="none"/>
                <w:lang w:eastAsia="zh-CN"/>
              </w:rPr>
            </w:pPr>
            <w:r>
              <w:rPr>
                <w:rFonts w:hint="eastAsia" w:ascii="宋体" w:hAnsi="宋体" w:eastAsia="宋体" w:cs="宋体"/>
                <w:color w:val="auto"/>
                <w:spacing w:val="5"/>
                <w:sz w:val="23"/>
                <w:szCs w:val="23"/>
                <w:highlight w:val="none"/>
                <w:lang w:eastAsia="zh-CN"/>
              </w:rPr>
              <w:t>补充投标人须知正文第3.5.5项：</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firstLine="240" w:firstLineChars="100"/>
              <w:jc w:val="left"/>
              <w:textAlignment w:val="baseline"/>
              <w:rPr>
                <w:rFonts w:hint="eastAsia" w:ascii="宋体" w:hAnsi="宋体" w:eastAsia="宋体" w:cs="宋体"/>
                <w:color w:val="auto"/>
                <w:spacing w:val="5"/>
                <w:sz w:val="23"/>
                <w:szCs w:val="23"/>
                <w:highlight w:val="none"/>
                <w:lang w:eastAsia="zh-CN"/>
              </w:rPr>
            </w:pPr>
            <w:r>
              <w:rPr>
                <w:rFonts w:hint="eastAsia" w:ascii="宋体" w:hAnsi="宋体" w:eastAsia="宋体" w:cs="宋体"/>
                <w:color w:val="auto"/>
                <w:spacing w:val="5"/>
                <w:sz w:val="23"/>
                <w:szCs w:val="23"/>
                <w:highlight w:val="none"/>
                <w:lang w:eastAsia="zh-CN"/>
              </w:rPr>
              <w:t>（1）投标人应按资格审查资料表（六）拟委任的项目经理和项目总工资历表的格式要求分别填写项目经理和项目总工的资历，还应后附相关资格证明材料的扫描件。</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firstLine="240" w:firstLineChars="100"/>
              <w:jc w:val="left"/>
              <w:textAlignment w:val="baseline"/>
              <w:rPr>
                <w:rFonts w:hint="eastAsia" w:ascii="宋体" w:hAnsi="宋体" w:eastAsia="宋体" w:cs="宋体"/>
                <w:color w:val="auto"/>
                <w:spacing w:val="5"/>
                <w:sz w:val="23"/>
                <w:szCs w:val="23"/>
                <w:highlight w:val="none"/>
                <w:lang w:eastAsia="zh-CN"/>
              </w:rPr>
            </w:pPr>
            <w:r>
              <w:rPr>
                <w:rFonts w:hint="eastAsia" w:ascii="宋体" w:hAnsi="宋体" w:eastAsia="宋体" w:cs="宋体"/>
                <w:color w:val="auto"/>
                <w:spacing w:val="5"/>
                <w:sz w:val="23"/>
                <w:szCs w:val="23"/>
                <w:highlight w:val="none"/>
                <w:lang w:eastAsia="zh-CN"/>
              </w:rPr>
              <w:t>（</w:t>
            </w:r>
            <w:r>
              <w:rPr>
                <w:rFonts w:hint="eastAsia" w:ascii="宋体" w:hAnsi="宋体" w:eastAsia="宋体" w:cs="宋体"/>
                <w:color w:val="auto"/>
                <w:spacing w:val="5"/>
                <w:sz w:val="23"/>
                <w:szCs w:val="23"/>
                <w:highlight w:val="none"/>
                <w:lang w:val="en-US" w:eastAsia="zh-CN"/>
              </w:rPr>
              <w:t>2</w:t>
            </w:r>
            <w:r>
              <w:rPr>
                <w:rFonts w:hint="eastAsia" w:ascii="宋体" w:hAnsi="宋体" w:eastAsia="宋体" w:cs="宋体"/>
                <w:color w:val="auto"/>
                <w:spacing w:val="5"/>
                <w:sz w:val="23"/>
                <w:szCs w:val="23"/>
                <w:highlight w:val="none"/>
                <w:lang w:eastAsia="zh-CN"/>
              </w:rPr>
              <w:t>）项目总工须提供的资格证明材料：身份证、职称资格证书以及在社保系统打印的拟委任的项目总工2024年</w:t>
            </w:r>
            <w:r>
              <w:rPr>
                <w:rFonts w:hint="eastAsia" w:ascii="宋体" w:hAnsi="宋体" w:eastAsia="宋体" w:cs="宋体"/>
                <w:color w:val="auto"/>
                <w:spacing w:val="5"/>
                <w:sz w:val="23"/>
                <w:szCs w:val="23"/>
                <w:highlight w:val="none"/>
                <w:lang w:val="en-US" w:eastAsia="zh-CN"/>
              </w:rPr>
              <w:t>10</w:t>
            </w:r>
            <w:r>
              <w:rPr>
                <w:rFonts w:hint="eastAsia" w:ascii="宋体" w:hAnsi="宋体" w:eastAsia="宋体" w:cs="宋体"/>
                <w:color w:val="auto"/>
                <w:spacing w:val="5"/>
                <w:sz w:val="23"/>
                <w:szCs w:val="23"/>
                <w:highlight w:val="none"/>
                <w:lang w:eastAsia="zh-CN"/>
              </w:rPr>
              <w:t>月至今任意连续3个月的缴费明细扫描件、相关业绩的网页截图、在岗撤离承诺书（如需）。</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firstLine="240" w:firstLineChars="100"/>
              <w:jc w:val="left"/>
              <w:textAlignment w:val="baseline"/>
              <w:rPr>
                <w:rFonts w:hint="eastAsia" w:ascii="宋体" w:hAnsi="宋体" w:eastAsia="宋体" w:cs="宋体"/>
                <w:color w:val="auto"/>
                <w:spacing w:val="5"/>
                <w:sz w:val="23"/>
                <w:szCs w:val="23"/>
                <w:highlight w:val="none"/>
                <w:lang w:eastAsia="zh-CN"/>
              </w:rPr>
            </w:pPr>
            <w:r>
              <w:rPr>
                <w:rFonts w:hint="eastAsia" w:ascii="宋体" w:hAnsi="宋体" w:eastAsia="宋体" w:cs="宋体"/>
                <w:color w:val="auto"/>
                <w:spacing w:val="5"/>
                <w:sz w:val="23"/>
                <w:szCs w:val="23"/>
                <w:highlight w:val="none"/>
                <w:lang w:eastAsia="zh-CN"/>
              </w:rPr>
              <w:t>（4）项目经理和项目总工其他要求：必须是在投标人单位参加社会保险的全日制从业人员；注册建造师证书注册的单位必须为投标人，社保缴费单位与投标人名称必须一致；所有证件需清楚的反映有效期、年检情况及单位变更情况信息（如有）；所附人员的各类证书、证照以及各种证明材料中该人员的姓名应完全一致（除曾用名）。</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firstLine="240" w:firstLineChars="100"/>
              <w:jc w:val="left"/>
              <w:textAlignment w:val="baseline"/>
              <w:rPr>
                <w:rFonts w:hint="eastAsia" w:ascii="宋体" w:hAnsi="宋体" w:eastAsia="宋体" w:cs="宋体"/>
                <w:color w:val="auto"/>
                <w:spacing w:val="5"/>
                <w:sz w:val="23"/>
                <w:szCs w:val="23"/>
                <w:highlight w:val="none"/>
                <w:lang w:eastAsia="zh-CN"/>
              </w:rPr>
            </w:pPr>
            <w:r>
              <w:rPr>
                <w:rFonts w:hint="eastAsia" w:ascii="宋体" w:hAnsi="宋体" w:eastAsia="宋体" w:cs="宋体"/>
                <w:color w:val="auto"/>
                <w:spacing w:val="5"/>
                <w:sz w:val="23"/>
                <w:szCs w:val="23"/>
                <w:highlight w:val="none"/>
                <w:lang w:eastAsia="zh-CN"/>
              </w:rPr>
              <w:t>（5）人员相关业绩的网页截图要求：“拟委任的项目经理和项目总工资历表”还应附“全国公路建设市场监督管理系统”中载明的、能够证明项目经理和项目总工具有相关业绩的网页截图。在“全国公路建设市场监督管理系统”中无法查询，但可在工程所在地省级交通运输主管部门公路建设与养护市场信用信息管理系统中查询的，应附工程所在地省级交通运输主管部门公路建设与养护市场信</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jc w:val="left"/>
              <w:textAlignment w:val="baseline"/>
              <w:rPr>
                <w:rFonts w:hint="eastAsia" w:ascii="宋体" w:hAnsi="宋体" w:eastAsia="宋体" w:cs="宋体"/>
                <w:color w:val="auto"/>
                <w:spacing w:val="5"/>
                <w:sz w:val="23"/>
                <w:szCs w:val="23"/>
                <w:highlight w:val="none"/>
                <w:lang w:eastAsia="zh-CN"/>
              </w:rPr>
            </w:pPr>
            <w:r>
              <w:rPr>
                <w:rFonts w:hint="eastAsia" w:ascii="宋体" w:hAnsi="宋体" w:eastAsia="宋体" w:cs="宋体"/>
                <w:color w:val="auto"/>
                <w:spacing w:val="5"/>
                <w:sz w:val="23"/>
                <w:szCs w:val="23"/>
                <w:highlight w:val="none"/>
                <w:lang w:eastAsia="zh-CN"/>
              </w:rPr>
              <w:t>用信息管理系统中查询到的网页截图。除网页截图外，投标人无须再提供任何业绩证明资料。除网页截图外，其余业绩材料体现的但系统网站中未载明的信息在评审时均不予采信。</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firstLine="240" w:firstLineChars="100"/>
              <w:jc w:val="left"/>
              <w:textAlignment w:val="baseline"/>
              <w:rPr>
                <w:rFonts w:hint="eastAsia" w:ascii="宋体" w:hAnsi="宋体" w:eastAsia="宋体" w:cs="宋体"/>
                <w:color w:val="auto"/>
                <w:spacing w:val="5"/>
                <w:sz w:val="23"/>
                <w:szCs w:val="23"/>
                <w:highlight w:val="none"/>
                <w:lang w:eastAsia="zh-CN"/>
              </w:rPr>
            </w:pPr>
            <w:r>
              <w:rPr>
                <w:rFonts w:hint="eastAsia" w:ascii="宋体" w:hAnsi="宋体" w:eastAsia="宋体" w:cs="宋体"/>
                <w:color w:val="auto"/>
                <w:spacing w:val="5"/>
                <w:sz w:val="23"/>
                <w:szCs w:val="23"/>
                <w:highlight w:val="none"/>
                <w:lang w:eastAsia="zh-CN"/>
              </w:rPr>
              <w:t>如投标人未提供相关项目网页截图或相关项目网页截图中的信息无法证实投标人满足招标文件规定的资格审查条件（项目经理和项目总工最低要求），则该项目业绩不予认定。</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firstLine="240" w:firstLineChars="100"/>
              <w:jc w:val="left"/>
              <w:textAlignment w:val="baseline"/>
              <w:rPr>
                <w:rFonts w:hint="eastAsia" w:ascii="宋体" w:hAnsi="宋体" w:eastAsia="宋体" w:cs="宋体"/>
                <w:color w:val="auto"/>
                <w:spacing w:val="5"/>
                <w:sz w:val="23"/>
                <w:szCs w:val="23"/>
                <w:highlight w:val="none"/>
                <w:lang w:eastAsia="zh-CN"/>
              </w:rPr>
            </w:pPr>
            <w:r>
              <w:rPr>
                <w:rFonts w:hint="eastAsia" w:ascii="宋体" w:hAnsi="宋体" w:eastAsia="宋体" w:cs="宋体"/>
                <w:color w:val="auto"/>
                <w:spacing w:val="5"/>
                <w:sz w:val="23"/>
                <w:szCs w:val="23"/>
                <w:highlight w:val="none"/>
                <w:lang w:eastAsia="zh-CN"/>
              </w:rPr>
              <w:t>（6）如投标人提供的养护工程施工业绩截图中工程内容包含公路路基工程，则该业绩也予以认定。</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firstLine="240" w:firstLineChars="100"/>
              <w:jc w:val="left"/>
              <w:textAlignment w:val="baseline"/>
              <w:rPr>
                <w:rFonts w:hint="eastAsia" w:ascii="宋体" w:hAnsi="宋体" w:eastAsia="宋体" w:cs="宋体"/>
                <w:color w:val="auto"/>
                <w:spacing w:val="5"/>
                <w:sz w:val="23"/>
                <w:szCs w:val="23"/>
                <w:highlight w:val="none"/>
                <w:lang w:eastAsia="zh-CN"/>
              </w:rPr>
            </w:pPr>
            <w:r>
              <w:rPr>
                <w:rFonts w:hint="eastAsia" w:ascii="宋体" w:hAnsi="宋体" w:eastAsia="宋体" w:cs="宋体"/>
                <w:color w:val="auto"/>
                <w:spacing w:val="5"/>
                <w:sz w:val="23"/>
                <w:szCs w:val="23"/>
                <w:highlight w:val="none"/>
                <w:lang w:eastAsia="zh-CN"/>
              </w:rPr>
              <w:t>（7）如项目经理或项目总工目前仍在其他项目上任职，则投标人应出具上述人员能够从该项目撤离的承诺书。</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firstLine="240" w:firstLineChars="100"/>
              <w:jc w:val="left"/>
              <w:textAlignment w:val="baseline"/>
              <w:rPr>
                <w:rFonts w:hint="eastAsia" w:ascii="宋体" w:hAnsi="宋体" w:eastAsia="宋体" w:cs="宋体"/>
                <w:color w:val="auto"/>
                <w:spacing w:val="5"/>
                <w:sz w:val="23"/>
                <w:szCs w:val="23"/>
                <w:highlight w:val="none"/>
                <w:lang w:eastAsia="zh-CN"/>
              </w:rPr>
            </w:pPr>
            <w:r>
              <w:rPr>
                <w:rFonts w:hint="eastAsia" w:ascii="宋体" w:hAnsi="宋体" w:eastAsia="宋体" w:cs="宋体"/>
                <w:color w:val="auto"/>
                <w:spacing w:val="5"/>
                <w:sz w:val="23"/>
                <w:szCs w:val="23"/>
                <w:highlight w:val="none"/>
                <w:lang w:eastAsia="zh-CN"/>
              </w:rPr>
              <w:t>（8）公路工程相关专业职称包括：公路工程、桥梁工程、公路与桥梁工程、交通土建工程、隧道（地下结构）工程、交通工程等专业职称。</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firstLine="240" w:firstLineChars="100"/>
              <w:jc w:val="left"/>
              <w:textAlignment w:val="baseline"/>
              <w:rPr>
                <w:rFonts w:hint="eastAsia" w:ascii="宋体" w:hAnsi="宋体" w:eastAsia="宋体" w:cs="宋体"/>
                <w:color w:val="auto"/>
                <w:spacing w:val="5"/>
                <w:sz w:val="23"/>
                <w:szCs w:val="23"/>
                <w:highlight w:val="none"/>
                <w:lang w:eastAsia="zh-CN"/>
              </w:rPr>
            </w:pPr>
            <w:r>
              <w:rPr>
                <w:rFonts w:hint="eastAsia" w:ascii="宋体" w:hAnsi="宋体" w:eastAsia="宋体" w:cs="宋体"/>
                <w:color w:val="auto"/>
                <w:spacing w:val="5"/>
                <w:sz w:val="23"/>
                <w:szCs w:val="23"/>
                <w:highlight w:val="none"/>
                <w:lang w:eastAsia="zh-CN"/>
              </w:rPr>
              <w:t>（9）在评审过程中招标人将通过网上核实投标人所提供的网页截图的内容、建造师注册证书、B类安全生产考核合格证书等相关信息，核实后如发现投标人提供的网页截图、信息与招标人核实的内容不一致的，或投标人提供虚假截屏信息的，招标人将视为该投标文件不符合招标文件的规定，在资格评审中不予通过。</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firstLine="240" w:firstLineChars="100"/>
              <w:jc w:val="left"/>
              <w:textAlignment w:val="baseline"/>
              <w:rPr>
                <w:rFonts w:hint="eastAsia" w:ascii="宋体" w:hAnsi="宋体" w:eastAsia="宋体" w:cs="宋体"/>
                <w:color w:val="auto"/>
                <w:spacing w:val="5"/>
                <w:sz w:val="23"/>
                <w:szCs w:val="23"/>
                <w:highlight w:val="none"/>
                <w:lang w:eastAsia="zh-CN"/>
              </w:rPr>
            </w:pPr>
            <w:r>
              <w:rPr>
                <w:rFonts w:hint="eastAsia" w:ascii="宋体" w:hAnsi="宋体" w:eastAsia="宋体" w:cs="宋体"/>
                <w:color w:val="auto"/>
                <w:spacing w:val="5"/>
                <w:sz w:val="23"/>
                <w:szCs w:val="23"/>
                <w:highlight w:val="none"/>
                <w:lang w:eastAsia="zh-CN"/>
              </w:rPr>
              <w:t>（10）投标人对投标文件中拟委任的项目经理、项目总工是否在岗必须如实填报，在评标过程中或公示期间，若招标人收到有关反映投标人项目经理、项目总工有在岗项目的投诉，招标人一经查实将认定为失信投标行为（如中标同时取消其中标资格），并依据《宁夏回族自治区公路建设与养护市场信用评价管理办法》（宁交规发〔2024〕1号）文件对投标人本次投标行为进行评价，同时将评价结果上报宁夏回族自治区交通运输厅，并在宁夏回族自治区交通运输厅网站予以公布。</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firstLine="240" w:firstLineChars="100"/>
              <w:jc w:val="left"/>
              <w:textAlignment w:val="baseline"/>
              <w:rPr>
                <w:rFonts w:hint="eastAsia" w:ascii="宋体" w:hAnsi="宋体" w:eastAsia="宋体" w:cs="宋体"/>
                <w:color w:val="auto"/>
                <w:spacing w:val="5"/>
                <w:sz w:val="23"/>
                <w:szCs w:val="23"/>
                <w:highlight w:val="none"/>
                <w:lang w:eastAsia="zh-CN"/>
              </w:rPr>
            </w:pPr>
            <w:r>
              <w:rPr>
                <w:rFonts w:hint="eastAsia" w:ascii="宋体" w:hAnsi="宋体" w:eastAsia="宋体" w:cs="宋体"/>
                <w:color w:val="auto"/>
                <w:spacing w:val="5"/>
                <w:sz w:val="23"/>
                <w:szCs w:val="23"/>
                <w:highlight w:val="none"/>
                <w:lang w:eastAsia="zh-CN"/>
              </w:rPr>
              <w:t>（11）招标文件中其他地方与此处不一致时，以此处为准。</w:t>
            </w:r>
          </w:p>
        </w:tc>
        <w:tc>
          <w:tcPr>
            <w:tcW w:w="1320" w:type="dxa"/>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z w:val="23"/>
                <w:szCs w:val="23"/>
                <w:highlight w:val="none"/>
              </w:rPr>
            </w:pPr>
          </w:p>
        </w:tc>
      </w:tr>
    </w:tbl>
    <w:p>
      <w:pPr>
        <w:keepNext w:val="0"/>
        <w:keepLines w:val="0"/>
        <w:pageBreakBefore w:val="0"/>
        <w:widowControl/>
        <w:numPr>
          <w:ilvl w:val="0"/>
          <w:numId w:val="1"/>
        </w:numPr>
        <w:kinsoku w:val="0"/>
        <w:wordWrap/>
        <w:overflowPunct/>
        <w:topLinePunct w:val="0"/>
        <w:autoSpaceDE w:val="0"/>
        <w:autoSpaceDN w:val="0"/>
        <w:bidi w:val="0"/>
        <w:adjustRightInd w:val="0"/>
        <w:snapToGrid w:val="0"/>
        <w:jc w:val="both"/>
        <w:textAlignment w:val="baseline"/>
        <w:rPr>
          <w:rFonts w:hint="eastAsia" w:ascii="宋体" w:hAnsi="宋体" w:eastAsia="宋体" w:cs="宋体"/>
          <w:b/>
          <w:bCs/>
          <w:color w:val="auto"/>
          <w:sz w:val="28"/>
          <w:szCs w:val="28"/>
          <w:highlight w:val="none"/>
          <w:u w:val="none"/>
          <w:lang w:val="en-US" w:eastAsia="zh-CN"/>
        </w:rPr>
      </w:pPr>
      <w:r>
        <w:rPr>
          <w:rFonts w:hint="eastAsia" w:ascii="宋体" w:hAnsi="宋体" w:eastAsia="宋体" w:cs="宋体"/>
          <w:b/>
          <w:bCs/>
          <w:color w:val="auto"/>
          <w:sz w:val="28"/>
          <w:szCs w:val="28"/>
          <w:highlight w:val="none"/>
          <w:u w:val="none"/>
          <w:lang w:val="en-US" w:eastAsia="zh-CN"/>
        </w:rPr>
        <w:t>评标办法全文</w:t>
      </w:r>
    </w:p>
    <w:p>
      <w:pPr>
        <w:pStyle w:val="2"/>
        <w:bidi w:val="0"/>
        <w:jc w:val="center"/>
        <w:rPr>
          <w:rFonts w:hint="eastAsia" w:ascii="宋体" w:hAnsi="宋体" w:eastAsia="宋体" w:cs="宋体"/>
          <w:color w:val="auto"/>
          <w:sz w:val="40"/>
          <w:szCs w:val="40"/>
          <w:highlight w:val="none"/>
          <w:lang w:val="en-US" w:eastAsia="en-US"/>
        </w:rPr>
      </w:pPr>
      <w:r>
        <w:rPr>
          <w:rFonts w:hint="eastAsia" w:ascii="宋体" w:hAnsi="宋体" w:eastAsia="宋体" w:cs="宋体"/>
          <w:color w:val="auto"/>
          <w:sz w:val="40"/>
          <w:szCs w:val="40"/>
          <w:highlight w:val="none"/>
          <w:lang w:val="en-US" w:eastAsia="en-US"/>
        </w:rPr>
        <w:t>评标办法（</w:t>
      </w:r>
      <w:r>
        <w:rPr>
          <w:rFonts w:hint="eastAsia" w:ascii="宋体" w:hAnsi="宋体" w:eastAsia="宋体" w:cs="宋体"/>
          <w:color w:val="auto"/>
          <w:sz w:val="40"/>
          <w:szCs w:val="40"/>
          <w:highlight w:val="none"/>
          <w:lang w:val="en-US" w:eastAsia="zh-CN"/>
        </w:rPr>
        <w:t>合理低</w:t>
      </w:r>
      <w:r>
        <w:rPr>
          <w:rFonts w:hint="eastAsia" w:ascii="宋体" w:hAnsi="宋体" w:eastAsia="宋体" w:cs="宋体"/>
          <w:color w:val="auto"/>
          <w:sz w:val="40"/>
          <w:szCs w:val="40"/>
          <w:highlight w:val="none"/>
          <w:lang w:val="en-US" w:eastAsia="en-US"/>
        </w:rPr>
        <w:t>价法）</w:t>
      </w:r>
    </w:p>
    <w:p>
      <w:pPr>
        <w:keepNext w:val="0"/>
        <w:keepLines w:val="0"/>
        <w:pageBreakBefore w:val="0"/>
        <w:widowControl/>
        <w:kinsoku w:val="0"/>
        <w:wordWrap/>
        <w:overflowPunct/>
        <w:topLinePunct w:val="0"/>
        <w:autoSpaceDE w:val="0"/>
        <w:autoSpaceDN w:val="0"/>
        <w:bidi w:val="0"/>
        <w:adjustRightInd w:val="0"/>
        <w:snapToGrid w:val="0"/>
        <w:spacing w:before="100" w:after="100" w:line="240" w:lineRule="auto"/>
        <w:ind w:left="0"/>
        <w:jc w:val="center"/>
        <w:textAlignment w:val="baseline"/>
        <w:outlineLvl w:val="1"/>
        <w:rPr>
          <w:rFonts w:hint="eastAsia" w:ascii="宋体" w:hAnsi="宋体" w:eastAsia="宋体" w:cs="宋体"/>
          <w:color w:val="auto"/>
          <w:sz w:val="13"/>
          <w:szCs w:val="13"/>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"bookmark70" </w:instrText>
      </w:r>
      <w:r>
        <w:rPr>
          <w:rFonts w:hint="eastAsia" w:ascii="宋体" w:hAnsi="宋体" w:eastAsia="宋体" w:cs="宋体"/>
          <w:color w:val="auto"/>
          <w:highlight w:val="none"/>
        </w:rPr>
        <w:fldChar w:fldCharType="separate"/>
      </w:r>
      <w:r>
        <w:rPr>
          <w:rFonts w:hint="eastAsia" w:ascii="宋体" w:hAnsi="宋体" w:eastAsia="宋体" w:cs="宋体"/>
          <w:color w:val="auto"/>
          <w:spacing w:val="-1"/>
          <w:sz w:val="28"/>
          <w:szCs w:val="28"/>
          <w:highlight w:val="none"/>
        </w:rPr>
        <w:t>评标办法前附表</w:t>
      </w:r>
      <w:r>
        <w:rPr>
          <w:rFonts w:hint="eastAsia" w:ascii="宋体" w:hAnsi="宋体" w:eastAsia="宋体" w:cs="宋体"/>
          <w:color w:val="auto"/>
          <w:spacing w:val="-1"/>
          <w:sz w:val="13"/>
          <w:szCs w:val="13"/>
          <w:highlight w:val="none"/>
        </w:rPr>
        <w:fldChar w:fldCharType="end"/>
      </w:r>
    </w:p>
    <w:tbl>
      <w:tblPr>
        <w:tblStyle w:val="7"/>
        <w:tblpPr w:leftFromText="180" w:rightFromText="180" w:vertAnchor="text" w:horzAnchor="page" w:tblpX="1191" w:tblpY="215"/>
        <w:tblOverlap w:val="never"/>
        <w:tblW w:w="968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15"/>
        <w:gridCol w:w="825"/>
        <w:gridCol w:w="794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740"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before="143" w:line="264" w:lineRule="auto"/>
              <w:ind w:left="455"/>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条款号</w:t>
            </w:r>
          </w:p>
        </w:tc>
        <w:tc>
          <w:tcPr>
            <w:tcW w:w="7941" w:type="dxa"/>
            <w:vAlign w:val="top"/>
          </w:tcPr>
          <w:p>
            <w:pPr>
              <w:keepNext w:val="0"/>
              <w:keepLines w:val="0"/>
              <w:pageBreakBefore w:val="0"/>
              <w:widowControl/>
              <w:kinsoku w:val="0"/>
              <w:wordWrap/>
              <w:overflowPunct/>
              <w:topLinePunct w:val="0"/>
              <w:autoSpaceDE w:val="0"/>
              <w:autoSpaceDN w:val="0"/>
              <w:bidi w:val="0"/>
              <w:adjustRightInd w:val="0"/>
              <w:snapToGrid w:val="0"/>
              <w:spacing w:before="143" w:line="264" w:lineRule="auto"/>
              <w:ind w:left="2762"/>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6"/>
                <w:sz w:val="21"/>
                <w:szCs w:val="21"/>
                <w:highlight w:val="none"/>
              </w:rPr>
              <w:t>评审因素与评审标准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915" w:type="dxa"/>
            <w:vAlign w:val="center"/>
          </w:tcPr>
          <w:p>
            <w:pPr>
              <w:keepNext w:val="0"/>
              <w:keepLines w:val="0"/>
              <w:pageBreakBefore w:val="0"/>
              <w:widowControl/>
              <w:kinsoku w:val="0"/>
              <w:wordWrap/>
              <w:overflowPunct/>
              <w:topLinePunct w:val="0"/>
              <w:autoSpaceDE w:val="0"/>
              <w:autoSpaceDN w:val="0"/>
              <w:bidi w:val="0"/>
              <w:adjustRightInd w:val="0"/>
              <w:snapToGrid w:val="0"/>
              <w:spacing w:before="65" w:line="264" w:lineRule="auto"/>
              <w:ind w:left="156" w:right="144"/>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2.1.12.1.3</w:t>
            </w:r>
          </w:p>
        </w:tc>
        <w:tc>
          <w:tcPr>
            <w:tcW w:w="825" w:type="dxa"/>
            <w:vAlign w:val="center"/>
          </w:tcPr>
          <w:p>
            <w:pPr>
              <w:keepNext w:val="0"/>
              <w:keepLines w:val="0"/>
              <w:pageBreakBefore w:val="0"/>
              <w:widowControl/>
              <w:kinsoku w:val="0"/>
              <w:wordWrap/>
              <w:overflowPunct/>
              <w:topLinePunct w:val="0"/>
              <w:autoSpaceDE w:val="0"/>
              <w:autoSpaceDN w:val="0"/>
              <w:bidi w:val="0"/>
              <w:adjustRightInd w:val="0"/>
              <w:snapToGrid w:val="0"/>
              <w:spacing w:before="65" w:line="264" w:lineRule="auto"/>
              <w:ind w:left="146" w:right="146" w:firstLine="3"/>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形式</w:t>
            </w:r>
            <w:r>
              <w:rPr>
                <w:rFonts w:hint="eastAsia" w:ascii="宋体" w:hAnsi="宋体" w:eastAsia="宋体" w:cs="宋体"/>
                <w:color w:val="auto"/>
                <w:spacing w:val="5"/>
                <w:sz w:val="21"/>
                <w:szCs w:val="21"/>
                <w:highlight w:val="none"/>
              </w:rPr>
              <w:t>评审与响应性评审标准</w:t>
            </w:r>
          </w:p>
        </w:tc>
        <w:tc>
          <w:tcPr>
            <w:tcW w:w="7941" w:type="dxa"/>
            <w:vAlign w:val="top"/>
          </w:tcPr>
          <w:p>
            <w:pPr>
              <w:keepNext w:val="0"/>
              <w:keepLines w:val="0"/>
              <w:pageBreakBefore w:val="0"/>
              <w:widowControl/>
              <w:kinsoku w:val="0"/>
              <w:wordWrap/>
              <w:overflowPunct/>
              <w:topLinePunct w:val="0"/>
              <w:autoSpaceDE w:val="0"/>
              <w:autoSpaceDN w:val="0"/>
              <w:bidi w:val="0"/>
              <w:adjustRightInd w:val="0"/>
              <w:snapToGrid w:val="0"/>
              <w:spacing w:before="29" w:line="264" w:lineRule="auto"/>
              <w:ind w:left="105" w:leftChars="50" w:right="107" w:firstLine="5"/>
              <w:jc w:val="both"/>
              <w:textAlignment w:val="baseline"/>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rPr>
              <w:t>第一个信封（商务及技术文件）评审标准：</w:t>
            </w:r>
          </w:p>
          <w:p>
            <w:pPr>
              <w:keepNext w:val="0"/>
              <w:keepLines w:val="0"/>
              <w:pageBreakBefore w:val="0"/>
              <w:widowControl/>
              <w:kinsoku w:val="0"/>
              <w:wordWrap/>
              <w:overflowPunct/>
              <w:topLinePunct w:val="0"/>
              <w:autoSpaceDE w:val="0"/>
              <w:autoSpaceDN w:val="0"/>
              <w:bidi w:val="0"/>
              <w:adjustRightInd w:val="0"/>
              <w:snapToGrid w:val="0"/>
              <w:spacing w:before="29" w:line="264" w:lineRule="auto"/>
              <w:ind w:left="105" w:leftChars="50" w:right="107" w:firstLine="5"/>
              <w:jc w:val="both"/>
              <w:textAlignment w:val="baseline"/>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rPr>
              <w:t>（1）投标文件按照招标文件规定的格式、内容填写，字迹清晰可辨</w:t>
            </w:r>
          </w:p>
          <w:p>
            <w:pPr>
              <w:keepNext w:val="0"/>
              <w:keepLines w:val="0"/>
              <w:pageBreakBefore w:val="0"/>
              <w:widowControl/>
              <w:kinsoku w:val="0"/>
              <w:wordWrap/>
              <w:overflowPunct/>
              <w:topLinePunct w:val="0"/>
              <w:autoSpaceDE w:val="0"/>
              <w:autoSpaceDN w:val="0"/>
              <w:bidi w:val="0"/>
              <w:adjustRightInd w:val="0"/>
              <w:snapToGrid w:val="0"/>
              <w:spacing w:before="29" w:line="264" w:lineRule="auto"/>
              <w:ind w:left="105" w:leftChars="50" w:right="107" w:firstLine="5"/>
              <w:jc w:val="both"/>
              <w:textAlignment w:val="baseline"/>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rPr>
              <w:t>a.投标函按招标文件规定填报了项目名称、标段号（如有）、补遗书编号（如有）、工期、工程质量要求及安全目标；</w:t>
            </w:r>
          </w:p>
          <w:p>
            <w:pPr>
              <w:keepNext w:val="0"/>
              <w:keepLines w:val="0"/>
              <w:pageBreakBefore w:val="0"/>
              <w:widowControl/>
              <w:kinsoku w:val="0"/>
              <w:wordWrap/>
              <w:overflowPunct/>
              <w:topLinePunct w:val="0"/>
              <w:autoSpaceDE w:val="0"/>
              <w:autoSpaceDN w:val="0"/>
              <w:bidi w:val="0"/>
              <w:adjustRightInd w:val="0"/>
              <w:snapToGrid w:val="0"/>
              <w:spacing w:before="29" w:line="264" w:lineRule="auto"/>
              <w:ind w:left="105" w:leftChars="50" w:right="107" w:firstLine="5"/>
              <w:jc w:val="both"/>
              <w:textAlignment w:val="baseline"/>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rPr>
              <w:t>b.投标函附录、价格指数和权重表（如有）的所有内容和数据均符合招标文件规定；</w:t>
            </w:r>
          </w:p>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c.投标文件中有承诺函、无行贿犯罪承诺书、投标人诚信承诺书等内容，其内容文字与招标文件规定一致，未进行修改和删减且签名盖章齐全</w:t>
            </w:r>
            <w:r>
              <w:rPr>
                <w:rFonts w:hint="eastAsia" w:ascii="宋体" w:hAnsi="宋体" w:eastAsia="宋体" w:cs="宋体"/>
                <w:color w:val="auto"/>
                <w:sz w:val="21"/>
                <w:szCs w:val="21"/>
                <w:highlight w:val="none"/>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29" w:line="264" w:lineRule="auto"/>
              <w:ind w:left="105" w:leftChars="50" w:right="107" w:firstLine="5"/>
              <w:jc w:val="both"/>
              <w:textAlignment w:val="baseline"/>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rPr>
              <w:t>d.投标文件组成齐全完整，内容均按规定填写。</w:t>
            </w:r>
          </w:p>
          <w:p>
            <w:pPr>
              <w:keepNext w:val="0"/>
              <w:keepLines w:val="0"/>
              <w:pageBreakBefore w:val="0"/>
              <w:widowControl/>
              <w:kinsoku w:val="0"/>
              <w:wordWrap/>
              <w:overflowPunct/>
              <w:topLinePunct w:val="0"/>
              <w:autoSpaceDE w:val="0"/>
              <w:autoSpaceDN w:val="0"/>
              <w:bidi w:val="0"/>
              <w:adjustRightInd w:val="0"/>
              <w:snapToGrid w:val="0"/>
              <w:spacing w:before="29" w:line="264" w:lineRule="auto"/>
              <w:ind w:left="105" w:leftChars="50" w:right="107" w:firstLine="5"/>
              <w:jc w:val="both"/>
              <w:textAlignment w:val="baseline"/>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rPr>
              <w:t>（2）投标文件上法定代表人或其委托代理人的签字、投标人的单位章盖章齐全，符合招标文件规定。</w:t>
            </w:r>
          </w:p>
          <w:p>
            <w:pPr>
              <w:keepNext w:val="0"/>
              <w:keepLines w:val="0"/>
              <w:pageBreakBefore w:val="0"/>
              <w:widowControl/>
              <w:kinsoku w:val="0"/>
              <w:wordWrap/>
              <w:overflowPunct/>
              <w:topLinePunct w:val="0"/>
              <w:autoSpaceDE w:val="0"/>
              <w:autoSpaceDN w:val="0"/>
              <w:bidi w:val="0"/>
              <w:adjustRightInd w:val="0"/>
              <w:snapToGrid w:val="0"/>
              <w:spacing w:before="29" w:line="264" w:lineRule="auto"/>
              <w:ind w:left="105" w:leftChars="50" w:right="107" w:firstLine="5"/>
              <w:jc w:val="both"/>
              <w:textAlignment w:val="baseline"/>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rPr>
              <w:t>（3）投标人法定代表人授权委托代理人签署投标文件的，须提交授权委托书，且授权人和被授权人均在授权委托书上签名，签字盖章符合招标文件第二章“投标人须知”第3.7.3项规定。</w:t>
            </w:r>
          </w:p>
          <w:p>
            <w:pPr>
              <w:keepNext w:val="0"/>
              <w:keepLines w:val="0"/>
              <w:pageBreakBefore w:val="0"/>
              <w:widowControl/>
              <w:kinsoku w:val="0"/>
              <w:wordWrap/>
              <w:overflowPunct/>
              <w:topLinePunct w:val="0"/>
              <w:autoSpaceDE w:val="0"/>
              <w:autoSpaceDN w:val="0"/>
              <w:bidi w:val="0"/>
              <w:adjustRightInd w:val="0"/>
              <w:snapToGrid w:val="0"/>
              <w:spacing w:before="29" w:line="264" w:lineRule="auto"/>
              <w:ind w:left="105" w:leftChars="50" w:right="107" w:firstLine="5"/>
              <w:jc w:val="both"/>
              <w:textAlignment w:val="baseline"/>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rPr>
              <w:t>（4）投标人法定代表人亲自签署投标文件的，提供了法定代表人身份证明，且法定代表人在法定代表人身份证明上签名，签字盖章符合招标文件第二章“投标人须知”第3.7.3项规定。</w:t>
            </w:r>
          </w:p>
          <w:p>
            <w:pPr>
              <w:keepNext w:val="0"/>
              <w:keepLines w:val="0"/>
              <w:pageBreakBefore w:val="0"/>
              <w:widowControl/>
              <w:kinsoku w:val="0"/>
              <w:wordWrap/>
              <w:overflowPunct/>
              <w:topLinePunct w:val="0"/>
              <w:autoSpaceDE w:val="0"/>
              <w:autoSpaceDN w:val="0"/>
              <w:bidi w:val="0"/>
              <w:adjustRightInd w:val="0"/>
              <w:snapToGrid w:val="0"/>
              <w:spacing w:before="29" w:line="264" w:lineRule="auto"/>
              <w:ind w:left="105" w:leftChars="50" w:right="107" w:firstLine="5"/>
              <w:jc w:val="both"/>
              <w:textAlignment w:val="baseline"/>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rPr>
              <w:t>（5）投标人未以联合体形式投标。</w:t>
            </w:r>
          </w:p>
          <w:p>
            <w:pPr>
              <w:keepNext w:val="0"/>
              <w:keepLines w:val="0"/>
              <w:pageBreakBefore w:val="0"/>
              <w:widowControl/>
              <w:kinsoku w:val="0"/>
              <w:wordWrap/>
              <w:overflowPunct/>
              <w:topLinePunct w:val="0"/>
              <w:autoSpaceDE w:val="0"/>
              <w:autoSpaceDN w:val="0"/>
              <w:bidi w:val="0"/>
              <w:adjustRightInd w:val="0"/>
              <w:snapToGrid w:val="0"/>
              <w:spacing w:before="29" w:line="264" w:lineRule="auto"/>
              <w:ind w:left="105" w:leftChars="50" w:right="107" w:firstLine="5"/>
              <w:jc w:val="both"/>
              <w:textAlignment w:val="baseline"/>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rPr>
              <w:t>（6）投标人如在投标阶段有分包计划，符合招标文件第二章“投标人须知”第1.11款规定</w:t>
            </w:r>
            <w:r>
              <w:rPr>
                <w:rFonts w:hint="eastAsia" w:ascii="宋体" w:hAnsi="宋体" w:eastAsia="宋体" w:cs="宋体"/>
                <w:color w:val="auto"/>
                <w:spacing w:val="8"/>
                <w:sz w:val="21"/>
                <w:szCs w:val="21"/>
                <w:highlight w:val="none"/>
                <w:lang w:eastAsia="zh-CN"/>
              </w:rPr>
              <w:t>，</w:t>
            </w:r>
            <w:r>
              <w:rPr>
                <w:rFonts w:hint="eastAsia" w:ascii="宋体" w:hAnsi="宋体" w:eastAsia="宋体" w:cs="宋体"/>
                <w:color w:val="auto"/>
                <w:spacing w:val="8"/>
                <w:sz w:val="21"/>
                <w:szCs w:val="21"/>
                <w:highlight w:val="none"/>
              </w:rPr>
              <w:t>且按招标文件第九章“投标文件格式”的要求填写了“拟分包项目情况表”。</w:t>
            </w:r>
          </w:p>
          <w:p>
            <w:pPr>
              <w:keepNext w:val="0"/>
              <w:keepLines w:val="0"/>
              <w:pageBreakBefore w:val="0"/>
              <w:widowControl/>
              <w:kinsoku w:val="0"/>
              <w:wordWrap/>
              <w:overflowPunct/>
              <w:topLinePunct w:val="0"/>
              <w:autoSpaceDE w:val="0"/>
              <w:autoSpaceDN w:val="0"/>
              <w:bidi w:val="0"/>
              <w:adjustRightInd w:val="0"/>
              <w:snapToGrid w:val="0"/>
              <w:spacing w:before="29" w:line="264" w:lineRule="auto"/>
              <w:ind w:left="105" w:leftChars="50" w:right="107" w:firstLine="5"/>
              <w:jc w:val="both"/>
              <w:textAlignment w:val="baseline"/>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rPr>
              <w:t>（7）同一投标人未提交两个以上不同的投标文件，但招标文件要求提交备选投标的除外。</w:t>
            </w:r>
          </w:p>
          <w:p>
            <w:pPr>
              <w:keepNext w:val="0"/>
              <w:keepLines w:val="0"/>
              <w:pageBreakBefore w:val="0"/>
              <w:widowControl/>
              <w:kinsoku w:val="0"/>
              <w:wordWrap/>
              <w:overflowPunct/>
              <w:topLinePunct w:val="0"/>
              <w:autoSpaceDE w:val="0"/>
              <w:autoSpaceDN w:val="0"/>
              <w:bidi w:val="0"/>
              <w:adjustRightInd w:val="0"/>
              <w:snapToGrid w:val="0"/>
              <w:spacing w:before="29" w:line="264" w:lineRule="auto"/>
              <w:ind w:left="105" w:leftChars="50" w:right="107" w:firstLine="5"/>
              <w:jc w:val="both"/>
              <w:textAlignment w:val="baseline"/>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rPr>
              <w:t>（8）投标文件第一个信封（商务及技术文件）中未出现有关投标报价的内容、工程量清单以及与投标报价相关的资料、表格等内容。</w:t>
            </w:r>
          </w:p>
          <w:p>
            <w:pPr>
              <w:keepNext w:val="0"/>
              <w:keepLines w:val="0"/>
              <w:pageBreakBefore w:val="0"/>
              <w:widowControl/>
              <w:kinsoku w:val="0"/>
              <w:wordWrap/>
              <w:overflowPunct/>
              <w:topLinePunct w:val="0"/>
              <w:autoSpaceDE w:val="0"/>
              <w:autoSpaceDN w:val="0"/>
              <w:bidi w:val="0"/>
              <w:adjustRightInd w:val="0"/>
              <w:snapToGrid w:val="0"/>
              <w:spacing w:before="29" w:line="264" w:lineRule="auto"/>
              <w:ind w:left="105" w:leftChars="50" w:right="107" w:firstLine="5"/>
              <w:jc w:val="both"/>
              <w:textAlignment w:val="baseline"/>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rPr>
              <w:t>（9）投标文件载明的招标项目完成期限未超过招标文件规定的时限。</w:t>
            </w:r>
          </w:p>
          <w:p>
            <w:pPr>
              <w:keepNext w:val="0"/>
              <w:keepLines w:val="0"/>
              <w:pageBreakBefore w:val="0"/>
              <w:widowControl/>
              <w:kinsoku w:val="0"/>
              <w:wordWrap/>
              <w:overflowPunct/>
              <w:topLinePunct w:val="0"/>
              <w:autoSpaceDE w:val="0"/>
              <w:autoSpaceDN w:val="0"/>
              <w:bidi w:val="0"/>
              <w:adjustRightInd w:val="0"/>
              <w:snapToGrid w:val="0"/>
              <w:spacing w:before="29" w:line="264" w:lineRule="auto"/>
              <w:ind w:left="105" w:leftChars="50" w:right="107" w:firstLine="5"/>
              <w:jc w:val="both"/>
              <w:textAlignment w:val="baseline"/>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rPr>
              <w:t>（10）投标文件对招标文件的实质性要求和条件作出响应。</w:t>
            </w:r>
          </w:p>
          <w:p>
            <w:pPr>
              <w:keepNext w:val="0"/>
              <w:keepLines w:val="0"/>
              <w:pageBreakBefore w:val="0"/>
              <w:widowControl/>
              <w:kinsoku w:val="0"/>
              <w:wordWrap/>
              <w:overflowPunct/>
              <w:topLinePunct w:val="0"/>
              <w:autoSpaceDE w:val="0"/>
              <w:autoSpaceDN w:val="0"/>
              <w:bidi w:val="0"/>
              <w:adjustRightInd w:val="0"/>
              <w:snapToGrid w:val="0"/>
              <w:spacing w:before="29" w:line="264" w:lineRule="auto"/>
              <w:ind w:left="105" w:leftChars="50" w:right="107" w:firstLine="5"/>
              <w:jc w:val="both"/>
              <w:textAlignment w:val="baseline"/>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rPr>
              <w:t>（11）权利义务符合招标文件规定：</w:t>
            </w:r>
          </w:p>
          <w:p>
            <w:pPr>
              <w:keepNext w:val="0"/>
              <w:keepLines w:val="0"/>
              <w:pageBreakBefore w:val="0"/>
              <w:widowControl/>
              <w:kinsoku w:val="0"/>
              <w:wordWrap/>
              <w:overflowPunct/>
              <w:topLinePunct w:val="0"/>
              <w:autoSpaceDE w:val="0"/>
              <w:autoSpaceDN w:val="0"/>
              <w:bidi w:val="0"/>
              <w:adjustRightInd w:val="0"/>
              <w:snapToGrid w:val="0"/>
              <w:spacing w:before="29" w:line="264" w:lineRule="auto"/>
              <w:ind w:left="105" w:leftChars="50" w:right="107" w:firstLine="5"/>
              <w:jc w:val="both"/>
              <w:textAlignment w:val="baseline"/>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rPr>
              <w:t>a.投标人应接受招标文件规定的风险划分原则</w:t>
            </w:r>
            <w:r>
              <w:rPr>
                <w:rFonts w:hint="eastAsia" w:ascii="宋体" w:hAnsi="宋体" w:eastAsia="宋体" w:cs="宋体"/>
                <w:color w:val="auto"/>
                <w:spacing w:val="8"/>
                <w:sz w:val="21"/>
                <w:szCs w:val="21"/>
                <w:highlight w:val="none"/>
                <w:lang w:eastAsia="zh-CN"/>
              </w:rPr>
              <w:t>；</w:t>
            </w:r>
            <w:r>
              <w:rPr>
                <w:rFonts w:hint="eastAsia" w:ascii="宋体" w:hAnsi="宋体" w:eastAsia="宋体" w:cs="宋体"/>
                <w:color w:val="auto"/>
                <w:spacing w:val="8"/>
                <w:sz w:val="21"/>
                <w:szCs w:val="21"/>
                <w:highlight w:val="none"/>
              </w:rPr>
              <w:t>未提出新的风险划分办法；</w:t>
            </w:r>
          </w:p>
          <w:p>
            <w:pPr>
              <w:keepNext w:val="0"/>
              <w:keepLines w:val="0"/>
              <w:pageBreakBefore w:val="0"/>
              <w:widowControl/>
              <w:kinsoku w:val="0"/>
              <w:wordWrap/>
              <w:overflowPunct/>
              <w:topLinePunct w:val="0"/>
              <w:autoSpaceDE w:val="0"/>
              <w:autoSpaceDN w:val="0"/>
              <w:bidi w:val="0"/>
              <w:adjustRightInd w:val="0"/>
              <w:snapToGrid w:val="0"/>
              <w:spacing w:before="29" w:line="264" w:lineRule="auto"/>
              <w:ind w:left="105" w:leftChars="50" w:right="107" w:firstLine="5"/>
              <w:jc w:val="both"/>
              <w:textAlignment w:val="baseline"/>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rPr>
              <w:t>b.投标人未增加发包人的责任范围，或减少投标人义务；</w:t>
            </w:r>
          </w:p>
          <w:p>
            <w:pPr>
              <w:keepNext w:val="0"/>
              <w:keepLines w:val="0"/>
              <w:pageBreakBefore w:val="0"/>
              <w:widowControl/>
              <w:kinsoku w:val="0"/>
              <w:wordWrap/>
              <w:overflowPunct/>
              <w:topLinePunct w:val="0"/>
              <w:autoSpaceDE w:val="0"/>
              <w:autoSpaceDN w:val="0"/>
              <w:bidi w:val="0"/>
              <w:adjustRightInd w:val="0"/>
              <w:snapToGrid w:val="0"/>
              <w:spacing w:before="29" w:line="264" w:lineRule="auto"/>
              <w:ind w:left="105" w:leftChars="50" w:right="107" w:firstLine="5"/>
              <w:jc w:val="both"/>
              <w:textAlignment w:val="baseline"/>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rPr>
              <w:t>c.投标人未提出不同的工程验收、计量、支付办法；</w:t>
            </w:r>
          </w:p>
          <w:p>
            <w:pPr>
              <w:keepNext w:val="0"/>
              <w:keepLines w:val="0"/>
              <w:pageBreakBefore w:val="0"/>
              <w:widowControl/>
              <w:kinsoku w:val="0"/>
              <w:wordWrap/>
              <w:overflowPunct/>
              <w:topLinePunct w:val="0"/>
              <w:autoSpaceDE w:val="0"/>
              <w:autoSpaceDN w:val="0"/>
              <w:bidi w:val="0"/>
              <w:adjustRightInd w:val="0"/>
              <w:snapToGrid w:val="0"/>
              <w:spacing w:before="29" w:line="264" w:lineRule="auto"/>
              <w:ind w:left="105" w:leftChars="50" w:right="107" w:firstLine="5"/>
              <w:jc w:val="both"/>
              <w:textAlignment w:val="baseline"/>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rPr>
              <w:t>d.投标人对合同纠纷、事故处理办法未提出异议；</w:t>
            </w:r>
          </w:p>
          <w:p>
            <w:pPr>
              <w:keepNext w:val="0"/>
              <w:keepLines w:val="0"/>
              <w:pageBreakBefore w:val="0"/>
              <w:widowControl/>
              <w:kinsoku w:val="0"/>
              <w:wordWrap/>
              <w:overflowPunct/>
              <w:topLinePunct w:val="0"/>
              <w:autoSpaceDE w:val="0"/>
              <w:autoSpaceDN w:val="0"/>
              <w:bidi w:val="0"/>
              <w:adjustRightInd w:val="0"/>
              <w:snapToGrid w:val="0"/>
              <w:spacing w:before="29" w:line="264" w:lineRule="auto"/>
              <w:ind w:left="105" w:leftChars="50" w:right="107" w:firstLine="5"/>
              <w:jc w:val="both"/>
              <w:textAlignment w:val="baseline"/>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rPr>
              <w:t>e.投标人在投标活动中无欺诈行为；</w:t>
            </w:r>
          </w:p>
          <w:p>
            <w:pPr>
              <w:keepNext w:val="0"/>
              <w:keepLines w:val="0"/>
              <w:pageBreakBefore w:val="0"/>
              <w:widowControl/>
              <w:kinsoku w:val="0"/>
              <w:wordWrap/>
              <w:overflowPunct/>
              <w:topLinePunct w:val="0"/>
              <w:autoSpaceDE w:val="0"/>
              <w:autoSpaceDN w:val="0"/>
              <w:bidi w:val="0"/>
              <w:adjustRightInd w:val="0"/>
              <w:snapToGrid w:val="0"/>
              <w:spacing w:before="29" w:line="264" w:lineRule="auto"/>
              <w:ind w:left="105" w:leftChars="50" w:right="107" w:firstLine="5"/>
              <w:jc w:val="both"/>
              <w:textAlignment w:val="baseline"/>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rPr>
              <w:t>f.投标人未对合同条款有重要保留。</w:t>
            </w:r>
          </w:p>
          <w:p>
            <w:pPr>
              <w:keepNext w:val="0"/>
              <w:keepLines w:val="0"/>
              <w:pageBreakBefore w:val="0"/>
              <w:widowControl/>
              <w:kinsoku w:val="0"/>
              <w:wordWrap/>
              <w:overflowPunct/>
              <w:topLinePunct w:val="0"/>
              <w:autoSpaceDE w:val="0"/>
              <w:autoSpaceDN w:val="0"/>
              <w:bidi w:val="0"/>
              <w:adjustRightInd w:val="0"/>
              <w:snapToGrid w:val="0"/>
              <w:spacing w:before="29" w:line="264" w:lineRule="auto"/>
              <w:ind w:left="105" w:leftChars="50" w:right="107" w:firstLine="5"/>
              <w:jc w:val="both"/>
              <w:textAlignment w:val="baseline"/>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rPr>
              <w:t>（12）投标函上填写的标段号与所投标段号一致。</w:t>
            </w:r>
          </w:p>
          <w:p>
            <w:pPr>
              <w:keepNext w:val="0"/>
              <w:keepLines w:val="0"/>
              <w:pageBreakBefore w:val="0"/>
              <w:widowControl/>
              <w:kinsoku w:val="0"/>
              <w:wordWrap/>
              <w:overflowPunct/>
              <w:topLinePunct w:val="0"/>
              <w:autoSpaceDE w:val="0"/>
              <w:autoSpaceDN w:val="0"/>
              <w:bidi w:val="0"/>
              <w:adjustRightInd w:val="0"/>
              <w:snapToGrid w:val="0"/>
              <w:spacing w:before="29" w:line="264" w:lineRule="auto"/>
              <w:ind w:left="105" w:leftChars="50" w:right="107" w:firstLine="5"/>
              <w:jc w:val="both"/>
              <w:textAlignment w:val="baseline"/>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rPr>
              <w:t>（13）围标、串标审查：如果有证据显示投标人以他人名义投标、与他人串通投标、以行贿手段谋取中标，以及投标弄虚作假的，评标委员会应对该投标文件作无效投标处理。</w:t>
            </w:r>
          </w:p>
          <w:p>
            <w:pPr>
              <w:keepNext w:val="0"/>
              <w:keepLines w:val="0"/>
              <w:pageBreakBefore w:val="0"/>
              <w:widowControl/>
              <w:kinsoku w:val="0"/>
              <w:wordWrap/>
              <w:overflowPunct/>
              <w:topLinePunct w:val="0"/>
              <w:autoSpaceDE w:val="0"/>
              <w:autoSpaceDN w:val="0"/>
              <w:bidi w:val="0"/>
              <w:adjustRightInd w:val="0"/>
              <w:snapToGrid w:val="0"/>
              <w:spacing w:before="29" w:line="264" w:lineRule="auto"/>
              <w:ind w:left="105" w:leftChars="50" w:right="107" w:firstLine="5"/>
              <w:jc w:val="both"/>
              <w:textAlignment w:val="baseline"/>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rPr>
              <w:t>（14）评标委员会要对投标人的财务能力、技术能力、管理水平和以往施工业绩及履约信誉进行详细评审。如发现投标文件有以下情况之一的，评标委员会将对其作无效投标处理</w:t>
            </w:r>
          </w:p>
          <w:p>
            <w:pPr>
              <w:keepNext w:val="0"/>
              <w:keepLines w:val="0"/>
              <w:pageBreakBefore w:val="0"/>
              <w:widowControl/>
              <w:kinsoku w:val="0"/>
              <w:wordWrap/>
              <w:overflowPunct/>
              <w:topLinePunct w:val="0"/>
              <w:autoSpaceDE w:val="0"/>
              <w:autoSpaceDN w:val="0"/>
              <w:bidi w:val="0"/>
              <w:adjustRightInd w:val="0"/>
              <w:snapToGrid w:val="0"/>
              <w:spacing w:before="29" w:line="264" w:lineRule="auto"/>
              <w:ind w:left="105" w:leftChars="50" w:right="107" w:firstLine="5"/>
              <w:jc w:val="both"/>
              <w:textAlignment w:val="baseline"/>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rPr>
              <w:t>a.承诺的质量标准低于招标文件或国家强制性标准要求；</w:t>
            </w:r>
          </w:p>
          <w:p>
            <w:pPr>
              <w:keepNext w:val="0"/>
              <w:keepLines w:val="0"/>
              <w:pageBreakBefore w:val="0"/>
              <w:widowControl/>
              <w:kinsoku w:val="0"/>
              <w:wordWrap/>
              <w:overflowPunct/>
              <w:topLinePunct w:val="0"/>
              <w:autoSpaceDE w:val="0"/>
              <w:autoSpaceDN w:val="0"/>
              <w:bidi w:val="0"/>
              <w:adjustRightInd w:val="0"/>
              <w:snapToGrid w:val="0"/>
              <w:spacing w:before="29" w:line="264" w:lineRule="auto"/>
              <w:ind w:left="105" w:leftChars="50" w:right="107" w:firstLine="5"/>
              <w:jc w:val="both"/>
              <w:textAlignment w:val="baseline"/>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rPr>
              <w:t>b.提供虚假施工业绩及履约信誉证明材料。</w:t>
            </w:r>
          </w:p>
          <w:p>
            <w:pPr>
              <w:keepNext w:val="0"/>
              <w:keepLines w:val="0"/>
              <w:pageBreakBefore w:val="0"/>
              <w:widowControl/>
              <w:kinsoku w:val="0"/>
              <w:wordWrap/>
              <w:overflowPunct/>
              <w:topLinePunct w:val="0"/>
              <w:autoSpaceDE w:val="0"/>
              <w:autoSpaceDN w:val="0"/>
              <w:bidi w:val="0"/>
              <w:adjustRightInd w:val="0"/>
              <w:snapToGrid w:val="0"/>
              <w:spacing w:before="29" w:line="264" w:lineRule="auto"/>
              <w:ind w:left="105" w:leftChars="50" w:right="107" w:firstLine="5"/>
              <w:jc w:val="both"/>
              <w:textAlignment w:val="baseline"/>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rPr>
              <w:t>（15）投标文件提交方式满足投标人须知第4.2款之规定。</w:t>
            </w:r>
          </w:p>
          <w:p>
            <w:pPr>
              <w:keepNext w:val="0"/>
              <w:keepLines w:val="0"/>
              <w:pageBreakBefore w:val="0"/>
              <w:widowControl/>
              <w:kinsoku w:val="0"/>
              <w:wordWrap/>
              <w:overflowPunct/>
              <w:topLinePunct w:val="0"/>
              <w:autoSpaceDE w:val="0"/>
              <w:autoSpaceDN w:val="0"/>
              <w:bidi w:val="0"/>
              <w:adjustRightInd w:val="0"/>
              <w:snapToGrid w:val="0"/>
              <w:spacing w:before="29" w:line="264" w:lineRule="auto"/>
              <w:ind w:left="105" w:leftChars="50" w:right="107" w:firstLine="5"/>
              <w:jc w:val="both"/>
              <w:textAlignment w:val="baseline"/>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rPr>
              <w:t>（16）按照评标委员会的要求进行了澄清、说明或补正。</w:t>
            </w:r>
          </w:p>
          <w:p>
            <w:pPr>
              <w:keepNext w:val="0"/>
              <w:keepLines w:val="0"/>
              <w:pageBreakBefore w:val="0"/>
              <w:widowControl/>
              <w:kinsoku w:val="0"/>
              <w:wordWrap/>
              <w:overflowPunct/>
              <w:topLinePunct w:val="0"/>
              <w:autoSpaceDE w:val="0"/>
              <w:autoSpaceDN w:val="0"/>
              <w:bidi w:val="0"/>
              <w:adjustRightInd w:val="0"/>
              <w:snapToGrid w:val="0"/>
              <w:spacing w:before="29" w:line="264" w:lineRule="auto"/>
              <w:ind w:left="105" w:leftChars="50" w:right="107" w:firstLine="5"/>
              <w:jc w:val="both"/>
              <w:textAlignment w:val="baseline"/>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rPr>
              <w:t>（17）未附有招标人不能接受的其他条件。</w:t>
            </w:r>
          </w:p>
          <w:p>
            <w:pPr>
              <w:keepNext w:val="0"/>
              <w:keepLines w:val="0"/>
              <w:pageBreakBefore w:val="0"/>
              <w:widowControl/>
              <w:kinsoku w:val="0"/>
              <w:wordWrap/>
              <w:overflowPunct/>
              <w:topLinePunct w:val="0"/>
              <w:autoSpaceDE w:val="0"/>
              <w:autoSpaceDN w:val="0"/>
              <w:bidi w:val="0"/>
              <w:adjustRightInd w:val="0"/>
              <w:snapToGrid w:val="0"/>
              <w:spacing w:before="29" w:line="264" w:lineRule="auto"/>
              <w:ind w:left="105" w:leftChars="50" w:right="107" w:firstLine="5"/>
              <w:jc w:val="both"/>
              <w:textAlignment w:val="baseline"/>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rPr>
              <w:t>（18）投标文件符合招标文件的其他相关规定。</w:t>
            </w:r>
          </w:p>
          <w:p>
            <w:pPr>
              <w:keepNext w:val="0"/>
              <w:keepLines w:val="0"/>
              <w:pageBreakBefore w:val="0"/>
              <w:widowControl/>
              <w:kinsoku w:val="0"/>
              <w:wordWrap/>
              <w:overflowPunct/>
              <w:topLinePunct w:val="0"/>
              <w:autoSpaceDE w:val="0"/>
              <w:autoSpaceDN w:val="0"/>
              <w:bidi w:val="0"/>
              <w:adjustRightInd w:val="0"/>
              <w:snapToGrid w:val="0"/>
              <w:spacing w:before="29" w:line="264" w:lineRule="auto"/>
              <w:ind w:left="105" w:leftChars="50" w:right="107" w:firstLine="5"/>
              <w:jc w:val="both"/>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pacing w:val="8"/>
                <w:sz w:val="21"/>
                <w:szCs w:val="21"/>
                <w:highlight w:val="none"/>
              </w:rPr>
              <w:t>投标文件未满足以上任一条件的，其投标视为无效，评标委员会将否决其投标</w:t>
            </w:r>
            <w:r>
              <w:rPr>
                <w:rFonts w:hint="eastAsia" w:ascii="宋体" w:hAnsi="宋体" w:eastAsia="宋体" w:cs="宋体"/>
                <w:color w:val="auto"/>
                <w:spacing w:val="8"/>
                <w:sz w:val="21"/>
                <w:szCs w:val="21"/>
                <w:highlight w:val="none"/>
                <w:lang w:eastAsia="zh-CN"/>
              </w:rPr>
              <w:t>。</w:t>
            </w:r>
          </w:p>
        </w:tc>
      </w:tr>
    </w:tbl>
    <w:tbl>
      <w:tblPr>
        <w:tblStyle w:val="7"/>
        <w:tblpPr w:leftFromText="180" w:rightFromText="180" w:vertAnchor="text" w:horzAnchor="page" w:tblpX="1202" w:tblpY="46"/>
        <w:tblOverlap w:val="never"/>
        <w:tblW w:w="967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15"/>
        <w:gridCol w:w="825"/>
        <w:gridCol w:w="1378"/>
        <w:gridCol w:w="655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17" w:hRule="atLeast"/>
        </w:trPr>
        <w:tc>
          <w:tcPr>
            <w:tcW w:w="915" w:type="dxa"/>
            <w:vAlign w:val="center"/>
          </w:tcPr>
          <w:p>
            <w:pPr>
              <w:keepNext w:val="0"/>
              <w:keepLines w:val="0"/>
              <w:pageBreakBefore w:val="0"/>
              <w:widowControl/>
              <w:kinsoku w:val="0"/>
              <w:wordWrap/>
              <w:overflowPunct/>
              <w:topLinePunct w:val="0"/>
              <w:autoSpaceDE w:val="0"/>
              <w:autoSpaceDN w:val="0"/>
              <w:bidi w:val="0"/>
              <w:adjustRightInd w:val="0"/>
              <w:snapToGrid w:val="0"/>
              <w:spacing w:before="65" w:line="264" w:lineRule="auto"/>
              <w:ind w:left="165" w:right="154"/>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2.1.12.1.3</w:t>
            </w:r>
          </w:p>
        </w:tc>
        <w:tc>
          <w:tcPr>
            <w:tcW w:w="825" w:type="dxa"/>
            <w:vAlign w:val="center"/>
          </w:tcPr>
          <w:p>
            <w:pPr>
              <w:keepNext w:val="0"/>
              <w:keepLines w:val="0"/>
              <w:pageBreakBefore w:val="0"/>
              <w:widowControl/>
              <w:kinsoku w:val="0"/>
              <w:wordWrap/>
              <w:overflowPunct/>
              <w:topLinePunct w:val="0"/>
              <w:autoSpaceDE w:val="0"/>
              <w:autoSpaceDN w:val="0"/>
              <w:bidi w:val="0"/>
              <w:adjustRightInd w:val="0"/>
              <w:snapToGrid w:val="0"/>
              <w:spacing w:before="65" w:line="264" w:lineRule="auto"/>
              <w:ind w:left="115" w:right="114" w:firstLine="3"/>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形式</w:t>
            </w:r>
            <w:r>
              <w:rPr>
                <w:rFonts w:hint="eastAsia" w:ascii="宋体" w:hAnsi="宋体" w:eastAsia="宋体" w:cs="宋体"/>
                <w:color w:val="auto"/>
                <w:spacing w:val="5"/>
                <w:sz w:val="21"/>
                <w:szCs w:val="21"/>
                <w:highlight w:val="none"/>
              </w:rPr>
              <w:t>评审与响应性评审标准</w:t>
            </w:r>
          </w:p>
        </w:tc>
        <w:tc>
          <w:tcPr>
            <w:tcW w:w="7930"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before="141" w:line="264" w:lineRule="auto"/>
              <w:ind w:left="105" w:leftChars="5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第二个信封（报价文件）评审标准：</w:t>
            </w:r>
          </w:p>
          <w:p>
            <w:pPr>
              <w:keepNext w:val="0"/>
              <w:keepLines w:val="0"/>
              <w:pageBreakBefore w:val="0"/>
              <w:widowControl/>
              <w:kinsoku w:val="0"/>
              <w:wordWrap/>
              <w:overflowPunct/>
              <w:topLinePunct w:val="0"/>
              <w:autoSpaceDE w:val="0"/>
              <w:autoSpaceDN w:val="0"/>
              <w:bidi w:val="0"/>
              <w:adjustRightInd w:val="0"/>
              <w:snapToGrid w:val="0"/>
              <w:spacing w:before="157" w:line="264" w:lineRule="auto"/>
              <w:ind w:left="111" w:leftChars="50" w:right="0" w:hanging="6"/>
              <w:textAlignment w:val="baseline"/>
              <w:rPr>
                <w:rFonts w:hint="eastAsia" w:ascii="宋体" w:hAnsi="宋体" w:eastAsia="宋体" w:cs="宋体"/>
                <w:color w:val="auto"/>
                <w:spacing w:val="9"/>
                <w:sz w:val="21"/>
                <w:szCs w:val="21"/>
                <w:highlight w:val="none"/>
              </w:rPr>
            </w:pPr>
            <w:r>
              <w:rPr>
                <w:rFonts w:hint="eastAsia" w:ascii="宋体" w:hAnsi="宋体" w:eastAsia="宋体" w:cs="宋体"/>
                <w:color w:val="auto"/>
                <w:spacing w:val="9"/>
                <w:sz w:val="21"/>
                <w:szCs w:val="21"/>
                <w:highlight w:val="none"/>
              </w:rPr>
              <w:t>（1）投标文件按照招标文件规定的格式、内容填写，字迹清晰可辨</w:t>
            </w:r>
          </w:p>
          <w:p>
            <w:pPr>
              <w:keepNext w:val="0"/>
              <w:keepLines w:val="0"/>
              <w:pageBreakBefore w:val="0"/>
              <w:widowControl/>
              <w:kinsoku w:val="0"/>
              <w:wordWrap/>
              <w:overflowPunct/>
              <w:topLinePunct w:val="0"/>
              <w:autoSpaceDE w:val="0"/>
              <w:autoSpaceDN w:val="0"/>
              <w:bidi w:val="0"/>
              <w:adjustRightInd w:val="0"/>
              <w:snapToGrid w:val="0"/>
              <w:spacing w:before="157" w:line="264" w:lineRule="auto"/>
              <w:ind w:left="111" w:leftChars="50" w:right="0" w:hanging="6"/>
              <w:textAlignment w:val="baseline"/>
              <w:rPr>
                <w:rFonts w:hint="eastAsia" w:ascii="宋体" w:hAnsi="宋体" w:eastAsia="宋体" w:cs="宋体"/>
                <w:color w:val="auto"/>
                <w:spacing w:val="9"/>
                <w:sz w:val="21"/>
                <w:szCs w:val="21"/>
                <w:highlight w:val="none"/>
              </w:rPr>
            </w:pPr>
            <w:r>
              <w:rPr>
                <w:rFonts w:hint="eastAsia" w:ascii="宋体" w:hAnsi="宋体" w:eastAsia="宋体" w:cs="宋体"/>
                <w:color w:val="auto"/>
                <w:spacing w:val="9"/>
                <w:sz w:val="21"/>
                <w:szCs w:val="21"/>
                <w:highlight w:val="none"/>
              </w:rPr>
              <w:t>a.投标函按招标文件规定填报了项目名称、标段号（如有）、补遗书编号（如有）、投标价（包括大写金额和小写金额）；</w:t>
            </w:r>
          </w:p>
          <w:p>
            <w:pPr>
              <w:keepNext w:val="0"/>
              <w:keepLines w:val="0"/>
              <w:pageBreakBefore w:val="0"/>
              <w:widowControl/>
              <w:kinsoku w:val="0"/>
              <w:wordWrap/>
              <w:overflowPunct/>
              <w:topLinePunct w:val="0"/>
              <w:autoSpaceDE w:val="0"/>
              <w:autoSpaceDN w:val="0"/>
              <w:bidi w:val="0"/>
              <w:adjustRightInd w:val="0"/>
              <w:snapToGrid w:val="0"/>
              <w:spacing w:before="157" w:line="264" w:lineRule="auto"/>
              <w:ind w:left="111" w:leftChars="50" w:right="0" w:hanging="6"/>
              <w:textAlignment w:val="baseline"/>
              <w:rPr>
                <w:rFonts w:hint="eastAsia" w:ascii="宋体" w:hAnsi="宋体" w:eastAsia="宋体" w:cs="宋体"/>
                <w:color w:val="auto"/>
                <w:spacing w:val="9"/>
                <w:sz w:val="21"/>
                <w:szCs w:val="21"/>
                <w:highlight w:val="none"/>
              </w:rPr>
            </w:pPr>
            <w:r>
              <w:rPr>
                <w:rFonts w:hint="eastAsia" w:ascii="宋体" w:hAnsi="宋体" w:eastAsia="宋体" w:cs="宋体"/>
                <w:color w:val="auto"/>
                <w:spacing w:val="9"/>
                <w:sz w:val="21"/>
                <w:szCs w:val="21"/>
                <w:highlight w:val="none"/>
              </w:rPr>
              <w:t>b.已标价工程量清单说明文字与招标文件规定一致，未进行实质性修改和删减；</w:t>
            </w:r>
          </w:p>
          <w:p>
            <w:pPr>
              <w:keepNext w:val="0"/>
              <w:keepLines w:val="0"/>
              <w:pageBreakBefore w:val="0"/>
              <w:widowControl/>
              <w:kinsoku w:val="0"/>
              <w:wordWrap/>
              <w:overflowPunct/>
              <w:topLinePunct w:val="0"/>
              <w:autoSpaceDE w:val="0"/>
              <w:autoSpaceDN w:val="0"/>
              <w:bidi w:val="0"/>
              <w:adjustRightInd w:val="0"/>
              <w:snapToGrid w:val="0"/>
              <w:spacing w:before="157" w:line="264" w:lineRule="auto"/>
              <w:ind w:left="111" w:leftChars="50" w:right="0" w:hanging="6"/>
              <w:textAlignment w:val="baseline"/>
              <w:rPr>
                <w:rFonts w:hint="eastAsia" w:ascii="宋体" w:hAnsi="宋体" w:eastAsia="宋体" w:cs="宋体"/>
                <w:color w:val="auto"/>
                <w:spacing w:val="9"/>
                <w:sz w:val="21"/>
                <w:szCs w:val="21"/>
                <w:highlight w:val="none"/>
              </w:rPr>
            </w:pPr>
            <w:r>
              <w:rPr>
                <w:rFonts w:hint="eastAsia" w:ascii="宋体" w:hAnsi="宋体" w:eastAsia="宋体" w:cs="宋体"/>
                <w:color w:val="auto"/>
                <w:spacing w:val="9"/>
                <w:sz w:val="21"/>
                <w:szCs w:val="21"/>
                <w:highlight w:val="none"/>
              </w:rPr>
              <w:t>c.投标文件组成齐全完整，内容均按规定填写。</w:t>
            </w:r>
          </w:p>
          <w:p>
            <w:pPr>
              <w:keepNext w:val="0"/>
              <w:keepLines w:val="0"/>
              <w:pageBreakBefore w:val="0"/>
              <w:widowControl/>
              <w:kinsoku w:val="0"/>
              <w:wordWrap/>
              <w:overflowPunct/>
              <w:topLinePunct w:val="0"/>
              <w:autoSpaceDE w:val="0"/>
              <w:autoSpaceDN w:val="0"/>
              <w:bidi w:val="0"/>
              <w:adjustRightInd w:val="0"/>
              <w:snapToGrid w:val="0"/>
              <w:spacing w:before="157" w:line="264" w:lineRule="auto"/>
              <w:ind w:left="111" w:leftChars="50" w:right="0" w:hanging="6"/>
              <w:textAlignment w:val="baseline"/>
              <w:rPr>
                <w:rFonts w:hint="eastAsia" w:ascii="宋体" w:hAnsi="宋体" w:eastAsia="宋体" w:cs="宋体"/>
                <w:color w:val="auto"/>
                <w:spacing w:val="9"/>
                <w:sz w:val="21"/>
                <w:szCs w:val="21"/>
                <w:highlight w:val="none"/>
              </w:rPr>
            </w:pPr>
            <w:r>
              <w:rPr>
                <w:rFonts w:hint="eastAsia" w:ascii="宋体" w:hAnsi="宋体" w:eastAsia="宋体" w:cs="宋体"/>
                <w:color w:val="auto"/>
                <w:spacing w:val="9"/>
                <w:sz w:val="21"/>
                <w:szCs w:val="21"/>
                <w:highlight w:val="none"/>
              </w:rPr>
              <w:t>（2）投标文件上法定代表人或其委托代理人的签字、投标人的单位章盖章齐全，符合招标文件规定。</w:t>
            </w:r>
          </w:p>
          <w:p>
            <w:pPr>
              <w:keepNext w:val="0"/>
              <w:keepLines w:val="0"/>
              <w:pageBreakBefore w:val="0"/>
              <w:widowControl/>
              <w:kinsoku w:val="0"/>
              <w:wordWrap/>
              <w:overflowPunct/>
              <w:topLinePunct w:val="0"/>
              <w:autoSpaceDE w:val="0"/>
              <w:autoSpaceDN w:val="0"/>
              <w:bidi w:val="0"/>
              <w:adjustRightInd w:val="0"/>
              <w:snapToGrid w:val="0"/>
              <w:spacing w:before="157" w:line="264" w:lineRule="auto"/>
              <w:ind w:left="111" w:leftChars="50" w:right="0" w:hanging="6"/>
              <w:textAlignment w:val="baseline"/>
              <w:rPr>
                <w:rFonts w:hint="eastAsia" w:ascii="宋体" w:hAnsi="宋体" w:eastAsia="宋体" w:cs="宋体"/>
                <w:color w:val="auto"/>
                <w:spacing w:val="9"/>
                <w:sz w:val="21"/>
                <w:szCs w:val="21"/>
                <w:highlight w:val="none"/>
              </w:rPr>
            </w:pPr>
            <w:r>
              <w:rPr>
                <w:rFonts w:hint="eastAsia" w:ascii="宋体" w:hAnsi="宋体" w:eastAsia="宋体" w:cs="宋体"/>
                <w:color w:val="auto"/>
                <w:spacing w:val="9"/>
                <w:sz w:val="21"/>
                <w:szCs w:val="21"/>
                <w:highlight w:val="none"/>
              </w:rPr>
              <w:t>（3）投标报价中的报价未超过招标文件设定的最高投标限价（如有）。</w:t>
            </w:r>
          </w:p>
          <w:p>
            <w:pPr>
              <w:keepNext w:val="0"/>
              <w:keepLines w:val="0"/>
              <w:pageBreakBefore w:val="0"/>
              <w:widowControl/>
              <w:kinsoku w:val="0"/>
              <w:wordWrap/>
              <w:overflowPunct/>
              <w:topLinePunct w:val="0"/>
              <w:autoSpaceDE w:val="0"/>
              <w:autoSpaceDN w:val="0"/>
              <w:bidi w:val="0"/>
              <w:adjustRightInd w:val="0"/>
              <w:snapToGrid w:val="0"/>
              <w:spacing w:before="157" w:line="264" w:lineRule="auto"/>
              <w:ind w:left="111" w:leftChars="50" w:right="0" w:hanging="6"/>
              <w:textAlignment w:val="baseline"/>
              <w:rPr>
                <w:rFonts w:hint="eastAsia" w:ascii="宋体" w:hAnsi="宋体" w:eastAsia="宋体" w:cs="宋体"/>
                <w:color w:val="auto"/>
                <w:spacing w:val="9"/>
                <w:sz w:val="21"/>
                <w:szCs w:val="21"/>
                <w:highlight w:val="none"/>
              </w:rPr>
            </w:pPr>
            <w:r>
              <w:rPr>
                <w:rFonts w:hint="eastAsia" w:ascii="宋体" w:hAnsi="宋体" w:eastAsia="宋体" w:cs="宋体"/>
                <w:color w:val="auto"/>
                <w:spacing w:val="9"/>
                <w:sz w:val="21"/>
                <w:szCs w:val="21"/>
                <w:highlight w:val="none"/>
              </w:rPr>
              <w:t>（4）投标报价的大写金额能够确定具体数值，无错误且可唱出。</w:t>
            </w:r>
          </w:p>
          <w:p>
            <w:pPr>
              <w:keepNext w:val="0"/>
              <w:keepLines w:val="0"/>
              <w:pageBreakBefore w:val="0"/>
              <w:widowControl/>
              <w:kinsoku w:val="0"/>
              <w:wordWrap/>
              <w:overflowPunct/>
              <w:topLinePunct w:val="0"/>
              <w:autoSpaceDE w:val="0"/>
              <w:autoSpaceDN w:val="0"/>
              <w:bidi w:val="0"/>
              <w:adjustRightInd w:val="0"/>
              <w:snapToGrid w:val="0"/>
              <w:spacing w:before="157" w:line="264" w:lineRule="auto"/>
              <w:ind w:left="111" w:leftChars="50" w:right="0" w:hanging="6"/>
              <w:textAlignment w:val="baseline"/>
              <w:rPr>
                <w:rFonts w:hint="eastAsia" w:ascii="宋体" w:hAnsi="宋体" w:eastAsia="宋体" w:cs="宋体"/>
                <w:color w:val="auto"/>
                <w:spacing w:val="9"/>
                <w:sz w:val="21"/>
                <w:szCs w:val="21"/>
                <w:highlight w:val="none"/>
              </w:rPr>
            </w:pPr>
            <w:r>
              <w:rPr>
                <w:rFonts w:hint="eastAsia" w:ascii="宋体" w:hAnsi="宋体" w:eastAsia="宋体" w:cs="宋体"/>
                <w:color w:val="auto"/>
                <w:spacing w:val="9"/>
                <w:sz w:val="21"/>
                <w:szCs w:val="21"/>
                <w:highlight w:val="none"/>
              </w:rPr>
              <w:t>（5）未提交调价函。</w:t>
            </w:r>
          </w:p>
          <w:p>
            <w:pPr>
              <w:keepNext w:val="0"/>
              <w:keepLines w:val="0"/>
              <w:pageBreakBefore w:val="0"/>
              <w:widowControl/>
              <w:kinsoku w:val="0"/>
              <w:wordWrap/>
              <w:overflowPunct/>
              <w:topLinePunct w:val="0"/>
              <w:autoSpaceDE w:val="0"/>
              <w:autoSpaceDN w:val="0"/>
              <w:bidi w:val="0"/>
              <w:adjustRightInd w:val="0"/>
              <w:snapToGrid w:val="0"/>
              <w:spacing w:before="157" w:line="264" w:lineRule="auto"/>
              <w:ind w:left="111" w:leftChars="50" w:right="0" w:hanging="6"/>
              <w:textAlignment w:val="baseline"/>
              <w:rPr>
                <w:rFonts w:hint="eastAsia" w:ascii="宋体" w:hAnsi="宋体" w:eastAsia="宋体" w:cs="宋体"/>
                <w:color w:val="auto"/>
                <w:spacing w:val="9"/>
                <w:sz w:val="21"/>
                <w:szCs w:val="21"/>
                <w:highlight w:val="none"/>
              </w:rPr>
            </w:pPr>
            <w:r>
              <w:rPr>
                <w:rFonts w:hint="eastAsia" w:ascii="宋体" w:hAnsi="宋体" w:eastAsia="宋体" w:cs="宋体"/>
                <w:color w:val="auto"/>
                <w:spacing w:val="9"/>
                <w:sz w:val="21"/>
                <w:szCs w:val="21"/>
                <w:highlight w:val="none"/>
              </w:rPr>
              <w:t>（6）同一投标人未提交两个以上不同的投标报价，但招标文件要求提交备选投标的除外。</w:t>
            </w:r>
          </w:p>
          <w:p>
            <w:pPr>
              <w:keepNext w:val="0"/>
              <w:keepLines w:val="0"/>
              <w:pageBreakBefore w:val="0"/>
              <w:widowControl/>
              <w:kinsoku w:val="0"/>
              <w:wordWrap/>
              <w:overflowPunct/>
              <w:topLinePunct w:val="0"/>
              <w:autoSpaceDE w:val="0"/>
              <w:autoSpaceDN w:val="0"/>
              <w:bidi w:val="0"/>
              <w:adjustRightInd w:val="0"/>
              <w:snapToGrid w:val="0"/>
              <w:spacing w:before="157" w:line="264" w:lineRule="auto"/>
              <w:ind w:left="111" w:leftChars="50" w:right="0" w:hanging="6"/>
              <w:textAlignment w:val="baseline"/>
              <w:rPr>
                <w:rFonts w:hint="eastAsia" w:ascii="宋体" w:hAnsi="宋体" w:eastAsia="宋体" w:cs="宋体"/>
                <w:color w:val="auto"/>
                <w:spacing w:val="9"/>
                <w:sz w:val="21"/>
                <w:szCs w:val="21"/>
                <w:highlight w:val="none"/>
              </w:rPr>
            </w:pPr>
            <w:r>
              <w:rPr>
                <w:rFonts w:hint="eastAsia" w:ascii="宋体" w:hAnsi="宋体" w:eastAsia="宋体" w:cs="宋体"/>
                <w:color w:val="auto"/>
                <w:spacing w:val="9"/>
                <w:sz w:val="21"/>
                <w:szCs w:val="21"/>
                <w:highlight w:val="none"/>
              </w:rPr>
              <w:t>（7）投标人若填写工程量固化清单，填写完毕的工程量固化清单未对工程量固化清单电子文件中的数据、格式和运算定义进行修改；工程量固化清单中的投标报价和投标函大写金额报价一致。</w:t>
            </w:r>
          </w:p>
          <w:p>
            <w:pPr>
              <w:keepNext w:val="0"/>
              <w:keepLines w:val="0"/>
              <w:pageBreakBefore w:val="0"/>
              <w:widowControl/>
              <w:kinsoku w:val="0"/>
              <w:wordWrap/>
              <w:overflowPunct/>
              <w:topLinePunct w:val="0"/>
              <w:autoSpaceDE w:val="0"/>
              <w:autoSpaceDN w:val="0"/>
              <w:bidi w:val="0"/>
              <w:adjustRightInd w:val="0"/>
              <w:snapToGrid w:val="0"/>
              <w:spacing w:before="157" w:line="264" w:lineRule="auto"/>
              <w:ind w:left="111" w:leftChars="50" w:right="0" w:hanging="6"/>
              <w:textAlignment w:val="baseline"/>
              <w:rPr>
                <w:rFonts w:hint="eastAsia" w:ascii="宋体" w:hAnsi="宋体" w:eastAsia="宋体" w:cs="宋体"/>
                <w:color w:val="auto"/>
                <w:spacing w:val="9"/>
                <w:sz w:val="21"/>
                <w:szCs w:val="21"/>
                <w:highlight w:val="none"/>
              </w:rPr>
            </w:pPr>
            <w:r>
              <w:rPr>
                <w:rFonts w:hint="eastAsia" w:ascii="宋体" w:hAnsi="宋体" w:eastAsia="宋体" w:cs="宋体"/>
                <w:color w:val="auto"/>
                <w:spacing w:val="9"/>
                <w:sz w:val="21"/>
                <w:szCs w:val="21"/>
                <w:highlight w:val="none"/>
                <w:lang w:eastAsia="zh-CN"/>
              </w:rPr>
              <w:t>（</w:t>
            </w:r>
            <w:r>
              <w:rPr>
                <w:rFonts w:hint="eastAsia" w:ascii="宋体" w:hAnsi="宋体" w:eastAsia="宋体" w:cs="宋体"/>
                <w:color w:val="auto"/>
                <w:spacing w:val="9"/>
                <w:sz w:val="21"/>
                <w:szCs w:val="21"/>
                <w:highlight w:val="none"/>
                <w:lang w:val="en-US" w:eastAsia="zh-CN"/>
              </w:rPr>
              <w:t>8</w:t>
            </w:r>
            <w:r>
              <w:rPr>
                <w:rFonts w:hint="eastAsia" w:ascii="宋体" w:hAnsi="宋体" w:eastAsia="宋体" w:cs="宋体"/>
                <w:color w:val="auto"/>
                <w:spacing w:val="9"/>
                <w:sz w:val="21"/>
                <w:szCs w:val="21"/>
                <w:highlight w:val="none"/>
              </w:rPr>
              <w:t>）未修改招标人给定的暂估价（如有）或暂列金额（如有）。</w:t>
            </w:r>
          </w:p>
          <w:p>
            <w:pPr>
              <w:keepNext w:val="0"/>
              <w:keepLines w:val="0"/>
              <w:pageBreakBefore w:val="0"/>
              <w:widowControl/>
              <w:kinsoku w:val="0"/>
              <w:wordWrap/>
              <w:overflowPunct/>
              <w:topLinePunct w:val="0"/>
              <w:autoSpaceDE w:val="0"/>
              <w:autoSpaceDN w:val="0"/>
              <w:bidi w:val="0"/>
              <w:adjustRightInd w:val="0"/>
              <w:snapToGrid w:val="0"/>
              <w:spacing w:before="157" w:line="264" w:lineRule="auto"/>
              <w:ind w:left="111" w:leftChars="50" w:right="0" w:hanging="6"/>
              <w:textAlignment w:val="baseline"/>
              <w:rPr>
                <w:rFonts w:hint="eastAsia" w:ascii="宋体" w:hAnsi="宋体" w:eastAsia="宋体" w:cs="宋体"/>
                <w:color w:val="auto"/>
                <w:spacing w:val="9"/>
                <w:sz w:val="21"/>
                <w:szCs w:val="21"/>
                <w:highlight w:val="none"/>
              </w:rPr>
            </w:pPr>
            <w:r>
              <w:rPr>
                <w:rFonts w:hint="eastAsia" w:ascii="宋体" w:hAnsi="宋体" w:eastAsia="宋体" w:cs="宋体"/>
                <w:color w:val="auto"/>
                <w:spacing w:val="9"/>
                <w:sz w:val="21"/>
                <w:szCs w:val="21"/>
                <w:highlight w:val="none"/>
              </w:rPr>
              <w:t>（9）投标函上填写的标段号与所投标段号一致。</w:t>
            </w:r>
          </w:p>
          <w:p>
            <w:pPr>
              <w:keepNext w:val="0"/>
              <w:keepLines w:val="0"/>
              <w:pageBreakBefore w:val="0"/>
              <w:widowControl/>
              <w:kinsoku w:val="0"/>
              <w:wordWrap/>
              <w:overflowPunct/>
              <w:topLinePunct w:val="0"/>
              <w:autoSpaceDE w:val="0"/>
              <w:autoSpaceDN w:val="0"/>
              <w:bidi w:val="0"/>
              <w:adjustRightInd w:val="0"/>
              <w:snapToGrid w:val="0"/>
              <w:spacing w:before="157" w:line="264" w:lineRule="auto"/>
              <w:ind w:left="111" w:leftChars="50" w:right="0" w:hanging="6"/>
              <w:textAlignment w:val="baseline"/>
              <w:rPr>
                <w:rFonts w:hint="eastAsia" w:ascii="宋体" w:hAnsi="宋体" w:eastAsia="宋体" w:cs="宋体"/>
                <w:color w:val="auto"/>
                <w:spacing w:val="9"/>
                <w:sz w:val="21"/>
                <w:szCs w:val="21"/>
                <w:highlight w:val="none"/>
              </w:rPr>
            </w:pPr>
            <w:r>
              <w:rPr>
                <w:rFonts w:hint="eastAsia" w:ascii="宋体" w:hAnsi="宋体" w:eastAsia="宋体" w:cs="宋体"/>
                <w:color w:val="auto"/>
                <w:spacing w:val="9"/>
                <w:sz w:val="21"/>
                <w:szCs w:val="21"/>
                <w:highlight w:val="none"/>
              </w:rPr>
              <w:t>（10）投标报价编制及填写满足投标人须知正文及前附表第3.2款</w:t>
            </w:r>
            <w:r>
              <w:rPr>
                <w:rFonts w:hint="eastAsia" w:ascii="宋体" w:hAnsi="宋体" w:eastAsia="宋体" w:cs="宋体"/>
                <w:color w:val="auto"/>
                <w:spacing w:val="9"/>
                <w:sz w:val="21"/>
                <w:szCs w:val="21"/>
                <w:highlight w:val="none"/>
                <w:lang w:eastAsia="zh-CN"/>
              </w:rPr>
              <w:t>、</w:t>
            </w:r>
            <w:r>
              <w:rPr>
                <w:rFonts w:hint="eastAsia" w:ascii="宋体" w:hAnsi="宋体" w:eastAsia="宋体" w:cs="宋体"/>
                <w:color w:val="auto"/>
                <w:spacing w:val="9"/>
                <w:sz w:val="21"/>
                <w:szCs w:val="21"/>
                <w:highlight w:val="none"/>
              </w:rPr>
              <w:t>工程量清单说明的要求。</w:t>
            </w:r>
          </w:p>
          <w:p>
            <w:pPr>
              <w:keepNext w:val="0"/>
              <w:keepLines w:val="0"/>
              <w:pageBreakBefore w:val="0"/>
              <w:widowControl/>
              <w:kinsoku w:val="0"/>
              <w:wordWrap/>
              <w:overflowPunct/>
              <w:topLinePunct w:val="0"/>
              <w:autoSpaceDE w:val="0"/>
              <w:autoSpaceDN w:val="0"/>
              <w:bidi w:val="0"/>
              <w:adjustRightInd w:val="0"/>
              <w:snapToGrid w:val="0"/>
              <w:spacing w:before="157" w:line="264" w:lineRule="auto"/>
              <w:ind w:left="111" w:leftChars="50" w:right="0" w:hanging="6"/>
              <w:textAlignment w:val="baseline"/>
              <w:rPr>
                <w:rFonts w:hint="eastAsia" w:ascii="宋体" w:hAnsi="宋体" w:eastAsia="宋体" w:cs="宋体"/>
                <w:color w:val="auto"/>
                <w:spacing w:val="9"/>
                <w:sz w:val="21"/>
                <w:szCs w:val="21"/>
                <w:highlight w:val="none"/>
              </w:rPr>
            </w:pPr>
            <w:r>
              <w:rPr>
                <w:rFonts w:hint="eastAsia" w:ascii="宋体" w:hAnsi="宋体" w:eastAsia="宋体" w:cs="宋体"/>
                <w:color w:val="auto"/>
                <w:spacing w:val="9"/>
                <w:sz w:val="21"/>
                <w:szCs w:val="21"/>
                <w:highlight w:val="none"/>
              </w:rPr>
              <w:t>（11）投标文件未附有招标人不能接受的其他条件。</w:t>
            </w:r>
          </w:p>
          <w:p>
            <w:pPr>
              <w:keepNext w:val="0"/>
              <w:keepLines w:val="0"/>
              <w:pageBreakBefore w:val="0"/>
              <w:widowControl/>
              <w:kinsoku w:val="0"/>
              <w:wordWrap/>
              <w:overflowPunct/>
              <w:topLinePunct w:val="0"/>
              <w:autoSpaceDE w:val="0"/>
              <w:autoSpaceDN w:val="0"/>
              <w:bidi w:val="0"/>
              <w:adjustRightInd w:val="0"/>
              <w:snapToGrid w:val="0"/>
              <w:spacing w:before="157" w:line="264" w:lineRule="auto"/>
              <w:ind w:left="111" w:leftChars="50" w:right="0" w:hanging="6"/>
              <w:textAlignment w:val="baseline"/>
              <w:rPr>
                <w:rFonts w:hint="eastAsia" w:ascii="宋体" w:hAnsi="宋体" w:eastAsia="宋体" w:cs="宋体"/>
                <w:color w:val="auto"/>
                <w:spacing w:val="9"/>
                <w:sz w:val="21"/>
                <w:szCs w:val="21"/>
                <w:highlight w:val="none"/>
              </w:rPr>
            </w:pPr>
            <w:r>
              <w:rPr>
                <w:rFonts w:hint="eastAsia" w:ascii="宋体" w:hAnsi="宋体" w:eastAsia="宋体" w:cs="宋体"/>
                <w:color w:val="auto"/>
                <w:spacing w:val="9"/>
                <w:sz w:val="21"/>
                <w:szCs w:val="21"/>
                <w:highlight w:val="none"/>
              </w:rPr>
              <w:t>（12）按照评标委员会的要求进行了澄清、说明或补正。</w:t>
            </w:r>
          </w:p>
          <w:p>
            <w:pPr>
              <w:keepNext w:val="0"/>
              <w:keepLines w:val="0"/>
              <w:pageBreakBefore w:val="0"/>
              <w:widowControl/>
              <w:kinsoku w:val="0"/>
              <w:wordWrap/>
              <w:overflowPunct/>
              <w:topLinePunct w:val="0"/>
              <w:autoSpaceDE w:val="0"/>
              <w:autoSpaceDN w:val="0"/>
              <w:bidi w:val="0"/>
              <w:adjustRightInd w:val="0"/>
              <w:snapToGrid w:val="0"/>
              <w:spacing w:before="157" w:line="264" w:lineRule="auto"/>
              <w:ind w:left="111" w:leftChars="50" w:right="0" w:hanging="6"/>
              <w:textAlignment w:val="baseline"/>
              <w:rPr>
                <w:rFonts w:hint="eastAsia" w:ascii="宋体" w:hAnsi="宋体" w:eastAsia="宋体" w:cs="宋体"/>
                <w:color w:val="auto"/>
                <w:spacing w:val="9"/>
                <w:sz w:val="21"/>
                <w:szCs w:val="21"/>
                <w:highlight w:val="none"/>
              </w:rPr>
            </w:pPr>
            <w:r>
              <w:rPr>
                <w:rFonts w:hint="eastAsia" w:ascii="宋体" w:hAnsi="宋体" w:eastAsia="宋体" w:cs="宋体"/>
                <w:color w:val="auto"/>
                <w:spacing w:val="9"/>
                <w:sz w:val="21"/>
                <w:szCs w:val="21"/>
                <w:highlight w:val="none"/>
              </w:rPr>
              <w:t>（13）投标文件符合招标文件的其他相关规定。</w:t>
            </w:r>
          </w:p>
          <w:p>
            <w:pPr>
              <w:keepNext w:val="0"/>
              <w:keepLines w:val="0"/>
              <w:pageBreakBefore w:val="0"/>
              <w:widowControl/>
              <w:kinsoku w:val="0"/>
              <w:wordWrap/>
              <w:overflowPunct/>
              <w:topLinePunct w:val="0"/>
              <w:autoSpaceDE w:val="0"/>
              <w:autoSpaceDN w:val="0"/>
              <w:bidi w:val="0"/>
              <w:adjustRightInd w:val="0"/>
              <w:snapToGrid w:val="0"/>
              <w:spacing w:before="157" w:line="264" w:lineRule="auto"/>
              <w:ind w:left="111" w:leftChars="50" w:right="0" w:hanging="6"/>
              <w:textAlignment w:val="baseline"/>
              <w:rPr>
                <w:rFonts w:hint="eastAsia" w:ascii="宋体" w:hAnsi="宋体" w:eastAsia="宋体" w:cs="宋体"/>
                <w:color w:val="auto"/>
                <w:spacing w:val="9"/>
                <w:sz w:val="21"/>
                <w:szCs w:val="21"/>
                <w:highlight w:val="none"/>
              </w:rPr>
            </w:pPr>
            <w:r>
              <w:rPr>
                <w:rFonts w:hint="eastAsia" w:ascii="宋体" w:hAnsi="宋体" w:eastAsia="宋体" w:cs="宋体"/>
                <w:color w:val="auto"/>
                <w:spacing w:val="9"/>
                <w:sz w:val="21"/>
                <w:szCs w:val="21"/>
                <w:highlight w:val="none"/>
              </w:rPr>
              <w:t>投标文件未满足以上任一条件的，其投标视为无效，评标委员会将否决其投标。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915" w:type="dxa"/>
            <w:vAlign w:val="center"/>
          </w:tcPr>
          <w:p>
            <w:pPr>
              <w:keepNext w:val="0"/>
              <w:keepLines w:val="0"/>
              <w:pageBreakBefore w:val="0"/>
              <w:widowControl/>
              <w:kinsoku w:val="0"/>
              <w:wordWrap/>
              <w:overflowPunct/>
              <w:topLinePunct w:val="0"/>
              <w:autoSpaceDE w:val="0"/>
              <w:autoSpaceDN w:val="0"/>
              <w:bidi w:val="0"/>
              <w:adjustRightInd w:val="0"/>
              <w:snapToGrid w:val="0"/>
              <w:spacing w:before="65" w:line="264" w:lineRule="auto"/>
              <w:ind w:right="154"/>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2.1.2</w:t>
            </w:r>
          </w:p>
        </w:tc>
        <w:tc>
          <w:tcPr>
            <w:tcW w:w="825" w:type="dxa"/>
            <w:vAlign w:val="center"/>
          </w:tcPr>
          <w:p>
            <w:pPr>
              <w:keepNext w:val="0"/>
              <w:keepLines w:val="0"/>
              <w:pageBreakBefore w:val="0"/>
              <w:widowControl/>
              <w:kinsoku w:val="0"/>
              <w:wordWrap/>
              <w:overflowPunct/>
              <w:topLinePunct w:val="0"/>
              <w:autoSpaceDE w:val="0"/>
              <w:autoSpaceDN w:val="0"/>
              <w:bidi w:val="0"/>
              <w:adjustRightInd w:val="0"/>
              <w:snapToGrid w:val="0"/>
              <w:spacing w:before="65" w:line="264" w:lineRule="auto"/>
              <w:ind w:left="115" w:right="114" w:firstLine="9"/>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w:t>
            </w:r>
            <w:r>
              <w:rPr>
                <w:rFonts w:hint="eastAsia" w:ascii="宋体" w:hAnsi="宋体" w:eastAsia="宋体" w:cs="宋体"/>
                <w:color w:val="auto"/>
                <w:spacing w:val="5"/>
                <w:sz w:val="21"/>
                <w:szCs w:val="21"/>
                <w:highlight w:val="none"/>
              </w:rPr>
              <w:t>评审标准</w:t>
            </w:r>
          </w:p>
        </w:tc>
        <w:tc>
          <w:tcPr>
            <w:tcW w:w="7930"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before="13" w:line="264" w:lineRule="auto"/>
              <w:ind w:left="105" w:leftChars="50" w:right="11"/>
              <w:jc w:val="left"/>
              <w:textAlignment w:val="baseline"/>
              <w:rPr>
                <w:rFonts w:hint="eastAsia" w:ascii="宋体" w:hAnsi="宋体" w:eastAsia="宋体" w:cs="宋体"/>
                <w:color w:val="auto"/>
                <w:spacing w:val="9"/>
                <w:sz w:val="21"/>
                <w:szCs w:val="21"/>
                <w:highlight w:val="none"/>
              </w:rPr>
            </w:pPr>
            <w:r>
              <w:rPr>
                <w:rFonts w:hint="eastAsia" w:ascii="宋体" w:hAnsi="宋体" w:eastAsia="宋体" w:cs="宋体"/>
                <w:color w:val="auto"/>
                <w:spacing w:val="9"/>
                <w:sz w:val="21"/>
                <w:szCs w:val="21"/>
                <w:highlight w:val="none"/>
              </w:rPr>
              <w:t>（1）投标人具备有效的营业执照副本或事业单位法人证书或社会团体法人登记证书、资质证书、安全生产许可证和基本账户信息扫描件。</w:t>
            </w:r>
          </w:p>
          <w:p>
            <w:pPr>
              <w:keepNext w:val="0"/>
              <w:keepLines w:val="0"/>
              <w:pageBreakBefore w:val="0"/>
              <w:widowControl/>
              <w:kinsoku w:val="0"/>
              <w:wordWrap/>
              <w:overflowPunct/>
              <w:topLinePunct w:val="0"/>
              <w:autoSpaceDE w:val="0"/>
              <w:autoSpaceDN w:val="0"/>
              <w:bidi w:val="0"/>
              <w:adjustRightInd w:val="0"/>
              <w:snapToGrid w:val="0"/>
              <w:spacing w:before="13" w:line="264" w:lineRule="auto"/>
              <w:ind w:left="105" w:leftChars="50" w:right="11"/>
              <w:jc w:val="left"/>
              <w:textAlignment w:val="baseline"/>
              <w:rPr>
                <w:rFonts w:hint="eastAsia" w:ascii="宋体" w:hAnsi="宋体" w:eastAsia="宋体" w:cs="宋体"/>
                <w:color w:val="auto"/>
                <w:spacing w:val="9"/>
                <w:sz w:val="21"/>
                <w:szCs w:val="21"/>
                <w:highlight w:val="none"/>
              </w:rPr>
            </w:pPr>
            <w:r>
              <w:rPr>
                <w:rFonts w:hint="eastAsia" w:ascii="宋体" w:hAnsi="宋体" w:eastAsia="宋体" w:cs="宋体"/>
                <w:color w:val="auto"/>
                <w:spacing w:val="9"/>
                <w:sz w:val="21"/>
                <w:szCs w:val="21"/>
                <w:highlight w:val="none"/>
              </w:rPr>
              <w:t>（2）投标人的资质最低条件符合招标文件投标人须知附录1（包括表注）规定。</w:t>
            </w:r>
          </w:p>
          <w:p>
            <w:pPr>
              <w:keepNext w:val="0"/>
              <w:keepLines w:val="0"/>
              <w:pageBreakBefore w:val="0"/>
              <w:widowControl/>
              <w:kinsoku w:val="0"/>
              <w:wordWrap/>
              <w:overflowPunct/>
              <w:topLinePunct w:val="0"/>
              <w:autoSpaceDE w:val="0"/>
              <w:autoSpaceDN w:val="0"/>
              <w:bidi w:val="0"/>
              <w:adjustRightInd w:val="0"/>
              <w:snapToGrid w:val="0"/>
              <w:spacing w:before="13" w:line="264" w:lineRule="auto"/>
              <w:ind w:left="105" w:leftChars="50" w:right="11"/>
              <w:jc w:val="left"/>
              <w:textAlignment w:val="baseline"/>
              <w:rPr>
                <w:rFonts w:hint="eastAsia" w:ascii="宋体" w:hAnsi="宋体" w:eastAsia="宋体" w:cs="宋体"/>
                <w:color w:val="auto"/>
                <w:spacing w:val="9"/>
                <w:sz w:val="21"/>
                <w:szCs w:val="21"/>
                <w:highlight w:val="none"/>
              </w:rPr>
            </w:pPr>
            <w:r>
              <w:rPr>
                <w:rFonts w:hint="eastAsia" w:ascii="宋体" w:hAnsi="宋体" w:eastAsia="宋体" w:cs="宋体"/>
                <w:color w:val="auto"/>
                <w:spacing w:val="9"/>
                <w:sz w:val="21"/>
                <w:szCs w:val="21"/>
                <w:highlight w:val="none"/>
              </w:rPr>
              <w:t>（3）投标人的财务最低要求符合招标文件投标人须知附录2（包括表注）规定。</w:t>
            </w:r>
          </w:p>
          <w:p>
            <w:pPr>
              <w:keepNext w:val="0"/>
              <w:keepLines w:val="0"/>
              <w:pageBreakBefore w:val="0"/>
              <w:widowControl/>
              <w:kinsoku w:val="0"/>
              <w:wordWrap/>
              <w:overflowPunct/>
              <w:topLinePunct w:val="0"/>
              <w:autoSpaceDE w:val="0"/>
              <w:autoSpaceDN w:val="0"/>
              <w:bidi w:val="0"/>
              <w:adjustRightInd w:val="0"/>
              <w:snapToGrid w:val="0"/>
              <w:spacing w:before="13" w:line="264" w:lineRule="auto"/>
              <w:ind w:left="105" w:leftChars="50" w:right="11"/>
              <w:jc w:val="left"/>
              <w:textAlignment w:val="baseline"/>
              <w:rPr>
                <w:rFonts w:hint="eastAsia" w:ascii="宋体" w:hAnsi="宋体" w:eastAsia="宋体" w:cs="宋体"/>
                <w:color w:val="auto"/>
                <w:spacing w:val="9"/>
                <w:sz w:val="21"/>
                <w:szCs w:val="21"/>
                <w:highlight w:val="none"/>
              </w:rPr>
            </w:pPr>
            <w:r>
              <w:rPr>
                <w:rFonts w:hint="eastAsia" w:ascii="宋体" w:hAnsi="宋体" w:eastAsia="宋体" w:cs="宋体"/>
                <w:color w:val="auto"/>
                <w:spacing w:val="9"/>
                <w:sz w:val="21"/>
                <w:szCs w:val="21"/>
                <w:highlight w:val="none"/>
              </w:rPr>
              <w:t>（4）投标人的业绩最低要求符合招标文件投标人须知附录3（包括表注）规定。</w:t>
            </w:r>
          </w:p>
          <w:p>
            <w:pPr>
              <w:keepNext w:val="0"/>
              <w:keepLines w:val="0"/>
              <w:pageBreakBefore w:val="0"/>
              <w:widowControl/>
              <w:kinsoku w:val="0"/>
              <w:wordWrap/>
              <w:overflowPunct/>
              <w:topLinePunct w:val="0"/>
              <w:autoSpaceDE w:val="0"/>
              <w:autoSpaceDN w:val="0"/>
              <w:bidi w:val="0"/>
              <w:adjustRightInd w:val="0"/>
              <w:snapToGrid w:val="0"/>
              <w:spacing w:before="13" w:line="264" w:lineRule="auto"/>
              <w:ind w:left="105" w:leftChars="50" w:right="11"/>
              <w:jc w:val="left"/>
              <w:textAlignment w:val="baseline"/>
              <w:rPr>
                <w:rFonts w:hint="eastAsia" w:ascii="宋体" w:hAnsi="宋体" w:eastAsia="宋体" w:cs="宋体"/>
                <w:color w:val="auto"/>
                <w:spacing w:val="9"/>
                <w:sz w:val="21"/>
                <w:szCs w:val="21"/>
                <w:highlight w:val="none"/>
              </w:rPr>
            </w:pPr>
            <w:r>
              <w:rPr>
                <w:rFonts w:hint="eastAsia" w:ascii="宋体" w:hAnsi="宋体" w:eastAsia="宋体" w:cs="宋体"/>
                <w:color w:val="auto"/>
                <w:spacing w:val="9"/>
                <w:sz w:val="21"/>
                <w:szCs w:val="21"/>
                <w:highlight w:val="none"/>
              </w:rPr>
              <w:t>（5）投标人的信誉最低要求符合招标文件投标人须知附录4（包括表注）规定。</w:t>
            </w:r>
          </w:p>
          <w:p>
            <w:pPr>
              <w:keepNext w:val="0"/>
              <w:keepLines w:val="0"/>
              <w:pageBreakBefore w:val="0"/>
              <w:widowControl/>
              <w:kinsoku w:val="0"/>
              <w:wordWrap/>
              <w:overflowPunct/>
              <w:topLinePunct w:val="0"/>
              <w:autoSpaceDE w:val="0"/>
              <w:autoSpaceDN w:val="0"/>
              <w:bidi w:val="0"/>
              <w:adjustRightInd w:val="0"/>
              <w:snapToGrid w:val="0"/>
              <w:spacing w:before="13" w:line="264" w:lineRule="auto"/>
              <w:ind w:left="105" w:leftChars="50" w:right="11"/>
              <w:jc w:val="left"/>
              <w:textAlignment w:val="baseline"/>
              <w:rPr>
                <w:rFonts w:hint="eastAsia" w:ascii="宋体" w:hAnsi="宋体" w:eastAsia="宋体" w:cs="宋体"/>
                <w:color w:val="auto"/>
                <w:spacing w:val="9"/>
                <w:sz w:val="21"/>
                <w:szCs w:val="21"/>
                <w:highlight w:val="none"/>
              </w:rPr>
            </w:pPr>
            <w:r>
              <w:rPr>
                <w:rFonts w:hint="eastAsia" w:ascii="宋体" w:hAnsi="宋体" w:eastAsia="宋体" w:cs="宋体"/>
                <w:color w:val="auto"/>
                <w:spacing w:val="9"/>
                <w:sz w:val="21"/>
                <w:szCs w:val="21"/>
                <w:highlight w:val="none"/>
              </w:rPr>
              <w:t>（6）投标人的项目经理和项目总工最低要求符合招标文件投标人须知附录5（包括表注）规定。</w:t>
            </w:r>
          </w:p>
          <w:p>
            <w:pPr>
              <w:keepNext w:val="0"/>
              <w:keepLines w:val="0"/>
              <w:pageBreakBefore w:val="0"/>
              <w:widowControl/>
              <w:kinsoku w:val="0"/>
              <w:wordWrap/>
              <w:overflowPunct/>
              <w:topLinePunct w:val="0"/>
              <w:autoSpaceDE w:val="0"/>
              <w:autoSpaceDN w:val="0"/>
              <w:bidi w:val="0"/>
              <w:adjustRightInd w:val="0"/>
              <w:snapToGrid w:val="0"/>
              <w:spacing w:before="13" w:line="264" w:lineRule="auto"/>
              <w:ind w:left="105" w:leftChars="50" w:right="11"/>
              <w:jc w:val="left"/>
              <w:textAlignment w:val="baseline"/>
              <w:rPr>
                <w:rFonts w:hint="eastAsia" w:ascii="宋体" w:hAnsi="宋体" w:eastAsia="宋体" w:cs="宋体"/>
                <w:color w:val="auto"/>
                <w:spacing w:val="9"/>
                <w:sz w:val="21"/>
                <w:szCs w:val="21"/>
                <w:highlight w:val="none"/>
              </w:rPr>
            </w:pPr>
            <w:r>
              <w:rPr>
                <w:rFonts w:hint="eastAsia" w:ascii="宋体" w:hAnsi="宋体" w:eastAsia="宋体" w:cs="宋体"/>
                <w:color w:val="auto"/>
                <w:spacing w:val="9"/>
                <w:sz w:val="21"/>
                <w:szCs w:val="21"/>
                <w:highlight w:val="none"/>
              </w:rPr>
              <w:t>（7）投标人的其他要求符合招标文件规定。</w:t>
            </w:r>
          </w:p>
          <w:p>
            <w:pPr>
              <w:keepNext w:val="0"/>
              <w:keepLines w:val="0"/>
              <w:pageBreakBefore w:val="0"/>
              <w:widowControl/>
              <w:kinsoku w:val="0"/>
              <w:wordWrap/>
              <w:overflowPunct/>
              <w:topLinePunct w:val="0"/>
              <w:autoSpaceDE w:val="0"/>
              <w:autoSpaceDN w:val="0"/>
              <w:bidi w:val="0"/>
              <w:adjustRightInd w:val="0"/>
              <w:snapToGrid w:val="0"/>
              <w:spacing w:before="13" w:line="264" w:lineRule="auto"/>
              <w:ind w:left="105" w:leftChars="50" w:right="11"/>
              <w:jc w:val="left"/>
              <w:textAlignment w:val="baseline"/>
              <w:rPr>
                <w:rFonts w:hint="eastAsia" w:ascii="宋体" w:hAnsi="宋体" w:eastAsia="宋体" w:cs="宋体"/>
                <w:color w:val="auto"/>
                <w:spacing w:val="9"/>
                <w:sz w:val="21"/>
                <w:szCs w:val="21"/>
                <w:highlight w:val="none"/>
              </w:rPr>
            </w:pPr>
            <w:r>
              <w:rPr>
                <w:rFonts w:hint="eastAsia" w:ascii="宋体" w:hAnsi="宋体" w:eastAsia="宋体" w:cs="宋体"/>
                <w:color w:val="auto"/>
                <w:spacing w:val="9"/>
                <w:sz w:val="21"/>
                <w:szCs w:val="21"/>
                <w:highlight w:val="none"/>
              </w:rPr>
              <w:t>（8）投标人不存在第二章“投标人须知”第1.4.3项或第1.4.4项规定的任何一种情形。</w:t>
            </w:r>
          </w:p>
          <w:p>
            <w:pPr>
              <w:keepNext w:val="0"/>
              <w:keepLines w:val="0"/>
              <w:pageBreakBefore w:val="0"/>
              <w:widowControl/>
              <w:kinsoku w:val="0"/>
              <w:wordWrap/>
              <w:overflowPunct/>
              <w:topLinePunct w:val="0"/>
              <w:autoSpaceDE w:val="0"/>
              <w:autoSpaceDN w:val="0"/>
              <w:bidi w:val="0"/>
              <w:adjustRightInd w:val="0"/>
              <w:snapToGrid w:val="0"/>
              <w:spacing w:before="13" w:line="264" w:lineRule="auto"/>
              <w:ind w:left="105" w:leftChars="50" w:right="11"/>
              <w:jc w:val="left"/>
              <w:textAlignment w:val="baseline"/>
              <w:rPr>
                <w:rFonts w:hint="eastAsia" w:ascii="宋体" w:hAnsi="宋体" w:eastAsia="宋体" w:cs="宋体"/>
                <w:color w:val="auto"/>
                <w:spacing w:val="2"/>
                <w:position w:val="4"/>
                <w:sz w:val="21"/>
                <w:szCs w:val="21"/>
                <w:highlight w:val="none"/>
              </w:rPr>
            </w:pPr>
            <w:r>
              <w:rPr>
                <w:rFonts w:hint="eastAsia" w:ascii="宋体" w:hAnsi="宋体" w:eastAsia="宋体" w:cs="宋体"/>
                <w:color w:val="auto"/>
                <w:spacing w:val="9"/>
                <w:sz w:val="21"/>
                <w:szCs w:val="21"/>
                <w:highlight w:val="none"/>
              </w:rPr>
              <w:t>投标文件未满足以上任一条件的，其投标视为无效，评标委员会将否决其投标。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9" w:hRule="atLeast"/>
        </w:trPr>
        <w:tc>
          <w:tcPr>
            <w:tcW w:w="915" w:type="dxa"/>
            <w:vAlign w:val="center"/>
          </w:tcPr>
          <w:p>
            <w:pPr>
              <w:keepNext w:val="0"/>
              <w:keepLines w:val="0"/>
              <w:pageBreakBefore w:val="0"/>
              <w:widowControl/>
              <w:kinsoku w:val="0"/>
              <w:wordWrap/>
              <w:overflowPunct/>
              <w:topLinePunct w:val="0"/>
              <w:autoSpaceDE w:val="0"/>
              <w:autoSpaceDN w:val="0"/>
              <w:bidi w:val="0"/>
              <w:adjustRightInd w:val="0"/>
              <w:snapToGrid w:val="0"/>
              <w:spacing w:line="264"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2.2.1</w:t>
            </w:r>
          </w:p>
        </w:tc>
        <w:tc>
          <w:tcPr>
            <w:tcW w:w="2203" w:type="dxa"/>
            <w:gridSpan w:val="2"/>
            <w:vAlign w:val="center"/>
          </w:tcPr>
          <w:p>
            <w:pPr>
              <w:keepNext w:val="0"/>
              <w:keepLines w:val="0"/>
              <w:pageBreakBefore w:val="0"/>
              <w:widowControl/>
              <w:tabs>
                <w:tab w:val="left" w:pos="1526"/>
              </w:tabs>
              <w:kinsoku w:val="0"/>
              <w:wordWrap/>
              <w:overflowPunct/>
              <w:topLinePunct w:val="0"/>
              <w:autoSpaceDE w:val="0"/>
              <w:autoSpaceDN w:val="0"/>
              <w:bidi w:val="0"/>
              <w:adjustRightInd w:val="0"/>
              <w:snapToGrid w:val="0"/>
              <w:spacing w:line="264" w:lineRule="auto"/>
              <w:ind w:right="19"/>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分值构成（总分100.00分）</w:t>
            </w:r>
          </w:p>
        </w:tc>
        <w:tc>
          <w:tcPr>
            <w:tcW w:w="6552" w:type="dxa"/>
            <w:vAlign w:val="center"/>
          </w:tcPr>
          <w:p>
            <w:pPr>
              <w:keepNext w:val="0"/>
              <w:keepLines w:val="0"/>
              <w:pageBreakBefore w:val="0"/>
              <w:widowControl/>
              <w:kinsoku w:val="0"/>
              <w:wordWrap/>
              <w:overflowPunct/>
              <w:topLinePunct w:val="0"/>
              <w:autoSpaceDE w:val="0"/>
              <w:autoSpaceDN w:val="0"/>
              <w:bidi w:val="0"/>
              <w:adjustRightInd w:val="0"/>
              <w:snapToGrid w:val="0"/>
              <w:spacing w:line="264" w:lineRule="auto"/>
              <w:ind w:left="105" w:leftChars="5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评标价：100.00分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44" w:hRule="atLeast"/>
        </w:trPr>
        <w:tc>
          <w:tcPr>
            <w:tcW w:w="915" w:type="dxa"/>
            <w:vAlign w:val="center"/>
          </w:tcPr>
          <w:p>
            <w:pPr>
              <w:keepNext w:val="0"/>
              <w:keepLines w:val="0"/>
              <w:pageBreakBefore w:val="0"/>
              <w:widowControl/>
              <w:kinsoku w:val="0"/>
              <w:wordWrap/>
              <w:overflowPunct/>
              <w:topLinePunct w:val="0"/>
              <w:autoSpaceDE w:val="0"/>
              <w:autoSpaceDN w:val="0"/>
              <w:bidi w:val="0"/>
              <w:adjustRightInd w:val="0"/>
              <w:snapToGrid w:val="0"/>
              <w:spacing w:line="264"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pacing w:val="2"/>
                <w:sz w:val="21"/>
                <w:szCs w:val="21"/>
                <w:highlight w:val="none"/>
              </w:rPr>
              <w:t>2.2.</w:t>
            </w:r>
            <w:r>
              <w:rPr>
                <w:rFonts w:hint="eastAsia" w:ascii="宋体" w:hAnsi="宋体" w:eastAsia="宋体" w:cs="宋体"/>
                <w:color w:val="auto"/>
                <w:spacing w:val="2"/>
                <w:sz w:val="21"/>
                <w:szCs w:val="21"/>
                <w:highlight w:val="none"/>
                <w:lang w:val="en-US" w:eastAsia="zh-CN"/>
              </w:rPr>
              <w:t>2</w:t>
            </w:r>
          </w:p>
        </w:tc>
        <w:tc>
          <w:tcPr>
            <w:tcW w:w="2203"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264" w:lineRule="auto"/>
              <w:ind w:right="148"/>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评标基准价计算方法</w:t>
            </w:r>
          </w:p>
        </w:tc>
        <w:tc>
          <w:tcPr>
            <w:tcW w:w="6552" w:type="dxa"/>
            <w:vAlign w:val="center"/>
          </w:tcPr>
          <w:p>
            <w:pPr>
              <w:keepNext w:val="0"/>
              <w:keepLines w:val="0"/>
              <w:pageBreakBefore w:val="0"/>
              <w:widowControl/>
              <w:kinsoku w:val="0"/>
              <w:wordWrap/>
              <w:overflowPunct/>
              <w:topLinePunct w:val="0"/>
              <w:autoSpaceDE w:val="0"/>
              <w:autoSpaceDN w:val="0"/>
              <w:bidi w:val="0"/>
              <w:adjustRightInd w:val="0"/>
              <w:snapToGrid w:val="0"/>
              <w:spacing w:line="264" w:lineRule="auto"/>
              <w:ind w:left="105" w:leftChars="50" w:right="110"/>
              <w:jc w:val="both"/>
              <w:textAlignment w:val="baseline"/>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在开标现场，招标人将当场计算并宣布评标基准价。</w:t>
            </w:r>
          </w:p>
          <w:p>
            <w:pPr>
              <w:keepNext w:val="0"/>
              <w:keepLines w:val="0"/>
              <w:pageBreakBefore w:val="0"/>
              <w:widowControl/>
              <w:kinsoku w:val="0"/>
              <w:wordWrap/>
              <w:overflowPunct/>
              <w:topLinePunct w:val="0"/>
              <w:autoSpaceDE w:val="0"/>
              <w:autoSpaceDN w:val="0"/>
              <w:bidi w:val="0"/>
              <w:adjustRightInd w:val="0"/>
              <w:snapToGrid w:val="0"/>
              <w:spacing w:line="264" w:lineRule="auto"/>
              <w:ind w:left="105" w:leftChars="50" w:right="110"/>
              <w:jc w:val="both"/>
              <w:textAlignment w:val="baseline"/>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一、计算公式字母含义</w:t>
            </w:r>
          </w:p>
          <w:p>
            <w:pPr>
              <w:keepNext w:val="0"/>
              <w:keepLines w:val="0"/>
              <w:pageBreakBefore w:val="0"/>
              <w:widowControl/>
              <w:kinsoku w:val="0"/>
              <w:wordWrap/>
              <w:overflowPunct/>
              <w:topLinePunct w:val="0"/>
              <w:autoSpaceDE w:val="0"/>
              <w:autoSpaceDN w:val="0"/>
              <w:bidi w:val="0"/>
              <w:adjustRightInd w:val="0"/>
              <w:snapToGrid w:val="0"/>
              <w:spacing w:line="264" w:lineRule="auto"/>
              <w:ind w:left="105" w:leftChars="50" w:right="110"/>
              <w:jc w:val="both"/>
              <w:textAlignment w:val="baseline"/>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（一）P为评标基准价；</w:t>
            </w:r>
          </w:p>
          <w:p>
            <w:pPr>
              <w:keepNext w:val="0"/>
              <w:keepLines w:val="0"/>
              <w:pageBreakBefore w:val="0"/>
              <w:widowControl/>
              <w:kinsoku w:val="0"/>
              <w:wordWrap/>
              <w:overflowPunct/>
              <w:topLinePunct w:val="0"/>
              <w:autoSpaceDE w:val="0"/>
              <w:autoSpaceDN w:val="0"/>
              <w:bidi w:val="0"/>
              <w:adjustRightInd w:val="0"/>
              <w:snapToGrid w:val="0"/>
              <w:spacing w:line="264" w:lineRule="auto"/>
              <w:ind w:left="105" w:leftChars="50" w:right="110"/>
              <w:jc w:val="both"/>
              <w:textAlignment w:val="baseline"/>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（二）Di为评标价：Di＝投标函文字报价；</w:t>
            </w:r>
          </w:p>
          <w:p>
            <w:pPr>
              <w:keepNext w:val="0"/>
              <w:keepLines w:val="0"/>
              <w:pageBreakBefore w:val="0"/>
              <w:widowControl/>
              <w:kinsoku w:val="0"/>
              <w:wordWrap/>
              <w:overflowPunct/>
              <w:topLinePunct w:val="0"/>
              <w:autoSpaceDE w:val="0"/>
              <w:autoSpaceDN w:val="0"/>
              <w:bidi w:val="0"/>
              <w:adjustRightInd w:val="0"/>
              <w:snapToGrid w:val="0"/>
              <w:spacing w:line="264" w:lineRule="auto"/>
              <w:ind w:left="105" w:leftChars="50" w:right="110"/>
              <w:jc w:val="both"/>
              <w:textAlignment w:val="baseline"/>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（三）N为有效评标价的数量（有效评标价：除第一个信封经评标委员会否决的投标人及按投标人须知第5.2.5项规定不参加评标基准价计算的投标报价之外，剩余所有投标人的评标价均为有效评标价。）</w:t>
            </w:r>
          </w:p>
          <w:p>
            <w:pPr>
              <w:keepNext w:val="0"/>
              <w:keepLines w:val="0"/>
              <w:pageBreakBefore w:val="0"/>
              <w:widowControl/>
              <w:kinsoku w:val="0"/>
              <w:wordWrap/>
              <w:overflowPunct/>
              <w:topLinePunct w:val="0"/>
              <w:autoSpaceDE w:val="0"/>
              <w:autoSpaceDN w:val="0"/>
              <w:bidi w:val="0"/>
              <w:adjustRightInd w:val="0"/>
              <w:snapToGrid w:val="0"/>
              <w:spacing w:line="264" w:lineRule="auto"/>
              <w:ind w:left="105" w:leftChars="50" w:right="110"/>
              <w:jc w:val="both"/>
              <w:textAlignment w:val="baseline"/>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（四）K为评标基准价系数：K值取值范围为0.980、0.985、0.990、0.995、1.000共5</w:t>
            </w:r>
            <w:r>
              <w:rPr>
                <w:rFonts w:hint="eastAsia" w:ascii="宋体" w:hAnsi="宋体" w:eastAsia="宋体" w:cs="宋体"/>
                <w:color w:val="auto"/>
                <w:spacing w:val="7"/>
                <w:sz w:val="21"/>
                <w:szCs w:val="21"/>
                <w:highlight w:val="none"/>
                <w:lang w:eastAsia="zh-CN"/>
              </w:rPr>
              <w:t>个</w:t>
            </w:r>
            <w:r>
              <w:rPr>
                <w:rFonts w:hint="eastAsia" w:ascii="宋体" w:hAnsi="宋体" w:eastAsia="宋体" w:cs="宋体"/>
                <w:color w:val="auto"/>
                <w:spacing w:val="7"/>
                <w:sz w:val="21"/>
                <w:szCs w:val="21"/>
                <w:highlight w:val="none"/>
              </w:rPr>
              <w:t>数值，在宁夏回族自治区公共资源交易平台电子交易系统不见面开标大厅开标过程中随机抽取一个K值，并当场公布；</w:t>
            </w:r>
          </w:p>
          <w:p>
            <w:pPr>
              <w:keepNext w:val="0"/>
              <w:keepLines w:val="0"/>
              <w:pageBreakBefore w:val="0"/>
              <w:widowControl/>
              <w:kinsoku w:val="0"/>
              <w:wordWrap/>
              <w:overflowPunct/>
              <w:topLinePunct w:val="0"/>
              <w:autoSpaceDE w:val="0"/>
              <w:autoSpaceDN w:val="0"/>
              <w:bidi w:val="0"/>
              <w:adjustRightInd w:val="0"/>
              <w:snapToGrid w:val="0"/>
              <w:spacing w:line="264" w:lineRule="auto"/>
              <w:ind w:left="105" w:leftChars="50" w:right="110"/>
              <w:jc w:val="both"/>
              <w:textAlignment w:val="baseline"/>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（五）n1为去掉最高有效评标价的数量，n2为去掉最低有效评标价的数量。</w:t>
            </w:r>
          </w:p>
          <w:p>
            <w:pPr>
              <w:keepNext w:val="0"/>
              <w:keepLines w:val="0"/>
              <w:pageBreakBefore w:val="0"/>
              <w:widowControl/>
              <w:kinsoku w:val="0"/>
              <w:wordWrap/>
              <w:overflowPunct/>
              <w:topLinePunct w:val="0"/>
              <w:autoSpaceDE w:val="0"/>
              <w:autoSpaceDN w:val="0"/>
              <w:bidi w:val="0"/>
              <w:adjustRightInd w:val="0"/>
              <w:snapToGrid w:val="0"/>
              <w:spacing w:line="264" w:lineRule="auto"/>
              <w:ind w:left="105" w:leftChars="50" w:right="110"/>
              <w:jc w:val="both"/>
              <w:textAlignment w:val="baseline"/>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n1、n2的取值方法：当N＜6时，n1、n2均取0；当6≤N&lt;10，n1、n2均取1；当N≥10时，n1在取值区间1～M-1中随机抽取，n2在取值区间1～M+1中随机抽取，M=N/4，M去尾取整数，当N≥10时，n1、n2取值在</w:t>
            </w:r>
            <w:bookmarkStart w:id="5" w:name="_GoBack"/>
            <w:bookmarkEnd w:id="5"/>
            <w:r>
              <w:rPr>
                <w:rFonts w:hint="eastAsia" w:ascii="宋体" w:hAnsi="宋体" w:eastAsia="宋体" w:cs="宋体"/>
                <w:color w:val="auto"/>
                <w:spacing w:val="7"/>
                <w:sz w:val="21"/>
                <w:szCs w:val="21"/>
                <w:highlight w:val="none"/>
                <w:lang w:eastAsia="zh-CN"/>
              </w:rPr>
              <w:t>宁夏回族自治区</w:t>
            </w:r>
            <w:r>
              <w:rPr>
                <w:rFonts w:hint="eastAsia" w:ascii="宋体" w:hAnsi="宋体" w:eastAsia="宋体" w:cs="宋体"/>
                <w:color w:val="auto"/>
                <w:spacing w:val="7"/>
                <w:sz w:val="21"/>
                <w:szCs w:val="21"/>
                <w:highlight w:val="none"/>
              </w:rPr>
              <w:t>公共资源交易平台电子交易系统不见面开标大厅开标过程中随机抽取。</w:t>
            </w:r>
          </w:p>
          <w:p>
            <w:pPr>
              <w:keepNext w:val="0"/>
              <w:keepLines w:val="0"/>
              <w:pageBreakBefore w:val="0"/>
              <w:widowControl/>
              <w:kinsoku w:val="0"/>
              <w:wordWrap/>
              <w:overflowPunct/>
              <w:topLinePunct w:val="0"/>
              <w:autoSpaceDE w:val="0"/>
              <w:autoSpaceDN w:val="0"/>
              <w:bidi w:val="0"/>
              <w:adjustRightInd w:val="0"/>
              <w:snapToGrid w:val="0"/>
              <w:spacing w:line="264" w:lineRule="auto"/>
              <w:ind w:left="105" w:leftChars="50" w:right="110"/>
              <w:jc w:val="both"/>
              <w:textAlignment w:val="baseline"/>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二、本评标办法中设置以下3种不同的评标基准价计算方法，在宁夏回族自治区公共资源交易平台电子交易系统不见面开标大厅开标过程中随机抽取其中1种方法作为本次招标评标基准价的计算方法，并按已抽取的评标基准价计算方法，随机抽取相关计算参数：</w:t>
            </w:r>
          </w:p>
          <w:p>
            <w:pPr>
              <w:keepNext w:val="0"/>
              <w:keepLines w:val="0"/>
              <w:pageBreakBefore w:val="0"/>
              <w:widowControl/>
              <w:kinsoku w:val="0"/>
              <w:wordWrap/>
              <w:overflowPunct/>
              <w:topLinePunct w:val="0"/>
              <w:autoSpaceDE w:val="0"/>
              <w:autoSpaceDN w:val="0"/>
              <w:bidi w:val="0"/>
              <w:adjustRightInd w:val="0"/>
              <w:snapToGrid w:val="0"/>
              <w:spacing w:line="264" w:lineRule="auto"/>
              <w:ind w:left="105" w:leftChars="50" w:right="110"/>
              <w:jc w:val="both"/>
              <w:textAlignment w:val="baseline"/>
              <w:rPr>
                <w:rFonts w:hint="eastAsia" w:ascii="宋体" w:hAnsi="宋体" w:eastAsia="宋体" w:cs="宋体"/>
                <w:color w:val="auto"/>
                <w:spacing w:val="7"/>
                <w:sz w:val="21"/>
                <w:szCs w:val="21"/>
                <w:highlight w:val="none"/>
              </w:rPr>
            </w:pPr>
            <w:r>
              <w:rPr>
                <w:rFonts w:hint="eastAsia" w:ascii="宋体" w:hAnsi="宋体" w:eastAsia="宋体" w:cs="宋体"/>
                <w:b/>
                <w:bCs/>
                <w:color w:val="auto"/>
                <w:spacing w:val="7"/>
                <w:sz w:val="21"/>
                <w:szCs w:val="21"/>
                <w:highlight w:val="none"/>
              </w:rPr>
              <w:t>评标基准价方法1</w:t>
            </w:r>
            <w:r>
              <w:rPr>
                <w:rFonts w:hint="eastAsia" w:ascii="宋体" w:hAnsi="宋体" w:eastAsia="宋体" w:cs="宋体"/>
                <w:color w:val="auto"/>
                <w:spacing w:val="7"/>
                <w:sz w:val="21"/>
                <w:szCs w:val="21"/>
                <w:highlight w:val="none"/>
              </w:rPr>
              <w:t>（平均值随机系数法）：有效评标价去掉n1个最高评标价和n2个最低评标价后取平均值，乘以评标基准价系数K作为评标基准价P。</w:t>
            </w:r>
          </w:p>
          <w:p>
            <w:pPr>
              <w:keepNext w:val="0"/>
              <w:keepLines w:val="0"/>
              <w:pageBreakBefore w:val="0"/>
              <w:widowControl/>
              <w:kinsoku w:val="0"/>
              <w:wordWrap/>
              <w:overflowPunct/>
              <w:topLinePunct w:val="0"/>
              <w:autoSpaceDE w:val="0"/>
              <w:autoSpaceDN w:val="0"/>
              <w:bidi w:val="0"/>
              <w:adjustRightInd w:val="0"/>
              <w:snapToGrid w:val="0"/>
              <w:spacing w:line="264" w:lineRule="auto"/>
              <w:ind w:left="105" w:leftChars="50" w:right="110"/>
              <w:jc w:val="both"/>
              <w:textAlignment w:val="baseline"/>
              <w:rPr>
                <w:rFonts w:hint="eastAsia" w:ascii="宋体" w:hAnsi="宋体" w:eastAsia="宋体" w:cs="宋体"/>
                <w:color w:val="auto"/>
                <w:spacing w:val="7"/>
                <w:sz w:val="21"/>
                <w:szCs w:val="21"/>
                <w:highlight w:val="none"/>
              </w:rPr>
            </w:pPr>
            <w:r>
              <w:rPr>
                <w:rFonts w:hint="eastAsia" w:ascii="宋体" w:hAnsi="宋体" w:eastAsia="宋体" w:cs="宋体"/>
                <w:b/>
                <w:bCs/>
                <w:color w:val="auto"/>
                <w:spacing w:val="7"/>
                <w:sz w:val="21"/>
                <w:szCs w:val="21"/>
                <w:highlight w:val="none"/>
              </w:rPr>
              <w:t>评标基准价方法2</w:t>
            </w:r>
            <w:r>
              <w:rPr>
                <w:rFonts w:hint="eastAsia" w:ascii="宋体" w:hAnsi="宋体" w:eastAsia="宋体" w:cs="宋体"/>
                <w:color w:val="auto"/>
                <w:spacing w:val="7"/>
                <w:sz w:val="21"/>
                <w:szCs w:val="21"/>
                <w:highlight w:val="none"/>
              </w:rPr>
              <w:t>（价差随机系数法）：先去掉n1个最高有效评标价和n2个最低有效评标价，用剩余有效评标价中最大评标价与最小评标价之差与调整系数乘积加最小评标价作为评标基准价。</w:t>
            </w:r>
          </w:p>
          <w:p>
            <w:pPr>
              <w:keepNext w:val="0"/>
              <w:keepLines w:val="0"/>
              <w:pageBreakBefore w:val="0"/>
              <w:widowControl/>
              <w:kinsoku w:val="0"/>
              <w:wordWrap/>
              <w:overflowPunct/>
              <w:topLinePunct w:val="0"/>
              <w:autoSpaceDE w:val="0"/>
              <w:autoSpaceDN w:val="0"/>
              <w:bidi w:val="0"/>
              <w:adjustRightInd w:val="0"/>
              <w:snapToGrid w:val="0"/>
              <w:spacing w:line="264" w:lineRule="auto"/>
              <w:ind w:left="105" w:leftChars="50" w:right="110"/>
              <w:jc w:val="both"/>
              <w:textAlignment w:val="baseline"/>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P＝（Dmax-Dmin）×Ks+Dmin</w:t>
            </w:r>
          </w:p>
          <w:p>
            <w:pPr>
              <w:keepNext w:val="0"/>
              <w:keepLines w:val="0"/>
              <w:pageBreakBefore w:val="0"/>
              <w:widowControl/>
              <w:kinsoku w:val="0"/>
              <w:wordWrap/>
              <w:overflowPunct/>
              <w:topLinePunct w:val="0"/>
              <w:autoSpaceDE w:val="0"/>
              <w:autoSpaceDN w:val="0"/>
              <w:bidi w:val="0"/>
              <w:adjustRightInd w:val="0"/>
              <w:snapToGrid w:val="0"/>
              <w:spacing w:line="264" w:lineRule="auto"/>
              <w:ind w:left="105" w:leftChars="50" w:right="110"/>
              <w:jc w:val="both"/>
              <w:textAlignment w:val="baseline"/>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式中：Dmax为去掉n1个最高有效评标价后的最大评标价数值；Dmin为去掉n2个最低有效评标价后的最小评标价数值。</w:t>
            </w:r>
          </w:p>
          <w:p>
            <w:pPr>
              <w:keepNext w:val="0"/>
              <w:keepLines w:val="0"/>
              <w:pageBreakBefore w:val="0"/>
              <w:widowControl/>
              <w:kinsoku w:val="0"/>
              <w:wordWrap/>
              <w:overflowPunct/>
              <w:topLinePunct w:val="0"/>
              <w:autoSpaceDE w:val="0"/>
              <w:autoSpaceDN w:val="0"/>
              <w:bidi w:val="0"/>
              <w:adjustRightInd w:val="0"/>
              <w:snapToGrid w:val="0"/>
              <w:spacing w:line="264" w:lineRule="auto"/>
              <w:ind w:left="105" w:leftChars="50" w:right="110"/>
              <w:jc w:val="both"/>
              <w:textAlignment w:val="baseline"/>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Ks为随机调整系数：Ks＝（X+Y/10）/10，其中X、Y为开标现场抽取的两个系数，各设5个数值，分别为2、3、4、5、6。</w:t>
            </w:r>
          </w:p>
          <w:p>
            <w:pPr>
              <w:keepNext w:val="0"/>
              <w:keepLines w:val="0"/>
              <w:pageBreakBefore w:val="0"/>
              <w:widowControl/>
              <w:kinsoku w:val="0"/>
              <w:wordWrap/>
              <w:overflowPunct/>
              <w:topLinePunct w:val="0"/>
              <w:autoSpaceDE w:val="0"/>
              <w:autoSpaceDN w:val="0"/>
              <w:bidi w:val="0"/>
              <w:adjustRightInd w:val="0"/>
              <w:snapToGrid w:val="0"/>
              <w:spacing w:line="264" w:lineRule="auto"/>
              <w:ind w:left="105" w:leftChars="50" w:right="110"/>
              <w:jc w:val="both"/>
              <w:textAlignment w:val="baseline"/>
              <w:rPr>
                <w:rFonts w:hint="eastAsia" w:ascii="宋体" w:hAnsi="宋体" w:eastAsia="宋体" w:cs="宋体"/>
                <w:color w:val="auto"/>
                <w:spacing w:val="7"/>
                <w:sz w:val="21"/>
                <w:szCs w:val="21"/>
                <w:highlight w:val="none"/>
              </w:rPr>
            </w:pPr>
            <w:r>
              <w:rPr>
                <w:rFonts w:hint="eastAsia" w:ascii="宋体" w:hAnsi="宋体" w:eastAsia="宋体" w:cs="宋体"/>
                <w:b/>
                <w:bCs/>
                <w:color w:val="auto"/>
                <w:spacing w:val="7"/>
                <w:sz w:val="21"/>
                <w:szCs w:val="21"/>
                <w:highlight w:val="none"/>
              </w:rPr>
              <w:t>评标基准价方法3</w:t>
            </w:r>
            <w:r>
              <w:rPr>
                <w:rFonts w:hint="eastAsia" w:ascii="宋体" w:hAnsi="宋体" w:eastAsia="宋体" w:cs="宋体"/>
                <w:color w:val="auto"/>
                <w:spacing w:val="7"/>
                <w:sz w:val="21"/>
                <w:szCs w:val="21"/>
                <w:highlight w:val="none"/>
              </w:rPr>
              <w:t>（随机权重法）：先去掉n1个最高有效评标价和n2个最低有效评标价后的平均值，用最高投标限价与平均值的权值之和作为评标基准价。</w:t>
            </w:r>
          </w:p>
          <w:p>
            <w:pPr>
              <w:keepNext w:val="0"/>
              <w:keepLines w:val="0"/>
              <w:pageBreakBefore w:val="0"/>
              <w:widowControl/>
              <w:kinsoku w:val="0"/>
              <w:wordWrap/>
              <w:overflowPunct/>
              <w:topLinePunct w:val="0"/>
              <w:autoSpaceDE w:val="0"/>
              <w:autoSpaceDN w:val="0"/>
              <w:bidi w:val="0"/>
              <w:adjustRightInd w:val="0"/>
              <w:snapToGrid w:val="0"/>
              <w:spacing w:line="264" w:lineRule="auto"/>
              <w:ind w:left="105" w:leftChars="50" w:right="110"/>
              <w:jc w:val="both"/>
              <w:textAlignment w:val="baseline"/>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P=D（平均）×K1×Q1+B（上限）×K2×Q2</w:t>
            </w:r>
          </w:p>
          <w:p>
            <w:pPr>
              <w:keepNext w:val="0"/>
              <w:keepLines w:val="0"/>
              <w:pageBreakBefore w:val="0"/>
              <w:widowControl/>
              <w:kinsoku w:val="0"/>
              <w:wordWrap/>
              <w:overflowPunct/>
              <w:topLinePunct w:val="0"/>
              <w:autoSpaceDE w:val="0"/>
              <w:autoSpaceDN w:val="0"/>
              <w:bidi w:val="0"/>
              <w:adjustRightInd w:val="0"/>
              <w:snapToGrid w:val="0"/>
              <w:spacing w:line="264" w:lineRule="auto"/>
              <w:ind w:left="105" w:leftChars="50" w:right="110"/>
              <w:jc w:val="both"/>
              <w:textAlignment w:val="baseline"/>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式中：D（平均）为去掉n1个最高评标价和n2个最低评标价后的平均值；</w:t>
            </w:r>
          </w:p>
          <w:p>
            <w:pPr>
              <w:keepNext w:val="0"/>
              <w:keepLines w:val="0"/>
              <w:pageBreakBefore w:val="0"/>
              <w:widowControl/>
              <w:kinsoku w:val="0"/>
              <w:wordWrap/>
              <w:overflowPunct/>
              <w:topLinePunct w:val="0"/>
              <w:autoSpaceDE w:val="0"/>
              <w:autoSpaceDN w:val="0"/>
              <w:bidi w:val="0"/>
              <w:adjustRightInd w:val="0"/>
              <w:snapToGrid w:val="0"/>
              <w:spacing w:line="264" w:lineRule="auto"/>
              <w:ind w:left="105" w:leftChars="50" w:right="110"/>
              <w:jc w:val="both"/>
              <w:textAlignment w:val="baseline"/>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B（上限）为投标最高限价。</w:t>
            </w:r>
          </w:p>
          <w:p>
            <w:pPr>
              <w:keepNext w:val="0"/>
              <w:keepLines w:val="0"/>
              <w:pageBreakBefore w:val="0"/>
              <w:widowControl/>
              <w:kinsoku w:val="0"/>
              <w:wordWrap/>
              <w:overflowPunct/>
              <w:topLinePunct w:val="0"/>
              <w:autoSpaceDE w:val="0"/>
              <w:autoSpaceDN w:val="0"/>
              <w:bidi w:val="0"/>
              <w:adjustRightInd w:val="0"/>
              <w:snapToGrid w:val="0"/>
              <w:spacing w:line="264" w:lineRule="auto"/>
              <w:ind w:left="105" w:leftChars="50" w:right="110"/>
              <w:jc w:val="both"/>
              <w:textAlignment w:val="baseline"/>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K1、K2、Q1、Q2权重系数：</w:t>
            </w:r>
          </w:p>
          <w:p>
            <w:pPr>
              <w:keepNext w:val="0"/>
              <w:keepLines w:val="0"/>
              <w:pageBreakBefore w:val="0"/>
              <w:widowControl/>
              <w:kinsoku w:val="0"/>
              <w:wordWrap/>
              <w:overflowPunct/>
              <w:topLinePunct w:val="0"/>
              <w:autoSpaceDE w:val="0"/>
              <w:autoSpaceDN w:val="0"/>
              <w:bidi w:val="0"/>
              <w:adjustRightInd w:val="0"/>
              <w:snapToGrid w:val="0"/>
              <w:spacing w:line="264" w:lineRule="auto"/>
              <w:ind w:left="105" w:leftChars="50" w:right="110"/>
              <w:jc w:val="both"/>
              <w:textAlignment w:val="baseline"/>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Q2=1-Q1，Q1取值范围30%～70%；</w:t>
            </w:r>
          </w:p>
          <w:p>
            <w:pPr>
              <w:keepNext w:val="0"/>
              <w:keepLines w:val="0"/>
              <w:pageBreakBefore w:val="0"/>
              <w:widowControl/>
              <w:kinsoku w:val="0"/>
              <w:wordWrap/>
              <w:overflowPunct/>
              <w:topLinePunct w:val="0"/>
              <w:autoSpaceDE w:val="0"/>
              <w:autoSpaceDN w:val="0"/>
              <w:bidi w:val="0"/>
              <w:adjustRightInd w:val="0"/>
              <w:snapToGrid w:val="0"/>
              <w:spacing w:line="264" w:lineRule="auto"/>
              <w:ind w:left="105" w:leftChars="50" w:right="110"/>
              <w:jc w:val="both"/>
              <w:textAlignment w:val="baseline"/>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K1的取值范围为95%～100%；</w:t>
            </w:r>
          </w:p>
          <w:p>
            <w:pPr>
              <w:keepNext w:val="0"/>
              <w:keepLines w:val="0"/>
              <w:pageBreakBefore w:val="0"/>
              <w:widowControl/>
              <w:kinsoku w:val="0"/>
              <w:wordWrap/>
              <w:overflowPunct/>
              <w:topLinePunct w:val="0"/>
              <w:autoSpaceDE w:val="0"/>
              <w:autoSpaceDN w:val="0"/>
              <w:bidi w:val="0"/>
              <w:adjustRightInd w:val="0"/>
              <w:snapToGrid w:val="0"/>
              <w:spacing w:line="264" w:lineRule="auto"/>
              <w:ind w:left="105" w:leftChars="50" w:right="110"/>
              <w:jc w:val="both"/>
              <w:textAlignment w:val="baseline"/>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K2的取值范围为（85%+E%）～（90%+E%），E=</w:t>
            </w:r>
            <w:r>
              <w:rPr>
                <w:rFonts w:hint="eastAsia" w:ascii="宋体" w:hAnsi="宋体" w:eastAsia="宋体" w:cs="宋体"/>
                <w:color w:val="auto"/>
                <w:spacing w:val="7"/>
                <w:sz w:val="21"/>
                <w:szCs w:val="21"/>
                <w:highlight w:val="none"/>
                <w:lang w:val="en-US" w:eastAsia="zh-CN"/>
              </w:rPr>
              <w:t>3</w:t>
            </w:r>
            <w:r>
              <w:rPr>
                <w:rFonts w:hint="eastAsia" w:ascii="宋体" w:hAnsi="宋体" w:eastAsia="宋体" w:cs="宋体"/>
                <w:color w:val="auto"/>
                <w:spacing w:val="7"/>
                <w:sz w:val="21"/>
                <w:szCs w:val="21"/>
                <w:highlight w:val="none"/>
              </w:rPr>
              <w:t>；</w:t>
            </w:r>
          </w:p>
          <w:p>
            <w:pPr>
              <w:keepNext w:val="0"/>
              <w:keepLines w:val="0"/>
              <w:pageBreakBefore w:val="0"/>
              <w:widowControl/>
              <w:kinsoku w:val="0"/>
              <w:wordWrap/>
              <w:overflowPunct/>
              <w:topLinePunct w:val="0"/>
              <w:autoSpaceDE w:val="0"/>
              <w:autoSpaceDN w:val="0"/>
              <w:bidi w:val="0"/>
              <w:adjustRightInd w:val="0"/>
              <w:snapToGrid w:val="0"/>
              <w:spacing w:line="264" w:lineRule="auto"/>
              <w:ind w:left="105" w:leftChars="50" w:right="110"/>
              <w:jc w:val="both"/>
              <w:textAlignment w:val="baseline"/>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Q1值、K1值、K2值均在第二信封开标现场随机抽取确定。Q1取值的步长不大于1%，K1和K2取值的步长不大于0.5%。</w:t>
            </w:r>
          </w:p>
          <w:p>
            <w:pPr>
              <w:keepNext w:val="0"/>
              <w:keepLines w:val="0"/>
              <w:pageBreakBefore w:val="0"/>
              <w:widowControl/>
              <w:kinsoku w:val="0"/>
              <w:wordWrap/>
              <w:overflowPunct/>
              <w:topLinePunct w:val="0"/>
              <w:autoSpaceDE w:val="0"/>
              <w:autoSpaceDN w:val="0"/>
              <w:bidi w:val="0"/>
              <w:adjustRightInd w:val="0"/>
              <w:snapToGrid w:val="0"/>
              <w:spacing w:line="264" w:lineRule="auto"/>
              <w:ind w:left="105" w:leftChars="50" w:right="110"/>
              <w:jc w:val="both"/>
              <w:textAlignment w:val="baseline"/>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在评标过程中，评标委员会应对招标人计算的评标基准价进行复核，存在计算错误的应予以修正并在评标报告中作出说明。除此之外，评标基准价在整个评标期间保持不变，不随任何因素发生变化。</w:t>
            </w:r>
          </w:p>
          <w:p>
            <w:pPr>
              <w:keepNext w:val="0"/>
              <w:keepLines w:val="0"/>
              <w:pageBreakBefore w:val="0"/>
              <w:widowControl/>
              <w:kinsoku w:val="0"/>
              <w:wordWrap/>
              <w:overflowPunct/>
              <w:topLinePunct w:val="0"/>
              <w:autoSpaceDE w:val="0"/>
              <w:autoSpaceDN w:val="0"/>
              <w:bidi w:val="0"/>
              <w:adjustRightInd w:val="0"/>
              <w:snapToGrid w:val="0"/>
              <w:spacing w:line="264" w:lineRule="auto"/>
              <w:ind w:left="105" w:leftChars="50" w:right="11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评标基准价的计算除开标时计算错误外，不因第二信封评审否决投标而改变，也不因招标投标当事人异议、投诉以及其它任何情形而改变。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4" w:hRule="atLeast"/>
        </w:trPr>
        <w:tc>
          <w:tcPr>
            <w:tcW w:w="915" w:type="dxa"/>
            <w:vAlign w:val="center"/>
          </w:tcPr>
          <w:p>
            <w:pPr>
              <w:keepNext w:val="0"/>
              <w:keepLines w:val="0"/>
              <w:pageBreakBefore w:val="0"/>
              <w:widowControl/>
              <w:kinsoku w:val="0"/>
              <w:wordWrap/>
              <w:overflowPunct/>
              <w:topLinePunct w:val="0"/>
              <w:autoSpaceDE w:val="0"/>
              <w:autoSpaceDN w:val="0"/>
              <w:bidi w:val="0"/>
              <w:adjustRightInd w:val="0"/>
              <w:snapToGrid w:val="0"/>
              <w:spacing w:line="264"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2.2.3</w:t>
            </w:r>
          </w:p>
        </w:tc>
        <w:tc>
          <w:tcPr>
            <w:tcW w:w="2203"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264" w:lineRule="auto"/>
              <w:jc w:val="center"/>
              <w:textAlignment w:val="baseline"/>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rPr>
              <w:t>评标价的偏差率</w:t>
            </w:r>
          </w:p>
          <w:p>
            <w:pPr>
              <w:keepNext w:val="0"/>
              <w:keepLines w:val="0"/>
              <w:pageBreakBefore w:val="0"/>
              <w:widowControl/>
              <w:kinsoku w:val="0"/>
              <w:wordWrap/>
              <w:overflowPunct/>
              <w:topLinePunct w:val="0"/>
              <w:autoSpaceDE w:val="0"/>
              <w:autoSpaceDN w:val="0"/>
              <w:bidi w:val="0"/>
              <w:adjustRightInd w:val="0"/>
              <w:snapToGrid w:val="0"/>
              <w:spacing w:line="264"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计算公式</w:t>
            </w:r>
          </w:p>
        </w:tc>
        <w:tc>
          <w:tcPr>
            <w:tcW w:w="6552" w:type="dxa"/>
            <w:vAlign w:val="center"/>
          </w:tcPr>
          <w:p>
            <w:pPr>
              <w:keepNext w:val="0"/>
              <w:keepLines w:val="0"/>
              <w:pageBreakBefore w:val="0"/>
              <w:widowControl/>
              <w:kinsoku w:val="0"/>
              <w:wordWrap/>
              <w:overflowPunct/>
              <w:topLinePunct w:val="0"/>
              <w:autoSpaceDE w:val="0"/>
              <w:autoSpaceDN w:val="0"/>
              <w:bidi w:val="0"/>
              <w:adjustRightInd w:val="0"/>
              <w:snapToGrid w:val="0"/>
              <w:spacing w:line="264" w:lineRule="auto"/>
              <w:ind w:left="105" w:leftChars="50" w:right="0"/>
              <w:jc w:val="both"/>
              <w:textAlignment w:val="baseline"/>
              <w:rPr>
                <w:rFonts w:hint="eastAsia" w:ascii="宋体" w:hAnsi="宋体" w:eastAsia="宋体" w:cs="宋体"/>
                <w:color w:val="auto"/>
                <w:spacing w:val="9"/>
                <w:sz w:val="21"/>
                <w:szCs w:val="21"/>
                <w:highlight w:val="none"/>
              </w:rPr>
            </w:pPr>
            <w:r>
              <w:rPr>
                <w:rFonts w:hint="eastAsia" w:ascii="宋体" w:hAnsi="宋体" w:eastAsia="宋体" w:cs="宋体"/>
                <w:color w:val="auto"/>
                <w:spacing w:val="9"/>
                <w:sz w:val="21"/>
                <w:szCs w:val="21"/>
                <w:highlight w:val="none"/>
              </w:rPr>
              <w:t>偏差率=100%×（投标人评标价－评标基准价）/评标基</w:t>
            </w:r>
          </w:p>
          <w:p>
            <w:pPr>
              <w:keepNext w:val="0"/>
              <w:keepLines w:val="0"/>
              <w:pageBreakBefore w:val="0"/>
              <w:widowControl/>
              <w:kinsoku w:val="0"/>
              <w:wordWrap/>
              <w:overflowPunct/>
              <w:topLinePunct w:val="0"/>
              <w:autoSpaceDE w:val="0"/>
              <w:autoSpaceDN w:val="0"/>
              <w:bidi w:val="0"/>
              <w:adjustRightInd w:val="0"/>
              <w:snapToGrid w:val="0"/>
              <w:spacing w:line="264" w:lineRule="auto"/>
              <w:ind w:left="105" w:leftChars="50" w:right="0"/>
              <w:jc w:val="both"/>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9"/>
                <w:sz w:val="21"/>
                <w:szCs w:val="21"/>
                <w:highlight w:val="none"/>
              </w:rPr>
              <w:t>准价偏差率保留小数点后两位，小数点后第三位“四舍五入</w:t>
            </w:r>
            <w:r>
              <w:rPr>
                <w:rFonts w:hint="eastAsia" w:ascii="宋体" w:hAnsi="宋体" w:eastAsia="宋体" w:cs="宋体"/>
                <w:color w:val="auto"/>
                <w:spacing w:val="9"/>
                <w:sz w:val="21"/>
                <w:szCs w:val="21"/>
                <w:highlight w:val="none"/>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4" w:hRule="atLeast"/>
        </w:trPr>
        <w:tc>
          <w:tcPr>
            <w:tcW w:w="915" w:type="dxa"/>
            <w:vAlign w:val="center"/>
          </w:tcPr>
          <w:p>
            <w:pPr>
              <w:keepNext w:val="0"/>
              <w:keepLines w:val="0"/>
              <w:pageBreakBefore w:val="0"/>
              <w:widowControl/>
              <w:kinsoku w:val="0"/>
              <w:wordWrap/>
              <w:overflowPunct/>
              <w:topLinePunct w:val="0"/>
              <w:autoSpaceDE w:val="0"/>
              <w:autoSpaceDN w:val="0"/>
              <w:bidi w:val="0"/>
              <w:adjustRightInd w:val="0"/>
              <w:snapToGrid w:val="0"/>
              <w:spacing w:line="264" w:lineRule="auto"/>
              <w:jc w:val="center"/>
              <w:textAlignment w:val="baseline"/>
              <w:rPr>
                <w:rFonts w:hint="eastAsia" w:ascii="宋体" w:hAnsi="宋体" w:eastAsia="宋体" w:cs="宋体"/>
                <w:color w:val="auto"/>
                <w:spacing w:val="2"/>
                <w:sz w:val="21"/>
                <w:szCs w:val="21"/>
                <w:highlight w:val="none"/>
                <w:lang w:val="en-US" w:eastAsia="zh-CN"/>
              </w:rPr>
            </w:pPr>
            <w:r>
              <w:rPr>
                <w:rFonts w:hint="eastAsia" w:ascii="宋体" w:hAnsi="宋体" w:eastAsia="宋体" w:cs="宋体"/>
                <w:color w:val="auto"/>
                <w:spacing w:val="2"/>
                <w:sz w:val="21"/>
                <w:szCs w:val="21"/>
                <w:highlight w:val="none"/>
                <w:lang w:val="en-US" w:eastAsia="zh-CN"/>
              </w:rPr>
              <w:t>2.2.4</w:t>
            </w:r>
          </w:p>
        </w:tc>
        <w:tc>
          <w:tcPr>
            <w:tcW w:w="2203"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264" w:lineRule="auto"/>
              <w:jc w:val="center"/>
              <w:textAlignment w:val="baseline"/>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rPr>
              <w:t>评标价得分</w:t>
            </w:r>
          </w:p>
        </w:tc>
        <w:tc>
          <w:tcPr>
            <w:tcW w:w="6552" w:type="dxa"/>
            <w:vAlign w:val="center"/>
          </w:tcPr>
          <w:p>
            <w:pPr>
              <w:keepNext w:val="0"/>
              <w:keepLines w:val="0"/>
              <w:pageBreakBefore w:val="0"/>
              <w:widowControl/>
              <w:kinsoku w:val="0"/>
              <w:wordWrap/>
              <w:overflowPunct/>
              <w:topLinePunct w:val="0"/>
              <w:autoSpaceDE w:val="0"/>
              <w:autoSpaceDN w:val="0"/>
              <w:bidi w:val="0"/>
              <w:adjustRightInd w:val="0"/>
              <w:snapToGrid w:val="0"/>
              <w:spacing w:line="264" w:lineRule="auto"/>
              <w:ind w:left="105" w:leftChars="50" w:right="0"/>
              <w:jc w:val="both"/>
              <w:textAlignment w:val="baseline"/>
              <w:rPr>
                <w:rFonts w:hint="eastAsia" w:ascii="宋体" w:hAnsi="宋体" w:eastAsia="宋体" w:cs="宋体"/>
                <w:color w:val="auto"/>
                <w:spacing w:val="9"/>
                <w:sz w:val="21"/>
                <w:szCs w:val="21"/>
                <w:highlight w:val="none"/>
              </w:rPr>
            </w:pPr>
            <w:r>
              <w:rPr>
                <w:rFonts w:hint="eastAsia" w:ascii="宋体" w:hAnsi="宋体" w:eastAsia="宋体" w:cs="宋体"/>
                <w:color w:val="auto"/>
                <w:spacing w:val="9"/>
                <w:sz w:val="21"/>
                <w:szCs w:val="21"/>
                <w:highlight w:val="none"/>
              </w:rPr>
              <w:t>评标价得分按照下面规定计算：</w:t>
            </w:r>
          </w:p>
          <w:p>
            <w:pPr>
              <w:keepNext w:val="0"/>
              <w:keepLines w:val="0"/>
              <w:pageBreakBefore w:val="0"/>
              <w:widowControl/>
              <w:kinsoku w:val="0"/>
              <w:wordWrap/>
              <w:overflowPunct/>
              <w:topLinePunct w:val="0"/>
              <w:autoSpaceDE w:val="0"/>
              <w:autoSpaceDN w:val="0"/>
              <w:bidi w:val="0"/>
              <w:adjustRightInd w:val="0"/>
              <w:snapToGrid w:val="0"/>
              <w:spacing w:line="264" w:lineRule="auto"/>
              <w:ind w:left="105" w:leftChars="50" w:right="0"/>
              <w:jc w:val="both"/>
              <w:textAlignment w:val="baseline"/>
              <w:rPr>
                <w:rFonts w:hint="eastAsia" w:ascii="宋体" w:hAnsi="宋体" w:eastAsia="宋体" w:cs="宋体"/>
                <w:color w:val="auto"/>
                <w:spacing w:val="9"/>
                <w:sz w:val="21"/>
                <w:szCs w:val="21"/>
                <w:highlight w:val="none"/>
              </w:rPr>
            </w:pPr>
            <w:r>
              <w:rPr>
                <w:rFonts w:hint="eastAsia" w:ascii="宋体" w:hAnsi="宋体" w:eastAsia="宋体" w:cs="宋体"/>
                <w:color w:val="auto"/>
                <w:spacing w:val="9"/>
                <w:sz w:val="21"/>
                <w:szCs w:val="21"/>
                <w:highlight w:val="none"/>
              </w:rPr>
              <w:t>(1)如果投标人的评标价&gt;评标基准价，则评标价得分＝F-偏差率×100×E1；</w:t>
            </w:r>
          </w:p>
          <w:p>
            <w:pPr>
              <w:keepNext w:val="0"/>
              <w:keepLines w:val="0"/>
              <w:pageBreakBefore w:val="0"/>
              <w:widowControl/>
              <w:kinsoku w:val="0"/>
              <w:wordWrap/>
              <w:overflowPunct/>
              <w:topLinePunct w:val="0"/>
              <w:autoSpaceDE w:val="0"/>
              <w:autoSpaceDN w:val="0"/>
              <w:bidi w:val="0"/>
              <w:adjustRightInd w:val="0"/>
              <w:snapToGrid w:val="0"/>
              <w:spacing w:line="264" w:lineRule="auto"/>
              <w:ind w:left="105" w:leftChars="50" w:right="0"/>
              <w:jc w:val="both"/>
              <w:textAlignment w:val="baseline"/>
              <w:rPr>
                <w:rFonts w:hint="eastAsia" w:ascii="宋体" w:hAnsi="宋体" w:eastAsia="宋体" w:cs="宋体"/>
                <w:color w:val="auto"/>
                <w:spacing w:val="9"/>
                <w:sz w:val="21"/>
                <w:szCs w:val="21"/>
                <w:highlight w:val="none"/>
              </w:rPr>
            </w:pPr>
            <w:r>
              <w:rPr>
                <w:rFonts w:hint="eastAsia" w:ascii="宋体" w:hAnsi="宋体" w:eastAsia="宋体" w:cs="宋体"/>
                <w:color w:val="auto"/>
                <w:spacing w:val="9"/>
                <w:sz w:val="21"/>
                <w:szCs w:val="21"/>
                <w:highlight w:val="none"/>
              </w:rPr>
              <w:t>(2)如果投标人的评标价≤评标基准价，则评标价得分＝F+偏差率×100×E2。</w:t>
            </w:r>
          </w:p>
          <w:p>
            <w:pPr>
              <w:keepNext w:val="0"/>
              <w:keepLines w:val="0"/>
              <w:pageBreakBefore w:val="0"/>
              <w:widowControl/>
              <w:kinsoku w:val="0"/>
              <w:wordWrap/>
              <w:overflowPunct/>
              <w:topLinePunct w:val="0"/>
              <w:autoSpaceDE w:val="0"/>
              <w:autoSpaceDN w:val="0"/>
              <w:bidi w:val="0"/>
              <w:adjustRightInd w:val="0"/>
              <w:snapToGrid w:val="0"/>
              <w:spacing w:line="264" w:lineRule="auto"/>
              <w:ind w:left="105" w:leftChars="50" w:right="0"/>
              <w:jc w:val="both"/>
              <w:textAlignment w:val="baseline"/>
              <w:rPr>
                <w:rFonts w:hint="eastAsia" w:ascii="宋体" w:hAnsi="宋体" w:eastAsia="宋体" w:cs="宋体"/>
                <w:color w:val="auto"/>
                <w:spacing w:val="9"/>
                <w:sz w:val="21"/>
                <w:szCs w:val="21"/>
                <w:highlight w:val="none"/>
              </w:rPr>
            </w:pPr>
            <w:r>
              <w:rPr>
                <w:rFonts w:hint="eastAsia" w:ascii="宋体" w:hAnsi="宋体" w:eastAsia="宋体" w:cs="宋体"/>
                <w:color w:val="auto"/>
                <w:spacing w:val="9"/>
                <w:sz w:val="21"/>
                <w:szCs w:val="21"/>
                <w:highlight w:val="none"/>
              </w:rPr>
              <w:t>其中：F是100分，E1是评标价每高于评标基准价一个百分点的扣分值，E2是评标价每低于评标基准价一个百分点的扣分值；其中E1＝2，E2＝1。评标价得分分值保留小数点后两位，小数点后第三位“四舍五入”，最低分为0分。</w:t>
            </w:r>
          </w:p>
        </w:tc>
      </w:tr>
    </w:tbl>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ascii="宋体" w:hAnsi="宋体" w:eastAsia="宋体" w:cs="宋体"/>
          <w:color w:val="auto"/>
          <w:sz w:val="2"/>
          <w:highlight w:val="none"/>
        </w:rPr>
      </w:pPr>
    </w:p>
    <w:tbl>
      <w:tblPr>
        <w:tblStyle w:val="7"/>
        <w:tblW w:w="9681" w:type="dxa"/>
        <w:tblInd w:w="-59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50"/>
        <w:gridCol w:w="813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9681"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before="145" w:line="264" w:lineRule="auto"/>
              <w:ind w:left="105" w:leftChars="50"/>
              <w:textAlignment w:val="baseline"/>
              <w:rPr>
                <w:rFonts w:hint="eastAsia" w:ascii="宋体" w:hAnsi="宋体" w:eastAsia="宋体" w:cs="宋体"/>
                <w:color w:val="auto"/>
                <w:sz w:val="23"/>
                <w:szCs w:val="23"/>
                <w:highlight w:val="none"/>
              </w:rPr>
            </w:pPr>
            <w:r>
              <w:rPr>
                <w:rFonts w:hint="eastAsia" w:ascii="宋体" w:hAnsi="宋体" w:eastAsia="宋体" w:cs="宋体"/>
                <w:color w:val="auto"/>
                <w:spacing w:val="6"/>
                <w:sz w:val="23"/>
                <w:szCs w:val="23"/>
                <w:highlight w:val="none"/>
              </w:rPr>
              <w:t>需要补充的其他内容：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550" w:type="dxa"/>
            <w:vAlign w:val="top"/>
          </w:tcPr>
          <w:p>
            <w:pPr>
              <w:keepNext w:val="0"/>
              <w:keepLines w:val="0"/>
              <w:pageBreakBefore w:val="0"/>
              <w:widowControl/>
              <w:kinsoku w:val="0"/>
              <w:wordWrap/>
              <w:overflowPunct/>
              <w:topLinePunct w:val="0"/>
              <w:autoSpaceDE w:val="0"/>
              <w:autoSpaceDN w:val="0"/>
              <w:bidi w:val="0"/>
              <w:adjustRightInd w:val="0"/>
              <w:snapToGrid w:val="0"/>
              <w:spacing w:before="141" w:line="264" w:lineRule="auto"/>
              <w:ind w:left="105" w:leftChars="50"/>
              <w:textAlignment w:val="baseline"/>
              <w:rPr>
                <w:rFonts w:hint="eastAsia" w:ascii="宋体" w:hAnsi="宋体" w:eastAsia="宋体" w:cs="宋体"/>
                <w:color w:val="auto"/>
                <w:sz w:val="23"/>
                <w:szCs w:val="23"/>
                <w:highlight w:val="none"/>
              </w:rPr>
            </w:pPr>
            <w:r>
              <w:rPr>
                <w:rFonts w:hint="eastAsia" w:ascii="宋体" w:hAnsi="宋体" w:eastAsia="宋体" w:cs="宋体"/>
                <w:color w:val="auto"/>
                <w:spacing w:val="6"/>
                <w:sz w:val="23"/>
                <w:szCs w:val="23"/>
                <w:highlight w:val="none"/>
              </w:rPr>
              <w:t>条款号</w:t>
            </w:r>
          </w:p>
        </w:tc>
        <w:tc>
          <w:tcPr>
            <w:tcW w:w="8131" w:type="dxa"/>
            <w:vAlign w:val="top"/>
          </w:tcPr>
          <w:p>
            <w:pPr>
              <w:keepNext w:val="0"/>
              <w:keepLines w:val="0"/>
              <w:pageBreakBefore w:val="0"/>
              <w:widowControl/>
              <w:kinsoku w:val="0"/>
              <w:wordWrap/>
              <w:overflowPunct/>
              <w:topLinePunct w:val="0"/>
              <w:autoSpaceDE w:val="0"/>
              <w:autoSpaceDN w:val="0"/>
              <w:bidi w:val="0"/>
              <w:adjustRightInd w:val="0"/>
              <w:snapToGrid w:val="0"/>
              <w:spacing w:before="141" w:line="264" w:lineRule="auto"/>
              <w:ind w:left="105" w:leftChars="50"/>
              <w:textAlignment w:val="baseline"/>
              <w:rPr>
                <w:rFonts w:hint="eastAsia" w:ascii="宋体" w:hAnsi="宋体" w:eastAsia="宋体" w:cs="宋体"/>
                <w:color w:val="auto"/>
                <w:sz w:val="23"/>
                <w:szCs w:val="23"/>
                <w:highlight w:val="none"/>
              </w:rPr>
            </w:pPr>
            <w:r>
              <w:rPr>
                <w:rFonts w:hint="eastAsia" w:ascii="宋体" w:hAnsi="宋体" w:eastAsia="宋体" w:cs="宋体"/>
                <w:color w:val="auto"/>
                <w:spacing w:val="6"/>
                <w:sz w:val="23"/>
                <w:szCs w:val="23"/>
                <w:highlight w:val="none"/>
              </w:rPr>
              <w:t>编列内容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1550" w:type="dxa"/>
            <w:vAlign w:val="center"/>
          </w:tcPr>
          <w:p>
            <w:pPr>
              <w:keepNext w:val="0"/>
              <w:keepLines w:val="0"/>
              <w:pageBreakBefore w:val="0"/>
              <w:widowControl/>
              <w:kinsoku w:val="0"/>
              <w:wordWrap/>
              <w:overflowPunct/>
              <w:topLinePunct w:val="0"/>
              <w:autoSpaceDE w:val="0"/>
              <w:autoSpaceDN w:val="0"/>
              <w:bidi w:val="0"/>
              <w:adjustRightInd w:val="0"/>
              <w:snapToGrid w:val="0"/>
              <w:spacing w:before="65" w:line="264" w:lineRule="auto"/>
              <w:jc w:val="center"/>
              <w:textAlignment w:val="baseline"/>
              <w:rPr>
                <w:rFonts w:hint="eastAsia" w:ascii="宋体" w:hAnsi="宋体" w:eastAsia="宋体" w:cs="宋体"/>
                <w:color w:val="auto"/>
                <w:sz w:val="23"/>
                <w:szCs w:val="23"/>
                <w:highlight w:val="none"/>
              </w:rPr>
            </w:pPr>
            <w:r>
              <w:rPr>
                <w:rFonts w:hint="eastAsia" w:ascii="宋体" w:hAnsi="宋体" w:eastAsia="宋体" w:cs="宋体"/>
                <w:color w:val="auto"/>
                <w:sz w:val="23"/>
                <w:szCs w:val="23"/>
                <w:highlight w:val="none"/>
              </w:rPr>
              <w:t>1</w:t>
            </w:r>
          </w:p>
        </w:tc>
        <w:tc>
          <w:tcPr>
            <w:tcW w:w="8131" w:type="dxa"/>
            <w:vAlign w:val="top"/>
          </w:tcPr>
          <w:p>
            <w:pPr>
              <w:keepNext w:val="0"/>
              <w:keepLines w:val="0"/>
              <w:pageBreakBefore w:val="0"/>
              <w:widowControl/>
              <w:kinsoku w:val="0"/>
              <w:wordWrap/>
              <w:overflowPunct/>
              <w:topLinePunct w:val="0"/>
              <w:autoSpaceDE w:val="0"/>
              <w:autoSpaceDN w:val="0"/>
              <w:bidi w:val="0"/>
              <w:adjustRightInd w:val="0"/>
              <w:snapToGrid w:val="0"/>
              <w:spacing w:line="264" w:lineRule="auto"/>
              <w:ind w:left="105" w:leftChars="50" w:right="4" w:firstLine="455" w:firstLineChars="209"/>
              <w:textAlignment w:val="baseline"/>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1.评标办法</w:t>
            </w:r>
          </w:p>
          <w:p>
            <w:pPr>
              <w:keepNext w:val="0"/>
              <w:keepLines w:val="0"/>
              <w:pageBreakBefore w:val="0"/>
              <w:widowControl/>
              <w:kinsoku w:val="0"/>
              <w:wordWrap/>
              <w:overflowPunct/>
              <w:topLinePunct w:val="0"/>
              <w:autoSpaceDE w:val="0"/>
              <w:autoSpaceDN w:val="0"/>
              <w:bidi w:val="0"/>
              <w:adjustRightInd w:val="0"/>
              <w:snapToGrid w:val="0"/>
              <w:spacing w:line="264" w:lineRule="auto"/>
              <w:ind w:left="105" w:leftChars="50" w:right="4" w:firstLine="455" w:firstLineChars="209"/>
              <w:textAlignment w:val="baseline"/>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本条细化为：</w:t>
            </w:r>
          </w:p>
          <w:p>
            <w:pPr>
              <w:keepNext w:val="0"/>
              <w:keepLines w:val="0"/>
              <w:pageBreakBefore w:val="0"/>
              <w:widowControl/>
              <w:kinsoku w:val="0"/>
              <w:wordWrap/>
              <w:overflowPunct/>
              <w:topLinePunct w:val="0"/>
              <w:autoSpaceDE w:val="0"/>
              <w:autoSpaceDN w:val="0"/>
              <w:bidi w:val="0"/>
              <w:adjustRightInd w:val="0"/>
              <w:snapToGrid w:val="0"/>
              <w:spacing w:line="264" w:lineRule="auto"/>
              <w:ind w:left="105" w:leftChars="50" w:right="4" w:firstLine="455" w:firstLineChars="209"/>
              <w:textAlignment w:val="baseline"/>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1.1本次评标采用双信封形式合理低价法，评标委员会首先对投标文件第一个信封（商务与技术文件）进行初步评审（形式评审与响应性评审、资格评审）。</w:t>
            </w:r>
          </w:p>
          <w:p>
            <w:pPr>
              <w:keepNext w:val="0"/>
              <w:keepLines w:val="0"/>
              <w:pageBreakBefore w:val="0"/>
              <w:widowControl/>
              <w:kinsoku w:val="0"/>
              <w:wordWrap/>
              <w:overflowPunct/>
              <w:topLinePunct w:val="0"/>
              <w:autoSpaceDE w:val="0"/>
              <w:autoSpaceDN w:val="0"/>
              <w:bidi w:val="0"/>
              <w:adjustRightInd w:val="0"/>
              <w:snapToGrid w:val="0"/>
              <w:spacing w:line="264" w:lineRule="auto"/>
              <w:ind w:left="105" w:leftChars="50" w:right="4" w:firstLine="455" w:firstLineChars="209"/>
              <w:textAlignment w:val="baseline"/>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1.2所有通过第一个信封初步评审后的投标文件方可进入第二个信封（报价文件）的开标，其第二个信封在监督机关的监督下进行开标；未通过第一个信封初步评审的投标人不进入第二个信封的评审，其第二个信封原封退回（或不予解密），不参与第二个信封的开标。</w:t>
            </w:r>
          </w:p>
          <w:p>
            <w:pPr>
              <w:keepNext w:val="0"/>
              <w:keepLines w:val="0"/>
              <w:pageBreakBefore w:val="0"/>
              <w:widowControl/>
              <w:kinsoku w:val="0"/>
              <w:wordWrap/>
              <w:overflowPunct/>
              <w:topLinePunct w:val="0"/>
              <w:autoSpaceDE w:val="0"/>
              <w:autoSpaceDN w:val="0"/>
              <w:bidi w:val="0"/>
              <w:adjustRightInd w:val="0"/>
              <w:snapToGrid w:val="0"/>
              <w:spacing w:line="264" w:lineRule="auto"/>
              <w:ind w:left="105" w:leftChars="50" w:right="4" w:firstLine="455" w:firstLineChars="209"/>
              <w:textAlignment w:val="baseline"/>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1.3评标委员会对投标文件第二个信封进行初步评审（形式评审与响应性评审），并对通过第二个信封初步评审的投标文件按照本章第2.2款规定的评分标准进行评标价评分（保留小数点后两位，小数点后第三位“四舍五入”），评标委员会按评标价得分由高到低顺序确定中标候选人推荐排序，但投标报价低于其成本的除外。</w:t>
            </w:r>
          </w:p>
          <w:p>
            <w:pPr>
              <w:keepNext w:val="0"/>
              <w:keepLines w:val="0"/>
              <w:pageBreakBefore w:val="0"/>
              <w:widowControl/>
              <w:kinsoku w:val="0"/>
              <w:wordWrap/>
              <w:overflowPunct/>
              <w:topLinePunct w:val="0"/>
              <w:autoSpaceDE w:val="0"/>
              <w:autoSpaceDN w:val="0"/>
              <w:bidi w:val="0"/>
              <w:adjustRightInd w:val="0"/>
              <w:snapToGrid w:val="0"/>
              <w:spacing w:line="264" w:lineRule="auto"/>
              <w:ind w:left="105" w:leftChars="50" w:right="4" w:firstLine="455" w:firstLineChars="209"/>
              <w:textAlignment w:val="baseline"/>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当两家及以上投标人在标段中的评标价得分相等时，若评标价不相等，以评标价较低者优先；当两家及以上投标人在标段中的评标价得分相等且评标价也相等时，若各投标人工程量清单子目单价也相同时，视为串标，其投标均被否决。</w:t>
            </w:r>
          </w:p>
          <w:p>
            <w:pPr>
              <w:keepNext w:val="0"/>
              <w:keepLines w:val="0"/>
              <w:pageBreakBefore w:val="0"/>
              <w:widowControl/>
              <w:kinsoku w:val="0"/>
              <w:wordWrap/>
              <w:overflowPunct/>
              <w:topLinePunct w:val="0"/>
              <w:autoSpaceDE w:val="0"/>
              <w:autoSpaceDN w:val="0"/>
              <w:bidi w:val="0"/>
              <w:adjustRightInd w:val="0"/>
              <w:snapToGrid w:val="0"/>
              <w:spacing w:line="264" w:lineRule="auto"/>
              <w:ind w:left="105" w:leftChars="50" w:right="4" w:firstLine="455" w:firstLineChars="209"/>
              <w:textAlignment w:val="baseline"/>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当两家及以上投标人在标段中的评标价得分相等且评标价也相等时，且各投标人工程量清单子目单价不尽相同时，推荐顺序则依次依据“信用等级”“投标人上一年年末净资产”“投标人近3年年平均营业收入”由高到低的顺序进行确定，若投标人近3年年平均营业收入也相等时，则由评标委员会根据施工组织设计的编制情况投票确定其推荐顺序。</w:t>
            </w:r>
          </w:p>
          <w:p>
            <w:pPr>
              <w:keepNext w:val="0"/>
              <w:keepLines w:val="0"/>
              <w:pageBreakBefore w:val="0"/>
              <w:widowControl/>
              <w:kinsoku w:val="0"/>
              <w:wordWrap/>
              <w:overflowPunct/>
              <w:topLinePunct w:val="0"/>
              <w:autoSpaceDE w:val="0"/>
              <w:autoSpaceDN w:val="0"/>
              <w:bidi w:val="0"/>
              <w:adjustRightInd w:val="0"/>
              <w:snapToGrid w:val="0"/>
              <w:spacing w:line="264" w:lineRule="auto"/>
              <w:ind w:left="105" w:leftChars="50" w:right="4" w:firstLine="455" w:firstLineChars="209"/>
              <w:textAlignment w:val="baseline"/>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1.4参与本次招标投标的投标人，最多被允许取得其中/个标段的中标资格。评标委员会推荐次序：/。</w:t>
            </w:r>
          </w:p>
          <w:p>
            <w:pPr>
              <w:keepNext w:val="0"/>
              <w:keepLines w:val="0"/>
              <w:pageBreakBefore w:val="0"/>
              <w:widowControl/>
              <w:kinsoku w:val="0"/>
              <w:wordWrap/>
              <w:overflowPunct/>
              <w:topLinePunct w:val="0"/>
              <w:autoSpaceDE w:val="0"/>
              <w:autoSpaceDN w:val="0"/>
              <w:bidi w:val="0"/>
              <w:adjustRightInd w:val="0"/>
              <w:snapToGrid w:val="0"/>
              <w:spacing w:line="264" w:lineRule="auto"/>
              <w:ind w:left="105" w:leftChars="50" w:right="4" w:firstLine="455" w:firstLineChars="209"/>
              <w:textAlignment w:val="baseline"/>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1.</w:t>
            </w:r>
            <w:r>
              <w:rPr>
                <w:rFonts w:hint="eastAsia" w:ascii="宋体" w:hAnsi="宋体" w:eastAsia="宋体" w:cs="宋体"/>
                <w:color w:val="auto"/>
                <w:spacing w:val="4"/>
                <w:sz w:val="21"/>
                <w:szCs w:val="21"/>
                <w:highlight w:val="none"/>
                <w:lang w:val="en-US" w:eastAsia="zh-CN"/>
              </w:rPr>
              <w:t>5</w:t>
            </w:r>
            <w:r>
              <w:rPr>
                <w:rFonts w:hint="eastAsia" w:ascii="宋体" w:hAnsi="宋体" w:eastAsia="宋体" w:cs="宋体"/>
                <w:color w:val="auto"/>
                <w:spacing w:val="4"/>
                <w:sz w:val="21"/>
                <w:szCs w:val="21"/>
                <w:highlight w:val="none"/>
              </w:rPr>
              <w:t>某一标段通过第一个信封评审且参与第二个信封开标的投标人在3个及以上的，招标人将按规定的程序进行第二个信封开标；在对第二个信封进行评审后，有效投标不足3个使得投标明显缺乏竞争的，评标委员会可以否决这一标段的全部投标。评标委员会未否决全部投标的，应当在评标报告中阐明理由并推荐这一标段中标候选人。</w:t>
            </w:r>
          </w:p>
          <w:p>
            <w:pPr>
              <w:keepNext w:val="0"/>
              <w:keepLines w:val="0"/>
              <w:pageBreakBefore w:val="0"/>
              <w:widowControl/>
              <w:kinsoku w:val="0"/>
              <w:wordWrap/>
              <w:overflowPunct/>
              <w:topLinePunct w:val="0"/>
              <w:autoSpaceDE w:val="0"/>
              <w:autoSpaceDN w:val="0"/>
              <w:bidi w:val="0"/>
              <w:adjustRightInd w:val="0"/>
              <w:snapToGrid w:val="0"/>
              <w:spacing w:line="264" w:lineRule="auto"/>
              <w:ind w:left="105" w:leftChars="50" w:right="4" w:firstLine="455" w:firstLineChars="209"/>
              <w:textAlignment w:val="baseline"/>
              <w:rPr>
                <w:rFonts w:hint="eastAsia" w:ascii="宋体" w:hAnsi="宋体" w:eastAsia="宋体" w:cs="宋体"/>
                <w:color w:val="auto"/>
                <w:highlight w:val="none"/>
                <w:lang w:eastAsia="zh-CN"/>
              </w:rPr>
            </w:pPr>
            <w:r>
              <w:rPr>
                <w:rFonts w:hint="eastAsia" w:ascii="宋体" w:hAnsi="宋体" w:eastAsia="宋体" w:cs="宋体"/>
                <w:color w:val="auto"/>
                <w:spacing w:val="4"/>
                <w:sz w:val="21"/>
                <w:szCs w:val="21"/>
                <w:highlight w:val="none"/>
              </w:rPr>
              <w:t>某一标段通过第一个信封评审且参与第二个信封开标的投标人少于3个的，评标委员会可以否决这一标段全部投标。未否决全部投标的，评标委员会应当在评标报告中阐明理由，招标人应当按照规定的程序进行第二信封开标，但评标委员会在进行报价文件评审时仍有权否决全部投标；评标委员会未在报价文件评审时否决全部投标的，应当在评标报告中阐明理由并推荐中标候选人。</w:t>
            </w:r>
          </w:p>
        </w:tc>
      </w:tr>
    </w:tbl>
    <w:p>
      <w:pPr>
        <w:keepNext w:val="0"/>
        <w:keepLines w:val="0"/>
        <w:pageBreakBefore w:val="0"/>
        <w:widowControl/>
        <w:numPr>
          <w:ilvl w:val="0"/>
          <w:numId w:val="0"/>
        </w:numPr>
        <w:kinsoku w:val="0"/>
        <w:wordWrap/>
        <w:overflowPunct/>
        <w:topLinePunct w:val="0"/>
        <w:autoSpaceDE w:val="0"/>
        <w:autoSpaceDN w:val="0"/>
        <w:bidi w:val="0"/>
        <w:adjustRightInd w:val="0"/>
        <w:snapToGrid w:val="0"/>
        <w:jc w:val="both"/>
        <w:textAlignment w:val="baseline"/>
        <w:rPr>
          <w:rFonts w:hint="eastAsia" w:ascii="宋体" w:hAnsi="宋体" w:eastAsia="宋体" w:cs="宋体"/>
          <w:b/>
          <w:bCs/>
          <w:color w:val="auto"/>
          <w:sz w:val="28"/>
          <w:szCs w:val="28"/>
          <w:highlight w:val="none"/>
          <w:u w:val="none"/>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42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24" name="文本框 7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WAAAAZHJzL1BLAQIUABQAAAAIAIdO4kCzSVju0AAAAAUBAAAPAAAAAAAAAAEAIAAAADgA&#10;AABkcnMvZG93bnJldi54bWxQSwECFAAUAAAACACHTuJAbbfdvzQCAABlBAAADgAAAAAAAAABACAA&#10;AAA1AQAAZHJzL2Uyb0RvYy54bWxQSwUGAAAAAAYABgBZAQAA2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6B921CD"/>
    <w:multiLevelType w:val="singleLevel"/>
    <w:tmpl w:val="76B921CD"/>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8C6A06"/>
    <w:rsid w:val="05634CBE"/>
    <w:rsid w:val="2E667C4A"/>
    <w:rsid w:val="2EFFF9DA"/>
    <w:rsid w:val="376F9222"/>
    <w:rsid w:val="39F673BC"/>
    <w:rsid w:val="4FFF2DF6"/>
    <w:rsid w:val="508C6A06"/>
    <w:rsid w:val="54352A41"/>
    <w:rsid w:val="55223C0D"/>
    <w:rsid w:val="5AFBF38E"/>
    <w:rsid w:val="5DB33E40"/>
    <w:rsid w:val="67E48310"/>
    <w:rsid w:val="6EC4EB48"/>
    <w:rsid w:val="77E7397A"/>
    <w:rsid w:val="77F72E5E"/>
    <w:rsid w:val="77FF7A77"/>
    <w:rsid w:val="79773933"/>
    <w:rsid w:val="7BC12775"/>
    <w:rsid w:val="7F2E4175"/>
    <w:rsid w:val="7FB32131"/>
    <w:rsid w:val="7FDFADCD"/>
    <w:rsid w:val="7FEFA22E"/>
    <w:rsid w:val="7FF13DD9"/>
    <w:rsid w:val="7FFF7901"/>
    <w:rsid w:val="8FAD94B5"/>
    <w:rsid w:val="B3A7B5D1"/>
    <w:rsid w:val="B7FFFE88"/>
    <w:rsid w:val="BBCD465A"/>
    <w:rsid w:val="BF9EB9E2"/>
    <w:rsid w:val="BFBE9A00"/>
    <w:rsid w:val="BFFE34C4"/>
    <w:rsid w:val="D94ED163"/>
    <w:rsid w:val="DB773FCE"/>
    <w:rsid w:val="DBF7C71C"/>
    <w:rsid w:val="EA3F815D"/>
    <w:rsid w:val="EADB80ED"/>
    <w:rsid w:val="EB7B0248"/>
    <w:rsid w:val="ECFF5EC9"/>
    <w:rsid w:val="EF751626"/>
    <w:rsid w:val="F3EF992E"/>
    <w:rsid w:val="F767167E"/>
    <w:rsid w:val="FB1F1B6F"/>
    <w:rsid w:val="FB765242"/>
    <w:rsid w:val="FBEF115D"/>
    <w:rsid w:val="FBF7B3EA"/>
    <w:rsid w:val="FCE375E0"/>
    <w:rsid w:val="FD55610F"/>
    <w:rsid w:val="FDEE4B3B"/>
    <w:rsid w:val="FF2E201A"/>
    <w:rsid w:val="FFAFBC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Arial" w:hAnsi="Arial" w:eastAsia="Arial" w:cs="Arial"/>
      <w:sz w:val="21"/>
      <w:szCs w:val="2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9167</Words>
  <Characters>9591</Characters>
  <Lines>0</Lines>
  <Paragraphs>0</Paragraphs>
  <TotalTime>21</TotalTime>
  <ScaleCrop>false</ScaleCrop>
  <LinksUpToDate>false</LinksUpToDate>
  <CharactersWithSpaces>9591</CharactersWithSpaces>
  <Application>WPS Office_11.8.2.12019_F1E327BC-269C-435d-A152-05C5408002CA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2025-03-26T09:31:00Z</dcterms:created>
  <dc:creator>Administrator</dc:creator>
  <cp:lastModifiedBy>admin</cp:lastModifiedBy>
  <dcterms:modified xsi:type="dcterms:W3CDTF">2025-09-02T17:41:16Z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2052-11.8.2.12019</vt:lpwstr>
  </property>
  <property fmtid="{D5CDD505-2E9C-101B-9397-08002B2CF9AE}" pid="3" name="ICV">
    <vt:lpwstr>602C962E3E0445F59537857FDEB5AF06_11</vt:lpwstr>
  </property>
  <property fmtid="{D5CDD505-2E9C-101B-9397-08002B2CF9AE}" pid="4" name="KSOTemplateDocerSaveRecord">
    <vt:lpwstr>eyJoZGlkIjoiMGMzNjBhM2Q0MDcxZmY1ZGM3ZjBmZDg0MjllM2NiZjAiLCJ1c2VySWQiOiI3MDQ0NTcwMzMifQ==</vt:lpwstr>
  </property>
</Properties>
</file>