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98"/>
        </w:tabs>
        <w:spacing w:before="97" w:line="360" w:lineRule="auto"/>
        <w:jc w:val="center"/>
        <w:rPr>
          <w:rFonts w:hint="eastAsia" w:ascii="宋体" w:hAnsi="宋体" w:eastAsia="宋体" w:cs="宋体"/>
          <w:b/>
          <w:bCs/>
          <w:color w:val="auto"/>
          <w:sz w:val="32"/>
          <w:szCs w:val="32"/>
          <w:highlight w:val="none"/>
          <w:u w:val="none" w:color="auto"/>
          <w:lang w:eastAsia="zh-CN"/>
        </w:rPr>
      </w:pPr>
      <w:r>
        <w:rPr>
          <w:rFonts w:hint="eastAsia" w:ascii="宋体" w:hAnsi="宋体" w:eastAsia="宋体" w:cs="宋体"/>
          <w:b/>
          <w:bCs/>
          <w:color w:val="auto"/>
          <w:sz w:val="32"/>
          <w:szCs w:val="32"/>
          <w:highlight w:val="none"/>
          <w:u w:val="none" w:color="auto"/>
          <w:lang w:eastAsia="zh-CN"/>
        </w:rPr>
        <w:t>宁夏公路管理中心石嘴山分中心2025年公路灾害防治工程</w:t>
      </w:r>
    </w:p>
    <w:p>
      <w:pPr>
        <w:jc w:val="center"/>
        <w:rPr>
          <w:rFonts w:hint="eastAsia" w:ascii="宋体" w:hAnsi="宋体" w:eastAsia="宋体" w:cs="宋体"/>
          <w:b/>
          <w:bCs/>
          <w:color w:val="auto"/>
          <w:sz w:val="32"/>
          <w:szCs w:val="32"/>
          <w:highlight w:val="none"/>
          <w:u w:val="none" w:color="auto"/>
          <w:lang w:val="en-US" w:eastAsia="zh-CN"/>
        </w:rPr>
      </w:pPr>
      <w:r>
        <w:rPr>
          <w:rFonts w:hint="eastAsia" w:ascii="宋体" w:hAnsi="宋体" w:eastAsia="宋体" w:cs="宋体"/>
          <w:b/>
          <w:bCs/>
          <w:color w:val="auto"/>
          <w:spacing w:val="8"/>
          <w:sz w:val="32"/>
          <w:szCs w:val="32"/>
          <w:highlight w:val="none"/>
          <w:u w:val="none" w:color="auto"/>
        </w:rPr>
        <w:t>施工</w:t>
      </w:r>
      <w:r>
        <w:rPr>
          <w:rFonts w:hint="eastAsia" w:ascii="宋体" w:hAnsi="宋体" w:eastAsia="宋体" w:cs="宋体"/>
          <w:b/>
          <w:bCs/>
          <w:color w:val="auto"/>
          <w:spacing w:val="8"/>
          <w:sz w:val="32"/>
          <w:szCs w:val="32"/>
          <w:highlight w:val="none"/>
          <w:u w:val="none" w:color="auto"/>
          <w:lang w:eastAsia="zh-CN"/>
        </w:rPr>
        <w:t>招标</w:t>
      </w:r>
      <w:r>
        <w:rPr>
          <w:rFonts w:hint="eastAsia" w:ascii="宋体" w:hAnsi="宋体" w:eastAsia="宋体" w:cs="宋体"/>
          <w:b/>
          <w:bCs/>
          <w:color w:val="auto"/>
          <w:sz w:val="32"/>
          <w:szCs w:val="32"/>
          <w:highlight w:val="none"/>
          <w:u w:val="none" w:color="auto"/>
          <w:lang w:val="en-US" w:eastAsia="zh-CN"/>
        </w:rPr>
        <w:t>关键内容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sz w:val="28"/>
          <w:szCs w:val="28"/>
          <w:highlight w:val="none"/>
          <w:u w:val="none"/>
          <w:lang w:val="en-US" w:eastAsia="zh-CN"/>
        </w:rPr>
        <w:t>项目概况</w:t>
      </w:r>
    </w:p>
    <w:p>
      <w:pPr>
        <w:keepNext w:val="0"/>
        <w:keepLines w:val="0"/>
        <w:pageBreakBefore w:val="0"/>
        <w:widowControl/>
        <w:kinsoku w:val="0"/>
        <w:wordWrap/>
        <w:overflowPunct/>
        <w:topLinePunct w:val="0"/>
        <w:autoSpaceDE w:val="0"/>
        <w:autoSpaceDN w:val="0"/>
        <w:bidi w:val="0"/>
        <w:adjustRightInd w:val="0"/>
        <w:snapToGrid w:val="0"/>
        <w:ind w:firstLine="480" w:firstLineChars="200"/>
        <w:jc w:val="both"/>
        <w:textAlignment w:val="baseline"/>
        <w:rPr>
          <w:rFonts w:hint="eastAsia" w:ascii="宋体" w:hAnsi="宋体" w:eastAsia="宋体" w:cs="宋体"/>
          <w:b w:val="0"/>
          <w:bCs w:val="0"/>
          <w:color w:val="auto"/>
          <w:sz w:val="24"/>
          <w:szCs w:val="24"/>
          <w:highlight w:val="none"/>
          <w:u w:val="none" w:color="auto"/>
          <w:lang w:val="en-US" w:eastAsia="zh-CN"/>
        </w:rPr>
      </w:pPr>
      <w:r>
        <w:rPr>
          <w:rFonts w:hint="eastAsia" w:ascii="宋体" w:hAnsi="宋体" w:eastAsia="宋体" w:cs="宋体"/>
          <w:b w:val="0"/>
          <w:bCs w:val="0"/>
          <w:color w:val="auto"/>
          <w:sz w:val="24"/>
          <w:szCs w:val="24"/>
          <w:highlight w:val="none"/>
          <w:u w:val="none" w:color="auto"/>
          <w:lang w:val="en-US" w:eastAsia="zh-CN"/>
        </w:rPr>
        <w:t>本项目位于宁夏回族自治区石嘴山市境内，包含对石嘴山分中心管理养护的S302线（3处路段）、S303线（34处路段）等2条省道共37处存在边坡崩塌、坡面泥石流、路肩开裂滑移等主要地质灾害和病害路段进行专项防治。主要工程量为边坡崩塌灾害处治，新建主动防护网28903平方米、笼石挡墙103米，挂网锚喷2460平方米。路基路面病害处置后，上面层重铺AC-13C改性沥青混凝土85平方米、下面层重铺AC-20C改性沥青混凝土85平方米。新建Gr-SB-2E护栏34米、路肩钢管桩57根，设置视频监控设施6套等。具体内容详见工程量清单。</w:t>
      </w:r>
    </w:p>
    <w:p>
      <w:pPr>
        <w:keepNext w:val="0"/>
        <w:keepLines w:val="0"/>
        <w:pageBreakBefore w:val="0"/>
        <w:widowControl/>
        <w:kinsoku w:val="0"/>
        <w:wordWrap/>
        <w:overflowPunct/>
        <w:topLinePunct w:val="0"/>
        <w:autoSpaceDE w:val="0"/>
        <w:autoSpaceDN w:val="0"/>
        <w:bidi w:val="0"/>
        <w:adjustRightInd w:val="0"/>
        <w:snapToGrid w:val="0"/>
        <w:ind w:firstLine="480" w:firstLineChars="200"/>
        <w:jc w:val="both"/>
        <w:textAlignment w:val="baseline"/>
        <w:rPr>
          <w:rFonts w:hint="eastAsia" w:ascii="宋体" w:hAnsi="宋体" w:eastAsia="宋体" w:cs="宋体"/>
          <w:b w:val="0"/>
          <w:bCs w:val="0"/>
          <w:color w:val="auto"/>
          <w:sz w:val="24"/>
          <w:szCs w:val="24"/>
          <w:highlight w:val="none"/>
          <w:u w:val="none" w:color="auto"/>
          <w:lang w:val="en-US" w:eastAsia="zh-CN"/>
        </w:rPr>
      </w:pPr>
      <w:r>
        <w:rPr>
          <w:rFonts w:hint="eastAsia" w:ascii="宋体" w:hAnsi="宋体" w:eastAsia="宋体" w:cs="宋体"/>
          <w:b w:val="0"/>
          <w:bCs w:val="0"/>
          <w:color w:val="auto"/>
          <w:sz w:val="24"/>
          <w:szCs w:val="24"/>
          <w:highlight w:val="none"/>
          <w:u w:val="none" w:color="auto"/>
          <w:lang w:val="en-US" w:eastAsia="zh-CN"/>
        </w:rPr>
        <w:t>标段划分：本项目共划分为一个标段。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kern w:val="2"/>
          <w:sz w:val="28"/>
          <w:szCs w:val="28"/>
          <w:highlight w:val="none"/>
          <w:lang w:val="en-US" w:eastAsia="zh-CN" w:bidi="ar-SA"/>
        </w:rPr>
        <w:t>二、</w:t>
      </w:r>
      <w:r>
        <w:rPr>
          <w:rFonts w:hint="eastAsia" w:ascii="宋体" w:hAnsi="宋体" w:eastAsia="宋体" w:cs="宋体"/>
          <w:b/>
          <w:bCs/>
          <w:color w:val="auto"/>
          <w:sz w:val="28"/>
          <w:szCs w:val="28"/>
          <w:highlight w:val="none"/>
          <w:u w:val="none"/>
          <w:lang w:val="en-US" w:eastAsia="zh-CN"/>
        </w:rPr>
        <w:t>对投标人的全部资格条件要求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详见招标公告。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三、资格审查办法</w:t>
      </w:r>
    </w:p>
    <w:p>
      <w:pPr>
        <w:spacing w:before="91" w:line="415" w:lineRule="exact"/>
        <w:ind w:left="1977"/>
        <w:outlineLvl w:val="0"/>
        <w:rPr>
          <w:rFonts w:hint="eastAsia" w:ascii="宋体" w:hAnsi="宋体" w:eastAsia="宋体" w:cs="宋体"/>
          <w:color w:val="auto"/>
          <w:sz w:val="13"/>
          <w:szCs w:val="13"/>
          <w:highlight w:val="none"/>
        </w:rPr>
      </w:pPr>
      <w:bookmarkStart w:id="0" w:name="_Toc23356"/>
      <w:r>
        <w:rPr>
          <w:rFonts w:hint="eastAsia" w:ascii="宋体" w:hAnsi="宋体" w:eastAsia="宋体" w:cs="宋体"/>
          <w:color w:val="auto"/>
          <w:spacing w:val="-3"/>
          <w:position w:val="1"/>
          <w:sz w:val="28"/>
          <w:szCs w:val="28"/>
          <w:highlight w:val="none"/>
        </w:rPr>
        <w:t>附录1资格审查条件（资质最低要求）</w:t>
      </w:r>
      <w:bookmarkEnd w:id="0"/>
    </w:p>
    <w:p>
      <w:pPr>
        <w:spacing w:line="188" w:lineRule="exact"/>
        <w:rPr>
          <w:rFonts w:hint="eastAsia" w:ascii="宋体" w:hAnsi="宋体" w:eastAsia="宋体" w:cs="宋体"/>
          <w:color w:val="auto"/>
          <w:highlight w:val="none"/>
        </w:rPr>
      </w:pPr>
    </w:p>
    <w:tbl>
      <w:tblPr>
        <w:tblStyle w:val="7"/>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8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89" w:type="dxa"/>
            <w:vAlign w:val="top"/>
          </w:tcPr>
          <w:p>
            <w:pPr>
              <w:keepNext w:val="0"/>
              <w:keepLines w:val="0"/>
              <w:pageBreakBefore w:val="0"/>
              <w:widowControl/>
              <w:kinsoku w:val="0"/>
              <w:wordWrap/>
              <w:overflowPunct/>
              <w:topLinePunct w:val="0"/>
              <w:autoSpaceDE w:val="0"/>
              <w:autoSpaceDN w:val="0"/>
              <w:bidi w:val="0"/>
              <w:adjustRightInd w:val="0"/>
              <w:snapToGrid w:val="0"/>
              <w:spacing w:before="274" w:line="240" w:lineRule="auto"/>
              <w:ind w:left="286"/>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标段号</w:t>
            </w:r>
          </w:p>
        </w:tc>
        <w:tc>
          <w:tcPr>
            <w:tcW w:w="8534" w:type="dxa"/>
            <w:vAlign w:val="top"/>
          </w:tcPr>
          <w:p>
            <w:pPr>
              <w:keepNext w:val="0"/>
              <w:keepLines w:val="0"/>
              <w:pageBreakBefore w:val="0"/>
              <w:widowControl/>
              <w:kinsoku w:val="0"/>
              <w:wordWrap/>
              <w:overflowPunct/>
              <w:topLinePunct w:val="0"/>
              <w:autoSpaceDE w:val="0"/>
              <w:autoSpaceDN w:val="0"/>
              <w:bidi w:val="0"/>
              <w:adjustRightInd w:val="0"/>
              <w:snapToGrid w:val="0"/>
              <w:spacing w:before="273" w:line="240" w:lineRule="auto"/>
              <w:ind w:left="2863"/>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118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系统自带标段号</w:t>
            </w:r>
          </w:p>
        </w:tc>
        <w:tc>
          <w:tcPr>
            <w:tcW w:w="85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3"/>
                <w:szCs w:val="23"/>
                <w:highlight w:val="none"/>
              </w:rPr>
            </w:pPr>
          </w:p>
          <w:p>
            <w:pPr>
              <w:keepNext w:val="0"/>
              <w:keepLines w:val="0"/>
              <w:pageBreakBefore w:val="0"/>
              <w:widowControl/>
              <w:kinsoku w:val="0"/>
              <w:wordWrap/>
              <w:overflowPunct/>
              <w:topLinePunct w:val="0"/>
              <w:autoSpaceDE w:val="0"/>
              <w:autoSpaceDN w:val="0"/>
              <w:bidi w:val="0"/>
              <w:adjustRightInd w:val="0"/>
              <w:snapToGrid w:val="0"/>
              <w:spacing w:before="132" w:line="240" w:lineRule="auto"/>
              <w:ind w:left="105" w:leftChars="50" w:firstLine="488" w:firstLineChars="200"/>
              <w:jc w:val="left"/>
              <w:textAlignment w:val="baseline"/>
              <w:rPr>
                <w:rFonts w:hint="eastAsia" w:ascii="宋体" w:hAnsi="宋体" w:eastAsia="宋体" w:cs="宋体"/>
                <w:color w:val="auto"/>
                <w:spacing w:val="6"/>
                <w:sz w:val="23"/>
                <w:szCs w:val="23"/>
                <w:highlight w:val="none"/>
              </w:rPr>
            </w:pPr>
            <w:r>
              <w:rPr>
                <w:rFonts w:hint="eastAsia" w:ascii="宋体" w:hAnsi="宋体" w:eastAsia="宋体" w:cs="宋体"/>
                <w:color w:val="auto"/>
                <w:spacing w:val="7"/>
                <w:sz w:val="23"/>
                <w:szCs w:val="23"/>
                <w:highlight w:val="none"/>
                <w:lang w:val="en-US" w:eastAsia="zh-CN"/>
              </w:rPr>
              <w:t>投标人须具备法人或其他组织资格，持有工商行政管理部门核发的有效企业营业执照或事业单位法人证书或社会团体法人登记证书；具备交通运输主管部门颁发的路基路面养护乙级及以上资质或具备二类公路养护工程乙级资质证书且在有效期内；具备建设主管部门颁发的有效安全生产许可证，并在人员、设备、资金等方面具有相应的施工能力。</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jc w:val="left"/>
              <w:textAlignment w:val="baseline"/>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lang w:eastAsia="zh-CN"/>
              </w:rPr>
              <w:t>注：(1)“投标人基本情况表”应附营业执照和组织机构代码证(按照“三证合一”或“五证合一”登记制度进行登记的，可仅提供营业执照，下同)或事业单位法人证书或社会团体法人登记证书、资质证书、安全生产许可证、基本账户开户银行提供的开户或账户信息证明的彩色扫描件。</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firstLine="496" w:firstLineChars="200"/>
              <w:jc w:val="left"/>
              <w:textAlignment w:val="baseline"/>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lang w:eastAsia="zh-CN"/>
              </w:rPr>
              <w:t>投标人如为应通过名录对其资质条件进行审核的公路施工企业，则应进入交通运输部“全国公路建设市场监督管理系统（https://hwdms.mot.gov.cn）”中的公路工程施工资质企业名录，需附网页截图（本段规定仅适用于根据《关于发布公路工程从业企业资质名录的通知》（厅公路字〔2011〕114号）要求，招标人应通过名录对投标人资质条件进行审核的公路施工企业，具体包括由部审核、审批资质的施工特级、一级及交通工程资质企业，如投标人为以上资质企业，则应满足本要求）。</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jc w:val="left"/>
              <w:textAlignment w:val="baseline"/>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lang w:eastAsia="zh-CN"/>
              </w:rPr>
              <w:t>(2)营业执照和组织机构代码证或事业单位法人证书或社会团体法人登记证书、施工资质证书、安全生产许可证的扫描件应提供全本(证书封面、封底、空白页除外),应包括投标人名称、投标人其他相关信息、颁发机构名称、投标人信息变更情况等关键页在内；</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jc w:val="left"/>
              <w:textAlignment w:val="baseline"/>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lang w:eastAsia="zh-CN"/>
              </w:rPr>
              <w:t>(3)对于法人发生重组或变更的投标人，应在投标文件中提供附有法人重组或变更时相关部门的合法批件、变更时的企业法人营业执照和资质证书的变更记录彩色扫描件；</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jc w:val="left"/>
              <w:textAlignment w:val="baseline"/>
              <w:rPr>
                <w:rFonts w:hint="eastAsia" w:ascii="宋体" w:hAnsi="宋体" w:eastAsia="宋体" w:cs="宋体"/>
                <w:color w:val="auto"/>
                <w:spacing w:val="9"/>
                <w:sz w:val="23"/>
                <w:szCs w:val="23"/>
                <w:highlight w:val="none"/>
                <w:lang w:eastAsia="zh-CN"/>
              </w:rPr>
            </w:pPr>
            <w:r>
              <w:rPr>
                <w:rFonts w:hint="eastAsia" w:ascii="宋体" w:hAnsi="宋体" w:eastAsia="宋体" w:cs="宋体"/>
                <w:color w:val="auto"/>
                <w:spacing w:val="9"/>
                <w:sz w:val="23"/>
                <w:szCs w:val="23"/>
                <w:highlight w:val="none"/>
                <w:lang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131" w:line="240" w:lineRule="auto"/>
              <w:ind w:left="105" w:leftChars="50"/>
              <w:jc w:val="left"/>
              <w:textAlignment w:val="baseline"/>
              <w:rPr>
                <w:rFonts w:hint="eastAsia" w:ascii="宋体" w:hAnsi="宋体" w:eastAsia="宋体" w:cs="宋体"/>
                <w:color w:val="auto"/>
                <w:spacing w:val="6"/>
                <w:sz w:val="23"/>
                <w:szCs w:val="23"/>
                <w:highlight w:val="none"/>
              </w:rPr>
            </w:pPr>
            <w:r>
              <w:rPr>
                <w:rFonts w:hint="eastAsia" w:ascii="宋体" w:hAnsi="宋体" w:eastAsia="宋体" w:cs="宋体"/>
                <w:color w:val="auto"/>
                <w:spacing w:val="9"/>
                <w:sz w:val="23"/>
                <w:szCs w:val="23"/>
                <w:highlight w:val="none"/>
                <w:lang w:eastAsia="zh-CN"/>
              </w:rPr>
              <w:t>(5)招标文件中其他地方与此处不一致时，以此处为准。</w:t>
            </w:r>
          </w:p>
        </w:tc>
      </w:tr>
    </w:tbl>
    <w:p>
      <w:pPr>
        <w:spacing w:before="91" w:line="414" w:lineRule="exact"/>
        <w:jc w:val="center"/>
        <w:outlineLvl w:val="0"/>
        <w:rPr>
          <w:rFonts w:hint="eastAsia" w:ascii="宋体" w:hAnsi="宋体" w:eastAsia="宋体" w:cs="宋体"/>
          <w:color w:val="auto"/>
          <w:sz w:val="13"/>
          <w:szCs w:val="13"/>
          <w:highlight w:val="none"/>
        </w:rPr>
      </w:pPr>
      <w:bookmarkStart w:id="1" w:name="_Toc5750"/>
      <w:r>
        <w:rPr>
          <w:rFonts w:hint="eastAsia" w:ascii="宋体" w:hAnsi="宋体" w:eastAsia="宋体" w:cs="宋体"/>
          <w:color w:val="auto"/>
          <w:spacing w:val="-2"/>
          <w:position w:val="1"/>
          <w:sz w:val="28"/>
          <w:szCs w:val="28"/>
          <w:highlight w:val="none"/>
        </w:rPr>
        <w:t>附录2资格审查条件（财务最低要求）</w:t>
      </w:r>
      <w:bookmarkEnd w:id="1"/>
    </w:p>
    <w:p>
      <w:pPr>
        <w:spacing w:line="189" w:lineRule="exact"/>
        <w:rPr>
          <w:rFonts w:hint="eastAsia" w:ascii="宋体" w:hAnsi="宋体" w:eastAsia="宋体" w:cs="宋体"/>
          <w:color w:val="auto"/>
          <w:highlight w:val="none"/>
        </w:rPr>
      </w:pPr>
    </w:p>
    <w:tbl>
      <w:tblPr>
        <w:tblStyle w:val="7"/>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8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91" w:type="dxa"/>
            <w:vAlign w:val="top"/>
          </w:tcPr>
          <w:p>
            <w:pPr>
              <w:keepNext w:val="0"/>
              <w:keepLines w:val="0"/>
              <w:pageBreakBefore w:val="0"/>
              <w:widowControl/>
              <w:kinsoku w:val="0"/>
              <w:wordWrap/>
              <w:overflowPunct/>
              <w:topLinePunct w:val="0"/>
              <w:autoSpaceDE w:val="0"/>
              <w:autoSpaceDN w:val="0"/>
              <w:bidi w:val="0"/>
              <w:adjustRightInd w:val="0"/>
              <w:snapToGrid w:val="0"/>
              <w:spacing w:before="274" w:line="240" w:lineRule="auto"/>
              <w:ind w:left="236"/>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标段号</w:t>
            </w:r>
          </w:p>
        </w:tc>
        <w:tc>
          <w:tcPr>
            <w:tcW w:w="8632" w:type="dxa"/>
            <w:vAlign w:val="top"/>
          </w:tcPr>
          <w:p>
            <w:pPr>
              <w:keepNext w:val="0"/>
              <w:keepLines w:val="0"/>
              <w:pageBreakBefore w:val="0"/>
              <w:widowControl/>
              <w:kinsoku w:val="0"/>
              <w:wordWrap/>
              <w:overflowPunct/>
              <w:topLinePunct w:val="0"/>
              <w:autoSpaceDE w:val="0"/>
              <w:autoSpaceDN w:val="0"/>
              <w:bidi w:val="0"/>
              <w:adjustRightInd w:val="0"/>
              <w:snapToGrid w:val="0"/>
              <w:spacing w:before="273" w:line="240" w:lineRule="auto"/>
              <w:ind w:left="3542"/>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0" w:hRule="atLeast"/>
        </w:trPr>
        <w:tc>
          <w:tcPr>
            <w:tcW w:w="10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t>系统自带标段号</w:t>
            </w:r>
          </w:p>
        </w:tc>
        <w:tc>
          <w:tcPr>
            <w:tcW w:w="8632"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244" w:firstLineChars="100"/>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投标人需满足以下要求：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488" w:firstLineChars="200"/>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投标人在近3年</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lang w:val="en-US" w:eastAsia="zh-CN"/>
              </w:rPr>
              <w:t>2021年至2023年</w:t>
            </w:r>
            <w:r>
              <w:rPr>
                <w:rFonts w:hint="eastAsia" w:ascii="宋体" w:hAnsi="宋体" w:eastAsia="宋体" w:cs="宋体"/>
                <w:color w:val="auto"/>
                <w:spacing w:val="7"/>
                <w:sz w:val="23"/>
                <w:szCs w:val="23"/>
                <w:highlight w:val="none"/>
                <w:lang w:eastAsia="zh-CN"/>
              </w:rPr>
              <w:t>）</w:t>
            </w:r>
            <w:r>
              <w:rPr>
                <w:rFonts w:hint="eastAsia" w:ascii="宋体" w:hAnsi="宋体" w:eastAsia="宋体" w:cs="宋体"/>
                <w:color w:val="auto"/>
                <w:spacing w:val="7"/>
                <w:sz w:val="23"/>
                <w:szCs w:val="23"/>
                <w:highlight w:val="none"/>
              </w:rPr>
              <w:t>每一年度末</w:t>
            </w:r>
            <w:r>
              <w:rPr>
                <w:rFonts w:hint="eastAsia" w:ascii="宋体" w:hAnsi="宋体" w:eastAsia="宋体" w:cs="宋体"/>
                <w:color w:val="auto"/>
                <w:spacing w:val="7"/>
                <w:sz w:val="23"/>
                <w:szCs w:val="23"/>
                <w:highlight w:val="none"/>
                <w:lang w:eastAsia="zh-CN"/>
              </w:rPr>
              <w:t>的</w:t>
            </w:r>
            <w:r>
              <w:rPr>
                <w:rFonts w:hint="eastAsia" w:ascii="宋体" w:hAnsi="宋体" w:eastAsia="宋体" w:cs="宋体"/>
                <w:color w:val="auto"/>
                <w:spacing w:val="7"/>
                <w:sz w:val="23"/>
                <w:szCs w:val="23"/>
                <w:highlight w:val="none"/>
              </w:rPr>
              <w:t>流动资产与流动负债比均不小于1。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宋体" w:hAnsi="宋体" w:eastAsia="宋体" w:cs="宋体"/>
                <w:color w:val="auto"/>
                <w:spacing w:val="7"/>
                <w:sz w:val="23"/>
                <w:szCs w:val="23"/>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（1）投标人应在投标文件中附近3年经会计师事务所或审计机构审计的财务会计报表，包括资产负债表、现金流量表、利润表和财务情况说明书的扫描件。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（2）投标人的成立时间少于规定年份的可以对本项目投标，应提供成立以来的财务状况表，且投标人所提供的财务报表均需满足以上要求。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（3）投标人如为集团公司，财务会计报表指合并财务会计报表。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z w:val="23"/>
                <w:szCs w:val="23"/>
                <w:highlight w:val="none"/>
              </w:rPr>
              <w:t>（4）招标文件中其他地方与此处不一致时，以此处为准。</w:t>
            </w:r>
          </w:p>
        </w:tc>
      </w:tr>
    </w:tbl>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注：①投标截止时间在5月1日之前的，近3年指递交截止时间推算前4年，上一年指递交截止时间推算前2年；投标截止时间在5月1日之后的，近3年指递交截止时间推算前3年，上一年指递交截止时间推算前1年。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5" w:leftChars="50" w:firstLine="230" w:firstLineChars="1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②新成立的单位，提供成立以来至递交截止时间年度的财务情况证明材料。</w:t>
      </w: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4" w:lineRule="auto"/>
        <w:rPr>
          <w:rFonts w:hint="eastAsia" w:ascii="宋体" w:hAnsi="宋体" w:eastAsia="宋体" w:cs="宋体"/>
          <w:color w:val="auto"/>
          <w:highlight w:val="none"/>
        </w:rPr>
      </w:pPr>
    </w:p>
    <w:p>
      <w:pPr>
        <w:pStyle w:val="2"/>
        <w:spacing w:line="245" w:lineRule="auto"/>
        <w:rPr>
          <w:rFonts w:hint="eastAsia" w:ascii="宋体" w:hAnsi="宋体" w:eastAsia="宋体" w:cs="宋体"/>
          <w:color w:val="auto"/>
          <w:highlight w:val="none"/>
        </w:rPr>
      </w:pPr>
    </w:p>
    <w:p>
      <w:pPr>
        <w:pStyle w:val="2"/>
        <w:spacing w:line="245" w:lineRule="auto"/>
        <w:rPr>
          <w:rFonts w:hint="eastAsia" w:ascii="宋体" w:hAnsi="宋体" w:eastAsia="宋体" w:cs="宋体"/>
          <w:color w:val="auto"/>
          <w:highlight w:val="none"/>
        </w:rPr>
      </w:pPr>
    </w:p>
    <w:p>
      <w:pPr>
        <w:spacing w:before="91" w:line="414" w:lineRule="exact"/>
        <w:ind w:left="1975"/>
        <w:rPr>
          <w:rFonts w:hint="eastAsia" w:ascii="宋体" w:hAnsi="宋体" w:eastAsia="宋体" w:cs="宋体"/>
          <w:color w:val="auto"/>
          <w:sz w:val="13"/>
          <w:szCs w:val="13"/>
          <w:highlight w:val="none"/>
        </w:rPr>
      </w:pPr>
      <w:bookmarkStart w:id="2" w:name="bookmark53"/>
      <w:bookmarkEnd w:id="2"/>
      <w:r>
        <w:rPr>
          <w:rFonts w:hint="eastAsia" w:ascii="宋体" w:hAnsi="宋体" w:eastAsia="宋体" w:cs="宋体"/>
          <w:color w:val="auto"/>
          <w:spacing w:val="-2"/>
          <w:position w:val="1"/>
          <w:sz w:val="28"/>
          <w:szCs w:val="28"/>
          <w:highlight w:val="none"/>
        </w:rPr>
        <w:t>附录3资格审查条件（业绩最低要求）</w:t>
      </w:r>
    </w:p>
    <w:p>
      <w:pPr>
        <w:spacing w:line="188" w:lineRule="exact"/>
        <w:rPr>
          <w:rFonts w:hint="eastAsia" w:ascii="宋体" w:hAnsi="宋体" w:eastAsia="宋体" w:cs="宋体"/>
          <w:color w:val="auto"/>
          <w:highlight w:val="none"/>
        </w:rPr>
      </w:pPr>
    </w:p>
    <w:tbl>
      <w:tblPr>
        <w:tblStyle w:val="7"/>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8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7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标段号</w:t>
            </w:r>
          </w:p>
        </w:tc>
        <w:tc>
          <w:tcPr>
            <w:tcW w:w="872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0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9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t>系统自带标段号</w:t>
            </w:r>
          </w:p>
        </w:tc>
        <w:tc>
          <w:tcPr>
            <w:tcW w:w="8728"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244" w:firstLineChars="100"/>
              <w:jc w:val="both"/>
              <w:textAlignment w:val="baseline"/>
              <w:rPr>
                <w:rFonts w:hint="eastAsia" w:ascii="宋体" w:hAnsi="宋体" w:eastAsia="宋体" w:cs="宋体"/>
                <w:color w:val="auto"/>
                <w:spacing w:val="7"/>
                <w:sz w:val="23"/>
                <w:szCs w:val="23"/>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0" w:firstLine="488" w:firstLineChars="200"/>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投标人</w:t>
            </w:r>
            <w:r>
              <w:rPr>
                <w:rFonts w:hint="eastAsia" w:ascii="宋体" w:hAnsi="宋体" w:eastAsia="宋体" w:cs="宋体"/>
                <w:snapToGrid w:val="0"/>
                <w:color w:val="auto"/>
                <w:spacing w:val="8"/>
                <w:kern w:val="0"/>
                <w:sz w:val="23"/>
                <w:szCs w:val="23"/>
                <w:highlight w:val="none"/>
                <w:lang w:val="en-US" w:eastAsia="zh-CN" w:bidi="ar-SA"/>
              </w:rPr>
              <w:t>近3年（2022年3月28日至投标截止时间，精确到天，以交工日期为准）</w:t>
            </w:r>
            <w:r>
              <w:rPr>
                <w:rFonts w:hint="eastAsia" w:ascii="宋体" w:hAnsi="宋体" w:eastAsia="宋体" w:cs="宋体"/>
                <w:color w:val="auto"/>
                <w:spacing w:val="7"/>
                <w:sz w:val="23"/>
                <w:szCs w:val="23"/>
                <w:highlight w:val="none"/>
              </w:rPr>
              <w:t>至少完成过1个二级及以上等级公路路基养护工程施工业绩。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（2）“近年完成的类似项目情况表”应是已列入“全国公路建设市场监督管理系统”或工程所在地省级公路建设与养护市场信用信息管理系统并公开的主包已建业绩或分包已建业绩。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3）“近年完成的类似项目情况表”应附在“全国公路建设市场监督管理系统”中查询到的企业“业绩信息”相关项目网页截图（即包括“项目名称”“标段类型”“合同价”“主要工程量”“项目主要管理人员”等栏目在内的项目详细信息网页截图）。在“全国公路建设市场监督管理系统”中无法查询，但可在工程所在地省级交通运输主管部门公路建设与养护市场信用信息管理系统中查询的，应附工程所在地省级交通运输主管部门公路建设与养护市场信用信息管理系统中查询到的网页截图。除网页截图外，投标人无须再提供任何业绩证明资料。除网页截图外，其余企业业绩材料体现的但系统网站中未载明的信息在评审时均不予采信。如投标人未提供相关项目网页截图或相关项目网页截图中的信息无法证实投标人满足招标文件规定的资格审查条件（业绩最低要求），则该项目业绩不予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（4）如投标人提供的养护工程施工业绩截图中工程内容包含公路路基工程，则该业绩也予以认定。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（5）如近年来，投标人法人机构发生合法变更或重组或法人名称变更时，应提供相关部门的合法批件或其他相关证明材料来证明其所附业绩的继承性。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snapToGrid w:val="0"/>
                <w:color w:val="auto"/>
                <w:spacing w:val="8"/>
                <w:kern w:val="0"/>
                <w:sz w:val="23"/>
                <w:szCs w:val="23"/>
                <w:highlight w:val="none"/>
                <w:lang w:val="en-US" w:eastAsia="zh-CN" w:bidi="ar-SA"/>
              </w:rPr>
            </w:pPr>
            <w:r>
              <w:rPr>
                <w:rFonts w:hint="eastAsia" w:ascii="宋体" w:hAnsi="宋体" w:eastAsia="宋体" w:cs="宋体"/>
                <w:snapToGrid w:val="0"/>
                <w:color w:val="auto"/>
                <w:spacing w:val="8"/>
                <w:kern w:val="0"/>
                <w:sz w:val="23"/>
                <w:szCs w:val="23"/>
                <w:highlight w:val="none"/>
                <w:lang w:val="en-US" w:eastAsia="zh-CN" w:bidi="ar-SA"/>
              </w:rPr>
              <w:t>（6）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不予退还投标保证金，并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宁夏回族自治区交通运输厅网站予以公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246" w:firstLineChars="100"/>
              <w:jc w:val="both"/>
              <w:textAlignment w:val="baseline"/>
              <w:rPr>
                <w:rFonts w:hint="eastAsia" w:ascii="宋体" w:hAnsi="宋体" w:eastAsia="宋体" w:cs="宋体"/>
                <w:color w:val="auto"/>
                <w:spacing w:val="8"/>
                <w:sz w:val="23"/>
                <w:szCs w:val="23"/>
                <w:highlight w:val="none"/>
                <w:lang w:eastAsia="zh-CN"/>
              </w:rPr>
            </w:pPr>
            <w:r>
              <w:rPr>
                <w:rFonts w:hint="eastAsia" w:ascii="宋体" w:hAnsi="宋体" w:eastAsia="宋体" w:cs="宋体"/>
                <w:snapToGrid w:val="0"/>
                <w:color w:val="auto"/>
                <w:spacing w:val="8"/>
                <w:kern w:val="0"/>
                <w:sz w:val="23"/>
                <w:szCs w:val="23"/>
                <w:highlight w:val="none"/>
                <w:lang w:val="en-US" w:eastAsia="zh-CN" w:bidi="ar-SA"/>
              </w:rPr>
              <w:t>（7）招标文件中其他地方与此处不一致时，以此处为准。</w:t>
            </w:r>
          </w:p>
        </w:tc>
      </w:tr>
    </w:tbl>
    <w:p>
      <w:pPr>
        <w:pStyle w:val="2"/>
        <w:spacing w:line="246" w:lineRule="auto"/>
        <w:rPr>
          <w:rFonts w:hint="eastAsia" w:ascii="宋体" w:hAnsi="宋体" w:eastAsia="宋体" w:cs="宋体"/>
          <w:color w:val="auto"/>
          <w:highlight w:val="none"/>
        </w:rPr>
      </w:pPr>
    </w:p>
    <w:p>
      <w:pPr>
        <w:pStyle w:val="2"/>
        <w:spacing w:line="246" w:lineRule="auto"/>
        <w:rPr>
          <w:rFonts w:hint="eastAsia" w:ascii="宋体" w:hAnsi="宋体" w:eastAsia="宋体" w:cs="宋体"/>
          <w:color w:val="auto"/>
          <w:highlight w:val="none"/>
        </w:rPr>
      </w:pPr>
    </w:p>
    <w:p>
      <w:pPr>
        <w:spacing w:before="91" w:line="222" w:lineRule="auto"/>
        <w:ind w:left="2049"/>
        <w:outlineLvl w:val="0"/>
        <w:rPr>
          <w:rFonts w:hint="eastAsia" w:ascii="宋体" w:hAnsi="宋体" w:eastAsia="宋体" w:cs="宋体"/>
          <w:color w:val="auto"/>
          <w:spacing w:val="-2"/>
          <w:sz w:val="28"/>
          <w:szCs w:val="28"/>
          <w:highlight w:val="none"/>
        </w:rPr>
      </w:pPr>
      <w:bookmarkStart w:id="3" w:name="_Toc21479"/>
    </w:p>
    <w:p>
      <w:pPr>
        <w:spacing w:before="91" w:line="222" w:lineRule="auto"/>
        <w:ind w:left="2049"/>
        <w:outlineLvl w:val="0"/>
        <w:rPr>
          <w:rFonts w:hint="eastAsia" w:ascii="宋体" w:hAnsi="宋体" w:eastAsia="宋体" w:cs="宋体"/>
          <w:color w:val="auto"/>
          <w:spacing w:val="-2"/>
          <w:sz w:val="28"/>
          <w:szCs w:val="28"/>
          <w:highlight w:val="none"/>
        </w:rPr>
      </w:pPr>
    </w:p>
    <w:p>
      <w:pPr>
        <w:spacing w:before="91" w:line="222" w:lineRule="auto"/>
        <w:ind w:left="2049"/>
        <w:outlineLvl w:val="0"/>
        <w:rPr>
          <w:rFonts w:hint="eastAsia" w:ascii="宋体" w:hAnsi="宋体" w:eastAsia="宋体" w:cs="宋体"/>
          <w:color w:val="auto"/>
          <w:spacing w:val="-2"/>
          <w:sz w:val="28"/>
          <w:szCs w:val="28"/>
          <w:highlight w:val="none"/>
        </w:rPr>
      </w:pPr>
    </w:p>
    <w:p>
      <w:pPr>
        <w:spacing w:before="91" w:line="222" w:lineRule="auto"/>
        <w:jc w:val="center"/>
        <w:outlineLvl w:val="0"/>
        <w:rPr>
          <w:rFonts w:hint="eastAsia" w:ascii="宋体" w:hAnsi="宋体" w:eastAsia="宋体" w:cs="宋体"/>
          <w:color w:val="auto"/>
          <w:spacing w:val="-2"/>
          <w:sz w:val="28"/>
          <w:szCs w:val="28"/>
          <w:highlight w:val="none"/>
        </w:rPr>
      </w:pPr>
    </w:p>
    <w:p>
      <w:pPr>
        <w:spacing w:before="91" w:line="222" w:lineRule="auto"/>
        <w:jc w:val="center"/>
        <w:outlineLvl w:val="0"/>
        <w:rPr>
          <w:rFonts w:hint="eastAsia" w:ascii="宋体" w:hAnsi="宋体" w:eastAsia="宋体" w:cs="宋体"/>
          <w:color w:val="auto"/>
          <w:spacing w:val="-2"/>
          <w:sz w:val="28"/>
          <w:szCs w:val="28"/>
          <w:highlight w:val="none"/>
        </w:rPr>
      </w:pPr>
    </w:p>
    <w:p>
      <w:pPr>
        <w:spacing w:before="91" w:line="222" w:lineRule="auto"/>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附录4资格审查条件（信誉最低要求）</w:t>
      </w:r>
      <w:bookmarkEnd w:id="3"/>
    </w:p>
    <w:p>
      <w:pPr>
        <w:spacing w:line="223" w:lineRule="exact"/>
        <w:rPr>
          <w:rFonts w:hint="eastAsia" w:ascii="宋体" w:hAnsi="宋体" w:eastAsia="宋体" w:cs="宋体"/>
          <w:color w:val="auto"/>
          <w:highlight w:val="none"/>
        </w:rPr>
      </w:pPr>
    </w:p>
    <w:tbl>
      <w:tblPr>
        <w:tblStyle w:val="7"/>
        <w:tblW w:w="97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7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3"/>
                <w:szCs w:val="23"/>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3933"/>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7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textAlignment w:val="baseline"/>
              <w:rPr>
                <w:rFonts w:hint="eastAsia" w:ascii="宋体" w:hAnsi="宋体" w:eastAsia="宋体" w:cs="宋体"/>
                <w:color w:val="auto"/>
                <w:spacing w:val="8"/>
                <w:sz w:val="23"/>
                <w:szCs w:val="23"/>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46" w:firstLineChars="1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投标人不得存在下列不良状况或不良信用记录：</w:t>
            </w:r>
          </w:p>
          <w:p>
            <w:pPr>
              <w:keepNext w:val="0"/>
              <w:keepLines w:val="0"/>
              <w:pageBreakBefore w:val="0"/>
              <w:widowControl/>
              <w:kinsoku w:val="0"/>
              <w:wordWrap/>
              <w:overflowPunct/>
              <w:topLinePunct w:val="0"/>
              <w:autoSpaceDE w:val="0"/>
              <w:autoSpaceDN w:val="0"/>
              <w:bidi w:val="0"/>
              <w:adjustRightInd w:val="0"/>
              <w:snapToGrid w:val="0"/>
              <w:spacing w:before="153" w:line="240" w:lineRule="auto"/>
              <w:ind w:firstLine="496" w:firstLineChars="200"/>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9"/>
                <w:sz w:val="23"/>
                <w:szCs w:val="23"/>
                <w:highlight w:val="none"/>
              </w:rPr>
              <w:t>（1）被省级及以上交通运输主管部门取消招标项目所在地的投标资格且处于有效期内</w:t>
            </w:r>
          </w:p>
          <w:p>
            <w:pPr>
              <w:keepNext w:val="0"/>
              <w:keepLines w:val="0"/>
              <w:pageBreakBefore w:val="0"/>
              <w:widowControl/>
              <w:kinsoku w:val="0"/>
              <w:wordWrap/>
              <w:overflowPunct/>
              <w:topLinePunct w:val="0"/>
              <w:autoSpaceDE w:val="0"/>
              <w:autoSpaceDN w:val="0"/>
              <w:bidi w:val="0"/>
              <w:adjustRightInd w:val="0"/>
              <w:snapToGrid w:val="0"/>
              <w:spacing w:before="154" w:line="240" w:lineRule="auto"/>
              <w:ind w:firstLine="492"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（2）被责令停业，暂扣或吊销执照，或吊销资质证书；</w:t>
            </w:r>
          </w:p>
          <w:p>
            <w:pPr>
              <w:keepNext w:val="0"/>
              <w:keepLines w:val="0"/>
              <w:pageBreakBefore w:val="0"/>
              <w:widowControl/>
              <w:kinsoku w:val="0"/>
              <w:wordWrap/>
              <w:overflowPunct/>
              <w:topLinePunct w:val="0"/>
              <w:autoSpaceDE w:val="0"/>
              <w:autoSpaceDN w:val="0"/>
              <w:bidi w:val="0"/>
              <w:adjustRightInd w:val="0"/>
              <w:snapToGrid w:val="0"/>
              <w:spacing w:before="152" w:line="240" w:lineRule="auto"/>
              <w:ind w:firstLine="496"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（3）进入清算程序，或被宣告破产，或其他丧失履</w:t>
            </w:r>
            <w:r>
              <w:rPr>
                <w:rFonts w:hint="eastAsia" w:ascii="宋体" w:hAnsi="宋体" w:eastAsia="宋体" w:cs="宋体"/>
                <w:color w:val="auto"/>
                <w:spacing w:val="8"/>
                <w:sz w:val="23"/>
                <w:szCs w:val="23"/>
                <w:highlight w:val="none"/>
              </w:rPr>
              <w:t>约能力的情形；</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107" w:firstLine="500" w:firstLineChars="200"/>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10"/>
                <w:sz w:val="23"/>
                <w:szCs w:val="23"/>
                <w:highlight w:val="none"/>
              </w:rPr>
              <w:t>（4）在国家企业信用信息公示系统（</w:t>
            </w:r>
            <w:r>
              <w:rPr>
                <w:rFonts w:hint="eastAsia" w:ascii="宋体" w:hAnsi="宋体" w:eastAsia="宋体" w:cs="宋体"/>
                <w:color w:val="auto"/>
                <w:sz w:val="23"/>
                <w:szCs w:val="23"/>
                <w:highlight w:val="none"/>
              </w:rPr>
              <w:t>http</w:t>
            </w:r>
            <w:r>
              <w:rPr>
                <w:rFonts w:hint="eastAsia" w:ascii="宋体" w:hAnsi="宋体" w:eastAsia="宋体" w:cs="宋体"/>
                <w:color w:val="auto"/>
                <w:spacing w:val="10"/>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0"/>
                <w:sz w:val="23"/>
                <w:szCs w:val="23"/>
                <w:highlight w:val="none"/>
              </w:rPr>
              <w:t>.</w:t>
            </w:r>
            <w:r>
              <w:rPr>
                <w:rFonts w:hint="eastAsia" w:ascii="宋体" w:hAnsi="宋体" w:eastAsia="宋体" w:cs="宋体"/>
                <w:color w:val="auto"/>
                <w:sz w:val="23"/>
                <w:szCs w:val="23"/>
                <w:highlight w:val="none"/>
              </w:rPr>
              <w:t>gsxt</w:t>
            </w:r>
            <w:r>
              <w:rPr>
                <w:rFonts w:hint="eastAsia" w:ascii="宋体" w:hAnsi="宋体" w:eastAsia="宋体" w:cs="宋体"/>
                <w:color w:val="auto"/>
                <w:spacing w:val="10"/>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0"/>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0"/>
                <w:sz w:val="23"/>
                <w:szCs w:val="23"/>
                <w:highlight w:val="none"/>
              </w:rPr>
              <w:t>/）</w:t>
            </w:r>
            <w:r>
              <w:rPr>
                <w:rFonts w:hint="eastAsia" w:ascii="宋体" w:hAnsi="宋体" w:eastAsia="宋体" w:cs="宋体"/>
                <w:color w:val="auto"/>
                <w:spacing w:val="9"/>
                <w:sz w:val="23"/>
                <w:szCs w:val="23"/>
                <w:highlight w:val="none"/>
              </w:rPr>
              <w:t>中被列入严重违法失信企</w:t>
            </w:r>
            <w:r>
              <w:rPr>
                <w:rFonts w:hint="eastAsia" w:ascii="宋体" w:hAnsi="宋体" w:eastAsia="宋体" w:cs="宋体"/>
                <w:color w:val="auto"/>
                <w:spacing w:val="5"/>
                <w:sz w:val="23"/>
                <w:szCs w:val="23"/>
                <w:highlight w:val="none"/>
              </w:rPr>
              <w:t>业名单；</w:t>
            </w:r>
            <w:r>
              <w:rPr>
                <w:rFonts w:hint="eastAsia" w:ascii="宋体" w:hAnsi="宋体" w:eastAsia="宋体" w:cs="宋体"/>
                <w:color w:val="auto"/>
                <w:spacing w:val="5"/>
                <w:sz w:val="23"/>
                <w:szCs w:val="23"/>
                <w:highlight w:val="none"/>
                <w:lang w:eastAsia="zh-CN"/>
              </w:rPr>
              <w:t>（提供网站查询截图）</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107" w:firstLine="504"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（5）在“信用中国”网站（</w:t>
            </w:r>
            <w:r>
              <w:rPr>
                <w:rFonts w:hint="eastAsia" w:ascii="宋体" w:hAnsi="宋体" w:eastAsia="宋体" w:cs="宋体"/>
                <w:color w:val="auto"/>
                <w:sz w:val="23"/>
                <w:szCs w:val="23"/>
                <w:highlight w:val="none"/>
              </w:rPr>
              <w:t>http</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www</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creditchina</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gov</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cn</w:t>
            </w:r>
            <w:r>
              <w:rPr>
                <w:rFonts w:hint="eastAsia" w:ascii="宋体" w:hAnsi="宋体" w:eastAsia="宋体" w:cs="宋体"/>
                <w:color w:val="auto"/>
                <w:spacing w:val="11"/>
                <w:sz w:val="23"/>
                <w:szCs w:val="23"/>
                <w:highlight w:val="none"/>
              </w:rPr>
              <w:t>/）中</w:t>
            </w:r>
            <w:r>
              <w:rPr>
                <w:rFonts w:hint="eastAsia" w:ascii="宋体" w:hAnsi="宋体" w:eastAsia="宋体" w:cs="宋体"/>
                <w:color w:val="auto"/>
                <w:spacing w:val="10"/>
                <w:sz w:val="23"/>
                <w:szCs w:val="23"/>
                <w:highlight w:val="none"/>
              </w:rPr>
              <w:t>被列入失信被执行人名</w:t>
            </w:r>
            <w:r>
              <w:rPr>
                <w:rFonts w:hint="eastAsia" w:ascii="宋体" w:hAnsi="宋体" w:eastAsia="宋体" w:cs="宋体"/>
                <w:color w:val="auto"/>
                <w:spacing w:val="-1"/>
                <w:sz w:val="23"/>
                <w:szCs w:val="23"/>
                <w:highlight w:val="none"/>
              </w:rPr>
              <w:t>单；</w:t>
            </w:r>
            <w:r>
              <w:rPr>
                <w:rFonts w:hint="eastAsia" w:ascii="宋体" w:hAnsi="宋体" w:eastAsia="宋体" w:cs="宋体"/>
                <w:color w:val="auto"/>
                <w:spacing w:val="5"/>
                <w:sz w:val="23"/>
                <w:szCs w:val="23"/>
                <w:highlight w:val="none"/>
                <w:lang w:eastAsia="zh-CN"/>
              </w:rPr>
              <w:t>（提供网站查询截图）</w:t>
            </w:r>
          </w:p>
          <w:p>
            <w:pPr>
              <w:keepNext w:val="0"/>
              <w:keepLines w:val="0"/>
              <w:pageBreakBefore w:val="0"/>
              <w:widowControl/>
              <w:kinsoku w:val="0"/>
              <w:wordWrap/>
              <w:overflowPunct/>
              <w:topLinePunct w:val="0"/>
              <w:autoSpaceDE w:val="0"/>
              <w:autoSpaceDN w:val="0"/>
              <w:bidi w:val="0"/>
              <w:adjustRightInd w:val="0"/>
              <w:snapToGrid w:val="0"/>
              <w:spacing w:before="153" w:line="240" w:lineRule="auto"/>
              <w:ind w:right="13" w:firstLine="492" w:firstLineChars="200"/>
              <w:jc w:val="left"/>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8"/>
                <w:sz w:val="23"/>
                <w:szCs w:val="23"/>
                <w:highlight w:val="none"/>
              </w:rPr>
              <w:t>（6）投标人或其法定代表人、拟委任的项目经理和项目总工在近三年内有行贿犯罪行为的；</w:t>
            </w:r>
            <w:r>
              <w:rPr>
                <w:rFonts w:hint="eastAsia" w:ascii="宋体" w:hAnsi="宋体" w:eastAsia="宋体" w:cs="宋体"/>
                <w:color w:val="auto"/>
                <w:spacing w:val="8"/>
                <w:sz w:val="23"/>
                <w:szCs w:val="23"/>
                <w:highlight w:val="none"/>
                <w:lang w:eastAsia="zh-CN"/>
              </w:rPr>
              <w:t>（附承诺函）</w:t>
            </w:r>
          </w:p>
          <w:p>
            <w:pPr>
              <w:keepNext w:val="0"/>
              <w:keepLines w:val="0"/>
              <w:pageBreakBefore w:val="0"/>
              <w:widowControl/>
              <w:kinsoku w:val="0"/>
              <w:wordWrap/>
              <w:overflowPunct/>
              <w:topLinePunct w:val="0"/>
              <w:autoSpaceDE w:val="0"/>
              <w:autoSpaceDN w:val="0"/>
              <w:bidi w:val="0"/>
              <w:adjustRightInd w:val="0"/>
              <w:snapToGrid w:val="0"/>
              <w:spacing w:before="153" w:line="240" w:lineRule="auto"/>
              <w:ind w:right="184" w:firstLine="496"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（7）投标人在投标截止时间前最新的公路建设市场全国综合信用评价结果或宁夏回族自治</w:t>
            </w:r>
            <w:r>
              <w:rPr>
                <w:rFonts w:hint="eastAsia" w:ascii="宋体" w:hAnsi="宋体" w:eastAsia="宋体" w:cs="宋体"/>
                <w:color w:val="auto"/>
                <w:spacing w:val="8"/>
                <w:sz w:val="23"/>
                <w:szCs w:val="23"/>
                <w:highlight w:val="none"/>
              </w:rPr>
              <w:t>区公路建设与养护市场从业单位施工企业信用等级评价结果公示中被评为D级。</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firstLine="492" w:firstLineChars="20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（8）法律法规或投标人须知前附表规定的其他情形。</w:t>
            </w:r>
          </w:p>
        </w:tc>
      </w:tr>
    </w:tbl>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sectPr>
          <w:headerReference r:id="rId5" w:type="default"/>
          <w:footerReference r:id="rId6" w:type="default"/>
          <w:pgSz w:w="11907" w:h="16840"/>
          <w:pgMar w:top="1440" w:right="1080" w:bottom="1440" w:left="1080" w:header="866" w:footer="881" w:gutter="0"/>
          <w:pgBorders>
            <w:top w:val="none" w:sz="0" w:space="0"/>
            <w:left w:val="none" w:sz="0" w:space="0"/>
            <w:bottom w:val="none" w:sz="0" w:space="0"/>
            <w:right w:val="none" w:sz="0" w:space="0"/>
          </w:pgBorders>
          <w:pgNumType w:fmt="decimal"/>
          <w:cols w:space="720" w:num="1"/>
        </w:sectPr>
      </w:pPr>
    </w:p>
    <w:p>
      <w:pPr>
        <w:spacing w:before="91" w:line="415" w:lineRule="exact"/>
        <w:ind w:left="997"/>
        <w:outlineLvl w:val="0"/>
        <w:rPr>
          <w:rFonts w:hint="eastAsia" w:ascii="宋体" w:hAnsi="宋体" w:eastAsia="宋体" w:cs="宋体"/>
          <w:color w:val="auto"/>
          <w:sz w:val="13"/>
          <w:szCs w:val="13"/>
          <w:highlight w:val="none"/>
        </w:rPr>
      </w:pPr>
      <w:bookmarkStart w:id="4" w:name="_Toc30052"/>
      <w:r>
        <w:rPr>
          <w:rFonts w:hint="eastAsia" w:ascii="宋体" w:hAnsi="宋体" w:eastAsia="宋体" w:cs="宋体"/>
          <w:color w:val="auto"/>
          <w:spacing w:val="-1"/>
          <w:position w:val="1"/>
          <w:sz w:val="28"/>
          <w:szCs w:val="28"/>
          <w:highlight w:val="none"/>
        </w:rPr>
        <w:t>附录5资格审查条件（项目经理和项目总工最低要求）</w:t>
      </w:r>
      <w:bookmarkEnd w:id="4"/>
    </w:p>
    <w:p>
      <w:pPr>
        <w:spacing w:line="188" w:lineRule="exact"/>
        <w:rPr>
          <w:rFonts w:hint="eastAsia" w:ascii="宋体" w:hAnsi="宋体" w:eastAsia="宋体" w:cs="宋体"/>
          <w:color w:val="auto"/>
          <w:highlight w:val="none"/>
        </w:rPr>
      </w:pPr>
    </w:p>
    <w:tbl>
      <w:tblPr>
        <w:tblStyle w:val="7"/>
        <w:tblW w:w="97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675"/>
        <w:gridCol w:w="7002"/>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7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人员</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数量</w:t>
            </w:r>
          </w:p>
        </w:tc>
        <w:tc>
          <w:tcPr>
            <w:tcW w:w="700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资格要求</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2" w:hRule="atLeast"/>
          <w:jc w:val="center"/>
        </w:trPr>
        <w:tc>
          <w:tcPr>
            <w:tcW w:w="7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项目</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经理</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1</w:t>
            </w:r>
          </w:p>
        </w:tc>
        <w:tc>
          <w:tcPr>
            <w:tcW w:w="7002"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pacing w:val="4"/>
                <w:sz w:val="23"/>
                <w:szCs w:val="23"/>
                <w:highlight w:val="none"/>
              </w:rPr>
            </w:pPr>
            <w:r>
              <w:rPr>
                <w:rFonts w:hint="eastAsia" w:ascii="宋体" w:hAnsi="宋体" w:eastAsia="宋体" w:cs="宋体"/>
                <w:color w:val="auto"/>
                <w:spacing w:val="7"/>
                <w:sz w:val="23"/>
                <w:szCs w:val="23"/>
                <w:highlight w:val="none"/>
              </w:rPr>
              <w:t>投标人需满足以下要求：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238" w:firstLineChars="100"/>
              <w:jc w:val="left"/>
              <w:textAlignment w:val="baseline"/>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4"/>
                <w:sz w:val="23"/>
                <w:szCs w:val="23"/>
                <w:highlight w:val="none"/>
              </w:rPr>
              <w:t>1、</w:t>
            </w:r>
            <w:r>
              <w:rPr>
                <w:rFonts w:hint="eastAsia" w:ascii="宋体" w:hAnsi="宋体" w:eastAsia="宋体" w:cs="宋体"/>
                <w:color w:val="auto"/>
                <w:spacing w:val="4"/>
                <w:sz w:val="23"/>
                <w:szCs w:val="23"/>
                <w:highlight w:val="none"/>
                <w:u w:val="single" w:color="auto"/>
              </w:rPr>
              <w:t>具有公路工程</w:t>
            </w:r>
            <w:r>
              <w:rPr>
                <w:rFonts w:hint="eastAsia" w:ascii="宋体" w:hAnsi="宋体" w:eastAsia="宋体" w:cs="宋体"/>
                <w:color w:val="auto"/>
                <w:spacing w:val="4"/>
                <w:sz w:val="23"/>
                <w:szCs w:val="23"/>
                <w:highlight w:val="none"/>
              </w:rPr>
              <w:t>相关专业</w:t>
            </w:r>
            <w:r>
              <w:rPr>
                <w:rFonts w:hint="eastAsia" w:ascii="宋体" w:hAnsi="宋体" w:eastAsia="宋体" w:cs="宋体"/>
                <w:color w:val="auto"/>
                <w:spacing w:val="4"/>
                <w:sz w:val="23"/>
                <w:szCs w:val="23"/>
                <w:highlight w:val="none"/>
                <w:u w:val="single" w:color="auto"/>
              </w:rPr>
              <w:t>中</w:t>
            </w:r>
            <w:r>
              <w:rPr>
                <w:rFonts w:hint="eastAsia" w:ascii="宋体" w:hAnsi="宋体" w:eastAsia="宋体" w:cs="宋体"/>
                <w:color w:val="auto"/>
                <w:spacing w:val="4"/>
                <w:sz w:val="23"/>
                <w:szCs w:val="23"/>
                <w:highlight w:val="none"/>
              </w:rPr>
              <w:t>级</w:t>
            </w:r>
            <w:r>
              <w:rPr>
                <w:rFonts w:hint="eastAsia" w:ascii="宋体" w:hAnsi="宋体" w:eastAsia="宋体" w:cs="宋体"/>
                <w:color w:val="auto"/>
                <w:spacing w:val="4"/>
                <w:sz w:val="23"/>
                <w:szCs w:val="23"/>
                <w:highlight w:val="none"/>
                <w:lang w:eastAsia="zh-CN"/>
              </w:rPr>
              <w:t>及</w:t>
            </w:r>
            <w:r>
              <w:rPr>
                <w:rFonts w:hint="eastAsia" w:ascii="宋体" w:hAnsi="宋体" w:eastAsia="宋体" w:cs="宋体"/>
                <w:color w:val="auto"/>
                <w:spacing w:val="4"/>
                <w:sz w:val="23"/>
                <w:szCs w:val="23"/>
                <w:highlight w:val="none"/>
              </w:rPr>
              <w:t>以上职称，</w:t>
            </w:r>
            <w:r>
              <w:rPr>
                <w:rFonts w:hint="eastAsia" w:ascii="宋体" w:hAnsi="宋体" w:eastAsia="宋体" w:cs="宋体"/>
                <w:color w:val="auto"/>
                <w:spacing w:val="4"/>
                <w:sz w:val="23"/>
                <w:szCs w:val="23"/>
                <w:highlight w:val="none"/>
                <w:lang w:eastAsia="zh-CN"/>
              </w:rPr>
              <w:t>并</w:t>
            </w:r>
            <w:r>
              <w:rPr>
                <w:rFonts w:hint="eastAsia" w:ascii="宋体" w:hAnsi="宋体" w:eastAsia="宋体" w:cs="宋体"/>
                <w:color w:val="auto"/>
                <w:spacing w:val="4"/>
                <w:sz w:val="23"/>
                <w:szCs w:val="23"/>
                <w:highlight w:val="none"/>
              </w:rPr>
              <w:t>具有</w:t>
            </w:r>
            <w:r>
              <w:rPr>
                <w:rFonts w:hint="eastAsia" w:ascii="宋体" w:hAnsi="宋体" w:eastAsia="宋体" w:cs="宋体"/>
                <w:color w:val="auto"/>
                <w:spacing w:val="4"/>
                <w:sz w:val="23"/>
                <w:szCs w:val="23"/>
                <w:highlight w:val="none"/>
                <w:lang w:eastAsia="zh-CN"/>
              </w:rPr>
              <w:t>目前注册在投标人单位的由住房和城乡建设部门颁发的公路工程专业</w:t>
            </w:r>
            <w:r>
              <w:rPr>
                <w:rFonts w:hint="eastAsia" w:ascii="宋体" w:hAnsi="宋体" w:eastAsia="宋体" w:cs="宋体"/>
                <w:color w:val="auto"/>
                <w:spacing w:val="4"/>
                <w:sz w:val="23"/>
                <w:szCs w:val="23"/>
                <w:highlight w:val="none"/>
                <w:u w:val="single" w:color="auto"/>
                <w:lang w:eastAsia="zh-CN"/>
              </w:rPr>
              <w:t>二</w:t>
            </w:r>
            <w:r>
              <w:rPr>
                <w:rFonts w:hint="eastAsia" w:ascii="宋体" w:hAnsi="宋体" w:eastAsia="宋体" w:cs="宋体"/>
                <w:color w:val="auto"/>
                <w:spacing w:val="4"/>
                <w:sz w:val="23"/>
                <w:szCs w:val="23"/>
                <w:highlight w:val="none"/>
                <w:u w:val="single" w:color="auto"/>
              </w:rPr>
              <w:t>级</w:t>
            </w:r>
            <w:r>
              <w:rPr>
                <w:rFonts w:hint="eastAsia" w:ascii="宋体" w:hAnsi="宋体" w:eastAsia="宋体" w:cs="宋体"/>
                <w:color w:val="auto"/>
                <w:spacing w:val="4"/>
                <w:sz w:val="23"/>
                <w:szCs w:val="23"/>
                <w:highlight w:val="none"/>
                <w:u w:val="single" w:color="auto"/>
                <w:lang w:eastAsia="zh-CN"/>
              </w:rPr>
              <w:t>及以上</w:t>
            </w:r>
            <w:r>
              <w:rPr>
                <w:rFonts w:hint="eastAsia" w:ascii="宋体" w:hAnsi="宋体" w:eastAsia="宋体" w:cs="宋体"/>
                <w:color w:val="auto"/>
                <w:spacing w:val="4"/>
                <w:sz w:val="23"/>
                <w:szCs w:val="23"/>
                <w:highlight w:val="none"/>
                <w:u w:val="single" w:color="auto"/>
              </w:rPr>
              <w:t>注册</w:t>
            </w:r>
            <w:r>
              <w:rPr>
                <w:rFonts w:hint="eastAsia" w:ascii="宋体" w:hAnsi="宋体" w:eastAsia="宋体" w:cs="宋体"/>
                <w:color w:val="auto"/>
                <w:spacing w:val="4"/>
                <w:sz w:val="23"/>
                <w:szCs w:val="23"/>
                <w:highlight w:val="none"/>
              </w:rPr>
              <w:t>建造师证</w:t>
            </w:r>
            <w:r>
              <w:rPr>
                <w:rFonts w:hint="eastAsia" w:ascii="宋体" w:hAnsi="宋体" w:eastAsia="宋体" w:cs="宋体"/>
                <w:color w:val="auto"/>
                <w:spacing w:val="4"/>
                <w:sz w:val="23"/>
                <w:szCs w:val="23"/>
                <w:highlight w:val="none"/>
                <w:lang w:eastAsia="zh-CN"/>
              </w:rPr>
              <w:t>，持有</w:t>
            </w:r>
            <w:r>
              <w:rPr>
                <w:rFonts w:hint="eastAsia" w:ascii="宋体" w:hAnsi="宋体" w:eastAsia="宋体" w:cs="宋体"/>
                <w:color w:val="auto"/>
                <w:spacing w:val="5"/>
                <w:sz w:val="23"/>
                <w:szCs w:val="23"/>
                <w:highlight w:val="none"/>
              </w:rPr>
              <w:t>交通行业主管部门颁发B</w:t>
            </w:r>
            <w:r>
              <w:rPr>
                <w:rFonts w:hint="eastAsia" w:ascii="宋体" w:hAnsi="宋体" w:eastAsia="宋体" w:cs="宋体"/>
                <w:color w:val="auto"/>
                <w:spacing w:val="4"/>
                <w:sz w:val="23"/>
                <w:szCs w:val="23"/>
                <w:highlight w:val="none"/>
              </w:rPr>
              <w:t>类</w:t>
            </w:r>
            <w:r>
              <w:rPr>
                <w:rFonts w:hint="eastAsia" w:ascii="宋体" w:hAnsi="宋体" w:eastAsia="宋体" w:cs="宋体"/>
                <w:color w:val="auto"/>
                <w:spacing w:val="4"/>
                <w:sz w:val="23"/>
                <w:szCs w:val="23"/>
                <w:highlight w:val="none"/>
                <w:lang w:eastAsia="zh-CN"/>
              </w:rPr>
              <w:t>安全生产合格</w:t>
            </w:r>
            <w:r>
              <w:rPr>
                <w:rFonts w:hint="eastAsia" w:ascii="宋体" w:hAnsi="宋体" w:eastAsia="宋体" w:cs="宋体"/>
                <w:color w:val="auto"/>
                <w:spacing w:val="4"/>
                <w:sz w:val="23"/>
                <w:szCs w:val="23"/>
                <w:highlight w:val="none"/>
              </w:rPr>
              <w:t>证书并在有效期内。</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32" w:firstLineChars="100"/>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1"/>
                <w:sz w:val="23"/>
                <w:szCs w:val="23"/>
                <w:highlight w:val="none"/>
              </w:rPr>
              <w:t>2、</w:t>
            </w:r>
            <w:r>
              <w:rPr>
                <w:rFonts w:hint="eastAsia" w:ascii="宋体" w:hAnsi="宋体" w:eastAsia="宋体" w:cs="宋体"/>
                <w:color w:val="auto"/>
                <w:spacing w:val="4"/>
                <w:sz w:val="23"/>
                <w:szCs w:val="23"/>
                <w:highlight w:val="none"/>
              </w:rPr>
              <w:t>近</w:t>
            </w:r>
            <w:r>
              <w:rPr>
                <w:rFonts w:hint="eastAsia" w:ascii="宋体" w:hAnsi="宋体" w:eastAsia="宋体" w:cs="宋体"/>
                <w:color w:val="auto"/>
                <w:spacing w:val="4"/>
                <w:sz w:val="23"/>
                <w:szCs w:val="23"/>
                <w:highlight w:val="none"/>
                <w:lang w:val="en-US" w:eastAsia="zh-CN"/>
              </w:rPr>
              <w:t>3年内</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4"/>
                <w:sz w:val="23"/>
                <w:szCs w:val="23"/>
                <w:highlight w:val="none"/>
                <w:lang w:val="en-US" w:eastAsia="zh-CN"/>
              </w:rPr>
              <w:t>2022</w:t>
            </w:r>
            <w:r>
              <w:rPr>
                <w:rFonts w:hint="eastAsia" w:ascii="宋体" w:hAnsi="宋体" w:eastAsia="宋体" w:cs="宋体"/>
                <w:color w:val="auto"/>
                <w:spacing w:val="4"/>
                <w:sz w:val="23"/>
                <w:szCs w:val="23"/>
                <w:highlight w:val="none"/>
              </w:rPr>
              <w:t>年</w:t>
            </w:r>
            <w:r>
              <w:rPr>
                <w:rFonts w:hint="eastAsia" w:ascii="宋体" w:hAnsi="宋体" w:eastAsia="宋体" w:cs="宋体"/>
                <w:color w:val="auto"/>
                <w:spacing w:val="4"/>
                <w:sz w:val="23"/>
                <w:szCs w:val="23"/>
                <w:highlight w:val="none"/>
                <w:lang w:val="en-US" w:eastAsia="zh-CN"/>
              </w:rPr>
              <w:t>3</w:t>
            </w:r>
            <w:r>
              <w:rPr>
                <w:rFonts w:hint="eastAsia" w:ascii="宋体" w:hAnsi="宋体" w:eastAsia="宋体" w:cs="宋体"/>
                <w:color w:val="auto"/>
                <w:spacing w:val="4"/>
                <w:sz w:val="23"/>
                <w:szCs w:val="23"/>
                <w:highlight w:val="none"/>
              </w:rPr>
              <w:t>月</w:t>
            </w:r>
            <w:r>
              <w:rPr>
                <w:rFonts w:hint="eastAsia" w:ascii="宋体" w:hAnsi="宋体" w:eastAsia="宋体" w:cs="宋体"/>
                <w:color w:val="auto"/>
                <w:spacing w:val="4"/>
                <w:sz w:val="23"/>
                <w:szCs w:val="23"/>
                <w:highlight w:val="none"/>
                <w:lang w:val="en-US" w:eastAsia="zh-CN"/>
              </w:rPr>
              <w:t>28</w:t>
            </w:r>
            <w:r>
              <w:rPr>
                <w:rFonts w:hint="eastAsia" w:ascii="宋体" w:hAnsi="宋体" w:eastAsia="宋体" w:cs="宋体"/>
                <w:color w:val="auto"/>
                <w:spacing w:val="4"/>
                <w:sz w:val="23"/>
                <w:szCs w:val="23"/>
                <w:highlight w:val="none"/>
              </w:rPr>
              <w:t>日至投标截止时间，精确到天</w:t>
            </w:r>
            <w:r>
              <w:rPr>
                <w:rFonts w:hint="eastAsia" w:ascii="宋体" w:hAnsi="宋体" w:eastAsia="宋体" w:cs="宋体"/>
                <w:color w:val="auto"/>
                <w:spacing w:val="4"/>
                <w:sz w:val="23"/>
                <w:szCs w:val="23"/>
                <w:highlight w:val="none"/>
                <w:lang w:eastAsia="zh-CN"/>
              </w:rPr>
              <w:t>，以交工日期为准）</w:t>
            </w:r>
            <w:r>
              <w:rPr>
                <w:rFonts w:hint="eastAsia" w:ascii="宋体" w:hAnsi="宋体" w:eastAsia="宋体" w:cs="宋体"/>
                <w:color w:val="auto"/>
                <w:spacing w:val="4"/>
                <w:sz w:val="23"/>
                <w:szCs w:val="23"/>
                <w:highlight w:val="none"/>
              </w:rPr>
              <w:t>至少担任过1个</w:t>
            </w:r>
            <w:r>
              <w:rPr>
                <w:rFonts w:hint="eastAsia" w:ascii="宋体" w:hAnsi="宋体" w:eastAsia="宋体" w:cs="宋体"/>
                <w:color w:val="auto"/>
                <w:spacing w:val="4"/>
                <w:sz w:val="23"/>
                <w:szCs w:val="23"/>
                <w:highlight w:val="none"/>
                <w:lang w:eastAsia="zh-CN"/>
              </w:rPr>
              <w:t>二</w:t>
            </w:r>
            <w:r>
              <w:rPr>
                <w:rFonts w:hint="eastAsia" w:ascii="宋体" w:hAnsi="宋体" w:eastAsia="宋体" w:cs="宋体"/>
                <w:color w:val="auto"/>
                <w:spacing w:val="4"/>
                <w:sz w:val="23"/>
                <w:szCs w:val="23"/>
                <w:highlight w:val="none"/>
              </w:rPr>
              <w:t>级及以上等级公路</w:t>
            </w:r>
            <w:r>
              <w:rPr>
                <w:rFonts w:hint="eastAsia" w:ascii="宋体" w:hAnsi="宋体" w:eastAsia="宋体" w:cs="宋体"/>
                <w:color w:val="auto"/>
                <w:spacing w:val="4"/>
                <w:sz w:val="23"/>
                <w:szCs w:val="23"/>
                <w:highlight w:val="none"/>
                <w:lang w:eastAsia="zh-CN"/>
              </w:rPr>
              <w:t>路基</w:t>
            </w:r>
            <w:r>
              <w:rPr>
                <w:rFonts w:hint="eastAsia" w:ascii="宋体" w:hAnsi="宋体" w:eastAsia="宋体" w:cs="宋体"/>
                <w:color w:val="auto"/>
                <w:spacing w:val="4"/>
                <w:sz w:val="23"/>
                <w:szCs w:val="23"/>
                <w:highlight w:val="none"/>
              </w:rPr>
              <w:t>养护工程施工的项目经理职务（或2个项目副经理职务）</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b/>
                <w:bCs/>
                <w:color w:val="auto"/>
                <w:spacing w:val="5"/>
                <w:sz w:val="23"/>
                <w:szCs w:val="23"/>
                <w:highlight w:val="none"/>
                <w:lang w:eastAsia="zh-CN"/>
              </w:rPr>
              <w:t>注：</w:t>
            </w:r>
            <w:r>
              <w:rPr>
                <w:rFonts w:hint="eastAsia" w:ascii="宋体" w:hAnsi="宋体" w:eastAsia="宋体" w:cs="宋体"/>
                <w:color w:val="auto"/>
                <w:spacing w:val="5"/>
                <w:sz w:val="23"/>
                <w:szCs w:val="23"/>
                <w:highlight w:val="none"/>
                <w:lang w:eastAsia="zh-CN"/>
              </w:rPr>
              <w:t>补充投标人须知正文第3.5.5项：</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（1）投标人应按资格审查资料表（六）拟委任的项目经理和项目总工资历表的格式要求分别填写项目经理和项目总工的资历，还应后附相关资格证明材料的扫描件。</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2）项目经理须提供的资格证明材料：身份证、职称资格证书、建造师注册证书、B类安全生产考核合格证书，建造师注册证书及B类安全生产考核合格证书在政府相关部门网站上公开信息的网页截图以及在社保系统打印的拟委任的项目经理2024年</w:t>
            </w:r>
            <w:r>
              <w:rPr>
                <w:rFonts w:hint="eastAsia" w:ascii="宋体" w:hAnsi="宋体" w:eastAsia="宋体" w:cs="宋体"/>
                <w:color w:val="auto"/>
                <w:spacing w:val="5"/>
                <w:sz w:val="23"/>
                <w:szCs w:val="23"/>
                <w:highlight w:val="none"/>
                <w:lang w:val="en-US" w:eastAsia="zh-CN"/>
              </w:rPr>
              <w:t>10</w:t>
            </w:r>
            <w:r>
              <w:rPr>
                <w:rFonts w:hint="eastAsia" w:ascii="宋体" w:hAnsi="宋体" w:eastAsia="宋体" w:cs="宋体"/>
                <w:color w:val="auto"/>
                <w:spacing w:val="5"/>
                <w:sz w:val="23"/>
                <w:szCs w:val="23"/>
                <w:highlight w:val="none"/>
                <w:lang w:eastAsia="zh-CN"/>
              </w:rPr>
              <w:t>月至今任意连续3个月的缴费明细扫描件、人员相关业绩的网页截图、在岗撤离承诺书（如需）。</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lang w:eastAsia="zh-CN"/>
              </w:rPr>
              <w:t>）项目经理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4</w:t>
            </w:r>
            <w:r>
              <w:rPr>
                <w:rFonts w:hint="eastAsia" w:ascii="宋体" w:hAnsi="宋体" w:eastAsia="宋体" w:cs="宋体"/>
                <w:color w:val="auto"/>
                <w:spacing w:val="5"/>
                <w:sz w:val="23"/>
                <w:szCs w:val="23"/>
                <w:highlight w:val="none"/>
                <w:lang w:eastAsia="zh-CN"/>
              </w:rPr>
              <w:t>）人员相关业绩的网页截图要求：“拟委任的项目经理和项目总工资历表”还应附“全国公路建设市场监督管理系统”中载明的、能够证明项目经理和项目总工具有相关业绩的网页截图。在“全国公路建设市场监督管理系统”中无法查询，但可在工程所在地省级交通运输主管部门公路建设与养护市场信用信息管理系统中查询的，应附工程所在地省级交通运输主管部门公路建设与养护市场信用信息管理系统中查询到的网页截图。除网页截图外，投标人无须再提供任何业绩证明资料。除网页截图外，其余业绩材料体现的但系统网站中未载明的信息在评审时均不予采信。如投标人未提供相关项目网页截图或相关项目网页截图中的信息无法证实投标人满足招标文件规定的资格审查条件（项目经理和项目总工最低要求），则该项目业绩不予认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5</w:t>
            </w:r>
            <w:r>
              <w:rPr>
                <w:rFonts w:hint="eastAsia" w:ascii="宋体" w:hAnsi="宋体" w:eastAsia="宋体" w:cs="宋体"/>
                <w:color w:val="auto"/>
                <w:spacing w:val="5"/>
                <w:sz w:val="23"/>
                <w:szCs w:val="23"/>
                <w:highlight w:val="none"/>
                <w:lang w:eastAsia="zh-CN"/>
              </w:rPr>
              <w:t>）如投标人提供的养护工程施工业绩截图中工程内容包含公路路基工程，则该业绩也予以认定。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6</w:t>
            </w:r>
            <w:r>
              <w:rPr>
                <w:rFonts w:hint="eastAsia" w:ascii="宋体" w:hAnsi="宋体" w:eastAsia="宋体" w:cs="宋体"/>
                <w:color w:val="auto"/>
                <w:spacing w:val="5"/>
                <w:sz w:val="23"/>
                <w:szCs w:val="23"/>
                <w:highlight w:val="none"/>
                <w:lang w:eastAsia="zh-CN"/>
              </w:rPr>
              <w:t>）如项目经理或项目总工目前仍在其他项目上任职，则投标人应出具上述人员能够从该项目撤离的承诺书。</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7</w:t>
            </w:r>
            <w:r>
              <w:rPr>
                <w:rFonts w:hint="eastAsia" w:ascii="宋体" w:hAnsi="宋体" w:eastAsia="宋体" w:cs="宋体"/>
                <w:color w:val="auto"/>
                <w:spacing w:val="5"/>
                <w:sz w:val="23"/>
                <w:szCs w:val="23"/>
                <w:highlight w:val="none"/>
                <w:lang w:eastAsia="zh-CN"/>
              </w:rPr>
              <w:t>）公路工程相关专业职称包括：公路工程、桥梁工程、公路与桥梁工程、交通土建工程、隧道（地下结构）工程、交通工程等专业职称。</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8</w:t>
            </w:r>
            <w:r>
              <w:rPr>
                <w:rFonts w:hint="eastAsia" w:ascii="宋体" w:hAnsi="宋体" w:eastAsia="宋体" w:cs="宋体"/>
                <w:color w:val="auto"/>
                <w:spacing w:val="5"/>
                <w:sz w:val="23"/>
                <w:szCs w:val="23"/>
                <w:highlight w:val="none"/>
                <w:lang w:eastAsia="zh-CN"/>
              </w:rPr>
              <w:t>）在评审过程中招标人将通过网上核实投标人所提供的网页截图的内容、建造师注册证书、B类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9</w:t>
            </w:r>
            <w:r>
              <w:rPr>
                <w:rFonts w:hint="eastAsia" w:ascii="宋体" w:hAnsi="宋体" w:eastAsia="宋体" w:cs="宋体"/>
                <w:color w:val="auto"/>
                <w:spacing w:val="5"/>
                <w:sz w:val="23"/>
                <w:szCs w:val="23"/>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10</w:t>
            </w:r>
            <w:r>
              <w:rPr>
                <w:rFonts w:hint="eastAsia" w:ascii="宋体" w:hAnsi="宋体" w:eastAsia="宋体" w:cs="宋体"/>
                <w:color w:val="auto"/>
                <w:spacing w:val="5"/>
                <w:sz w:val="23"/>
                <w:szCs w:val="23"/>
                <w:highlight w:val="none"/>
                <w:lang w:eastAsia="zh-CN"/>
              </w:rPr>
              <w:t>）招标文件中其他地方与此处不一致时，以此处为准。</w:t>
            </w:r>
          </w:p>
        </w:tc>
        <w:tc>
          <w:tcPr>
            <w:tcW w:w="132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113" w:right="107" w:firstLine="2"/>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无在岗项</w:t>
            </w:r>
            <w:r>
              <w:rPr>
                <w:rFonts w:hint="eastAsia" w:ascii="宋体" w:hAnsi="宋体" w:eastAsia="宋体" w:cs="宋体"/>
                <w:color w:val="auto"/>
                <w:spacing w:val="11"/>
                <w:sz w:val="23"/>
                <w:szCs w:val="23"/>
                <w:highlight w:val="none"/>
              </w:rPr>
              <w:t>目（指目前未在其他项目上任职，或虽在其他项目上任职但本项目中标后能够从该</w:t>
            </w:r>
            <w:r>
              <w:rPr>
                <w:rFonts w:hint="eastAsia" w:ascii="宋体" w:hAnsi="宋体" w:eastAsia="宋体" w:cs="宋体"/>
                <w:color w:val="auto"/>
                <w:spacing w:val="-12"/>
                <w:sz w:val="23"/>
                <w:szCs w:val="23"/>
                <w:highlight w:val="none"/>
              </w:rPr>
              <w:t>项目撤</w:t>
            </w:r>
            <w:r>
              <w:rPr>
                <w:rFonts w:hint="eastAsia" w:ascii="宋体" w:hAnsi="宋体" w:eastAsia="宋体" w:cs="宋体"/>
                <w:color w:val="auto"/>
                <w:sz w:val="23"/>
                <w:szCs w:val="23"/>
                <w:highlight w:val="none"/>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jc w:val="center"/>
        </w:trPr>
        <w:tc>
          <w:tcPr>
            <w:tcW w:w="7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项目</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总工</w:t>
            </w:r>
          </w:p>
        </w:tc>
        <w:tc>
          <w:tcPr>
            <w:tcW w:w="6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1</w:t>
            </w:r>
          </w:p>
        </w:tc>
        <w:tc>
          <w:tcPr>
            <w:tcW w:w="7002"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投标人需满足以下要求：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具有公路工程相关专业中级及以上职称。</w:t>
            </w:r>
            <w:bookmarkStart w:id="5" w:name="_GoBack"/>
            <w:bookmarkEnd w:id="5"/>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近3年内（2022年3月</w:t>
            </w:r>
            <w:r>
              <w:rPr>
                <w:rFonts w:hint="eastAsia" w:ascii="宋体" w:hAnsi="宋体" w:eastAsia="宋体" w:cs="宋体"/>
                <w:color w:val="auto"/>
                <w:spacing w:val="5"/>
                <w:sz w:val="23"/>
                <w:szCs w:val="23"/>
                <w:highlight w:val="none"/>
                <w:lang w:val="en-US" w:eastAsia="zh-CN"/>
              </w:rPr>
              <w:t>28</w:t>
            </w:r>
            <w:r>
              <w:rPr>
                <w:rFonts w:hint="eastAsia" w:ascii="宋体" w:hAnsi="宋体" w:eastAsia="宋体" w:cs="宋体"/>
                <w:color w:val="auto"/>
                <w:spacing w:val="5"/>
                <w:sz w:val="23"/>
                <w:szCs w:val="23"/>
                <w:highlight w:val="none"/>
                <w:lang w:eastAsia="zh-CN"/>
              </w:rPr>
              <w:t>日至投标截止时间，精确到天，以交工日期为准）至少完成过1个二级及以上等级公路路基养护工程施工的项目总工职务(或2个项目副总工职务)。</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补充投标人须知正文第3.5.5项：</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（1）投标人应按资格审查资料表（六）拟委任的项目经理和项目总工资历表的格式要求分别填写项目经理和项目总工的资历，还应后附相关资格证明材料的扫描件。</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lang w:eastAsia="zh-CN"/>
              </w:rPr>
              <w:t>）项目总工须提供的资格证明材料：身份证、职称资格证书以及在社保系统打印的拟委任的项目总工2024年</w:t>
            </w:r>
            <w:r>
              <w:rPr>
                <w:rFonts w:hint="eastAsia" w:ascii="宋体" w:hAnsi="宋体" w:eastAsia="宋体" w:cs="宋体"/>
                <w:color w:val="auto"/>
                <w:spacing w:val="5"/>
                <w:sz w:val="23"/>
                <w:szCs w:val="23"/>
                <w:highlight w:val="none"/>
                <w:lang w:val="en-US" w:eastAsia="zh-CN"/>
              </w:rPr>
              <w:t>10</w:t>
            </w:r>
            <w:r>
              <w:rPr>
                <w:rFonts w:hint="eastAsia" w:ascii="宋体" w:hAnsi="宋体" w:eastAsia="宋体" w:cs="宋体"/>
                <w:color w:val="auto"/>
                <w:spacing w:val="5"/>
                <w:sz w:val="23"/>
                <w:szCs w:val="23"/>
                <w:highlight w:val="none"/>
                <w:lang w:eastAsia="zh-CN"/>
              </w:rPr>
              <w:t>月至今任意连续3个月的缴费明细扫描件、相关业绩的网页截图、在岗撤离承诺书（如需）。</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4）项目经理和项目总工其他要求：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5）人员相关业绩的网页截图要求：“拟委任的项目经理和项目总工资历表”还应附“全国公路建设市场监督管理系统”中载明的、能够证明项目经理和项目总工具有相关业绩的网页截图。在“全国公路建设市场监督管理系统”中无法查询，但可在工程所在地省级交通运输主管部门公路建设与养护市场信用信息管理系统中查询的，应附工程所在地省级交通运输主管部门公路建设与养护市场信</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用信息管理系统中查询到的网页截图。除网页截图外，投标人无须再提供任何业绩证明资料。除网页截图外，其余业绩材料体现的但系统网站中未载明的信息在评审时均不予采信。</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如投标人未提供相关项目网页截图或相关项目网页截图中的信息无法证实投标人满足招标文件规定的资格审查条件（项目经理和项目总工最低要求），则该项目业绩不予认定。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（6）如投标人提供的养护工程施工业绩截图中工程内容包含公路路基工程，则该业绩也予以认定。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（7）如项目经理或项目总工目前仍在其他项目上任职，则投标人应出具上述人员能够从该项目撤离的承诺书。</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（8）公路工程相关专业职称包括：公路工程、桥梁工程、公路与桥梁工程、交通土建工程、隧道（地下结构）工程、交通工程等专业职称。</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9）在评审过程中招标人将通过网上核实投标人所提供的网页截图的内容、建造师注册证书、B类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10）投标人对投标文件中拟委任的项目经理、项目总工是否在岗必须如实填报，在评标过程中或公示期间，若招标人收到有关反映投标人项目经理、项目总工有在岗项目的投诉，招标人一经查实将认定为失信投标行为（如中标同时取消其中标资格），并依据《宁夏回族自治区公路建设与养护市场信用评价管理办法》（宁交规发〔2024〕1号）文件对投标人本次投标行为进行评价，同时将评价结果上报宁夏回族自治区交通运输厅，并在宁夏回族自治区交通运输厅网站予以公布。</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240" w:firstLineChars="100"/>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lang w:eastAsia="zh-CN"/>
              </w:rPr>
              <w:t>（11）招标文件中其他地方与此处不一致时，以此处为准。</w:t>
            </w:r>
          </w:p>
        </w:tc>
        <w:tc>
          <w:tcPr>
            <w:tcW w:w="132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3"/>
                <w:szCs w:val="23"/>
                <w:highlight w:val="none"/>
              </w:rPr>
            </w:pP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jc w:val="both"/>
        <w:textAlignment w:val="baseline"/>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评标办法全文</w:t>
      </w:r>
    </w:p>
    <w:p>
      <w:pPr>
        <w:pStyle w:val="2"/>
        <w:bidi w:val="0"/>
        <w:jc w:val="center"/>
        <w:rPr>
          <w:rFonts w:hint="eastAsia" w:ascii="宋体" w:hAnsi="宋体" w:eastAsia="宋体" w:cs="宋体"/>
          <w:color w:val="auto"/>
          <w:sz w:val="40"/>
          <w:szCs w:val="40"/>
          <w:highlight w:val="none"/>
          <w:lang w:val="en-US" w:eastAsia="en-US"/>
        </w:rPr>
      </w:pPr>
      <w:r>
        <w:rPr>
          <w:rFonts w:hint="eastAsia" w:ascii="宋体" w:hAnsi="宋体" w:eastAsia="宋体" w:cs="宋体"/>
          <w:color w:val="auto"/>
          <w:sz w:val="40"/>
          <w:szCs w:val="40"/>
          <w:highlight w:val="none"/>
          <w:lang w:val="en-US" w:eastAsia="en-US"/>
        </w:rPr>
        <w:t>评标办法（</w:t>
      </w:r>
      <w:r>
        <w:rPr>
          <w:rFonts w:hint="eastAsia" w:ascii="宋体" w:hAnsi="宋体" w:eastAsia="宋体" w:cs="宋体"/>
          <w:color w:val="auto"/>
          <w:sz w:val="40"/>
          <w:szCs w:val="40"/>
          <w:highlight w:val="none"/>
          <w:lang w:val="en-US" w:eastAsia="zh-CN"/>
        </w:rPr>
        <w:t>合理低</w:t>
      </w:r>
      <w:r>
        <w:rPr>
          <w:rFonts w:hint="eastAsia" w:ascii="宋体" w:hAnsi="宋体" w:eastAsia="宋体" w:cs="宋体"/>
          <w:color w:val="auto"/>
          <w:sz w:val="40"/>
          <w:szCs w:val="40"/>
          <w:highlight w:val="none"/>
          <w:lang w:val="en-US" w:eastAsia="en-US"/>
        </w:rPr>
        <w:t>价法）</w:t>
      </w:r>
    </w:p>
    <w:p>
      <w:pPr>
        <w:keepNext w:val="0"/>
        <w:keepLines w:val="0"/>
        <w:pageBreakBefore w:val="0"/>
        <w:widowControl/>
        <w:kinsoku w:val="0"/>
        <w:wordWrap/>
        <w:overflowPunct/>
        <w:topLinePunct w:val="0"/>
        <w:autoSpaceDE w:val="0"/>
        <w:autoSpaceDN w:val="0"/>
        <w:bidi w:val="0"/>
        <w:adjustRightInd w:val="0"/>
        <w:snapToGrid w:val="0"/>
        <w:spacing w:before="100" w:after="100" w:line="240" w:lineRule="auto"/>
        <w:ind w:left="0"/>
        <w:jc w:val="center"/>
        <w:textAlignment w:val="baseline"/>
        <w:outlineLvl w:val="1"/>
        <w:rPr>
          <w:rFonts w:hint="eastAsia" w:ascii="宋体" w:hAnsi="宋体" w:eastAsia="宋体" w:cs="宋体"/>
          <w:color w:val="auto"/>
          <w:sz w:val="13"/>
          <w:szCs w:val="13"/>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"bookmark70"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8"/>
          <w:szCs w:val="28"/>
          <w:highlight w:val="none"/>
        </w:rPr>
        <w:t>评标办法前附表</w:t>
      </w:r>
      <w:r>
        <w:rPr>
          <w:rFonts w:hint="eastAsia" w:ascii="宋体" w:hAnsi="宋体" w:eastAsia="宋体" w:cs="宋体"/>
          <w:color w:val="auto"/>
          <w:spacing w:val="-1"/>
          <w:sz w:val="13"/>
          <w:szCs w:val="13"/>
          <w:highlight w:val="none"/>
        </w:rPr>
        <w:fldChar w:fldCharType="end"/>
      </w:r>
    </w:p>
    <w:tbl>
      <w:tblPr>
        <w:tblStyle w:val="7"/>
        <w:tblpPr w:leftFromText="180" w:rightFromText="180" w:vertAnchor="text" w:horzAnchor="page" w:tblpX="1191" w:tblpY="215"/>
        <w:tblOverlap w:val="never"/>
        <w:tblW w:w="96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825"/>
        <w:gridCol w:w="79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4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43" w:line="264" w:lineRule="auto"/>
              <w:ind w:left="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条款号</w:t>
            </w:r>
          </w:p>
        </w:tc>
        <w:tc>
          <w:tcPr>
            <w:tcW w:w="7941" w:type="dxa"/>
            <w:vAlign w:val="top"/>
          </w:tcPr>
          <w:p>
            <w:pPr>
              <w:keepNext w:val="0"/>
              <w:keepLines w:val="0"/>
              <w:pageBreakBefore w:val="0"/>
              <w:widowControl/>
              <w:kinsoku w:val="0"/>
              <w:wordWrap/>
              <w:overflowPunct/>
              <w:topLinePunct w:val="0"/>
              <w:autoSpaceDE w:val="0"/>
              <w:autoSpaceDN w:val="0"/>
              <w:bidi w:val="0"/>
              <w:adjustRightInd w:val="0"/>
              <w:snapToGrid w:val="0"/>
              <w:spacing w:before="143" w:line="264" w:lineRule="auto"/>
              <w:ind w:left="276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left="156" w:right="14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2.1.12.1.3</w:t>
            </w:r>
          </w:p>
        </w:tc>
        <w:tc>
          <w:tcPr>
            <w:tcW w:w="8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left="146" w:right="146" w:firstLine="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形式</w:t>
            </w:r>
            <w:r>
              <w:rPr>
                <w:rFonts w:hint="eastAsia" w:ascii="宋体" w:hAnsi="宋体" w:eastAsia="宋体" w:cs="宋体"/>
                <w:color w:val="auto"/>
                <w:spacing w:val="5"/>
                <w:sz w:val="21"/>
                <w:szCs w:val="21"/>
                <w:highlight w:val="none"/>
              </w:rPr>
              <w:t>评审与响应性评审标准</w:t>
            </w:r>
          </w:p>
        </w:tc>
        <w:tc>
          <w:tcPr>
            <w:tcW w:w="7941" w:type="dxa"/>
            <w:vAlign w:val="top"/>
          </w:tcPr>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第一个信封（商务及技术文件）评审标准：</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（1）投标文件按照招标文件规定的格式、内容填写，字迹清晰可辨</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a.投标函按招标文件规定填报了项目名称、标段号（如有）、补遗书编号（如有）、工期、工程质量要求及安全目标；</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b.投标函附录、价格指数和权重表（如有）的所有内容和数据均符合招标文件规定；</w:t>
            </w:r>
          </w:p>
          <w:p>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c.投标文件中有承诺函、无行贿犯罪承诺书、投标人诚信承诺书等内容，其内容文字与招标文件规定一致，未进行修改和删减且签名盖章齐全</w:t>
            </w:r>
            <w:r>
              <w:rPr>
                <w:rFonts w:hint="eastAsia" w:ascii="宋体" w:hAnsi="宋体" w:eastAsia="宋体" w:cs="宋体"/>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d.投标文件组成齐全完整，内容均按规定填写。</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（2）投标文件上法定代表人或其委托代理人的签字、投标人的单位章盖章齐全，符合招标文件规定。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（3）投标人法定代表人授权委托代理人签署投标文件的，须提交授权委托书，且授权人和被授权人均在授权委托书上签名，签字盖章符合招标文件第二章“投标人须知”第3.7.3项规定。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（4）投标人法定代表人亲自签署投标文件的，提供了法定代表人身份证明，且法定代表人在法定代表人身份证明上签名，签字盖章符合招标文件第二章“投标人须知”第3.7.3项规定。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（5）投标人未以联合体形式投标。</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（6）投标人如在投标阶段有分包计划，符合招标文件第二章“投标人须知”第1.11款规定</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且按招标文件第九章“投标文件格式”的要求填写了“拟分包项目情况表”。</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（7）同一投标人未提交两个以上不同的投标文件，但招标文件要求提交备选投标的除外。</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（8）投标文件第一个信封（商务及技术文件）中未出现有关投标报价的内容、工程量清单以及与投标报价相关的资料、表格等内容。</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（9）投标文件载明的招标项目完成期限未超过招标文件规定的时限。</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（10）投标文件对招标文件的实质性要求和条件作出响应。</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（11）权利义务符合招标文件规定：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a.投标人应接受招标文件规定的风险划分原则</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未提出新的风险划分办法；</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b.投标人未增加发包人的责任范围，或减少投标人义务；</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c.投标人未提出不同的工程验收、计量、支付办法；</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d.投标人对合同纠纷、事故处理办法未提出异议；</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e.投标人在投标活动中无欺诈行为；</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f.投标人未对合同条款有重要保留。</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（12）投标函上填写的标段号与所投标段号一致。</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（13）围标、串标审查：如果有证据显示投标人以他人名义投标、与他人串通投标、以行贿手段谋取中标，以及投标弄虚作假的，评标委员会应对该投标文件作无效投标处理。</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（14）评标委员会要对投标人的财务能力、技术能力、管理水平和以往施工业绩及履约信誉进行详细评审。如发现投标文件有以下情况之一的，评标委员会将对其作无效投标处理</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a.承诺的质量标准低于招标文件或国家强制性标准要求；</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b.提供虚假施工业绩及履约信誉证明材料。</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（15）投标文件提交方式满足投标人须知第4.2款之规定。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（16）按照评标委员会的要求进行了澄清、说明或补正。</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（17）未附有招标人不能接受的其他条件。</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（18）投标文件符合招标文件的其他相关规定。</w:t>
            </w:r>
          </w:p>
          <w:p>
            <w:pPr>
              <w:keepNext w:val="0"/>
              <w:keepLines w:val="0"/>
              <w:pageBreakBefore w:val="0"/>
              <w:widowControl/>
              <w:kinsoku w:val="0"/>
              <w:wordWrap/>
              <w:overflowPunct/>
              <w:topLinePunct w:val="0"/>
              <w:autoSpaceDE w:val="0"/>
              <w:autoSpaceDN w:val="0"/>
              <w:bidi w:val="0"/>
              <w:adjustRightInd w:val="0"/>
              <w:snapToGrid w:val="0"/>
              <w:spacing w:before="29" w:line="264" w:lineRule="auto"/>
              <w:ind w:left="105" w:leftChars="50" w:right="107" w:firstLine="5"/>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投标文件未满足以上任一条件的，其投标视为无效，评标委员会将否决其投标</w:t>
            </w:r>
            <w:r>
              <w:rPr>
                <w:rFonts w:hint="eastAsia" w:ascii="宋体" w:hAnsi="宋体" w:eastAsia="宋体" w:cs="宋体"/>
                <w:color w:val="auto"/>
                <w:spacing w:val="8"/>
                <w:sz w:val="21"/>
                <w:szCs w:val="21"/>
                <w:highlight w:val="none"/>
                <w:lang w:eastAsia="zh-CN"/>
              </w:rPr>
              <w:t>。</w:t>
            </w:r>
          </w:p>
        </w:tc>
      </w:tr>
    </w:tbl>
    <w:tbl>
      <w:tblPr>
        <w:tblStyle w:val="7"/>
        <w:tblpPr w:leftFromText="180" w:rightFromText="180" w:vertAnchor="text" w:horzAnchor="page" w:tblpX="1202" w:tblpY="46"/>
        <w:tblOverlap w:val="never"/>
        <w:tblW w:w="96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825"/>
        <w:gridCol w:w="1378"/>
        <w:gridCol w:w="6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left="165" w:right="15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2.1.12.1.3</w:t>
            </w:r>
          </w:p>
        </w:tc>
        <w:tc>
          <w:tcPr>
            <w:tcW w:w="8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left="115" w:right="114" w:firstLine="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形式</w:t>
            </w:r>
            <w:r>
              <w:rPr>
                <w:rFonts w:hint="eastAsia" w:ascii="宋体" w:hAnsi="宋体" w:eastAsia="宋体" w:cs="宋体"/>
                <w:color w:val="auto"/>
                <w:spacing w:val="5"/>
                <w:sz w:val="21"/>
                <w:szCs w:val="21"/>
                <w:highlight w:val="none"/>
              </w:rPr>
              <w:t>评审与响应性评审标准</w:t>
            </w:r>
          </w:p>
        </w:tc>
        <w:tc>
          <w:tcPr>
            <w:tcW w:w="793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41" w:line="264" w:lineRule="auto"/>
              <w:ind w:left="105" w:lef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第二个信封（报价文件）评审标准：</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（1）投标文件按照招标文件规定的格式、内容填写，字迹清晰可辨</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a.投标函按招标文件规定填报了项目名称、标段号（如有）、补遗书编号（如有）、投标价（包括大写金额和小写金额）；</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b.已标价工程量清单说明文字与招标文件规定一致，未进行实质性修改和删减；</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c.投标文件组成齐全完整，内容均按规定填写。</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（2）投标文件上法定代表人或其委托代理人的签字、投标人的单位章盖章齐全，符合招标文件规定。</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（3）投标报价中的报价未超过招标文件设定的最高投标限价（如有）。</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（4）投标报价的大写金额能够确定具体数值，无错误且可唱出。</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（5）未提交调价函。</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（6）同一投标人未提交两个以上不同的投标报价，但招标文件要求提交备选投标的除外。</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8</w:t>
            </w:r>
            <w:r>
              <w:rPr>
                <w:rFonts w:hint="eastAsia" w:ascii="宋体" w:hAnsi="宋体" w:eastAsia="宋体" w:cs="宋体"/>
                <w:color w:val="auto"/>
                <w:spacing w:val="9"/>
                <w:sz w:val="21"/>
                <w:szCs w:val="21"/>
                <w:highlight w:val="none"/>
              </w:rPr>
              <w:t>）未修改招标人给定的暂估价（如有）或暂列金额（如有）。</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（9）投标函上填写的标段号与所投标段号一致。</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（10）投标报价编制及填写满足投标人须知正文及前附表第3.2款</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工程量清单说明的要求。</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（11）投标文件未附有招标人不能接受的其他条件。</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（12）按照评标委员会的要求进行了澄清、说明或补正。</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（13）投标文件符合招标文件的其他相关规定。</w:t>
            </w:r>
          </w:p>
          <w:p>
            <w:pPr>
              <w:keepNext w:val="0"/>
              <w:keepLines w:val="0"/>
              <w:pageBreakBefore w:val="0"/>
              <w:widowControl/>
              <w:kinsoku w:val="0"/>
              <w:wordWrap/>
              <w:overflowPunct/>
              <w:topLinePunct w:val="0"/>
              <w:autoSpaceDE w:val="0"/>
              <w:autoSpaceDN w:val="0"/>
              <w:bidi w:val="0"/>
              <w:adjustRightInd w:val="0"/>
              <w:snapToGrid w:val="0"/>
              <w:spacing w:before="157" w:line="264" w:lineRule="auto"/>
              <w:ind w:left="111" w:leftChars="50" w:right="0" w:hanging="6"/>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投标文件未满足以上任一条件的，其投标视为无效，评标委员会将否决其投标。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right="154"/>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2.1.2</w:t>
            </w:r>
          </w:p>
        </w:tc>
        <w:tc>
          <w:tcPr>
            <w:tcW w:w="82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ind w:left="115" w:right="114" w:firstLine="9"/>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r>
              <w:rPr>
                <w:rFonts w:hint="eastAsia" w:ascii="宋体" w:hAnsi="宋体" w:eastAsia="宋体" w:cs="宋体"/>
                <w:color w:val="auto"/>
                <w:spacing w:val="5"/>
                <w:sz w:val="21"/>
                <w:szCs w:val="21"/>
                <w:highlight w:val="none"/>
              </w:rPr>
              <w:t>评审标准</w:t>
            </w:r>
          </w:p>
        </w:tc>
        <w:tc>
          <w:tcPr>
            <w:tcW w:w="793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（1）投标人具备有效的营业执照副本或事业单位法人证书或社会团体法人登记证书、资质证书、安全生产许可证和基本账户信息扫描件。</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（2）投标人的资质最低条件符合招标文件投标人须知附录1（包括表注）规定。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（3）投标人的财务最低要求符合招标文件投标人须知附录2（包括表注）规定。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（4）投标人的业绩最低要求符合招标文件投标人须知附录3（包括表注）规定。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（5）投标人的信誉最低要求符合招标文件投标人须知附录4（包括表注）规定。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（6）投标人的项目经理和项目总工最低要求符合招标文件投标人须知附录5（包括表注）规定。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（7）投标人的其他要求符合招标文件规定。</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（8）投标人不存在第二章“投标人须知”第1.4.3项或第1.4.4项规定的任何一种情形。</w:t>
            </w:r>
          </w:p>
          <w:p>
            <w:pPr>
              <w:keepNext w:val="0"/>
              <w:keepLines w:val="0"/>
              <w:pageBreakBefore w:val="0"/>
              <w:widowControl/>
              <w:kinsoku w:val="0"/>
              <w:wordWrap/>
              <w:overflowPunct/>
              <w:topLinePunct w:val="0"/>
              <w:autoSpaceDE w:val="0"/>
              <w:autoSpaceDN w:val="0"/>
              <w:bidi w:val="0"/>
              <w:adjustRightInd w:val="0"/>
              <w:snapToGrid w:val="0"/>
              <w:spacing w:before="13" w:line="264" w:lineRule="auto"/>
              <w:ind w:left="105" w:leftChars="50" w:right="11"/>
              <w:jc w:val="left"/>
              <w:textAlignment w:val="baseline"/>
              <w:rPr>
                <w:rFonts w:hint="eastAsia" w:ascii="宋体" w:hAnsi="宋体" w:eastAsia="宋体" w:cs="宋体"/>
                <w:color w:val="auto"/>
                <w:spacing w:val="2"/>
                <w:position w:val="4"/>
                <w:sz w:val="21"/>
                <w:szCs w:val="21"/>
                <w:highlight w:val="none"/>
              </w:rPr>
            </w:pPr>
            <w:r>
              <w:rPr>
                <w:rFonts w:hint="eastAsia" w:ascii="宋体" w:hAnsi="宋体" w:eastAsia="宋体" w:cs="宋体"/>
                <w:color w:val="auto"/>
                <w:spacing w:val="9"/>
                <w:sz w:val="21"/>
                <w:szCs w:val="21"/>
                <w:highlight w:val="none"/>
              </w:rPr>
              <w:t>投标文件未满足以上任一条件的，其投标视为无效，评标委员会将否决其投标。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2.2.1</w:t>
            </w:r>
          </w:p>
        </w:tc>
        <w:tc>
          <w:tcPr>
            <w:tcW w:w="2203" w:type="dxa"/>
            <w:gridSpan w:val="2"/>
            <w:vAlign w:val="center"/>
          </w:tcPr>
          <w:p>
            <w:pPr>
              <w:keepNext w:val="0"/>
              <w:keepLines w:val="0"/>
              <w:pageBreakBefore w:val="0"/>
              <w:widowControl/>
              <w:tabs>
                <w:tab w:val="left" w:pos="1526"/>
              </w:tabs>
              <w:kinsoku w:val="0"/>
              <w:wordWrap/>
              <w:overflowPunct/>
              <w:topLinePunct w:val="0"/>
              <w:autoSpaceDE w:val="0"/>
              <w:autoSpaceDN w:val="0"/>
              <w:bidi w:val="0"/>
              <w:adjustRightInd w:val="0"/>
              <w:snapToGrid w:val="0"/>
              <w:spacing w:line="264" w:lineRule="auto"/>
              <w:ind w:right="19"/>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分值构成（总分100.00分）</w:t>
            </w:r>
          </w:p>
        </w:tc>
        <w:tc>
          <w:tcPr>
            <w:tcW w:w="6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评标价：100.00分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2.2.</w:t>
            </w:r>
            <w:r>
              <w:rPr>
                <w:rFonts w:hint="eastAsia" w:ascii="宋体" w:hAnsi="宋体" w:eastAsia="宋体" w:cs="宋体"/>
                <w:color w:val="auto"/>
                <w:spacing w:val="2"/>
                <w:sz w:val="21"/>
                <w:szCs w:val="21"/>
                <w:highlight w:val="none"/>
                <w:lang w:val="en-US" w:eastAsia="zh-CN"/>
              </w:rPr>
              <w:t>2</w:t>
            </w:r>
          </w:p>
        </w:tc>
        <w:tc>
          <w:tcPr>
            <w:tcW w:w="220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ind w:right="14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6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（一）P为评标基准价；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（三）N为有效评标价的数量（有效评标价：除第一个信封经评标委员会否决的投标人及按投标人须知第5.2.5项规定不参加评标基准价计算的投标报价之外，剩余所有投标人的评标价均为有效评标价。）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（四）K为评标基准价系数：K值取值范围为0.980、0.985、0.990、0.995、1.000共5</w:t>
            </w:r>
            <w:r>
              <w:rPr>
                <w:rFonts w:hint="eastAsia" w:ascii="宋体" w:hAnsi="宋体" w:eastAsia="宋体" w:cs="宋体"/>
                <w:color w:val="auto"/>
                <w:spacing w:val="7"/>
                <w:sz w:val="21"/>
                <w:szCs w:val="21"/>
                <w:highlight w:val="none"/>
                <w:lang w:eastAsia="zh-CN"/>
              </w:rPr>
              <w:t>个</w:t>
            </w:r>
            <w:r>
              <w:rPr>
                <w:rFonts w:hint="eastAsia" w:ascii="宋体" w:hAnsi="宋体" w:eastAsia="宋体" w:cs="宋体"/>
                <w:color w:val="auto"/>
                <w:spacing w:val="7"/>
                <w:sz w:val="21"/>
                <w:szCs w:val="21"/>
                <w:highlight w:val="none"/>
              </w:rPr>
              <w:t>数值，在宁夏回族自治区公共资源交易平台电子交易系统不见面开标大厅开标过程中随机抽取一个K值，并当场公布；</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（五）n1为去掉最高有效评标价的数量，n2为去掉最低有效评标价的数量。</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n1、n2的取值方法：当N＜6时，n1、n2均取0；当6≤N&lt;10，n1、n2均取1；当N≥10时，n1在取值区间1～M-1中随机抽取，n2在取值区间1～M+1中随机抽取，M=N/4，M去尾取整数，当N≥10时，n1、n2取值在宁夏回族自区公共资源交易平台电子交易系统不见面开标大厅开标过程中随机抽取。</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本评标办法中设置以下3种不同的评标基准价计算方法，在宁夏回族自治区公共资源交易平台电子交易系统不见面开标大厅开标过程中随机抽取其中1种方法作为本次招标评标基准价的计算方法，并按已抽取的评标基准价计算方法，随机抽取相关计算参数：</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7"/>
                <w:sz w:val="21"/>
                <w:szCs w:val="21"/>
                <w:highlight w:val="none"/>
              </w:rPr>
              <w:t>评标基准价方法1</w:t>
            </w:r>
            <w:r>
              <w:rPr>
                <w:rFonts w:hint="eastAsia" w:ascii="宋体" w:hAnsi="宋体" w:eastAsia="宋体" w:cs="宋体"/>
                <w:color w:val="auto"/>
                <w:spacing w:val="7"/>
                <w:sz w:val="21"/>
                <w:szCs w:val="21"/>
                <w:highlight w:val="none"/>
              </w:rPr>
              <w:t>（平均值随机系数法）：有效评标价去掉n1个最高评标价和n2个最低评标价后取平均值，乘以评标基准价系数K作为评标基准价P。</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7"/>
                <w:sz w:val="21"/>
                <w:szCs w:val="21"/>
                <w:highlight w:val="none"/>
              </w:rPr>
              <w:t>评标基准价方法2</w:t>
            </w:r>
            <w:r>
              <w:rPr>
                <w:rFonts w:hint="eastAsia" w:ascii="宋体" w:hAnsi="宋体" w:eastAsia="宋体" w:cs="宋体"/>
                <w:color w:val="auto"/>
                <w:spacing w:val="7"/>
                <w:sz w:val="21"/>
                <w:szCs w:val="21"/>
                <w:highlight w:val="none"/>
              </w:rPr>
              <w:t>（价差随机系数法）：先去掉n1个最高有效评标价和n2个最低有效评标价，用剩余有效评标价中最大评标价与最小评标价之差与调整系数乘积加最小评标价作为评标基准价。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P＝（Dmax-Dmin）×Ks+Dmin</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式中：Dmax为去掉n1个最高有效评标价后的最大评标价数值；Dmin为去掉n2个最低有效评标价后的最小评标价数值。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b/>
                <w:bCs/>
                <w:color w:val="auto"/>
                <w:spacing w:val="7"/>
                <w:sz w:val="21"/>
                <w:szCs w:val="21"/>
                <w:highlight w:val="none"/>
              </w:rPr>
              <w:t>评标基准价方法3</w:t>
            </w:r>
            <w:r>
              <w:rPr>
                <w:rFonts w:hint="eastAsia" w:ascii="宋体" w:hAnsi="宋体" w:eastAsia="宋体" w:cs="宋体"/>
                <w:color w:val="auto"/>
                <w:spacing w:val="7"/>
                <w:sz w:val="21"/>
                <w:szCs w:val="21"/>
                <w:highlight w:val="none"/>
              </w:rPr>
              <w:t>（随机权重法）：先去掉n1个最高有效评标价和n2个最低有效评标价后的平均值，用最高投标限价与平均值的权值之和作为评标基准价。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P=D（平均）×K1×Q1+B（上限）×K2×Q2</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K1、K2、Q1、Q2权重系数：</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Q2=1-Q1，Q1取值范围30%～70%；</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K1的取值范围为95%～100%；</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K2的取值范围为（85%+E%）～（90%+E%），E=</w:t>
            </w:r>
            <w:r>
              <w:rPr>
                <w:rFonts w:hint="eastAsia" w:ascii="宋体" w:hAnsi="宋体" w:eastAsia="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11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评标基准价的计算除开标时计算错误外，不因第二信封评审否决投标而改变，也不因招标投标当事人异议、投诉以及其它任何情形而改变。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p>
        </w:tc>
        <w:tc>
          <w:tcPr>
            <w:tcW w:w="220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评标价的偏差率</w:t>
            </w:r>
          </w:p>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计算公式</w:t>
            </w:r>
          </w:p>
        </w:tc>
        <w:tc>
          <w:tcPr>
            <w:tcW w:w="6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偏差率=100%×（投标人评标价－评标基准价）/评标基</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准价偏差率保留小数点后两位，小数点后第三位“四舍五入</w:t>
            </w:r>
            <w:r>
              <w:rPr>
                <w:rFonts w:hint="eastAsia" w:ascii="宋体" w:hAnsi="宋体" w:eastAsia="宋体" w:cs="宋体"/>
                <w:color w:val="auto"/>
                <w:spacing w:val="9"/>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9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2.2.4</w:t>
            </w:r>
          </w:p>
        </w:tc>
        <w:tc>
          <w:tcPr>
            <w:tcW w:w="220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jc w:val="center"/>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评标价得分</w:t>
            </w:r>
          </w:p>
        </w:tc>
        <w:tc>
          <w:tcPr>
            <w:tcW w:w="65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评标价得分按照下面规定计算：</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(1)如果投标人的评标价&gt;评标基准价，则评标价得分＝F-偏差率×100×E1；</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(2)如果投标人的评标价≤评标基准价，则评标价得分＝F+偏差率×100×E2。</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0"/>
              <w:jc w:val="both"/>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其中：F是100分，E1是评标价每高于评标基准价一个百分点的扣分值，E2是评标价每低于评标基准价一个百分点的扣分值；其中E1＝2，E2＝1。评标价得分分值保留小数点后两位，小数点后第三位“四舍五入”，最低分为0分。</w:t>
            </w:r>
          </w:p>
        </w:tc>
      </w:tr>
    </w:tbl>
    <w:p>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
          <w:highlight w:val="none"/>
        </w:rPr>
      </w:pPr>
    </w:p>
    <w:tbl>
      <w:tblPr>
        <w:tblStyle w:val="7"/>
        <w:tblW w:w="9681" w:type="dxa"/>
        <w:tblInd w:w="-5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8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8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45" w:line="264" w:lineRule="auto"/>
              <w:ind w:left="105" w:leftChars="5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50"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264" w:lineRule="auto"/>
              <w:ind w:left="105" w:leftChars="5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条款号</w:t>
            </w:r>
          </w:p>
        </w:tc>
        <w:tc>
          <w:tcPr>
            <w:tcW w:w="813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264" w:lineRule="auto"/>
              <w:ind w:left="105" w:leftChars="50"/>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5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5" w:line="264"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8131" w:type="dxa"/>
            <w:vAlign w:val="top"/>
          </w:tcPr>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1.评标办法</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本条细化为：</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1.1本次评标采用双信封形式合理低价法，评标委员会首先对投标文件第一个信封（商务与技术文件）进行初步评审（形式评审与响应性评审、资格评审）。</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1.2所有通过第一个信封初步评审后的投标文件方可进入第二个信封（报价文件）的开标，其第二个信封在监督机关的监督下进行开标；未通过第一个信封初步评审的投标人不进入第二个信封的评审，其第二个信封原封退回（或不予解密），不参与第二个信封的开标。</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1.3评标委员会对投标文件第二个信封进行初步评审（形式评审与响应性评审），并对通过第二个信封初步评审的投标文件按照本章第2.2款规定的评分标准进行评标价评分（保留小数点后两位，小数点后第三位“四舍五入”），评标委员会按评标价得分由高到低顺序确定中标候选人推荐排序，但投标报价低于其成本的除外。</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当两家及以上投标人在标段中的评标价得分相等时，若评标价不相等，以评标价较低者优先；当两家及以上投标人在标段中的评标价得分相等且评标价也相等时，若各投标人工程量清单子目单价也相同时，视为串标，其投标均被否决。</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当两家及以上投标人在标段中的评标价得分相等且评标价也相等时，且各投标人工程量清单子目单价不尽相同时，推荐顺序则依次依据“信用等级”“投标人上一年年末净资产”“投标人近3年年平均营业收入”由高到低的顺序进行确定，若投标人近3年年平均营业收入也相等时，则由评标委员会根据施工组织设计的编制情况投票确定其推荐顺序。</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1.4参与本次招标投标的投标人，最多被允许取得其中/个标段的中标资格。评标委员会推荐次序：/。</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p>
            <w:pPr>
              <w:keepNext w:val="0"/>
              <w:keepLines w:val="0"/>
              <w:pageBreakBefore w:val="0"/>
              <w:widowControl/>
              <w:kinsoku w:val="0"/>
              <w:wordWrap/>
              <w:overflowPunct/>
              <w:topLinePunct w:val="0"/>
              <w:autoSpaceDE w:val="0"/>
              <w:autoSpaceDN w:val="0"/>
              <w:bidi w:val="0"/>
              <w:adjustRightInd w:val="0"/>
              <w:snapToGrid w:val="0"/>
              <w:spacing w:line="264" w:lineRule="auto"/>
              <w:ind w:left="105" w:leftChars="50" w:right="4" w:firstLine="455" w:firstLineChars="209"/>
              <w:textAlignment w:val="baseline"/>
              <w:rPr>
                <w:rFonts w:hint="eastAsia" w:ascii="宋体" w:hAnsi="宋体" w:eastAsia="宋体" w:cs="宋体"/>
                <w:color w:val="auto"/>
                <w:highlight w:val="none"/>
                <w:lang w:eastAsia="zh-CN"/>
              </w:rPr>
            </w:pPr>
            <w:r>
              <w:rPr>
                <w:rFonts w:hint="eastAsia" w:ascii="宋体" w:hAnsi="宋体" w:eastAsia="宋体" w:cs="宋体"/>
                <w:color w:val="auto"/>
                <w:spacing w:val="4"/>
                <w:sz w:val="21"/>
                <w:szCs w:val="21"/>
                <w:highlight w:val="none"/>
              </w:rPr>
              <w:t>某一标段通过第一个信封评审且参与第二个信封开标的投标人少于3个的，评标委员会可以否决这一标段全部投标。未否决全部投标的，评标委员会应当在评标报告中阐明理由，招标人应当按照规定的程序进行第二信封开标，但评标委员会在进行报价文件评审时仍有权否决全部投标；评标委员会未在报价文件评审时否决全部投标的，应当在评标报告中阐明理由并推荐中标候选人。</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jc w:val="both"/>
        <w:textAlignment w:val="baseline"/>
        <w:rPr>
          <w:rFonts w:hint="eastAsia" w:ascii="宋体" w:hAnsi="宋体" w:eastAsia="宋体" w:cs="宋体"/>
          <w:b/>
          <w:bCs/>
          <w:color w:val="auto"/>
          <w:sz w:val="28"/>
          <w:szCs w:val="28"/>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4" name="文本框 7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SVju0AAAAAUBAAAPAAAAAAAAAAEAIAAAADgA&#10;AABkcnMvZG93bnJldi54bWxQSwECFAAUAAAACACHTuJAbbfdvzQCAABlBAAADgAAAAAAAAABACAA&#10;AAA1AQAAZHJzL2Uyb0RvYy54bWxQSwUGAAAAAAYABgBZAQAA2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921CD"/>
    <w:multiLevelType w:val="singleLevel"/>
    <w:tmpl w:val="76B921C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6A06"/>
    <w:rsid w:val="05634CBE"/>
    <w:rsid w:val="2E667C4A"/>
    <w:rsid w:val="2EFFF9DA"/>
    <w:rsid w:val="376F9222"/>
    <w:rsid w:val="39F673BC"/>
    <w:rsid w:val="4FFF2DF6"/>
    <w:rsid w:val="508C6A06"/>
    <w:rsid w:val="54352A41"/>
    <w:rsid w:val="55223C0D"/>
    <w:rsid w:val="5AFBF38E"/>
    <w:rsid w:val="5DB33E40"/>
    <w:rsid w:val="67E48310"/>
    <w:rsid w:val="6EC4EB48"/>
    <w:rsid w:val="77E7397A"/>
    <w:rsid w:val="77F72E5E"/>
    <w:rsid w:val="77FF7A77"/>
    <w:rsid w:val="79773933"/>
    <w:rsid w:val="7BC12775"/>
    <w:rsid w:val="7F2E4175"/>
    <w:rsid w:val="7FB32131"/>
    <w:rsid w:val="7FDFADCD"/>
    <w:rsid w:val="7FEFA22E"/>
    <w:rsid w:val="7FF13DD9"/>
    <w:rsid w:val="7FFF7901"/>
    <w:rsid w:val="8FAD94B5"/>
    <w:rsid w:val="B3A7B5D1"/>
    <w:rsid w:val="B7FFFE88"/>
    <w:rsid w:val="BBCD465A"/>
    <w:rsid w:val="BF9EB9E2"/>
    <w:rsid w:val="BFBE9A00"/>
    <w:rsid w:val="BFFE34C4"/>
    <w:rsid w:val="D94ED163"/>
    <w:rsid w:val="DB773FCE"/>
    <w:rsid w:val="DBF7C71C"/>
    <w:rsid w:val="EA3F815D"/>
    <w:rsid w:val="EADB80ED"/>
    <w:rsid w:val="EB7B0248"/>
    <w:rsid w:val="ECFF5EC9"/>
    <w:rsid w:val="EF751626"/>
    <w:rsid w:val="F3EF992E"/>
    <w:rsid w:val="F767167E"/>
    <w:rsid w:val="FB765242"/>
    <w:rsid w:val="FBEF115D"/>
    <w:rsid w:val="FBF7B3EA"/>
    <w:rsid w:val="FCE375E0"/>
    <w:rsid w:val="FD55610F"/>
    <w:rsid w:val="FDEE4B3B"/>
    <w:rsid w:val="FF2E201A"/>
    <w:rsid w:val="FFAFB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9167</Words>
  <Characters>9591</Characters>
  <Lines>0</Lines>
  <Paragraphs>0</Paragraphs>
  <TotalTime>20</TotalTime>
  <ScaleCrop>false</ScaleCrop>
  <LinksUpToDate>false</LinksUpToDate>
  <CharactersWithSpaces>9591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2025-03-26T01:31:00Z</dcterms:created>
  <dc:creator>Administrator</dc:creator>
  <cp:lastModifiedBy>uos</cp:lastModifiedBy>
  <dcterms:modified xsi:type="dcterms:W3CDTF">2025-03-28T16:18:36Z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602C962E3E0445F59537857FDEB5AF06_11</vt:lpwstr>
  </property>
  <property fmtid="{D5CDD505-2E9C-101B-9397-08002B2CF9AE}" pid="4" name="KSOTemplateDocerSaveRecord">
    <vt:lpwstr>eyJoZGlkIjoiMGMzNjBhM2Q0MDcxZmY1ZGM3ZjBmZDg0MjllM2NiZjAiLCJ1c2VySWQiOiI3MDQ0NTcwMzMifQ==</vt:lpwstr>
  </property>
</Properties>
</file>