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320" w:beforeLines="100" w:after="320" w:afterLines="100" w:line="360" w:lineRule="auto"/>
        <w:ind w:left="0" w:right="-526" w:rightChars="-239"/>
        <w:textAlignment w:val="auto"/>
        <w:rPr>
          <w:rFonts w:hint="eastAsia" w:ascii="宋体" w:hAnsi="宋体" w:eastAsia="宋体" w:cs="宋体"/>
          <w:b/>
          <w:bCs/>
          <w:sz w:val="28"/>
          <w:szCs w:val="28"/>
        </w:rPr>
      </w:pPr>
      <w:r>
        <w:rPr>
          <w:rFonts w:hint="eastAsia" w:ascii="宋体" w:hAnsi="宋体" w:eastAsia="宋体" w:cs="宋体"/>
          <w:b/>
          <w:bCs/>
          <w:color w:val="000000"/>
          <w:sz w:val="28"/>
          <w:szCs w:val="28"/>
        </w:rPr>
        <w:t>宁夏公路管理中心银川分中心202</w:t>
      </w:r>
      <w:r>
        <w:rPr>
          <w:rFonts w:hint="eastAsia" w:ascii="宋体" w:hAnsi="宋体" w:eastAsia="宋体" w:cs="宋体"/>
          <w:b/>
          <w:bCs/>
          <w:color w:val="000000"/>
          <w:sz w:val="28"/>
          <w:szCs w:val="28"/>
          <w:lang w:val="en-US" w:eastAsia="zh-CN"/>
        </w:rPr>
        <w:t>4</w:t>
      </w:r>
      <w:r>
        <w:rPr>
          <w:rFonts w:hint="eastAsia" w:ascii="宋体" w:hAnsi="宋体" w:eastAsia="宋体" w:cs="宋体"/>
          <w:b/>
          <w:bCs/>
          <w:color w:val="000000"/>
          <w:sz w:val="28"/>
          <w:szCs w:val="28"/>
        </w:rPr>
        <w:t>年职工健康体检项目关键内容</w:t>
      </w:r>
    </w:p>
    <w:p>
      <w:pPr>
        <w:widowControl/>
        <w:spacing w:line="360" w:lineRule="auto"/>
        <w:ind w:left="285"/>
        <w:rPr>
          <w:rFonts w:hint="eastAsia" w:ascii="宋体" w:hAnsi="宋体" w:eastAsia="宋体" w:cs="宋体"/>
          <w:b/>
          <w:bCs/>
          <w:sz w:val="28"/>
          <w:szCs w:val="28"/>
        </w:rPr>
      </w:pPr>
      <w:r>
        <w:rPr>
          <w:rFonts w:hint="eastAsia" w:ascii="宋体" w:hAnsi="宋体" w:eastAsia="宋体" w:cs="宋体"/>
          <w:b/>
          <w:bCs/>
          <w:sz w:val="28"/>
          <w:szCs w:val="28"/>
        </w:rPr>
        <w:t>一、项目概况</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本次招标共划分为1个标段，具体内容如下：</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宁夏公路管理中心银川分中心2024年职工健康体检项目，为全面掌握职工身体健康情况，本次体检人数预计为635人，其中男体检人数约365人，女体检人数约270人。</w:t>
      </w:r>
    </w:p>
    <w:p>
      <w:pPr>
        <w:widowControl/>
        <w:spacing w:line="360" w:lineRule="auto"/>
        <w:rPr>
          <w:rFonts w:hint="eastAsia" w:ascii="宋体" w:hAnsi="宋体" w:eastAsia="宋体" w:cs="宋体"/>
          <w:b/>
          <w:bCs/>
          <w:sz w:val="28"/>
          <w:szCs w:val="28"/>
        </w:rPr>
      </w:pPr>
      <w:r>
        <w:rPr>
          <w:rFonts w:hint="eastAsia" w:ascii="宋体" w:hAnsi="宋体" w:eastAsia="宋体" w:cs="宋体"/>
          <w:b/>
          <w:bCs/>
          <w:sz w:val="28"/>
          <w:szCs w:val="28"/>
        </w:rPr>
        <w:t xml:space="preserve">二、对投标人的全部资格条件要求 </w:t>
      </w:r>
    </w:p>
    <w:p>
      <w:pPr>
        <w:autoSpaceDE/>
        <w:autoSpaceDN/>
        <w:spacing w:line="360" w:lineRule="auto"/>
        <w:ind w:firstLine="560" w:firstLineChars="200"/>
        <w:rPr>
          <w:rFonts w:hint="eastAsia" w:ascii="宋体" w:hAnsi="宋体" w:eastAsia="宋体" w:cs="宋体"/>
          <w:b/>
          <w:bCs/>
          <w:sz w:val="28"/>
          <w:szCs w:val="28"/>
        </w:rPr>
      </w:pPr>
      <w:r>
        <w:rPr>
          <w:rFonts w:hint="eastAsia" w:ascii="宋体" w:hAnsi="宋体" w:eastAsia="宋体" w:cs="宋体"/>
          <w:sz w:val="28"/>
          <w:szCs w:val="28"/>
        </w:rPr>
        <w:t xml:space="preserve">详见磋商公告。 </w:t>
      </w:r>
    </w:p>
    <w:p>
      <w:pPr>
        <w:widowControl/>
        <w:numPr>
          <w:ilvl w:val="0"/>
          <w:numId w:val="0"/>
        </w:num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招标人联系方式</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名称：宁夏公路管理中心银川分中心　　　　</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地址：宁夏回族自治区银川市兴庆区银古路银川东收费站北侧大楼</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卢先生</w:t>
      </w:r>
      <w:r>
        <w:rPr>
          <w:rFonts w:hint="eastAsia" w:ascii="宋体" w:hAnsi="宋体" w:eastAsia="宋体" w:cs="宋体"/>
          <w:sz w:val="28"/>
          <w:szCs w:val="28"/>
        </w:rPr>
        <w:t>　　　　　　　</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联系方式：</w:t>
      </w:r>
      <w:bookmarkStart w:id="0" w:name="_Toc28359009"/>
      <w:bookmarkStart w:id="1" w:name="_Toc28359086"/>
      <w:r>
        <w:rPr>
          <w:rFonts w:hint="eastAsia" w:ascii="宋体" w:hAnsi="宋体" w:eastAsia="宋体" w:cs="宋体"/>
          <w:sz w:val="28"/>
          <w:szCs w:val="28"/>
          <w:lang w:eastAsia="zh-CN"/>
        </w:rPr>
        <w:t>0951-6153</w:t>
      </w:r>
      <w:r>
        <w:rPr>
          <w:rFonts w:hint="eastAsia" w:ascii="宋体" w:hAnsi="宋体" w:eastAsia="宋体" w:cs="宋体"/>
          <w:sz w:val="28"/>
          <w:szCs w:val="28"/>
          <w:lang w:val="en-US" w:eastAsia="zh-CN"/>
        </w:rPr>
        <w:t>700</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2.采购代理机构信息（如有）</w:t>
      </w:r>
      <w:bookmarkEnd w:id="0"/>
      <w:bookmarkEnd w:id="1"/>
    </w:p>
    <w:p>
      <w:pPr>
        <w:widowControl/>
        <w:spacing w:line="360" w:lineRule="auto"/>
        <w:ind w:firstLine="560" w:firstLineChars="200"/>
        <w:rPr>
          <w:rFonts w:hint="eastAsia" w:ascii="宋体" w:hAnsi="宋体" w:eastAsia="宋体" w:cs="宋体"/>
          <w:sz w:val="28"/>
          <w:szCs w:val="28"/>
        </w:rPr>
      </w:pPr>
      <w:bookmarkStart w:id="2" w:name="_Toc28359010"/>
      <w:bookmarkStart w:id="3" w:name="_Toc28359087"/>
      <w:r>
        <w:rPr>
          <w:rFonts w:hint="eastAsia" w:ascii="宋体" w:hAnsi="宋体" w:eastAsia="宋体" w:cs="宋体"/>
          <w:sz w:val="28"/>
          <w:szCs w:val="28"/>
        </w:rPr>
        <w:t>名称：宁夏泰地招标有限公司</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bookmarkEnd w:id="2"/>
      <w:bookmarkEnd w:id="3"/>
      <w:r>
        <w:rPr>
          <w:rFonts w:hint="eastAsia" w:ascii="宋体" w:hAnsi="宋体" w:eastAsia="宋体" w:cs="宋体"/>
          <w:sz w:val="28"/>
          <w:szCs w:val="28"/>
        </w:rPr>
        <w:t>宁夏银川市金凤区尹家渠北街70号鑫业大厦16楼</w:t>
      </w:r>
    </w:p>
    <w:p>
      <w:pPr>
        <w:widowControl/>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eastAsia="zh-CN"/>
        </w:rPr>
        <w:t>：</w:t>
      </w:r>
      <w:r>
        <w:rPr>
          <w:rFonts w:hint="eastAsia" w:cs="宋体"/>
          <w:sz w:val="28"/>
          <w:szCs w:val="28"/>
          <w:lang w:val="en-US" w:eastAsia="zh-CN"/>
        </w:rPr>
        <w:t>方工</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电话：0951-5127788　</w:t>
      </w:r>
    </w:p>
    <w:p>
      <w:pPr>
        <w:widowControl/>
        <w:spacing w:line="360" w:lineRule="auto"/>
        <w:rPr>
          <w:rFonts w:hint="eastAsia" w:ascii="宋体" w:hAnsi="宋体" w:eastAsia="宋体" w:cs="宋体"/>
          <w:sz w:val="28"/>
          <w:szCs w:val="28"/>
        </w:rPr>
      </w:pPr>
      <w:r>
        <w:rPr>
          <w:rFonts w:hint="eastAsia" w:ascii="宋体" w:hAnsi="宋体" w:eastAsia="宋体" w:cs="宋体"/>
          <w:b/>
          <w:bCs/>
          <w:color w:val="000000"/>
          <w:sz w:val="28"/>
          <w:szCs w:val="28"/>
          <w:lang w:bidi="ar"/>
        </w:rPr>
        <w:t>四、资格审查办法</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2.落实政府采购政策需满足的资格要求：</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（1)中小微企业参加宁夏政府采购招投标活动，参照《政府采购促进中小企业发展管理办法》(财政部财库（2020)46 号）、《关于进一步加大政府采购支持中小企业力度的通知》(财政部财库（2022)19 号），《宁夏回族自治区财政厅 发展和改革委员会工业和信息化厅 住房和城乡建设厅 交通运输厅 水利厅 公共资源交易管理局 中国人民银行银川中心支行关于落实政府采购促进中小企业发展有关措施的通知》（宁财（采）发〔2022〕275号），小、微型企业对报价给于10%的扣除，用扣除后的价格参与评审。</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(2)根据《政府采购支持监狱企业发展有关问题的通知》（财政部财库[2014]68 号），监狱企业视同为小型、微型企业，监狱企业应提供证明文件,对报价给予10%的扣除，用扣除后的价格参与评审；根据《财政部民政部中国残疾人联合会关于促进残疾人就业政府采购政策的通知》（财政部财库〔2017〕141 号）、《自治区财政厅残疾人联合会关于政府采购支持残疾人就业有关问题的通知》（宁财（采）发〔2020〕545 号），残疾人企业应提供声明函，对报价给予10%的扣除，用扣除后的价格参与评审。</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3.本项目的特定资格要求：</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3.1提供在中华人民共和国境内注册的法人或其他组织的营业执照（或事业单位法人证书，或社会团体法人登记证书），如投标供应商为自然人的需提供自然人身份证明；</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3.2法人授权委托书、法人及被授权人身份证复印件（法定代表人直接投标可不提供，但须提供法定代表人身份证复印件）；</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3.3提供具有良好商业信誉和健全的财务会计制度的承诺函；</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3.4提供履行合同所必需的设备和专业技术能力的承诺函；</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3.5具有依法缴纳税收和社会保障资金的良好记录的承诺函；</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3.6提供参加采购活动前三年内在经营活动中没有重大违法记录的承诺函；</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3.7在“信用中国网”(www.creditchina.gov.cn)下载的信用信息和“中国政府采购网”(www.ccgp.gov.cn)查询页面截图，如无法查询的行政事业单位或自然人等可不查询，具体查询结果以开标现场代理公司查询结果为准。被列入失信被执行人或重大税收违法案件当事人名单，按无效投标处理。</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3.8供应商应为</w:t>
      </w:r>
      <w:bookmarkStart w:id="4" w:name="_GoBack"/>
      <w:bookmarkEnd w:id="4"/>
      <w:r>
        <w:rPr>
          <w:rFonts w:hint="eastAsia" w:cs="宋体"/>
          <w:sz w:val="28"/>
          <w:szCs w:val="28"/>
          <w:lang w:eastAsia="zh-CN"/>
        </w:rPr>
        <w:t>国家卫生健康委员会</w:t>
      </w:r>
      <w:r>
        <w:rPr>
          <w:rFonts w:hint="eastAsia" w:ascii="宋体" w:hAnsi="宋体" w:eastAsia="宋体" w:cs="宋体"/>
          <w:sz w:val="28"/>
          <w:szCs w:val="28"/>
        </w:rPr>
        <w:t>批准的正规综合医院或民营体检机构，具有中华人民共和国卫生行政主管部门认可的《医疗机构执业许可证》</w:t>
      </w:r>
    </w:p>
    <w:p>
      <w:pPr>
        <w:pStyle w:val="2"/>
        <w:keepNext w:val="0"/>
        <w:keepLines w:val="0"/>
        <w:pageBreakBefore w:val="0"/>
        <w:widowControl w:val="0"/>
        <w:tabs>
          <w:tab w:val="left" w:pos="567"/>
        </w:tabs>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bidi="ar-SA"/>
        </w:rPr>
        <w:t>3.9本项目专门面向中小微企业采购，供应商须提供《中小企业声明函》，不接受大型企业参加投标。</w:t>
      </w:r>
    </w:p>
    <w:p>
      <w:pPr>
        <w:widowControl/>
        <w:numPr>
          <w:ilvl w:val="0"/>
          <w:numId w:val="0"/>
        </w:num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、评标办法全文</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评标办法前附表</w:t>
      </w:r>
    </w:p>
    <w:tbl>
      <w:tblPr>
        <w:tblStyle w:val="15"/>
        <w:tblW w:w="91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311"/>
        <w:gridCol w:w="813"/>
        <w:gridCol w:w="6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1311"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评分项目</w:t>
            </w:r>
          </w:p>
        </w:tc>
        <w:tc>
          <w:tcPr>
            <w:tcW w:w="813"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分值</w:t>
            </w:r>
          </w:p>
        </w:tc>
        <w:tc>
          <w:tcPr>
            <w:tcW w:w="6409"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6" w:hRule="atLeast"/>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 w:hAnsi="仿宋" w:eastAsia="仿宋" w:cs="仿宋"/>
                <w:sz w:val="24"/>
              </w:rPr>
              <w:t>1</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 w:hAnsi="仿宋" w:eastAsia="仿宋" w:cs="仿宋"/>
                <w:sz w:val="24"/>
                <w:lang w:val="en-US" w:eastAsia="zh-CN"/>
              </w:rPr>
              <w:t>磋商</w:t>
            </w:r>
            <w:r>
              <w:rPr>
                <w:rFonts w:hint="eastAsia" w:ascii="仿宋" w:hAnsi="仿宋" w:eastAsia="仿宋" w:cs="仿宋"/>
                <w:sz w:val="24"/>
              </w:rPr>
              <w:t>报价</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0分</w:t>
            </w:r>
          </w:p>
        </w:tc>
        <w:tc>
          <w:tcPr>
            <w:tcW w:w="64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lang w:val="en-US" w:eastAsia="zh-CN"/>
              </w:rPr>
              <w:t>投标</w:t>
            </w:r>
            <w:r>
              <w:rPr>
                <w:rFonts w:hint="eastAsia" w:ascii="仿宋" w:hAnsi="仿宋" w:eastAsia="仿宋" w:cs="仿宋"/>
                <w:sz w:val="24"/>
                <w:szCs w:val="28"/>
                <w:highlight w:val="none"/>
              </w:rPr>
              <w:t>报价得分＝（</w:t>
            </w:r>
            <w:r>
              <w:rPr>
                <w:rFonts w:hint="eastAsia" w:ascii="仿宋" w:hAnsi="仿宋" w:eastAsia="仿宋" w:cs="仿宋"/>
                <w:sz w:val="24"/>
                <w:szCs w:val="28"/>
                <w:highlight w:val="none"/>
                <w:lang w:val="en-US" w:eastAsia="zh-CN"/>
              </w:rPr>
              <w:t>评标</w:t>
            </w:r>
            <w:r>
              <w:rPr>
                <w:rFonts w:hint="eastAsia" w:ascii="仿宋" w:hAnsi="仿宋" w:eastAsia="仿宋" w:cs="仿宋"/>
                <w:sz w:val="24"/>
                <w:szCs w:val="28"/>
                <w:highlight w:val="none"/>
              </w:rPr>
              <w:t>基准价/</w:t>
            </w:r>
            <w:r>
              <w:rPr>
                <w:rFonts w:hint="eastAsia" w:ascii="仿宋" w:hAnsi="仿宋" w:eastAsia="仿宋" w:cs="仿宋"/>
                <w:sz w:val="24"/>
                <w:szCs w:val="28"/>
                <w:highlight w:val="none"/>
                <w:lang w:val="en-US" w:eastAsia="zh-CN"/>
              </w:rPr>
              <w:t>投标</w:t>
            </w:r>
            <w:r>
              <w:rPr>
                <w:rFonts w:hint="eastAsia" w:ascii="仿宋" w:hAnsi="仿宋" w:eastAsia="仿宋" w:cs="仿宋"/>
                <w:sz w:val="24"/>
                <w:szCs w:val="28"/>
                <w:highlight w:val="none"/>
              </w:rPr>
              <w:t>报价）×10</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评标基准价：</w:t>
            </w:r>
            <w:r>
              <w:rPr>
                <w:rFonts w:hint="eastAsia" w:ascii="仿宋" w:hAnsi="仿宋" w:eastAsia="仿宋" w:cs="仿宋"/>
                <w:sz w:val="24"/>
                <w:szCs w:val="28"/>
                <w:highlight w:val="none"/>
              </w:rPr>
              <w:t>满足</w:t>
            </w:r>
            <w:r>
              <w:rPr>
                <w:rFonts w:hint="eastAsia" w:ascii="仿宋" w:hAnsi="仿宋" w:eastAsia="仿宋" w:cs="仿宋"/>
                <w:sz w:val="24"/>
                <w:szCs w:val="28"/>
                <w:highlight w:val="none"/>
                <w:lang w:val="en-US" w:eastAsia="zh-CN"/>
              </w:rPr>
              <w:t>招标</w:t>
            </w:r>
            <w:r>
              <w:rPr>
                <w:rFonts w:hint="eastAsia" w:ascii="仿宋" w:hAnsi="仿宋" w:eastAsia="仿宋" w:cs="仿宋"/>
                <w:sz w:val="24"/>
                <w:szCs w:val="28"/>
                <w:highlight w:val="none"/>
              </w:rPr>
              <w:t>文件要求且</w:t>
            </w:r>
            <w:r>
              <w:rPr>
                <w:rFonts w:hint="eastAsia" w:ascii="仿宋" w:hAnsi="仿宋" w:eastAsia="仿宋" w:cs="仿宋"/>
                <w:sz w:val="24"/>
                <w:szCs w:val="28"/>
                <w:highlight w:val="none"/>
                <w:lang w:val="en-US" w:eastAsia="zh-CN"/>
              </w:rPr>
              <w:t>投标价格</w:t>
            </w:r>
            <w:r>
              <w:rPr>
                <w:rFonts w:hint="eastAsia" w:ascii="仿宋" w:hAnsi="仿宋" w:eastAsia="仿宋" w:cs="仿宋"/>
                <w:sz w:val="24"/>
                <w:szCs w:val="28"/>
                <w:highlight w:val="none"/>
              </w:rPr>
              <w:t>（最终报价）最低</w:t>
            </w:r>
            <w:r>
              <w:rPr>
                <w:rFonts w:hint="eastAsia" w:ascii="仿宋" w:hAnsi="仿宋" w:eastAsia="仿宋" w:cs="仿宋"/>
                <w:sz w:val="24"/>
                <w:szCs w:val="28"/>
                <w:highlight w:val="none"/>
                <w:lang w:val="en-US" w:eastAsia="zh-CN"/>
              </w:rPr>
              <w:t>的投标报价。</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仿宋" w:hAnsi="仿宋" w:eastAsia="仿宋" w:cs="仿宋"/>
                <w:sz w:val="24"/>
                <w:szCs w:val="28"/>
                <w:lang w:val="en-US" w:eastAsia="zh-CN"/>
              </w:rPr>
            </w:pPr>
            <w:r>
              <w:rPr>
                <w:rFonts w:hint="eastAsia" w:ascii="仿宋" w:hAnsi="仿宋" w:eastAsia="仿宋" w:cs="仿宋"/>
                <w:b/>
                <w:bCs/>
                <w:sz w:val="24"/>
                <w:szCs w:val="28"/>
                <w:highlight w:val="none"/>
              </w:rPr>
              <w:t>注：</w:t>
            </w:r>
            <w:r>
              <w:rPr>
                <w:rFonts w:hint="eastAsia" w:ascii="仿宋" w:hAnsi="仿宋" w:eastAsia="仿宋" w:cs="仿宋"/>
                <w:b/>
                <w:bCs/>
                <w:sz w:val="24"/>
                <w:szCs w:val="28"/>
                <w:highlight w:val="none"/>
                <w:lang w:val="en-US" w:eastAsia="zh-CN"/>
              </w:rPr>
              <w:t>项目评审过程中，不得去掉报价中的最高报价和最低报价</w:t>
            </w:r>
            <w:r>
              <w:rPr>
                <w:rFonts w:hint="eastAsia" w:ascii="仿宋" w:hAnsi="仿宋" w:eastAsia="仿宋" w:cs="仿宋"/>
                <w:b/>
                <w:bCs/>
                <w:sz w:val="24"/>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 w:hAnsi="仿宋" w:eastAsia="仿宋" w:cs="仿宋"/>
                <w:sz w:val="24"/>
              </w:rPr>
              <w:t>2</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 w:hAnsi="仿宋" w:eastAsia="仿宋" w:cs="仿宋"/>
                <w:sz w:val="24"/>
              </w:rPr>
              <w:t>业绩</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分</w:t>
            </w:r>
          </w:p>
        </w:tc>
        <w:tc>
          <w:tcPr>
            <w:tcW w:w="6409" w:type="dxa"/>
            <w:vAlign w:val="center"/>
          </w:tcPr>
          <w:p>
            <w:pPr>
              <w:pStyle w:val="2"/>
              <w:keepNext w:val="0"/>
              <w:keepLines w:val="0"/>
              <w:pageBreakBefore w:val="0"/>
              <w:widowControl w:val="0"/>
              <w:tabs>
                <w:tab w:val="left" w:pos="567"/>
              </w:tabs>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highlight w:val="none"/>
                <w:lang w:val="en-US" w:eastAsia="zh-CN" w:bidi="ar-SA"/>
              </w:rPr>
            </w:pPr>
            <w:r>
              <w:rPr>
                <w:rFonts w:hint="eastAsia" w:ascii="仿宋" w:hAnsi="仿宋" w:eastAsia="仿宋" w:cs="仿宋"/>
                <w:sz w:val="24"/>
                <w:szCs w:val="28"/>
                <w:highlight w:val="none"/>
                <w:lang w:val="en-US" w:eastAsia="zh-CN" w:bidi="ar-SA"/>
              </w:rPr>
              <w:t>供应商近三年(自2021年8月30日至投标文件递交截止之日)内，完成过1个类似业绩的得4分;在此基础上，每增加1个近三年(自2021年8月30日至投标文件递交截止之日)类似业绩得2分，最高得6分。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8"/>
              </w:rPr>
            </w:pPr>
            <w:r>
              <w:rPr>
                <w:rFonts w:hint="eastAsia" w:ascii="仿宋" w:hAnsi="仿宋" w:eastAsia="仿宋" w:cs="仿宋"/>
                <w:sz w:val="24"/>
                <w:szCs w:val="28"/>
                <w:highlight w:val="none"/>
                <w:lang w:val="en-US" w:eastAsia="zh-CN" w:bidi="ar-SA"/>
              </w:rPr>
              <w:t>注：每个业绩提供合同证明材料，认定时间以签订合同时间为准，提供合同的复印（扫描）件附在响应文件中。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highlight w:val="none"/>
              </w:rPr>
            </w:pPr>
            <w:r>
              <w:rPr>
                <w:rFonts w:hint="eastAsia" w:ascii="仿宋" w:hAnsi="仿宋" w:eastAsia="仿宋" w:cs="仿宋"/>
                <w:sz w:val="24"/>
                <w:highlight w:val="none"/>
              </w:rPr>
              <w:t>商务条款</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5分</w:t>
            </w:r>
          </w:p>
        </w:tc>
        <w:tc>
          <w:tcPr>
            <w:tcW w:w="64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8"/>
                <w:highlight w:val="none"/>
              </w:rPr>
            </w:pPr>
            <w:r>
              <w:rPr>
                <w:rFonts w:hint="eastAsia" w:ascii="仿宋" w:hAnsi="仿宋" w:eastAsia="仿宋" w:cs="仿宋"/>
                <w:sz w:val="24"/>
                <w:szCs w:val="28"/>
                <w:highlight w:val="none"/>
              </w:rPr>
              <w:t>不能实质性满足磋商文件重要商务条款要求的为无效标书。满足磋商文件商务条款要求的得3分，以此为基础，磋商企业商务条款优于磋商文件规定的相应商务条款的，每有一项加0.5分，分至标准分时为止。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技术条款</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lang w:val="en-US" w:eastAsia="zh-CN"/>
              </w:rPr>
            </w:pPr>
            <w:r>
              <w:rPr>
                <w:rFonts w:hint="eastAsia" w:ascii="仿宋" w:hAnsi="仿宋" w:eastAsia="仿宋" w:cs="仿宋"/>
                <w:sz w:val="24"/>
                <w:highlight w:val="none"/>
                <w:lang w:val="en-US" w:eastAsia="zh-CN"/>
              </w:rPr>
              <w:t>15分</w:t>
            </w:r>
          </w:p>
        </w:tc>
        <w:tc>
          <w:tcPr>
            <w:tcW w:w="64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1" w:firstLineChars="200"/>
              <w:textAlignment w:val="auto"/>
              <w:rPr>
                <w:rFonts w:hint="eastAsia" w:ascii="仿宋" w:hAnsi="仿宋" w:eastAsia="仿宋" w:cs="仿宋"/>
                <w:b/>
                <w:bCs/>
                <w:sz w:val="24"/>
                <w:szCs w:val="28"/>
                <w:highlight w:val="none"/>
              </w:rPr>
            </w:pPr>
            <w:r>
              <w:rPr>
                <w:rFonts w:hint="eastAsia" w:ascii="仿宋" w:hAnsi="仿宋" w:eastAsia="仿宋" w:cs="仿宋"/>
                <w:b/>
                <w:bCs/>
                <w:sz w:val="24"/>
                <w:szCs w:val="28"/>
                <w:highlight w:val="none"/>
              </w:rPr>
              <w:t>本项目体检项目共分为必检项和自选项，供应商须完全响应本项目必检项，提供相关证明材料（包括但不限于体检设备发票或租赁合同或包含以上体检项目的业绩等），不提供视为不响应招标文件</w:t>
            </w:r>
            <w:r>
              <w:rPr>
                <w:rFonts w:hint="eastAsia" w:ascii="仿宋" w:hAnsi="仿宋" w:eastAsia="仿宋" w:cs="仿宋"/>
                <w:b/>
                <w:bCs/>
                <w:sz w:val="24"/>
                <w:szCs w:val="28"/>
                <w:highlight w:val="none"/>
                <w:lang w:eastAsia="zh-CN"/>
              </w:rPr>
              <w:t>，</w:t>
            </w:r>
            <w:r>
              <w:rPr>
                <w:rFonts w:hint="eastAsia" w:ascii="仿宋" w:hAnsi="仿宋" w:eastAsia="仿宋" w:cs="仿宋"/>
                <w:b/>
                <w:bCs/>
                <w:sz w:val="24"/>
                <w:szCs w:val="28"/>
                <w:highlight w:val="none"/>
              </w:rPr>
              <w:t>为无效投标。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sz w:val="24"/>
                <w:szCs w:val="28"/>
                <w:highlight w:val="none"/>
                <w:lang w:val="en-US"/>
              </w:rPr>
            </w:pPr>
            <w:r>
              <w:rPr>
                <w:rFonts w:hint="eastAsia" w:ascii="仿宋" w:hAnsi="仿宋" w:eastAsia="仿宋" w:cs="仿宋"/>
                <w:sz w:val="24"/>
                <w:szCs w:val="28"/>
                <w:highlight w:val="none"/>
              </w:rPr>
              <w:t xml:space="preserve">    供应商满足磋商文件</w:t>
            </w:r>
            <w:r>
              <w:rPr>
                <w:rFonts w:hint="eastAsia" w:ascii="仿宋" w:hAnsi="仿宋" w:eastAsia="仿宋" w:cs="仿宋"/>
                <w:sz w:val="24"/>
                <w:szCs w:val="28"/>
                <w:highlight w:val="none"/>
                <w:lang w:val="en-US" w:eastAsia="zh-CN"/>
              </w:rPr>
              <w:t>全部</w:t>
            </w:r>
            <w:r>
              <w:rPr>
                <w:rFonts w:hint="eastAsia" w:ascii="仿宋" w:hAnsi="仿宋" w:eastAsia="仿宋" w:cs="仿宋"/>
                <w:sz w:val="24"/>
                <w:szCs w:val="28"/>
                <w:highlight w:val="none"/>
              </w:rPr>
              <w:t>自选项目的得</w:t>
            </w:r>
            <w:r>
              <w:rPr>
                <w:rFonts w:hint="eastAsia" w:ascii="仿宋" w:hAnsi="仿宋" w:eastAsia="仿宋" w:cs="仿宋"/>
                <w:sz w:val="24"/>
                <w:szCs w:val="28"/>
                <w:highlight w:val="none"/>
                <w:lang w:val="en-US" w:eastAsia="zh-CN"/>
              </w:rPr>
              <w:t>15</w:t>
            </w:r>
            <w:r>
              <w:rPr>
                <w:rFonts w:hint="eastAsia" w:ascii="仿宋" w:hAnsi="仿宋" w:eastAsia="仿宋" w:cs="仿宋"/>
                <w:sz w:val="24"/>
                <w:szCs w:val="28"/>
                <w:highlight w:val="none"/>
              </w:rPr>
              <w:t>分，供应商</w:t>
            </w:r>
            <w:r>
              <w:rPr>
                <w:rFonts w:hint="eastAsia" w:ascii="仿宋" w:hAnsi="仿宋" w:eastAsia="仿宋" w:cs="仿宋"/>
                <w:sz w:val="24"/>
                <w:szCs w:val="28"/>
                <w:highlight w:val="none"/>
                <w:lang w:val="en-US" w:eastAsia="zh-CN"/>
              </w:rPr>
              <w:t>不能全部</w:t>
            </w:r>
            <w:r>
              <w:rPr>
                <w:rFonts w:hint="eastAsia" w:ascii="仿宋" w:hAnsi="仿宋" w:eastAsia="仿宋" w:cs="仿宋"/>
                <w:sz w:val="24"/>
                <w:szCs w:val="28"/>
                <w:highlight w:val="none"/>
              </w:rPr>
              <w:t>满足磋商文件体检自选项目</w:t>
            </w:r>
            <w:r>
              <w:rPr>
                <w:rFonts w:hint="eastAsia" w:ascii="仿宋" w:hAnsi="仿宋" w:eastAsia="仿宋" w:cs="仿宋"/>
                <w:sz w:val="24"/>
                <w:szCs w:val="28"/>
                <w:highlight w:val="none"/>
                <w:lang w:val="en-US" w:eastAsia="zh-CN"/>
              </w:rPr>
              <w:t>的，每减少1项，得分减少1分，直至不得分。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8"/>
              </w:rPr>
            </w:pPr>
            <w:r>
              <w:rPr>
                <w:rFonts w:hint="eastAsia" w:ascii="仿宋" w:hAnsi="仿宋" w:eastAsia="仿宋" w:cs="仿宋"/>
                <w:sz w:val="24"/>
                <w:szCs w:val="28"/>
                <w:highlight w:val="none"/>
              </w:rPr>
              <w:t xml:space="preserve">    注：</w:t>
            </w:r>
            <w:r>
              <w:rPr>
                <w:rFonts w:hint="eastAsia" w:ascii="仿宋" w:hAnsi="仿宋" w:eastAsia="仿宋" w:cs="仿宋"/>
                <w:sz w:val="24"/>
                <w:szCs w:val="28"/>
                <w:highlight w:val="none"/>
                <w:lang w:val="en-US" w:eastAsia="zh-CN"/>
              </w:rPr>
              <w:t>供应商</w:t>
            </w:r>
            <w:r>
              <w:rPr>
                <w:rFonts w:hint="eastAsia" w:ascii="仿宋" w:hAnsi="仿宋" w:eastAsia="仿宋" w:cs="仿宋"/>
                <w:sz w:val="24"/>
                <w:szCs w:val="28"/>
                <w:highlight w:val="none"/>
              </w:rPr>
              <w:t>响应</w:t>
            </w:r>
            <w:r>
              <w:rPr>
                <w:rFonts w:hint="eastAsia" w:ascii="仿宋" w:hAnsi="仿宋" w:eastAsia="仿宋" w:cs="仿宋"/>
                <w:sz w:val="24"/>
                <w:szCs w:val="28"/>
                <w:highlight w:val="none"/>
                <w:lang w:val="en-US" w:eastAsia="zh-CN"/>
              </w:rPr>
              <w:t>的自选项目需提供相关证明材料（包括但不限于体检设备发票或租赁合同或包含以上体检项目的业绩等），投标文件技术偏离表中注明证明材料页码。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服务团队</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10分</w:t>
            </w:r>
          </w:p>
        </w:tc>
        <w:tc>
          <w:tcPr>
            <w:tcW w:w="64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供应商拟派服务团队成员中每提供一位具有主任医师或教授证书的得1.5分，满分3分；供应商拟派服务团队成员中每提供一位具有副主任医师或副教授或副主任技师（含以上级）证书的，得1分，满分6分；供应商拟派团队成员中每提供一位具有健康管理师证书的，得1分，满分1分；</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eastAsia" w:ascii="仿宋" w:hAnsi="仿宋" w:eastAsia="仿宋" w:cs="仿宋"/>
                <w:b/>
                <w:bCs/>
                <w:sz w:val="24"/>
                <w:szCs w:val="28"/>
              </w:rPr>
            </w:pPr>
            <w:r>
              <w:rPr>
                <w:rFonts w:hint="eastAsia" w:ascii="仿宋" w:hAnsi="仿宋" w:eastAsia="仿宋" w:cs="仿宋"/>
                <w:b/>
                <w:bCs/>
                <w:sz w:val="24"/>
                <w:szCs w:val="28"/>
              </w:rPr>
              <w:t>注：以上人员证书须在投标文件中附清晰扫描件，同一人员不重复进行加分。未提供或不满足要求的不得分。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体检服务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 w:hAnsi="仿宋" w:eastAsia="仿宋" w:cs="仿宋"/>
                <w:sz w:val="24"/>
              </w:rPr>
              <w:t>方案</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10分</w:t>
            </w:r>
          </w:p>
        </w:tc>
        <w:tc>
          <w:tcPr>
            <w:tcW w:w="64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供应商提供针对本项目的体检服务实施方案，包括但不限于服务运作流程、人员引导、检查结果的公信度及结果反馈、检查结果在医疗行业的互认程度、体检工作的正规程度、体检套餐项目增加项等内容进行评审：</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①体检服务方案内容完善、体检服务运作流程井然有序、有充足且经验丰富的人员引导、保证参检职工及时、安全的完成健康体检，体检工作安排正规符合行业规定要求的，得8-10分；</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②体检服务方案内容表述清楚、服务运作流程表述清楚、能保证参检职工及时、安全的完成健康体检，体检工作安排正规</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基本</w:t>
            </w:r>
            <w:r>
              <w:rPr>
                <w:rFonts w:hint="eastAsia" w:ascii="仿宋" w:hAnsi="仿宋" w:eastAsia="仿宋" w:cs="仿宋"/>
                <w:sz w:val="24"/>
                <w:szCs w:val="28"/>
                <w:highlight w:val="none"/>
              </w:rPr>
              <w:t>符合行业规定要求的，得6-8分；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③体检服务方案内容完整、服务运作流程繁杂、体检套餐有增加项目的，基本保证参检职工及时、安全的完成健康体检的，得4-6分；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highlight w:val="magenta"/>
              </w:rPr>
            </w:pPr>
            <w:r>
              <w:rPr>
                <w:rFonts w:hint="eastAsia" w:ascii="仿宋" w:hAnsi="仿宋" w:eastAsia="仿宋" w:cs="仿宋"/>
                <w:sz w:val="24"/>
                <w:szCs w:val="28"/>
                <w:highlight w:val="none"/>
              </w:rPr>
              <w:t>④体检服务方案内容不完整、服务运作流程繁杂、不能保证参检职工及时、安全的完成健康体检的，得2-4分；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⑤体检服务方案内容不完整、无体检操作流程、不能保证参检职工完成健康体检的，得0-2分；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⑥未提供相应内容或所提供内容与项目不符的不得分。</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ascii="仿宋" w:hAnsi="仿宋" w:eastAsia="仿宋" w:cs="仿宋"/>
                <w:sz w:val="24"/>
                <w:szCs w:val="28"/>
              </w:rPr>
            </w:pPr>
            <w:r>
              <w:rPr>
                <w:rFonts w:hint="eastAsia" w:ascii="仿宋" w:hAnsi="仿宋" w:eastAsia="仿宋" w:cs="仿宋"/>
                <w:b/>
                <w:bCs/>
                <w:sz w:val="24"/>
                <w:szCs w:val="28"/>
              </w:rPr>
              <w:t>说明：本项内容中每有一处描述不准确或者不满足实际情况的扣1分，扣完为止。不准确或不满足实际情况是指内容与国家或行业相关政策法规或管理办法不符，或与行业惯例不符；不具备实施的可能性或套用其他项目方案或引用错误或前后内容不一致甚至矛盾或存在与本项目无关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 w:hAnsi="仿宋" w:eastAsia="仿宋" w:cs="仿宋"/>
                <w:sz w:val="24"/>
              </w:rPr>
              <w:t>服务质量控制与保障</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10分</w:t>
            </w:r>
          </w:p>
        </w:tc>
        <w:tc>
          <w:tcPr>
            <w:tcW w:w="64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根据供应商提供的本次职工体检服务质量保障措施，评委针对包括但不限于项目质量管理体系，质量保障措施，服务各环节质量审查人员及质量校核流程等内容进行评审：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①体检服务质量管理体系内容逻辑缜密、保障措施完整详实、服务各环节质量保障专人负责、质量校核流程详细完整、科学明确的，得8-10分；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②体检服务质量管理体系内容逻辑清晰、保障措施细致、服务各环节质量保障专人负责、质量校核流程明确、合理，得6-8分；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highlight w:val="magenta"/>
              </w:rPr>
            </w:pPr>
            <w:r>
              <w:rPr>
                <w:rFonts w:hint="eastAsia" w:ascii="仿宋" w:hAnsi="仿宋" w:eastAsia="仿宋" w:cs="仿宋"/>
                <w:sz w:val="24"/>
                <w:szCs w:val="28"/>
                <w:highlight w:val="none"/>
              </w:rPr>
              <w:t>③体检服务质量管理体系内容逻辑顺畅、保障措施完整、服务各环节质量保障专人负责、有质量校核流程，得 4-6 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④体检服务质量管理体系内容逻辑混乱、保障措施片面、服务各环节质量保障无专人负责、没有质量校核流程的，得2-4分；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⑤未提供相应内容或所提供内容与项目不符的不得分。</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ascii="仿宋" w:hAnsi="仿宋" w:eastAsia="仿宋" w:cs="仿宋"/>
                <w:sz w:val="24"/>
                <w:szCs w:val="28"/>
              </w:rPr>
            </w:pPr>
            <w:r>
              <w:rPr>
                <w:rFonts w:hint="eastAsia" w:ascii="仿宋" w:hAnsi="仿宋" w:eastAsia="仿宋" w:cs="仿宋"/>
                <w:b/>
                <w:bCs/>
                <w:sz w:val="24"/>
                <w:szCs w:val="28"/>
              </w:rPr>
              <w:t>说明：本项内容中每有一处描述不准确或者不满足实际情况的扣1分，扣完为止。不准确或不满足实际情况是指内容与国家或行业相关政策法规或管理办法不符，或与行业惯例不符；不具备实施的可能性或套用其他项目方案或引用错误或前后内容不一致甚至矛盾或存在与本项目无关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健康档案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 w:hAnsi="仿宋" w:eastAsia="仿宋" w:cs="仿宋"/>
                <w:sz w:val="24"/>
              </w:rPr>
              <w:t>管理</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10分</w:t>
            </w:r>
          </w:p>
        </w:tc>
        <w:tc>
          <w:tcPr>
            <w:tcW w:w="64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sz w:val="24"/>
                <w:szCs w:val="28"/>
              </w:rPr>
            </w:pPr>
            <w:r>
              <w:rPr>
                <w:rFonts w:hint="eastAsia" w:ascii="仿宋" w:hAnsi="仿宋" w:eastAsia="仿宋" w:cs="仿宋"/>
                <w:sz w:val="24"/>
                <w:szCs w:val="28"/>
                <w:highlight w:val="none"/>
              </w:rPr>
              <w:t>健康档案管理实现信息化、便捷化，保密制度详细、健康档案完善合理的得8-10分，实现信息化、便捷化，保密制度完善合理，健康档案较完善、较合理的得6-8分，实现信息化、便捷化，保密制度仅表述要点内容，健康档案基本完善、基本合理的得4-6分，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9</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仿宋"/>
                <w:sz w:val="24"/>
                <w:highlight w:val="none"/>
              </w:rPr>
            </w:pPr>
            <w:r>
              <w:rPr>
                <w:rFonts w:hint="eastAsia" w:ascii="仿宋" w:hAnsi="仿宋" w:eastAsia="仿宋" w:cs="仿宋"/>
                <w:sz w:val="24"/>
                <w:highlight w:val="none"/>
              </w:rPr>
              <w:t>体检项目可靠性及承诺</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10分</w:t>
            </w:r>
          </w:p>
        </w:tc>
        <w:tc>
          <w:tcPr>
            <w:tcW w:w="64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根据供应商自身具有仪器、专业技师</w:t>
            </w:r>
            <w:r>
              <w:rPr>
                <w:rFonts w:hint="eastAsia" w:ascii="仿宋" w:hAnsi="仿宋" w:eastAsia="仿宋" w:cs="仿宋"/>
                <w:sz w:val="24"/>
                <w:szCs w:val="28"/>
                <w:highlight w:val="none"/>
                <w:lang w:val="en-US" w:eastAsia="zh-CN"/>
              </w:rPr>
              <w:t>及对健康体检</w:t>
            </w:r>
            <w:r>
              <w:rPr>
                <w:rFonts w:hint="eastAsia" w:ascii="仿宋" w:hAnsi="仿宋" w:eastAsia="仿宋" w:cs="仿宋"/>
                <w:sz w:val="24"/>
                <w:szCs w:val="28"/>
                <w:highlight w:val="none"/>
              </w:rPr>
              <w:t>检查结果在医疗行业的</w:t>
            </w:r>
            <w:r>
              <w:rPr>
                <w:rFonts w:hint="eastAsia" w:ascii="仿宋" w:hAnsi="仿宋" w:eastAsia="仿宋" w:cs="仿宋"/>
                <w:sz w:val="24"/>
                <w:szCs w:val="28"/>
                <w:highlight w:val="none"/>
                <w:lang w:val="en-US" w:eastAsia="zh-CN"/>
              </w:rPr>
              <w:t>参考</w:t>
            </w:r>
            <w:r>
              <w:rPr>
                <w:rFonts w:hint="eastAsia" w:ascii="仿宋" w:hAnsi="仿宋" w:eastAsia="仿宋" w:cs="仿宋"/>
                <w:sz w:val="24"/>
                <w:szCs w:val="28"/>
                <w:highlight w:val="none"/>
              </w:rPr>
              <w:t>程度等情况，评委对体检结果的可靠性进行评审：</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szCs w:val="28"/>
                <w:highlight w:val="none"/>
              </w:rPr>
            </w:pPr>
            <w:r>
              <w:rPr>
                <w:rFonts w:hint="eastAsia" w:ascii="仿宋" w:hAnsi="仿宋" w:eastAsia="仿宋" w:cs="仿宋"/>
                <w:sz w:val="24"/>
                <w:szCs w:val="28"/>
                <w:highlight w:val="none"/>
              </w:rPr>
              <w:t>分析合理、完善、可靠，并有确保准确率的相关承诺的得</w:t>
            </w:r>
            <w:r>
              <w:rPr>
                <w:rFonts w:hint="eastAsia" w:ascii="仿宋" w:hAnsi="仿宋" w:eastAsia="仿宋" w:cs="仿宋"/>
                <w:sz w:val="24"/>
                <w:szCs w:val="28"/>
                <w:highlight w:val="none"/>
                <w:lang w:val="en-US" w:eastAsia="zh-CN"/>
              </w:rPr>
              <w:t>8</w:t>
            </w:r>
            <w:r>
              <w:rPr>
                <w:rFonts w:hint="eastAsia" w:ascii="仿宋" w:hAnsi="仿宋" w:eastAsia="仿宋" w:cs="仿宋"/>
                <w:sz w:val="24"/>
                <w:szCs w:val="28"/>
                <w:highlight w:val="none"/>
              </w:rPr>
              <w:t>-</w:t>
            </w:r>
            <w:r>
              <w:rPr>
                <w:rFonts w:hint="eastAsia" w:ascii="仿宋" w:hAnsi="仿宋" w:eastAsia="仿宋" w:cs="仿宋"/>
                <w:sz w:val="24"/>
                <w:szCs w:val="28"/>
                <w:highlight w:val="none"/>
                <w:lang w:val="en-US" w:eastAsia="zh-CN"/>
              </w:rPr>
              <w:t>10</w:t>
            </w:r>
            <w:r>
              <w:rPr>
                <w:rFonts w:hint="eastAsia" w:ascii="仿宋" w:hAnsi="仿宋" w:eastAsia="仿宋" w:cs="仿宋"/>
                <w:sz w:val="24"/>
                <w:szCs w:val="28"/>
                <w:highlight w:val="none"/>
              </w:rPr>
              <w:t>分，分析较合理、较完善、较可靠，并有确保准确率的相关承诺的得</w:t>
            </w:r>
            <w:r>
              <w:rPr>
                <w:rFonts w:hint="eastAsia" w:ascii="仿宋" w:hAnsi="仿宋" w:eastAsia="仿宋" w:cs="仿宋"/>
                <w:sz w:val="24"/>
                <w:szCs w:val="28"/>
                <w:highlight w:val="none"/>
                <w:lang w:val="en-US" w:eastAsia="zh-CN"/>
              </w:rPr>
              <w:t>5</w:t>
            </w:r>
            <w:r>
              <w:rPr>
                <w:rFonts w:hint="eastAsia" w:ascii="仿宋" w:hAnsi="仿宋" w:eastAsia="仿宋" w:cs="仿宋"/>
                <w:sz w:val="24"/>
                <w:szCs w:val="28"/>
                <w:highlight w:val="none"/>
              </w:rPr>
              <w:t>-</w:t>
            </w:r>
            <w:r>
              <w:rPr>
                <w:rFonts w:hint="eastAsia" w:ascii="仿宋" w:hAnsi="仿宋" w:eastAsia="仿宋" w:cs="仿宋"/>
                <w:sz w:val="24"/>
                <w:szCs w:val="28"/>
                <w:highlight w:val="none"/>
                <w:lang w:val="en-US" w:eastAsia="zh-CN"/>
              </w:rPr>
              <w:t>8</w:t>
            </w:r>
            <w:r>
              <w:rPr>
                <w:rFonts w:hint="eastAsia" w:ascii="仿宋" w:hAnsi="仿宋" w:eastAsia="仿宋" w:cs="仿宋"/>
                <w:sz w:val="24"/>
                <w:szCs w:val="28"/>
                <w:highlight w:val="none"/>
              </w:rPr>
              <w:t>分，基本完善、基本详细、基本合理，并有确保准确率的相关承诺的得2-</w:t>
            </w:r>
            <w:r>
              <w:rPr>
                <w:rFonts w:hint="eastAsia" w:ascii="仿宋" w:hAnsi="仿宋" w:eastAsia="仿宋" w:cs="仿宋"/>
                <w:sz w:val="24"/>
                <w:szCs w:val="28"/>
                <w:highlight w:val="none"/>
                <w:lang w:val="en-US" w:eastAsia="zh-CN"/>
              </w:rPr>
              <w:t>5</w:t>
            </w:r>
            <w:r>
              <w:rPr>
                <w:rFonts w:hint="eastAsia" w:ascii="仿宋" w:hAnsi="仿宋" w:eastAsia="仿宋" w:cs="仿宋"/>
                <w:sz w:val="24"/>
                <w:szCs w:val="28"/>
                <w:highlight w:val="none"/>
              </w:rPr>
              <w:t>分，未提供相应内容或所提供内容与项目不符的不得分。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jc w:val="center"/>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检后</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服务承诺</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10分</w:t>
            </w:r>
          </w:p>
        </w:tc>
        <w:tc>
          <w:tcPr>
            <w:tcW w:w="64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供应针对本项目提供售后服务方案，评委针对包括但不限于线上、线下体检报告解读、咨询，提供疾病预防、保健、营养指导等专题讲座等内容进行评审：</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①提供售后服务方案内容充实完整、体检延续性服务工作流程科学细致、针对性强，提供的疾病预防、保健、营养指导等专题讲座内容丰富有指导性作用的，得</w:t>
            </w:r>
            <w:r>
              <w:rPr>
                <w:rFonts w:hint="eastAsia" w:ascii="仿宋" w:hAnsi="仿宋" w:eastAsia="仿宋" w:cs="仿宋"/>
                <w:sz w:val="24"/>
                <w:szCs w:val="28"/>
                <w:highlight w:val="none"/>
                <w:lang w:val="en-US" w:eastAsia="zh-CN"/>
              </w:rPr>
              <w:t>8-10</w:t>
            </w:r>
            <w:r>
              <w:rPr>
                <w:rFonts w:hint="eastAsia" w:ascii="仿宋" w:hAnsi="仿宋" w:eastAsia="仿宋" w:cs="仿宋"/>
                <w:sz w:val="24"/>
                <w:szCs w:val="28"/>
                <w:highlight w:val="none"/>
              </w:rPr>
              <w:t>分；</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②提供售后服务方案内容完整、体检延续性服务工作流程具体，提供的疾病预防、保健、营养指导等专题讲座内容有一定指导性作用的，得</w:t>
            </w:r>
            <w:r>
              <w:rPr>
                <w:rFonts w:hint="eastAsia" w:ascii="仿宋" w:hAnsi="仿宋" w:eastAsia="仿宋" w:cs="仿宋"/>
                <w:sz w:val="24"/>
                <w:szCs w:val="28"/>
                <w:highlight w:val="none"/>
                <w:lang w:val="en-US" w:eastAsia="zh-CN"/>
              </w:rPr>
              <w:t>6-8</w:t>
            </w:r>
            <w:r>
              <w:rPr>
                <w:rFonts w:hint="eastAsia" w:ascii="仿宋" w:hAnsi="仿宋" w:eastAsia="仿宋" w:cs="仿宋"/>
                <w:sz w:val="24"/>
                <w:szCs w:val="28"/>
                <w:highlight w:val="none"/>
              </w:rPr>
              <w:t>分；</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③提供售后服务方案内容完整、体检延续性服务工作流程表述相应节点、表述笼统，能够提供针对疾病和健康的宣传内容的，得4-6分；</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④提供售后服务方案内容片面、体检延续性服务工作流程表述笼统、简单，得2-4分；</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⑤提供售后服务方案内容不完整、体检延续性服务工作流程缺乏针对性，得0-2分；</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⑥未提供相应内容或所提供内容与项目不符的不得分。</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textAlignment w:val="auto"/>
              <w:rPr>
                <w:rFonts w:hint="eastAsia" w:ascii="仿宋" w:hAnsi="仿宋" w:eastAsia="仿宋" w:cs="仿宋"/>
                <w:sz w:val="24"/>
                <w:szCs w:val="28"/>
                <w:highlight w:val="none"/>
              </w:rPr>
            </w:pPr>
            <w:r>
              <w:rPr>
                <w:rFonts w:hint="eastAsia" w:ascii="仿宋" w:hAnsi="仿宋" w:eastAsia="仿宋" w:cs="仿宋"/>
                <w:b/>
                <w:bCs/>
                <w:sz w:val="24"/>
                <w:szCs w:val="28"/>
                <w:highlight w:val="none"/>
              </w:rPr>
              <w:t>说明：本项内容中每有一处描述不准确或者不满足实际情况的扣1分，扣完为止。不准确或不满足实际情况是指内容与国家或行业相关政策法规或管理办法不符，或与行业惯例不符；不具备实施的可能性或套用其他项目方案或引用错误或前后内容不一致甚至矛盾或存在与本项目无关的内容</w:t>
            </w:r>
            <w:r>
              <w:rPr>
                <w:rFonts w:hint="eastAsia" w:ascii="仿宋" w:hAnsi="仿宋" w:eastAsia="仿宋" w:cs="仿宋"/>
                <w:sz w:val="24"/>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914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24"/>
              </w:rPr>
            </w:pPr>
            <w:r>
              <w:rPr>
                <w:rFonts w:hint="eastAsia" w:ascii="仿宋" w:hAnsi="仿宋" w:eastAsia="仿宋" w:cs="仿宋"/>
                <w:sz w:val="24"/>
              </w:rPr>
              <w:t>注：供应商提供的业绩、人员等相关证明材料中的供应商名称须与本次响应的供应商名称一致，任何与响应供应商名称不符（如：总所或其他分支机构）的业绩、人员等均不得分。</w:t>
            </w:r>
          </w:p>
        </w:tc>
      </w:tr>
    </w:tbl>
    <w:p>
      <w:pPr>
        <w:spacing w:line="360" w:lineRule="auto"/>
        <w:rPr>
          <w:sz w:val="21"/>
          <w:szCs w:val="21"/>
        </w:rPr>
      </w:pPr>
    </w:p>
    <w:sectPr>
      <w:pgSz w:w="11900" w:h="16843"/>
      <w:pgMar w:top="1083" w:right="1440" w:bottom="1083" w:left="1440" w:header="850" w:footer="850" w:gutter="0"/>
      <w:cols w:space="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2010600030101010101"/>
    <w:charset w:val="02"/>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220"/>
  <w:drawingGridVerticalSpacing w:val="-794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jA2ODc3NjVlOTg1MDU4YjllODllMDNmZDc5NTgifQ=="/>
  </w:docVars>
  <w:rsids>
    <w:rsidRoot w:val="406777B4"/>
    <w:rsid w:val="000E1E3B"/>
    <w:rsid w:val="00B853AA"/>
    <w:rsid w:val="051F56CA"/>
    <w:rsid w:val="16B72F97"/>
    <w:rsid w:val="1BBE0BBE"/>
    <w:rsid w:val="22A1526B"/>
    <w:rsid w:val="27630472"/>
    <w:rsid w:val="28615EF3"/>
    <w:rsid w:val="30993B5F"/>
    <w:rsid w:val="33552D5A"/>
    <w:rsid w:val="35A736FB"/>
    <w:rsid w:val="3A613057"/>
    <w:rsid w:val="3A6C4D39"/>
    <w:rsid w:val="3B846DEA"/>
    <w:rsid w:val="406777B4"/>
    <w:rsid w:val="409758DB"/>
    <w:rsid w:val="43BA3952"/>
    <w:rsid w:val="51491D32"/>
    <w:rsid w:val="51502715"/>
    <w:rsid w:val="57EF2D07"/>
    <w:rsid w:val="5B2E73E5"/>
    <w:rsid w:val="5BEF470F"/>
    <w:rsid w:val="616D67BF"/>
    <w:rsid w:val="62460211"/>
    <w:rsid w:val="659A375B"/>
    <w:rsid w:val="6C9546D7"/>
    <w:rsid w:val="6FA31447"/>
    <w:rsid w:val="729667C8"/>
    <w:rsid w:val="79371417"/>
    <w:rsid w:val="7EF56194"/>
    <w:rsid w:val="7FB95178"/>
    <w:rsid w:val="FD7EB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9"/>
    <w:pPr>
      <w:ind w:left="1026" w:right="1076"/>
      <w:jc w:val="center"/>
      <w:outlineLvl w:val="0"/>
    </w:pPr>
    <w:rPr>
      <w:sz w:val="72"/>
      <w:szCs w:val="72"/>
    </w:rPr>
  </w:style>
  <w:style w:type="paragraph" w:styleId="4">
    <w:name w:val="heading 2"/>
    <w:basedOn w:val="1"/>
    <w:next w:val="5"/>
    <w:unhideWhenUsed/>
    <w:qFormat/>
    <w:uiPriority w:val="0"/>
    <w:pPr>
      <w:spacing w:before="22"/>
      <w:ind w:left="1144" w:right="1155"/>
      <w:jc w:val="center"/>
      <w:outlineLvl w:val="1"/>
    </w:pPr>
    <w:rPr>
      <w:sz w:val="44"/>
      <w:szCs w:val="44"/>
    </w:rPr>
  </w:style>
  <w:style w:type="paragraph" w:styleId="6">
    <w:name w:val="heading 4"/>
    <w:basedOn w:val="1"/>
    <w:next w:val="1"/>
    <w:unhideWhenUsed/>
    <w:qFormat/>
    <w:uiPriority w:val="9"/>
    <w:pPr>
      <w:spacing w:before="43"/>
      <w:ind w:right="10"/>
      <w:jc w:val="center"/>
      <w:outlineLvl w:val="3"/>
    </w:pPr>
    <w:rPr>
      <w:sz w:val="30"/>
      <w:szCs w:val="30"/>
    </w:rPr>
  </w:style>
  <w:style w:type="paragraph" w:styleId="7">
    <w:name w:val="heading 8"/>
    <w:basedOn w:val="1"/>
    <w:next w:val="1"/>
    <w:qFormat/>
    <w:uiPriority w:val="1"/>
    <w:pPr>
      <w:spacing w:before="1"/>
      <w:ind w:left="440"/>
      <w:outlineLvl w:val="7"/>
    </w:pPr>
    <w:rPr>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5">
    <w:name w:val="Normal Indent"/>
    <w:basedOn w:val="1"/>
    <w:qFormat/>
    <w:uiPriority w:val="0"/>
    <w:pPr>
      <w:ind w:firstLine="420" w:firstLineChars="200"/>
    </w:pPr>
    <w:rPr>
      <w:rFonts w:ascii="Times New Roman" w:hAnsi="Times New Roman" w:cs="Times New Roman"/>
    </w:rPr>
  </w:style>
  <w:style w:type="paragraph" w:styleId="8">
    <w:name w:val="annotation text"/>
    <w:basedOn w:val="1"/>
    <w:qFormat/>
    <w:uiPriority w:val="0"/>
    <w:rPr>
      <w:rFonts w:ascii="Times New Roman" w:hAnsi="Times New Roman" w:cs="Times New Roman"/>
    </w:rPr>
  </w:style>
  <w:style w:type="paragraph" w:styleId="9">
    <w:name w:val="Body Text Indent"/>
    <w:basedOn w:val="1"/>
    <w:qFormat/>
    <w:uiPriority w:val="0"/>
    <w:pPr>
      <w:ind w:firstLine="648"/>
    </w:pPr>
    <w:rPr>
      <w:sz w:val="32"/>
      <w:szCs w:val="20"/>
    </w:rPr>
  </w:style>
  <w:style w:type="paragraph" w:styleId="10">
    <w:name w:val="footer"/>
    <w:basedOn w:val="1"/>
    <w:qFormat/>
    <w:uiPriority w:val="0"/>
    <w:pPr>
      <w:tabs>
        <w:tab w:val="center" w:pos="4153"/>
        <w:tab w:val="right" w:pos="8306"/>
      </w:tabs>
      <w:snapToGrid w:val="0"/>
    </w:pPr>
    <w:rPr>
      <w:rFonts w:ascii="Times New Roman" w:hAnsi="Times New Roman" w:cs="Times New Roman"/>
      <w:sz w:val="18"/>
      <w:szCs w:val="18"/>
    </w:rPr>
  </w:style>
  <w:style w:type="paragraph" w:styleId="11">
    <w:name w:val="Body Text Indent 3"/>
    <w:basedOn w:val="1"/>
    <w:qFormat/>
    <w:uiPriority w:val="0"/>
    <w:pPr>
      <w:ind w:left="2" w:firstLine="628" w:firstLineChars="196"/>
    </w:pPr>
    <w:rPr>
      <w:rFonts w:ascii="Arial" w:hAnsi="Arial" w:eastAsia="仿宋_GB2312"/>
      <w:b/>
      <w:sz w:val="32"/>
      <w:lang w:bidi="he-IL"/>
    </w:rPr>
  </w:style>
  <w:style w:type="paragraph" w:styleId="12">
    <w:name w:val="Title"/>
    <w:basedOn w:val="1"/>
    <w:next w:val="1"/>
    <w:qFormat/>
    <w:uiPriority w:val="0"/>
    <w:pPr>
      <w:adjustRightInd w:val="0"/>
      <w:spacing w:before="240" w:after="60" w:line="420" w:lineRule="atLeast"/>
      <w:jc w:val="center"/>
      <w:textAlignment w:val="baseline"/>
      <w:outlineLvl w:val="0"/>
    </w:pPr>
    <w:rPr>
      <w:rFonts w:ascii="Arial" w:hAnsi="Arial" w:cs="Times New Roman"/>
      <w:b/>
      <w:sz w:val="32"/>
      <w:szCs w:val="20"/>
    </w:rPr>
  </w:style>
  <w:style w:type="paragraph" w:styleId="13">
    <w:name w:val="Body Text First Indent"/>
    <w:basedOn w:val="2"/>
    <w:qFormat/>
    <w:uiPriority w:val="0"/>
    <w:pPr>
      <w:tabs>
        <w:tab w:val="left" w:pos="567"/>
      </w:tabs>
      <w:ind w:firstLine="420" w:firstLineChars="100"/>
    </w:pPr>
  </w:style>
  <w:style w:type="paragraph" w:styleId="14">
    <w:name w:val="Body Text First Indent 2"/>
    <w:basedOn w:val="9"/>
    <w:next w:val="1"/>
    <w:qFormat/>
    <w:uiPriority w:val="0"/>
    <w:pPr>
      <w:ind w:firstLine="420" w:firstLineChars="200"/>
    </w:pPr>
  </w:style>
  <w:style w:type="character" w:styleId="17">
    <w:name w:val="Strong"/>
    <w:qFormat/>
    <w:uiPriority w:val="22"/>
    <w:rPr>
      <w:b/>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paragraph" w:customStyle="1" w:styleId="19">
    <w:name w:val="正文（缩进）"/>
    <w:basedOn w:val="1"/>
    <w:qFormat/>
    <w:uiPriority w:val="0"/>
    <w:pPr>
      <w:spacing w:beforeLines="50" w:afterLines="50"/>
      <w:ind w:firstLine="480"/>
    </w:pPr>
    <w:rPr>
      <w:sz w:val="24"/>
    </w:rPr>
  </w:style>
  <w:style w:type="paragraph" w:customStyle="1" w:styleId="20">
    <w:name w:val="Table Paragraph"/>
    <w:basedOn w:val="21"/>
    <w:qFormat/>
    <w:uiPriority w:val="1"/>
  </w:style>
  <w:style w:type="paragraph" w:customStyle="1" w:styleId="21">
    <w:name w:val="正文_0_0"/>
    <w:next w:val="22"/>
    <w:qFormat/>
    <w:uiPriority w:val="0"/>
    <w:pPr>
      <w:widowControl w:val="0"/>
      <w:autoSpaceDE w:val="0"/>
      <w:autoSpaceDN w:val="0"/>
    </w:pPr>
    <w:rPr>
      <w:rFonts w:ascii="宋体" w:hAnsi="宋体" w:eastAsia="宋体" w:cs="黑体"/>
      <w:sz w:val="22"/>
      <w:szCs w:val="22"/>
      <w:lang w:val="zh-CN" w:eastAsia="zh-CN" w:bidi="zh-CN"/>
    </w:rPr>
  </w:style>
  <w:style w:type="paragraph" w:customStyle="1" w:styleId="22">
    <w:name w:val="标题 2_0_0"/>
    <w:basedOn w:val="21"/>
    <w:next w:val="23"/>
    <w:qFormat/>
    <w:uiPriority w:val="0"/>
    <w:pPr>
      <w:spacing w:before="260" w:after="260" w:line="416" w:lineRule="auto"/>
      <w:outlineLvl w:val="1"/>
    </w:pPr>
    <w:rPr>
      <w:rFonts w:ascii="Arial" w:hAnsi="Arial" w:eastAsia="黑体"/>
      <w:b/>
      <w:bCs/>
      <w:sz w:val="32"/>
      <w:szCs w:val="32"/>
    </w:rPr>
  </w:style>
  <w:style w:type="paragraph" w:customStyle="1" w:styleId="23">
    <w:name w:val="正文缩进_0_0"/>
    <w:basedOn w:val="21"/>
    <w:qFormat/>
    <w:uiPriority w:val="0"/>
    <w:pPr>
      <w:ind w:firstLine="420"/>
    </w:pPr>
    <w:rPr>
      <w:sz w:val="20"/>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220" w:firstLine="420"/>
    </w:pPr>
  </w:style>
  <w:style w:type="paragraph" w:customStyle="1" w:styleId="26">
    <w:name w:val="首行缩进"/>
    <w:basedOn w:val="1"/>
    <w:qFormat/>
    <w:uiPriority w:val="0"/>
    <w:pPr>
      <w:spacing w:line="360" w:lineRule="auto"/>
      <w:ind w:left="210" w:leftChars="100" w:firstLine="420" w:firstLineChars="200"/>
    </w:pPr>
  </w:style>
  <w:style w:type="paragraph" w:customStyle="1" w:styleId="27">
    <w:name w:val="最 中间标题"/>
    <w:basedOn w:val="1"/>
    <w:link w:val="29"/>
    <w:qFormat/>
    <w:uiPriority w:val="0"/>
    <w:pPr>
      <w:spacing w:before="100" w:beforeLines="100" w:after="100" w:afterLines="100"/>
      <w:jc w:val="center"/>
    </w:pPr>
    <w:rPr>
      <w:rFonts w:cs="Times New Roman"/>
      <w:b/>
      <w:bCs/>
      <w:sz w:val="30"/>
      <w:szCs w:val="30"/>
    </w:rPr>
  </w:style>
  <w:style w:type="paragraph" w:customStyle="1" w:styleId="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9">
    <w:name w:val="最 中间标题 Char"/>
    <w:link w:val="27"/>
    <w:qFormat/>
    <w:uiPriority w:val="0"/>
    <w:rPr>
      <w:rFonts w:ascii="宋体" w:hAnsi="宋体" w:eastAsia="宋体" w:cs="Times New Roman"/>
      <w:b/>
      <w:bCs/>
      <w:kern w:val="0"/>
      <w:sz w:val="30"/>
      <w:szCs w:val="30"/>
    </w:rPr>
  </w:style>
  <w:style w:type="paragraph" w:customStyle="1" w:styleId="30">
    <w:name w:val="表中"/>
    <w:basedOn w:val="1"/>
    <w:qFormat/>
    <w:uiPriority w:val="0"/>
    <w:pPr>
      <w:adjustRightInd w:val="0"/>
      <w:snapToGrid w:val="0"/>
      <w:spacing w:line="420" w:lineRule="atLeast"/>
      <w:jc w:val="center"/>
      <w:textAlignment w:val="baseline"/>
    </w:pPr>
    <w:rPr>
      <w:rFonts w:ascii="Times New Roman" w:hAnsi="Times New Roman" w:cs="Times New Roman"/>
      <w:snapToGrid w:val="0"/>
      <w:szCs w:val="20"/>
    </w:rPr>
  </w:style>
  <w:style w:type="paragraph" w:customStyle="1" w:styleId="31">
    <w:name w:val="Normal_0"/>
    <w:qFormat/>
    <w:uiPriority w:val="0"/>
    <w:rPr>
      <w:rFonts w:ascii="Times New Roman" w:hAnsi="Times New Roman" w:eastAsia="Times New Roman" w:cs="Times New Roman"/>
      <w:sz w:val="24"/>
      <w:szCs w:val="24"/>
      <w:lang w:val="en-US" w:eastAsia="zh-CN" w:bidi="ar-SA"/>
    </w:rPr>
  </w:style>
  <w:style w:type="character" w:customStyle="1" w:styleId="32">
    <w:name w:val="左侧题目 Char"/>
    <w:link w:val="33"/>
    <w:qFormat/>
    <w:uiPriority w:val="0"/>
    <w:rPr>
      <w:rFonts w:ascii="宋体" w:hAnsi="宋体" w:eastAsia="宋体" w:cs="Times New Roman"/>
      <w:b/>
      <w:bCs/>
      <w:kern w:val="0"/>
      <w:sz w:val="28"/>
      <w:szCs w:val="28"/>
    </w:rPr>
  </w:style>
  <w:style w:type="paragraph" w:customStyle="1" w:styleId="33">
    <w:name w:val="左侧题目"/>
    <w:basedOn w:val="1"/>
    <w:link w:val="32"/>
    <w:qFormat/>
    <w:uiPriority w:val="0"/>
    <w:pPr>
      <w:spacing w:before="50" w:beforeLines="50" w:after="50" w:afterLines="50"/>
    </w:pPr>
    <w:rPr>
      <w:rFonts w:cs="Times New Roman"/>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3896</Words>
  <Characters>4105</Characters>
  <Lines>18</Lines>
  <Paragraphs>5</Paragraphs>
  <TotalTime>0</TotalTime>
  <ScaleCrop>false</ScaleCrop>
  <LinksUpToDate>false</LinksUpToDate>
  <CharactersWithSpaces>4140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2023-03-16T01:39:00Z</dcterms:created>
  <dc:creator>　</dc:creator>
  <cp:lastModifiedBy>admin</cp:lastModifiedBy>
  <dcterms:modified xsi:type="dcterms:W3CDTF">2024-09-02T14:54:03Z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BF7D7BB650BC45F1AF0BFDEACB4C9D5E_13</vt:lpwstr>
  </property>
</Properties>
</file>