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2EBFD">
      <w:pPr>
        <w:spacing w:line="400" w:lineRule="exact"/>
        <w:jc w:val="center"/>
        <w:rPr>
          <w:rFonts w:hint="default" w:ascii="仿宋" w:hAnsi="仿宋" w:eastAsia="宋体" w:cs="仿宋"/>
          <w:b/>
          <w:bCs/>
          <w:color w:val="000000"/>
          <w:sz w:val="24"/>
          <w:szCs w:val="24"/>
          <w:highlight w:val="none"/>
          <w:lang w:val="en-US" w:eastAsia="zh-CN"/>
        </w:rPr>
      </w:pPr>
      <w:r>
        <w:rPr>
          <w:rFonts w:hint="eastAsia" w:asciiTheme="minorEastAsia" w:hAnsiTheme="minorEastAsia" w:eastAsiaTheme="minorEastAsia" w:cstheme="minorEastAsia"/>
          <w:b/>
          <w:bCs/>
          <w:sz w:val="28"/>
          <w:szCs w:val="28"/>
        </w:rPr>
        <w:t>宁夏公路管理中心吴忠分中心2024年新建交通情况调查数据采集设备采购项目</w:t>
      </w:r>
      <w:r>
        <w:rPr>
          <w:rFonts w:hint="eastAsia" w:ascii="仿宋" w:hAnsi="仿宋" w:eastAsia="宋体" w:cs="仿宋"/>
          <w:b/>
          <w:bCs/>
          <w:color w:val="000000"/>
          <w:sz w:val="24"/>
          <w:szCs w:val="24"/>
          <w:highlight w:val="none"/>
          <w:lang w:val="en-US" w:eastAsia="zh-CN"/>
        </w:rPr>
        <w:t>关键内容</w:t>
      </w:r>
    </w:p>
    <w:p w14:paraId="6ADC0AF9">
      <w:pPr>
        <w:widowControl/>
        <w:spacing w:line="360" w:lineRule="auto"/>
        <w:rPr>
          <w:rFonts w:hint="eastAsia" w:eastAsia="宋体"/>
          <w:b/>
          <w:bCs/>
          <w:sz w:val="21"/>
          <w:szCs w:val="21"/>
          <w:lang w:val="en-US" w:eastAsia="zh-CN"/>
        </w:rPr>
      </w:pPr>
      <w:r>
        <w:rPr>
          <w:rFonts w:hint="eastAsia"/>
          <w:b/>
          <w:bCs/>
          <w:sz w:val="21"/>
          <w:szCs w:val="21"/>
        </w:rPr>
        <w:t>一、</w:t>
      </w:r>
      <w:r>
        <w:rPr>
          <w:rFonts w:hint="eastAsia"/>
          <w:b/>
          <w:bCs/>
          <w:sz w:val="21"/>
          <w:szCs w:val="21"/>
          <w:lang w:val="en-US" w:eastAsia="zh-CN"/>
        </w:rPr>
        <w:t>项目概况</w:t>
      </w:r>
    </w:p>
    <w:p w14:paraId="6100FFFC">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本次采购共划分为1个标段，具体内容如下：</w:t>
      </w:r>
    </w:p>
    <w:p w14:paraId="20F8DFF7">
      <w:pPr>
        <w:widowControl/>
        <w:spacing w:line="360" w:lineRule="auto"/>
        <w:ind w:firstLine="420" w:firstLineChars="200"/>
        <w:jc w:val="left"/>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宁夏公路管理中心吴忠分中心2024年新建交通情况调查数据采集设备采购项目</w:t>
      </w:r>
    </w:p>
    <w:tbl>
      <w:tblPr>
        <w:tblStyle w:val="15"/>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740"/>
        <w:gridCol w:w="843"/>
        <w:gridCol w:w="3085"/>
        <w:gridCol w:w="1710"/>
        <w:gridCol w:w="1002"/>
      </w:tblGrid>
      <w:tr w14:paraId="77EF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19" w:type="dxa"/>
            <w:noWrap w:val="0"/>
            <w:vAlign w:val="center"/>
          </w:tcPr>
          <w:p w14:paraId="7CFA75C3">
            <w:pPr>
              <w:widowControl/>
              <w:spacing w:line="36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采购标段</w:t>
            </w:r>
          </w:p>
        </w:tc>
        <w:tc>
          <w:tcPr>
            <w:tcW w:w="1740" w:type="dxa"/>
            <w:noWrap w:val="0"/>
            <w:vAlign w:val="center"/>
          </w:tcPr>
          <w:p w14:paraId="0B73F322">
            <w:pPr>
              <w:widowControl/>
              <w:spacing w:line="360" w:lineRule="auto"/>
              <w:ind w:firstLine="420" w:firstLineChars="20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zh-CN" w:eastAsia="zh-CN"/>
              </w:rPr>
              <w:t>标的名称</w:t>
            </w:r>
          </w:p>
        </w:tc>
        <w:tc>
          <w:tcPr>
            <w:tcW w:w="843" w:type="dxa"/>
            <w:noWrap w:val="0"/>
            <w:vAlign w:val="center"/>
          </w:tcPr>
          <w:p w14:paraId="6E6BA2CD">
            <w:pPr>
              <w:widowControl/>
              <w:spacing w:line="360" w:lineRule="auto"/>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数量</w:t>
            </w:r>
          </w:p>
        </w:tc>
        <w:tc>
          <w:tcPr>
            <w:tcW w:w="3085" w:type="dxa"/>
            <w:noWrap w:val="0"/>
            <w:vAlign w:val="center"/>
          </w:tcPr>
          <w:p w14:paraId="3890A257">
            <w:pPr>
              <w:widowControl/>
              <w:spacing w:line="360" w:lineRule="auto"/>
              <w:ind w:firstLine="210" w:firstLineChars="100"/>
              <w:jc w:val="both"/>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简要规格或项目基本概况</w:t>
            </w:r>
          </w:p>
        </w:tc>
        <w:tc>
          <w:tcPr>
            <w:tcW w:w="1710" w:type="dxa"/>
            <w:noWrap w:val="0"/>
            <w:vAlign w:val="center"/>
          </w:tcPr>
          <w:p w14:paraId="51ECA3CB">
            <w:pPr>
              <w:widowControl/>
              <w:spacing w:line="360" w:lineRule="auto"/>
              <w:jc w:val="center"/>
              <w:rPr>
                <w:rFonts w:hint="eastAsia" w:ascii="宋体" w:hAnsi="宋体" w:eastAsia="宋体" w:cs="宋体"/>
                <w:kern w:val="0"/>
                <w:sz w:val="21"/>
                <w:szCs w:val="21"/>
                <w:lang w:val="zh-CN" w:eastAsia="zh-CN"/>
              </w:rPr>
            </w:pPr>
            <w:r>
              <w:rPr>
                <w:rFonts w:hint="eastAsia" w:cs="宋体"/>
                <w:kern w:val="0"/>
                <w:sz w:val="21"/>
                <w:szCs w:val="21"/>
                <w:lang w:val="en-US" w:eastAsia="zh-CN"/>
              </w:rPr>
              <w:t xml:space="preserve"> </w:t>
            </w:r>
            <w:r>
              <w:rPr>
                <w:rFonts w:hint="eastAsia" w:ascii="宋体" w:hAnsi="宋体" w:eastAsia="宋体" w:cs="宋体"/>
                <w:kern w:val="0"/>
                <w:sz w:val="21"/>
                <w:szCs w:val="21"/>
                <w:lang w:val="zh-CN" w:eastAsia="zh-CN"/>
              </w:rPr>
              <w:t>预算金额（元）</w:t>
            </w:r>
          </w:p>
        </w:tc>
        <w:tc>
          <w:tcPr>
            <w:tcW w:w="1002" w:type="dxa"/>
            <w:noWrap w:val="0"/>
            <w:vAlign w:val="center"/>
          </w:tcPr>
          <w:p w14:paraId="01091D58">
            <w:pPr>
              <w:widowControl/>
              <w:spacing w:line="360" w:lineRule="auto"/>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备注</w:t>
            </w:r>
          </w:p>
        </w:tc>
      </w:tr>
      <w:tr w14:paraId="38F0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19" w:type="dxa"/>
            <w:noWrap w:val="0"/>
            <w:vAlign w:val="center"/>
          </w:tcPr>
          <w:p w14:paraId="68678BAA">
            <w:pPr>
              <w:widowControl/>
              <w:spacing w:line="360" w:lineRule="auto"/>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一标段</w:t>
            </w:r>
          </w:p>
        </w:tc>
        <w:tc>
          <w:tcPr>
            <w:tcW w:w="1740" w:type="dxa"/>
            <w:noWrap w:val="0"/>
            <w:vAlign w:val="center"/>
          </w:tcPr>
          <w:p w14:paraId="71FB91B1">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交通管理设备</w:t>
            </w:r>
          </w:p>
        </w:tc>
        <w:tc>
          <w:tcPr>
            <w:tcW w:w="843" w:type="dxa"/>
            <w:noWrap w:val="0"/>
            <w:vAlign w:val="center"/>
          </w:tcPr>
          <w:p w14:paraId="359FD0E6">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3085" w:type="dxa"/>
            <w:noWrap w:val="0"/>
            <w:vAlign w:val="center"/>
          </w:tcPr>
          <w:p w14:paraId="09BE61FD">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宁夏公路管理中心吴忠分中心预计2024年采购15套连续式交通情况调查数据采集设备，能够实现对机动车道24小时连续不断地采集交通流量功能，能实时、自动识别车型、判断车速、车头时距、车头间距、道路占用率等交通流量信息。</w:t>
            </w:r>
          </w:p>
        </w:tc>
        <w:tc>
          <w:tcPr>
            <w:tcW w:w="1710" w:type="dxa"/>
            <w:noWrap w:val="0"/>
            <w:vAlign w:val="center"/>
          </w:tcPr>
          <w:p w14:paraId="0C1B09FC">
            <w:pPr>
              <w:widowControl/>
              <w:spacing w:line="36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1800000.00</w:t>
            </w:r>
          </w:p>
        </w:tc>
        <w:tc>
          <w:tcPr>
            <w:tcW w:w="1002" w:type="dxa"/>
            <w:noWrap w:val="0"/>
            <w:vAlign w:val="center"/>
          </w:tcPr>
          <w:p w14:paraId="654441C0">
            <w:pPr>
              <w:widowControl/>
              <w:spacing w:line="360" w:lineRule="auto"/>
              <w:ind w:firstLine="420" w:firstLineChars="200"/>
              <w:jc w:val="left"/>
              <w:rPr>
                <w:rFonts w:hint="eastAsia" w:ascii="宋体" w:hAnsi="宋体" w:eastAsia="宋体" w:cs="宋体"/>
                <w:kern w:val="0"/>
                <w:sz w:val="21"/>
                <w:szCs w:val="21"/>
                <w:lang w:val="en-US" w:eastAsia="zh-CN"/>
              </w:rPr>
            </w:pPr>
          </w:p>
        </w:tc>
      </w:tr>
      <w:tr w14:paraId="621B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19" w:type="dxa"/>
            <w:noWrap w:val="0"/>
            <w:vAlign w:val="center"/>
          </w:tcPr>
          <w:p w14:paraId="587E482B">
            <w:pPr>
              <w:widowControl/>
              <w:spacing w:line="360" w:lineRule="auto"/>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二标段</w:t>
            </w:r>
          </w:p>
        </w:tc>
        <w:tc>
          <w:tcPr>
            <w:tcW w:w="1740" w:type="dxa"/>
            <w:noWrap w:val="0"/>
            <w:vAlign w:val="center"/>
          </w:tcPr>
          <w:p w14:paraId="6BB57F70">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交通管理设备</w:t>
            </w:r>
          </w:p>
        </w:tc>
        <w:tc>
          <w:tcPr>
            <w:tcW w:w="843" w:type="dxa"/>
            <w:noWrap w:val="0"/>
            <w:vAlign w:val="center"/>
          </w:tcPr>
          <w:p w14:paraId="5E3EB16B">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3085" w:type="dxa"/>
            <w:noWrap w:val="0"/>
            <w:vAlign w:val="center"/>
          </w:tcPr>
          <w:p w14:paraId="5075E12B">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宁夏公路管理中心吴忠分中心预计2024年采购11套间隙式交通情况调查数据采集设备，能够实现对机动车道采集交通流量功能，能实时、自动识别车型、判断车速、车头时距、车头间距、道路占用率等交通流量信息。</w:t>
            </w:r>
          </w:p>
        </w:tc>
        <w:tc>
          <w:tcPr>
            <w:tcW w:w="1710" w:type="dxa"/>
            <w:noWrap w:val="0"/>
            <w:vAlign w:val="center"/>
          </w:tcPr>
          <w:p w14:paraId="5738CDCA">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605000.00</w:t>
            </w:r>
          </w:p>
        </w:tc>
        <w:tc>
          <w:tcPr>
            <w:tcW w:w="1002" w:type="dxa"/>
            <w:noWrap w:val="0"/>
            <w:vAlign w:val="center"/>
          </w:tcPr>
          <w:p w14:paraId="5CEB8853">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多年期错茬</w:t>
            </w:r>
          </w:p>
        </w:tc>
      </w:tr>
      <w:tr w14:paraId="69A3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959" w:type="dxa"/>
            <w:gridSpan w:val="2"/>
            <w:noWrap w:val="0"/>
            <w:vAlign w:val="center"/>
          </w:tcPr>
          <w:p w14:paraId="667BBF25">
            <w:pPr>
              <w:widowControl/>
              <w:spacing w:line="240" w:lineRule="auto"/>
              <w:ind w:firstLine="420" w:firstLineChars="200"/>
              <w:jc w:val="left"/>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数量合计</w:t>
            </w:r>
          </w:p>
        </w:tc>
        <w:tc>
          <w:tcPr>
            <w:tcW w:w="843" w:type="dxa"/>
            <w:noWrap w:val="0"/>
            <w:vAlign w:val="center"/>
          </w:tcPr>
          <w:p w14:paraId="1095CD9C">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26</w:t>
            </w:r>
          </w:p>
        </w:tc>
        <w:tc>
          <w:tcPr>
            <w:tcW w:w="3085" w:type="dxa"/>
            <w:noWrap w:val="0"/>
            <w:vAlign w:val="center"/>
          </w:tcPr>
          <w:p w14:paraId="105AA865">
            <w:pPr>
              <w:widowControl/>
              <w:spacing w:line="240" w:lineRule="auto"/>
              <w:jc w:val="center"/>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eastAsia="zh-CN"/>
              </w:rPr>
              <w:t>预算合计</w:t>
            </w:r>
          </w:p>
        </w:tc>
        <w:tc>
          <w:tcPr>
            <w:tcW w:w="2712" w:type="dxa"/>
            <w:gridSpan w:val="2"/>
            <w:noWrap w:val="0"/>
            <w:vAlign w:val="center"/>
          </w:tcPr>
          <w:p w14:paraId="2124942A">
            <w:pPr>
              <w:widowControl/>
              <w:spacing w:line="240" w:lineRule="auto"/>
              <w:ind w:firstLine="420" w:firstLineChars="200"/>
              <w:jc w:val="left"/>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2405000.00</w:t>
            </w:r>
            <w:r>
              <w:rPr>
                <w:rFonts w:hint="eastAsia" w:ascii="宋体" w:hAnsi="宋体" w:eastAsia="宋体" w:cs="宋体"/>
                <w:kern w:val="0"/>
                <w:sz w:val="21"/>
                <w:szCs w:val="21"/>
                <w:lang w:val="zh-CN" w:eastAsia="zh-CN"/>
              </w:rPr>
              <w:t>元</w:t>
            </w:r>
          </w:p>
        </w:tc>
      </w:tr>
    </w:tbl>
    <w:p w14:paraId="00719780">
      <w:pPr>
        <w:widowControl/>
        <w:spacing w:line="360" w:lineRule="auto"/>
        <w:rPr>
          <w:rFonts w:hint="eastAsia"/>
          <w:b/>
          <w:bCs/>
          <w:sz w:val="21"/>
          <w:szCs w:val="21"/>
          <w:lang w:val="en-US" w:eastAsia="zh-CN"/>
        </w:rPr>
      </w:pPr>
      <w:r>
        <w:rPr>
          <w:rFonts w:hint="eastAsia"/>
          <w:b/>
          <w:bCs/>
          <w:sz w:val="21"/>
          <w:szCs w:val="21"/>
          <w:lang w:val="en-US" w:eastAsia="zh-CN"/>
        </w:rPr>
        <w:t>二、对</w:t>
      </w:r>
      <w:r>
        <w:rPr>
          <w:rFonts w:hint="eastAsia"/>
          <w:b/>
          <w:bCs/>
          <w:sz w:val="21"/>
          <w:szCs w:val="21"/>
          <w:highlight w:val="none"/>
          <w:lang w:val="en-US" w:eastAsia="zh-CN"/>
        </w:rPr>
        <w:t>供应商</w:t>
      </w:r>
      <w:r>
        <w:rPr>
          <w:rFonts w:hint="eastAsia"/>
          <w:b/>
          <w:bCs/>
          <w:sz w:val="21"/>
          <w:szCs w:val="21"/>
          <w:lang w:val="en-US" w:eastAsia="zh-CN"/>
        </w:rPr>
        <w:t xml:space="preserve">的全部资格条件要求 </w:t>
      </w:r>
    </w:p>
    <w:p w14:paraId="58CBC11D">
      <w:pPr>
        <w:autoSpaceDE/>
        <w:autoSpaceDN/>
        <w:spacing w:line="360" w:lineRule="auto"/>
        <w:ind w:firstLine="420" w:firstLineChars="200"/>
        <w:jc w:val="left"/>
        <w:rPr>
          <w:rFonts w:hint="eastAsia"/>
          <w:b/>
          <w:bCs/>
          <w:sz w:val="21"/>
          <w:szCs w:val="21"/>
          <w:lang w:val="en-US" w:eastAsia="zh-CN"/>
        </w:rPr>
      </w:pPr>
      <w:r>
        <w:rPr>
          <w:rFonts w:hint="eastAsia"/>
          <w:sz w:val="21"/>
          <w:szCs w:val="21"/>
          <w:lang w:val="en-US" w:eastAsia="zh-CN"/>
        </w:rPr>
        <w:t>详见</w:t>
      </w:r>
      <w:r>
        <w:rPr>
          <w:rFonts w:hint="eastAsia"/>
          <w:sz w:val="21"/>
          <w:szCs w:val="21"/>
          <w:highlight w:val="none"/>
          <w:lang w:val="en-US" w:eastAsia="zh-CN"/>
        </w:rPr>
        <w:t>招标</w:t>
      </w:r>
      <w:r>
        <w:rPr>
          <w:rFonts w:hint="eastAsia"/>
          <w:sz w:val="21"/>
          <w:szCs w:val="21"/>
          <w:lang w:val="en-US" w:eastAsia="zh-CN"/>
        </w:rPr>
        <w:t xml:space="preserve">公告。 </w:t>
      </w:r>
    </w:p>
    <w:p w14:paraId="62717673">
      <w:pPr>
        <w:autoSpaceDE/>
        <w:autoSpaceDN/>
        <w:spacing w:line="360" w:lineRule="auto"/>
        <w:jc w:val="left"/>
        <w:rPr>
          <w:rFonts w:hint="eastAsia"/>
          <w:sz w:val="21"/>
          <w:szCs w:val="21"/>
          <w:highlight w:val="none"/>
          <w:lang w:val="en-US" w:eastAsia="zh-CN"/>
        </w:rPr>
      </w:pPr>
      <w:r>
        <w:rPr>
          <w:rFonts w:hint="eastAsia" w:asciiTheme="minorEastAsia" w:hAnsiTheme="minorEastAsia" w:eastAsiaTheme="minorEastAsia"/>
          <w:b/>
          <w:bCs/>
          <w:sz w:val="21"/>
          <w:szCs w:val="21"/>
          <w:highlight w:val="none"/>
          <w:lang w:val="en-US" w:eastAsia="zh-CN"/>
        </w:rPr>
        <w:t>三、采购人</w:t>
      </w:r>
      <w:r>
        <w:rPr>
          <w:rFonts w:hint="eastAsia" w:asciiTheme="minorEastAsia" w:hAnsiTheme="minorEastAsia" w:eastAsiaTheme="minorEastAsia"/>
          <w:b/>
          <w:bCs/>
          <w:sz w:val="21"/>
          <w:szCs w:val="21"/>
          <w:lang w:val="en-US" w:eastAsia="zh-CN"/>
        </w:rPr>
        <w:t>联系方式</w:t>
      </w:r>
      <w:r>
        <w:rPr>
          <w:rFonts w:hint="eastAsia" w:asciiTheme="minorEastAsia" w:hAnsiTheme="minorEastAsia" w:eastAsiaTheme="minorEastAsia"/>
          <w:b/>
          <w:bCs/>
          <w:sz w:val="21"/>
          <w:szCs w:val="21"/>
          <w:lang w:val="en-US" w:eastAsia="zh-CN"/>
        </w:rPr>
        <w:br w:type="textWrapping"/>
      </w:r>
      <w:r>
        <w:rPr>
          <w:rFonts w:hint="eastAsia"/>
          <w:sz w:val="21"/>
          <w:szCs w:val="21"/>
          <w:highlight w:val="none"/>
          <w:lang w:val="en-US" w:eastAsia="zh-CN"/>
        </w:rPr>
        <w:t xml:space="preserve">  1.采购人信息</w:t>
      </w:r>
    </w:p>
    <w:p w14:paraId="2EC5D410">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名称：宁夏公路管理中心吴忠分中心</w:t>
      </w:r>
    </w:p>
    <w:p w14:paraId="0F4368B3">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地址：吴忠市利通区开元大道675号</w:t>
      </w:r>
    </w:p>
    <w:p w14:paraId="4D2D64B5">
      <w:pPr>
        <w:autoSpaceDE/>
        <w:autoSpaceDN/>
        <w:spacing w:line="360" w:lineRule="auto"/>
        <w:ind w:firstLine="420" w:firstLineChars="200"/>
        <w:jc w:val="left"/>
        <w:rPr>
          <w:rFonts w:hint="default"/>
          <w:sz w:val="21"/>
          <w:szCs w:val="21"/>
          <w:highlight w:val="none"/>
          <w:lang w:val="en-US" w:eastAsia="zh-CN"/>
        </w:rPr>
      </w:pPr>
      <w:r>
        <w:rPr>
          <w:rFonts w:hint="eastAsia"/>
          <w:sz w:val="21"/>
          <w:szCs w:val="21"/>
          <w:highlight w:val="none"/>
          <w:lang w:val="en-US" w:eastAsia="zh-CN"/>
        </w:rPr>
        <w:t>联系方式：0953-2026305</w:t>
      </w:r>
    </w:p>
    <w:p w14:paraId="2FC39694">
      <w:pPr>
        <w:autoSpaceDE/>
        <w:autoSpaceDN/>
        <w:spacing w:line="360" w:lineRule="auto"/>
        <w:ind w:firstLine="420" w:firstLineChars="200"/>
        <w:jc w:val="left"/>
        <w:rPr>
          <w:rFonts w:hint="eastAsia"/>
          <w:sz w:val="21"/>
          <w:szCs w:val="21"/>
          <w:highlight w:val="none"/>
          <w:lang w:val="en-US" w:eastAsia="zh-CN"/>
        </w:rPr>
      </w:pPr>
      <w:bookmarkStart w:id="0" w:name="_Toc28359009"/>
      <w:bookmarkStart w:id="1" w:name="_Toc28359086"/>
      <w:r>
        <w:rPr>
          <w:rFonts w:hint="eastAsia"/>
          <w:sz w:val="21"/>
          <w:szCs w:val="21"/>
          <w:highlight w:val="none"/>
          <w:lang w:val="en-US" w:eastAsia="zh-CN"/>
        </w:rPr>
        <w:t>2.采购代理机构信息（如有）</w:t>
      </w:r>
      <w:bookmarkEnd w:id="0"/>
      <w:bookmarkEnd w:id="1"/>
    </w:p>
    <w:p w14:paraId="6994EE20">
      <w:pPr>
        <w:autoSpaceDE/>
        <w:autoSpaceDN/>
        <w:spacing w:line="360" w:lineRule="auto"/>
        <w:ind w:firstLine="420" w:firstLineChars="200"/>
        <w:jc w:val="left"/>
        <w:rPr>
          <w:rFonts w:hint="eastAsia"/>
          <w:sz w:val="21"/>
          <w:szCs w:val="21"/>
          <w:highlight w:val="none"/>
          <w:lang w:val="en-US" w:eastAsia="zh-CN"/>
        </w:rPr>
      </w:pPr>
      <w:bookmarkStart w:id="2" w:name="_Toc28359010"/>
      <w:bookmarkStart w:id="3" w:name="_Toc28359087"/>
      <w:r>
        <w:rPr>
          <w:rFonts w:hint="eastAsia"/>
          <w:sz w:val="21"/>
          <w:szCs w:val="21"/>
          <w:highlight w:val="none"/>
          <w:lang w:val="en-US" w:eastAsia="zh-TW"/>
        </w:rPr>
        <w:t>名称：</w:t>
      </w:r>
      <w:r>
        <w:rPr>
          <w:rFonts w:hint="eastAsia"/>
          <w:sz w:val="21"/>
          <w:szCs w:val="21"/>
          <w:highlight w:val="none"/>
          <w:lang w:val="en-US" w:eastAsia="zh-CN"/>
        </w:rPr>
        <w:t>宁夏正宏工程咨询有限公司</w:t>
      </w:r>
    </w:p>
    <w:p w14:paraId="09A5EA60">
      <w:pPr>
        <w:autoSpaceDE/>
        <w:autoSpaceDN/>
        <w:spacing w:line="360" w:lineRule="auto"/>
        <w:ind w:firstLine="420" w:firstLineChars="200"/>
        <w:jc w:val="left"/>
        <w:rPr>
          <w:rFonts w:hint="eastAsia"/>
          <w:sz w:val="21"/>
          <w:szCs w:val="21"/>
          <w:highlight w:val="none"/>
          <w:lang w:val="en-US" w:eastAsia="zh-TW"/>
        </w:rPr>
      </w:pPr>
      <w:r>
        <w:rPr>
          <w:rFonts w:hint="eastAsia"/>
          <w:sz w:val="21"/>
          <w:szCs w:val="21"/>
          <w:highlight w:val="none"/>
          <w:lang w:val="en-US" w:eastAsia="zh-TW"/>
        </w:rPr>
        <w:t>地址：</w:t>
      </w:r>
      <w:r>
        <w:rPr>
          <w:rFonts w:hint="eastAsia"/>
          <w:sz w:val="21"/>
          <w:szCs w:val="21"/>
          <w:highlight w:val="none"/>
          <w:lang w:val="en-US" w:eastAsia="zh-CN"/>
        </w:rPr>
        <w:t>银川市金凤区康平路悦海新天地B座写字楼908室</w:t>
      </w:r>
    </w:p>
    <w:p w14:paraId="61756931">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联系方式：13995080625</w:t>
      </w:r>
    </w:p>
    <w:p w14:paraId="0E4295F1">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项目联系方式</w:t>
      </w:r>
    </w:p>
    <w:p w14:paraId="05AB675B">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 xml:space="preserve">采购人项目联系人：王梓涵 </w:t>
      </w:r>
    </w:p>
    <w:p w14:paraId="0D98DD45">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电话：0953-2026305</w:t>
      </w:r>
    </w:p>
    <w:p w14:paraId="62035344">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代理机构项目联系人：高林平、赵亮、朱晓伊</w:t>
      </w:r>
    </w:p>
    <w:p w14:paraId="04B6EFBD">
      <w:pPr>
        <w:autoSpaceDE/>
        <w:autoSpaceDN/>
        <w:spacing w:line="360" w:lineRule="auto"/>
        <w:ind w:firstLine="420" w:firstLineChars="200"/>
        <w:jc w:val="left"/>
        <w:rPr>
          <w:rFonts w:hint="eastAsia" w:ascii="宋体" w:hAnsi="宋体" w:eastAsia="宋体" w:cs="宋体"/>
          <w:kern w:val="0"/>
          <w:sz w:val="21"/>
          <w:szCs w:val="21"/>
          <w:lang w:val="en-US" w:eastAsia="zh-CN"/>
        </w:rPr>
      </w:pPr>
      <w:r>
        <w:rPr>
          <w:rFonts w:hint="eastAsia"/>
          <w:sz w:val="21"/>
          <w:szCs w:val="21"/>
          <w:highlight w:val="none"/>
          <w:lang w:val="en-US" w:eastAsia="zh-CN"/>
        </w:rPr>
        <w:t xml:space="preserve">电话：13995080625  </w:t>
      </w:r>
      <w:r>
        <w:rPr>
          <w:rFonts w:hint="eastAsia" w:asciiTheme="minorEastAsia" w:hAnsiTheme="minorEastAsia" w:eastAsiaTheme="minorEastAsia" w:cstheme="minorEastAsia"/>
          <w:sz w:val="24"/>
          <w:lang w:val="en-US" w:eastAsia="zh-CN"/>
        </w:rPr>
        <w:t xml:space="preserve"> </w:t>
      </w:r>
      <w:bookmarkEnd w:id="2"/>
      <w:bookmarkEnd w:id="3"/>
    </w:p>
    <w:p w14:paraId="6BBFD794">
      <w:pPr>
        <w:widowControl/>
        <w:spacing w:line="360" w:lineRule="auto"/>
        <w:jc w:val="lef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四、资格审查办法</w:t>
      </w:r>
    </w:p>
    <w:p w14:paraId="42D763C1">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1.满足《中华人民共和国政府采购法》第二十二条规定;</w:t>
      </w:r>
    </w:p>
    <w:p w14:paraId="4BF56472">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2.落实政府采购政策需满足的资格要求：2.1中小微企业参加宁夏政府采购招投标活动，参照《政府采购促进中小企业发展管理办法》(财政部财库（2020)46 号）、《关于进一步加大政府采购支持中小企业力度的通知》(财政部财库（2022)19 号）、《宁夏回族自治区财政厅 发展和改革委员会工业和信息化厅 住房和城乡建设厅 交通运输厅 水利厅 公共资源交易管理局 中国人民银行银川中心支行关于落实政府采购促进中小企业发展有关措施的通知》（宁财（采）发〔2022〕275号）（专门面向中小企业采购的项目或者采购包，中小企业不再执行价格评审优惠扶持政策）。</w:t>
      </w:r>
    </w:p>
    <w:p w14:paraId="55478CCD">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2.2《政府采购支持监狱企业发展有关问题的通知》（财库〔2014〕68号）。</w:t>
      </w:r>
    </w:p>
    <w:p w14:paraId="40BC7C16">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2.3《财政部民政部中国残疾人联合会关于促进残疾人就业政府采购政策的通知》（财库〔2017〕141号）、《自治区财政厅残疾人联合会关于政府采购支持残疾人就业有关问题的通知》（宁财（采）发〔2020〕545号）。</w:t>
      </w:r>
    </w:p>
    <w:p w14:paraId="1573F7B7">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2.4根据《自治区财政厅关于明确法人及其分支机构参加政府采购活动相关事项的通知》（宁财（采）发〔2021〕22号），分支机构不能参与政府采购活动，只能以法人身份参加。但银行、保险、石油石化、电力、电信等有行业特殊情况的，允许分支机构在总公司授权的基础上参加政府采购活动。</w:t>
      </w:r>
    </w:p>
    <w:p w14:paraId="34DCE1F0">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 xml:space="preserve">3.本项目的特定资格要求：3.1 提供在中华人民共和国境内注册的法人或其他组织的营业执照（或事业单位法人证书，或社会团体法人登记证书或其他登记许可证明材料等），如投标供应商为自然人的需提供自然人身份证明； </w:t>
      </w:r>
    </w:p>
    <w:p w14:paraId="5C95BFD6">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 xml:space="preserve">3.2 法人授权委托书、法人及被授权人身份证复印件（法定代表人直接投标可不提供，但须提供法定代表人身份证复印件）； </w:t>
      </w:r>
    </w:p>
    <w:p w14:paraId="17DFAA6D">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 xml:space="preserve">3.3 提供具有良好商业信誉和健全的财务会计制度的承诺函； </w:t>
      </w:r>
    </w:p>
    <w:p w14:paraId="3A6A5D10">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 xml:space="preserve">3.4 提供履行合同所必需的设备和专业技术能力的证明材料； </w:t>
      </w:r>
    </w:p>
    <w:p w14:paraId="70244564">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 xml:space="preserve">3.5 具有依法缴纳税收和社会保障资金的良好记录的承诺函； </w:t>
      </w:r>
    </w:p>
    <w:p w14:paraId="660E8783">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3.6 提供参加采购活动前三年内在经营活动中没有重大违法记录的书面声明；</w:t>
      </w:r>
    </w:p>
    <w:p w14:paraId="2426D906">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3.7供应商在中国政府采购网（www.ccgp.gov.cn）未被列入政府采购严重违法失信行为记录名单，在“信用中国”网站 （www.creditchina.gov.cn）未被列入失信被执行人、重大税收违法案件当事人名单（开标当日由代理机构统一查询为准）；</w:t>
      </w:r>
    </w:p>
    <w:p w14:paraId="0875FEB7">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3.8本项目为专门面向中小企业，不接受大型企业投标，供应商需提供《中小企业声明函》（货物类：提供的货物全部由符合政策要求的中小企业制造）；</w:t>
      </w:r>
    </w:p>
    <w:p w14:paraId="08FA44D6">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3.9与采购人存在利害关系可能影响采购公正性的供应商，不得参与投标。单位负责人为同一人或者存在直接控股、管理关系的不同供应商，不得参与本项目同一合同项下的投标，否则，其相关投标将被认定为投标无效。</w:t>
      </w:r>
    </w:p>
    <w:p w14:paraId="62188992">
      <w:pPr>
        <w:widowControl/>
        <w:spacing w:line="360" w:lineRule="auto"/>
        <w:jc w:val="lef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四、评标办法全文</w:t>
      </w:r>
    </w:p>
    <w:p w14:paraId="7913CFE9">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评标办法前附表</w:t>
      </w:r>
    </w:p>
    <w:tbl>
      <w:tblPr>
        <w:tblStyle w:val="15"/>
        <w:tblpPr w:leftFromText="180" w:rightFromText="180" w:vertAnchor="text" w:horzAnchor="page" w:tblpX="1199" w:tblpY="145"/>
        <w:tblOverlap w:val="never"/>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2001"/>
        <w:gridCol w:w="1181"/>
        <w:gridCol w:w="5260"/>
      </w:tblGrid>
      <w:tr w14:paraId="30B5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4"/>
            <w:vAlign w:val="center"/>
          </w:tcPr>
          <w:p w14:paraId="3442EB9C">
            <w:pPr>
              <w:autoSpaceDE/>
              <w:autoSpaceDN/>
              <w:spacing w:line="360" w:lineRule="auto"/>
              <w:ind w:firstLine="420" w:firstLineChars="200"/>
              <w:jc w:val="center"/>
              <w:rPr>
                <w:rFonts w:hint="eastAsia"/>
                <w:sz w:val="21"/>
                <w:szCs w:val="21"/>
                <w:highlight w:val="none"/>
                <w:lang w:val="en-US" w:eastAsia="zh-CN"/>
              </w:rPr>
            </w:pPr>
            <w:bookmarkStart w:id="4" w:name="_bookmark6"/>
            <w:bookmarkEnd w:id="4"/>
            <w:bookmarkStart w:id="5" w:name="OLE_LINK6"/>
            <w:r>
              <w:rPr>
                <w:rFonts w:hint="eastAsia"/>
                <w:sz w:val="21"/>
                <w:szCs w:val="21"/>
                <w:highlight w:val="none"/>
                <w:lang w:val="en-US" w:eastAsia="zh-CN"/>
              </w:rPr>
              <w:t>公开招标（综合评分法）</w:t>
            </w:r>
          </w:p>
        </w:tc>
      </w:tr>
      <w:tr w14:paraId="20B2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0" w:type="pct"/>
            <w:vAlign w:val="center"/>
          </w:tcPr>
          <w:p w14:paraId="30BF25F4">
            <w:pPr>
              <w:autoSpaceDE/>
              <w:autoSpaceDN/>
              <w:spacing w:line="360" w:lineRule="auto"/>
              <w:jc w:val="left"/>
              <w:rPr>
                <w:rFonts w:hint="eastAsia"/>
                <w:sz w:val="21"/>
                <w:szCs w:val="21"/>
                <w:highlight w:val="none"/>
                <w:lang w:val="en-US" w:eastAsia="zh-CN"/>
              </w:rPr>
            </w:pPr>
            <w:r>
              <w:rPr>
                <w:rFonts w:hint="eastAsia"/>
                <w:sz w:val="21"/>
                <w:szCs w:val="21"/>
                <w:highlight w:val="none"/>
                <w:lang w:val="en-US" w:eastAsia="zh-CN"/>
              </w:rPr>
              <w:t>序号</w:t>
            </w:r>
          </w:p>
        </w:tc>
        <w:tc>
          <w:tcPr>
            <w:tcW w:w="1102" w:type="pct"/>
            <w:vAlign w:val="center"/>
          </w:tcPr>
          <w:p w14:paraId="1D628DEC">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评审</w:t>
            </w:r>
            <w:bookmarkEnd w:id="5"/>
            <w:r>
              <w:rPr>
                <w:rFonts w:hint="eastAsia"/>
                <w:sz w:val="21"/>
                <w:szCs w:val="21"/>
                <w:highlight w:val="none"/>
                <w:lang w:val="en-US" w:eastAsia="zh-CN"/>
              </w:rPr>
              <w:t>项目</w:t>
            </w:r>
          </w:p>
        </w:tc>
        <w:tc>
          <w:tcPr>
            <w:tcW w:w="656" w:type="pct"/>
            <w:vAlign w:val="center"/>
          </w:tcPr>
          <w:p w14:paraId="683CB0DF">
            <w:pPr>
              <w:autoSpaceDE/>
              <w:autoSpaceDN/>
              <w:spacing w:line="360" w:lineRule="auto"/>
              <w:jc w:val="left"/>
              <w:rPr>
                <w:rFonts w:hint="eastAsia"/>
                <w:sz w:val="21"/>
                <w:szCs w:val="21"/>
                <w:highlight w:val="none"/>
                <w:lang w:val="en-US" w:eastAsia="zh-CN"/>
              </w:rPr>
            </w:pPr>
            <w:r>
              <w:rPr>
                <w:rFonts w:hint="eastAsia"/>
                <w:sz w:val="21"/>
                <w:szCs w:val="21"/>
                <w:highlight w:val="none"/>
                <w:lang w:val="en-US" w:eastAsia="zh-CN"/>
              </w:rPr>
              <w:t>分值权重</w:t>
            </w:r>
          </w:p>
        </w:tc>
        <w:tc>
          <w:tcPr>
            <w:tcW w:w="2870" w:type="pct"/>
            <w:vAlign w:val="center"/>
          </w:tcPr>
          <w:p w14:paraId="2FE826BC">
            <w:pPr>
              <w:autoSpaceDE/>
              <w:autoSpaceDN/>
              <w:spacing w:line="360" w:lineRule="auto"/>
              <w:ind w:firstLine="420" w:firstLineChars="200"/>
              <w:jc w:val="center"/>
              <w:rPr>
                <w:rFonts w:hint="eastAsia"/>
                <w:sz w:val="21"/>
                <w:szCs w:val="21"/>
                <w:highlight w:val="none"/>
                <w:lang w:val="en-US" w:eastAsia="zh-CN"/>
              </w:rPr>
            </w:pPr>
            <w:r>
              <w:rPr>
                <w:rFonts w:hint="eastAsia"/>
                <w:sz w:val="21"/>
                <w:szCs w:val="21"/>
                <w:highlight w:val="none"/>
                <w:lang w:val="en-US" w:eastAsia="zh-CN"/>
              </w:rPr>
              <w:t>评分标准</w:t>
            </w:r>
          </w:p>
        </w:tc>
      </w:tr>
      <w:tr w14:paraId="6BD3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0" w:type="pct"/>
            <w:vAlign w:val="center"/>
          </w:tcPr>
          <w:p w14:paraId="54DED532">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1</w:t>
            </w:r>
          </w:p>
        </w:tc>
        <w:tc>
          <w:tcPr>
            <w:tcW w:w="1102" w:type="pct"/>
            <w:vAlign w:val="center"/>
          </w:tcPr>
          <w:p w14:paraId="69B77C68">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投标报价</w:t>
            </w:r>
          </w:p>
        </w:tc>
        <w:tc>
          <w:tcPr>
            <w:tcW w:w="656" w:type="pct"/>
            <w:vAlign w:val="center"/>
          </w:tcPr>
          <w:p w14:paraId="0C42CE59">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30分</w:t>
            </w:r>
          </w:p>
        </w:tc>
        <w:tc>
          <w:tcPr>
            <w:tcW w:w="2870" w:type="pct"/>
            <w:vAlign w:val="center"/>
          </w:tcPr>
          <w:p w14:paraId="6745B370">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满足招标文件要求且投标价格最低的投标报价为评标基准价，其价格分为满分，其他投标供应商的价格分按下列公式计算：投标报价得分=(评标基准价/投标报价)×30。（四舍五入后保留小数点后两位）对于高于项目采购预算金额的投标报价不予接受，视为无效投标。</w:t>
            </w:r>
          </w:p>
        </w:tc>
      </w:tr>
      <w:tr w14:paraId="252A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370" w:type="pct"/>
            <w:vAlign w:val="center"/>
          </w:tcPr>
          <w:p w14:paraId="6D1B9BB5">
            <w:pPr>
              <w:autoSpaceDE/>
              <w:autoSpaceDN/>
              <w:spacing w:line="360" w:lineRule="auto"/>
              <w:ind w:firstLine="420" w:firstLineChars="200"/>
              <w:jc w:val="left"/>
              <w:rPr>
                <w:rFonts w:hint="default"/>
                <w:sz w:val="21"/>
                <w:szCs w:val="21"/>
                <w:highlight w:val="none"/>
                <w:lang w:val="en-US" w:eastAsia="zh-CN"/>
              </w:rPr>
            </w:pPr>
            <w:bookmarkStart w:id="6" w:name="OLE_LINK12" w:colFirst="0" w:colLast="3"/>
            <w:bookmarkStart w:id="7" w:name="OLE_LINK13" w:colFirst="0" w:colLast="3"/>
            <w:r>
              <w:rPr>
                <w:rFonts w:hint="eastAsia"/>
                <w:sz w:val="21"/>
                <w:szCs w:val="21"/>
                <w:highlight w:val="none"/>
                <w:lang w:val="en-US" w:eastAsia="zh-CN"/>
              </w:rPr>
              <w:t>2</w:t>
            </w:r>
          </w:p>
        </w:tc>
        <w:tc>
          <w:tcPr>
            <w:tcW w:w="1102" w:type="pct"/>
            <w:vAlign w:val="center"/>
          </w:tcPr>
          <w:p w14:paraId="25818733">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类似业绩</w:t>
            </w:r>
          </w:p>
        </w:tc>
        <w:tc>
          <w:tcPr>
            <w:tcW w:w="656" w:type="pct"/>
            <w:vAlign w:val="center"/>
          </w:tcPr>
          <w:p w14:paraId="1A779821">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5分</w:t>
            </w:r>
          </w:p>
        </w:tc>
        <w:tc>
          <w:tcPr>
            <w:tcW w:w="2870" w:type="pct"/>
            <w:vAlign w:val="top"/>
          </w:tcPr>
          <w:p w14:paraId="6D84F864">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供应商近三年（2021年1月至投标文件递交截止之日，以合同签订日期为准）完成过1个类似交调设备建设项目得3分（含核心设备）；在此基础上，近三年（2021年1月至投标文件递交截止之日，以合同签订日期为准）每增加1个类似交调设备维护维修业绩加1分，最高加2分。</w:t>
            </w:r>
          </w:p>
          <w:p w14:paraId="440564FA">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注：投标文件中须提供合同，未提供或提供不合格的业绩不得分。</w:t>
            </w:r>
          </w:p>
        </w:tc>
      </w:tr>
      <w:tr w14:paraId="22CC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70" w:type="pct"/>
            <w:vAlign w:val="center"/>
          </w:tcPr>
          <w:p w14:paraId="5D815FCC">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3</w:t>
            </w:r>
          </w:p>
        </w:tc>
        <w:tc>
          <w:tcPr>
            <w:tcW w:w="1102" w:type="pct"/>
            <w:vAlign w:val="center"/>
          </w:tcPr>
          <w:p w14:paraId="2A66AC86">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技术标响应情况（技术指标、参数）</w:t>
            </w:r>
          </w:p>
        </w:tc>
        <w:tc>
          <w:tcPr>
            <w:tcW w:w="656" w:type="pct"/>
            <w:vAlign w:val="center"/>
          </w:tcPr>
          <w:p w14:paraId="254FA19A">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15分</w:t>
            </w:r>
          </w:p>
        </w:tc>
        <w:tc>
          <w:tcPr>
            <w:tcW w:w="2870" w:type="pct"/>
            <w:vAlign w:val="top"/>
          </w:tcPr>
          <w:p w14:paraId="621FEE53">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投标产品技术参数、功能配置、指标性能完全满足招标文件技术要求得基本分15分，每有1项不满足扣1分，扣完为止。</w:t>
            </w:r>
          </w:p>
        </w:tc>
      </w:tr>
      <w:tr w14:paraId="1152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370" w:type="pct"/>
            <w:vAlign w:val="center"/>
          </w:tcPr>
          <w:p w14:paraId="335CD4D4">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4</w:t>
            </w:r>
          </w:p>
        </w:tc>
        <w:tc>
          <w:tcPr>
            <w:tcW w:w="1102" w:type="pct"/>
            <w:vAlign w:val="center"/>
          </w:tcPr>
          <w:p w14:paraId="2B3CB3A0">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实施方案</w:t>
            </w:r>
          </w:p>
        </w:tc>
        <w:tc>
          <w:tcPr>
            <w:tcW w:w="656" w:type="pct"/>
            <w:vAlign w:val="center"/>
          </w:tcPr>
          <w:p w14:paraId="7A221CEC">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20分</w:t>
            </w:r>
          </w:p>
        </w:tc>
        <w:tc>
          <w:tcPr>
            <w:tcW w:w="2870" w:type="pct"/>
            <w:vAlign w:val="center"/>
          </w:tcPr>
          <w:p w14:paraId="67768C58">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实施方案包括但不限于设备更换、安装调试、施工方案、验收方案、紧急预案及进度保证方案等，方案涵盖全面，内容详细、具体，编制逻辑清晰、规范，有在以上内容的基础上增加合理化的方案模块，方案详细、具有针对性与可行性的得20分；方案涵盖全面，内容详细、具体，编制逻辑清晰、规范，具有针对性与可行性的得16分；方案涵盖全面，内容简略，编制不规范且不具备操作性的的得12分；方案基本可行、内容欠缺但基本合理、具有一定的可操作性得8分；方案一般、可实施性差、提供实施内容欠缺、有缺漏的得4分；未提供实施方案的不得分。</w:t>
            </w:r>
          </w:p>
        </w:tc>
      </w:tr>
      <w:tr w14:paraId="3DCE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370" w:type="pct"/>
            <w:vAlign w:val="center"/>
          </w:tcPr>
          <w:p w14:paraId="6721DAC8">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5</w:t>
            </w:r>
          </w:p>
        </w:tc>
        <w:tc>
          <w:tcPr>
            <w:tcW w:w="1102" w:type="pct"/>
            <w:vAlign w:val="center"/>
          </w:tcPr>
          <w:p w14:paraId="0FB7C2EA">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培训方案</w:t>
            </w:r>
          </w:p>
        </w:tc>
        <w:tc>
          <w:tcPr>
            <w:tcW w:w="656" w:type="pct"/>
            <w:vAlign w:val="center"/>
          </w:tcPr>
          <w:p w14:paraId="295A00EC">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8分</w:t>
            </w:r>
          </w:p>
        </w:tc>
        <w:tc>
          <w:tcPr>
            <w:tcW w:w="2870" w:type="pct"/>
            <w:vAlign w:val="center"/>
          </w:tcPr>
          <w:p w14:paraId="41DC4D90">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培训方案包括培训目标及任务、培训设备、时间、地点、培训人员、培训形式及培训内容等，培训方案完善、培训内容具体详尽，有明确的培训目标及任务，针对性强、培训时间、地点和人员的安排详细明了，培训前的准备工作充分具体的得8分；有培训方案，有培训目标及任务安排，但不够具体明确，培训时间、地点和人员的安排存在缺漏的得4分；未提供培训方案的不得分。</w:t>
            </w:r>
          </w:p>
        </w:tc>
      </w:tr>
      <w:tr w14:paraId="0809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70" w:type="pct"/>
            <w:vAlign w:val="center"/>
          </w:tcPr>
          <w:p w14:paraId="6684FFB0">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6</w:t>
            </w:r>
          </w:p>
        </w:tc>
        <w:tc>
          <w:tcPr>
            <w:tcW w:w="1102" w:type="pct"/>
            <w:vAlign w:val="center"/>
          </w:tcPr>
          <w:p w14:paraId="37F6A6CF">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售后服务方案</w:t>
            </w:r>
          </w:p>
        </w:tc>
        <w:tc>
          <w:tcPr>
            <w:tcW w:w="656" w:type="pct"/>
            <w:vAlign w:val="center"/>
          </w:tcPr>
          <w:p w14:paraId="473C2857">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15分</w:t>
            </w:r>
          </w:p>
        </w:tc>
        <w:tc>
          <w:tcPr>
            <w:tcW w:w="2870" w:type="pct"/>
            <w:vAlign w:val="center"/>
          </w:tcPr>
          <w:p w14:paraId="5DFA816B">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 xml:space="preserve">售后服务方案包括售后服务承诺、售后服务内容、售后服务体系、服务流程、设备故障问题解决方案、故障处理时限、现场服务响应时间、技术支持人员安排合理度、免费服务年限、各类故障应急措施以及符合本项目的其他售后承诺等 </w:t>
            </w:r>
          </w:p>
          <w:p w14:paraId="70EF1292">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 xml:space="preserve">1.投标供应商提供详细的售后服务网点、地址、联系人、联系电话等，并提供与其有关的证明材料，证明材料详尽的得5分；证明材料不完整的或未提供均不得分。 </w:t>
            </w:r>
          </w:p>
          <w:p w14:paraId="0FF68C2C">
            <w:pPr>
              <w:autoSpaceDE/>
              <w:autoSpaceDN/>
              <w:spacing w:line="360" w:lineRule="auto"/>
              <w:ind w:firstLine="420" w:firstLineChars="200"/>
              <w:jc w:val="left"/>
              <w:rPr>
                <w:rFonts w:hint="eastAsia"/>
                <w:sz w:val="21"/>
                <w:szCs w:val="21"/>
                <w:highlight w:val="none"/>
                <w:lang w:val="en-US" w:eastAsia="zh-CN"/>
              </w:rPr>
            </w:pPr>
            <w:r>
              <w:rPr>
                <w:rFonts w:hint="default"/>
                <w:sz w:val="21"/>
                <w:szCs w:val="21"/>
                <w:highlight w:val="none"/>
                <w:lang w:val="en-US" w:eastAsia="zh-CN"/>
              </w:rPr>
              <w:t>2.</w:t>
            </w:r>
            <w:r>
              <w:rPr>
                <w:rFonts w:hint="eastAsia"/>
                <w:sz w:val="21"/>
                <w:szCs w:val="21"/>
                <w:highlight w:val="none"/>
                <w:lang w:val="en-US" w:eastAsia="zh-CN"/>
              </w:rPr>
              <w:t>售后服务承诺全面具体，售后服务内容详尽，售后服务体系健全，服务流程具有系统性、科学性，有具体的设备故障问题解决措施，能快速的响应采购人的故障处理与现场服务诉求，技术支持人员有相应的资质且经验丰富，免费服务年限满足采购人需求的得10分；售后服务承诺全面、内容简略，售后服务体系健全，有完整的售后服务流程，有设备故障问题解决措施但不够具体，故障处理响应与现场服务到位及时、能提供技术支持人员但技术人员无相应资质或缺乏相关经验的得7分；售后服务承诺存在缺漏、描述简单笼统，售后服务内容空泛，售后服务体系不健全，问题解决方案不够全面具体，售后服务响应不够及时的得4分；未提供售后服务方案的不得分。</w:t>
            </w:r>
          </w:p>
        </w:tc>
      </w:tr>
      <w:tr w14:paraId="1E01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70" w:type="pct"/>
            <w:vAlign w:val="center"/>
          </w:tcPr>
          <w:p w14:paraId="7215FD57">
            <w:pPr>
              <w:autoSpaceDE/>
              <w:autoSpaceDN/>
              <w:spacing w:line="360" w:lineRule="auto"/>
              <w:ind w:firstLine="420" w:firstLineChars="200"/>
              <w:jc w:val="left"/>
              <w:rPr>
                <w:rFonts w:hint="default"/>
                <w:sz w:val="21"/>
                <w:szCs w:val="21"/>
                <w:highlight w:val="none"/>
                <w:lang w:val="en-US" w:eastAsia="zh-CN"/>
              </w:rPr>
            </w:pPr>
            <w:r>
              <w:rPr>
                <w:rFonts w:hint="eastAsia"/>
                <w:sz w:val="21"/>
                <w:szCs w:val="21"/>
                <w:highlight w:val="none"/>
                <w:lang w:val="en-US" w:eastAsia="zh-CN"/>
              </w:rPr>
              <w:t>7</w:t>
            </w:r>
          </w:p>
        </w:tc>
        <w:tc>
          <w:tcPr>
            <w:tcW w:w="1102" w:type="pct"/>
            <w:vAlign w:val="center"/>
          </w:tcPr>
          <w:p w14:paraId="1487EC27">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质量承诺</w:t>
            </w:r>
          </w:p>
        </w:tc>
        <w:tc>
          <w:tcPr>
            <w:tcW w:w="656" w:type="pct"/>
            <w:vAlign w:val="center"/>
          </w:tcPr>
          <w:p w14:paraId="6A07255C">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7分</w:t>
            </w:r>
          </w:p>
        </w:tc>
        <w:tc>
          <w:tcPr>
            <w:tcW w:w="2870" w:type="pct"/>
            <w:vAlign w:val="center"/>
          </w:tcPr>
          <w:p w14:paraId="514853BD">
            <w:pPr>
              <w:autoSpaceDE/>
              <w:autoSpaceDN/>
              <w:spacing w:line="360" w:lineRule="auto"/>
              <w:ind w:firstLine="420" w:firstLineChars="200"/>
              <w:jc w:val="left"/>
              <w:rPr>
                <w:rFonts w:hint="eastAsia"/>
                <w:sz w:val="21"/>
                <w:szCs w:val="21"/>
                <w:highlight w:val="none"/>
                <w:lang w:val="en-US" w:eastAsia="zh-CN"/>
              </w:rPr>
            </w:pPr>
            <w:r>
              <w:rPr>
                <w:rFonts w:hint="eastAsia"/>
                <w:sz w:val="21"/>
                <w:szCs w:val="21"/>
                <w:highlight w:val="none"/>
                <w:lang w:val="en-US" w:eastAsia="zh-CN"/>
              </w:rPr>
              <w:t>质量保证承诺完善、有出现质量问题的具体解决方案、有提供备品备件情况的得7分；质量保证承诺完善、有提供备品备件情况，但出现质量问题的解决方案不详尽的得4分；质量保证承诺不完善且出现质量问题的解决方案存在缺漏、未提供备品备件情况的得 1分；未提供承诺不得分。</w:t>
            </w:r>
            <w:bookmarkStart w:id="8" w:name="_GoBack"/>
            <w:bookmarkEnd w:id="8"/>
          </w:p>
        </w:tc>
      </w:tr>
      <w:bookmarkEnd w:id="6"/>
      <w:bookmarkEnd w:id="7"/>
    </w:tbl>
    <w:p w14:paraId="6748A26C">
      <w:pPr>
        <w:autoSpaceDE/>
        <w:autoSpaceDN/>
        <w:spacing w:line="360" w:lineRule="auto"/>
        <w:ind w:firstLine="420" w:firstLineChars="200"/>
        <w:jc w:val="left"/>
        <w:rPr>
          <w:rFonts w:hint="eastAsia"/>
          <w:sz w:val="21"/>
          <w:szCs w:val="21"/>
          <w:highlight w:val="none"/>
          <w:lang w:val="en-US" w:eastAsia="zh-CN"/>
        </w:rPr>
      </w:pPr>
    </w:p>
    <w:sectPr>
      <w:pgSz w:w="11900" w:h="16843"/>
      <w:pgMar w:top="1083" w:right="1440" w:bottom="1083" w:left="1440" w:header="850" w:footer="850" w:gutter="0"/>
      <w:cols w:space="0" w:num="1"/>
      <w:titlePg/>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20"/>
  <w:drawingGridVerticalSpacing w:val="999999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TkyNzY4OGMzNzI5NTM5NjRiZDk0Mjc2MjEyNGEifQ=="/>
  </w:docVars>
  <w:rsids>
    <w:rsidRoot w:val="406777B4"/>
    <w:rsid w:val="0B697AD8"/>
    <w:rsid w:val="16B72F97"/>
    <w:rsid w:val="232D047A"/>
    <w:rsid w:val="239D6835"/>
    <w:rsid w:val="2C676BB8"/>
    <w:rsid w:val="31A17E1B"/>
    <w:rsid w:val="352B0431"/>
    <w:rsid w:val="37C06430"/>
    <w:rsid w:val="3A613057"/>
    <w:rsid w:val="406777B4"/>
    <w:rsid w:val="409758DB"/>
    <w:rsid w:val="43BA3952"/>
    <w:rsid w:val="44102419"/>
    <w:rsid w:val="45010C26"/>
    <w:rsid w:val="4583151A"/>
    <w:rsid w:val="45845E81"/>
    <w:rsid w:val="46A5631E"/>
    <w:rsid w:val="53D1183E"/>
    <w:rsid w:val="5BEF470F"/>
    <w:rsid w:val="616D67BF"/>
    <w:rsid w:val="6C9546D7"/>
    <w:rsid w:val="6D0B038C"/>
    <w:rsid w:val="6D393568"/>
    <w:rsid w:val="6FA31447"/>
    <w:rsid w:val="70206E16"/>
    <w:rsid w:val="72966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9"/>
    <w:pPr>
      <w:ind w:left="1026" w:right="1076"/>
      <w:jc w:val="center"/>
      <w:outlineLvl w:val="0"/>
    </w:pPr>
    <w:rPr>
      <w:sz w:val="72"/>
      <w:szCs w:val="72"/>
    </w:rPr>
  </w:style>
  <w:style w:type="paragraph" w:styleId="3">
    <w:name w:val="heading 2"/>
    <w:basedOn w:val="1"/>
    <w:next w:val="4"/>
    <w:unhideWhenUsed/>
    <w:qFormat/>
    <w:uiPriority w:val="0"/>
    <w:pPr>
      <w:spacing w:before="22"/>
      <w:ind w:left="1144" w:right="1155"/>
      <w:jc w:val="center"/>
      <w:outlineLvl w:val="1"/>
    </w:pPr>
    <w:rPr>
      <w:sz w:val="44"/>
      <w:szCs w:val="44"/>
    </w:rPr>
  </w:style>
  <w:style w:type="paragraph" w:styleId="5">
    <w:name w:val="heading 4"/>
    <w:basedOn w:val="1"/>
    <w:next w:val="1"/>
    <w:unhideWhenUsed/>
    <w:qFormat/>
    <w:uiPriority w:val="9"/>
    <w:pPr>
      <w:spacing w:before="43"/>
      <w:ind w:right="10"/>
      <w:jc w:val="center"/>
      <w:outlineLvl w:val="3"/>
    </w:pPr>
    <w:rPr>
      <w:sz w:val="30"/>
      <w:szCs w:val="30"/>
    </w:rPr>
  </w:style>
  <w:style w:type="paragraph" w:styleId="6">
    <w:name w:val="heading 8"/>
    <w:basedOn w:val="1"/>
    <w:next w:val="1"/>
    <w:qFormat/>
    <w:uiPriority w:val="1"/>
    <w:pPr>
      <w:spacing w:before="1"/>
      <w:ind w:left="440"/>
      <w:outlineLvl w:val="7"/>
    </w:pPr>
    <w:rPr>
      <w:sz w:val="24"/>
      <w:szCs w:val="2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rPr>
  </w:style>
  <w:style w:type="paragraph" w:styleId="7">
    <w:name w:val="annotation text"/>
    <w:basedOn w:val="1"/>
    <w:qFormat/>
    <w:uiPriority w:val="0"/>
    <w:pPr>
      <w:jc w:val="left"/>
    </w:pPr>
    <w:rPr>
      <w:rFonts w:ascii="Times New Roman" w:hAnsi="Times New Roman" w:eastAsia="宋体" w:cs="Times New Roman"/>
    </w:rPr>
  </w:style>
  <w:style w:type="paragraph" w:styleId="8">
    <w:name w:val="Body Text"/>
    <w:basedOn w:val="1"/>
    <w:next w:val="1"/>
    <w:qFormat/>
    <w:uiPriority w:val="1"/>
    <w:rPr>
      <w:sz w:val="21"/>
      <w:szCs w:val="21"/>
    </w:rPr>
  </w:style>
  <w:style w:type="paragraph" w:styleId="9">
    <w:name w:val="Body Text Indent"/>
    <w:basedOn w:val="1"/>
    <w:qFormat/>
    <w:uiPriority w:val="0"/>
    <w:pPr>
      <w:ind w:firstLine="648"/>
    </w:pPr>
    <w:rPr>
      <w:sz w:val="32"/>
      <w:szCs w:val="20"/>
    </w:rPr>
  </w:style>
  <w:style w:type="paragraph" w:styleId="10">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1">
    <w:name w:val="Body Text Indent 3"/>
    <w:basedOn w:val="1"/>
    <w:qFormat/>
    <w:uiPriority w:val="0"/>
    <w:pPr>
      <w:ind w:left="2" w:firstLine="628" w:firstLineChars="196"/>
    </w:pPr>
    <w:rPr>
      <w:rFonts w:ascii="Arial" w:hAnsi="Arial" w:eastAsia="仿宋_GB2312"/>
      <w:b/>
      <w:kern w:val="0"/>
      <w:sz w:val="32"/>
      <w:lang w:bidi="he-IL"/>
    </w:rPr>
  </w:style>
  <w:style w:type="paragraph" w:styleId="12">
    <w:name w:val="Title"/>
    <w:basedOn w:val="1"/>
    <w:next w:val="1"/>
    <w:qFormat/>
    <w:uiPriority w:val="0"/>
    <w:pPr>
      <w:adjustRightInd w:val="0"/>
      <w:spacing w:before="240" w:beforeLines="0" w:after="60" w:afterLines="0" w:line="420" w:lineRule="atLeast"/>
      <w:jc w:val="center"/>
      <w:textAlignment w:val="baseline"/>
      <w:outlineLvl w:val="0"/>
    </w:pPr>
    <w:rPr>
      <w:rFonts w:ascii="Arial" w:hAnsi="Arial" w:eastAsia="宋体" w:cs="Times New Roman"/>
      <w:b/>
      <w:kern w:val="0"/>
      <w:sz w:val="32"/>
      <w:szCs w:val="20"/>
    </w:rPr>
  </w:style>
  <w:style w:type="paragraph" w:styleId="13">
    <w:name w:val="Body Text First Indent"/>
    <w:basedOn w:val="8"/>
    <w:qFormat/>
    <w:uiPriority w:val="0"/>
    <w:pPr>
      <w:tabs>
        <w:tab w:val="left" w:pos="567"/>
      </w:tabs>
      <w:ind w:firstLine="420" w:firstLineChars="100"/>
    </w:pPr>
  </w:style>
  <w:style w:type="paragraph" w:styleId="14">
    <w:name w:val="Body Text First Indent 2"/>
    <w:basedOn w:val="9"/>
    <w:next w:val="1"/>
    <w:qFormat/>
    <w:uiPriority w:val="0"/>
    <w:pPr>
      <w:ind w:firstLine="420" w:firstLineChars="200"/>
    </w:pPr>
  </w:style>
  <w:style w:type="character" w:styleId="17">
    <w:name w:val="Strong"/>
    <w:basedOn w:val="16"/>
    <w:qFormat/>
    <w:uiPriority w:val="22"/>
    <w:rPr>
      <w:b/>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paragraph" w:customStyle="1" w:styleId="19">
    <w:name w:val="BodyTextIndent2"/>
    <w:basedOn w:val="1"/>
    <w:qFormat/>
    <w:uiPriority w:val="99"/>
    <w:pPr>
      <w:ind w:firstLine="570"/>
    </w:pPr>
    <w:rPr>
      <w:rFonts w:ascii="Arial" w:hAnsi="Arial" w:eastAsia="仿宋_GB2312"/>
      <w:b/>
      <w:sz w:val="28"/>
    </w:rPr>
  </w:style>
  <w:style w:type="paragraph" w:customStyle="1" w:styleId="20">
    <w:name w:val="正文（缩进）"/>
    <w:basedOn w:val="1"/>
    <w:qFormat/>
    <w:uiPriority w:val="0"/>
    <w:pPr>
      <w:spacing w:beforeLines="50" w:afterLines="50"/>
      <w:ind w:firstLine="480"/>
    </w:pPr>
    <w:rPr>
      <w:sz w:val="24"/>
    </w:rPr>
  </w:style>
  <w:style w:type="paragraph" w:customStyle="1" w:styleId="21">
    <w:name w:val="Table Paragraph"/>
    <w:basedOn w:val="22"/>
    <w:qFormat/>
    <w:uiPriority w:val="1"/>
  </w:style>
  <w:style w:type="paragraph" w:customStyle="1" w:styleId="22">
    <w:name w:val="正文_0_0"/>
    <w:next w:val="23"/>
    <w:qFormat/>
    <w:uiPriority w:val="0"/>
    <w:pPr>
      <w:widowControl w:val="0"/>
      <w:autoSpaceDE w:val="0"/>
      <w:autoSpaceDN w:val="0"/>
    </w:pPr>
    <w:rPr>
      <w:rFonts w:ascii="宋体" w:hAnsi="宋体" w:eastAsia="宋体" w:cs="黑体"/>
      <w:sz w:val="22"/>
      <w:szCs w:val="22"/>
      <w:lang w:val="zh-CN" w:eastAsia="zh-CN" w:bidi="zh-CN"/>
    </w:rPr>
  </w:style>
  <w:style w:type="paragraph" w:customStyle="1" w:styleId="23">
    <w:name w:val="标题 2_0_0"/>
    <w:basedOn w:val="22"/>
    <w:next w:val="24"/>
    <w:qFormat/>
    <w:uiPriority w:val="0"/>
    <w:pPr>
      <w:spacing w:before="260" w:after="260" w:line="416" w:lineRule="auto"/>
      <w:outlineLvl w:val="1"/>
    </w:pPr>
    <w:rPr>
      <w:rFonts w:ascii="Arial" w:hAnsi="Arial" w:eastAsia="黑体"/>
      <w:b/>
      <w:bCs/>
      <w:sz w:val="32"/>
      <w:szCs w:val="32"/>
    </w:rPr>
  </w:style>
  <w:style w:type="paragraph" w:customStyle="1" w:styleId="24">
    <w:name w:val="正文缩进_0_0"/>
    <w:basedOn w:val="22"/>
    <w:qFormat/>
    <w:uiPriority w:val="0"/>
    <w:pPr>
      <w:ind w:firstLine="420"/>
    </w:pPr>
    <w:rPr>
      <w:sz w:val="20"/>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1"/>
    <w:pPr>
      <w:ind w:left="220" w:firstLine="420"/>
    </w:pPr>
  </w:style>
  <w:style w:type="paragraph" w:customStyle="1" w:styleId="27">
    <w:name w:val="首行缩进"/>
    <w:basedOn w:val="1"/>
    <w:qFormat/>
    <w:uiPriority w:val="0"/>
    <w:pPr>
      <w:spacing w:line="360" w:lineRule="auto"/>
      <w:ind w:left="210" w:leftChars="100" w:firstLine="420" w:firstLineChars="200"/>
    </w:pPr>
  </w:style>
  <w:style w:type="paragraph" w:customStyle="1" w:styleId="28">
    <w:name w:val="最 中间标题"/>
    <w:basedOn w:val="1"/>
    <w:link w:val="30"/>
    <w:qFormat/>
    <w:uiPriority w:val="0"/>
    <w:pPr>
      <w:spacing w:before="100" w:beforeLines="100" w:after="100" w:afterLines="100"/>
      <w:jc w:val="center"/>
    </w:pPr>
    <w:rPr>
      <w:rFonts w:ascii="宋体" w:hAnsi="宋体" w:eastAsia="宋体" w:cs="Times New Roman"/>
      <w:b/>
      <w:bCs/>
      <w:kern w:val="0"/>
      <w:sz w:val="30"/>
      <w:szCs w:val="30"/>
    </w:rPr>
  </w:style>
  <w:style w:type="paragraph" w:customStyle="1" w:styleId="2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0">
    <w:name w:val="最 中间标题 Char"/>
    <w:link w:val="28"/>
    <w:qFormat/>
    <w:uiPriority w:val="0"/>
    <w:rPr>
      <w:rFonts w:ascii="宋体" w:hAnsi="宋体" w:eastAsia="宋体" w:cs="Times New Roman"/>
      <w:b/>
      <w:bCs/>
      <w:kern w:val="0"/>
      <w:sz w:val="30"/>
      <w:szCs w:val="30"/>
    </w:rPr>
  </w:style>
  <w:style w:type="paragraph" w:customStyle="1" w:styleId="31">
    <w:name w:val="表中"/>
    <w:basedOn w:val="1"/>
    <w:qFormat/>
    <w:uiPriority w:val="0"/>
    <w:pPr>
      <w:adjustRightInd w:val="0"/>
      <w:snapToGrid w:val="0"/>
      <w:spacing w:line="420" w:lineRule="atLeast"/>
      <w:jc w:val="center"/>
      <w:textAlignment w:val="baseline"/>
    </w:pPr>
    <w:rPr>
      <w:rFonts w:ascii="Times New Roman" w:hAnsi="Times New Roman" w:eastAsia="宋体" w:cs="Times New Roman"/>
      <w:snapToGrid w:val="0"/>
      <w:kern w:val="0"/>
      <w:szCs w:val="20"/>
    </w:rPr>
  </w:style>
  <w:style w:type="paragraph" w:customStyle="1" w:styleId="32">
    <w:name w:val="Normal_0"/>
    <w:qFormat/>
    <w:uiPriority w:val="0"/>
    <w:rPr>
      <w:rFonts w:ascii="Times New Roman" w:hAnsi="Times New Roman" w:eastAsia="Times New Roman" w:cs="Times New Roman"/>
      <w:sz w:val="24"/>
      <w:szCs w:val="24"/>
      <w:lang w:val="en-US" w:eastAsia="zh-CN" w:bidi="ar-SA"/>
    </w:rPr>
  </w:style>
  <w:style w:type="character" w:customStyle="1" w:styleId="33">
    <w:name w:val="左侧题目 Char"/>
    <w:link w:val="34"/>
    <w:qFormat/>
    <w:uiPriority w:val="0"/>
    <w:rPr>
      <w:rFonts w:ascii="宋体" w:hAnsi="宋体" w:eastAsia="宋体" w:cs="Times New Roman"/>
      <w:b/>
      <w:bCs/>
      <w:kern w:val="0"/>
      <w:sz w:val="28"/>
      <w:szCs w:val="28"/>
    </w:rPr>
  </w:style>
  <w:style w:type="paragraph" w:customStyle="1" w:styleId="34">
    <w:name w:val="左侧题目"/>
    <w:basedOn w:val="1"/>
    <w:link w:val="33"/>
    <w:qFormat/>
    <w:uiPriority w:val="0"/>
    <w:pPr>
      <w:spacing w:before="50" w:beforeLines="50" w:after="50" w:afterLines="50" w:line="240" w:lineRule="auto"/>
      <w:ind w:firstLine="0" w:firstLineChars="0"/>
      <w:jc w:val="left"/>
    </w:pPr>
    <w:rPr>
      <w:rFonts w:ascii="宋体" w:hAnsi="宋体" w:eastAsia="宋体" w:cs="Times New Roman"/>
      <w:b/>
      <w:bCs/>
      <w:kern w:val="0"/>
      <w:sz w:val="28"/>
      <w:szCs w:val="28"/>
    </w:rPr>
  </w:style>
  <w:style w:type="paragraph" w:customStyle="1" w:styleId="35">
    <w:name w:val="Table Text"/>
    <w:basedOn w:val="1"/>
    <w:autoRedefine/>
    <w:semiHidden/>
    <w:qFormat/>
    <w:uiPriority w:val="0"/>
    <w:rPr>
      <w:rFonts w:ascii="楷体" w:hAnsi="楷体" w:eastAsia="楷体" w:cs="楷体"/>
      <w:sz w:val="28"/>
      <w:szCs w:val="2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3037</Words>
  <Characters>3224</Characters>
  <Lines>0</Lines>
  <Paragraphs>0</Paragraphs>
  <TotalTime>0</TotalTime>
  <ScaleCrop>false</ScaleCrop>
  <LinksUpToDate>false</LinksUpToDate>
  <CharactersWithSpaces>3332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2023-03-15T09:39:00Z</dcterms:created>
  <dc:creator>　</dc:creator>
  <cp:lastModifiedBy>DELL</cp:lastModifiedBy>
  <dcterms:modified xsi:type="dcterms:W3CDTF">2024-07-11T10:07:14Z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409C42297A95421E9A73706AA90DBFCD_13</vt:lpwstr>
  </property>
</Properties>
</file>