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2340"/>
          <w:tab w:val="center" w:pos="4547"/>
        </w:tabs>
        <w:wordWrap/>
        <w:topLinePunct w:val="0"/>
        <w:bidi w:val="0"/>
        <w:spacing w:line="360" w:lineRule="auto"/>
        <w:jc w:val="left"/>
        <w:rPr>
          <w:rFonts w:hint="default" w:ascii="仿宋_GB2312" w:hAnsi="宋体" w:eastAsia="仿宋_GB2312"/>
          <w:b/>
          <w:color w:val="auto"/>
          <w:sz w:val="56"/>
          <w:szCs w:val="22"/>
          <w:highlight w:val="none"/>
          <w:lang w:val="en-US" w:eastAsia="zh-CN"/>
        </w:rPr>
      </w:pPr>
      <w:r>
        <w:rPr>
          <w:rFonts w:hint="eastAsia" w:ascii="仿宋_GB2312" w:hAnsi="宋体" w:eastAsia="仿宋_GB2312"/>
          <w:b/>
          <w:color w:val="auto"/>
          <w:sz w:val="56"/>
          <w:szCs w:val="22"/>
          <w:highlight w:val="none"/>
          <w:lang w:val="en-US" w:eastAsia="zh-CN"/>
        </w:rPr>
        <w:t>工程类</w:t>
      </w:r>
    </w:p>
    <w:p>
      <w:pPr>
        <w:keepNext w:val="0"/>
        <w:keepLines w:val="0"/>
        <w:pageBreakBefore w:val="0"/>
        <w:widowControl w:val="0"/>
        <w:tabs>
          <w:tab w:val="left" w:pos="2761"/>
          <w:tab w:val="center" w:pos="4547"/>
        </w:tabs>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b/>
          <w:color w:val="auto"/>
          <w:sz w:val="84"/>
          <w:highlight w:val="none"/>
        </w:rPr>
      </w:pPr>
    </w:p>
    <w:p>
      <w:pPr>
        <w:keepNext w:val="0"/>
        <w:keepLines w:val="0"/>
        <w:pageBreakBefore w:val="0"/>
        <w:widowControl w:val="0"/>
        <w:tabs>
          <w:tab w:val="left" w:pos="2761"/>
          <w:tab w:val="center" w:pos="4547"/>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b/>
          <w:color w:val="auto"/>
          <w:sz w:val="84"/>
          <w:highlight w:val="none"/>
        </w:rPr>
      </w:pPr>
      <w:r>
        <w:rPr>
          <w:rFonts w:hint="eastAsia" w:ascii="仿宋" w:hAnsi="仿宋" w:eastAsia="仿宋"/>
          <w:b/>
          <w:color w:val="auto"/>
          <w:sz w:val="84"/>
          <w:highlight w:val="none"/>
        </w:rPr>
        <w:t>政府采购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b/>
          <w:color w:val="auto"/>
          <w:sz w:val="84"/>
          <w:highlight w:val="none"/>
        </w:rPr>
      </w:pPr>
      <w:r>
        <w:rPr>
          <w:rFonts w:hint="eastAsia" w:ascii="仿宋" w:hAnsi="仿宋" w:eastAsia="仿宋"/>
          <w:b/>
          <w:color w:val="auto"/>
          <w:sz w:val="84"/>
          <w:highlight w:val="none"/>
        </w:rPr>
        <w:t>竞争性磋商招标文件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b/>
          <w:color w:val="auto"/>
          <w:sz w:val="84"/>
          <w:highlight w:val="none"/>
        </w:rPr>
      </w:pPr>
    </w:p>
    <w:p>
      <w:pPr>
        <w:pageBreakBefore w:val="0"/>
        <w:wordWrap/>
        <w:topLinePunct w:val="0"/>
        <w:bidi w:val="0"/>
        <w:spacing w:line="360" w:lineRule="auto"/>
        <w:ind w:firstLine="642" w:firstLineChars="200"/>
        <w:rPr>
          <w:rFonts w:hint="eastAsia" w:ascii="仿宋" w:hAnsi="仿宋" w:eastAsia="仿宋" w:cs="Times New Roman"/>
          <w:b/>
          <w:bCs/>
          <w:color w:val="auto"/>
          <w:sz w:val="32"/>
          <w:szCs w:val="32"/>
          <w:highlight w:val="none"/>
        </w:rPr>
      </w:pPr>
    </w:p>
    <w:p>
      <w:pPr>
        <w:pageBreakBefore w:val="0"/>
        <w:wordWrap/>
        <w:topLinePunct w:val="0"/>
        <w:bidi w:val="0"/>
        <w:spacing w:line="360" w:lineRule="auto"/>
        <w:ind w:firstLine="642" w:firstLineChars="200"/>
        <w:rPr>
          <w:rFonts w:hint="eastAsia" w:ascii="仿宋" w:hAnsi="仿宋" w:eastAsia="仿宋" w:cs="Times New Roman"/>
          <w:b/>
          <w:bCs/>
          <w:color w:val="auto"/>
          <w:sz w:val="32"/>
          <w:szCs w:val="32"/>
          <w:highlight w:val="none"/>
          <w:lang w:val="en-US" w:eastAsia="zh-CN"/>
        </w:rPr>
      </w:pPr>
      <w:r>
        <w:rPr>
          <w:rFonts w:hint="eastAsia" w:ascii="仿宋" w:hAnsi="仿宋" w:eastAsia="仿宋" w:cs="Times New Roman"/>
          <w:b/>
          <w:bCs/>
          <w:color w:val="auto"/>
          <w:sz w:val="32"/>
          <w:szCs w:val="32"/>
          <w:highlight w:val="none"/>
          <w:lang w:val="en-US" w:eastAsia="zh-CN"/>
        </w:rPr>
        <w:t xml:space="preserve">采购计划编号：2024NCZ001787 </w:t>
      </w:r>
    </w:p>
    <w:p>
      <w:pPr>
        <w:pageBreakBefore w:val="0"/>
        <w:wordWrap/>
        <w:topLinePunct w:val="0"/>
        <w:bidi w:val="0"/>
        <w:spacing w:line="360" w:lineRule="auto"/>
        <w:ind w:firstLine="642" w:firstLineChars="200"/>
        <w:rPr>
          <w:rFonts w:hint="eastAsia" w:ascii="仿宋" w:hAnsi="仿宋" w:eastAsia="仿宋" w:cs="Times New Roman"/>
          <w:b/>
          <w:bCs/>
          <w:color w:val="auto"/>
          <w:sz w:val="32"/>
          <w:szCs w:val="32"/>
          <w:highlight w:val="none"/>
        </w:rPr>
      </w:pPr>
      <w:r>
        <w:rPr>
          <w:rFonts w:hint="eastAsia" w:ascii="仿宋" w:hAnsi="仿宋" w:eastAsia="仿宋" w:cs="Times New Roman"/>
          <w:b/>
          <w:bCs/>
          <w:color w:val="auto"/>
          <w:sz w:val="32"/>
          <w:szCs w:val="32"/>
          <w:highlight w:val="none"/>
        </w:rPr>
        <w:t>项目编号:SSGDZTB2024173</w:t>
      </w:r>
      <w:r>
        <w:rPr>
          <w:rFonts w:hint="eastAsia" w:ascii="仿宋" w:hAnsi="仿宋" w:eastAsia="仿宋" w:cs="Times New Roman"/>
          <w:b/>
          <w:bCs/>
          <w:color w:val="auto"/>
          <w:sz w:val="32"/>
          <w:szCs w:val="32"/>
          <w:highlight w:val="none"/>
          <w:lang w:val="en-US" w:eastAsia="zh-CN"/>
        </w:rPr>
        <w:t xml:space="preserve"> </w:t>
      </w:r>
    </w:p>
    <w:p>
      <w:pPr>
        <w:pStyle w:val="38"/>
        <w:pageBreakBefore w:val="0"/>
        <w:wordWrap/>
        <w:topLinePunct w:val="0"/>
        <w:bidi w:val="0"/>
        <w:spacing w:line="360" w:lineRule="auto"/>
        <w:rPr>
          <w:rFonts w:hint="eastAsia"/>
          <w:color w:val="auto"/>
        </w:rPr>
      </w:pPr>
    </w:p>
    <w:p>
      <w:pPr>
        <w:pageBreakBefore w:val="0"/>
        <w:wordWrap/>
        <w:topLinePunct w:val="0"/>
        <w:bidi w:val="0"/>
        <w:spacing w:line="360" w:lineRule="auto"/>
        <w:ind w:firstLine="642" w:firstLineChars="200"/>
        <w:rPr>
          <w:rFonts w:hint="eastAsia" w:ascii="仿宋" w:hAnsi="仿宋" w:eastAsia="仿宋" w:cs="Times New Roman"/>
          <w:b/>
          <w:sz w:val="32"/>
          <w:szCs w:val="32"/>
          <w:lang w:val="en-US" w:eastAsia="zh-CN"/>
        </w:rPr>
      </w:pPr>
      <w:r>
        <w:rPr>
          <w:rFonts w:hint="eastAsia" w:ascii="仿宋" w:hAnsi="仿宋" w:eastAsia="仿宋"/>
          <w:b/>
          <w:bCs/>
          <w:color w:val="auto"/>
          <w:kern w:val="0"/>
          <w:sz w:val="32"/>
          <w:szCs w:val="32"/>
          <w:highlight w:val="none"/>
        </w:rPr>
        <w:t>项目名称：</w:t>
      </w:r>
      <w:r>
        <w:rPr>
          <w:rFonts w:hint="eastAsia" w:ascii="仿宋" w:hAnsi="仿宋" w:eastAsia="仿宋" w:cs="Times New Roman"/>
          <w:b/>
          <w:sz w:val="32"/>
          <w:szCs w:val="32"/>
          <w:lang w:val="en-US" w:eastAsia="zh-CN"/>
        </w:rPr>
        <w:t>宁夏回族自治区交通宣传事务中心“两馆”科普教育基地维修改造项目</w:t>
      </w:r>
    </w:p>
    <w:p>
      <w:pPr>
        <w:pageBreakBefore w:val="0"/>
        <w:wordWrap/>
        <w:topLinePunct w:val="0"/>
        <w:bidi w:val="0"/>
        <w:spacing w:line="360" w:lineRule="auto"/>
        <w:ind w:firstLine="642" w:firstLineChars="200"/>
        <w:rPr>
          <w:rFonts w:hint="eastAsia" w:ascii="仿宋" w:hAnsi="仿宋" w:eastAsia="仿宋" w:cs="Times New Roman"/>
          <w:b/>
          <w:bCs/>
          <w:color w:val="auto"/>
          <w:kern w:val="0"/>
          <w:sz w:val="32"/>
          <w:szCs w:val="32"/>
          <w:highlight w:val="none"/>
          <w:lang w:val="en-US" w:eastAsia="zh-CN"/>
        </w:rPr>
      </w:pPr>
      <w:r>
        <w:rPr>
          <w:rFonts w:hint="eastAsia" w:ascii="仿宋" w:hAnsi="仿宋" w:eastAsia="仿宋"/>
          <w:b/>
          <w:bCs/>
          <w:color w:val="auto"/>
          <w:kern w:val="0"/>
          <w:sz w:val="32"/>
          <w:szCs w:val="32"/>
          <w:highlight w:val="none"/>
        </w:rPr>
        <w:t>采购单位：</w:t>
      </w:r>
      <w:r>
        <w:rPr>
          <w:rFonts w:hint="eastAsia" w:ascii="仿宋" w:hAnsi="仿宋" w:eastAsia="仿宋" w:cs="Times New Roman"/>
          <w:b/>
          <w:bCs/>
          <w:color w:val="auto"/>
          <w:kern w:val="0"/>
          <w:sz w:val="32"/>
          <w:szCs w:val="32"/>
          <w:highlight w:val="none"/>
          <w:lang w:val="en-US" w:eastAsia="zh-CN"/>
        </w:rPr>
        <w:t>宁夏回族自治区交通宣传事务中心</w:t>
      </w:r>
    </w:p>
    <w:p>
      <w:pPr>
        <w:pageBreakBefore w:val="0"/>
        <w:wordWrap/>
        <w:topLinePunct w:val="0"/>
        <w:bidi w:val="0"/>
        <w:spacing w:line="360" w:lineRule="auto"/>
        <w:ind w:firstLine="642" w:firstLineChars="200"/>
        <w:rPr>
          <w:rFonts w:hint="eastAsia" w:ascii="仿宋" w:hAnsi="仿宋" w:eastAsia="仿宋"/>
          <w:b/>
          <w:bCs/>
          <w:color w:val="auto"/>
          <w:kern w:val="0"/>
          <w:sz w:val="32"/>
          <w:szCs w:val="32"/>
          <w:highlight w:val="none"/>
          <w:lang w:eastAsia="zh-CN"/>
        </w:rPr>
      </w:pPr>
      <w:r>
        <w:rPr>
          <w:rFonts w:hint="eastAsia" w:ascii="仿宋" w:hAnsi="仿宋" w:eastAsia="仿宋"/>
          <w:b/>
          <w:bCs/>
          <w:color w:val="auto"/>
          <w:kern w:val="0"/>
          <w:sz w:val="32"/>
          <w:szCs w:val="32"/>
          <w:highlight w:val="none"/>
        </w:rPr>
        <w:t>代理机构：</w:t>
      </w:r>
      <w:r>
        <w:rPr>
          <w:rFonts w:hint="eastAsia" w:ascii="仿宋" w:hAnsi="仿宋" w:eastAsia="仿宋" w:cs="Times New Roman"/>
          <w:b/>
          <w:bCs/>
          <w:color w:val="auto"/>
          <w:kern w:val="0"/>
          <w:sz w:val="32"/>
          <w:szCs w:val="32"/>
          <w:highlight w:val="none"/>
          <w:lang w:val="en-US" w:eastAsia="zh-CN"/>
        </w:rPr>
        <w:t>宁夏盛世光大招投标有限公司</w:t>
      </w:r>
    </w:p>
    <w:p>
      <w:pPr>
        <w:pageBreakBefore w:val="0"/>
        <w:wordWrap/>
        <w:topLinePunct w:val="0"/>
        <w:bidi w:val="0"/>
        <w:spacing w:line="360" w:lineRule="auto"/>
        <w:ind w:firstLine="642" w:firstLineChars="200"/>
        <w:rPr>
          <w:rFonts w:hint="default" w:ascii="仿宋" w:hAnsi="仿宋" w:eastAsia="仿宋" w:cs="Times New Roman"/>
          <w:b/>
          <w:bCs/>
          <w:color w:val="auto"/>
          <w:kern w:val="0"/>
          <w:sz w:val="32"/>
          <w:szCs w:val="32"/>
          <w:highlight w:val="none"/>
          <w:lang w:val="en-US" w:eastAsia="zh-CN"/>
        </w:rPr>
        <w:sectPr>
          <w:footerReference r:id="rId5" w:type="first"/>
          <w:headerReference r:id="rId4" w:type="default"/>
          <w:pgSz w:w="11906" w:h="16838"/>
          <w:pgMar w:top="1440" w:right="1417" w:bottom="1440" w:left="1417" w:header="851" w:footer="992" w:gutter="0"/>
          <w:pgNumType w:fmt="decimal" w:start="1"/>
          <w:cols w:space="720" w:num="1"/>
          <w:docGrid w:linePitch="312" w:charSpace="0"/>
        </w:sectPr>
      </w:pPr>
    </w:p>
    <w:p>
      <w:pPr>
        <w:pStyle w:val="25"/>
        <w:pageBreakBefore w:val="0"/>
        <w:wordWrap/>
        <w:topLinePunct w:val="0"/>
        <w:bidi w:val="0"/>
        <w:spacing w:line="360" w:lineRule="auto"/>
        <w:rPr>
          <w:rFonts w:hint="eastAsia" w:ascii="宋体" w:hAnsi="宋体" w:eastAsia="宋体" w:cs="宋体"/>
          <w:color w:val="auto"/>
          <w:highlight w:val="none"/>
        </w:rPr>
      </w:pPr>
    </w:p>
    <w:p>
      <w:pPr>
        <w:pStyle w:val="17"/>
        <w:pageBreakBefore w:val="0"/>
        <w:tabs>
          <w:tab w:val="right" w:leader="dot" w:pos="9026"/>
        </w:tabs>
        <w:wordWrap/>
        <w:topLinePunct w:val="0"/>
        <w:bidi w:val="0"/>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目录</w:t>
      </w:r>
    </w:p>
    <w:p>
      <w:pPr>
        <w:pStyle w:val="17"/>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TOC \o "1-1" \h \u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Cs w:val="32"/>
          <w:highlight w:val="none"/>
          <w:lang w:val="en-US" w:eastAsia="zh-CN"/>
        </w:rPr>
        <w:fldChar w:fldCharType="begin"/>
      </w:r>
      <w:r>
        <w:rPr>
          <w:rFonts w:hint="eastAsia" w:ascii="宋体" w:hAnsi="宋体" w:eastAsia="宋体" w:cs="宋体"/>
          <w:color w:val="auto"/>
          <w:szCs w:val="32"/>
          <w:highlight w:val="none"/>
          <w:lang w:val="en-US" w:eastAsia="zh-CN"/>
        </w:rPr>
        <w:instrText xml:space="preserve"> HYPERLINK \l _Toc314 </w:instrText>
      </w:r>
      <w:r>
        <w:rPr>
          <w:rFonts w:hint="eastAsia" w:ascii="宋体" w:hAnsi="宋体" w:eastAsia="宋体" w:cs="宋体"/>
          <w:color w:val="auto"/>
          <w:szCs w:val="32"/>
          <w:highlight w:val="none"/>
          <w:lang w:val="en-US" w:eastAsia="zh-CN"/>
        </w:rPr>
        <w:fldChar w:fldCharType="separate"/>
      </w:r>
      <w:r>
        <w:rPr>
          <w:rFonts w:hint="eastAsia" w:ascii="宋体" w:hAnsi="宋体" w:eastAsia="宋体" w:cs="宋体"/>
          <w:bCs/>
          <w:color w:val="auto"/>
          <w:szCs w:val="32"/>
          <w:highlight w:val="none"/>
          <w:lang w:eastAsia="zh-CN"/>
        </w:rPr>
        <w:t>第一章</w:t>
      </w:r>
      <w:r>
        <w:rPr>
          <w:rFonts w:hint="eastAsia" w:ascii="宋体" w:hAnsi="宋体" w:eastAsia="宋体" w:cs="宋体"/>
          <w:bCs/>
          <w:color w:val="auto"/>
          <w:szCs w:val="32"/>
          <w:highlight w:val="none"/>
          <w:lang w:val="en-US" w:eastAsia="zh-CN"/>
        </w:rPr>
        <w:t xml:space="preserve"> 磋商邀请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0</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lang w:val="en-US" w:eastAsia="zh-CN"/>
        </w:rPr>
        <w:fldChar w:fldCharType="end"/>
      </w:r>
    </w:p>
    <w:p>
      <w:pPr>
        <w:pStyle w:val="17"/>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32"/>
          <w:highlight w:val="none"/>
          <w:lang w:val="en-US" w:eastAsia="zh-CN"/>
        </w:rPr>
        <w:fldChar w:fldCharType="begin"/>
      </w:r>
      <w:r>
        <w:rPr>
          <w:rFonts w:hint="eastAsia" w:ascii="宋体" w:hAnsi="宋体" w:eastAsia="宋体" w:cs="宋体"/>
          <w:color w:val="auto"/>
          <w:szCs w:val="32"/>
          <w:highlight w:val="none"/>
          <w:lang w:val="en-US" w:eastAsia="zh-CN"/>
        </w:rPr>
        <w:instrText xml:space="preserve"> HYPERLINK \l _Toc7235 </w:instrText>
      </w:r>
      <w:r>
        <w:rPr>
          <w:rFonts w:hint="eastAsia" w:ascii="宋体" w:hAnsi="宋体" w:eastAsia="宋体" w:cs="宋体"/>
          <w:color w:val="auto"/>
          <w:szCs w:val="32"/>
          <w:highlight w:val="none"/>
          <w:lang w:val="en-US" w:eastAsia="zh-CN"/>
        </w:rPr>
        <w:fldChar w:fldCharType="separate"/>
      </w:r>
      <w:r>
        <w:rPr>
          <w:rFonts w:hint="eastAsia" w:ascii="宋体" w:hAnsi="宋体" w:eastAsia="宋体" w:cs="宋体"/>
          <w:bCs/>
          <w:color w:val="auto"/>
          <w:szCs w:val="32"/>
          <w:highlight w:val="none"/>
          <w:lang w:val="en-US" w:eastAsia="zh-CN"/>
        </w:rPr>
        <w:t>第二章 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_Toc7235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lang w:val="en-US" w:eastAsia="zh-CN"/>
        </w:rPr>
        <w:fldChar w:fldCharType="end"/>
      </w:r>
    </w:p>
    <w:p>
      <w:pPr>
        <w:pStyle w:val="17"/>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rPr>
      </w:pPr>
      <w:r>
        <w:rPr>
          <w:rFonts w:hint="eastAsia" w:ascii="宋体" w:hAnsi="宋体" w:eastAsia="宋体" w:cs="宋体"/>
          <w:color w:val="auto"/>
          <w:szCs w:val="32"/>
          <w:highlight w:val="none"/>
          <w:lang w:val="en-US" w:eastAsia="zh-CN"/>
        </w:rPr>
        <w:fldChar w:fldCharType="begin"/>
      </w:r>
      <w:r>
        <w:rPr>
          <w:rFonts w:hint="eastAsia" w:ascii="宋体" w:hAnsi="宋体" w:eastAsia="宋体" w:cs="宋体"/>
          <w:color w:val="auto"/>
          <w:szCs w:val="32"/>
          <w:highlight w:val="none"/>
          <w:lang w:val="en-US" w:eastAsia="zh-CN"/>
        </w:rPr>
        <w:instrText xml:space="preserve"> HYPERLINK \l _Toc16112 </w:instrText>
      </w:r>
      <w:r>
        <w:rPr>
          <w:rFonts w:hint="eastAsia" w:ascii="宋体" w:hAnsi="宋体" w:eastAsia="宋体" w:cs="宋体"/>
          <w:color w:val="auto"/>
          <w:szCs w:val="32"/>
          <w:highlight w:val="none"/>
          <w:lang w:val="en-US" w:eastAsia="zh-CN"/>
        </w:rPr>
        <w:fldChar w:fldCharType="separate"/>
      </w:r>
      <w:r>
        <w:rPr>
          <w:rFonts w:hint="eastAsia" w:ascii="宋体" w:hAnsi="宋体" w:eastAsia="宋体" w:cs="宋体"/>
          <w:bCs/>
          <w:color w:val="auto"/>
          <w:szCs w:val="32"/>
          <w:highlight w:val="none"/>
          <w:lang w:val="en-US" w:eastAsia="zh-CN"/>
        </w:rPr>
        <w:t>第三章 供应商须知</w:t>
      </w:r>
      <w:r>
        <w:rPr>
          <w:rFonts w:hint="eastAsia" w:ascii="宋体" w:hAnsi="宋体" w:eastAsia="宋体" w:cs="宋体"/>
          <w:color w:val="auto"/>
          <w:highlight w:val="none"/>
        </w:rPr>
        <w:tab/>
      </w:r>
      <w:r>
        <w:rPr>
          <w:rFonts w:hint="eastAsia" w:ascii="宋体" w:hAnsi="宋体" w:cs="宋体"/>
          <w:color w:val="auto"/>
          <w:highlight w:val="none"/>
          <w:lang w:val="en-US" w:eastAsia="zh-CN"/>
        </w:rPr>
        <w:t>1</w:t>
      </w:r>
      <w:r>
        <w:rPr>
          <w:rFonts w:hint="eastAsia" w:ascii="宋体" w:hAnsi="宋体" w:eastAsia="宋体" w:cs="宋体"/>
          <w:color w:val="auto"/>
          <w:szCs w:val="32"/>
          <w:highlight w:val="none"/>
          <w:lang w:val="en-US" w:eastAsia="zh-CN"/>
        </w:rPr>
        <w:fldChar w:fldCharType="end"/>
      </w:r>
      <w:r>
        <w:rPr>
          <w:rFonts w:hint="eastAsia" w:ascii="宋体" w:hAnsi="宋体" w:cs="宋体"/>
          <w:color w:val="auto"/>
          <w:szCs w:val="32"/>
          <w:highlight w:val="none"/>
          <w:lang w:val="en-US" w:eastAsia="zh-CN"/>
        </w:rPr>
        <w:t>0</w:t>
      </w:r>
    </w:p>
    <w:p>
      <w:pPr>
        <w:pStyle w:val="17"/>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rPr>
      </w:pPr>
      <w:r>
        <w:rPr>
          <w:rFonts w:hint="eastAsia" w:ascii="宋体" w:hAnsi="宋体" w:eastAsia="宋体" w:cs="宋体"/>
          <w:color w:val="auto"/>
          <w:szCs w:val="32"/>
          <w:highlight w:val="none"/>
          <w:lang w:val="en-US" w:eastAsia="zh-CN"/>
        </w:rPr>
        <w:fldChar w:fldCharType="begin"/>
      </w:r>
      <w:r>
        <w:rPr>
          <w:rFonts w:hint="eastAsia" w:ascii="宋体" w:hAnsi="宋体" w:eastAsia="宋体" w:cs="宋体"/>
          <w:color w:val="auto"/>
          <w:szCs w:val="32"/>
          <w:highlight w:val="none"/>
          <w:lang w:val="en-US" w:eastAsia="zh-CN"/>
        </w:rPr>
        <w:instrText xml:space="preserve"> HYPERLINK \l _Toc5054 </w:instrText>
      </w:r>
      <w:r>
        <w:rPr>
          <w:rFonts w:hint="eastAsia" w:ascii="宋体" w:hAnsi="宋体" w:eastAsia="宋体" w:cs="宋体"/>
          <w:color w:val="auto"/>
          <w:szCs w:val="32"/>
          <w:highlight w:val="none"/>
          <w:lang w:val="en-US" w:eastAsia="zh-CN"/>
        </w:rPr>
        <w:fldChar w:fldCharType="separate"/>
      </w:r>
      <w:r>
        <w:rPr>
          <w:rFonts w:hint="eastAsia" w:ascii="宋体" w:hAnsi="宋体" w:eastAsia="宋体" w:cs="宋体"/>
          <w:bCs/>
          <w:color w:val="auto"/>
          <w:kern w:val="2"/>
          <w:szCs w:val="32"/>
          <w:highlight w:val="none"/>
          <w:lang w:val="en-US" w:eastAsia="zh-CN" w:bidi="ar-SA"/>
        </w:rPr>
        <w:t>第四章 评标方法和标准</w:t>
      </w:r>
      <w:r>
        <w:rPr>
          <w:rFonts w:hint="eastAsia" w:ascii="宋体" w:hAnsi="宋体" w:eastAsia="宋体" w:cs="宋体"/>
          <w:color w:val="auto"/>
          <w:highlight w:val="none"/>
        </w:rPr>
        <w:tab/>
      </w:r>
      <w:r>
        <w:rPr>
          <w:rFonts w:hint="eastAsia" w:ascii="宋体" w:hAnsi="宋体" w:cs="宋体"/>
          <w:color w:val="auto"/>
          <w:highlight w:val="none"/>
          <w:lang w:val="en-US" w:eastAsia="zh-CN"/>
        </w:rPr>
        <w:t>2</w:t>
      </w:r>
      <w:r>
        <w:rPr>
          <w:rFonts w:hint="eastAsia" w:ascii="宋体" w:hAnsi="宋体" w:eastAsia="宋体" w:cs="宋体"/>
          <w:color w:val="auto"/>
          <w:szCs w:val="32"/>
          <w:highlight w:val="none"/>
          <w:lang w:val="en-US" w:eastAsia="zh-CN"/>
        </w:rPr>
        <w:fldChar w:fldCharType="end"/>
      </w:r>
      <w:r>
        <w:rPr>
          <w:rFonts w:hint="eastAsia" w:ascii="宋体" w:hAnsi="宋体" w:cs="宋体"/>
          <w:color w:val="auto"/>
          <w:szCs w:val="32"/>
          <w:highlight w:val="none"/>
          <w:lang w:val="en-US" w:eastAsia="zh-CN"/>
        </w:rPr>
        <w:t>5</w:t>
      </w:r>
    </w:p>
    <w:p>
      <w:pPr>
        <w:pStyle w:val="17"/>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rPr>
      </w:pPr>
      <w:r>
        <w:rPr>
          <w:rFonts w:hint="eastAsia" w:ascii="宋体" w:hAnsi="宋体" w:eastAsia="宋体" w:cs="宋体"/>
          <w:color w:val="auto"/>
          <w:szCs w:val="32"/>
          <w:highlight w:val="none"/>
          <w:lang w:val="en-US" w:eastAsia="zh-CN"/>
        </w:rPr>
        <w:fldChar w:fldCharType="begin"/>
      </w:r>
      <w:r>
        <w:rPr>
          <w:rFonts w:hint="eastAsia" w:ascii="宋体" w:hAnsi="宋体" w:eastAsia="宋体" w:cs="宋体"/>
          <w:color w:val="auto"/>
          <w:szCs w:val="32"/>
          <w:highlight w:val="none"/>
          <w:lang w:val="en-US" w:eastAsia="zh-CN"/>
        </w:rPr>
        <w:instrText xml:space="preserve"> HYPERLINK \l _Toc22079 </w:instrText>
      </w:r>
      <w:r>
        <w:rPr>
          <w:rFonts w:hint="eastAsia" w:ascii="宋体" w:hAnsi="宋体" w:eastAsia="宋体" w:cs="宋体"/>
          <w:color w:val="auto"/>
          <w:szCs w:val="32"/>
          <w:highlight w:val="none"/>
          <w:lang w:val="en-US" w:eastAsia="zh-CN"/>
        </w:rPr>
        <w:fldChar w:fldCharType="separate"/>
      </w:r>
      <w:r>
        <w:rPr>
          <w:rFonts w:hint="eastAsia" w:ascii="宋体" w:hAnsi="宋体" w:eastAsia="宋体" w:cs="宋体"/>
          <w:bCs/>
          <w:color w:val="auto"/>
          <w:kern w:val="2"/>
          <w:szCs w:val="32"/>
          <w:highlight w:val="none"/>
          <w:lang w:val="en-US" w:eastAsia="zh-CN" w:bidi="ar-SA"/>
        </w:rPr>
        <w:t>第五章 工程量清单及采购需求</w:t>
      </w:r>
      <w:r>
        <w:rPr>
          <w:rFonts w:hint="eastAsia" w:ascii="宋体" w:hAnsi="宋体" w:eastAsia="宋体" w:cs="宋体"/>
          <w:color w:val="auto"/>
          <w:highlight w:val="none"/>
        </w:rPr>
        <w:tab/>
      </w:r>
      <w:r>
        <w:rPr>
          <w:rFonts w:hint="eastAsia" w:ascii="宋体" w:hAnsi="宋体" w:cs="宋体"/>
          <w:color w:val="auto"/>
          <w:highlight w:val="none"/>
          <w:lang w:val="en-US" w:eastAsia="zh-CN"/>
        </w:rPr>
        <w:t>2</w:t>
      </w:r>
      <w:r>
        <w:rPr>
          <w:rFonts w:hint="eastAsia" w:ascii="宋体" w:hAnsi="宋体" w:eastAsia="宋体" w:cs="宋体"/>
          <w:color w:val="auto"/>
          <w:szCs w:val="32"/>
          <w:highlight w:val="none"/>
          <w:lang w:val="en-US" w:eastAsia="zh-CN"/>
        </w:rPr>
        <w:fldChar w:fldCharType="end"/>
      </w:r>
      <w:r>
        <w:rPr>
          <w:rFonts w:hint="eastAsia" w:ascii="宋体" w:hAnsi="宋体" w:cs="宋体"/>
          <w:color w:val="auto"/>
          <w:szCs w:val="32"/>
          <w:highlight w:val="none"/>
          <w:lang w:val="en-US" w:eastAsia="zh-CN"/>
        </w:rPr>
        <w:t>6</w:t>
      </w:r>
    </w:p>
    <w:p>
      <w:pPr>
        <w:pStyle w:val="17"/>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rPr>
      </w:pPr>
      <w:r>
        <w:rPr>
          <w:rFonts w:hint="eastAsia" w:ascii="宋体" w:hAnsi="宋体" w:eastAsia="宋体" w:cs="宋体"/>
          <w:color w:val="auto"/>
          <w:szCs w:val="32"/>
          <w:highlight w:val="none"/>
          <w:lang w:val="en-US" w:eastAsia="zh-CN"/>
        </w:rPr>
        <w:fldChar w:fldCharType="begin"/>
      </w:r>
      <w:r>
        <w:rPr>
          <w:rFonts w:hint="eastAsia" w:ascii="宋体" w:hAnsi="宋体" w:eastAsia="宋体" w:cs="宋体"/>
          <w:color w:val="auto"/>
          <w:szCs w:val="32"/>
          <w:highlight w:val="none"/>
          <w:lang w:val="en-US" w:eastAsia="zh-CN"/>
        </w:rPr>
        <w:instrText xml:space="preserve"> HYPERLINK \l _Toc9645 </w:instrText>
      </w:r>
      <w:r>
        <w:rPr>
          <w:rFonts w:hint="eastAsia" w:ascii="宋体" w:hAnsi="宋体" w:eastAsia="宋体" w:cs="宋体"/>
          <w:color w:val="auto"/>
          <w:szCs w:val="32"/>
          <w:highlight w:val="none"/>
          <w:lang w:val="en-US" w:eastAsia="zh-CN"/>
        </w:rPr>
        <w:fldChar w:fldCharType="separate"/>
      </w:r>
      <w:r>
        <w:rPr>
          <w:rFonts w:hint="eastAsia" w:ascii="宋体" w:hAnsi="宋体" w:eastAsia="宋体" w:cs="宋体"/>
          <w:bCs/>
          <w:color w:val="auto"/>
          <w:szCs w:val="32"/>
          <w:highlight w:val="none"/>
          <w:lang w:val="en-US" w:eastAsia="zh-CN"/>
        </w:rPr>
        <w:t>第六章 政府采购合同范本</w:t>
      </w:r>
      <w:r>
        <w:rPr>
          <w:rFonts w:hint="eastAsia" w:ascii="宋体" w:hAnsi="宋体" w:eastAsia="宋体" w:cs="宋体"/>
          <w:color w:val="auto"/>
          <w:highlight w:val="none"/>
        </w:rPr>
        <w:tab/>
      </w:r>
      <w:r>
        <w:rPr>
          <w:rFonts w:hint="eastAsia" w:ascii="宋体" w:hAnsi="宋体" w:cs="宋体"/>
          <w:color w:val="auto"/>
          <w:highlight w:val="none"/>
          <w:lang w:val="en-US" w:eastAsia="zh-CN"/>
        </w:rPr>
        <w:t>2</w:t>
      </w:r>
      <w:r>
        <w:rPr>
          <w:rFonts w:hint="eastAsia" w:ascii="宋体" w:hAnsi="宋体" w:eastAsia="宋体" w:cs="宋体"/>
          <w:color w:val="auto"/>
          <w:szCs w:val="32"/>
          <w:highlight w:val="none"/>
          <w:lang w:val="en-US" w:eastAsia="zh-CN"/>
        </w:rPr>
        <w:fldChar w:fldCharType="end"/>
      </w:r>
      <w:r>
        <w:rPr>
          <w:rFonts w:hint="eastAsia" w:ascii="宋体" w:hAnsi="宋体" w:cs="宋体"/>
          <w:color w:val="auto"/>
          <w:szCs w:val="32"/>
          <w:highlight w:val="none"/>
          <w:lang w:val="en-US" w:eastAsia="zh-CN"/>
        </w:rPr>
        <w:t>7</w:t>
      </w:r>
    </w:p>
    <w:p>
      <w:pPr>
        <w:pStyle w:val="17"/>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32"/>
          <w:highlight w:val="none"/>
          <w:lang w:val="en-US" w:eastAsia="zh-CN"/>
        </w:rPr>
        <w:fldChar w:fldCharType="begin"/>
      </w:r>
      <w:r>
        <w:rPr>
          <w:rFonts w:hint="eastAsia" w:ascii="宋体" w:hAnsi="宋体" w:eastAsia="宋体" w:cs="宋体"/>
          <w:color w:val="auto"/>
          <w:szCs w:val="32"/>
          <w:highlight w:val="none"/>
          <w:lang w:val="en-US" w:eastAsia="zh-CN"/>
        </w:rPr>
        <w:instrText xml:space="preserve"> HYPERLINK \l _Toc9603 </w:instrText>
      </w:r>
      <w:r>
        <w:rPr>
          <w:rFonts w:hint="eastAsia" w:ascii="宋体" w:hAnsi="宋体" w:eastAsia="宋体" w:cs="宋体"/>
          <w:color w:val="auto"/>
          <w:szCs w:val="32"/>
          <w:highlight w:val="none"/>
          <w:lang w:val="en-US" w:eastAsia="zh-CN"/>
        </w:rPr>
        <w:fldChar w:fldCharType="separate"/>
      </w:r>
      <w:r>
        <w:rPr>
          <w:rFonts w:hint="eastAsia" w:ascii="宋体" w:hAnsi="宋体" w:eastAsia="宋体" w:cs="宋体"/>
          <w:bCs/>
          <w:color w:val="auto"/>
          <w:szCs w:val="32"/>
          <w:highlight w:val="none"/>
          <w:lang w:val="en-US" w:eastAsia="zh-CN"/>
        </w:rPr>
        <w:t>第七章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_Toc9603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sectPr>
          <w:footerReference r:id="rId6" w:type="default"/>
          <w:pgSz w:w="11906" w:h="16838"/>
          <w:pgMar w:top="1440" w:right="1440" w:bottom="1440" w:left="1440" w:header="851" w:footer="992" w:gutter="0"/>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32"/>
          <w:szCs w:val="32"/>
          <w:highlight w:val="none"/>
          <w:lang w:val="en-US" w:eastAsia="zh-CN"/>
        </w:rPr>
      </w:pPr>
      <w:bookmarkStart w:id="0" w:name="_Toc314"/>
      <w:r>
        <w:rPr>
          <w:rFonts w:hint="eastAsia" w:ascii="宋体" w:hAnsi="宋体" w:eastAsia="宋体" w:cs="宋体"/>
          <w:b/>
          <w:bCs/>
          <w:color w:val="auto"/>
          <w:sz w:val="32"/>
          <w:szCs w:val="32"/>
          <w:highlight w:val="none"/>
          <w:lang w:eastAsia="zh-CN"/>
        </w:rPr>
        <w:t>第一章</w:t>
      </w:r>
      <w:r>
        <w:rPr>
          <w:rFonts w:hint="eastAsia" w:ascii="宋体" w:hAnsi="宋体" w:eastAsia="宋体" w:cs="宋体"/>
          <w:b/>
          <w:bCs/>
          <w:color w:val="auto"/>
          <w:sz w:val="32"/>
          <w:szCs w:val="32"/>
          <w:highlight w:val="none"/>
          <w:lang w:val="en-US" w:eastAsia="zh-CN"/>
        </w:rPr>
        <w:t xml:space="preserve"> 磋商</w:t>
      </w:r>
      <w:bookmarkEnd w:id="0"/>
      <w:r>
        <w:rPr>
          <w:rFonts w:hint="eastAsia" w:ascii="宋体" w:hAnsi="宋体" w:cs="宋体"/>
          <w:b/>
          <w:bCs/>
          <w:color w:val="auto"/>
          <w:sz w:val="32"/>
          <w:szCs w:val="32"/>
          <w:highlight w:val="none"/>
          <w:lang w:val="en-US" w:eastAsia="zh-CN"/>
        </w:rPr>
        <w:t>公告</w:t>
      </w:r>
    </w:p>
    <w:p>
      <w:pPr>
        <w:pageBreakBefore w:val="0"/>
        <w:wordWrap/>
        <w:topLinePunct w:val="0"/>
        <w:bidi w:val="0"/>
        <w:spacing w:line="360" w:lineRule="auto"/>
        <w:ind w:left="0" w:leftChars="0" w:right="-168" w:rightChars="-60" w:firstLine="562" w:firstLineChars="175"/>
        <w:jc w:val="center"/>
        <w:rPr>
          <w:rFonts w:hint="eastAsia" w:ascii="宋体" w:hAnsi="宋体" w:eastAsia="宋体" w:cs="宋体"/>
          <w:b/>
          <w:bCs/>
          <w:color w:val="FF0000"/>
          <w:spacing w:val="17"/>
          <w:kern w:val="0"/>
          <w:sz w:val="28"/>
          <w:szCs w:val="28"/>
          <w:lang w:val="en-US" w:eastAsia="zh-CN"/>
        </w:rPr>
      </w:pPr>
      <w:r>
        <w:rPr>
          <w:rFonts w:hint="eastAsia" w:ascii="仿宋" w:hAnsi="仿宋" w:eastAsia="仿宋" w:cs="Times New Roman"/>
          <w:b/>
          <w:bCs/>
          <w:color w:val="auto"/>
          <w:kern w:val="0"/>
          <w:sz w:val="32"/>
          <w:szCs w:val="32"/>
          <w:highlight w:val="none"/>
          <w:lang w:val="en-US" w:eastAsia="zh-CN"/>
        </w:rPr>
        <w:t>宁夏回族自治区交通宣传事务中心“两馆”科普教育基地维修改造项目竞争性磋商公告</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bCs/>
          <w:vanish/>
          <w:color w:val="auto"/>
          <w:sz w:val="28"/>
          <w:szCs w:val="28"/>
          <w:highlight w:val="none"/>
        </w:rPr>
      </w:pPr>
      <w:r>
        <w:rPr>
          <w:rFonts w:hint="eastAsia" w:ascii="宋体" w:hAnsi="宋体" w:eastAsia="宋体" w:cs="宋体"/>
          <w:b/>
          <w:bCs/>
          <w:vanish/>
          <w:color w:val="auto"/>
          <w:sz w:val="28"/>
          <w:szCs w:val="28"/>
          <w:highlight w:val="none"/>
        </w:rPr>
        <w:t>公告概要：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Style w:val="29"/>
          <w:rFonts w:hint="eastAsia" w:ascii="宋体" w:hAnsi="宋体" w:eastAsia="宋体" w:cs="宋体"/>
          <w:b w:val="0"/>
          <w:bCs/>
          <w:color w:val="auto"/>
          <w:sz w:val="24"/>
          <w:szCs w:val="24"/>
          <w:highlight w:val="none"/>
        </w:rPr>
      </w:pPr>
      <w:r>
        <w:rPr>
          <w:rStyle w:val="29"/>
          <w:rFonts w:hint="eastAsia" w:ascii="宋体" w:hAnsi="宋体" w:eastAsia="宋体" w:cs="宋体"/>
          <w:b w:val="0"/>
          <w:bCs/>
          <w:color w:val="auto"/>
          <w:sz w:val="24"/>
          <w:szCs w:val="24"/>
          <w:highlight w:val="none"/>
        </w:rPr>
        <w:t>一、项目基本情况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Style w:val="29"/>
          <w:rFonts w:hint="eastAsia" w:ascii="宋体" w:hAnsi="宋体" w:eastAsia="宋体" w:cs="宋体"/>
          <w:b w:val="0"/>
          <w:bCs/>
          <w:color w:val="auto"/>
          <w:sz w:val="24"/>
          <w:szCs w:val="24"/>
          <w:highlight w:val="none"/>
          <w:lang w:val="en-US" w:eastAsia="zh-CN"/>
        </w:rPr>
      </w:pPr>
      <w:r>
        <w:rPr>
          <w:rStyle w:val="29"/>
          <w:rFonts w:hint="eastAsia" w:ascii="宋体" w:hAnsi="宋体" w:eastAsia="宋体" w:cs="宋体"/>
          <w:b w:val="0"/>
          <w:bCs/>
          <w:color w:val="auto"/>
          <w:sz w:val="24"/>
          <w:szCs w:val="24"/>
          <w:highlight w:val="none"/>
        </w:rPr>
        <w:t>采购计划编号：</w:t>
      </w:r>
      <w:r>
        <w:rPr>
          <w:rStyle w:val="29"/>
          <w:rFonts w:hint="eastAsia" w:ascii="宋体" w:hAnsi="宋体" w:eastAsia="宋体" w:cs="宋体"/>
          <w:b w:val="0"/>
          <w:bCs/>
          <w:color w:val="auto"/>
          <w:sz w:val="24"/>
          <w:szCs w:val="24"/>
          <w:highlight w:val="none"/>
          <w:lang w:val="en-US" w:eastAsia="zh-CN"/>
        </w:rPr>
        <w:t xml:space="preserve">2024NCZ001787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Style w:val="29"/>
          <w:rFonts w:hint="eastAsia" w:ascii="宋体" w:hAnsi="宋体" w:eastAsia="宋体" w:cs="宋体"/>
          <w:b w:val="0"/>
          <w:bCs/>
          <w:color w:val="auto"/>
          <w:sz w:val="24"/>
          <w:szCs w:val="24"/>
          <w:highlight w:val="none"/>
        </w:rPr>
      </w:pPr>
      <w:r>
        <w:rPr>
          <w:rStyle w:val="29"/>
          <w:rFonts w:hint="eastAsia" w:ascii="宋体" w:hAnsi="宋体" w:eastAsia="宋体" w:cs="宋体"/>
          <w:b w:val="0"/>
          <w:bCs/>
          <w:color w:val="auto"/>
          <w:sz w:val="24"/>
          <w:szCs w:val="24"/>
          <w:highlight w:val="none"/>
        </w:rPr>
        <w:t>项目编号：SSGDZTB2024173</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Style w:val="29"/>
          <w:rFonts w:hint="eastAsia" w:ascii="宋体" w:hAnsi="宋体" w:eastAsia="宋体" w:cs="宋体"/>
          <w:b w:val="0"/>
          <w:bCs/>
          <w:color w:val="auto"/>
          <w:sz w:val="24"/>
          <w:szCs w:val="24"/>
          <w:highlight w:val="none"/>
          <w:lang w:val="en-US" w:eastAsia="zh-CN"/>
        </w:rPr>
      </w:pPr>
      <w:r>
        <w:rPr>
          <w:rStyle w:val="29"/>
          <w:rFonts w:hint="eastAsia" w:ascii="宋体" w:hAnsi="宋体" w:eastAsia="宋体" w:cs="宋体"/>
          <w:b w:val="0"/>
          <w:bCs/>
          <w:color w:val="auto"/>
          <w:sz w:val="24"/>
          <w:szCs w:val="24"/>
          <w:highlight w:val="none"/>
        </w:rPr>
        <w:t>项目名称：</w:t>
      </w:r>
      <w:r>
        <w:rPr>
          <w:rStyle w:val="29"/>
          <w:rFonts w:hint="eastAsia" w:ascii="宋体" w:hAnsi="宋体" w:cs="宋体"/>
          <w:b w:val="0"/>
          <w:bCs/>
          <w:color w:val="auto"/>
          <w:sz w:val="24"/>
          <w:szCs w:val="24"/>
          <w:highlight w:val="none"/>
          <w:lang w:val="en-US" w:eastAsia="zh-CN"/>
        </w:rPr>
        <w:t>宁夏回族自治区交通宣传事务中心“两馆”科普教育基地维修改造项目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Style w:val="29"/>
          <w:rFonts w:hint="eastAsia" w:ascii="宋体" w:hAnsi="宋体" w:eastAsia="宋体" w:cs="宋体"/>
          <w:b w:val="0"/>
          <w:bCs/>
          <w:color w:val="auto"/>
          <w:sz w:val="24"/>
          <w:szCs w:val="24"/>
          <w:highlight w:val="none"/>
          <w:lang w:val="en-US" w:eastAsia="zh-CN"/>
        </w:rPr>
      </w:pPr>
      <w:r>
        <w:rPr>
          <w:rStyle w:val="29"/>
          <w:rFonts w:hint="eastAsia" w:ascii="宋体" w:hAnsi="宋体" w:eastAsia="宋体" w:cs="宋体"/>
          <w:b w:val="0"/>
          <w:bCs/>
          <w:color w:val="auto"/>
          <w:sz w:val="24"/>
          <w:szCs w:val="24"/>
          <w:highlight w:val="none"/>
          <w:lang w:eastAsia="zh-CN"/>
        </w:rPr>
        <w:t>采购方式</w:t>
      </w:r>
      <w:r>
        <w:rPr>
          <w:rStyle w:val="29"/>
          <w:rFonts w:hint="eastAsia" w:ascii="宋体" w:hAnsi="宋体" w:eastAsia="宋体" w:cs="宋体"/>
          <w:b w:val="0"/>
          <w:bCs/>
          <w:color w:val="auto"/>
          <w:sz w:val="24"/>
          <w:szCs w:val="24"/>
          <w:highlight w:val="none"/>
          <w:lang w:val="en-US" w:eastAsia="zh-CN"/>
        </w:rPr>
        <w:t xml:space="preserve">：竞争性磋商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Style w:val="29"/>
          <w:rFonts w:hint="eastAsia" w:ascii="宋体" w:hAnsi="宋体" w:eastAsia="宋体" w:cs="宋体"/>
          <w:b w:val="0"/>
          <w:bCs/>
          <w:color w:val="auto"/>
          <w:sz w:val="24"/>
          <w:szCs w:val="24"/>
          <w:highlight w:val="none"/>
        </w:rPr>
      </w:pPr>
      <w:r>
        <w:rPr>
          <w:rStyle w:val="29"/>
          <w:rFonts w:hint="eastAsia" w:ascii="宋体" w:hAnsi="宋体" w:eastAsia="宋体" w:cs="宋体"/>
          <w:b w:val="0"/>
          <w:bCs/>
          <w:color w:val="auto"/>
          <w:sz w:val="24"/>
          <w:szCs w:val="24"/>
          <w:highlight w:val="none"/>
          <w:lang w:val="en-US" w:eastAsia="zh-CN"/>
        </w:rPr>
        <w:t>预算金额（元）：</w:t>
      </w:r>
      <w:r>
        <w:rPr>
          <w:rStyle w:val="29"/>
          <w:rFonts w:hint="eastAsia" w:ascii="宋体" w:hAnsi="宋体" w:cs="宋体"/>
          <w:b w:val="0"/>
          <w:bCs/>
          <w:color w:val="auto"/>
          <w:sz w:val="24"/>
          <w:szCs w:val="24"/>
          <w:highlight w:val="none"/>
          <w:lang w:val="en-US" w:eastAsia="zh-CN"/>
        </w:rPr>
        <w:t>2643800.71</w:t>
      </w:r>
      <w:r>
        <w:rPr>
          <w:rStyle w:val="29"/>
          <w:rFonts w:hint="eastAsia" w:ascii="宋体" w:hAnsi="宋体" w:eastAsia="宋体" w:cs="宋体"/>
          <w:b w:val="0"/>
          <w:bCs/>
          <w:color w:val="auto"/>
          <w:sz w:val="24"/>
          <w:szCs w:val="24"/>
          <w:highlight w:val="none"/>
          <w:lang w:val="en-US" w:eastAsia="zh-CN"/>
        </w:rPr>
        <w:t>元  最高限价（如有）：</w:t>
      </w:r>
      <w:r>
        <w:rPr>
          <w:rStyle w:val="29"/>
          <w:rFonts w:hint="eastAsia" w:ascii="宋体" w:hAnsi="宋体" w:cs="宋体"/>
          <w:b w:val="0"/>
          <w:bCs/>
          <w:color w:val="auto"/>
          <w:sz w:val="24"/>
          <w:szCs w:val="24"/>
          <w:highlight w:val="none"/>
          <w:lang w:val="en-US" w:eastAsia="zh-CN"/>
        </w:rPr>
        <w:t>2643800.71</w:t>
      </w:r>
      <w:r>
        <w:rPr>
          <w:rStyle w:val="29"/>
          <w:rFonts w:hint="eastAsia" w:ascii="宋体" w:hAnsi="宋体" w:eastAsia="宋体" w:cs="宋体"/>
          <w:b w:val="0"/>
          <w:bCs/>
          <w:color w:val="auto"/>
          <w:sz w:val="24"/>
          <w:szCs w:val="24"/>
          <w:highlight w:val="none"/>
          <w:lang w:val="en-US" w:eastAsia="zh-CN"/>
        </w:rPr>
        <w:t xml:space="preserve">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Style w:val="29"/>
          <w:rFonts w:hint="eastAsia" w:ascii="宋体" w:hAnsi="宋体" w:eastAsia="宋体" w:cs="宋体"/>
          <w:b w:val="0"/>
          <w:bCs/>
          <w:color w:val="auto"/>
          <w:sz w:val="24"/>
          <w:szCs w:val="24"/>
          <w:highlight w:val="none"/>
        </w:rPr>
      </w:pPr>
      <w:r>
        <w:rPr>
          <w:rStyle w:val="29"/>
          <w:rFonts w:hint="eastAsia" w:ascii="宋体" w:hAnsi="宋体" w:eastAsia="宋体" w:cs="宋体"/>
          <w:b w:val="0"/>
          <w:bCs/>
          <w:color w:val="auto"/>
          <w:sz w:val="24"/>
          <w:szCs w:val="24"/>
          <w:highlight w:val="none"/>
        </w:rPr>
        <w:t>采购需求：</w:t>
      </w:r>
    </w:p>
    <w:tbl>
      <w:tblPr>
        <w:tblStyle w:val="26"/>
        <w:tblW w:w="5491" w:type="pct"/>
        <w:tblInd w:w="0" w:type="dxa"/>
        <w:tblBorders>
          <w:top w:val="single" w:color="A5BED2" w:sz="2" w:space="0"/>
          <w:left w:val="single" w:color="A5BED2" w:sz="2" w:space="0"/>
          <w:bottom w:val="single" w:color="A5BED2" w:sz="2" w:space="0"/>
          <w:right w:val="single" w:color="A5BED2" w:sz="2"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70"/>
        <w:gridCol w:w="1485"/>
        <w:gridCol w:w="798"/>
        <w:gridCol w:w="2339"/>
        <w:gridCol w:w="1739"/>
        <w:gridCol w:w="1285"/>
      </w:tblGrid>
      <w:tr>
        <w:tblPrEx>
          <w:tblBorders>
            <w:top w:val="single" w:color="A5BED2" w:sz="2" w:space="0"/>
            <w:left w:val="single" w:color="A5BED2" w:sz="2" w:space="0"/>
            <w:bottom w:val="single" w:color="A5BED2" w:sz="2" w:space="0"/>
            <w:right w:val="single" w:color="A5BED2" w:sz="2" w:space="0"/>
            <w:insideH w:val="none" w:color="auto" w:sz="0" w:space="0"/>
            <w:insideV w:val="none" w:color="auto" w:sz="0" w:space="0"/>
          </w:tblBorders>
          <w:shd w:val="clear" w:color="auto" w:fill="auto"/>
          <w:tblCellMar>
            <w:top w:w="0" w:type="dxa"/>
            <w:left w:w="0" w:type="dxa"/>
            <w:bottom w:w="0" w:type="dxa"/>
            <w:right w:w="0" w:type="dxa"/>
          </w:tblCellMar>
        </w:tblPrEx>
        <w:trPr>
          <w:trHeight w:val="1203" w:hRule="atLeast"/>
        </w:trPr>
        <w:tc>
          <w:tcPr>
            <w:tcW w:w="1183" w:type="pct"/>
            <w:tcBorders>
              <w:top w:val="single" w:color="A5BED2" w:sz="6" w:space="0"/>
              <w:left w:val="single" w:color="A5BED2" w:sz="6" w:space="0"/>
              <w:bottom w:val="single" w:color="A5BED2" w:sz="6" w:space="0"/>
              <w:right w:val="single" w:color="A5BED2" w:sz="6" w:space="0"/>
            </w:tcBorders>
            <w:shd w:val="clear" w:color="auto" w:fill="auto"/>
            <w:noWrap/>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center"/>
              <w:rPr>
                <w:rFonts w:hint="eastAsia" w:ascii="微软雅黑" w:hAnsi="微软雅黑" w:eastAsia="微软雅黑" w:cs="微软雅黑"/>
                <w:i w:val="0"/>
                <w:iCs w:val="0"/>
                <w:caps w:val="0"/>
                <w:color w:val="555555"/>
                <w:spacing w:val="0"/>
                <w:kern w:val="0"/>
                <w:sz w:val="21"/>
                <w:szCs w:val="21"/>
                <w:highlight w:val="none"/>
                <w:lang w:val="en-US" w:eastAsia="zh-CN" w:bidi="ar"/>
              </w:rPr>
            </w:pPr>
            <w:r>
              <w:rPr>
                <w:rFonts w:hint="eastAsia" w:ascii="微软雅黑" w:hAnsi="微软雅黑" w:eastAsia="微软雅黑" w:cs="微软雅黑"/>
                <w:i w:val="0"/>
                <w:iCs w:val="0"/>
                <w:caps w:val="0"/>
                <w:color w:val="555555"/>
                <w:spacing w:val="0"/>
                <w:kern w:val="0"/>
                <w:sz w:val="21"/>
                <w:szCs w:val="21"/>
                <w:highlight w:val="none"/>
                <w:lang w:val="en-US" w:eastAsia="zh-CN" w:bidi="ar"/>
              </w:rPr>
              <w:t>采购标段</w:t>
            </w:r>
          </w:p>
        </w:tc>
        <w:tc>
          <w:tcPr>
            <w:tcW w:w="741" w:type="pct"/>
            <w:tcBorders>
              <w:top w:val="single" w:color="A5BED2" w:sz="6" w:space="0"/>
              <w:left w:val="single" w:color="A5BED2" w:sz="6" w:space="0"/>
              <w:bottom w:val="single" w:color="A5BED2" w:sz="6" w:space="0"/>
              <w:right w:val="single" w:color="A5BED2" w:sz="6" w:space="0"/>
            </w:tcBorders>
            <w:shd w:val="clear" w:color="auto" w:fill="auto"/>
            <w:noWrap/>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center"/>
              <w:rPr>
                <w:rFonts w:hint="eastAsia" w:ascii="微软雅黑" w:hAnsi="微软雅黑" w:eastAsia="微软雅黑" w:cs="微软雅黑"/>
                <w:i w:val="0"/>
                <w:iCs w:val="0"/>
                <w:caps w:val="0"/>
                <w:color w:val="555555"/>
                <w:spacing w:val="0"/>
                <w:kern w:val="0"/>
                <w:sz w:val="21"/>
                <w:szCs w:val="21"/>
                <w:highlight w:val="none"/>
                <w:lang w:val="en-US" w:eastAsia="zh-CN" w:bidi="ar"/>
              </w:rPr>
            </w:pPr>
            <w:r>
              <w:rPr>
                <w:rFonts w:hint="eastAsia" w:ascii="微软雅黑" w:hAnsi="微软雅黑" w:eastAsia="微软雅黑" w:cs="微软雅黑"/>
                <w:i w:val="0"/>
                <w:iCs w:val="0"/>
                <w:caps w:val="0"/>
                <w:color w:val="555555"/>
                <w:spacing w:val="0"/>
                <w:kern w:val="0"/>
                <w:sz w:val="21"/>
                <w:szCs w:val="21"/>
                <w:highlight w:val="none"/>
                <w:lang w:val="en-US" w:eastAsia="zh-CN" w:bidi="ar"/>
              </w:rPr>
              <w:t>标的名称</w:t>
            </w:r>
          </w:p>
        </w:tc>
        <w:tc>
          <w:tcPr>
            <w:tcW w:w="398" w:type="pct"/>
            <w:tcBorders>
              <w:top w:val="single" w:color="A5BED2" w:sz="6" w:space="0"/>
              <w:left w:val="single" w:color="A5BED2" w:sz="6" w:space="0"/>
              <w:bottom w:val="single" w:color="A5BED2" w:sz="6" w:space="0"/>
              <w:right w:val="single" w:color="A5BED2" w:sz="6" w:space="0"/>
            </w:tcBorders>
            <w:shd w:val="clear" w:color="auto" w:fill="auto"/>
            <w:noWrap/>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left"/>
              <w:rPr>
                <w:rFonts w:hint="eastAsia" w:ascii="微软雅黑" w:hAnsi="微软雅黑" w:eastAsia="微软雅黑" w:cs="微软雅黑"/>
                <w:b w:val="0"/>
                <w:bCs w:val="0"/>
                <w:i w:val="0"/>
                <w:iCs w:val="0"/>
                <w:caps w:val="0"/>
                <w:color w:val="000000"/>
                <w:spacing w:val="0"/>
                <w:sz w:val="21"/>
                <w:szCs w:val="21"/>
                <w:highlight w:val="none"/>
              </w:rPr>
            </w:pPr>
            <w:r>
              <w:rPr>
                <w:rFonts w:hint="eastAsia" w:ascii="微软雅黑" w:hAnsi="微软雅黑" w:eastAsia="微软雅黑" w:cs="微软雅黑"/>
                <w:b w:val="0"/>
                <w:bCs w:val="0"/>
                <w:i w:val="0"/>
                <w:iCs w:val="0"/>
                <w:caps w:val="0"/>
                <w:color w:val="000000"/>
                <w:spacing w:val="0"/>
                <w:kern w:val="0"/>
                <w:sz w:val="21"/>
                <w:szCs w:val="21"/>
                <w:highlight w:val="none"/>
                <w:lang w:val="en-US" w:eastAsia="zh-CN" w:bidi="ar"/>
              </w:rPr>
              <w:t>数量</w:t>
            </w:r>
          </w:p>
        </w:tc>
        <w:tc>
          <w:tcPr>
            <w:tcW w:w="1167" w:type="pct"/>
            <w:tcBorders>
              <w:top w:val="single" w:color="A5BED2" w:sz="6" w:space="0"/>
              <w:left w:val="single" w:color="A5BED2" w:sz="6" w:space="0"/>
              <w:bottom w:val="single" w:color="A5BED2" w:sz="6" w:space="0"/>
              <w:right w:val="single" w:color="A5BED2" w:sz="6" w:space="0"/>
            </w:tcBorders>
            <w:shd w:val="clear" w:color="auto" w:fill="auto"/>
            <w:noWrap/>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left"/>
              <w:rPr>
                <w:rFonts w:hint="eastAsia" w:ascii="微软雅黑" w:hAnsi="微软雅黑" w:eastAsia="微软雅黑" w:cs="微软雅黑"/>
                <w:b w:val="0"/>
                <w:bCs w:val="0"/>
                <w:i w:val="0"/>
                <w:iCs w:val="0"/>
                <w:caps w:val="0"/>
                <w:color w:val="000000"/>
                <w:spacing w:val="0"/>
                <w:kern w:val="0"/>
                <w:sz w:val="21"/>
                <w:szCs w:val="21"/>
                <w:highlight w:val="none"/>
                <w:lang w:val="en-US" w:eastAsia="zh-CN" w:bidi="ar"/>
              </w:rPr>
            </w:pPr>
            <w:r>
              <w:rPr>
                <w:rFonts w:hint="eastAsia" w:ascii="微软雅黑" w:hAnsi="微软雅黑" w:eastAsia="微软雅黑" w:cs="微软雅黑"/>
                <w:b w:val="0"/>
                <w:bCs w:val="0"/>
                <w:i w:val="0"/>
                <w:iCs w:val="0"/>
                <w:caps w:val="0"/>
                <w:color w:val="000000"/>
                <w:spacing w:val="0"/>
                <w:kern w:val="0"/>
                <w:sz w:val="21"/>
                <w:szCs w:val="21"/>
                <w:highlight w:val="none"/>
                <w:lang w:val="en-US" w:eastAsia="zh-CN" w:bidi="ar"/>
              </w:rPr>
              <w:t>简要规格描述或</w:t>
            </w:r>
          </w:p>
          <w:p>
            <w:pPr>
              <w:keepNext w:val="0"/>
              <w:keepLines w:val="0"/>
              <w:pageBreakBefore w:val="0"/>
              <w:widowControl/>
              <w:suppressLineNumbers w:val="0"/>
              <w:wordWrap/>
              <w:topLinePunct w:val="0"/>
              <w:bidi w:val="0"/>
              <w:spacing w:before="0" w:beforeAutospacing="0" w:after="0" w:afterAutospacing="0" w:line="360" w:lineRule="auto"/>
              <w:ind w:left="0" w:right="0" w:firstLine="0"/>
              <w:jc w:val="left"/>
              <w:rPr>
                <w:rFonts w:hint="eastAsia" w:ascii="微软雅黑" w:hAnsi="微软雅黑" w:eastAsia="微软雅黑" w:cs="微软雅黑"/>
                <w:b w:val="0"/>
                <w:bCs w:val="0"/>
                <w:i w:val="0"/>
                <w:iCs w:val="0"/>
                <w:caps w:val="0"/>
                <w:color w:val="000000"/>
                <w:spacing w:val="0"/>
                <w:sz w:val="21"/>
                <w:szCs w:val="21"/>
                <w:highlight w:val="none"/>
              </w:rPr>
            </w:pPr>
            <w:r>
              <w:rPr>
                <w:rFonts w:hint="eastAsia" w:ascii="微软雅黑" w:hAnsi="微软雅黑" w:eastAsia="微软雅黑" w:cs="微软雅黑"/>
                <w:b w:val="0"/>
                <w:bCs w:val="0"/>
                <w:i w:val="0"/>
                <w:iCs w:val="0"/>
                <w:caps w:val="0"/>
                <w:color w:val="000000"/>
                <w:spacing w:val="0"/>
                <w:kern w:val="0"/>
                <w:sz w:val="21"/>
                <w:szCs w:val="21"/>
                <w:highlight w:val="none"/>
                <w:lang w:val="en-US" w:eastAsia="zh-CN" w:bidi="ar"/>
              </w:rPr>
              <w:t>项目基本概况</w:t>
            </w:r>
          </w:p>
        </w:tc>
        <w:tc>
          <w:tcPr>
            <w:tcW w:w="868" w:type="pct"/>
            <w:tcBorders>
              <w:top w:val="single" w:color="A5BED2" w:sz="6" w:space="0"/>
              <w:left w:val="single" w:color="A5BED2" w:sz="6" w:space="0"/>
              <w:bottom w:val="single" w:color="A5BED2" w:sz="6" w:space="0"/>
              <w:right w:val="single" w:color="A5BED2" w:sz="6" w:space="0"/>
            </w:tcBorders>
            <w:shd w:val="clear" w:color="auto" w:fill="auto"/>
            <w:noWrap/>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left"/>
              <w:rPr>
                <w:rFonts w:hint="eastAsia" w:ascii="微软雅黑" w:hAnsi="微软雅黑" w:eastAsia="微软雅黑" w:cs="微软雅黑"/>
                <w:b w:val="0"/>
                <w:bCs w:val="0"/>
                <w:i w:val="0"/>
                <w:iCs w:val="0"/>
                <w:caps w:val="0"/>
                <w:color w:val="000000"/>
                <w:spacing w:val="0"/>
                <w:sz w:val="21"/>
                <w:szCs w:val="21"/>
                <w:highlight w:val="none"/>
              </w:rPr>
            </w:pPr>
            <w:r>
              <w:rPr>
                <w:rFonts w:hint="eastAsia" w:ascii="微软雅黑" w:hAnsi="微软雅黑" w:eastAsia="微软雅黑" w:cs="微软雅黑"/>
                <w:b w:val="0"/>
                <w:bCs w:val="0"/>
                <w:i w:val="0"/>
                <w:iCs w:val="0"/>
                <w:caps w:val="0"/>
                <w:color w:val="000000"/>
                <w:spacing w:val="0"/>
                <w:kern w:val="0"/>
                <w:sz w:val="21"/>
                <w:szCs w:val="21"/>
                <w:highlight w:val="none"/>
                <w:lang w:val="en-US" w:eastAsia="zh-CN" w:bidi="ar"/>
              </w:rPr>
              <w:t>预算金额(元)</w:t>
            </w:r>
          </w:p>
        </w:tc>
        <w:tc>
          <w:tcPr>
            <w:tcW w:w="641" w:type="pct"/>
            <w:tcBorders>
              <w:top w:val="single" w:color="A5BED2" w:sz="6" w:space="0"/>
              <w:left w:val="single" w:color="A5BED2" w:sz="6" w:space="0"/>
              <w:bottom w:val="single" w:color="A5BED2" w:sz="6" w:space="0"/>
              <w:right w:val="single" w:color="A5BED2" w:sz="6" w:space="0"/>
            </w:tcBorders>
            <w:shd w:val="clear" w:color="auto" w:fill="auto"/>
            <w:noWrap/>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left"/>
              <w:rPr>
                <w:rFonts w:hint="eastAsia" w:ascii="微软雅黑" w:hAnsi="微软雅黑" w:eastAsia="微软雅黑" w:cs="微软雅黑"/>
                <w:b w:val="0"/>
                <w:bCs w:val="0"/>
                <w:i w:val="0"/>
                <w:iCs w:val="0"/>
                <w:caps w:val="0"/>
                <w:color w:val="000000"/>
                <w:spacing w:val="0"/>
                <w:sz w:val="21"/>
                <w:szCs w:val="21"/>
                <w:highlight w:val="none"/>
              </w:rPr>
            </w:pPr>
            <w:r>
              <w:rPr>
                <w:rFonts w:hint="eastAsia" w:ascii="微软雅黑" w:hAnsi="微软雅黑" w:eastAsia="微软雅黑" w:cs="微软雅黑"/>
                <w:b w:val="0"/>
                <w:bCs w:val="0"/>
                <w:i w:val="0"/>
                <w:iCs w:val="0"/>
                <w:caps w:val="0"/>
                <w:color w:val="000000"/>
                <w:spacing w:val="0"/>
                <w:kern w:val="0"/>
                <w:sz w:val="21"/>
                <w:szCs w:val="21"/>
                <w:highlight w:val="none"/>
                <w:lang w:val="en-US" w:eastAsia="zh-CN" w:bidi="ar"/>
              </w:rPr>
              <w:t>备注</w:t>
            </w:r>
          </w:p>
        </w:tc>
      </w:tr>
      <w:tr>
        <w:tblPrEx>
          <w:tblBorders>
            <w:top w:val="single" w:color="A5BED2" w:sz="2" w:space="0"/>
            <w:left w:val="single" w:color="A5BED2" w:sz="2" w:space="0"/>
            <w:bottom w:val="single" w:color="A5BED2" w:sz="2" w:space="0"/>
            <w:right w:val="single" w:color="A5BED2" w:sz="2" w:space="0"/>
            <w:insideH w:val="none" w:color="auto" w:sz="0" w:space="0"/>
            <w:insideV w:val="none" w:color="auto" w:sz="0" w:space="0"/>
          </w:tblBorders>
          <w:tblCellMar>
            <w:top w:w="0" w:type="dxa"/>
            <w:left w:w="0" w:type="dxa"/>
            <w:bottom w:w="0" w:type="dxa"/>
            <w:right w:w="0" w:type="dxa"/>
          </w:tblCellMar>
        </w:tblPrEx>
        <w:trPr>
          <w:trHeight w:val="2562" w:hRule="atLeast"/>
        </w:trPr>
        <w:tc>
          <w:tcPr>
            <w:tcW w:w="1183" w:type="pct"/>
            <w:tcBorders>
              <w:top w:val="single" w:color="A5BED2" w:sz="6" w:space="0"/>
              <w:left w:val="single" w:color="A5BED2" w:sz="6" w:space="0"/>
              <w:bottom w:val="single" w:color="A5BED2" w:sz="6" w:space="0"/>
              <w:right w:val="single" w:color="A5BED2" w:sz="6" w:space="0"/>
            </w:tcBorders>
            <w:shd w:val="clear" w:color="auto" w:fill="auto"/>
            <w:noWrap w:val="0"/>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center"/>
              <w:rPr>
                <w:rFonts w:hint="eastAsia" w:ascii="微软雅黑" w:hAnsi="微软雅黑" w:eastAsia="微软雅黑" w:cs="微软雅黑"/>
                <w:i w:val="0"/>
                <w:iCs w:val="0"/>
                <w:caps w:val="0"/>
                <w:color w:val="555555"/>
                <w:spacing w:val="0"/>
                <w:kern w:val="0"/>
                <w:sz w:val="21"/>
                <w:szCs w:val="21"/>
                <w:highlight w:val="none"/>
                <w:lang w:val="en-US" w:eastAsia="zh-CN" w:bidi="ar"/>
              </w:rPr>
            </w:pPr>
            <w:r>
              <w:rPr>
                <w:rFonts w:hint="eastAsia" w:ascii="微软雅黑" w:hAnsi="微软雅黑" w:eastAsia="微软雅黑" w:cs="微软雅黑"/>
                <w:i w:val="0"/>
                <w:iCs w:val="0"/>
                <w:caps w:val="0"/>
                <w:color w:val="555555"/>
                <w:spacing w:val="0"/>
                <w:kern w:val="0"/>
                <w:sz w:val="21"/>
                <w:szCs w:val="21"/>
                <w:highlight w:val="none"/>
                <w:lang w:val="en-US" w:eastAsia="zh-CN" w:bidi="ar"/>
              </w:rPr>
              <w:t>“两馆”科普教育基地维修改造</w:t>
            </w:r>
          </w:p>
        </w:tc>
        <w:tc>
          <w:tcPr>
            <w:tcW w:w="741" w:type="pct"/>
            <w:tcBorders>
              <w:top w:val="single" w:color="A5BED2" w:sz="6" w:space="0"/>
              <w:left w:val="single" w:color="A5BED2" w:sz="6" w:space="0"/>
              <w:bottom w:val="single" w:color="A5BED2" w:sz="6" w:space="0"/>
              <w:right w:val="single" w:color="A5BED2" w:sz="6" w:space="0"/>
            </w:tcBorders>
            <w:shd w:val="clear" w:color="auto" w:fill="auto"/>
            <w:noWrap w:val="0"/>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center"/>
              <w:rPr>
                <w:rFonts w:hint="eastAsia" w:ascii="微软雅黑" w:hAnsi="微软雅黑" w:eastAsia="微软雅黑" w:cs="微软雅黑"/>
                <w:i w:val="0"/>
                <w:iCs w:val="0"/>
                <w:caps w:val="0"/>
                <w:color w:val="555555"/>
                <w:spacing w:val="0"/>
                <w:kern w:val="0"/>
                <w:sz w:val="21"/>
                <w:szCs w:val="21"/>
                <w:highlight w:val="none"/>
                <w:lang w:val="en-US" w:eastAsia="zh-CN" w:bidi="ar"/>
              </w:rPr>
            </w:pPr>
            <w:r>
              <w:rPr>
                <w:rFonts w:hint="eastAsia" w:ascii="微软雅黑" w:hAnsi="微软雅黑" w:eastAsia="微软雅黑" w:cs="微软雅黑"/>
                <w:i w:val="0"/>
                <w:iCs w:val="0"/>
                <w:caps w:val="0"/>
                <w:color w:val="555555"/>
                <w:spacing w:val="0"/>
                <w:kern w:val="0"/>
                <w:sz w:val="21"/>
                <w:szCs w:val="21"/>
                <w:highlight w:val="none"/>
                <w:lang w:val="en-US" w:eastAsia="zh-CN" w:bidi="ar"/>
              </w:rPr>
              <w:t>其他建筑物、构筑物修缮</w:t>
            </w:r>
          </w:p>
        </w:tc>
        <w:tc>
          <w:tcPr>
            <w:tcW w:w="398" w:type="pct"/>
            <w:tcBorders>
              <w:top w:val="single" w:color="A5BED2" w:sz="6" w:space="0"/>
              <w:left w:val="single" w:color="A5BED2" w:sz="6" w:space="0"/>
              <w:bottom w:val="single" w:color="A5BED2" w:sz="6" w:space="0"/>
              <w:right w:val="single" w:color="A5BED2" w:sz="6" w:space="0"/>
            </w:tcBorders>
            <w:shd w:val="clear" w:color="auto" w:fill="auto"/>
            <w:noWrap w:val="0"/>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center"/>
              <w:rPr>
                <w:rFonts w:hint="eastAsia" w:ascii="微软雅黑" w:hAnsi="微软雅黑" w:eastAsia="微软雅黑" w:cs="微软雅黑"/>
                <w:i w:val="0"/>
                <w:iCs w:val="0"/>
                <w:caps w:val="0"/>
                <w:color w:val="555555"/>
                <w:spacing w:val="0"/>
                <w:kern w:val="0"/>
                <w:sz w:val="21"/>
                <w:szCs w:val="21"/>
                <w:highlight w:val="none"/>
                <w:lang w:val="en-US" w:eastAsia="zh-CN" w:bidi="ar"/>
              </w:rPr>
            </w:pPr>
            <w:r>
              <w:rPr>
                <w:rFonts w:hint="eastAsia" w:ascii="微软雅黑" w:hAnsi="微软雅黑" w:eastAsia="微软雅黑" w:cs="微软雅黑"/>
                <w:i w:val="0"/>
                <w:iCs w:val="0"/>
                <w:caps w:val="0"/>
                <w:color w:val="555555"/>
                <w:spacing w:val="0"/>
                <w:kern w:val="0"/>
                <w:sz w:val="21"/>
                <w:szCs w:val="21"/>
                <w:highlight w:val="none"/>
                <w:lang w:val="en-US" w:eastAsia="zh-CN" w:bidi="ar"/>
              </w:rPr>
              <w:t>1</w:t>
            </w:r>
          </w:p>
        </w:tc>
        <w:tc>
          <w:tcPr>
            <w:tcW w:w="1167" w:type="pct"/>
            <w:tcBorders>
              <w:top w:val="single" w:color="A5BED2" w:sz="6" w:space="0"/>
              <w:left w:val="single" w:color="A5BED2" w:sz="6" w:space="0"/>
              <w:bottom w:val="single" w:color="A5BED2" w:sz="6" w:space="0"/>
              <w:right w:val="single" w:color="A5BED2" w:sz="6" w:space="0"/>
            </w:tcBorders>
            <w:shd w:val="clear" w:color="auto" w:fill="auto"/>
            <w:noWrap w:val="0"/>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center"/>
              <w:rPr>
                <w:rFonts w:hint="eastAsia" w:ascii="微软雅黑" w:hAnsi="微软雅黑" w:eastAsia="微软雅黑" w:cs="微软雅黑"/>
                <w:i w:val="0"/>
                <w:iCs w:val="0"/>
                <w:caps w:val="0"/>
                <w:color w:val="555555"/>
                <w:spacing w:val="0"/>
                <w:kern w:val="0"/>
                <w:sz w:val="21"/>
                <w:szCs w:val="21"/>
                <w:highlight w:val="none"/>
                <w:lang w:val="en-US" w:eastAsia="zh-CN" w:bidi="ar"/>
              </w:rPr>
            </w:pPr>
            <w:r>
              <w:rPr>
                <w:rFonts w:hint="eastAsia" w:ascii="微软雅黑" w:hAnsi="微软雅黑" w:eastAsia="微软雅黑" w:cs="微软雅黑"/>
                <w:i w:val="0"/>
                <w:iCs w:val="0"/>
                <w:caps w:val="0"/>
                <w:color w:val="555555"/>
                <w:spacing w:val="0"/>
                <w:kern w:val="0"/>
                <w:sz w:val="21"/>
                <w:szCs w:val="21"/>
                <w:highlight w:val="none"/>
                <w:lang w:val="en-US" w:eastAsia="zh-CN" w:bidi="ar"/>
              </w:rPr>
              <w:t>详见第四章采购需求。</w:t>
            </w:r>
          </w:p>
        </w:tc>
        <w:tc>
          <w:tcPr>
            <w:tcW w:w="868" w:type="pct"/>
            <w:tcBorders>
              <w:top w:val="single" w:color="A5BED2" w:sz="6" w:space="0"/>
              <w:left w:val="single" w:color="A5BED2" w:sz="6" w:space="0"/>
              <w:bottom w:val="single" w:color="A5BED2" w:sz="6" w:space="0"/>
              <w:right w:val="single" w:color="A5BED2" w:sz="6" w:space="0"/>
            </w:tcBorders>
            <w:shd w:val="clear" w:color="auto" w:fill="auto"/>
            <w:noWrap w:val="0"/>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center"/>
              <w:rPr>
                <w:rFonts w:hint="default" w:ascii="微软雅黑" w:hAnsi="微软雅黑" w:eastAsia="微软雅黑" w:cs="微软雅黑"/>
                <w:i w:val="0"/>
                <w:iCs w:val="0"/>
                <w:caps w:val="0"/>
                <w:color w:val="555555"/>
                <w:spacing w:val="0"/>
                <w:kern w:val="0"/>
                <w:sz w:val="21"/>
                <w:szCs w:val="21"/>
                <w:highlight w:val="none"/>
                <w:lang w:val="en-US" w:eastAsia="zh-CN" w:bidi="ar"/>
              </w:rPr>
            </w:pPr>
            <w:r>
              <w:rPr>
                <w:rFonts w:hint="eastAsia" w:ascii="微软雅黑" w:hAnsi="微软雅黑" w:eastAsia="微软雅黑" w:cs="微软雅黑"/>
                <w:i w:val="0"/>
                <w:iCs w:val="0"/>
                <w:caps w:val="0"/>
                <w:color w:val="555555"/>
                <w:spacing w:val="0"/>
                <w:kern w:val="0"/>
                <w:sz w:val="21"/>
                <w:szCs w:val="21"/>
                <w:highlight w:val="none"/>
                <w:lang w:val="en-US" w:eastAsia="zh-CN" w:bidi="ar"/>
              </w:rPr>
              <w:t>2643800.71元</w:t>
            </w:r>
          </w:p>
        </w:tc>
        <w:tc>
          <w:tcPr>
            <w:tcW w:w="641" w:type="pct"/>
            <w:tcBorders>
              <w:top w:val="single" w:color="A5BED2" w:sz="6" w:space="0"/>
              <w:left w:val="single" w:color="A5BED2" w:sz="6" w:space="0"/>
              <w:bottom w:val="single" w:color="A5BED2" w:sz="6" w:space="0"/>
              <w:right w:val="single" w:color="A5BED2" w:sz="6" w:space="0"/>
            </w:tcBorders>
            <w:shd w:val="clear" w:color="auto" w:fill="auto"/>
            <w:noWrap w:val="0"/>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center"/>
              <w:rPr>
                <w:rFonts w:hint="eastAsia" w:ascii="微软雅黑" w:hAnsi="微软雅黑" w:eastAsia="微软雅黑" w:cs="微软雅黑"/>
                <w:i w:val="0"/>
                <w:iCs w:val="0"/>
                <w:caps w:val="0"/>
                <w:color w:val="555555"/>
                <w:spacing w:val="0"/>
                <w:kern w:val="0"/>
                <w:sz w:val="21"/>
                <w:szCs w:val="21"/>
                <w:highlight w:val="none"/>
                <w:lang w:val="en-US" w:eastAsia="zh-CN" w:bidi="ar"/>
              </w:rPr>
            </w:pPr>
          </w:p>
        </w:tc>
      </w:tr>
      <w:tr>
        <w:tblPrEx>
          <w:tblBorders>
            <w:top w:val="single" w:color="A5BED2" w:sz="2" w:space="0"/>
            <w:left w:val="single" w:color="A5BED2" w:sz="2" w:space="0"/>
            <w:bottom w:val="single" w:color="A5BED2" w:sz="2" w:space="0"/>
            <w:right w:val="single" w:color="A5BED2" w:sz="2" w:space="0"/>
            <w:insideH w:val="none" w:color="auto" w:sz="0" w:space="0"/>
            <w:insideV w:val="none" w:color="auto" w:sz="0" w:space="0"/>
          </w:tblBorders>
          <w:tblCellMar>
            <w:top w:w="0" w:type="dxa"/>
            <w:left w:w="0" w:type="dxa"/>
            <w:bottom w:w="0" w:type="dxa"/>
            <w:right w:w="0" w:type="dxa"/>
          </w:tblCellMar>
        </w:tblPrEx>
        <w:trPr>
          <w:trHeight w:val="778" w:hRule="atLeast"/>
        </w:trPr>
        <w:tc>
          <w:tcPr>
            <w:tcW w:w="1924" w:type="pct"/>
            <w:gridSpan w:val="2"/>
            <w:tcBorders>
              <w:top w:val="single" w:color="A5BED2" w:sz="6" w:space="0"/>
              <w:left w:val="single" w:color="A5BED2" w:sz="6" w:space="0"/>
              <w:bottom w:val="single" w:color="A5BED2" w:sz="6" w:space="0"/>
              <w:right w:val="single" w:color="A5BED2" w:sz="6" w:space="0"/>
            </w:tcBorders>
            <w:shd w:val="clear" w:color="auto" w:fill="auto"/>
            <w:noWrap w:val="0"/>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center"/>
              <w:rPr>
                <w:rFonts w:hint="eastAsia" w:ascii="微软雅黑" w:hAnsi="微软雅黑" w:eastAsia="微软雅黑" w:cs="微软雅黑"/>
                <w:i w:val="0"/>
                <w:iCs w:val="0"/>
                <w:caps w:val="0"/>
                <w:color w:val="555555"/>
                <w:spacing w:val="0"/>
                <w:sz w:val="21"/>
                <w:szCs w:val="21"/>
                <w:highlight w:val="none"/>
              </w:rPr>
            </w:pPr>
            <w:r>
              <w:rPr>
                <w:rFonts w:hint="eastAsia" w:ascii="微软雅黑" w:hAnsi="微软雅黑" w:eastAsia="微软雅黑" w:cs="微软雅黑"/>
                <w:i w:val="0"/>
                <w:iCs w:val="0"/>
                <w:caps w:val="0"/>
                <w:color w:val="555555"/>
                <w:spacing w:val="0"/>
                <w:kern w:val="0"/>
                <w:sz w:val="21"/>
                <w:szCs w:val="21"/>
                <w:highlight w:val="none"/>
                <w:lang w:val="en-US" w:eastAsia="zh-CN" w:bidi="ar"/>
              </w:rPr>
              <w:t>数量合计：</w:t>
            </w:r>
          </w:p>
        </w:tc>
        <w:tc>
          <w:tcPr>
            <w:tcW w:w="398" w:type="pct"/>
            <w:tcBorders>
              <w:top w:val="single" w:color="A5BED2" w:sz="6" w:space="0"/>
              <w:left w:val="single" w:color="A5BED2" w:sz="6" w:space="0"/>
              <w:bottom w:val="single" w:color="A5BED2" w:sz="6" w:space="0"/>
              <w:right w:val="single" w:color="A5BED2" w:sz="6" w:space="0"/>
            </w:tcBorders>
            <w:shd w:val="clear" w:color="auto" w:fill="auto"/>
            <w:noWrap w:val="0"/>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center"/>
              <w:rPr>
                <w:rFonts w:hint="default" w:ascii="微软雅黑" w:hAnsi="微软雅黑" w:eastAsia="微软雅黑" w:cs="微软雅黑"/>
                <w:i w:val="0"/>
                <w:iCs w:val="0"/>
                <w:caps w:val="0"/>
                <w:color w:val="555555"/>
                <w:spacing w:val="0"/>
                <w:sz w:val="21"/>
                <w:szCs w:val="21"/>
                <w:highlight w:val="none"/>
                <w:lang w:val="en-US"/>
              </w:rPr>
            </w:pPr>
            <w:r>
              <w:rPr>
                <w:rFonts w:hint="eastAsia" w:ascii="微软雅黑" w:hAnsi="微软雅黑" w:eastAsia="微软雅黑" w:cs="微软雅黑"/>
                <w:i w:val="0"/>
                <w:iCs w:val="0"/>
                <w:caps w:val="0"/>
                <w:color w:val="555555"/>
                <w:spacing w:val="0"/>
                <w:kern w:val="0"/>
                <w:sz w:val="21"/>
                <w:szCs w:val="21"/>
                <w:highlight w:val="none"/>
                <w:lang w:val="en-US" w:eastAsia="zh-CN" w:bidi="ar"/>
              </w:rPr>
              <w:t>4</w:t>
            </w:r>
          </w:p>
        </w:tc>
        <w:tc>
          <w:tcPr>
            <w:tcW w:w="1167" w:type="pct"/>
            <w:tcBorders>
              <w:top w:val="single" w:color="A5BED2" w:sz="6" w:space="0"/>
              <w:left w:val="single" w:color="A5BED2" w:sz="6" w:space="0"/>
              <w:bottom w:val="single" w:color="A5BED2" w:sz="6" w:space="0"/>
              <w:right w:val="single" w:color="A5BED2" w:sz="6" w:space="0"/>
            </w:tcBorders>
            <w:shd w:val="clear" w:color="auto" w:fill="auto"/>
            <w:noWrap w:val="0"/>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center"/>
              <w:rPr>
                <w:rFonts w:hint="eastAsia" w:ascii="微软雅黑" w:hAnsi="微软雅黑" w:eastAsia="微软雅黑" w:cs="微软雅黑"/>
                <w:i w:val="0"/>
                <w:iCs w:val="0"/>
                <w:caps w:val="0"/>
                <w:color w:val="555555"/>
                <w:spacing w:val="0"/>
                <w:sz w:val="21"/>
                <w:szCs w:val="21"/>
                <w:highlight w:val="none"/>
              </w:rPr>
            </w:pPr>
            <w:r>
              <w:rPr>
                <w:rFonts w:hint="eastAsia" w:ascii="微软雅黑" w:hAnsi="微软雅黑" w:eastAsia="微软雅黑" w:cs="微软雅黑"/>
                <w:i w:val="0"/>
                <w:iCs w:val="0"/>
                <w:caps w:val="0"/>
                <w:color w:val="555555"/>
                <w:spacing w:val="0"/>
                <w:kern w:val="0"/>
                <w:sz w:val="21"/>
                <w:szCs w:val="21"/>
                <w:highlight w:val="none"/>
                <w:lang w:val="en-US" w:eastAsia="zh-CN" w:bidi="ar"/>
              </w:rPr>
              <w:t>预算合计：</w:t>
            </w:r>
          </w:p>
        </w:tc>
        <w:tc>
          <w:tcPr>
            <w:tcW w:w="868" w:type="pct"/>
            <w:tcBorders>
              <w:top w:val="single" w:color="A5BED2" w:sz="6" w:space="0"/>
              <w:left w:val="single" w:color="A5BED2" w:sz="6" w:space="0"/>
              <w:bottom w:val="single" w:color="A5BED2" w:sz="6" w:space="0"/>
              <w:right w:val="single" w:color="A5BED2" w:sz="6" w:space="0"/>
            </w:tcBorders>
            <w:shd w:val="clear" w:color="auto" w:fill="auto"/>
            <w:noWrap w:val="0"/>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center"/>
              <w:rPr>
                <w:rFonts w:hint="default" w:ascii="微软雅黑" w:hAnsi="微软雅黑" w:eastAsia="微软雅黑" w:cs="微软雅黑"/>
                <w:i w:val="0"/>
                <w:iCs w:val="0"/>
                <w:caps w:val="0"/>
                <w:color w:val="555555"/>
                <w:spacing w:val="0"/>
                <w:sz w:val="21"/>
                <w:szCs w:val="21"/>
                <w:highlight w:val="none"/>
                <w:lang w:val="en-US"/>
              </w:rPr>
            </w:pPr>
            <w:r>
              <w:rPr>
                <w:rFonts w:hint="eastAsia" w:ascii="微软雅黑" w:hAnsi="微软雅黑" w:eastAsia="微软雅黑" w:cs="微软雅黑"/>
                <w:i w:val="0"/>
                <w:iCs w:val="0"/>
                <w:caps w:val="0"/>
                <w:color w:val="555555"/>
                <w:spacing w:val="0"/>
                <w:kern w:val="0"/>
                <w:sz w:val="21"/>
                <w:szCs w:val="21"/>
                <w:highlight w:val="none"/>
                <w:lang w:val="en-US" w:eastAsia="zh-CN" w:bidi="ar"/>
              </w:rPr>
              <w:t>2643800.71元</w:t>
            </w:r>
          </w:p>
        </w:tc>
        <w:tc>
          <w:tcPr>
            <w:tcW w:w="641" w:type="pct"/>
            <w:tcBorders>
              <w:top w:val="single" w:color="A5BED2" w:sz="6" w:space="0"/>
              <w:left w:val="single" w:color="A5BED2" w:sz="6" w:space="0"/>
              <w:bottom w:val="single" w:color="A5BED2" w:sz="6" w:space="0"/>
              <w:right w:val="single" w:color="A5BED2" w:sz="6" w:space="0"/>
            </w:tcBorders>
            <w:shd w:val="clear" w:color="auto" w:fill="auto"/>
            <w:noWrap w:val="0"/>
            <w:tcMar>
              <w:top w:w="75" w:type="dxa"/>
              <w:left w:w="150" w:type="dxa"/>
              <w:bottom w:w="75" w:type="dxa"/>
              <w:right w:w="150" w:type="dxa"/>
            </w:tcMar>
            <w:vAlign w:val="center"/>
          </w:tcPr>
          <w:p>
            <w:pPr>
              <w:keepNext w:val="0"/>
              <w:keepLines w:val="0"/>
              <w:pageBreakBefore w:val="0"/>
              <w:widowControl/>
              <w:suppressLineNumbers w:val="0"/>
              <w:wordWrap/>
              <w:topLinePunct w:val="0"/>
              <w:bidi w:val="0"/>
              <w:spacing w:before="0" w:beforeAutospacing="0" w:after="0" w:afterAutospacing="0" w:line="360" w:lineRule="auto"/>
              <w:ind w:left="0" w:right="0" w:firstLine="0"/>
              <w:jc w:val="left"/>
              <w:rPr>
                <w:rFonts w:hint="eastAsia" w:ascii="微软雅黑" w:hAnsi="微软雅黑" w:eastAsia="微软雅黑" w:cs="微软雅黑"/>
                <w:i w:val="0"/>
                <w:iCs w:val="0"/>
                <w:caps w:val="0"/>
                <w:color w:val="555555"/>
                <w:spacing w:val="0"/>
                <w:sz w:val="21"/>
                <w:szCs w:val="21"/>
                <w:highlight w:val="none"/>
              </w:rPr>
            </w:pPr>
            <w:r>
              <w:rPr>
                <w:rFonts w:hint="eastAsia" w:ascii="微软雅黑" w:hAnsi="微软雅黑" w:eastAsia="微软雅黑" w:cs="微软雅黑"/>
                <w:i w:val="0"/>
                <w:iCs w:val="0"/>
                <w:caps w:val="0"/>
                <w:color w:val="555555"/>
                <w:spacing w:val="0"/>
                <w:kern w:val="0"/>
                <w:sz w:val="21"/>
                <w:szCs w:val="21"/>
                <w:highlight w:val="none"/>
                <w:lang w:val="en-US" w:eastAsia="zh-CN" w:bidi="ar"/>
              </w:rPr>
              <w:t>  </w:t>
            </w: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val="0"/>
          <w:bCs/>
          <w:color w:val="auto"/>
          <w:sz w:val="24"/>
          <w:szCs w:val="24"/>
          <w:highlight w:val="none"/>
          <w:lang w:val="en-US" w:eastAsia="zh-CN"/>
        </w:rPr>
      </w:pPr>
      <w:r>
        <w:rPr>
          <w:rStyle w:val="29"/>
          <w:rFonts w:hint="eastAsia" w:ascii="宋体" w:hAnsi="宋体" w:eastAsia="宋体" w:cs="宋体"/>
          <w:b w:val="0"/>
          <w:bCs/>
          <w:color w:val="auto"/>
          <w:sz w:val="24"/>
          <w:szCs w:val="24"/>
          <w:highlight w:val="none"/>
        </w:rPr>
        <w:t>合同履行期限：</w:t>
      </w:r>
      <w:r>
        <w:rPr>
          <w:rStyle w:val="29"/>
          <w:rFonts w:hint="eastAsia" w:ascii="宋体" w:hAnsi="宋体" w:cs="宋体"/>
          <w:b w:val="0"/>
          <w:bCs/>
          <w:color w:val="auto"/>
          <w:sz w:val="24"/>
          <w:szCs w:val="24"/>
          <w:highlight w:val="none"/>
          <w:lang w:val="en-US" w:eastAsia="zh-CN"/>
        </w:rPr>
        <w:t>100日历天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color w:val="auto"/>
          <w:sz w:val="24"/>
          <w:szCs w:val="24"/>
          <w:highlight w:val="none"/>
          <w:lang w:val="en-US" w:eastAsia="zh-CN"/>
        </w:rPr>
      </w:pPr>
      <w:r>
        <w:rPr>
          <w:rStyle w:val="29"/>
          <w:rFonts w:hint="eastAsia" w:ascii="宋体" w:hAnsi="宋体" w:eastAsia="宋体" w:cs="宋体"/>
          <w:b w:val="0"/>
          <w:bCs/>
          <w:color w:val="auto"/>
          <w:sz w:val="24"/>
          <w:szCs w:val="24"/>
          <w:highlight w:val="none"/>
        </w:rPr>
        <w:t>本项目（是/否）接受联合体投标:</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否</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outlineLvl w:val="9"/>
        <w:rPr>
          <w:rFonts w:hint="eastAsia" w:ascii="宋体" w:hAnsi="宋体" w:eastAsia="宋体" w:cs="宋体"/>
          <w:color w:val="auto"/>
          <w:sz w:val="24"/>
          <w:szCs w:val="24"/>
          <w:highlight w:val="none"/>
        </w:rPr>
      </w:pPr>
      <w:r>
        <w:rPr>
          <w:rStyle w:val="29"/>
          <w:rFonts w:hint="eastAsia" w:ascii="宋体" w:hAnsi="宋体" w:eastAsia="宋体" w:cs="宋体"/>
          <w:b w:val="0"/>
          <w:bCs w:val="0"/>
          <w:color w:val="auto"/>
          <w:sz w:val="24"/>
          <w:szCs w:val="24"/>
          <w:highlight w:val="none"/>
        </w:rPr>
        <w:t>二、</w:t>
      </w:r>
      <w:r>
        <w:rPr>
          <w:rStyle w:val="29"/>
          <w:rFonts w:hint="eastAsia" w:ascii="宋体" w:hAnsi="宋体" w:eastAsia="宋体" w:cs="宋体"/>
          <w:b w:val="0"/>
          <w:bCs/>
          <w:color w:val="auto"/>
          <w:sz w:val="24"/>
          <w:szCs w:val="24"/>
          <w:highlight w:val="none"/>
          <w:lang w:eastAsia="zh-CN"/>
        </w:rPr>
        <w:t>申请人</w:t>
      </w:r>
      <w:r>
        <w:rPr>
          <w:rStyle w:val="29"/>
          <w:rFonts w:hint="eastAsia" w:ascii="宋体" w:hAnsi="宋体" w:eastAsia="宋体" w:cs="宋体"/>
          <w:b w:val="0"/>
          <w:bCs w:val="0"/>
          <w:color w:val="auto"/>
          <w:sz w:val="24"/>
          <w:szCs w:val="24"/>
          <w:highlight w:val="none"/>
        </w:rPr>
        <w:t>的资格要求：</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Style w:val="29"/>
          <w:rFonts w:hint="eastAsia" w:ascii="宋体" w:hAnsi="宋体" w:eastAsia="宋体" w:cs="宋体"/>
          <w:b w:val="0"/>
          <w:bCs/>
          <w:color w:val="auto"/>
          <w:sz w:val="24"/>
          <w:szCs w:val="24"/>
          <w:highlight w:val="none"/>
          <w:lang w:val="en-US" w:eastAsia="zh-CN"/>
        </w:rPr>
      </w:pPr>
      <w:r>
        <w:rPr>
          <w:rStyle w:val="29"/>
          <w:rFonts w:hint="eastAsia" w:ascii="宋体" w:hAnsi="宋体" w:cs="宋体"/>
          <w:b w:val="0"/>
          <w:bCs/>
          <w:color w:val="auto"/>
          <w:sz w:val="24"/>
          <w:szCs w:val="24"/>
          <w:highlight w:val="none"/>
          <w:lang w:val="en-US" w:eastAsia="zh-CN"/>
        </w:rPr>
        <w:t>1、</w:t>
      </w:r>
      <w:r>
        <w:rPr>
          <w:rStyle w:val="29"/>
          <w:rFonts w:hint="eastAsia" w:ascii="宋体" w:hAnsi="宋体" w:eastAsia="宋体" w:cs="宋体"/>
          <w:b w:val="0"/>
          <w:bCs/>
          <w:color w:val="auto"/>
          <w:sz w:val="24"/>
          <w:szCs w:val="24"/>
          <w:highlight w:val="none"/>
          <w:lang w:val="en-US" w:eastAsia="zh-CN"/>
        </w:rPr>
        <w:t>具备《中华人民共和国政府采购法》第二十二条关于供应商条件的规定。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Style w:val="29"/>
          <w:rFonts w:hint="eastAsia" w:ascii="宋体" w:hAnsi="宋体" w:eastAsia="宋体" w:cs="宋体"/>
          <w:b w:val="0"/>
          <w:bCs/>
          <w:color w:val="auto"/>
          <w:sz w:val="24"/>
          <w:szCs w:val="24"/>
          <w:highlight w:val="none"/>
          <w:lang w:val="en-US" w:eastAsia="zh-CN"/>
        </w:rPr>
      </w:pPr>
      <w:r>
        <w:rPr>
          <w:rStyle w:val="29"/>
          <w:rFonts w:hint="eastAsia" w:ascii="宋体" w:hAnsi="宋体" w:cs="宋体"/>
          <w:b w:val="0"/>
          <w:bCs/>
          <w:color w:val="auto"/>
          <w:sz w:val="24"/>
          <w:szCs w:val="24"/>
          <w:highlight w:val="none"/>
          <w:lang w:val="en-US" w:eastAsia="zh-CN"/>
        </w:rPr>
        <w:t>2、</w:t>
      </w:r>
      <w:r>
        <w:rPr>
          <w:rStyle w:val="29"/>
          <w:rFonts w:hint="eastAsia" w:ascii="宋体" w:hAnsi="宋体" w:eastAsia="宋体" w:cs="宋体"/>
          <w:b w:val="0"/>
          <w:bCs/>
          <w:color w:val="auto"/>
          <w:sz w:val="24"/>
          <w:szCs w:val="24"/>
          <w:highlight w:val="none"/>
          <w:lang w:val="en-US" w:eastAsia="zh-CN"/>
        </w:rPr>
        <w:t>落实政府采购政策需满足的资格要求：（1）本项目为专门面向中小企业采购的项目，不接受大型企业投标，投标供应商需提供《</w:t>
      </w:r>
      <w:r>
        <w:rPr>
          <w:rStyle w:val="29"/>
          <w:rFonts w:hint="eastAsia" w:ascii="宋体" w:hAnsi="宋体" w:cs="宋体"/>
          <w:b w:val="0"/>
          <w:bCs/>
          <w:color w:val="auto"/>
          <w:sz w:val="24"/>
          <w:szCs w:val="24"/>
          <w:highlight w:val="none"/>
          <w:lang w:val="en-US" w:eastAsia="zh-CN"/>
        </w:rPr>
        <w:t>中小企业声明函</w:t>
      </w:r>
      <w:r>
        <w:rPr>
          <w:rStyle w:val="29"/>
          <w:rFonts w:hint="eastAsia" w:ascii="宋体" w:hAnsi="宋体" w:eastAsia="宋体" w:cs="宋体"/>
          <w:b w:val="0"/>
          <w:bCs/>
          <w:color w:val="auto"/>
          <w:sz w:val="24"/>
          <w:szCs w:val="24"/>
          <w:highlight w:val="none"/>
          <w:lang w:val="en-US" w:eastAsia="zh-CN"/>
        </w:rPr>
        <w:t>》，中小企业不再执行价格评审优惠扶持政策。（2）监狱企业视同为小型、微型企业，监狱企业应提供证明文件。（3)《财政部 民政部 中国残疾人联合会关于促进残疾人就业政府采购政策的通知》（财库〔2017〕141 号）、《自治区财政厅残疾人联合会关于政府采购支持残疾人就业有关问题的通知》（宁财（采）发〔2020〕545 号）。（4）凡在宁夏回族自治区境内注册的中小微企业，不分政府采购项目的资金性质（含财政性资金和单位自有资金）、不分合同金额，在取得政府采购中标通知书及合同后，均可按照自治区财政厅人民银行银川中心支行关于印发《宁夏回族自治区政府采购合同信用融资管理办法》（宁财规发〔2021〕10号）的通知办理融资业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Style w:val="29"/>
          <w:rFonts w:hint="eastAsia" w:ascii="宋体" w:hAnsi="宋体" w:eastAsia="宋体" w:cs="宋体"/>
          <w:b w:val="0"/>
          <w:bCs/>
          <w:color w:val="auto"/>
          <w:kern w:val="2"/>
          <w:sz w:val="24"/>
          <w:szCs w:val="24"/>
          <w:highlight w:val="none"/>
          <w:lang w:val="en-US" w:eastAsia="zh-CN" w:bidi="ar-SA"/>
        </w:rPr>
      </w:pPr>
      <w:r>
        <w:rPr>
          <w:rStyle w:val="29"/>
          <w:rFonts w:hint="eastAsia" w:ascii="宋体" w:hAnsi="宋体" w:cs="宋体"/>
          <w:b w:val="0"/>
          <w:bCs/>
          <w:color w:val="auto"/>
          <w:sz w:val="24"/>
          <w:szCs w:val="24"/>
          <w:highlight w:val="none"/>
          <w:lang w:val="en-US" w:eastAsia="zh-CN"/>
        </w:rPr>
        <w:t>3、</w:t>
      </w:r>
      <w:r>
        <w:rPr>
          <w:rStyle w:val="29"/>
          <w:rFonts w:hint="eastAsia" w:ascii="宋体" w:hAnsi="宋体" w:eastAsia="宋体" w:cs="宋体"/>
          <w:b w:val="0"/>
          <w:bCs/>
          <w:color w:val="auto"/>
          <w:sz w:val="24"/>
          <w:szCs w:val="24"/>
          <w:highlight w:val="none"/>
          <w:lang w:val="en-US" w:eastAsia="zh-CN"/>
        </w:rPr>
        <w:t>本项目的特定资格要求：</w:t>
      </w:r>
      <w:r>
        <w:rPr>
          <w:rStyle w:val="29"/>
          <w:rFonts w:hint="eastAsia" w:ascii="宋体" w:hAnsi="宋体" w:cs="宋体"/>
          <w:b w:val="0"/>
          <w:bCs/>
          <w:color w:val="auto"/>
          <w:sz w:val="24"/>
          <w:szCs w:val="24"/>
          <w:highlight w:val="none"/>
          <w:lang w:val="en-US" w:eastAsia="zh-CN"/>
        </w:rPr>
        <w:t>（</w:t>
      </w:r>
      <w:r>
        <w:rPr>
          <w:rStyle w:val="29"/>
          <w:rFonts w:hint="eastAsia" w:ascii="宋体" w:hAnsi="宋体" w:eastAsia="宋体" w:cs="宋体"/>
          <w:b w:val="0"/>
          <w:bCs/>
          <w:color w:val="auto"/>
          <w:kern w:val="2"/>
          <w:sz w:val="24"/>
          <w:szCs w:val="24"/>
          <w:highlight w:val="none"/>
          <w:lang w:val="en-US" w:eastAsia="zh-CN" w:bidi="ar-SA"/>
        </w:rPr>
        <w:t>1）提供在中华人民共和国境内注册的法人或者其他组织的营业执照复印件；如供应商是事业单位，应提供有效的“事业单位法人证书或社会团体法人登记证书”扫描件；如供应商为自然人的需提供自然人身份证明复印件；（2）法人授权委托书、法人及被授权人身份证扫描件(法定代表人直接投标可不提供，但须提供法定代表人身份证扫描件)；（3）提供具有良好商业信誉和健全的财务会计制度的承诺函或证明材料；（4）提供履行合同所必需的设备和专业技术能力的承诺函或证明材料；（5）具有依法缴纳税收和社会保障资金的良好记录的承诺函或证明材料；（6）提供参加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Style w:val="29"/>
          <w:rFonts w:hint="eastAsia" w:ascii="宋体" w:hAnsi="宋体" w:eastAsia="宋体" w:cs="宋体"/>
          <w:b w:val="0"/>
          <w:bCs/>
          <w:color w:val="auto"/>
          <w:kern w:val="2"/>
          <w:sz w:val="24"/>
          <w:szCs w:val="24"/>
          <w:highlight w:val="none"/>
          <w:lang w:val="en-US" w:eastAsia="zh-CN" w:bidi="ar-SA"/>
        </w:rPr>
      </w:pPr>
      <w:r>
        <w:rPr>
          <w:rStyle w:val="29"/>
          <w:rFonts w:hint="eastAsia" w:ascii="宋体" w:hAnsi="宋体" w:eastAsia="宋体" w:cs="宋体"/>
          <w:b w:val="0"/>
          <w:bCs/>
          <w:color w:val="auto"/>
          <w:kern w:val="2"/>
          <w:sz w:val="24"/>
          <w:szCs w:val="24"/>
          <w:highlight w:val="none"/>
          <w:lang w:val="en-US" w:eastAsia="zh-CN" w:bidi="ar-SA"/>
        </w:rPr>
        <w:t>（7）供应商在“中国政府采购网”未被列入政府采购严重违法失信行为记录名单，在“信用中国”网站未被列入失信被执行人、重大税收违法案件当事人名单(实际查询结果以采购人或代理机构于递交响应文件截止日网查结果为准。无法查询的行政事业单位或自然人等须提供书面无不良信用记录承诺书)。（8）本项目专门面向中小微企业，提供《中小企业声明函》。（9）投标人须具备建设行政主管部门颁发的建筑装修装饰工程专业承包贰级(含贰级)以上资质，所委派的项目经理需具备建筑业二级及以上注册证书，具备并在人员、设备、资金等方面具有相应的施工能力。（10）单位负责人为同一人或者存在直接控股、管理关系的不同投标单位，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Style w:val="29"/>
          <w:rFonts w:hint="eastAsia" w:ascii="宋体" w:hAnsi="宋体" w:eastAsia="宋体" w:cs="宋体"/>
          <w:b w:val="0"/>
          <w:bCs/>
          <w:color w:val="auto"/>
          <w:kern w:val="2"/>
          <w:sz w:val="24"/>
          <w:szCs w:val="24"/>
          <w:highlight w:val="none"/>
          <w:lang w:val="en-US" w:eastAsia="zh-CN" w:bidi="ar-SA"/>
        </w:rPr>
      </w:pPr>
      <w:r>
        <w:rPr>
          <w:rStyle w:val="29"/>
          <w:rFonts w:hint="eastAsia" w:ascii="宋体" w:hAnsi="宋体" w:eastAsia="宋体" w:cs="宋体"/>
          <w:b w:val="0"/>
          <w:bCs/>
          <w:color w:val="auto"/>
          <w:kern w:val="2"/>
          <w:sz w:val="24"/>
          <w:szCs w:val="24"/>
          <w:highlight w:val="none"/>
          <w:lang w:val="en-US" w:eastAsia="zh-CN" w:bidi="ar-SA"/>
        </w:rPr>
        <w:t>注：（</w:t>
      </w:r>
      <w:r>
        <w:rPr>
          <w:rStyle w:val="29"/>
          <w:rFonts w:hint="eastAsia" w:ascii="宋体" w:hAnsi="宋体" w:cs="宋体"/>
          <w:b w:val="0"/>
          <w:bCs/>
          <w:color w:val="auto"/>
          <w:kern w:val="2"/>
          <w:sz w:val="24"/>
          <w:szCs w:val="24"/>
          <w:highlight w:val="none"/>
          <w:lang w:val="en-US" w:eastAsia="zh-CN" w:bidi="ar-SA"/>
        </w:rPr>
        <w:t>3</w:t>
      </w:r>
      <w:r>
        <w:rPr>
          <w:rStyle w:val="29"/>
          <w:rFonts w:hint="eastAsia" w:ascii="宋体" w:hAnsi="宋体" w:eastAsia="宋体" w:cs="宋体"/>
          <w:b w:val="0"/>
          <w:bCs/>
          <w:color w:val="auto"/>
          <w:kern w:val="2"/>
          <w:sz w:val="24"/>
          <w:szCs w:val="24"/>
          <w:highlight w:val="none"/>
          <w:lang w:val="en-US" w:eastAsia="zh-CN" w:bidi="ar-SA"/>
        </w:rPr>
        <w:t>）～（</w:t>
      </w:r>
      <w:r>
        <w:rPr>
          <w:rStyle w:val="29"/>
          <w:rFonts w:hint="eastAsia" w:ascii="宋体" w:hAnsi="宋体" w:cs="宋体"/>
          <w:b w:val="0"/>
          <w:bCs/>
          <w:color w:val="auto"/>
          <w:kern w:val="2"/>
          <w:sz w:val="24"/>
          <w:szCs w:val="24"/>
          <w:highlight w:val="none"/>
          <w:lang w:val="en-US" w:eastAsia="zh-CN" w:bidi="ar-SA"/>
        </w:rPr>
        <w:t>6</w:t>
      </w:r>
      <w:r>
        <w:rPr>
          <w:rStyle w:val="29"/>
          <w:rFonts w:hint="eastAsia" w:ascii="宋体" w:hAnsi="宋体" w:eastAsia="宋体" w:cs="宋体"/>
          <w:b w:val="0"/>
          <w:bCs/>
          <w:color w:val="auto"/>
          <w:kern w:val="2"/>
          <w:sz w:val="24"/>
          <w:szCs w:val="24"/>
          <w:highlight w:val="none"/>
          <w:lang w:val="en-US" w:eastAsia="zh-CN" w:bidi="ar-SA"/>
        </w:rPr>
        <w:t>）条款投标供应商可自行选择是否提供本承诺函，若不提供本承诺函，应按《中华人民共和国政府采购法》《中华人民共和国政府采购法实施条例》及采购文件资格要求提供相应的证明材料。</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outlineLvl w:val="9"/>
        <w:rPr>
          <w:rFonts w:hint="eastAsia" w:ascii="宋体" w:hAnsi="宋体" w:eastAsia="宋体" w:cs="宋体"/>
          <w:color w:val="auto"/>
          <w:sz w:val="24"/>
          <w:szCs w:val="24"/>
          <w:highlight w:val="none"/>
        </w:rPr>
      </w:pPr>
      <w:r>
        <w:rPr>
          <w:rStyle w:val="29"/>
          <w:rFonts w:hint="eastAsia" w:ascii="宋体" w:hAnsi="宋体" w:eastAsia="宋体" w:cs="宋体"/>
          <w:b w:val="0"/>
          <w:bCs w:val="0"/>
          <w:color w:val="auto"/>
          <w:sz w:val="24"/>
          <w:szCs w:val="24"/>
          <w:highlight w:val="none"/>
        </w:rPr>
        <w:t>三、获取</w:t>
      </w:r>
      <w:r>
        <w:rPr>
          <w:rStyle w:val="29"/>
          <w:rFonts w:hint="eastAsia" w:ascii="宋体" w:hAnsi="宋体" w:eastAsia="宋体" w:cs="宋体"/>
          <w:b w:val="0"/>
          <w:bCs w:val="0"/>
          <w:color w:val="auto"/>
          <w:sz w:val="24"/>
          <w:szCs w:val="24"/>
          <w:highlight w:val="none"/>
          <w:lang w:eastAsia="zh-CN"/>
        </w:rPr>
        <w:t>采购</w:t>
      </w:r>
      <w:r>
        <w:rPr>
          <w:rStyle w:val="29"/>
          <w:rFonts w:hint="eastAsia" w:ascii="宋体" w:hAnsi="宋体" w:eastAsia="宋体" w:cs="宋体"/>
          <w:b w:val="0"/>
          <w:bCs w:val="0"/>
          <w:color w:val="auto"/>
          <w:sz w:val="24"/>
          <w:szCs w:val="24"/>
          <w:highlight w:val="none"/>
        </w:rPr>
        <w:t>文件</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outlineLvl w:val="9"/>
        <w:rPr>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6 </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14 </w:t>
      </w:r>
      <w:r>
        <w:rPr>
          <w:rFonts w:hint="eastAsia" w:ascii="宋体" w:hAnsi="宋体" w:eastAsia="宋体" w:cs="宋体"/>
          <w:color w:val="auto"/>
          <w:sz w:val="24"/>
          <w:szCs w:val="24"/>
          <w:highlight w:val="none"/>
          <w:u w:val="none"/>
          <w:lang w:val="en-US" w:eastAsia="zh-CN"/>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6 </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26</w:t>
      </w:r>
      <w:r>
        <w:rPr>
          <w:rFonts w:hint="eastAsia" w:ascii="宋体" w:hAnsi="宋体" w:eastAsia="宋体" w:cs="宋体"/>
          <w:color w:val="auto"/>
          <w:sz w:val="24"/>
          <w:szCs w:val="24"/>
          <w:highlight w:val="none"/>
          <w:u w:val="none"/>
          <w:lang w:val="en-US" w:eastAsia="zh-CN"/>
        </w:rPr>
        <w:t>日（磋商文件的发售期限自开始之日起不得少于5个工作日）</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至12:00，下午12:00至24:00（北京时间，法定节假日除外 ） </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outlineLvl w:val="9"/>
        <w:rPr>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rPr>
        <w:t xml:space="preserve">：宁夏回族自治区公共资源交易网（www.nxggzyjy.org）  </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outlineLvl w:val="9"/>
        <w:rPr>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rPr>
        <w:t>：电子下载</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outlineLvl w:val="9"/>
        <w:rPr>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rPr>
        <w:t xml:space="preserve">：0元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outlineLvl w:val="9"/>
        <w:rPr>
          <w:rFonts w:hint="eastAsia" w:ascii="宋体" w:hAnsi="宋体" w:eastAsia="宋体" w:cs="宋体"/>
          <w:color w:val="auto"/>
          <w:sz w:val="24"/>
          <w:szCs w:val="24"/>
          <w:highlight w:val="none"/>
        </w:rPr>
      </w:pPr>
      <w:r>
        <w:rPr>
          <w:rStyle w:val="29"/>
          <w:rFonts w:hint="eastAsia" w:ascii="宋体" w:hAnsi="宋体" w:eastAsia="宋体" w:cs="宋体"/>
          <w:b w:val="0"/>
          <w:bCs w:val="0"/>
          <w:color w:val="auto"/>
          <w:sz w:val="24"/>
          <w:szCs w:val="24"/>
          <w:highlight w:val="none"/>
        </w:rPr>
        <w:t>四、</w:t>
      </w:r>
      <w:r>
        <w:rPr>
          <w:rStyle w:val="29"/>
          <w:rFonts w:hint="eastAsia" w:ascii="宋体" w:hAnsi="宋体" w:eastAsia="宋体" w:cs="宋体"/>
          <w:b w:val="0"/>
          <w:bCs w:val="0"/>
          <w:color w:val="auto"/>
          <w:sz w:val="24"/>
          <w:szCs w:val="24"/>
          <w:highlight w:val="none"/>
          <w:lang w:eastAsia="zh-CN"/>
        </w:rPr>
        <w:t>响应</w:t>
      </w:r>
      <w:r>
        <w:rPr>
          <w:rStyle w:val="29"/>
          <w:rFonts w:hint="eastAsia" w:ascii="宋体" w:hAnsi="宋体" w:eastAsia="宋体" w:cs="宋体"/>
          <w:b w:val="0"/>
          <w:bCs w:val="0"/>
          <w:color w:val="auto"/>
          <w:sz w:val="24"/>
          <w:szCs w:val="24"/>
          <w:highlight w:val="none"/>
        </w:rPr>
        <w:t>文件</w:t>
      </w:r>
      <w:r>
        <w:rPr>
          <w:rStyle w:val="29"/>
          <w:rFonts w:hint="eastAsia" w:ascii="宋体" w:hAnsi="宋体" w:eastAsia="宋体" w:cs="宋体"/>
          <w:b w:val="0"/>
          <w:bCs w:val="0"/>
          <w:color w:val="auto"/>
          <w:sz w:val="24"/>
          <w:szCs w:val="24"/>
          <w:highlight w:val="none"/>
          <w:lang w:eastAsia="zh-CN"/>
        </w:rPr>
        <w:t>提交</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截止时间：202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0分</w:t>
      </w:r>
      <w:r>
        <w:rPr>
          <w:rFonts w:hint="eastAsia" w:ascii="宋体" w:hAnsi="宋体" w:eastAsia="宋体" w:cs="宋体"/>
          <w:color w:val="auto"/>
          <w:sz w:val="24"/>
          <w:szCs w:val="24"/>
          <w:highlight w:val="none"/>
        </w:rPr>
        <w:t>（北京时间）（从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文件发出之日起至供应商提交首次响应文件截止之日止不得少于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日）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宁夏回族自治区公共资源交易网 </w:t>
      </w:r>
    </w:p>
    <w:p>
      <w:pPr>
        <w:keepNext w:val="0"/>
        <w:keepLines w:val="0"/>
        <w:pageBreakBefore w:val="0"/>
        <w:widowControl w:val="0"/>
        <w:kinsoku/>
        <w:wordWrap/>
        <w:overflowPunct/>
        <w:topLinePunct w:val="0"/>
        <w:autoSpaceDE/>
        <w:autoSpaceDN/>
        <w:bidi w:val="0"/>
        <w:spacing w:line="360" w:lineRule="auto"/>
        <w:textAlignment w:val="auto"/>
        <w:outlineLvl w:val="9"/>
        <w:rPr>
          <w:rStyle w:val="29"/>
          <w:rFonts w:hint="eastAsia" w:ascii="宋体" w:hAnsi="宋体" w:eastAsia="宋体" w:cs="宋体"/>
          <w:b w:val="0"/>
          <w:bCs w:val="0"/>
          <w:color w:val="auto"/>
          <w:kern w:val="2"/>
          <w:sz w:val="24"/>
          <w:szCs w:val="24"/>
          <w:highlight w:val="none"/>
          <w:lang w:val="en-US" w:eastAsia="zh-CN" w:bidi="ar-SA"/>
        </w:rPr>
      </w:pPr>
      <w:r>
        <w:rPr>
          <w:rStyle w:val="29"/>
          <w:rFonts w:hint="eastAsia" w:ascii="宋体" w:hAnsi="宋体" w:eastAsia="宋体" w:cs="宋体"/>
          <w:b w:val="0"/>
          <w:bCs w:val="0"/>
          <w:color w:val="auto"/>
          <w:kern w:val="2"/>
          <w:sz w:val="24"/>
          <w:szCs w:val="24"/>
          <w:highlight w:val="none"/>
          <w:lang w:val="en-US" w:eastAsia="zh-CN" w:bidi="ar-SA"/>
        </w:rPr>
        <w:t>五、开启：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 xml:space="preserve">宁夏回族自治区公共资源交易网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outlineLvl w:val="9"/>
        <w:rPr>
          <w:rStyle w:val="29"/>
          <w:rFonts w:hint="eastAsia" w:ascii="宋体" w:hAnsi="宋体" w:eastAsia="宋体" w:cs="宋体"/>
          <w:b w:val="0"/>
          <w:bCs w:val="0"/>
          <w:color w:val="auto"/>
          <w:sz w:val="24"/>
          <w:szCs w:val="24"/>
          <w:highlight w:val="none"/>
        </w:rPr>
      </w:pPr>
      <w:r>
        <w:rPr>
          <w:rStyle w:val="29"/>
          <w:rFonts w:hint="eastAsia" w:ascii="宋体" w:hAnsi="宋体" w:eastAsia="宋体" w:cs="宋体"/>
          <w:b w:val="0"/>
          <w:bCs w:val="0"/>
          <w:color w:val="auto"/>
          <w:sz w:val="24"/>
          <w:szCs w:val="24"/>
          <w:highlight w:val="none"/>
          <w:lang w:eastAsia="zh-CN"/>
        </w:rPr>
        <w:t>六</w:t>
      </w:r>
      <w:r>
        <w:rPr>
          <w:rStyle w:val="29"/>
          <w:rFonts w:hint="eastAsia" w:ascii="宋体" w:hAnsi="宋体" w:eastAsia="宋体" w:cs="宋体"/>
          <w:b w:val="0"/>
          <w:bCs w:val="0"/>
          <w:color w:val="auto"/>
          <w:sz w:val="24"/>
          <w:szCs w:val="24"/>
          <w:highlight w:val="none"/>
        </w:rPr>
        <w:t>、公告期限</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outlineLvl w:val="9"/>
        <w:rPr>
          <w:rStyle w:val="29"/>
          <w:rFonts w:hint="eastAsia" w:ascii="宋体" w:hAnsi="宋体" w:eastAsia="宋体" w:cs="宋体"/>
          <w:b w:val="0"/>
          <w:bCs w:val="0"/>
          <w:color w:val="auto"/>
          <w:sz w:val="24"/>
          <w:szCs w:val="24"/>
          <w:highlight w:val="none"/>
        </w:rPr>
      </w:pPr>
      <w:r>
        <w:rPr>
          <w:rStyle w:val="29"/>
          <w:rFonts w:hint="eastAsia" w:ascii="宋体" w:hAnsi="宋体" w:eastAsia="宋体" w:cs="宋体"/>
          <w:b w:val="0"/>
          <w:bCs w:val="0"/>
          <w:color w:val="auto"/>
          <w:sz w:val="24"/>
          <w:szCs w:val="24"/>
          <w:highlight w:val="none"/>
        </w:rPr>
        <w:t>自本公告发布之日起</w:t>
      </w:r>
      <w:r>
        <w:rPr>
          <w:rStyle w:val="29"/>
          <w:rFonts w:hint="eastAsia" w:ascii="宋体" w:hAnsi="宋体" w:eastAsia="宋体" w:cs="宋体"/>
          <w:b w:val="0"/>
          <w:bCs w:val="0"/>
          <w:color w:val="auto"/>
          <w:sz w:val="24"/>
          <w:szCs w:val="24"/>
          <w:highlight w:val="none"/>
          <w:lang w:val="en-US" w:eastAsia="zh-CN"/>
        </w:rPr>
        <w:t>3</w:t>
      </w:r>
      <w:r>
        <w:rPr>
          <w:rStyle w:val="29"/>
          <w:rFonts w:hint="eastAsia" w:ascii="宋体" w:hAnsi="宋体" w:eastAsia="宋体" w:cs="宋体"/>
          <w:b w:val="0"/>
          <w:bCs w:val="0"/>
          <w:color w:val="auto"/>
          <w:sz w:val="24"/>
          <w:szCs w:val="24"/>
          <w:highlight w:val="none"/>
        </w:rPr>
        <w:t>个工作日。</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360" w:lineRule="auto"/>
        <w:textAlignment w:val="auto"/>
        <w:outlineLvl w:val="9"/>
        <w:rPr>
          <w:rStyle w:val="29"/>
          <w:rFonts w:hint="eastAsia" w:ascii="宋体" w:hAnsi="宋体" w:eastAsia="宋体" w:cs="宋体"/>
          <w:b w:val="0"/>
          <w:bCs w:val="0"/>
          <w:color w:val="auto"/>
          <w:sz w:val="24"/>
          <w:szCs w:val="24"/>
          <w:highlight w:val="none"/>
        </w:rPr>
      </w:pPr>
      <w:r>
        <w:rPr>
          <w:rStyle w:val="29"/>
          <w:rFonts w:hint="eastAsia" w:ascii="宋体" w:hAnsi="宋体" w:eastAsia="宋体" w:cs="宋体"/>
          <w:b w:val="0"/>
          <w:bCs w:val="0"/>
          <w:color w:val="auto"/>
          <w:sz w:val="24"/>
          <w:szCs w:val="24"/>
          <w:highlight w:val="none"/>
        </w:rPr>
        <w:t xml:space="preserve">其他补充事宜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textAlignment w:val="auto"/>
        <w:outlineLvl w:val="9"/>
        <w:rPr>
          <w:rStyle w:val="29"/>
          <w:rFonts w:hint="eastAsia" w:ascii="宋体" w:hAnsi="宋体" w:eastAsia="宋体" w:cs="宋体"/>
          <w:b w:val="0"/>
          <w:bCs w:val="0"/>
          <w:color w:val="auto"/>
          <w:kern w:val="2"/>
          <w:sz w:val="24"/>
          <w:szCs w:val="24"/>
          <w:highlight w:val="none"/>
          <w:lang w:val="en-US" w:eastAsia="zh-CN" w:bidi="ar-SA"/>
        </w:rPr>
      </w:pPr>
      <w:r>
        <w:rPr>
          <w:rStyle w:val="29"/>
          <w:rFonts w:hint="eastAsia" w:ascii="宋体" w:hAnsi="宋体" w:eastAsia="宋体" w:cs="宋体"/>
          <w:b w:val="0"/>
          <w:bCs w:val="0"/>
          <w:color w:val="auto"/>
          <w:kern w:val="2"/>
          <w:sz w:val="24"/>
          <w:szCs w:val="24"/>
          <w:highlight w:val="none"/>
          <w:lang w:val="en-US" w:eastAsia="zh-CN" w:bidi="ar-SA"/>
        </w:rPr>
        <w:t>1.凡有意参加的供应商，请登录宁夏公共资源交易中心网进行网上报名。报名成功后下载磋商文件； 2.接上面步骤，系统会自动显示保证金帐号及相关信息，请按系统提示从基本帐户缴纳磋商保证金。供应商通过网银或汇款缴纳,同时支持供应商从已备案的基本账户通过网银或汇款缴纳。注：①在规定时间内未按以上程序进行网上登记领取磋商文件的供应商，响应文件一律不予接收。②系统实行CA锁认证安全登录管理，办理CA锁业务请咨询西部安全认证中心有限责任公司，联系电话：4008600271按1号键； 3.本项目为电子招投标项目，供应商须使用国泰新点响应文件制作软件（宁夏版）专用工具查看磋商文件、编制生成电子响应文件，在响应截止时间前按磋商文件的要求在交易系统中上传加密电子响应文件； 4.本次项目采用竞争性磋商采购方式，评标过程中有提交最终报价的环节。请各供应商参加开标会议时随身携带网络畅通的笔记本电脑，并提前安装宁夏公共资源交易平台CA驱动，保证能够正常登录系统。在招标代理机构广播通知后30分钟内进行最终报价。由于供应商未携带笔记本电脑或CA驱动无法正常登录等自身原因导致未在规定时间内进行最终报价的，其后果由供应商自行承担； 5.请供应商在公告期结束至开标前随时关注宁夏回族自治区公共资源交易网政府采购项目 “澄清/变更公告”栏。你所关注的项目有可能进行时间或内容上的调整，采购人及采购代理机构不再以其他方式通知。如因自身原因未及时关注磋商公告或变更（澄清、补充等）公告从而导致投标失败，其后果自行承担；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outlineLvl w:val="9"/>
        <w:rPr>
          <w:rStyle w:val="29"/>
          <w:rFonts w:hint="eastAsia" w:ascii="宋体" w:hAnsi="宋体" w:eastAsia="宋体" w:cs="宋体"/>
          <w:b w:val="0"/>
          <w:bCs w:val="0"/>
          <w:color w:val="auto"/>
          <w:sz w:val="24"/>
          <w:szCs w:val="24"/>
          <w:highlight w:val="none"/>
        </w:rPr>
      </w:pPr>
      <w:r>
        <w:rPr>
          <w:rStyle w:val="29"/>
          <w:rFonts w:hint="eastAsia" w:ascii="宋体" w:hAnsi="宋体" w:eastAsia="宋体" w:cs="宋体"/>
          <w:b w:val="0"/>
          <w:bCs w:val="0"/>
          <w:color w:val="auto"/>
          <w:sz w:val="24"/>
          <w:szCs w:val="24"/>
          <w:highlight w:val="none"/>
          <w:lang w:eastAsia="zh-CN"/>
        </w:rPr>
        <w:t>八</w:t>
      </w:r>
      <w:r>
        <w:rPr>
          <w:rStyle w:val="29"/>
          <w:rFonts w:hint="eastAsia" w:ascii="宋体" w:hAnsi="宋体" w:eastAsia="宋体" w:cs="宋体"/>
          <w:b w:val="0"/>
          <w:bCs w:val="0"/>
          <w:color w:val="auto"/>
          <w:sz w:val="24"/>
          <w:szCs w:val="24"/>
          <w:highlight w:val="none"/>
        </w:rPr>
        <w:t>、</w:t>
      </w:r>
      <w:r>
        <w:rPr>
          <w:rStyle w:val="29"/>
          <w:rFonts w:hint="eastAsia" w:ascii="宋体" w:hAnsi="宋体" w:eastAsia="宋体" w:cs="宋体"/>
          <w:b w:val="0"/>
          <w:bCs w:val="0"/>
          <w:color w:val="auto"/>
          <w:sz w:val="24"/>
          <w:szCs w:val="24"/>
          <w:highlight w:val="none"/>
          <w:lang w:eastAsia="zh-CN"/>
        </w:rPr>
        <w:t>对本次采购提出询问，请按以下方式联系</w:t>
      </w:r>
      <w:r>
        <w:rPr>
          <w:rStyle w:val="29"/>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.采购人信息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Style w:val="29"/>
          <w:rFonts w:hint="eastAsia" w:ascii="宋体" w:hAnsi="宋体" w:eastAsia="宋体" w:cs="宋体"/>
          <w:b w:val="0"/>
          <w:bCs w:val="0"/>
          <w:color w:val="auto"/>
          <w:sz w:val="24"/>
          <w:szCs w:val="24"/>
          <w:highlight w:val="none"/>
          <w:lang w:val="en-US" w:eastAsia="zh-CN"/>
        </w:rPr>
        <w:t>：</w:t>
      </w:r>
      <w:r>
        <w:rPr>
          <w:rStyle w:val="29"/>
          <w:rFonts w:hint="eastAsia" w:ascii="宋体" w:hAnsi="宋体" w:cs="宋体"/>
          <w:b w:val="0"/>
          <w:bCs w:val="0"/>
          <w:color w:val="auto"/>
          <w:sz w:val="24"/>
          <w:szCs w:val="24"/>
          <w:highlight w:val="none"/>
          <w:lang w:val="en-US" w:eastAsia="zh-CN"/>
        </w:rPr>
        <w:t>宁夏回族自治区交通宣传事务中心</w:t>
      </w:r>
      <w:r>
        <w:rPr>
          <w:rStyle w:val="29"/>
          <w:rFonts w:hint="eastAsia" w:ascii="宋体" w:hAnsi="宋体" w:eastAsia="宋体" w:cs="宋体"/>
          <w:b w:val="0"/>
          <w:bCs w:val="0"/>
          <w:color w:val="auto"/>
          <w:sz w:val="24"/>
          <w:szCs w:val="24"/>
          <w:highlight w:val="none"/>
          <w:lang w:val="en-US" w:eastAsia="zh-CN"/>
        </w:rPr>
        <w:t>　</w:t>
      </w:r>
      <w:r>
        <w:rPr>
          <w:rFonts w:hint="eastAsia" w:ascii="宋体" w:hAnsi="宋体" w:eastAsia="宋体" w:cs="宋体"/>
          <w:color w:val="auto"/>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Style w:val="29"/>
          <w:rFonts w:hint="eastAsia" w:ascii="宋体" w:hAnsi="宋体" w:cs="宋体"/>
          <w:b w:val="0"/>
          <w:bCs w:val="0"/>
          <w:color w:val="auto"/>
          <w:sz w:val="24"/>
          <w:szCs w:val="24"/>
          <w:highlight w:val="none"/>
          <w:lang w:val="en-US" w:eastAsia="zh-CN"/>
        </w:rPr>
        <w:t>宁夏银川市北京中路175号</w:t>
      </w:r>
      <w:r>
        <w:rPr>
          <w:rFonts w:hint="eastAsia" w:ascii="宋体" w:hAnsi="宋体" w:eastAsia="宋体" w:cs="宋体"/>
          <w:color w:val="auto"/>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Style w:val="29"/>
          <w:rFonts w:hint="eastAsia" w:ascii="宋体" w:hAnsi="宋体" w:cs="宋体"/>
          <w:b w:val="0"/>
          <w:bCs w:val="0"/>
          <w:color w:val="auto"/>
          <w:sz w:val="24"/>
          <w:szCs w:val="24"/>
          <w:highlight w:val="none"/>
          <w:lang w:val="en-US" w:eastAsia="zh-CN"/>
        </w:rPr>
        <w:t xml:space="preserve">0951-6076675 </w:t>
      </w:r>
      <w:r>
        <w:rPr>
          <w:rStyle w:val="29"/>
          <w:rFonts w:hint="eastAsia" w:ascii="宋体" w:hAnsi="宋体" w:eastAsia="宋体" w:cs="宋体"/>
          <w:b w:val="0"/>
          <w:bCs w:val="0"/>
          <w:color w:val="auto"/>
          <w:sz w:val="24"/>
          <w:szCs w:val="24"/>
          <w:highlight w:val="none"/>
          <w:lang w:val="en-US" w:eastAsia="zh-CN"/>
        </w:rPr>
        <w:t>　</w:t>
      </w:r>
      <w:r>
        <w:rPr>
          <w:rFonts w:hint="eastAsia" w:ascii="宋体" w:hAnsi="宋体" w:eastAsia="宋体" w:cs="宋体"/>
          <w:color w:val="auto"/>
          <w:sz w:val="24"/>
          <w:szCs w:val="24"/>
          <w:highlight w:val="none"/>
        </w:rPr>
        <w:t xml:space="preserve">　　　　　　　　 </w:t>
      </w:r>
      <w:bookmarkStart w:id="1" w:name="_Toc28359009"/>
      <w:bookmarkStart w:id="2" w:name="_Toc28359086"/>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2.采购代理机构信息（如有）</w:t>
      </w:r>
      <w:bookmarkEnd w:id="1"/>
      <w:bookmarkEnd w:id="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3" w:name="_Toc28359087"/>
      <w:bookmarkStart w:id="4" w:name="_Toc28359010"/>
      <w:r>
        <w:rPr>
          <w:rFonts w:hint="eastAsia" w:ascii="宋体" w:hAnsi="宋体" w:eastAsia="宋体" w:cs="宋体"/>
          <w:color w:val="auto"/>
          <w:sz w:val="24"/>
          <w:szCs w:val="24"/>
          <w:highlight w:val="none"/>
        </w:rPr>
        <w:t>名称：</w:t>
      </w:r>
      <w:r>
        <w:rPr>
          <w:rStyle w:val="29"/>
          <w:rFonts w:hint="eastAsia" w:ascii="宋体" w:hAnsi="宋体" w:eastAsia="宋体" w:cs="宋体"/>
          <w:b w:val="0"/>
          <w:bCs w:val="0"/>
          <w:color w:val="auto"/>
          <w:sz w:val="24"/>
          <w:szCs w:val="24"/>
          <w:highlight w:val="none"/>
          <w:lang w:val="en-US" w:eastAsia="zh-CN"/>
        </w:rPr>
        <w:t>宁夏盛世光大招投标有限公司 　</w:t>
      </w:r>
      <w:r>
        <w:rPr>
          <w:rFonts w:hint="eastAsia" w:ascii="宋体" w:hAnsi="宋体" w:eastAsia="宋体" w:cs="宋体"/>
          <w:color w:val="auto"/>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Style w:val="29"/>
          <w:rFonts w:hint="eastAsia" w:ascii="宋体" w:hAnsi="宋体" w:eastAsia="宋体" w:cs="宋体"/>
          <w:b w:val="0"/>
          <w:bCs w:val="0"/>
          <w:color w:val="auto"/>
          <w:sz w:val="24"/>
          <w:szCs w:val="24"/>
          <w:highlight w:val="none"/>
          <w:lang w:val="en-US" w:eastAsia="zh-CN"/>
        </w:rPr>
        <w:t>：银川市金凤区悦海新天地3号公寓</w:t>
      </w:r>
      <w:r>
        <w:rPr>
          <w:rStyle w:val="29"/>
          <w:rFonts w:hint="eastAsia" w:ascii="宋体" w:hAnsi="宋体" w:cs="宋体"/>
          <w:b w:val="0"/>
          <w:bCs w:val="0"/>
          <w:color w:val="auto"/>
          <w:sz w:val="24"/>
          <w:szCs w:val="24"/>
          <w:highlight w:val="none"/>
          <w:lang w:val="en-US" w:eastAsia="zh-CN"/>
        </w:rPr>
        <w:t>27</w:t>
      </w:r>
      <w:r>
        <w:rPr>
          <w:rStyle w:val="29"/>
          <w:rFonts w:hint="eastAsia" w:ascii="宋体" w:hAnsi="宋体" w:eastAsia="宋体" w:cs="宋体"/>
          <w:b w:val="0"/>
          <w:bCs w:val="0"/>
          <w:color w:val="auto"/>
          <w:sz w:val="24"/>
          <w:szCs w:val="24"/>
          <w:highlight w:val="none"/>
          <w:lang w:val="en-US" w:eastAsia="zh-CN"/>
        </w:rPr>
        <w:t>层</w:t>
      </w:r>
      <w:r>
        <w:rPr>
          <w:rStyle w:val="29"/>
          <w:rFonts w:hint="eastAsia" w:ascii="宋体" w:hAnsi="宋体" w:cs="宋体"/>
          <w:b w:val="0"/>
          <w:bCs w:val="0"/>
          <w:color w:val="auto"/>
          <w:sz w:val="24"/>
          <w:szCs w:val="24"/>
          <w:highlight w:val="none"/>
          <w:lang w:val="en-US" w:eastAsia="zh-CN"/>
        </w:rPr>
        <w:t>2706</w:t>
      </w:r>
      <w:r>
        <w:rPr>
          <w:rStyle w:val="29"/>
          <w:rFonts w:hint="eastAsia" w:ascii="宋体" w:hAnsi="宋体" w:eastAsia="宋体" w:cs="宋体"/>
          <w:b w:val="0"/>
          <w:bCs w:val="0"/>
          <w:color w:val="auto"/>
          <w:sz w:val="24"/>
          <w:szCs w:val="24"/>
          <w:highlight w:val="none"/>
          <w:lang w:val="en-US" w:eastAsia="zh-CN"/>
        </w:rPr>
        <w:t>室　</w:t>
      </w:r>
      <w:r>
        <w:rPr>
          <w:rFonts w:hint="eastAsia" w:ascii="宋体" w:hAnsi="宋体" w:eastAsia="宋体" w:cs="宋体"/>
          <w:color w:val="auto"/>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Style w:val="29"/>
          <w:rFonts w:hint="eastAsia" w:ascii="宋体" w:hAnsi="宋体" w:eastAsia="宋体" w:cs="宋体"/>
          <w:b w:val="0"/>
          <w:bCs w:val="0"/>
          <w:color w:val="auto"/>
          <w:sz w:val="24"/>
          <w:szCs w:val="24"/>
          <w:highlight w:val="none"/>
          <w:lang w:val="en-US" w:eastAsia="zh-CN"/>
        </w:rPr>
        <w:t>0951-</w:t>
      </w:r>
      <w:r>
        <w:rPr>
          <w:rStyle w:val="29"/>
          <w:rFonts w:hint="eastAsia" w:ascii="宋体" w:hAnsi="宋体" w:cs="宋体"/>
          <w:b w:val="0"/>
          <w:bCs w:val="0"/>
          <w:color w:val="auto"/>
          <w:sz w:val="24"/>
          <w:szCs w:val="24"/>
          <w:highlight w:val="none"/>
          <w:lang w:val="en-US" w:eastAsia="zh-CN"/>
        </w:rPr>
        <w:t>6717776</w:t>
      </w:r>
      <w:r>
        <w:rPr>
          <w:rStyle w:val="29"/>
          <w:rFonts w:hint="eastAsia" w:ascii="宋体" w:hAnsi="宋体" w:eastAsia="宋体" w:cs="宋体"/>
          <w:b w:val="0"/>
          <w:bCs w:val="0"/>
          <w:color w:val="auto"/>
          <w:sz w:val="24"/>
          <w:szCs w:val="24"/>
          <w:highlight w:val="none"/>
          <w:lang w:val="en-US" w:eastAsia="zh-CN"/>
        </w:rPr>
        <w:t>　</w:t>
      </w:r>
      <w:r>
        <w:rPr>
          <w:rFonts w:hint="eastAsia" w:ascii="宋体" w:hAnsi="宋体" w:eastAsia="宋体" w:cs="宋体"/>
          <w:color w:val="auto"/>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bookmarkEnd w:id="3"/>
      <w:bookmarkEnd w:id="4"/>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采购人项目联系人：</w:t>
      </w:r>
      <w:r>
        <w:rPr>
          <w:rStyle w:val="29"/>
          <w:rFonts w:hint="eastAsia" w:ascii="宋体" w:hAnsi="宋体" w:cs="宋体"/>
          <w:b w:val="0"/>
          <w:bCs w:val="0"/>
          <w:color w:val="auto"/>
          <w:sz w:val="24"/>
          <w:szCs w:val="24"/>
          <w:highlight w:val="none"/>
          <w:lang w:val="en-US" w:eastAsia="zh-CN"/>
        </w:rPr>
        <w:t xml:space="preserve">王凯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Style w:val="29"/>
          <w:rFonts w:hint="eastAsia" w:ascii="宋体" w:hAnsi="宋体" w:cs="宋体"/>
          <w:b w:val="0"/>
          <w:bCs w:val="0"/>
          <w:color w:val="auto"/>
          <w:sz w:val="24"/>
          <w:szCs w:val="24"/>
          <w:highlight w:val="none"/>
          <w:lang w:val="en-US" w:eastAsia="zh-CN"/>
        </w:rPr>
        <w:t xml:space="preserve">0951-6076675 </w:t>
      </w:r>
      <w:r>
        <w:rPr>
          <w:rFonts w:hint="eastAsia" w:ascii="宋体" w:hAnsi="宋体" w:eastAsia="宋体" w:cs="宋体"/>
          <w:color w:val="auto"/>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代理机构项目联系人</w:t>
      </w:r>
      <w:r>
        <w:rPr>
          <w:rStyle w:val="29"/>
          <w:rFonts w:hint="eastAsia" w:ascii="宋体" w:hAnsi="宋体" w:eastAsia="宋体" w:cs="宋体"/>
          <w:b w:val="0"/>
          <w:bCs w:val="0"/>
          <w:color w:val="auto"/>
          <w:sz w:val="24"/>
          <w:szCs w:val="24"/>
          <w:highlight w:val="none"/>
          <w:lang w:val="en-US" w:eastAsia="zh-CN"/>
        </w:rPr>
        <w:t>：</w:t>
      </w:r>
      <w:r>
        <w:rPr>
          <w:rStyle w:val="29"/>
          <w:rFonts w:hint="eastAsia" w:ascii="宋体" w:hAnsi="宋体" w:cs="宋体"/>
          <w:b w:val="0"/>
          <w:bCs w:val="0"/>
          <w:color w:val="auto"/>
          <w:sz w:val="24"/>
          <w:szCs w:val="24"/>
          <w:highlight w:val="none"/>
          <w:lang w:val="en-US" w:eastAsia="zh-CN"/>
        </w:rPr>
        <w:t>刘东洋、郑文雯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黑体" w:hAnsi="黑体" w:eastAsia="黑体" w:cs="黑体"/>
          <w:sz w:val="32"/>
          <w:szCs w:val="32"/>
          <w:lang w:val="en-US" w:eastAsia="zh-CN"/>
        </w:rPr>
      </w:pPr>
      <w:r>
        <w:rPr>
          <w:rFonts w:hint="eastAsia" w:ascii="宋体" w:hAnsi="宋体" w:eastAsia="宋体" w:cs="宋体"/>
          <w:color w:val="auto"/>
          <w:sz w:val="24"/>
          <w:szCs w:val="24"/>
          <w:highlight w:val="none"/>
        </w:rPr>
        <w:t>电</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Style w:val="29"/>
          <w:rFonts w:hint="eastAsia" w:ascii="宋体" w:hAnsi="宋体" w:eastAsia="宋体" w:cs="宋体"/>
          <w:b w:val="0"/>
          <w:bCs w:val="0"/>
          <w:color w:val="auto"/>
          <w:sz w:val="24"/>
          <w:szCs w:val="24"/>
          <w:highlight w:val="none"/>
          <w:lang w:val="en-US" w:eastAsia="zh-CN"/>
        </w:rPr>
        <w:t>0951-</w:t>
      </w:r>
      <w:r>
        <w:rPr>
          <w:rStyle w:val="29"/>
          <w:rFonts w:hint="eastAsia" w:ascii="宋体" w:hAnsi="宋体" w:cs="宋体"/>
          <w:b w:val="0"/>
          <w:bCs w:val="0"/>
          <w:color w:val="auto"/>
          <w:sz w:val="24"/>
          <w:szCs w:val="24"/>
          <w:highlight w:val="none"/>
          <w:lang w:val="en-US" w:eastAsia="zh-CN"/>
        </w:rPr>
        <w:t>6717776</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Style w:val="29"/>
          <w:rFonts w:hint="eastAsia" w:ascii="宋体" w:hAnsi="宋体" w:eastAsia="宋体" w:cs="宋体"/>
          <w:color w:val="auto"/>
          <w:sz w:val="28"/>
          <w:szCs w:val="28"/>
          <w:highlight w:val="none"/>
        </w:rPr>
      </w:pPr>
      <w:r>
        <w:rPr>
          <w:rStyle w:val="29"/>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32"/>
          <w:szCs w:val="32"/>
          <w:highlight w:val="none"/>
          <w:lang w:val="en-US" w:eastAsia="zh-CN"/>
        </w:rPr>
      </w:pPr>
      <w:r>
        <w:rPr>
          <w:rStyle w:val="29"/>
          <w:rFonts w:hint="eastAsia" w:ascii="宋体" w:hAnsi="宋体" w:eastAsia="宋体" w:cs="宋体"/>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32"/>
          <w:szCs w:val="32"/>
          <w:highlight w:val="none"/>
          <w:lang w:val="en-US" w:eastAsia="zh-CN"/>
        </w:rPr>
      </w:pPr>
      <w:bookmarkStart w:id="5" w:name="_Toc7235"/>
      <w:r>
        <w:rPr>
          <w:rFonts w:hint="eastAsia" w:ascii="宋体" w:hAnsi="宋体" w:eastAsia="宋体" w:cs="宋体"/>
          <w:b/>
          <w:bCs/>
          <w:color w:val="auto"/>
          <w:sz w:val="32"/>
          <w:szCs w:val="32"/>
          <w:highlight w:val="none"/>
          <w:lang w:val="en-US" w:eastAsia="zh-CN"/>
        </w:rPr>
        <w:t>第二章 供应商须知前附表</w:t>
      </w:r>
      <w:bookmarkEnd w:id="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本表是本</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项目的具体资料，是对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须知的具体补充和修改，如有矛盾，应以本表为准。</w:t>
      </w:r>
    </w:p>
    <w:tbl>
      <w:tblPr>
        <w:tblStyle w:val="26"/>
        <w:tblW w:w="95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9"/>
        <w:gridCol w:w="88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64" w:leftChars="-23" w:firstLine="5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887" w:type="dxa"/>
            <w:vAlign w:val="center"/>
          </w:tcPr>
          <w:p>
            <w:pPr>
              <w:pageBreakBefore w:val="0"/>
              <w:wordWrap/>
              <w:topLinePunct w:val="0"/>
              <w:autoSpaceDE w:val="0"/>
              <w:autoSpaceDN w:val="0"/>
              <w:bidi w:val="0"/>
              <w:adjustRightInd w:val="0"/>
              <w:spacing w:line="360" w:lineRule="auto"/>
              <w:jc w:val="both"/>
              <w:outlineLvl w:val="0"/>
              <w:rPr>
                <w:rStyle w:val="29"/>
                <w:rFonts w:hint="eastAsia" w:asciiTheme="majorEastAsia" w:hAnsiTheme="majorEastAsia" w:eastAsiaTheme="majorEastAsia" w:cstheme="majorEastAsia"/>
                <w:b w:val="0"/>
                <w:bCs/>
                <w:color w:val="auto"/>
                <w:sz w:val="24"/>
                <w:szCs w:val="24"/>
                <w:highlight w:val="none"/>
                <w:lang w:val="en-US" w:eastAsia="zh-CN"/>
              </w:rPr>
            </w:pPr>
            <w:r>
              <w:rPr>
                <w:rFonts w:hint="eastAsia" w:ascii="宋体" w:hAnsi="宋体" w:eastAsia="宋体" w:cs="宋体"/>
                <w:color w:val="auto"/>
                <w:sz w:val="24"/>
                <w:szCs w:val="24"/>
                <w:highlight w:val="none"/>
                <w:u w:val="none"/>
              </w:rPr>
              <w:t>项目名称：</w:t>
            </w:r>
            <w:r>
              <w:rPr>
                <w:rStyle w:val="29"/>
                <w:rFonts w:hint="eastAsia" w:asciiTheme="majorEastAsia" w:hAnsiTheme="majorEastAsia" w:eastAsiaTheme="majorEastAsia" w:cstheme="majorEastAsia"/>
                <w:b w:val="0"/>
                <w:bCs/>
                <w:color w:val="auto"/>
                <w:sz w:val="24"/>
                <w:szCs w:val="24"/>
                <w:highlight w:val="none"/>
                <w:lang w:val="en-US" w:eastAsia="zh-CN"/>
              </w:rPr>
              <w:t>宁夏回族自治区交通宣传事务中心“两馆”科普教育基地维修改造项目</w:t>
            </w:r>
          </w:p>
          <w:p>
            <w:pPr>
              <w:pageBreakBefore w:val="0"/>
              <w:wordWrap/>
              <w:topLinePunct w:val="0"/>
              <w:autoSpaceDE w:val="0"/>
              <w:autoSpaceDN w:val="0"/>
              <w:bidi w:val="0"/>
              <w:adjustRightInd w:val="0"/>
              <w:spacing w:line="360" w:lineRule="auto"/>
              <w:jc w:val="both"/>
              <w:outlineLvl w:val="0"/>
              <w:rPr>
                <w:rFonts w:hint="eastAsia" w:ascii="宋体" w:hAnsi="宋体" w:eastAsia="宋体" w:cs="宋体"/>
                <w:color w:val="auto"/>
                <w:sz w:val="24"/>
                <w:szCs w:val="24"/>
                <w:highlight w:val="none"/>
                <w:u w:val="none"/>
              </w:rPr>
            </w:pPr>
            <w:r>
              <w:rPr>
                <w:rStyle w:val="29"/>
                <w:rFonts w:hint="eastAsia" w:ascii="宋体" w:hAnsi="宋体" w:eastAsia="宋体" w:cs="宋体"/>
                <w:b w:val="0"/>
                <w:bCs/>
                <w:color w:val="auto"/>
                <w:sz w:val="24"/>
                <w:szCs w:val="24"/>
                <w:highlight w:val="none"/>
                <w:u w:val="none"/>
                <w:lang w:val="en-US" w:eastAsia="zh-CN"/>
              </w:rPr>
              <w:t>采购需求：详见采购需求</w:t>
            </w:r>
            <w:r>
              <w:rPr>
                <w:rStyle w:val="29"/>
                <w:rFonts w:hint="eastAsia" w:ascii="宋体" w:hAnsi="宋体" w:cs="宋体"/>
                <w:b w:val="0"/>
                <w:bCs/>
                <w:color w:val="auto"/>
                <w:sz w:val="24"/>
                <w:szCs w:val="24"/>
                <w:highlight w:val="none"/>
                <w:u w:val="none"/>
                <w:lang w:val="en-US" w:eastAsia="zh-CN"/>
              </w:rPr>
              <w:t>工程量清单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888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名称：</w:t>
            </w:r>
            <w:r>
              <w:rPr>
                <w:rStyle w:val="29"/>
                <w:rFonts w:hint="eastAsia" w:asciiTheme="majorEastAsia" w:hAnsiTheme="majorEastAsia" w:eastAsiaTheme="majorEastAsia" w:cstheme="majorEastAsia"/>
                <w:b w:val="0"/>
                <w:bCs w:val="0"/>
                <w:color w:val="auto"/>
                <w:sz w:val="24"/>
                <w:szCs w:val="24"/>
                <w:highlight w:val="none"/>
                <w:lang w:val="en-US" w:eastAsia="zh-CN"/>
              </w:rPr>
              <w:t>宁夏回族自治区交通宣传事务中心</w:t>
            </w:r>
            <w:r>
              <w:rPr>
                <w:rFonts w:hint="eastAsia" w:asciiTheme="majorEastAsia" w:hAnsiTheme="majorEastAsia" w:eastAsiaTheme="majorEastAsia" w:cstheme="majorEastAsia"/>
                <w:color w:val="auto"/>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地址：</w:t>
            </w:r>
            <w:r>
              <w:rPr>
                <w:rStyle w:val="29"/>
                <w:rFonts w:hint="eastAsia" w:asciiTheme="majorEastAsia" w:hAnsiTheme="majorEastAsia" w:eastAsiaTheme="majorEastAsia" w:cstheme="majorEastAsia"/>
                <w:b w:val="0"/>
                <w:bCs w:val="0"/>
                <w:color w:val="auto"/>
                <w:sz w:val="24"/>
                <w:szCs w:val="24"/>
                <w:highlight w:val="none"/>
                <w:lang w:val="en-US" w:eastAsia="zh-CN"/>
              </w:rPr>
              <w:t>宁夏银川市北京中路175号</w:t>
            </w:r>
            <w:r>
              <w:rPr>
                <w:rFonts w:hint="eastAsia" w:asciiTheme="majorEastAsia" w:hAnsiTheme="majorEastAsia" w:eastAsiaTheme="majorEastAsia" w:cstheme="majorEastAsia"/>
                <w:color w:val="auto"/>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采购人项目联系人：</w:t>
            </w:r>
            <w:r>
              <w:rPr>
                <w:rStyle w:val="29"/>
                <w:rFonts w:hint="eastAsia" w:asciiTheme="majorEastAsia" w:hAnsiTheme="majorEastAsia" w:eastAsiaTheme="majorEastAsia" w:cstheme="majorEastAsia"/>
                <w:b w:val="0"/>
                <w:bCs w:val="0"/>
                <w:color w:val="auto"/>
                <w:sz w:val="24"/>
                <w:szCs w:val="24"/>
                <w:highlight w:val="none"/>
                <w:lang w:val="en-US" w:eastAsia="zh-CN"/>
              </w:rPr>
              <w:t xml:space="preserve">王凯 </w:t>
            </w:r>
            <w:r>
              <w:rPr>
                <w:rFonts w:hint="eastAsia" w:asciiTheme="majorEastAsia" w:hAnsiTheme="majorEastAsia" w:eastAsiaTheme="majorEastAsia" w:cstheme="majorEastAsia"/>
                <w:color w:val="auto"/>
                <w:sz w:val="24"/>
                <w:szCs w:val="24"/>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ascii="宋体" w:hAnsi="宋体" w:eastAsia="宋体" w:cs="宋体"/>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rPr>
              <w:t>联系方式：</w:t>
            </w:r>
            <w:r>
              <w:rPr>
                <w:rStyle w:val="29"/>
                <w:rFonts w:hint="eastAsia" w:asciiTheme="majorEastAsia" w:hAnsiTheme="majorEastAsia" w:eastAsiaTheme="majorEastAsia" w:cstheme="majorEastAsia"/>
                <w:b w:val="0"/>
                <w:bCs w:val="0"/>
                <w:color w:val="auto"/>
                <w:sz w:val="24"/>
                <w:szCs w:val="24"/>
                <w:highlight w:val="none"/>
                <w:lang w:val="en-US" w:eastAsia="zh-CN"/>
              </w:rPr>
              <w:t xml:space="preserve">0951-6076675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8887" w:type="dxa"/>
            <w:vAlign w:val="center"/>
          </w:tcPr>
          <w:p>
            <w:pPr>
              <w:pStyle w:val="22"/>
              <w:pageBreakBefore w:val="0"/>
              <w:shd w:val="clear" w:color="auto"/>
              <w:wordWrap/>
              <w:topLinePunct w:val="0"/>
              <w:bidi w:val="0"/>
              <w:spacing w:before="0" w:beforeAutospacing="0" w:after="0" w:afterAutospacing="0" w:line="360" w:lineRule="auto"/>
              <w:jc w:val="both"/>
              <w:rPr>
                <w:rFonts w:hint="eastAsia"/>
                <w:kern w:val="2"/>
              </w:rPr>
            </w:pPr>
            <w:r>
              <w:rPr>
                <w:rFonts w:hint="eastAsia"/>
                <w:kern w:val="2"/>
              </w:rPr>
              <w:t>采购代理机构：</w:t>
            </w:r>
            <w:r>
              <w:rPr>
                <w:rStyle w:val="29"/>
                <w:rFonts w:hint="eastAsia" w:ascii="宋体" w:hAnsi="宋体" w:eastAsia="宋体" w:cs="宋体"/>
                <w:b w:val="0"/>
                <w:bCs w:val="0"/>
                <w:color w:val="auto"/>
                <w:sz w:val="24"/>
                <w:szCs w:val="24"/>
                <w:highlight w:val="none"/>
                <w:lang w:val="en-US" w:eastAsia="zh-CN"/>
              </w:rPr>
              <w:t>宁夏盛世光大招投标有限公司</w:t>
            </w:r>
          </w:p>
          <w:p>
            <w:pPr>
              <w:pStyle w:val="22"/>
              <w:pageBreakBefore w:val="0"/>
              <w:shd w:val="clear" w:color="auto"/>
              <w:wordWrap/>
              <w:topLinePunct w:val="0"/>
              <w:bidi w:val="0"/>
              <w:spacing w:before="0" w:beforeAutospacing="0" w:after="0" w:afterAutospacing="0" w:line="360" w:lineRule="auto"/>
              <w:jc w:val="both"/>
              <w:rPr>
                <w:rFonts w:hint="eastAsia"/>
                <w:kern w:val="2"/>
              </w:rPr>
            </w:pPr>
            <w:r>
              <w:rPr>
                <w:rFonts w:hint="eastAsia"/>
                <w:kern w:val="2"/>
              </w:rPr>
              <w:t>地    址：</w:t>
            </w:r>
            <w:r>
              <w:rPr>
                <w:rStyle w:val="29"/>
                <w:rFonts w:hint="eastAsia" w:asciiTheme="majorEastAsia" w:hAnsiTheme="majorEastAsia" w:eastAsiaTheme="majorEastAsia" w:cstheme="majorEastAsia"/>
                <w:b w:val="0"/>
                <w:bCs w:val="0"/>
                <w:color w:val="auto"/>
                <w:sz w:val="24"/>
                <w:szCs w:val="24"/>
                <w:highlight w:val="none"/>
                <w:lang w:val="en-US" w:eastAsia="zh-CN"/>
              </w:rPr>
              <w:t>银川市金凤区悦海新天地3号公寓27层2706室</w:t>
            </w:r>
            <w:r>
              <w:rPr>
                <w:rFonts w:hint="eastAsia" w:asciiTheme="majorEastAsia" w:hAnsiTheme="majorEastAsia" w:eastAsiaTheme="majorEastAsia" w:cstheme="majorEastAsia"/>
                <w:color w:val="auto"/>
                <w:sz w:val="24"/>
                <w:szCs w:val="24"/>
                <w:highlight w:val="none"/>
              </w:rPr>
              <w:t>　</w:t>
            </w:r>
          </w:p>
          <w:p>
            <w:pPr>
              <w:pStyle w:val="22"/>
              <w:pageBreakBefore w:val="0"/>
              <w:shd w:val="clear" w:color="auto"/>
              <w:wordWrap/>
              <w:topLinePunct w:val="0"/>
              <w:bidi w:val="0"/>
              <w:spacing w:before="0" w:beforeAutospacing="0" w:after="0" w:afterAutospacing="0" w:line="360" w:lineRule="auto"/>
              <w:jc w:val="both"/>
              <w:rPr>
                <w:rFonts w:hint="default" w:ascii="宋体" w:hAnsi="宋体" w:eastAsia="宋体" w:cs="宋体"/>
                <w:color w:val="auto"/>
                <w:sz w:val="24"/>
                <w:szCs w:val="24"/>
                <w:highlight w:val="none"/>
                <w:lang w:val="en-US"/>
              </w:rPr>
            </w:pPr>
            <w:r>
              <w:rPr>
                <w:rFonts w:hint="eastAsia"/>
                <w:kern w:val="2"/>
              </w:rPr>
              <w:t>项目联系人：</w:t>
            </w:r>
            <w:r>
              <w:rPr>
                <w:rFonts w:hint="eastAsia"/>
                <w:kern w:val="2"/>
                <w:lang w:eastAsia="zh-CN"/>
              </w:rPr>
              <w:t>刘东洋、郑文雯</w:t>
            </w:r>
            <w:r>
              <w:rPr>
                <w:rFonts w:hint="eastAsia"/>
                <w:kern w:val="2"/>
              </w:rPr>
              <w:t>联系电话：</w:t>
            </w:r>
            <w:bookmarkStart w:id="6" w:name="_Toc513029202"/>
            <w:bookmarkEnd w:id="6"/>
            <w:bookmarkStart w:id="7" w:name="_Toc16938518"/>
            <w:bookmarkEnd w:id="7"/>
            <w:bookmarkStart w:id="8" w:name="_Toc20823274"/>
            <w:bookmarkEnd w:id="8"/>
            <w:r>
              <w:rPr>
                <w:rStyle w:val="29"/>
                <w:rFonts w:hint="eastAsia" w:asciiTheme="majorEastAsia" w:hAnsiTheme="majorEastAsia" w:eastAsiaTheme="majorEastAsia" w:cstheme="majorEastAsia"/>
                <w:b w:val="0"/>
                <w:bCs w:val="0"/>
                <w:color w:val="auto"/>
                <w:sz w:val="24"/>
                <w:szCs w:val="24"/>
                <w:highlight w:val="none"/>
                <w:lang w:val="en-US" w:eastAsia="zh-CN"/>
              </w:rPr>
              <w:t>0951-6717776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887" w:type="dxa"/>
            <w:vAlign w:val="center"/>
          </w:tcPr>
          <w:p>
            <w:pPr>
              <w:keepNext w:val="0"/>
              <w:keepLines w:val="0"/>
              <w:pageBreakBefore w:val="0"/>
              <w:widowControl w:val="0"/>
              <w:kinsoku w:val="0"/>
              <w:wordWrap/>
              <w:overflowPunct w:val="0"/>
              <w:topLinePunct w:val="0"/>
              <w:autoSpaceDE w:val="0"/>
              <w:autoSpaceDN w:val="0"/>
              <w:bidi w:val="0"/>
              <w:adjustRightInd/>
              <w:snapToGrid/>
              <w:spacing w:line="360" w:lineRule="auto"/>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合格投标人的资格要求：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在中华人民共和国境内注册的法人或者其他组织的营业执照复印件；如供应商是事业单位，应提供有效的“事业单位法人证书或社会团体法人登记证书”扫描件；如供应商为自然人的需提供自然人身份证明复印件；（2）法人授权委托书、法人及被授权人身份证扫描件(法定代表人直接投标可不提供，但须提供法定代表人身份证扫描件)；（3）提供具有良好商业信誉和健全的财务会计制度的承诺函或证明材料；（4）提供履行合同所必需的设备和专业技术能力的承诺函或证明材料；（5）具有依法缴纳税收和社会保障资金的良好记录的承诺函或证明材料；（6）提供参加采购活动前三年内在经营活动中没有重大违法记录的书面声明。（7）供应商在“中国政府采购网”未被列入政府采购严重违法失信行为记录名单，在“信用中国”网站未被列入失信被执行人、重大税收违法案件当事人名单(实际查询结果以采购人或代理机构于递交响应文件截止日网查结果为准。无法查询的行政事业单位或自然人等须提供书面无不良信用记录承诺书)。（8）本项目专门面向中小微企业，提供《中小企业声明函》。（9）投标人须具备建设行政主管部门颁发的建筑装修装饰工程专业承包贰级(含贰级)以上资质，所委派的项目经理需具备建筑业二级及以上注册证书，具备并在人员、设备、资金等方面具有相应的施工能力。（10）单位负责人为同一人或者存在直接控股、管理关系的不同投标单位，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bCs/>
                <w:sz w:val="24"/>
                <w:szCs w:val="24"/>
                <w:lang w:val="en-US" w:eastAsia="zh-CN"/>
              </w:rPr>
            </w:pPr>
            <w:r>
              <w:rPr>
                <w:rFonts w:hint="eastAsia" w:ascii="宋体" w:hAnsi="宋体" w:eastAsia="宋体" w:cs="宋体"/>
                <w:color w:val="auto"/>
                <w:sz w:val="24"/>
                <w:szCs w:val="24"/>
                <w:highlight w:val="none"/>
                <w:lang w:val="en-US" w:eastAsia="zh-CN"/>
              </w:rPr>
              <w:t>注：（3）～（6）条款投标供应商可自行选择是否提供本承诺函，若不提供本承诺函，应按《中华人民共和国政府采购法》《中华人民共和国政府采购法实施条例》及采购文件资格要求提供相应的证明材料。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的其他资格要求：</w:t>
            </w:r>
            <w:r>
              <w:rPr>
                <w:rFonts w:hint="eastAsia" w:ascii="宋体" w:hAnsi="宋体" w:eastAsia="宋体" w:cs="宋体"/>
                <w:color w:val="auto"/>
                <w:sz w:val="24"/>
                <w:szCs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是否为专门面向中小企业采购：</w:t>
            </w:r>
            <w:r>
              <w:rPr>
                <w:rFonts w:hint="eastAsia" w:ascii="宋体" w:hAnsi="宋体" w:cs="宋体"/>
                <w:color w:val="auto"/>
                <w:sz w:val="24"/>
                <w:szCs w:val="24"/>
                <w:highlight w:val="none"/>
                <w:u w:val="single"/>
                <w:lang w:eastAsia="zh-CN"/>
              </w:rPr>
              <w:t>是</w:t>
            </w:r>
            <w:r>
              <w:rPr>
                <w:rFonts w:hint="eastAsia" w:ascii="宋体" w:hAnsi="宋体" w:eastAsia="宋体" w:cs="宋体"/>
                <w:color w:val="auto"/>
                <w:sz w:val="24"/>
                <w:szCs w:val="24"/>
                <w:highlight w:val="none"/>
              </w:rPr>
              <w:t>（是、否）</w:t>
            </w:r>
            <w:r>
              <w:rPr>
                <w:rFonts w:hint="eastAsia" w:ascii="宋体" w:hAnsi="宋体" w:eastAsia="宋体" w:cs="宋体"/>
                <w:color w:val="auto"/>
                <w:sz w:val="24"/>
                <w:szCs w:val="24"/>
                <w:highlight w:val="none"/>
                <w:lang w:eastAsia="zh-CN"/>
              </w:rPr>
              <w:t>（专门面向中小企业采购，供应商需出具《中小企业声明函》，非专门面向中小企业采购，小型、微型企业应出具《中小企业声明函》，对报价给予</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的扣除，用扣除后的价格参与评审</w:t>
            </w:r>
            <w:r>
              <w:rPr>
                <w:rFonts w:hint="eastAsia"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是否允许联合体：</w:t>
            </w:r>
            <w:r>
              <w:rPr>
                <w:rFonts w:hint="eastAsia" w:ascii="宋体" w:hAnsi="宋体" w:eastAsia="宋体" w:cs="宋体"/>
                <w:color w:val="auto"/>
                <w:sz w:val="24"/>
                <w:szCs w:val="24"/>
                <w:highlight w:val="none"/>
                <w:u w:val="single"/>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联合体的其他资格要求：</w:t>
            </w:r>
            <w:r>
              <w:rPr>
                <w:rFonts w:hint="eastAsia" w:ascii="宋体" w:hAnsi="宋体" w:eastAsia="宋体" w:cs="宋体"/>
                <w:color w:val="auto"/>
                <w:sz w:val="24"/>
                <w:szCs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ascii="宋体" w:hAnsi="宋体" w:eastAsia="宋体" w:cs="宋体"/>
                <w:color w:val="auto"/>
                <w:sz w:val="24"/>
                <w:szCs w:val="24"/>
                <w:highlight w:val="none"/>
                <w:lang w:val="en-US" w:eastAsia="zh-CN"/>
              </w:rPr>
              <w:t>预算金额：</w:t>
            </w:r>
            <w:r>
              <w:rPr>
                <w:rFonts w:hint="eastAsia" w:ascii="宋体" w:hAnsi="宋体" w:cs="宋体"/>
                <w:color w:val="auto"/>
                <w:sz w:val="24"/>
                <w:szCs w:val="24"/>
                <w:highlight w:val="none"/>
                <w:lang w:val="en-US" w:eastAsia="zh-CN"/>
              </w:rPr>
              <w:t>2643800.71</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最高限价：</w:t>
            </w:r>
            <w:r>
              <w:rPr>
                <w:rFonts w:hint="eastAsia" w:ascii="宋体" w:hAnsi="宋体" w:cs="宋体"/>
                <w:color w:val="auto"/>
                <w:sz w:val="24"/>
                <w:szCs w:val="24"/>
                <w:highlight w:val="none"/>
                <w:lang w:val="en-US" w:eastAsia="zh-CN"/>
              </w:rPr>
              <w:t>2643800.71</w:t>
            </w:r>
            <w:r>
              <w:rPr>
                <w:rFonts w:hint="eastAsia" w:ascii="宋体" w:hAnsi="宋体" w:eastAsia="宋体" w:cs="宋体"/>
                <w:color w:val="auto"/>
                <w:sz w:val="24"/>
                <w:szCs w:val="24"/>
                <w:highlight w:val="none"/>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保证金：0元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缴纳时间：</w:t>
            </w:r>
            <w:r>
              <w:rPr>
                <w:rFonts w:hint="default"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保证金缴纳方式：</w:t>
            </w:r>
            <w:r>
              <w:rPr>
                <w:rFonts w:hint="default"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是否组织现场考察或者召开答疑会：</w:t>
            </w:r>
            <w:r>
              <w:rPr>
                <w:rFonts w:hint="eastAsia" w:ascii="宋体" w:hAnsi="宋体" w:eastAsia="宋体" w:cs="宋体"/>
                <w:color w:val="auto"/>
                <w:sz w:val="24"/>
                <w:szCs w:val="24"/>
                <w:highlight w:val="none"/>
                <w:u w:val="single"/>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组织现场考察或者召开答疑会相关要求：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sym w:font="Wingdings 2" w:char="0052"/>
            </w:r>
            <w:r>
              <w:rPr>
                <w:rFonts w:hint="eastAsia" w:ascii="宋体" w:hAnsi="宋体" w:cs="宋体"/>
                <w:color w:val="auto"/>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□将在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文件提供期限截止后通知所有获取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文件的潜在</w:t>
            </w:r>
            <w:r>
              <w:rPr>
                <w:rFonts w:hint="eastAsia" w:ascii="宋体" w:hAnsi="宋体" w:cs="宋体"/>
                <w:color w:val="auto"/>
                <w:sz w:val="24"/>
                <w:szCs w:val="24"/>
                <w:highlight w:val="none"/>
                <w:lang w:eastAsia="zh-CN"/>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有效期：提交</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文件截止之日起</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lang w:eastAsia="zh-CN"/>
              </w:rPr>
              <w:t>自然</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投标文件（电子/纸质）提交截止时间：20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投标文件提交地点：宁夏回族自治区</w:t>
            </w:r>
            <w:r>
              <w:rPr>
                <w:rFonts w:hint="eastAsia" w:ascii="宋体" w:hAnsi="宋体" w:eastAsia="宋体" w:cs="宋体"/>
                <w:color w:val="auto"/>
                <w:sz w:val="24"/>
                <w:szCs w:val="24"/>
                <w:highlight w:val="none"/>
                <w:lang w:val="en-US" w:eastAsia="zh-CN"/>
              </w:rPr>
              <w:t>公共资源交易中心</w:t>
            </w:r>
            <w:r>
              <w:rPr>
                <w:rFonts w:hint="eastAsia" w:ascii="宋体" w:hAnsi="宋体" w:eastAsia="宋体" w:cs="宋体"/>
                <w:color w:val="auto"/>
                <w:sz w:val="24"/>
                <w:szCs w:val="24"/>
                <w:highlight w:val="none"/>
                <w:lang w:eastAsia="zh-CN"/>
              </w:rPr>
              <w:t>；本次项目为竞争性磋商，投标单位需将电子版投标文件按要求上传至系统并携带生成投标文件的</w:t>
            </w:r>
            <w:r>
              <w:rPr>
                <w:rFonts w:hint="eastAsia" w:ascii="宋体" w:hAnsi="宋体" w:eastAsia="宋体" w:cs="宋体"/>
                <w:color w:val="auto"/>
                <w:sz w:val="24"/>
                <w:szCs w:val="24"/>
                <w:highlight w:val="none"/>
                <w:lang w:val="en-US" w:eastAsia="zh-CN"/>
              </w:rPr>
              <w:t>CA锁至开标现场进行解密。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(注:本项目不接受纸质版投标文件方式递交)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none"/>
                <w:lang w:val="en-US" w:eastAsia="zh-CN"/>
              </w:rPr>
              <w:t>2024年6月27日10时30分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u w:val="none"/>
                <w:lang w:val="en-US" w:eastAsia="zh-CN"/>
              </w:rPr>
              <w:t>宁夏回族自治区公共资源交易中心</w:t>
            </w:r>
            <w:r>
              <w:rPr>
                <w:rFonts w:hint="eastAsia" w:ascii="宋体" w:hAnsi="宋体" w:eastAsia="宋体" w:cs="宋体"/>
                <w:color w:val="auto"/>
                <w:sz w:val="24"/>
                <w:szCs w:val="24"/>
                <w:highlight w:val="none"/>
                <w:u w:val="none"/>
                <w:lang w:val="en-US" w:eastAsia="zh-CN"/>
              </w:rPr>
              <w:t>开标厅(</w:t>
            </w:r>
            <w:r>
              <w:rPr>
                <w:rFonts w:hint="eastAsia" w:ascii="宋体" w:hAnsi="宋体" w:cs="宋体"/>
                <w:color w:val="auto"/>
                <w:sz w:val="24"/>
                <w:szCs w:val="24"/>
                <w:highlight w:val="none"/>
                <w:u w:val="none"/>
                <w:lang w:val="en-US" w:eastAsia="zh-CN"/>
              </w:rPr>
              <w:t>北京路与正源街交叉口瑞银财富中心B座5楼开标厅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信用查询时间:递交投标截止时间前一天至资格核对工作结束前（如潜在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较多时，查询时间为递交投标截止时间前一天至资格核对工作结束前）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候选人的数量：</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人是否委托</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是否提交履约保证金：</w:t>
            </w:r>
            <w:r>
              <w:rPr>
                <w:rFonts w:hint="eastAsia" w:ascii="宋体" w:hAnsi="宋体" w:cs="宋体"/>
                <w:color w:val="auto"/>
                <w:sz w:val="24"/>
                <w:szCs w:val="24"/>
                <w:highlight w:val="none"/>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履约保证金金额：合同总价的</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（不得超过政府采购合同金额的10%）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lang w:eastAsia="zh-CN"/>
              </w:rPr>
              <w:t>供应商为残疾人福利性单位或残疾人辅助性就业机构的，履约保证金金额：合同总价的</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提交履约保证金的时间：签订合同后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自然（日历）日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履约保证金提交方式：</w:t>
            </w:r>
            <w:r>
              <w:rPr>
                <w:rFonts w:hint="eastAsia" w:ascii="宋体" w:hAnsi="宋体" w:cs="宋体"/>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是否收取招标代理费：是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是否由</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供应商缴纳招标代理费：是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招标代理费</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27154.34</w:t>
            </w:r>
            <w:r>
              <w:rPr>
                <w:rFonts w:hint="eastAsia" w:ascii="宋体" w:hAnsi="宋体" w:eastAsia="宋体" w:cs="宋体"/>
                <w:color w:val="auto"/>
                <w:sz w:val="24"/>
                <w:szCs w:val="24"/>
                <w:highlight w:val="none"/>
                <w:lang w:val="en-US" w:eastAsia="zh-CN"/>
              </w:rPr>
              <w:t>元。</w:t>
            </w:r>
          </w:p>
          <w:p>
            <w:pPr>
              <w:pStyle w:val="9"/>
              <w:pageBreakBefore w:val="0"/>
              <w:wordWrap/>
              <w:topLinePunct w:val="0"/>
              <w:bidi w:val="0"/>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收取形式：公户转账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收取时间：领</w:t>
            </w:r>
            <w:r>
              <w:rPr>
                <w:rFonts w:hint="eastAsia" w:ascii="宋体" w:hAnsi="宋体" w:eastAsia="宋体" w:cs="宋体"/>
                <w:color w:val="auto"/>
                <w:sz w:val="24"/>
                <w:szCs w:val="24"/>
                <w:highlight w:val="none"/>
                <w:lang w:val="en-US" w:eastAsia="zh-CN"/>
              </w:rPr>
              <w:t>取中标通知</w:t>
            </w:r>
            <w:r>
              <w:rPr>
                <w:rFonts w:hint="eastAsia" w:ascii="宋体" w:hAnsi="宋体" w:eastAsia="宋体" w:cs="宋体"/>
                <w:color w:val="auto"/>
                <w:sz w:val="24"/>
                <w:szCs w:val="24"/>
                <w:highlight w:val="none"/>
                <w:lang w:eastAsia="zh-CN"/>
              </w:rPr>
              <w:t>书时收取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本项目是否属于</w:t>
            </w:r>
            <w:r>
              <w:rPr>
                <w:rFonts w:hint="eastAsia" w:ascii="宋体" w:hAnsi="宋体" w:eastAsia="宋体" w:cs="宋体"/>
                <w:color w:val="auto"/>
                <w:sz w:val="24"/>
                <w:szCs w:val="24"/>
                <w:highlight w:val="none"/>
                <w:lang w:eastAsia="zh-CN"/>
              </w:rPr>
              <w:t>政府采购合同线上信用融资管理规定办理融资业务的</w:t>
            </w:r>
            <w:r>
              <w:rPr>
                <w:rFonts w:hint="eastAsia" w:ascii="宋体" w:hAnsi="宋体" w:eastAsia="宋体" w:cs="宋体"/>
                <w:color w:val="auto"/>
                <w:sz w:val="24"/>
                <w:szCs w:val="24"/>
                <w:highlight w:val="none"/>
              </w:rPr>
              <w:t>范围：</w:t>
            </w:r>
            <w:r>
              <w:rPr>
                <w:rFonts w:hint="eastAsia" w:ascii="宋体" w:hAnsi="宋体" w:eastAsia="宋体" w:cs="宋体"/>
                <w:color w:val="auto"/>
                <w:sz w:val="24"/>
                <w:szCs w:val="24"/>
                <w:highlight w:val="none"/>
                <w:u w:val="singl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针对同一采购程序环节的质疑次数</w:t>
            </w:r>
            <w:r>
              <w:rPr>
                <w:rFonts w:hint="eastAsia" w:ascii="宋体" w:hAnsi="宋体" w:eastAsia="宋体" w:cs="宋体"/>
                <w:color w:val="auto"/>
                <w:sz w:val="24"/>
                <w:szCs w:val="24"/>
                <w:highlight w:val="none"/>
                <w:lang w:eastAsia="zh-CN"/>
              </w:rPr>
              <w:t>及形式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一次性提出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□多次提出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lang w:eastAsia="zh-CN"/>
              </w:rPr>
              <w:t>应在法定质疑期内通过“宁夏回族自治区政府采购网”“政府采购在线质疑投诉系统”提出质疑。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sz w:val="24"/>
                <w:szCs w:val="24"/>
                <w:highlight w:val="none"/>
                <w:lang w:eastAsia="zh-CN"/>
              </w:rPr>
              <w:t>其他政府采购政策：</w:t>
            </w:r>
            <w:r>
              <w:rPr>
                <w:rFonts w:hint="eastAsia" w:asciiTheme="minorEastAsia" w:hAnsiTheme="minorEastAsia" w:eastAsiaTheme="minorEastAsia" w:cstheme="minorEastAsia"/>
                <w:sz w:val="24"/>
                <w:szCs w:val="24"/>
                <w:highlight w:val="none"/>
                <w:lang w:val="en-US" w:eastAsia="zh-CN"/>
              </w:rPr>
              <w:t>凡在宁夏回族自治区境内注册的中小微企业，不分政府采购项目的资金性质（含财政性资金和单位自有资金）、不分合同金额，在取得政府采购中标通知书及合同后，均可按照《宁夏回族自治区政府采购合同线上信用融资管理暂行办法》（宁财规发【2019】8号）的通知办理融资业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评标委员会的组建：评标委员会构成：</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人，其中专家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人</w:t>
            </w:r>
            <w:r>
              <w:rPr>
                <w:rFonts w:hint="eastAsia" w:ascii="宋体" w:hAnsi="宋体" w:cs="宋体"/>
                <w:color w:val="auto"/>
                <w:sz w:val="24"/>
                <w:szCs w:val="24"/>
                <w:highlight w:val="none"/>
                <w:lang w:val="en-US" w:eastAsia="zh-CN"/>
              </w:rPr>
              <w:t>，甲方代表1人</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评标专家确定方式：从交易中心专家库中随机抽取。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jc w:val="center"/>
        </w:trPr>
        <w:tc>
          <w:tcPr>
            <w:tcW w:w="9586"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适用于本</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88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供应商应提交的其他文件：1.电子响应文件：供应商应按照电子磋商文件要求制作电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子响应文件，并进行电子签名和签章。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2.纸质</w:t>
            </w:r>
            <w:r>
              <w:rPr>
                <w:rFonts w:hint="eastAsia" w:ascii="宋体" w:hAnsi="宋体" w:eastAsia="宋体" w:cs="宋体"/>
                <w:color w:val="auto"/>
                <w:sz w:val="24"/>
                <w:szCs w:val="24"/>
                <w:highlight w:val="none"/>
                <w:lang w:val="en-US" w:eastAsia="zh-CN"/>
              </w:rPr>
              <w:t>版</w:t>
            </w:r>
            <w:r>
              <w:rPr>
                <w:rFonts w:hint="default" w:ascii="宋体" w:hAnsi="宋体" w:eastAsia="宋体" w:cs="宋体"/>
                <w:color w:val="auto"/>
                <w:sz w:val="24"/>
                <w:szCs w:val="24"/>
                <w:highlight w:val="none"/>
                <w:lang w:val="en-US"/>
              </w:rPr>
              <w:t>响应标文件：成交供应商须提供纸质版投标文件，成交供应商应将上传的电子响应文件直接双面打印生成纸质响应文件，采用胶印装订成册递交。（递交日期</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rPr>
              <w:t>领取成交通知书时递交）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3.响应文件份数：纸质版响应文件(不得活页装订)四份，nNXTF 后缀形式的电子版一份(U 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8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w:t>
            </w:r>
            <w:r>
              <w:rPr>
                <w:rFonts w:hint="eastAsia" w:ascii="宋体" w:hAnsi="宋体" w:cs="宋体"/>
                <w:color w:val="auto"/>
                <w:sz w:val="24"/>
                <w:szCs w:val="24"/>
                <w:highlight w:val="none"/>
                <w:lang w:val="en-US" w:eastAsia="zh-CN"/>
              </w:rPr>
              <w:t>100日历天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ascii="宋体" w:hAnsi="宋体" w:eastAsia="宋体" w:cs="宋体"/>
                <w:color w:val="auto"/>
                <w:sz w:val="24"/>
                <w:szCs w:val="24"/>
                <w:highlight w:val="none"/>
                <w:lang w:val="en-US" w:eastAsia="zh-CN"/>
              </w:rPr>
              <w:t>质量要求：合格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中小企业声明函中采购文件明确的所属行业：建筑业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本项目为竞争性磋商，投标单位需将电子版投标文件上传至系统，并携带生成电子版投标文件的CA锁至宁夏回族自治区公共资源交易中心开标现场进行现场解密。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电子开评标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(一)电子响应文件要求：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1.电子响应文件内容：供应商应按照电子磋商文件要求制作电子响应文件，并进行电子签名和签章。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2.电子响应文件的编制：电子响应文件应按磋商文件中“响应文件格式”使用国泰新点响应文件制作软件(宁夏)专用版编制，生成有 NXTF 以及 nNXTF 两种后缀形式文件。其中 NXTF 后缀形式的文件是加密的电子版文件，须上传至宁夏公共资源交易网的宁夏电子招投标交易平台，开标时携带生成投标文件的 CA 锁用于标书解密。nNXTF后缀形式的文件是未加密响应文件，成交后须以 U 盘形式在提供。具体生成响应文件的方法及电子签名详见“宁夏公共资源交易网”服务指南中操作手册区的“宁夏投标文件制作工具安装手册”。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3.各供应商在开标前应及时关注宁夏公共资源交易中心网站“变更公告”栏、系统内“澄清和修改”栏及系统内“查看回复”栏，及时查看时间或内容上的调整，采购人(招标代理机构)不再以其他方式通知。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响应文件制作完成后必须通过宁夏公共资源交易平台-【采购业务】-【上传响应文件】菜单进行响应文件的上传。上传出现下列情况之一的，可启用未加密响应文件(nNXTF)：(1)因电子招投标系统原因导致投标人无法上传投标文件。(2)因电子招投标系统原因导致投标人无法解密电子投标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5.磋商解密：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磋商时按规定程序进行：供应商磋商现场须随身携带生成响应文件所用的 CA 锁，用于现场响应文件的解密。6.宁夏公共资源交易管理平台系统实行 CA 锁认证安全登录管理，报名前须办理 CA 锁及电子签章(含公章及法人章)。CA 锁业务请咨询西部安全认证中心有限责任公司，联系电话：4008600271按1号键。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(二)无效投标情形：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电子加密投标文件(NXTF)应在投标截止时间前上传及递交。未在投标截止时间前完成上传及递交的，视为撤销其投标文件。2.供应商未携带生成响应文件所用的CA锁，视为撤销其响应文件。3.供应商因自身原因导致电子响应文件无法导入电子评标系统的，该响应文件视为无效投标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(三)其他注意事项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1.电子招投标文件均具有法律效力，若响应文件与磋商文件要求不一致，其内容影响中标结果时，责任由供应商自行承担。2.因供应商 CA 锁保管不当、硬件老化、电器性能不稳定、软硬件未及时更新等自身问题导致现场不能正常解密的，视为撤销其响应文件。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(四)其他</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项目采用竞争性磋商采购方式，评标过程中有提交最终报价的环节。请各供应商参加开标会议时随身携带网络畅通的笔记本电脑，并提前安装宁夏公共资源交易平台CA驱动，保证能够正常登录系统。在招标代理机构通知后进行最终报价。由于供应</w:t>
            </w:r>
            <w:r>
              <w:rPr>
                <w:rFonts w:hint="eastAsia" w:ascii="宋体" w:hAnsi="宋体" w:cs="宋体"/>
                <w:color w:val="auto"/>
                <w:sz w:val="24"/>
                <w:szCs w:val="24"/>
                <w:highlight w:val="none"/>
                <w:lang w:val="en-US" w:eastAsia="zh-CN"/>
              </w:rPr>
              <w:t>商</w:t>
            </w:r>
            <w:r>
              <w:rPr>
                <w:rFonts w:hint="eastAsia" w:ascii="宋体" w:hAnsi="宋体" w:eastAsia="宋体" w:cs="宋体"/>
                <w:color w:val="auto"/>
                <w:sz w:val="24"/>
                <w:szCs w:val="24"/>
                <w:highlight w:val="none"/>
                <w:lang w:val="en-US" w:eastAsia="zh-CN"/>
              </w:rPr>
              <w:t>未携带笔记本电脑或 CA 驱动无法正常登录等自身原因导致未在规定时间内进行</w:t>
            </w:r>
            <w:r>
              <w:rPr>
                <w:rFonts w:hint="eastAsia" w:ascii="宋体" w:hAnsi="宋体" w:cs="宋体"/>
                <w:color w:val="auto"/>
                <w:sz w:val="24"/>
                <w:szCs w:val="24"/>
                <w:highlight w:val="none"/>
                <w:lang w:val="en-US" w:eastAsia="zh-CN"/>
              </w:rPr>
              <w:t>最</w:t>
            </w:r>
            <w:r>
              <w:rPr>
                <w:rFonts w:hint="eastAsia" w:ascii="宋体" w:hAnsi="宋体" w:eastAsia="宋体" w:cs="宋体"/>
                <w:color w:val="auto"/>
                <w:sz w:val="24"/>
                <w:szCs w:val="24"/>
                <w:highlight w:val="none"/>
                <w:lang w:val="en-US" w:eastAsia="zh-CN"/>
              </w:rPr>
              <w:t>终报价的，其后果由供应商自行承担。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中标的投标单位需在中标后提供纸质版投标文件一正三副。</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pPr>
    </w:p>
    <w:p>
      <w:pPr>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sz w:val="32"/>
          <w:szCs w:val="32"/>
          <w:highlight w:val="none"/>
          <w:lang w:val="en-US" w:eastAsia="zh-CN"/>
        </w:rPr>
      </w:pPr>
    </w:p>
    <w:p>
      <w:pPr>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sz w:val="32"/>
          <w:szCs w:val="32"/>
          <w:highlight w:val="none"/>
          <w:lang w:val="en-US" w:eastAsia="zh-CN"/>
        </w:rPr>
      </w:pPr>
    </w:p>
    <w:p>
      <w:pPr>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sz w:val="32"/>
          <w:szCs w:val="32"/>
          <w:highlight w:val="none"/>
          <w:lang w:val="en-US" w:eastAsia="zh-CN"/>
        </w:rPr>
      </w:pPr>
    </w:p>
    <w:p>
      <w:pPr>
        <w:pageBreakBefore w:val="0"/>
        <w:widowControl w:val="0"/>
        <w:kinsoku/>
        <w:wordWrap/>
        <w:overflowPunct/>
        <w:topLinePunct w:val="0"/>
        <w:bidi w:val="0"/>
        <w:spacing w:line="360" w:lineRule="auto"/>
        <w:jc w:val="both"/>
        <w:textAlignment w:val="auto"/>
        <w:rPr>
          <w:rFonts w:hint="eastAsia" w:ascii="宋体" w:hAnsi="宋体" w:eastAsia="宋体" w:cs="宋体"/>
          <w:b/>
          <w:bCs/>
          <w:color w:val="auto"/>
          <w:sz w:val="32"/>
          <w:szCs w:val="32"/>
          <w:highlight w:val="none"/>
          <w:lang w:val="en-US" w:eastAsia="zh-CN"/>
        </w:rPr>
      </w:pPr>
    </w:p>
    <w:p>
      <w:pPr>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第三章 供应商须知</w:t>
      </w:r>
      <w:bookmarkStart w:id="9" w:name="_Toc216582805"/>
      <w:bookmarkStart w:id="10" w:name="_Toc515647757"/>
      <w:bookmarkStart w:id="11" w:name="_Toc520356143"/>
      <w:bookmarkStart w:id="12" w:name="_Toc2582263"/>
      <w:bookmarkStart w:id="13" w:name="_Toc532473449"/>
      <w:bookmarkStart w:id="14" w:name="_Toc21215"/>
      <w:bookmarkStart w:id="15" w:name="_Toc21015"/>
    </w:p>
    <w:bookmarkEnd w:id="9"/>
    <w:bookmarkEnd w:id="10"/>
    <w:bookmarkEnd w:id="11"/>
    <w:p>
      <w:pPr>
        <w:pStyle w:val="3"/>
        <w:pageBreakBefore w:val="0"/>
        <w:widowControl w:val="0"/>
        <w:kinsoku/>
        <w:wordWrap/>
        <w:overflowPunct/>
        <w:topLinePunct w:val="0"/>
        <w:bidi w:val="0"/>
        <w:snapToGrid/>
        <w:spacing w:before="0" w:beforeLines="0" w:after="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总则</w:t>
      </w:r>
      <w:bookmarkEnd w:id="12"/>
      <w:bookmarkEnd w:id="13"/>
      <w:bookmarkEnd w:id="14"/>
      <w:bookmarkEnd w:id="15"/>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lang w:eastAsia="zh-CN"/>
        </w:rPr>
      </w:pPr>
      <w:bookmarkStart w:id="16" w:name="_Toc532473450"/>
      <w:bookmarkStart w:id="17" w:name="_Toc520356144"/>
      <w:bookmarkStart w:id="18" w:name="_Toc515647758"/>
      <w:bookmarkStart w:id="19" w:name="_Toc32623"/>
      <w:bookmarkStart w:id="20" w:name="_Toc2582264"/>
      <w:bookmarkStart w:id="21" w:name="_Toc32189"/>
      <w:r>
        <w:rPr>
          <w:rFonts w:hint="eastAsia" w:ascii="宋体" w:hAnsi="宋体" w:eastAsia="宋体" w:cs="宋体"/>
          <w:sz w:val="24"/>
          <w:szCs w:val="24"/>
          <w:u w:val="none"/>
        </w:rPr>
        <w:t>1.采购人、采购代理机构及</w:t>
      </w:r>
      <w:bookmarkEnd w:id="16"/>
      <w:bookmarkEnd w:id="17"/>
      <w:bookmarkEnd w:id="18"/>
      <w:bookmarkEnd w:id="19"/>
      <w:bookmarkEnd w:id="20"/>
      <w:bookmarkEnd w:id="21"/>
      <w:r>
        <w:rPr>
          <w:rFonts w:hint="eastAsia" w:ascii="宋体" w:hAnsi="宋体" w:eastAsia="宋体" w:cs="宋体"/>
          <w:sz w:val="24"/>
          <w:szCs w:val="24"/>
          <w:u w:val="none"/>
          <w:lang w:eastAsia="zh-CN"/>
        </w:rPr>
        <w:t>磋商供应商</w:t>
      </w:r>
    </w:p>
    <w:p>
      <w:pPr>
        <w:pageBreakBefore w:val="0"/>
        <w:widowControl w:val="0"/>
        <w:tabs>
          <w:tab w:val="left" w:pos="0"/>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采购人：是指依法进行政府采购的国家机关、事业单位、团体组织。</w:t>
      </w:r>
    </w:p>
    <w:p>
      <w:pPr>
        <w:pageBreakBefore w:val="0"/>
        <w:widowControl w:val="0"/>
        <w:tabs>
          <w:tab w:val="left" w:pos="142"/>
        </w:tabs>
        <w:kinsoku/>
        <w:wordWrap/>
        <w:overflowPunct/>
        <w:topLinePunct w:val="0"/>
        <w:bidi w:val="0"/>
        <w:snapToGrid/>
        <w:spacing w:line="360" w:lineRule="auto"/>
        <w:ind w:left="708" w:hanging="708" w:hangingChars="295"/>
        <w:textAlignment w:val="auto"/>
        <w:rPr>
          <w:rFonts w:hint="eastAsia" w:ascii="宋体" w:hAnsi="宋体" w:eastAsia="宋体" w:cs="宋体"/>
          <w:sz w:val="24"/>
          <w:szCs w:val="24"/>
        </w:rPr>
      </w:pPr>
      <w:r>
        <w:rPr>
          <w:rFonts w:hint="eastAsia" w:ascii="宋体" w:hAnsi="宋体" w:eastAsia="宋体" w:cs="宋体"/>
          <w:sz w:val="24"/>
          <w:szCs w:val="24"/>
        </w:rPr>
        <w:t>1.2 采购代理机构：是指集中采购机构或从事采购代理业务的社会中介机构。</w:t>
      </w:r>
    </w:p>
    <w:p>
      <w:pPr>
        <w:pageBreakBefore w:val="0"/>
        <w:widowControl w:val="0"/>
        <w:tabs>
          <w:tab w:val="left" w:pos="142"/>
        </w:tabs>
        <w:kinsoku/>
        <w:wordWrap/>
        <w:overflowPunct/>
        <w:topLinePunct w:val="0"/>
        <w:bidi w:val="0"/>
        <w:snapToGrid/>
        <w:spacing w:line="360" w:lineRule="auto"/>
        <w:ind w:left="708" w:hanging="708" w:hangingChars="295"/>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1.3 </w:t>
      </w:r>
      <w:r>
        <w:rPr>
          <w:rFonts w:hint="eastAsia" w:ascii="宋体" w:hAnsi="宋体" w:eastAsia="宋体" w:cs="宋体"/>
          <w:sz w:val="24"/>
          <w:szCs w:val="24"/>
          <w:lang w:eastAsia="zh-CN"/>
        </w:rPr>
        <w:t>磋商供应商</w:t>
      </w:r>
      <w:r>
        <w:rPr>
          <w:rFonts w:hint="eastAsia" w:ascii="宋体" w:hAnsi="宋体" w:eastAsia="宋体" w:cs="宋体"/>
          <w:sz w:val="24"/>
          <w:szCs w:val="24"/>
        </w:rPr>
        <w:t>：是指响应</w:t>
      </w:r>
      <w:r>
        <w:rPr>
          <w:rFonts w:hint="eastAsia" w:ascii="宋体" w:hAnsi="宋体" w:eastAsia="宋体" w:cs="宋体"/>
          <w:sz w:val="24"/>
          <w:szCs w:val="24"/>
          <w:lang w:eastAsia="zh-CN"/>
        </w:rPr>
        <w:t>磋商文件</w:t>
      </w:r>
      <w:r>
        <w:rPr>
          <w:rFonts w:hint="eastAsia" w:ascii="宋体" w:hAnsi="宋体" w:eastAsia="宋体" w:cs="宋体"/>
          <w:sz w:val="24"/>
          <w:szCs w:val="24"/>
        </w:rPr>
        <w:t>的法人、非法人组织或者自然人。潜在</w:t>
      </w:r>
      <w:r>
        <w:rPr>
          <w:rFonts w:hint="eastAsia" w:ascii="宋体" w:hAnsi="宋体" w:eastAsia="宋体" w:cs="宋体"/>
          <w:sz w:val="24"/>
          <w:szCs w:val="24"/>
          <w:lang w:eastAsia="zh-CN"/>
        </w:rPr>
        <w:t>磋商供应</w:t>
      </w:r>
    </w:p>
    <w:p>
      <w:pPr>
        <w:pageBreakBefore w:val="0"/>
        <w:widowControl w:val="0"/>
        <w:tabs>
          <w:tab w:val="left" w:pos="142"/>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商</w:t>
      </w:r>
      <w:r>
        <w:rPr>
          <w:rFonts w:hint="eastAsia" w:ascii="宋体" w:hAnsi="宋体" w:eastAsia="宋体" w:cs="宋体"/>
          <w:sz w:val="24"/>
          <w:szCs w:val="24"/>
        </w:rPr>
        <w:t>：以</w:t>
      </w:r>
      <w:r>
        <w:rPr>
          <w:rFonts w:hint="eastAsia" w:ascii="宋体" w:hAnsi="宋体" w:eastAsia="宋体" w:cs="宋体"/>
          <w:sz w:val="24"/>
          <w:szCs w:val="24"/>
          <w:lang w:eastAsia="zh-CN"/>
        </w:rPr>
        <w:t>磋商</w:t>
      </w:r>
      <w:r>
        <w:rPr>
          <w:rFonts w:hint="eastAsia" w:ascii="宋体" w:hAnsi="宋体" w:eastAsia="宋体" w:cs="宋体"/>
          <w:sz w:val="24"/>
          <w:szCs w:val="24"/>
        </w:rPr>
        <w:t>文件规定的方式获取本项目</w:t>
      </w:r>
      <w:r>
        <w:rPr>
          <w:rFonts w:hint="eastAsia" w:ascii="宋体" w:hAnsi="宋体" w:eastAsia="宋体" w:cs="宋体"/>
          <w:sz w:val="24"/>
          <w:szCs w:val="24"/>
          <w:lang w:eastAsia="zh-CN"/>
        </w:rPr>
        <w:t>磋商</w:t>
      </w:r>
      <w:r>
        <w:rPr>
          <w:rFonts w:hint="eastAsia" w:ascii="宋体" w:hAnsi="宋体" w:eastAsia="宋体" w:cs="宋体"/>
          <w:sz w:val="24"/>
          <w:szCs w:val="24"/>
        </w:rPr>
        <w:t>文件的法人、非法人组织或者自然人。</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1.4 </w:t>
      </w:r>
      <w:r>
        <w:rPr>
          <w:rFonts w:hint="eastAsia" w:ascii="宋体" w:hAnsi="宋体" w:eastAsia="宋体" w:cs="宋体"/>
          <w:sz w:val="24"/>
          <w:szCs w:val="24"/>
          <w:lang w:eastAsia="zh-CN"/>
        </w:rPr>
        <w:t>供应商</w:t>
      </w:r>
      <w:r>
        <w:rPr>
          <w:rFonts w:hint="eastAsia" w:ascii="宋体" w:hAnsi="宋体" w:eastAsia="宋体" w:cs="宋体"/>
          <w:sz w:val="24"/>
          <w:szCs w:val="24"/>
        </w:rPr>
        <w:t>及其</w:t>
      </w:r>
      <w:r>
        <w:rPr>
          <w:rFonts w:hint="eastAsia" w:ascii="宋体" w:hAnsi="宋体" w:eastAsia="宋体" w:cs="宋体"/>
          <w:sz w:val="24"/>
          <w:szCs w:val="24"/>
          <w:lang w:eastAsia="zh-CN"/>
        </w:rPr>
        <w:t>响应的</w:t>
      </w:r>
      <w:r>
        <w:rPr>
          <w:rFonts w:hint="eastAsia" w:ascii="宋体" w:hAnsi="宋体" w:eastAsia="宋体" w:cs="宋体"/>
          <w:sz w:val="24"/>
          <w:szCs w:val="24"/>
        </w:rPr>
        <w:t>货物须满足以下条件：</w:t>
      </w:r>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具备《中华人民共和国政府采购法》第二十二条关</w:t>
      </w:r>
      <w:r>
        <w:rPr>
          <w:rFonts w:hint="eastAsia" w:ascii="宋体" w:hAnsi="宋体" w:eastAsia="宋体" w:cs="宋体"/>
          <w:sz w:val="24"/>
          <w:szCs w:val="24"/>
          <w:lang w:eastAsia="zh-CN"/>
        </w:rPr>
        <w:t>于</w:t>
      </w:r>
      <w:r>
        <w:rPr>
          <w:rFonts w:hint="eastAsia" w:ascii="宋体" w:hAnsi="宋体" w:eastAsia="宋体" w:cs="宋体"/>
          <w:sz w:val="24"/>
          <w:szCs w:val="24"/>
        </w:rPr>
        <w:t>供应商条件的规定。</w:t>
      </w:r>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以</w:t>
      </w:r>
      <w:r>
        <w:rPr>
          <w:rFonts w:hint="eastAsia" w:ascii="宋体" w:hAnsi="宋体" w:eastAsia="宋体" w:cs="宋体"/>
          <w:sz w:val="24"/>
          <w:szCs w:val="24"/>
          <w:lang w:eastAsia="zh-CN"/>
        </w:rPr>
        <w:t>磋商</w:t>
      </w:r>
      <w:r>
        <w:rPr>
          <w:rFonts w:hint="eastAsia" w:ascii="宋体" w:hAnsi="宋体" w:eastAsia="宋体" w:cs="宋体"/>
          <w:sz w:val="24"/>
          <w:szCs w:val="24"/>
        </w:rPr>
        <w:t>文件规定的方式获得了本项目的</w:t>
      </w:r>
      <w:r>
        <w:rPr>
          <w:rFonts w:hint="eastAsia" w:ascii="宋体" w:hAnsi="宋体" w:eastAsia="宋体" w:cs="宋体"/>
          <w:sz w:val="24"/>
          <w:szCs w:val="24"/>
          <w:lang w:eastAsia="zh-CN"/>
        </w:rPr>
        <w:t>磋商</w:t>
      </w:r>
      <w:r>
        <w:rPr>
          <w:rFonts w:hint="eastAsia" w:ascii="宋体" w:hAnsi="宋体" w:eastAsia="宋体" w:cs="宋体"/>
          <w:sz w:val="24"/>
          <w:szCs w:val="24"/>
        </w:rPr>
        <w:t>文件。</w:t>
      </w:r>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符合</w:t>
      </w:r>
      <w:r>
        <w:rPr>
          <w:rFonts w:hint="eastAsia" w:ascii="宋体" w:hAnsi="宋体" w:eastAsia="宋体" w:cs="宋体"/>
          <w:sz w:val="24"/>
          <w:szCs w:val="24"/>
          <w:lang w:eastAsia="zh-CN"/>
        </w:rPr>
        <w:t>本项目</w:t>
      </w:r>
      <w:r>
        <w:rPr>
          <w:rFonts w:hint="eastAsia" w:ascii="宋体" w:hAnsi="宋体" w:eastAsia="宋体" w:cs="宋体"/>
          <w:sz w:val="24"/>
          <w:szCs w:val="24"/>
        </w:rPr>
        <w:t>合格</w:t>
      </w:r>
      <w:r>
        <w:rPr>
          <w:rFonts w:hint="eastAsia" w:ascii="宋体" w:hAnsi="宋体" w:eastAsia="宋体" w:cs="宋体"/>
          <w:sz w:val="24"/>
          <w:szCs w:val="24"/>
          <w:lang w:eastAsia="zh-CN"/>
        </w:rPr>
        <w:t>供应商</w:t>
      </w:r>
      <w:r>
        <w:rPr>
          <w:rFonts w:hint="eastAsia" w:ascii="宋体" w:hAnsi="宋体" w:eastAsia="宋体" w:cs="宋体"/>
          <w:sz w:val="24"/>
          <w:szCs w:val="24"/>
        </w:rPr>
        <w:t>的其他资格要求</w:t>
      </w:r>
    </w:p>
    <w:p>
      <w:pPr>
        <w:pageBreakBefore w:val="0"/>
        <w:widowControl w:val="0"/>
        <w:kinsoku/>
        <w:wordWrap/>
        <w:overflowPunct/>
        <w:topLinePunct w:val="0"/>
        <w:bidi w:val="0"/>
        <w:snapToGrid/>
        <w:spacing w:line="360" w:lineRule="auto"/>
        <w:ind w:left="900" w:right="-420" w:rightChars="-15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若</w:t>
      </w:r>
      <w:r>
        <w:rPr>
          <w:rFonts w:hint="eastAsia" w:ascii="宋体" w:hAnsi="宋体" w:eastAsia="宋体" w:cs="宋体"/>
          <w:sz w:val="24"/>
          <w:szCs w:val="24"/>
          <w:u w:val="none"/>
          <w:lang w:eastAsia="zh-CN"/>
        </w:rPr>
        <w:t>本项目</w:t>
      </w:r>
      <w:r>
        <w:rPr>
          <w:rFonts w:hint="eastAsia" w:ascii="宋体" w:hAnsi="宋体" w:eastAsia="宋体" w:cs="宋体"/>
          <w:sz w:val="24"/>
          <w:szCs w:val="24"/>
        </w:rPr>
        <w:t>允许采购进口产品，</w:t>
      </w:r>
      <w:r>
        <w:rPr>
          <w:rFonts w:hint="eastAsia" w:ascii="宋体" w:hAnsi="宋体" w:eastAsia="宋体" w:cs="宋体"/>
          <w:sz w:val="24"/>
          <w:szCs w:val="24"/>
          <w:lang w:eastAsia="zh-CN"/>
        </w:rPr>
        <w:t>供应商</w:t>
      </w:r>
      <w:r>
        <w:rPr>
          <w:rFonts w:hint="eastAsia" w:ascii="宋体" w:hAnsi="宋体" w:eastAsia="宋体" w:cs="宋体"/>
          <w:sz w:val="24"/>
          <w:szCs w:val="24"/>
        </w:rPr>
        <w:t>应保证所投产品可履行合法报通关手续进入</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中国关境内。若</w:t>
      </w:r>
      <w:r>
        <w:rPr>
          <w:rFonts w:hint="eastAsia" w:ascii="宋体" w:hAnsi="宋体" w:eastAsia="宋体" w:cs="宋体"/>
          <w:sz w:val="24"/>
          <w:szCs w:val="24"/>
          <w:u w:val="none"/>
          <w:lang w:eastAsia="zh-CN"/>
        </w:rPr>
        <w:t>本项目不</w:t>
      </w:r>
      <w:r>
        <w:rPr>
          <w:rFonts w:hint="eastAsia" w:ascii="宋体" w:hAnsi="宋体" w:eastAsia="宋体" w:cs="宋体"/>
          <w:sz w:val="24"/>
          <w:szCs w:val="24"/>
          <w:u w:val="none"/>
        </w:rPr>
        <w:t>允</w:t>
      </w:r>
      <w:r>
        <w:rPr>
          <w:rFonts w:hint="eastAsia" w:ascii="宋体" w:hAnsi="宋体" w:eastAsia="宋体" w:cs="宋体"/>
          <w:sz w:val="24"/>
          <w:szCs w:val="24"/>
        </w:rPr>
        <w:t>许采购进口产品，如</w:t>
      </w:r>
      <w:r>
        <w:rPr>
          <w:rFonts w:hint="eastAsia" w:ascii="宋体" w:hAnsi="宋体" w:eastAsia="宋体" w:cs="宋体"/>
          <w:sz w:val="24"/>
          <w:szCs w:val="24"/>
          <w:lang w:eastAsia="zh-CN"/>
        </w:rPr>
        <w:t>供应商</w:t>
      </w:r>
      <w:r>
        <w:rPr>
          <w:rFonts w:hint="eastAsia" w:ascii="宋体" w:hAnsi="宋体" w:eastAsia="宋体" w:cs="宋体"/>
          <w:sz w:val="24"/>
          <w:szCs w:val="24"/>
        </w:rPr>
        <w:t>所投产品为进口产品，其</w:t>
      </w:r>
      <w:r>
        <w:rPr>
          <w:rFonts w:hint="eastAsia" w:ascii="宋体" w:hAnsi="宋体" w:eastAsia="宋体" w:cs="宋体"/>
          <w:sz w:val="24"/>
          <w:szCs w:val="24"/>
          <w:lang w:eastAsia="zh-CN"/>
        </w:rPr>
        <w:t>响应</w:t>
      </w:r>
      <w:r>
        <w:rPr>
          <w:rFonts w:hint="eastAsia" w:ascii="宋体" w:hAnsi="宋体" w:eastAsia="宋体" w:cs="宋体"/>
          <w:sz w:val="24"/>
          <w:szCs w:val="24"/>
        </w:rPr>
        <w:t>将被认定为</w:t>
      </w:r>
      <w:r>
        <w:rPr>
          <w:rFonts w:hint="eastAsia" w:ascii="宋体" w:hAnsi="宋体" w:eastAsia="宋体" w:cs="宋体"/>
          <w:sz w:val="24"/>
          <w:szCs w:val="24"/>
          <w:lang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若</w:t>
      </w:r>
      <w:r>
        <w:rPr>
          <w:rFonts w:hint="eastAsia" w:ascii="宋体" w:hAnsi="宋体" w:eastAsia="宋体" w:cs="宋体"/>
          <w:sz w:val="24"/>
          <w:szCs w:val="24"/>
          <w:u w:val="none"/>
          <w:lang w:eastAsia="zh-CN"/>
        </w:rPr>
        <w:t>本项目</w:t>
      </w:r>
      <w:r>
        <w:rPr>
          <w:rFonts w:hint="eastAsia" w:ascii="宋体" w:hAnsi="宋体" w:eastAsia="宋体" w:cs="宋体"/>
          <w:sz w:val="24"/>
          <w:szCs w:val="24"/>
        </w:rPr>
        <w:t>专门面向中小企业采购的，如</w:t>
      </w:r>
      <w:r>
        <w:rPr>
          <w:rFonts w:hint="eastAsia" w:ascii="宋体" w:hAnsi="宋体" w:eastAsia="宋体" w:cs="宋体"/>
          <w:sz w:val="24"/>
          <w:szCs w:val="24"/>
          <w:lang w:eastAsia="zh-CN"/>
        </w:rPr>
        <w:t>供应商</w:t>
      </w:r>
      <w:r>
        <w:rPr>
          <w:rFonts w:hint="eastAsia" w:ascii="宋体" w:hAnsi="宋体" w:eastAsia="宋体" w:cs="宋体"/>
          <w:sz w:val="24"/>
          <w:szCs w:val="24"/>
        </w:rPr>
        <w:t>所投产品为非中小企业</w:t>
      </w:r>
      <w:r>
        <w:rPr>
          <w:rFonts w:hint="eastAsia" w:ascii="宋体" w:hAnsi="宋体" w:eastAsia="宋体" w:cs="宋体"/>
          <w:sz w:val="24"/>
          <w:szCs w:val="24"/>
          <w:lang w:eastAsia="zh-CN"/>
        </w:rPr>
        <w:t>制造</w:t>
      </w:r>
      <w:r>
        <w:rPr>
          <w:rFonts w:hint="eastAsia" w:ascii="宋体" w:hAnsi="宋体" w:eastAsia="宋体" w:cs="宋体"/>
          <w:sz w:val="24"/>
          <w:szCs w:val="24"/>
        </w:rPr>
        <w:t>，其</w:t>
      </w:r>
      <w:r>
        <w:rPr>
          <w:rFonts w:hint="eastAsia" w:ascii="宋体" w:hAnsi="宋体" w:eastAsia="宋体" w:cs="宋体"/>
          <w:sz w:val="24"/>
          <w:szCs w:val="24"/>
          <w:lang w:eastAsia="zh-CN"/>
        </w:rPr>
        <w:t>响应</w:t>
      </w:r>
      <w:r>
        <w:rPr>
          <w:rFonts w:hint="eastAsia" w:ascii="宋体" w:hAnsi="宋体" w:eastAsia="宋体" w:cs="宋体"/>
          <w:sz w:val="24"/>
          <w:szCs w:val="24"/>
        </w:rPr>
        <w:t>将被认定为</w:t>
      </w:r>
      <w:r>
        <w:rPr>
          <w:rFonts w:hint="eastAsia" w:ascii="宋体" w:hAnsi="宋体" w:eastAsia="宋体" w:cs="宋体"/>
          <w:sz w:val="24"/>
          <w:szCs w:val="24"/>
          <w:lang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如</w:t>
      </w:r>
      <w:r>
        <w:rPr>
          <w:rFonts w:hint="eastAsia" w:ascii="宋体" w:hAnsi="宋体" w:eastAsia="宋体" w:cs="宋体"/>
          <w:sz w:val="24"/>
          <w:szCs w:val="24"/>
          <w:lang w:eastAsia="zh-CN"/>
        </w:rPr>
        <w:t>本项目</w:t>
      </w:r>
      <w:r>
        <w:rPr>
          <w:rFonts w:hint="eastAsia" w:ascii="宋体" w:hAnsi="宋体" w:eastAsia="宋体" w:cs="宋体"/>
          <w:sz w:val="24"/>
          <w:szCs w:val="24"/>
        </w:rPr>
        <w:t>允许联合体投标，对联合体规定如下：</w:t>
      </w:r>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 两个及以上供应商可以组成一个</w:t>
      </w:r>
      <w:r>
        <w:rPr>
          <w:rFonts w:hint="eastAsia" w:ascii="宋体" w:hAnsi="宋体" w:eastAsia="宋体" w:cs="宋体"/>
          <w:sz w:val="24"/>
          <w:szCs w:val="24"/>
          <w:lang w:eastAsia="zh-CN"/>
        </w:rPr>
        <w:t>响应</w:t>
      </w:r>
      <w:r>
        <w:rPr>
          <w:rFonts w:hint="eastAsia" w:ascii="宋体" w:hAnsi="宋体" w:eastAsia="宋体" w:cs="宋体"/>
          <w:sz w:val="24"/>
          <w:szCs w:val="24"/>
        </w:rPr>
        <w:t>联合体，以一个</w:t>
      </w:r>
      <w:r>
        <w:rPr>
          <w:rFonts w:hint="eastAsia" w:ascii="宋体" w:hAnsi="宋体" w:eastAsia="宋体" w:cs="宋体"/>
          <w:sz w:val="24"/>
          <w:szCs w:val="24"/>
          <w:lang w:eastAsia="zh-CN"/>
        </w:rPr>
        <w:t>供应商</w:t>
      </w:r>
      <w:r>
        <w:rPr>
          <w:rFonts w:hint="eastAsia" w:ascii="宋体" w:hAnsi="宋体" w:eastAsia="宋体" w:cs="宋体"/>
          <w:sz w:val="24"/>
          <w:szCs w:val="24"/>
        </w:rPr>
        <w:t>的身份投标。</w:t>
      </w:r>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.2 联合体各方均应符合本须知</w:t>
      </w:r>
      <w:r>
        <w:rPr>
          <w:rFonts w:hint="eastAsia" w:ascii="宋体" w:hAnsi="宋体" w:eastAsia="宋体" w:cs="宋体"/>
          <w:sz w:val="24"/>
          <w:szCs w:val="24"/>
          <w:lang w:val="en-US" w:eastAsia="zh-CN"/>
        </w:rPr>
        <w:t>1.4.1的</w:t>
      </w:r>
      <w:r>
        <w:rPr>
          <w:rFonts w:hint="eastAsia" w:ascii="宋体" w:hAnsi="宋体" w:eastAsia="宋体" w:cs="宋体"/>
          <w:sz w:val="24"/>
          <w:szCs w:val="24"/>
        </w:rPr>
        <w:t>规定。</w:t>
      </w:r>
    </w:p>
    <w:p>
      <w:pPr>
        <w:pageBreakBefore w:val="0"/>
        <w:widowControl w:val="0"/>
        <w:kinsoku/>
        <w:wordWrap/>
        <w:overflowPunct/>
        <w:topLinePunct w:val="0"/>
        <w:bidi w:val="0"/>
        <w:snapToGrid/>
        <w:spacing w:line="360" w:lineRule="auto"/>
        <w:ind w:left="900" w:right="-420" w:rightChars="-15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.3 采购人根据采购项目对投标人的特殊要求，联合体中至少应当有一方符合相关规</w:t>
      </w:r>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定。</w:t>
      </w:r>
    </w:p>
    <w:p>
      <w:pPr>
        <w:pageBreakBefore w:val="0"/>
        <w:widowControl w:val="0"/>
        <w:kinsoku/>
        <w:wordWrap/>
        <w:overflowPunct/>
        <w:topLinePunct w:val="0"/>
        <w:bidi w:val="0"/>
        <w:snapToGrid/>
        <w:spacing w:line="360" w:lineRule="auto"/>
        <w:ind w:left="900" w:right="-420" w:rightChars="-150" w:hanging="900" w:hangingChars="37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.4 联合体各方应签订共同</w:t>
      </w:r>
      <w:r>
        <w:rPr>
          <w:rFonts w:hint="eastAsia" w:ascii="宋体" w:hAnsi="宋体" w:eastAsia="宋体" w:cs="宋体"/>
          <w:sz w:val="24"/>
          <w:szCs w:val="24"/>
          <w:lang w:eastAsia="zh-CN"/>
        </w:rPr>
        <w:t>响应</w:t>
      </w:r>
      <w:r>
        <w:rPr>
          <w:rFonts w:hint="eastAsia" w:ascii="宋体" w:hAnsi="宋体" w:eastAsia="宋体" w:cs="宋体"/>
          <w:sz w:val="24"/>
          <w:szCs w:val="24"/>
        </w:rPr>
        <w:t>协议，明确约定联合体各方承担的工作和相应的责</w:t>
      </w:r>
      <w:r>
        <w:rPr>
          <w:rFonts w:hint="eastAsia" w:ascii="宋体" w:hAnsi="宋体" w:eastAsia="宋体" w:cs="宋体"/>
          <w:sz w:val="24"/>
          <w:szCs w:val="24"/>
          <w:lang w:val="en-US" w:eastAsia="zh-CN"/>
        </w:rPr>
        <w:t>任</w:t>
      </w:r>
    </w:p>
    <w:p>
      <w:pPr>
        <w:pageBreakBefore w:val="0"/>
        <w:widowControl w:val="0"/>
        <w:kinsoku/>
        <w:wordWrap/>
        <w:overflowPunct/>
        <w:topLinePunct w:val="0"/>
        <w:bidi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并将共同</w:t>
      </w:r>
      <w:r>
        <w:rPr>
          <w:rFonts w:hint="eastAsia" w:ascii="宋体" w:hAnsi="宋体" w:eastAsia="宋体" w:cs="宋体"/>
          <w:bCs/>
          <w:sz w:val="24"/>
          <w:szCs w:val="24"/>
          <w:lang w:eastAsia="zh-CN"/>
        </w:rPr>
        <w:t>响应</w:t>
      </w:r>
      <w:r>
        <w:rPr>
          <w:rFonts w:hint="eastAsia" w:ascii="宋体" w:hAnsi="宋体" w:eastAsia="宋体" w:cs="宋体"/>
          <w:bCs/>
          <w:sz w:val="24"/>
          <w:szCs w:val="24"/>
        </w:rPr>
        <w:t>协议作为</w:t>
      </w:r>
      <w:r>
        <w:rPr>
          <w:rFonts w:hint="eastAsia" w:ascii="宋体" w:hAnsi="宋体" w:eastAsia="宋体" w:cs="宋体"/>
          <w:bCs/>
          <w:sz w:val="24"/>
          <w:szCs w:val="24"/>
          <w:lang w:eastAsia="zh-CN"/>
        </w:rPr>
        <w:t>响应</w:t>
      </w:r>
      <w:r>
        <w:rPr>
          <w:rFonts w:hint="eastAsia" w:ascii="宋体" w:hAnsi="宋体" w:eastAsia="宋体" w:cs="宋体"/>
          <w:bCs/>
          <w:sz w:val="24"/>
          <w:szCs w:val="24"/>
        </w:rPr>
        <w:t>文件的内容提交。</w:t>
      </w:r>
    </w:p>
    <w:p>
      <w:pPr>
        <w:pageBreakBefore w:val="0"/>
        <w:widowControl w:val="0"/>
        <w:kinsoku/>
        <w:wordWrap/>
        <w:overflowPunct/>
        <w:topLinePunct w:val="0"/>
        <w:bidi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5</w:t>
      </w:r>
      <w:r>
        <w:rPr>
          <w:rFonts w:hint="eastAsia" w:ascii="宋体" w:hAnsi="宋体" w:eastAsia="宋体" w:cs="宋体"/>
          <w:bCs/>
          <w:sz w:val="24"/>
          <w:szCs w:val="24"/>
        </w:rPr>
        <w:t>.5 大中型企业、其他自然人、法人或者非法人组织与小型、微型企业组成联合体共同参加</w:t>
      </w:r>
      <w:r>
        <w:rPr>
          <w:rFonts w:hint="eastAsia" w:ascii="宋体" w:hAnsi="宋体" w:eastAsia="宋体" w:cs="宋体"/>
          <w:bCs/>
          <w:sz w:val="24"/>
          <w:szCs w:val="24"/>
          <w:lang w:eastAsia="zh-CN"/>
        </w:rPr>
        <w:t>的</w:t>
      </w:r>
      <w:r>
        <w:rPr>
          <w:rFonts w:hint="eastAsia" w:ascii="宋体" w:hAnsi="宋体" w:eastAsia="宋体" w:cs="宋体"/>
          <w:bCs/>
          <w:sz w:val="24"/>
          <w:szCs w:val="24"/>
        </w:rPr>
        <w:t>，共同</w:t>
      </w:r>
      <w:r>
        <w:rPr>
          <w:rFonts w:hint="eastAsia" w:ascii="宋体" w:hAnsi="宋体" w:eastAsia="宋体" w:cs="宋体"/>
          <w:bCs/>
          <w:sz w:val="24"/>
          <w:szCs w:val="24"/>
          <w:lang w:eastAsia="zh-CN"/>
        </w:rPr>
        <w:t>响应</w:t>
      </w:r>
      <w:r>
        <w:rPr>
          <w:rFonts w:hint="eastAsia" w:ascii="宋体" w:hAnsi="宋体" w:eastAsia="宋体" w:cs="宋体"/>
          <w:bCs/>
          <w:sz w:val="24"/>
          <w:szCs w:val="24"/>
        </w:rPr>
        <w:t>协议中应写明小型、微型企业的协议合同金额占到共同</w:t>
      </w:r>
      <w:r>
        <w:rPr>
          <w:rFonts w:hint="eastAsia" w:ascii="宋体" w:hAnsi="宋体" w:eastAsia="宋体" w:cs="宋体"/>
          <w:bCs/>
          <w:sz w:val="24"/>
          <w:szCs w:val="24"/>
          <w:lang w:eastAsia="zh-CN"/>
        </w:rPr>
        <w:t>响应</w:t>
      </w:r>
      <w:r>
        <w:rPr>
          <w:rFonts w:hint="eastAsia" w:ascii="宋体" w:hAnsi="宋体" w:eastAsia="宋体" w:cs="宋体"/>
          <w:bCs/>
          <w:sz w:val="24"/>
          <w:szCs w:val="24"/>
        </w:rPr>
        <w:t>协议投标总金额的比例。</w:t>
      </w:r>
    </w:p>
    <w:p>
      <w:pPr>
        <w:pageBreakBefore w:val="0"/>
        <w:widowControl w:val="0"/>
        <w:kinsoku/>
        <w:wordWrap/>
        <w:overflowPunct/>
        <w:topLinePunct w:val="0"/>
        <w:bidi w:val="0"/>
        <w:spacing w:line="36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5</w:t>
      </w:r>
      <w:r>
        <w:rPr>
          <w:rFonts w:hint="eastAsia" w:ascii="宋体" w:hAnsi="宋体" w:eastAsia="宋体" w:cs="宋体"/>
          <w:bCs/>
          <w:sz w:val="24"/>
          <w:szCs w:val="24"/>
        </w:rPr>
        <w:t>.6 以联合体形式参加政府采购活动的，联合体各方不得再单独参加或者与其他供应商另外组成联合体参加本项目同一合同项下的</w:t>
      </w:r>
      <w:r>
        <w:rPr>
          <w:rFonts w:hint="eastAsia" w:ascii="宋体" w:hAnsi="宋体" w:eastAsia="宋体" w:cs="宋体"/>
          <w:bCs/>
          <w:sz w:val="24"/>
          <w:szCs w:val="24"/>
          <w:lang w:eastAsia="zh-CN"/>
        </w:rPr>
        <w:t>响应</w:t>
      </w:r>
      <w:r>
        <w:rPr>
          <w:rFonts w:hint="eastAsia" w:ascii="宋体" w:hAnsi="宋体" w:eastAsia="宋体" w:cs="宋体"/>
          <w:bCs/>
          <w:sz w:val="24"/>
          <w:szCs w:val="24"/>
        </w:rPr>
        <w:t>，否则相关</w:t>
      </w:r>
      <w:r>
        <w:rPr>
          <w:rFonts w:hint="eastAsia" w:ascii="宋体" w:hAnsi="宋体" w:eastAsia="宋体" w:cs="宋体"/>
          <w:bCs/>
          <w:sz w:val="24"/>
          <w:szCs w:val="24"/>
          <w:lang w:eastAsia="zh-CN"/>
        </w:rPr>
        <w:t>响应</w:t>
      </w:r>
      <w:r>
        <w:rPr>
          <w:rFonts w:hint="eastAsia" w:ascii="宋体" w:hAnsi="宋体" w:eastAsia="宋体" w:cs="宋体"/>
          <w:bCs/>
          <w:sz w:val="24"/>
          <w:szCs w:val="24"/>
        </w:rPr>
        <w:t>将被认定为</w:t>
      </w:r>
      <w:r>
        <w:rPr>
          <w:rFonts w:hint="eastAsia" w:ascii="宋体" w:hAnsi="宋体" w:eastAsia="宋体" w:cs="宋体"/>
          <w:bCs/>
          <w:sz w:val="24"/>
          <w:szCs w:val="24"/>
          <w:lang w:eastAsia="zh-CN"/>
        </w:rPr>
        <w:t>响应</w:t>
      </w:r>
      <w:r>
        <w:rPr>
          <w:rFonts w:hint="eastAsia" w:ascii="宋体" w:hAnsi="宋体" w:eastAsia="宋体" w:cs="宋体"/>
          <w:bCs/>
          <w:sz w:val="24"/>
          <w:szCs w:val="24"/>
        </w:rPr>
        <w:t>无效</w:t>
      </w:r>
      <w:r>
        <w:rPr>
          <w:rFonts w:hint="eastAsia" w:ascii="宋体" w:hAnsi="宋体" w:eastAsia="宋体" w:cs="宋体"/>
          <w:bCs/>
          <w:sz w:val="24"/>
          <w:szCs w:val="24"/>
          <w:lang w:eastAsia="zh-CN"/>
        </w:rPr>
        <w:t>。</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6</w:t>
      </w:r>
      <w:r>
        <w:rPr>
          <w:rFonts w:hint="eastAsia" w:ascii="宋体" w:hAnsi="宋体" w:eastAsia="宋体" w:cs="宋体"/>
          <w:bCs/>
          <w:sz w:val="24"/>
          <w:szCs w:val="24"/>
        </w:rPr>
        <w:t xml:space="preserve"> 单位负责人为同一人或</w:t>
      </w:r>
      <w:r>
        <w:rPr>
          <w:rFonts w:hint="eastAsia" w:ascii="宋体" w:hAnsi="宋体" w:eastAsia="宋体" w:cs="宋体"/>
          <w:sz w:val="24"/>
          <w:szCs w:val="24"/>
        </w:rPr>
        <w:t>者存在直接控股、管理关系的不同供应商参与本项目同一</w:t>
      </w:r>
    </w:p>
    <w:p>
      <w:pPr>
        <w:pageBreakBefore w:val="0"/>
        <w:widowControl w:val="0"/>
        <w:kinsoku/>
        <w:wordWrap/>
        <w:overflowPunct/>
        <w:topLinePunct w:val="0"/>
        <w:bidi w:val="0"/>
        <w:snapToGrid/>
        <w:spacing w:line="360" w:lineRule="auto"/>
        <w:ind w:left="900" w:hanging="900" w:hangingChars="375"/>
        <w:jc w:val="both"/>
        <w:textAlignment w:val="auto"/>
        <w:rPr>
          <w:rFonts w:hint="eastAsia" w:ascii="宋体" w:hAnsi="宋体" w:eastAsia="宋体" w:cs="宋体"/>
          <w:sz w:val="24"/>
          <w:szCs w:val="24"/>
        </w:rPr>
      </w:pPr>
      <w:r>
        <w:rPr>
          <w:rFonts w:hint="eastAsia" w:ascii="宋体" w:hAnsi="宋体" w:eastAsia="宋体" w:cs="宋体"/>
          <w:sz w:val="24"/>
          <w:szCs w:val="24"/>
        </w:rPr>
        <w:t>合同项下的</w:t>
      </w:r>
      <w:r>
        <w:rPr>
          <w:rFonts w:hint="eastAsia" w:ascii="宋体" w:hAnsi="宋体" w:eastAsia="宋体" w:cs="宋体"/>
          <w:sz w:val="24"/>
          <w:szCs w:val="24"/>
          <w:lang w:eastAsia="zh-CN"/>
        </w:rPr>
        <w:t>响应</w:t>
      </w:r>
      <w:r>
        <w:rPr>
          <w:rFonts w:hint="eastAsia" w:ascii="宋体" w:hAnsi="宋体" w:eastAsia="宋体" w:cs="宋体"/>
          <w:sz w:val="24"/>
          <w:szCs w:val="24"/>
        </w:rPr>
        <w:t>的，其相关</w:t>
      </w:r>
      <w:r>
        <w:rPr>
          <w:rFonts w:hint="eastAsia" w:ascii="宋体" w:hAnsi="宋体" w:eastAsia="宋体" w:cs="宋体"/>
          <w:sz w:val="24"/>
          <w:szCs w:val="24"/>
          <w:lang w:eastAsia="zh-CN"/>
        </w:rPr>
        <w:t>响应</w:t>
      </w:r>
      <w:r>
        <w:rPr>
          <w:rFonts w:hint="eastAsia" w:ascii="宋体" w:hAnsi="宋体" w:eastAsia="宋体" w:cs="宋体"/>
          <w:sz w:val="24"/>
          <w:szCs w:val="24"/>
        </w:rPr>
        <w:t>将被认定为</w:t>
      </w:r>
      <w:r>
        <w:rPr>
          <w:rFonts w:hint="eastAsia" w:ascii="宋体" w:hAnsi="宋体" w:eastAsia="宋体" w:cs="宋体"/>
          <w:sz w:val="24"/>
          <w:szCs w:val="24"/>
          <w:lang w:eastAsia="zh-CN"/>
        </w:rPr>
        <w:t>响应</w:t>
      </w:r>
      <w:r>
        <w:rPr>
          <w:rFonts w:hint="eastAsia" w:ascii="宋体" w:hAnsi="宋体" w:eastAsia="宋体" w:cs="宋体"/>
          <w:b/>
          <w:sz w:val="24"/>
          <w:szCs w:val="24"/>
        </w:rPr>
        <w:t>无效</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为本项目提供过整体设计、规范编制或者项目管理、监理、检测等服务的供应商，</w:t>
      </w:r>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不得再参加本项目上述服务以外的其他采购活动。否则其</w:t>
      </w:r>
      <w:r>
        <w:rPr>
          <w:rFonts w:hint="eastAsia" w:ascii="宋体" w:hAnsi="宋体" w:eastAsia="宋体" w:cs="宋体"/>
          <w:sz w:val="24"/>
          <w:szCs w:val="24"/>
          <w:lang w:eastAsia="zh-CN"/>
        </w:rPr>
        <w:t>响应</w:t>
      </w:r>
      <w:r>
        <w:rPr>
          <w:rFonts w:hint="eastAsia" w:ascii="宋体" w:hAnsi="宋体" w:eastAsia="宋体" w:cs="宋体"/>
          <w:sz w:val="24"/>
          <w:szCs w:val="24"/>
        </w:rPr>
        <w:t>将被认定为</w:t>
      </w:r>
      <w:r>
        <w:rPr>
          <w:rFonts w:hint="eastAsia" w:ascii="宋体" w:hAnsi="宋体" w:eastAsia="宋体" w:cs="宋体"/>
          <w:sz w:val="24"/>
          <w:szCs w:val="24"/>
          <w:lang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w:t>
      </w:r>
    </w:p>
    <w:p>
      <w:pPr>
        <w:pageBreakBefore w:val="0"/>
        <w:widowControl w:val="0"/>
        <w:kinsoku/>
        <w:wordWrap/>
        <w:overflowPunct/>
        <w:topLinePunct w:val="0"/>
        <w:bidi w:val="0"/>
        <w:spacing w:line="360" w:lineRule="auto"/>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 xml:space="preserve">1.8 </w:t>
      </w:r>
      <w:r>
        <w:rPr>
          <w:rFonts w:hint="eastAsia" w:ascii="宋体" w:hAnsi="宋体" w:eastAsia="宋体" w:cs="宋体"/>
          <w:bCs/>
          <w:sz w:val="24"/>
          <w:szCs w:val="24"/>
        </w:rPr>
        <w:t>在政府采购活动中，采购人员及相关人员与供应商有下列利害关系之一的，应当回避：</w:t>
      </w:r>
    </w:p>
    <w:p>
      <w:pPr>
        <w:pageBreakBefore w:val="0"/>
        <w:widowControl w:val="0"/>
        <w:kinsoku/>
        <w:wordWrap/>
        <w:overflowPunct/>
        <w:topLinePunct w:val="0"/>
        <w:bidi w:val="0"/>
        <w:spacing w:line="36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1.8.1 </w:t>
      </w:r>
      <w:r>
        <w:rPr>
          <w:rFonts w:hint="eastAsia" w:ascii="宋体" w:hAnsi="宋体" w:eastAsia="宋体" w:cs="宋体"/>
          <w:bCs/>
          <w:sz w:val="24"/>
          <w:szCs w:val="24"/>
        </w:rPr>
        <w:t>参加采购活动前3年内与供应商存在劳动关系</w:t>
      </w:r>
      <w:r>
        <w:rPr>
          <w:rFonts w:hint="eastAsia" w:ascii="宋体" w:hAnsi="宋体" w:eastAsia="宋体" w:cs="宋体"/>
          <w:bCs/>
          <w:sz w:val="24"/>
          <w:szCs w:val="24"/>
          <w:lang w:eastAsia="zh-CN"/>
        </w:rPr>
        <w:t>。</w:t>
      </w:r>
    </w:p>
    <w:p>
      <w:pPr>
        <w:pageBreakBefore w:val="0"/>
        <w:widowControl w:val="0"/>
        <w:kinsoku/>
        <w:wordWrap/>
        <w:overflowPunct/>
        <w:topLinePunct w:val="0"/>
        <w:bidi w:val="0"/>
        <w:spacing w:line="36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1.8.2 </w:t>
      </w:r>
      <w:r>
        <w:rPr>
          <w:rFonts w:hint="eastAsia" w:ascii="宋体" w:hAnsi="宋体" w:eastAsia="宋体" w:cs="宋体"/>
          <w:bCs/>
          <w:sz w:val="24"/>
          <w:szCs w:val="24"/>
        </w:rPr>
        <w:t>参加采购活动前3年内担任供应商的董事、监事</w:t>
      </w:r>
      <w:r>
        <w:rPr>
          <w:rFonts w:hint="eastAsia" w:ascii="宋体" w:hAnsi="宋体" w:eastAsia="宋体" w:cs="宋体"/>
          <w:bCs/>
          <w:sz w:val="24"/>
          <w:szCs w:val="24"/>
          <w:lang w:eastAsia="zh-CN"/>
        </w:rPr>
        <w:t>。</w:t>
      </w:r>
    </w:p>
    <w:p>
      <w:pPr>
        <w:pageBreakBefore w:val="0"/>
        <w:widowControl w:val="0"/>
        <w:kinsoku/>
        <w:wordWrap/>
        <w:overflowPunct/>
        <w:topLinePunct w:val="0"/>
        <w:bidi w:val="0"/>
        <w:spacing w:line="36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1.8.3 </w:t>
      </w:r>
      <w:r>
        <w:rPr>
          <w:rFonts w:hint="eastAsia" w:ascii="宋体" w:hAnsi="宋体" w:eastAsia="宋体" w:cs="宋体"/>
          <w:bCs/>
          <w:sz w:val="24"/>
          <w:szCs w:val="24"/>
        </w:rPr>
        <w:t>参加采购活动前3年内是供应商的控股股东或者实际控制人</w:t>
      </w:r>
      <w:r>
        <w:rPr>
          <w:rFonts w:hint="eastAsia" w:ascii="宋体" w:hAnsi="宋体" w:eastAsia="宋体" w:cs="宋体"/>
          <w:bCs/>
          <w:sz w:val="24"/>
          <w:szCs w:val="24"/>
          <w:lang w:eastAsia="zh-CN"/>
        </w:rPr>
        <w:t>。</w:t>
      </w:r>
    </w:p>
    <w:p>
      <w:pPr>
        <w:pageBreakBefore w:val="0"/>
        <w:widowControl w:val="0"/>
        <w:kinsoku/>
        <w:wordWrap/>
        <w:overflowPunct/>
        <w:topLinePunct w:val="0"/>
        <w:bidi w:val="0"/>
        <w:spacing w:line="36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1.8.4 </w:t>
      </w:r>
      <w:r>
        <w:rPr>
          <w:rFonts w:hint="eastAsia" w:ascii="宋体" w:hAnsi="宋体" w:eastAsia="宋体" w:cs="宋体"/>
          <w:bCs/>
          <w:sz w:val="24"/>
          <w:szCs w:val="24"/>
        </w:rPr>
        <w:t>与供应商的法定代表人或者负责人有夫妻、直系血亲、三代以内旁系血亲或者近姻亲关系</w:t>
      </w:r>
      <w:r>
        <w:rPr>
          <w:rFonts w:hint="eastAsia" w:ascii="宋体" w:hAnsi="宋体" w:eastAsia="宋体" w:cs="宋体"/>
          <w:bCs/>
          <w:sz w:val="24"/>
          <w:szCs w:val="24"/>
          <w:lang w:eastAsia="zh-CN"/>
        </w:rPr>
        <w:t>。</w:t>
      </w:r>
    </w:p>
    <w:p>
      <w:pPr>
        <w:pageBreakBefore w:val="0"/>
        <w:widowControl w:val="0"/>
        <w:kinsoku/>
        <w:wordWrap/>
        <w:overflowPunct/>
        <w:topLinePunct w:val="0"/>
        <w:bidi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1.8.5 </w:t>
      </w:r>
      <w:r>
        <w:rPr>
          <w:rFonts w:hint="eastAsia" w:ascii="宋体" w:hAnsi="宋体" w:eastAsia="宋体" w:cs="宋体"/>
          <w:bCs/>
          <w:sz w:val="24"/>
          <w:szCs w:val="24"/>
        </w:rPr>
        <w:t>与供应商有其他可能影响政府采购活动公平、公正进行的关系。</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 xml:space="preserve">1.8.6 </w:t>
      </w:r>
      <w:r>
        <w:rPr>
          <w:rFonts w:hint="eastAsia" w:ascii="宋体" w:hAnsi="宋体" w:eastAsia="宋体" w:cs="宋体"/>
          <w:bCs/>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22" w:name="_Toc2582265"/>
      <w:bookmarkStart w:id="23" w:name="_Toc532473451"/>
      <w:bookmarkStart w:id="24" w:name="_Toc515647759"/>
      <w:bookmarkStart w:id="25" w:name="_Toc12139"/>
      <w:bookmarkStart w:id="26" w:name="_Toc5286"/>
      <w:r>
        <w:rPr>
          <w:rFonts w:hint="eastAsia" w:ascii="宋体" w:hAnsi="宋体" w:eastAsia="宋体" w:cs="宋体"/>
          <w:sz w:val="24"/>
          <w:szCs w:val="24"/>
          <w:u w:val="none"/>
        </w:rPr>
        <w:t>2.资金来源</w:t>
      </w:r>
      <w:bookmarkEnd w:id="22"/>
      <w:bookmarkEnd w:id="23"/>
      <w:bookmarkEnd w:id="24"/>
      <w:bookmarkEnd w:id="25"/>
      <w:bookmarkEnd w:id="26"/>
    </w:p>
    <w:p>
      <w:pPr>
        <w:pageBreakBefore w:val="0"/>
        <w:widowControl w:val="0"/>
        <w:kinsoku/>
        <w:wordWrap/>
        <w:overflowPunct/>
        <w:topLinePunct w:val="0"/>
        <w:bidi w:val="0"/>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本项目的采购人已获得足以支付本次</w:t>
      </w:r>
      <w:r>
        <w:rPr>
          <w:rFonts w:hint="eastAsia" w:ascii="宋体" w:hAnsi="宋体" w:eastAsia="宋体" w:cs="宋体"/>
          <w:sz w:val="24"/>
          <w:szCs w:val="24"/>
          <w:lang w:eastAsia="zh-CN"/>
        </w:rPr>
        <w:t>磋商</w:t>
      </w:r>
      <w:r>
        <w:rPr>
          <w:rFonts w:hint="eastAsia" w:ascii="宋体" w:hAnsi="宋体" w:eastAsia="宋体" w:cs="宋体"/>
          <w:sz w:val="24"/>
          <w:szCs w:val="24"/>
        </w:rPr>
        <w:t>后所签订的合同项下的资金。</w:t>
      </w:r>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27" w:name="_Toc520356145"/>
      <w:bookmarkStart w:id="28" w:name="_Toc2582266"/>
      <w:bookmarkStart w:id="29" w:name="_Toc515647760"/>
      <w:bookmarkStart w:id="30" w:name="_Toc15936"/>
      <w:bookmarkStart w:id="31" w:name="_Toc20526"/>
      <w:bookmarkStart w:id="32" w:name="_Toc532473452"/>
      <w:r>
        <w:rPr>
          <w:rFonts w:hint="eastAsia" w:ascii="宋体" w:hAnsi="宋体" w:eastAsia="宋体" w:cs="宋体"/>
          <w:sz w:val="24"/>
          <w:szCs w:val="24"/>
          <w:u w:val="none"/>
        </w:rPr>
        <w:t>3.投标费用</w:t>
      </w:r>
      <w:bookmarkEnd w:id="27"/>
      <w:bookmarkEnd w:id="28"/>
      <w:bookmarkEnd w:id="29"/>
      <w:bookmarkEnd w:id="30"/>
      <w:bookmarkEnd w:id="31"/>
      <w:bookmarkEnd w:id="32"/>
    </w:p>
    <w:p>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不论结果如何，</w:t>
      </w:r>
      <w:r>
        <w:rPr>
          <w:rFonts w:hint="eastAsia" w:ascii="宋体" w:hAnsi="宋体" w:eastAsia="宋体" w:cs="宋体"/>
          <w:sz w:val="24"/>
          <w:szCs w:val="24"/>
          <w:lang w:eastAsia="zh-CN"/>
        </w:rPr>
        <w:t>供应商</w:t>
      </w:r>
      <w:r>
        <w:rPr>
          <w:rFonts w:hint="eastAsia" w:ascii="宋体" w:hAnsi="宋体" w:eastAsia="宋体" w:cs="宋体"/>
          <w:sz w:val="24"/>
          <w:szCs w:val="24"/>
        </w:rPr>
        <w:t>应承担所有与</w:t>
      </w:r>
      <w:r>
        <w:rPr>
          <w:rFonts w:hint="eastAsia" w:ascii="宋体" w:hAnsi="宋体" w:eastAsia="宋体" w:cs="宋体"/>
          <w:sz w:val="24"/>
          <w:szCs w:val="24"/>
          <w:lang w:eastAsia="zh-CN"/>
        </w:rPr>
        <w:t>磋商</w:t>
      </w:r>
      <w:r>
        <w:rPr>
          <w:rFonts w:hint="eastAsia" w:ascii="宋体" w:hAnsi="宋体" w:eastAsia="宋体" w:cs="宋体"/>
          <w:sz w:val="24"/>
          <w:szCs w:val="24"/>
        </w:rPr>
        <w:t>有关的费用。</w:t>
      </w:r>
    </w:p>
    <w:p>
      <w:pPr>
        <w:pStyle w:val="3"/>
        <w:pageBreakBefore w:val="0"/>
        <w:widowControl w:val="0"/>
        <w:kinsoku/>
        <w:wordWrap/>
        <w:overflowPunct/>
        <w:topLinePunct w:val="0"/>
        <w:bidi w:val="0"/>
        <w:snapToGrid/>
        <w:spacing w:before="0" w:beforeLines="0" w:after="0" w:afterLines="0" w:line="360" w:lineRule="auto"/>
        <w:jc w:val="center"/>
        <w:textAlignment w:val="auto"/>
        <w:rPr>
          <w:rFonts w:hint="eastAsia" w:ascii="宋体" w:hAnsi="宋体" w:eastAsia="宋体" w:cs="宋体"/>
          <w:sz w:val="24"/>
          <w:szCs w:val="24"/>
        </w:rPr>
      </w:pPr>
      <w:bookmarkStart w:id="33" w:name="_Toc216582806"/>
      <w:bookmarkStart w:id="34" w:name="_Toc21566"/>
      <w:bookmarkStart w:id="35" w:name="_Toc532473454"/>
      <w:bookmarkStart w:id="36" w:name="_Toc4365"/>
      <w:bookmarkStart w:id="37" w:name="_Toc520356146"/>
      <w:bookmarkStart w:id="38" w:name="_Toc2582268"/>
      <w:bookmarkStart w:id="39" w:name="_Toc515647762"/>
      <w:r>
        <w:rPr>
          <w:rFonts w:hint="eastAsia" w:ascii="宋体" w:hAnsi="宋体" w:eastAsia="宋体" w:cs="宋体"/>
          <w:sz w:val="24"/>
          <w:szCs w:val="24"/>
          <w:lang w:eastAsia="zh-CN"/>
        </w:rPr>
        <w:t>（二）磋商</w:t>
      </w:r>
      <w:r>
        <w:rPr>
          <w:rFonts w:hint="eastAsia" w:ascii="宋体" w:hAnsi="宋体" w:eastAsia="宋体" w:cs="宋体"/>
          <w:sz w:val="24"/>
          <w:szCs w:val="24"/>
        </w:rPr>
        <w:t>文件</w:t>
      </w:r>
      <w:bookmarkEnd w:id="33"/>
      <w:bookmarkEnd w:id="34"/>
      <w:bookmarkEnd w:id="35"/>
      <w:bookmarkEnd w:id="36"/>
      <w:bookmarkEnd w:id="37"/>
      <w:bookmarkEnd w:id="38"/>
      <w:bookmarkEnd w:id="39"/>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40" w:name="_Toc14084"/>
      <w:bookmarkStart w:id="41" w:name="_Toc532473455"/>
      <w:bookmarkStart w:id="42" w:name="_Toc2582269"/>
      <w:bookmarkStart w:id="43" w:name="_Toc520356147"/>
      <w:bookmarkStart w:id="44" w:name="_Toc515647763"/>
      <w:bookmarkStart w:id="45" w:name="_Toc25743"/>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磋商</w:t>
      </w:r>
      <w:r>
        <w:rPr>
          <w:rFonts w:hint="eastAsia" w:ascii="宋体" w:hAnsi="宋体" w:eastAsia="宋体" w:cs="宋体"/>
          <w:sz w:val="24"/>
          <w:szCs w:val="24"/>
          <w:u w:val="none"/>
        </w:rPr>
        <w:t>文件构成</w:t>
      </w:r>
      <w:bookmarkEnd w:id="40"/>
      <w:bookmarkEnd w:id="41"/>
      <w:bookmarkEnd w:id="42"/>
      <w:bookmarkEnd w:id="43"/>
      <w:bookmarkEnd w:id="44"/>
      <w:bookmarkEnd w:id="45"/>
    </w:p>
    <w:p>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4"/>
          <w:lang w:eastAsia="zh-CN"/>
        </w:rPr>
        <w:t>磋商</w:t>
      </w:r>
      <w:r>
        <w:rPr>
          <w:rFonts w:hint="eastAsia" w:ascii="宋体" w:hAnsi="宋体" w:eastAsia="宋体" w:cs="宋体"/>
          <w:sz w:val="24"/>
          <w:szCs w:val="24"/>
          <w:lang w:val="en-US" w:eastAsia="zh-CN"/>
        </w:rPr>
        <w:t>邀请</w:t>
      </w:r>
    </w:p>
    <w:p>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4.2 </w:t>
      </w:r>
      <w:r>
        <w:rPr>
          <w:rFonts w:hint="eastAsia" w:ascii="宋体" w:hAnsi="宋体" w:eastAsia="宋体" w:cs="宋体"/>
          <w:sz w:val="24"/>
          <w:szCs w:val="24"/>
          <w:lang w:eastAsia="zh-CN"/>
        </w:rPr>
        <w:t>供应商</w:t>
      </w:r>
      <w:r>
        <w:rPr>
          <w:rFonts w:hint="eastAsia" w:ascii="宋体" w:hAnsi="宋体" w:eastAsia="宋体" w:cs="宋体"/>
          <w:sz w:val="24"/>
          <w:szCs w:val="24"/>
        </w:rPr>
        <w:t>须知</w:t>
      </w:r>
      <w:r>
        <w:rPr>
          <w:rFonts w:hint="eastAsia" w:ascii="宋体" w:hAnsi="宋体" w:eastAsia="宋体" w:cs="宋体"/>
          <w:sz w:val="24"/>
          <w:szCs w:val="24"/>
          <w:lang w:eastAsia="zh-CN"/>
        </w:rPr>
        <w:t>前附表</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 供应商须知</w:t>
      </w:r>
    </w:p>
    <w:p>
      <w:pPr>
        <w:pStyle w:val="3"/>
        <w:pageBreakBefore w:val="0"/>
        <w:widowControl w:val="0"/>
        <w:kinsoku/>
        <w:wordWrap/>
        <w:overflowPunct/>
        <w:topLinePunct w:val="0"/>
        <w:bidi w:val="0"/>
        <w:snapToGrid/>
        <w:spacing w:before="0" w:beforeLines="0" w:after="0" w:afterLines="0"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4.4 项目说明和采购需求</w:t>
      </w:r>
    </w:p>
    <w:p>
      <w:pPr>
        <w:pStyle w:val="4"/>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 政府采购合同范本</w:t>
      </w:r>
    </w:p>
    <w:p>
      <w:pPr>
        <w:pStyle w:val="4"/>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 响应文件格式</w:t>
      </w:r>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46" w:name="_Toc520356148"/>
      <w:bookmarkStart w:id="47" w:name="_Toc515904805"/>
      <w:bookmarkStart w:id="48" w:name="_Toc9232"/>
      <w:bookmarkStart w:id="49" w:name="_Toc26044"/>
      <w:bookmarkStart w:id="50" w:name="_Toc532473456"/>
      <w:bookmarkStart w:id="51" w:name="_Toc2582270"/>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磋商</w:t>
      </w:r>
      <w:r>
        <w:rPr>
          <w:rFonts w:hint="eastAsia" w:ascii="宋体" w:hAnsi="宋体" w:eastAsia="宋体" w:cs="宋体"/>
          <w:sz w:val="24"/>
          <w:szCs w:val="24"/>
          <w:u w:val="none"/>
        </w:rPr>
        <w:t>文件的澄清</w:t>
      </w:r>
      <w:bookmarkEnd w:id="46"/>
      <w:bookmarkEnd w:id="47"/>
      <w:r>
        <w:rPr>
          <w:rFonts w:hint="eastAsia" w:ascii="宋体" w:hAnsi="宋体" w:eastAsia="宋体" w:cs="宋体"/>
          <w:sz w:val="24"/>
          <w:szCs w:val="24"/>
          <w:u w:val="none"/>
        </w:rPr>
        <w:t>与修改</w:t>
      </w:r>
      <w:bookmarkEnd w:id="48"/>
      <w:bookmarkEnd w:id="49"/>
      <w:bookmarkEnd w:id="50"/>
      <w:bookmarkEnd w:id="51"/>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采购人、采购代理机构可以对已发出的磋商文件等进行必要的澄清或者修改。澄</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清或者修改的内容为磋商文件的组成部分。澄清或者修改应当在原公告发布媒体上发布澄清公告。</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  磋商文件中有不一致的，有澄清的部分以最终的澄清更正内容为准；未澄清的，以供应商须知前附表为准；供应商须知前附表不涉及的内容，以编排在后的最后描述为准。</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  供应商应及时关注本项目原公告发布媒体上发布的澄清公告或修改内容并自行下载，采购人、采购代理机构不再另行通知。</w:t>
      </w:r>
    </w:p>
    <w:p>
      <w:pPr>
        <w:pStyle w:val="5"/>
        <w:pageBreakBefore w:val="0"/>
        <w:widowControl w:val="0"/>
        <w:tabs>
          <w:tab w:val="left" w:pos="900"/>
        </w:tabs>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52" w:name="_Toc2582271"/>
      <w:bookmarkStart w:id="53" w:name="_Toc532473457"/>
      <w:bookmarkStart w:id="54" w:name="_Toc14569"/>
      <w:bookmarkStart w:id="55" w:name="_Toc25635"/>
      <w:r>
        <w:rPr>
          <w:rFonts w:hint="eastAsia" w:ascii="宋体" w:hAnsi="宋体" w:eastAsia="宋体" w:cs="宋体"/>
          <w:sz w:val="24"/>
          <w:szCs w:val="24"/>
          <w:u w:val="none"/>
          <w:lang w:val="en-US" w:eastAsia="zh-CN"/>
        </w:rPr>
        <w:t>6</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响应</w:t>
      </w:r>
      <w:r>
        <w:rPr>
          <w:rFonts w:hint="eastAsia" w:ascii="宋体" w:hAnsi="宋体" w:eastAsia="宋体" w:cs="宋体"/>
          <w:sz w:val="24"/>
          <w:szCs w:val="24"/>
          <w:u w:val="none"/>
        </w:rPr>
        <w:t>截止时间的顺延</w:t>
      </w:r>
      <w:bookmarkEnd w:id="52"/>
      <w:bookmarkEnd w:id="53"/>
      <w:bookmarkEnd w:id="54"/>
      <w:bookmarkEnd w:id="55"/>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  为使供应商有足够的时间对磋商文件的澄清或者修改部分进行研究而准备或因其他原因，采购人将依法决定是否顺延响应截止时间。顺延变更公告应当在原公告发布媒体上发布。</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  供应商应及时关注本项目原公告发布媒体上发布的变更公告，采购人、采购代理机构不再另行通知。</w:t>
      </w:r>
    </w:p>
    <w:p>
      <w:pPr>
        <w:pStyle w:val="4"/>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7.其他事项</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  供应商应认真阅读磋商文件所有的事项、格式、条款和技术规范等。如供应商没有按照磋商文件要求提交全部资料，或者响应文件没有对磋商文件的实质性要求做出响应，其响应将被认定为响应无效。</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7.2  原则上采购人、采购代理机构不要求投供应商提供样品。除仅凭书面方式不能准确描述采购需求，或者需要对样品进行主观判断以确认是否满足采购需求等特殊情况除外。如需提供样品，对样品相关要求见供应商须知前附表。</w:t>
      </w:r>
    </w:p>
    <w:p>
      <w:pPr>
        <w:pStyle w:val="3"/>
        <w:pageBreakBefore w:val="0"/>
        <w:widowControl w:val="0"/>
        <w:tabs>
          <w:tab w:val="left" w:pos="900"/>
        </w:tabs>
        <w:kinsoku/>
        <w:wordWrap/>
        <w:overflowPunct/>
        <w:topLinePunct w:val="0"/>
        <w:bidi w:val="0"/>
        <w:snapToGrid/>
        <w:spacing w:before="0" w:beforeLines="0" w:after="0" w:afterLines="0" w:line="360" w:lineRule="auto"/>
        <w:jc w:val="center"/>
        <w:textAlignment w:val="auto"/>
        <w:rPr>
          <w:rFonts w:hint="eastAsia" w:ascii="宋体" w:hAnsi="宋体" w:eastAsia="宋体" w:cs="宋体"/>
          <w:sz w:val="24"/>
          <w:szCs w:val="24"/>
        </w:rPr>
      </w:pPr>
      <w:bookmarkStart w:id="56" w:name="_Toc516367020"/>
      <w:bookmarkStart w:id="57" w:name="_Toc515647766"/>
      <w:bookmarkStart w:id="58" w:name="_Toc520356150"/>
      <w:bookmarkStart w:id="59" w:name="_Toc216582807"/>
      <w:bookmarkStart w:id="60" w:name="_Toc7636"/>
      <w:bookmarkStart w:id="61" w:name="_Toc30808"/>
      <w:bookmarkStart w:id="62" w:name="_Toc2582272"/>
      <w:bookmarkStart w:id="63" w:name="_Toc532473458"/>
      <w:r>
        <w:rPr>
          <w:rFonts w:hint="eastAsia" w:ascii="宋体" w:hAnsi="宋体" w:eastAsia="宋体" w:cs="宋体"/>
          <w:sz w:val="24"/>
          <w:szCs w:val="24"/>
          <w:lang w:eastAsia="zh-CN"/>
        </w:rPr>
        <w:t>（三）响应</w:t>
      </w:r>
      <w:r>
        <w:rPr>
          <w:rFonts w:hint="eastAsia" w:ascii="宋体" w:hAnsi="宋体" w:eastAsia="宋体" w:cs="宋体"/>
          <w:sz w:val="24"/>
          <w:szCs w:val="24"/>
        </w:rPr>
        <w:t>文件</w:t>
      </w:r>
      <w:bookmarkEnd w:id="56"/>
      <w:r>
        <w:rPr>
          <w:rFonts w:hint="eastAsia" w:ascii="宋体" w:hAnsi="宋体" w:eastAsia="宋体" w:cs="宋体"/>
          <w:sz w:val="24"/>
          <w:szCs w:val="24"/>
        </w:rPr>
        <w:t>的编制</w:t>
      </w:r>
      <w:bookmarkEnd w:id="57"/>
      <w:bookmarkEnd w:id="58"/>
      <w:bookmarkEnd w:id="59"/>
      <w:bookmarkEnd w:id="60"/>
      <w:bookmarkEnd w:id="61"/>
      <w:bookmarkEnd w:id="62"/>
      <w:bookmarkEnd w:id="63"/>
    </w:p>
    <w:p>
      <w:pPr>
        <w:pStyle w:val="5"/>
        <w:pageBreakBefore w:val="0"/>
        <w:widowControl w:val="0"/>
        <w:tabs>
          <w:tab w:val="left" w:pos="900"/>
        </w:tabs>
        <w:kinsoku/>
        <w:wordWrap/>
        <w:overflowPunct/>
        <w:topLinePunct w:val="0"/>
        <w:bidi w:val="0"/>
        <w:snapToGrid/>
        <w:spacing w:before="0" w:after="0" w:line="360" w:lineRule="auto"/>
        <w:textAlignment w:val="auto"/>
        <w:rPr>
          <w:rFonts w:hint="eastAsia" w:ascii="宋体" w:hAnsi="宋体" w:eastAsia="宋体" w:cs="宋体"/>
          <w:sz w:val="24"/>
          <w:szCs w:val="24"/>
        </w:rPr>
      </w:pPr>
      <w:bookmarkStart w:id="64" w:name="_Toc515647767"/>
      <w:bookmarkStart w:id="65" w:name="_Toc2582273"/>
      <w:bookmarkStart w:id="66" w:name="_Toc7786"/>
      <w:bookmarkStart w:id="67" w:name="_Toc520356151"/>
      <w:bookmarkStart w:id="68" w:name="_Toc3553"/>
      <w:bookmarkStart w:id="69" w:name="_Toc532473459"/>
      <w:bookmarkStart w:id="70" w:name="_Toc516367021"/>
      <w:r>
        <w:rPr>
          <w:rFonts w:hint="eastAsia" w:ascii="宋体" w:hAnsi="宋体" w:eastAsia="宋体" w:cs="宋体"/>
          <w:sz w:val="24"/>
          <w:szCs w:val="24"/>
          <w:u w:val="none"/>
        </w:rPr>
        <w:t>8.</w:t>
      </w:r>
      <w:bookmarkEnd w:id="64"/>
      <w:bookmarkEnd w:id="65"/>
      <w:bookmarkEnd w:id="66"/>
      <w:bookmarkEnd w:id="67"/>
      <w:bookmarkEnd w:id="68"/>
      <w:bookmarkEnd w:id="69"/>
      <w:bookmarkEnd w:id="70"/>
      <w:r>
        <w:rPr>
          <w:rFonts w:hint="eastAsia" w:ascii="宋体" w:hAnsi="宋体" w:eastAsia="宋体" w:cs="宋体"/>
          <w:sz w:val="24"/>
          <w:szCs w:val="24"/>
          <w:u w:val="none"/>
          <w:lang w:eastAsia="zh-CN"/>
        </w:rPr>
        <w:t>响应范围及文字、计量单位要求</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 xml:space="preserve">  供应商应当对磋商文件中所列的所有内容进行投标，如仅响应部分内容，其响应将被认定为响应无效。</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xml:space="preserve">  无论磋商文件中是否要求，供应商所投货物及伴随的服务和工程均应符合国</w:t>
      </w:r>
      <w:r>
        <w:rPr>
          <w:rFonts w:hint="eastAsia" w:ascii="宋体" w:hAnsi="宋体" w:eastAsia="宋体" w:cs="宋体"/>
          <w:sz w:val="24"/>
          <w:szCs w:val="24"/>
          <w:lang w:val="en-US" w:eastAsia="zh-CN"/>
        </w:rPr>
        <w:t>家强制性标准。</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8.3  </w:t>
      </w:r>
      <w:r>
        <w:rPr>
          <w:rFonts w:hint="eastAsia" w:ascii="宋体" w:hAnsi="宋体" w:eastAsia="宋体" w:cs="宋体"/>
          <w:sz w:val="24"/>
          <w:szCs w:val="24"/>
          <w:lang w:eastAsia="zh-CN"/>
        </w:rPr>
        <w:t>响应</w:t>
      </w:r>
      <w:r>
        <w:rPr>
          <w:rFonts w:hint="eastAsia" w:ascii="宋体" w:hAnsi="宋体" w:eastAsia="宋体" w:cs="宋体"/>
          <w:sz w:val="24"/>
          <w:szCs w:val="24"/>
          <w:lang w:val="en-US" w:eastAsia="zh-CN"/>
        </w:rPr>
        <w:t>文件应使用规范汉字书写(专有名词须加注中文解释)，并采用通用的图形符号，不得出现与常规书写格式不符的内容。</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8.4  除</w:t>
      </w:r>
      <w:r>
        <w:rPr>
          <w:rFonts w:hint="eastAsia" w:ascii="宋体" w:hAnsi="宋体" w:eastAsia="宋体" w:cs="宋体"/>
          <w:sz w:val="24"/>
          <w:szCs w:val="24"/>
          <w:lang w:eastAsia="zh-CN"/>
        </w:rPr>
        <w:t>磋商</w:t>
      </w:r>
      <w:r>
        <w:rPr>
          <w:rFonts w:hint="eastAsia" w:ascii="宋体" w:hAnsi="宋体" w:eastAsia="宋体" w:cs="宋体"/>
          <w:sz w:val="24"/>
          <w:szCs w:val="24"/>
          <w:lang w:val="en-US" w:eastAsia="zh-CN"/>
        </w:rPr>
        <w:t>文件中有特殊要求外，</w:t>
      </w:r>
      <w:r>
        <w:rPr>
          <w:rFonts w:hint="eastAsia" w:ascii="宋体" w:hAnsi="宋体" w:eastAsia="宋体" w:cs="宋体"/>
          <w:sz w:val="24"/>
          <w:szCs w:val="24"/>
          <w:lang w:eastAsia="zh-CN"/>
        </w:rPr>
        <w:t>响应</w:t>
      </w:r>
      <w:r>
        <w:rPr>
          <w:rFonts w:hint="eastAsia" w:ascii="宋体" w:hAnsi="宋体" w:eastAsia="宋体" w:cs="宋体"/>
          <w:sz w:val="24"/>
          <w:szCs w:val="24"/>
          <w:lang w:val="en-US" w:eastAsia="zh-CN"/>
        </w:rPr>
        <w:t>文</w:t>
      </w:r>
      <w:r>
        <w:rPr>
          <w:rFonts w:hint="eastAsia" w:ascii="宋体" w:hAnsi="宋体" w:eastAsia="宋体" w:cs="宋体"/>
          <w:sz w:val="24"/>
          <w:szCs w:val="24"/>
          <w:lang w:eastAsia="zh-CN"/>
        </w:rPr>
        <w:t>件中所使用的计量单位，应采用中华人民共和国法定计量单位。</w:t>
      </w:r>
    </w:p>
    <w:p>
      <w:pPr>
        <w:pStyle w:val="5"/>
        <w:pageBreakBefore w:val="0"/>
        <w:widowControl w:val="0"/>
        <w:tabs>
          <w:tab w:val="left" w:pos="900"/>
        </w:tabs>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71" w:name="_Toc516367022"/>
      <w:bookmarkStart w:id="72" w:name="_Ref467306676"/>
      <w:bookmarkStart w:id="73" w:name="_Ref467306195"/>
      <w:bookmarkStart w:id="74" w:name="_Toc28307"/>
      <w:bookmarkStart w:id="75" w:name="_Toc515647768"/>
      <w:bookmarkStart w:id="76" w:name="_Toc10364"/>
      <w:bookmarkStart w:id="77" w:name="_Toc520356152"/>
      <w:bookmarkStart w:id="78" w:name="_Toc2582274"/>
      <w:bookmarkStart w:id="79" w:name="_Toc532473460"/>
      <w:r>
        <w:rPr>
          <w:rFonts w:hint="eastAsia" w:ascii="宋体" w:hAnsi="宋体" w:eastAsia="宋体" w:cs="宋体"/>
          <w:sz w:val="24"/>
          <w:szCs w:val="24"/>
          <w:u w:val="none"/>
        </w:rPr>
        <w:t>9.</w:t>
      </w:r>
      <w:r>
        <w:rPr>
          <w:rFonts w:hint="eastAsia" w:ascii="宋体" w:hAnsi="宋体" w:eastAsia="宋体" w:cs="宋体"/>
          <w:sz w:val="24"/>
          <w:szCs w:val="24"/>
          <w:u w:val="none"/>
          <w:lang w:eastAsia="zh-CN"/>
        </w:rPr>
        <w:t>响应</w:t>
      </w:r>
      <w:r>
        <w:rPr>
          <w:rFonts w:hint="eastAsia" w:ascii="宋体" w:hAnsi="宋体" w:eastAsia="宋体" w:cs="宋体"/>
          <w:sz w:val="24"/>
          <w:szCs w:val="24"/>
          <w:u w:val="none"/>
        </w:rPr>
        <w:t>文件</w:t>
      </w:r>
      <w:bookmarkEnd w:id="71"/>
      <w:bookmarkEnd w:id="72"/>
      <w:bookmarkEnd w:id="73"/>
      <w:r>
        <w:rPr>
          <w:rFonts w:hint="eastAsia" w:ascii="宋体" w:hAnsi="宋体" w:eastAsia="宋体" w:cs="宋体"/>
          <w:sz w:val="24"/>
          <w:szCs w:val="24"/>
          <w:u w:val="none"/>
          <w:lang w:eastAsia="zh-CN"/>
        </w:rPr>
        <w:t>的</w:t>
      </w:r>
      <w:r>
        <w:rPr>
          <w:rFonts w:hint="eastAsia" w:ascii="宋体" w:hAnsi="宋体" w:eastAsia="宋体" w:cs="宋体"/>
          <w:sz w:val="24"/>
          <w:szCs w:val="24"/>
          <w:u w:val="none"/>
        </w:rPr>
        <w:t>组成</w:t>
      </w:r>
      <w:bookmarkEnd w:id="74"/>
      <w:bookmarkEnd w:id="75"/>
      <w:bookmarkEnd w:id="76"/>
      <w:bookmarkEnd w:id="77"/>
      <w:bookmarkEnd w:id="78"/>
      <w:bookmarkEnd w:id="79"/>
    </w:p>
    <w:p>
      <w:pPr>
        <w:pageBreakBefore w:val="0"/>
        <w:widowControl w:val="0"/>
        <w:tabs>
          <w:tab w:val="left" w:pos="900"/>
          <w:tab w:val="left" w:pos="5580"/>
        </w:tabs>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bookmarkStart w:id="80" w:name="_Ref467052588"/>
      <w:r>
        <w:rPr>
          <w:rFonts w:hint="eastAsia" w:ascii="宋体" w:hAnsi="宋体" w:eastAsia="宋体" w:cs="宋体"/>
          <w:sz w:val="24"/>
          <w:szCs w:val="24"/>
          <w:lang w:eastAsia="zh-CN"/>
        </w:rPr>
        <w:t>供应商</w:t>
      </w:r>
      <w:r>
        <w:rPr>
          <w:rFonts w:hint="eastAsia" w:ascii="宋体" w:hAnsi="宋体" w:eastAsia="宋体" w:cs="宋体"/>
          <w:sz w:val="24"/>
          <w:szCs w:val="24"/>
        </w:rPr>
        <w:t>应完整地按照</w:t>
      </w:r>
      <w:r>
        <w:rPr>
          <w:rFonts w:hint="eastAsia" w:ascii="宋体" w:hAnsi="宋体" w:eastAsia="宋体" w:cs="宋体"/>
          <w:sz w:val="24"/>
          <w:szCs w:val="24"/>
          <w:lang w:eastAsia="zh-CN"/>
        </w:rPr>
        <w:t>磋商</w:t>
      </w:r>
      <w:r>
        <w:rPr>
          <w:rFonts w:hint="eastAsia" w:ascii="宋体" w:hAnsi="宋体" w:eastAsia="宋体" w:cs="宋体"/>
          <w:sz w:val="24"/>
          <w:szCs w:val="24"/>
        </w:rPr>
        <w:t>文件提供的</w:t>
      </w:r>
      <w:r>
        <w:rPr>
          <w:rFonts w:hint="eastAsia" w:ascii="宋体" w:hAnsi="宋体" w:eastAsia="宋体" w:cs="宋体"/>
          <w:sz w:val="24"/>
          <w:szCs w:val="24"/>
          <w:lang w:eastAsia="zh-CN"/>
        </w:rPr>
        <w:t>响应</w:t>
      </w:r>
      <w:r>
        <w:rPr>
          <w:rFonts w:hint="eastAsia" w:ascii="宋体" w:hAnsi="宋体" w:eastAsia="宋体" w:cs="宋体"/>
          <w:sz w:val="24"/>
          <w:szCs w:val="24"/>
        </w:rPr>
        <w:t>文件格式及要求编写</w:t>
      </w: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w:t>
      </w:r>
      <w:r>
        <w:rPr>
          <w:rFonts w:hint="eastAsia" w:ascii="宋体" w:hAnsi="宋体" w:eastAsia="宋体" w:cs="宋体"/>
          <w:sz w:val="24"/>
          <w:szCs w:val="24"/>
        </w:rPr>
        <w:t>对其</w:t>
      </w:r>
      <w:r>
        <w:rPr>
          <w:rFonts w:hint="eastAsia" w:ascii="宋体" w:hAnsi="宋体" w:eastAsia="宋体" w:cs="宋体"/>
          <w:sz w:val="24"/>
          <w:szCs w:val="24"/>
          <w:lang w:eastAsia="zh-CN"/>
        </w:rPr>
        <w:t>响应</w:t>
      </w:r>
      <w:r>
        <w:rPr>
          <w:rFonts w:hint="eastAsia" w:ascii="宋体" w:hAnsi="宋体" w:eastAsia="宋体" w:cs="宋体"/>
          <w:sz w:val="24"/>
          <w:szCs w:val="24"/>
        </w:rPr>
        <w:t>文件的真实性与准确性负责，</w:t>
      </w:r>
      <w:r>
        <w:rPr>
          <w:rFonts w:hint="eastAsia" w:ascii="宋体" w:hAnsi="宋体" w:eastAsia="宋体" w:cs="宋体"/>
          <w:sz w:val="24"/>
          <w:szCs w:val="24"/>
          <w:lang w:eastAsia="zh-CN"/>
        </w:rPr>
        <w:t>成交</w:t>
      </w:r>
      <w:r>
        <w:rPr>
          <w:rFonts w:hint="eastAsia" w:ascii="宋体" w:hAnsi="宋体" w:eastAsia="宋体" w:cs="宋体"/>
          <w:sz w:val="24"/>
          <w:szCs w:val="24"/>
        </w:rPr>
        <w:t>后，其</w:t>
      </w:r>
      <w:r>
        <w:rPr>
          <w:rFonts w:hint="eastAsia" w:ascii="宋体" w:hAnsi="宋体" w:eastAsia="宋体" w:cs="宋体"/>
          <w:sz w:val="24"/>
          <w:szCs w:val="24"/>
          <w:lang w:eastAsia="zh-CN"/>
        </w:rPr>
        <w:t>响应</w:t>
      </w:r>
      <w:r>
        <w:rPr>
          <w:rFonts w:hint="eastAsia" w:ascii="宋体" w:hAnsi="宋体" w:eastAsia="宋体" w:cs="宋体"/>
          <w:sz w:val="24"/>
          <w:szCs w:val="24"/>
        </w:rPr>
        <w:t>文件将作为合同的组成部分。</w:t>
      </w:r>
    </w:p>
    <w:bookmarkEnd w:id="80"/>
    <w:p>
      <w:pPr>
        <w:pStyle w:val="5"/>
        <w:pageBreakBefore w:val="0"/>
        <w:widowControl w:val="0"/>
        <w:tabs>
          <w:tab w:val="left" w:pos="900"/>
        </w:tabs>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81" w:name="_Toc520356153"/>
      <w:bookmarkStart w:id="82" w:name="_Toc532473461"/>
      <w:bookmarkStart w:id="83" w:name="_Toc516367023"/>
      <w:bookmarkStart w:id="84" w:name="_Toc10379"/>
      <w:bookmarkStart w:id="85" w:name="_Toc4601"/>
      <w:bookmarkStart w:id="86" w:name="_Toc515647769"/>
      <w:bookmarkStart w:id="87" w:name="_Toc2582275"/>
      <w:r>
        <w:rPr>
          <w:rFonts w:hint="eastAsia" w:ascii="宋体" w:hAnsi="宋体" w:eastAsia="宋体" w:cs="宋体"/>
          <w:sz w:val="24"/>
          <w:szCs w:val="24"/>
          <w:u w:val="none"/>
        </w:rPr>
        <w:t>10.证明</w:t>
      </w:r>
      <w:r>
        <w:rPr>
          <w:rFonts w:hint="eastAsia" w:ascii="宋体" w:hAnsi="宋体" w:eastAsia="宋体" w:cs="宋体"/>
          <w:sz w:val="24"/>
          <w:szCs w:val="24"/>
          <w:u w:val="none"/>
          <w:lang w:eastAsia="zh-CN"/>
        </w:rPr>
        <w:t>响应</w:t>
      </w:r>
      <w:r>
        <w:rPr>
          <w:rFonts w:hint="eastAsia" w:ascii="宋体" w:hAnsi="宋体" w:eastAsia="宋体" w:cs="宋体"/>
          <w:sz w:val="24"/>
          <w:szCs w:val="24"/>
          <w:u w:val="none"/>
        </w:rPr>
        <w:t>标的的合格性和符合</w:t>
      </w:r>
      <w:r>
        <w:rPr>
          <w:rFonts w:hint="eastAsia" w:ascii="宋体" w:hAnsi="宋体" w:eastAsia="宋体" w:cs="宋体"/>
          <w:sz w:val="24"/>
          <w:szCs w:val="24"/>
          <w:lang w:eastAsia="zh-CN"/>
        </w:rPr>
        <w:t>磋商</w:t>
      </w:r>
      <w:r>
        <w:rPr>
          <w:rFonts w:hint="eastAsia" w:ascii="宋体" w:hAnsi="宋体" w:eastAsia="宋体" w:cs="宋体"/>
          <w:sz w:val="24"/>
          <w:szCs w:val="24"/>
          <w:u w:val="none"/>
        </w:rPr>
        <w:t>文件规定的技术文件</w:t>
      </w:r>
      <w:bookmarkEnd w:id="81"/>
      <w:bookmarkEnd w:id="82"/>
      <w:bookmarkEnd w:id="83"/>
      <w:bookmarkEnd w:id="84"/>
      <w:bookmarkEnd w:id="85"/>
      <w:bookmarkEnd w:id="86"/>
      <w:bookmarkEnd w:id="87"/>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供应商应提交证明文件，证明其响应标的符合磋商文件规定。该证明文件是响应文件的技术文件。</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bookmarkStart w:id="88" w:name="_Ref467306244"/>
      <w:r>
        <w:rPr>
          <w:rFonts w:hint="eastAsia" w:ascii="宋体" w:hAnsi="宋体" w:eastAsia="宋体" w:cs="宋体"/>
          <w:sz w:val="24"/>
          <w:szCs w:val="24"/>
          <w:lang w:eastAsia="zh-CN"/>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上款所述的证明文件，可以是文字资料、图纸和数据，</w:t>
      </w:r>
      <w:bookmarkEnd w:id="88"/>
      <w:r>
        <w:rPr>
          <w:rFonts w:hint="eastAsia" w:ascii="宋体" w:hAnsi="宋体" w:eastAsia="宋体" w:cs="宋体"/>
          <w:sz w:val="24"/>
          <w:szCs w:val="24"/>
          <w:lang w:eastAsia="zh-CN"/>
        </w:rPr>
        <w:t>包括：</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货物主要技术指标和性能的详细说明及实现的功能或者目标；</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10.2.2</w:t>
      </w:r>
      <w:r>
        <w:rPr>
          <w:rFonts w:hint="eastAsia" w:ascii="宋体" w:hAnsi="宋体" w:eastAsia="宋体" w:cs="宋体"/>
          <w:sz w:val="24"/>
          <w:szCs w:val="24"/>
          <w:lang w:eastAsia="zh-CN"/>
        </w:rPr>
        <w:tab/>
      </w:r>
      <w:r>
        <w:rPr>
          <w:rFonts w:hint="eastAsia" w:ascii="宋体" w:hAnsi="宋体" w:eastAsia="宋体" w:cs="宋体"/>
          <w:sz w:val="24"/>
          <w:szCs w:val="24"/>
          <w:lang w:eastAsia="zh-CN"/>
        </w:rPr>
        <w:t>货物从买方开始使用至磋商文件规定的保质期内正常、连续地使用所必须的备件和专用工具清单，包括备件和专用工具的货源及现行价格；</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10.2.3对照磋商文件技术规格，逐条说明所提供货物及伴随的工程和服务已对磋商文</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件的技术规格做出了实质性的响应，或申明与技术规格条文的偏差和例外。</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供应商应注意采购人在技术规格中指出的工艺、材料和设备的参照品牌型号仅起说明作用，并没有任何倾向性或限制性。采购人、采购代理机构承诺不以上述参照品牌型号作为磋商时判定其响应是否有效的标准。任何品牌的供应商均可依法参加本项目的采购活动。</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10.4 本条所指证明文件不包括对磋商文件相关部分的文字、图标的复制。</w:t>
      </w:r>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89" w:name="_Toc2248"/>
      <w:bookmarkStart w:id="90" w:name="_Toc515647770"/>
      <w:bookmarkStart w:id="91" w:name="_Toc2582276"/>
      <w:bookmarkStart w:id="92" w:name="_Toc23231"/>
      <w:bookmarkStart w:id="93" w:name="_Toc520356155"/>
      <w:bookmarkStart w:id="94" w:name="_Toc532473462"/>
      <w:r>
        <w:rPr>
          <w:rFonts w:hint="eastAsia" w:ascii="宋体" w:hAnsi="宋体" w:eastAsia="宋体" w:cs="宋体"/>
          <w:sz w:val="24"/>
          <w:szCs w:val="24"/>
          <w:u w:val="none"/>
        </w:rPr>
        <w:t>11.投标报价</w:t>
      </w:r>
      <w:bookmarkEnd w:id="89"/>
      <w:bookmarkEnd w:id="90"/>
      <w:bookmarkEnd w:id="91"/>
      <w:bookmarkEnd w:id="92"/>
      <w:bookmarkEnd w:id="93"/>
      <w:bookmarkEnd w:id="94"/>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11.1供应商的报价应当包括满足本次磋商全部采购需求所应提供的货物，以及伴随的服务和工程。所有响应均应以人民币报价。</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11.2供应商应在价格明细表上标明响应货物及相关服务的单价（如适用）和总价，并由法定代表人或其授权代表签署。</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11.3价格明细表上的价格应包括：响应货物（包括备品备件、专用工具等）的价格（包</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括已在中国国内的进口货物完税后的仓库交货价、展室交货价或货架交货价），投标货物运输（含保险）、安装（如有）、调试、检验、技术服务、培训和招标文件要求提供的所有伴随服务、工程等费用；</w:t>
      </w:r>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95" w:name="_Toc515647771"/>
      <w:bookmarkStart w:id="96" w:name="_Toc11514"/>
      <w:bookmarkStart w:id="97" w:name="_Ref467306513"/>
      <w:bookmarkStart w:id="98" w:name="_Toc2582277"/>
      <w:bookmarkStart w:id="99" w:name="_Toc532473463"/>
      <w:bookmarkStart w:id="100" w:name="_Toc520356156"/>
      <w:bookmarkStart w:id="101" w:name="_Toc17788"/>
      <w:r>
        <w:rPr>
          <w:rFonts w:hint="eastAsia" w:ascii="宋体" w:hAnsi="宋体" w:eastAsia="宋体" w:cs="宋体"/>
          <w:sz w:val="24"/>
          <w:szCs w:val="24"/>
          <w:u w:val="none"/>
        </w:rPr>
        <w:t>12.</w:t>
      </w:r>
      <w:r>
        <w:rPr>
          <w:rFonts w:hint="eastAsia" w:ascii="宋体" w:hAnsi="宋体" w:eastAsia="宋体" w:cs="宋体"/>
          <w:sz w:val="24"/>
          <w:szCs w:val="24"/>
          <w:u w:val="none"/>
          <w:lang w:eastAsia="zh-CN"/>
        </w:rPr>
        <w:t>响应</w:t>
      </w:r>
      <w:r>
        <w:rPr>
          <w:rFonts w:hint="eastAsia" w:ascii="宋体" w:hAnsi="宋体" w:eastAsia="宋体" w:cs="宋体"/>
          <w:sz w:val="24"/>
          <w:szCs w:val="24"/>
          <w:u w:val="none"/>
        </w:rPr>
        <w:t>保证金</w:t>
      </w:r>
      <w:bookmarkEnd w:id="95"/>
      <w:bookmarkEnd w:id="96"/>
      <w:bookmarkEnd w:id="97"/>
      <w:bookmarkEnd w:id="98"/>
      <w:bookmarkEnd w:id="99"/>
      <w:bookmarkEnd w:id="100"/>
      <w:bookmarkEnd w:id="101"/>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bookmarkStart w:id="102" w:name="_Ref467306302"/>
      <w:r>
        <w:rPr>
          <w:rFonts w:hint="eastAsia" w:ascii="宋体" w:hAnsi="宋体" w:eastAsia="宋体" w:cs="宋体"/>
          <w:sz w:val="24"/>
          <w:szCs w:val="24"/>
        </w:rPr>
        <w:t>12.1</w:t>
      </w:r>
      <w:r>
        <w:rPr>
          <w:rFonts w:hint="eastAsia" w:ascii="宋体" w:hAnsi="宋体" w:eastAsia="宋体" w:cs="宋体"/>
          <w:sz w:val="24"/>
          <w:szCs w:val="24"/>
          <w:lang w:val="en-US" w:eastAsia="zh-CN"/>
        </w:rPr>
        <w:t>保</w:t>
      </w:r>
      <w:r>
        <w:rPr>
          <w:rFonts w:hint="eastAsia" w:ascii="宋体" w:hAnsi="宋体" w:eastAsia="宋体" w:cs="宋体"/>
          <w:sz w:val="24"/>
          <w:szCs w:val="24"/>
        </w:rPr>
        <w:t>证金是</w:t>
      </w:r>
      <w:r>
        <w:rPr>
          <w:rFonts w:hint="eastAsia" w:ascii="宋体" w:hAnsi="宋体" w:eastAsia="宋体" w:cs="宋体"/>
          <w:sz w:val="24"/>
          <w:szCs w:val="24"/>
          <w:lang w:eastAsia="zh-CN"/>
        </w:rPr>
        <w:t>磋商</w:t>
      </w:r>
      <w:r>
        <w:rPr>
          <w:rFonts w:hint="eastAsia" w:ascii="宋体" w:hAnsi="宋体" w:eastAsia="宋体" w:cs="宋体"/>
          <w:sz w:val="24"/>
          <w:szCs w:val="24"/>
        </w:rPr>
        <w:t>文件的组成部分</w:t>
      </w:r>
      <w:r>
        <w:rPr>
          <w:rFonts w:hint="eastAsia" w:ascii="宋体" w:hAnsi="宋体" w:eastAsia="宋体" w:cs="宋体"/>
          <w:sz w:val="24"/>
          <w:szCs w:val="24"/>
          <w:lang w:eastAsia="zh-CN"/>
        </w:rPr>
        <w:t>。本项目要求供应商提交响应保证金的，应当在磋商文件中明确保证金的数额及缴纳形式。</w:t>
      </w:r>
    </w:p>
    <w:p>
      <w:pPr>
        <w:pageBreakBefore w:val="0"/>
        <w:widowControl w:val="0"/>
        <w:kinsoku/>
        <w:wordWrap/>
        <w:overflowPunct/>
        <w:topLinePunct w:val="0"/>
        <w:bidi w:val="0"/>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12.2 供应商</w:t>
      </w:r>
      <w:r>
        <w:rPr>
          <w:rFonts w:hint="eastAsia" w:ascii="宋体" w:hAnsi="宋体" w:eastAsia="宋体" w:cs="宋体"/>
          <w:b w:val="0"/>
          <w:bCs w:val="0"/>
          <w:sz w:val="24"/>
          <w:szCs w:val="24"/>
        </w:rPr>
        <w:t>未在规定时间内缴纳保证金或保证金数额不足以及未按</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文件规定交纳保证金的，</w:t>
      </w:r>
      <w:r>
        <w:rPr>
          <w:rFonts w:hint="eastAsia" w:ascii="宋体" w:hAnsi="宋体" w:eastAsia="宋体" w:cs="宋体"/>
          <w:b w:val="0"/>
          <w:bCs w:val="0"/>
          <w:sz w:val="24"/>
          <w:szCs w:val="24"/>
          <w:lang w:eastAsia="zh-CN"/>
        </w:rPr>
        <w:t>其响应将被认定为响应无效</w:t>
      </w:r>
      <w:r>
        <w:rPr>
          <w:rFonts w:hint="eastAsia" w:ascii="宋体" w:hAnsi="宋体" w:eastAsia="宋体" w:cs="宋体"/>
          <w:b w:val="0"/>
          <w:bCs w:val="0"/>
          <w:sz w:val="24"/>
          <w:szCs w:val="24"/>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Cs/>
          <w:sz w:val="24"/>
          <w:szCs w:val="24"/>
        </w:rPr>
        <w:t xml:space="preserve">12.3 </w:t>
      </w:r>
      <w:r>
        <w:rPr>
          <w:rFonts w:hint="eastAsia" w:ascii="宋体" w:hAnsi="宋体" w:eastAsia="宋体" w:cs="宋体"/>
          <w:b w:val="0"/>
          <w:bCs w:val="0"/>
          <w:kern w:val="2"/>
          <w:sz w:val="24"/>
          <w:szCs w:val="24"/>
          <w:lang w:val="en-US" w:eastAsia="zh-CN" w:bidi="ar-SA"/>
        </w:rPr>
        <w:t>采购人或者采购代理机构应当自成交通知书发出之日起5个工作日内退还未成交供应商的响应保证金；自采购合同签订之日起5个工作日内退还成交供应商的响应保证金。</w:t>
      </w:r>
    </w:p>
    <w:p>
      <w:pPr>
        <w:pStyle w:val="3"/>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12.4  供应商有下列情形之一的，保证金不予退还：</w:t>
      </w:r>
    </w:p>
    <w:p>
      <w:pPr>
        <w:pStyle w:val="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12.4.1供应商在提交响应文件截止时间后撤回响应文件的；</w:t>
      </w:r>
    </w:p>
    <w:p>
      <w:pPr>
        <w:pStyle w:val="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12.4.2供应商在响应文件中提供虚假材料的；</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12.4.3除因不可抗力或磋商文件认可的情形之外，成交供应商不与采购人签订合同的；</w:t>
      </w:r>
    </w:p>
    <w:p>
      <w:pPr>
        <w:pStyle w:val="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12.4.4供应商与采购人、其他供应商或者采购代理机构恶意串通的；</w:t>
      </w:r>
    </w:p>
    <w:p>
      <w:pPr>
        <w:pStyle w:val="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12.4.5</w:t>
      </w:r>
      <w:r>
        <w:rPr>
          <w:rFonts w:hint="eastAsia" w:ascii="宋体" w:hAnsi="宋体" w:eastAsia="宋体" w:cs="宋体"/>
          <w:sz w:val="24"/>
          <w:szCs w:val="24"/>
          <w:lang w:eastAsia="zh-CN"/>
        </w:rPr>
        <w:t>磋商</w:t>
      </w:r>
      <w:r>
        <w:rPr>
          <w:rFonts w:hint="eastAsia" w:ascii="宋体" w:hAnsi="宋体" w:eastAsia="宋体" w:cs="宋体"/>
          <w:b w:val="0"/>
          <w:bCs w:val="0"/>
          <w:kern w:val="2"/>
          <w:sz w:val="24"/>
          <w:szCs w:val="24"/>
          <w:lang w:val="en-US" w:eastAsia="zh-CN" w:bidi="ar-SA"/>
        </w:rPr>
        <w:t>文件规定的其他情形。</w:t>
      </w:r>
    </w:p>
    <w:bookmarkEnd w:id="102"/>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103" w:name="_Toc520356157"/>
      <w:bookmarkStart w:id="104" w:name="_Toc532473464"/>
      <w:bookmarkStart w:id="105" w:name="_Toc23590"/>
      <w:bookmarkStart w:id="106" w:name="_Toc2582278"/>
      <w:bookmarkStart w:id="107" w:name="_Toc32569"/>
      <w:bookmarkStart w:id="108" w:name="_Toc515647772"/>
      <w:r>
        <w:rPr>
          <w:rFonts w:hint="eastAsia" w:ascii="宋体" w:hAnsi="宋体" w:eastAsia="宋体" w:cs="宋体"/>
          <w:sz w:val="24"/>
          <w:szCs w:val="24"/>
          <w:u w:val="none"/>
        </w:rPr>
        <w:t>13.</w:t>
      </w:r>
      <w:r>
        <w:rPr>
          <w:rFonts w:hint="eastAsia" w:ascii="宋体" w:hAnsi="宋体" w:eastAsia="宋体" w:cs="宋体"/>
          <w:sz w:val="24"/>
          <w:szCs w:val="24"/>
          <w:u w:val="none"/>
          <w:lang w:eastAsia="zh-CN"/>
        </w:rPr>
        <w:t>响应</w:t>
      </w:r>
      <w:r>
        <w:rPr>
          <w:rFonts w:hint="eastAsia" w:ascii="宋体" w:hAnsi="宋体" w:eastAsia="宋体" w:cs="宋体"/>
          <w:sz w:val="24"/>
          <w:szCs w:val="24"/>
          <w:u w:val="none"/>
        </w:rPr>
        <w:t>有效期</w:t>
      </w:r>
      <w:bookmarkEnd w:id="103"/>
      <w:bookmarkEnd w:id="104"/>
      <w:bookmarkEnd w:id="105"/>
      <w:bookmarkEnd w:id="106"/>
      <w:bookmarkEnd w:id="107"/>
      <w:bookmarkEnd w:id="108"/>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13.1 响应应在供应商须知前附表中规定时间内保持有效。响应有效期不满足要求的响应，其响应将被认定为响应无效。</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13.2 因特殊原因，采购人或采购代理机构可在原响应有效期截止之前，要求供应商延长响应文件的有效期。供应商也可以拒绝延长响应有效期的要求，且不承担任何责任。</w:t>
      </w:r>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109" w:name="_Toc493"/>
      <w:bookmarkStart w:id="110" w:name="_Toc532473465"/>
      <w:bookmarkStart w:id="111" w:name="_Toc515647773"/>
      <w:bookmarkStart w:id="112" w:name="_Toc520356158"/>
      <w:bookmarkStart w:id="113" w:name="_Toc17074"/>
      <w:bookmarkStart w:id="114" w:name="_Toc2582279"/>
      <w:r>
        <w:rPr>
          <w:rFonts w:hint="eastAsia" w:ascii="宋体" w:hAnsi="宋体" w:eastAsia="宋体" w:cs="宋体"/>
          <w:sz w:val="24"/>
          <w:szCs w:val="24"/>
          <w:u w:val="none"/>
        </w:rPr>
        <w:t>14.</w:t>
      </w:r>
      <w:r>
        <w:rPr>
          <w:rFonts w:hint="eastAsia" w:ascii="宋体" w:hAnsi="宋体" w:eastAsia="宋体" w:cs="宋体"/>
          <w:sz w:val="24"/>
          <w:szCs w:val="24"/>
          <w:u w:val="none"/>
          <w:lang w:eastAsia="zh-CN"/>
        </w:rPr>
        <w:t>响应</w:t>
      </w:r>
      <w:r>
        <w:rPr>
          <w:rFonts w:hint="eastAsia" w:ascii="宋体" w:hAnsi="宋体" w:eastAsia="宋体" w:cs="宋体"/>
          <w:sz w:val="24"/>
          <w:szCs w:val="24"/>
          <w:u w:val="none"/>
        </w:rPr>
        <w:t>文件的</w:t>
      </w:r>
      <w:bookmarkEnd w:id="109"/>
      <w:bookmarkEnd w:id="110"/>
      <w:bookmarkEnd w:id="111"/>
      <w:bookmarkEnd w:id="112"/>
      <w:bookmarkEnd w:id="113"/>
      <w:r>
        <w:rPr>
          <w:rFonts w:hint="eastAsia" w:ascii="宋体" w:hAnsi="宋体" w:eastAsia="宋体" w:cs="宋体"/>
          <w:sz w:val="24"/>
          <w:szCs w:val="24"/>
          <w:u w:val="none"/>
        </w:rPr>
        <w:t>制作</w:t>
      </w:r>
      <w:bookmarkEnd w:id="114"/>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14.1 供应商应按供应商须知前附表中的规定，准备和递交响应文件。电子响应文件需符合以下要求：详见供应商须知前附表</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14.2响应文件需由供应商的法定代表人或经其正式委托代理人按磋商文件规定在响</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应文件上签字并加盖公章。委托代理人须持有书面的“法定代表人授权委托书”，并将其附在响应文件中。未按磋商文件要求签署和盖章的响应文件，其响应将被认定为响应无效。</w:t>
      </w:r>
    </w:p>
    <w:p>
      <w:pPr>
        <w:pStyle w:val="3"/>
        <w:pageBreakBefore w:val="0"/>
        <w:widowControl w:val="0"/>
        <w:kinsoku/>
        <w:wordWrap/>
        <w:overflowPunct/>
        <w:topLinePunct w:val="0"/>
        <w:bidi w:val="0"/>
        <w:snapToGrid/>
        <w:spacing w:before="0" w:beforeLines="0" w:after="0" w:afterLines="0" w:line="360" w:lineRule="auto"/>
        <w:jc w:val="center"/>
        <w:textAlignment w:val="auto"/>
        <w:rPr>
          <w:rFonts w:hint="eastAsia" w:ascii="宋体" w:hAnsi="宋体" w:eastAsia="宋体" w:cs="宋体"/>
          <w:sz w:val="24"/>
          <w:szCs w:val="24"/>
        </w:rPr>
      </w:pPr>
      <w:bookmarkStart w:id="115" w:name="_Toc2582280"/>
      <w:bookmarkStart w:id="116" w:name="_Toc16865"/>
      <w:bookmarkStart w:id="117" w:name="_Toc11179"/>
      <w:bookmarkStart w:id="118" w:name="_Toc216582808"/>
      <w:bookmarkStart w:id="119" w:name="_Toc532473466"/>
      <w:bookmarkStart w:id="120" w:name="_Toc520356159"/>
      <w:bookmarkStart w:id="121" w:name="_Toc515647774"/>
      <w:r>
        <w:rPr>
          <w:rFonts w:hint="eastAsia" w:ascii="宋体" w:hAnsi="宋体" w:eastAsia="宋体" w:cs="宋体"/>
          <w:sz w:val="24"/>
          <w:szCs w:val="24"/>
          <w:lang w:eastAsia="zh-CN"/>
        </w:rPr>
        <w:t>（四）响应</w:t>
      </w:r>
      <w:r>
        <w:rPr>
          <w:rFonts w:hint="eastAsia" w:ascii="宋体" w:hAnsi="宋体" w:eastAsia="宋体" w:cs="宋体"/>
          <w:sz w:val="24"/>
          <w:szCs w:val="24"/>
        </w:rPr>
        <w:t>文件的递交</w:t>
      </w:r>
      <w:bookmarkEnd w:id="115"/>
      <w:bookmarkEnd w:id="116"/>
      <w:bookmarkEnd w:id="117"/>
      <w:bookmarkEnd w:id="118"/>
      <w:bookmarkEnd w:id="119"/>
      <w:bookmarkEnd w:id="120"/>
      <w:bookmarkEnd w:id="121"/>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122" w:name="_Toc532473467"/>
      <w:bookmarkStart w:id="123" w:name="_Toc515647775"/>
      <w:bookmarkStart w:id="124" w:name="_Toc2582281"/>
      <w:bookmarkStart w:id="125" w:name="_Toc32337"/>
      <w:bookmarkStart w:id="126" w:name="_Toc520356160"/>
      <w:bookmarkStart w:id="127" w:name="_Toc21645"/>
      <w:r>
        <w:rPr>
          <w:rFonts w:hint="eastAsia" w:ascii="宋体" w:hAnsi="宋体" w:eastAsia="宋体" w:cs="宋体"/>
          <w:sz w:val="24"/>
          <w:szCs w:val="24"/>
          <w:u w:val="none"/>
        </w:rPr>
        <w:t>15.</w:t>
      </w:r>
      <w:r>
        <w:rPr>
          <w:rFonts w:hint="eastAsia" w:ascii="宋体" w:hAnsi="宋体" w:eastAsia="宋体" w:cs="宋体"/>
          <w:sz w:val="24"/>
          <w:szCs w:val="24"/>
          <w:u w:val="none"/>
          <w:lang w:eastAsia="zh-CN"/>
        </w:rPr>
        <w:t>响应</w:t>
      </w:r>
      <w:r>
        <w:rPr>
          <w:rFonts w:hint="eastAsia" w:ascii="宋体" w:hAnsi="宋体" w:eastAsia="宋体" w:cs="宋体"/>
          <w:sz w:val="24"/>
          <w:szCs w:val="24"/>
          <w:u w:val="none"/>
        </w:rPr>
        <w:t>文件的密封和标记</w:t>
      </w:r>
      <w:bookmarkEnd w:id="122"/>
      <w:bookmarkEnd w:id="123"/>
      <w:bookmarkEnd w:id="124"/>
      <w:bookmarkEnd w:id="125"/>
      <w:bookmarkEnd w:id="126"/>
      <w:bookmarkEnd w:id="127"/>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eastAsia="zh-CN"/>
        </w:rPr>
        <w:t>响应文件的制作应按照磋商文件的要求进行制作并递交。响应</w:t>
      </w:r>
      <w:r>
        <w:rPr>
          <w:rFonts w:hint="eastAsia" w:ascii="宋体" w:hAnsi="宋体" w:eastAsia="宋体" w:cs="宋体"/>
          <w:sz w:val="24"/>
          <w:szCs w:val="24"/>
        </w:rPr>
        <w:t>文件应当用不能</w:t>
      </w:r>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lang w:eastAsia="zh-CN"/>
        </w:rPr>
      </w:pPr>
      <w:r>
        <w:rPr>
          <w:rFonts w:hint="eastAsia" w:ascii="宋体" w:hAnsi="宋体" w:eastAsia="宋体" w:cs="宋体"/>
          <w:sz w:val="24"/>
          <w:szCs w:val="24"/>
        </w:rPr>
        <w:t>被他人知悉或更换</w:t>
      </w:r>
      <w:r>
        <w:rPr>
          <w:rFonts w:hint="eastAsia" w:ascii="宋体" w:hAnsi="宋体" w:eastAsia="宋体" w:cs="宋体"/>
          <w:sz w:val="24"/>
          <w:szCs w:val="24"/>
          <w:lang w:eastAsia="zh-CN"/>
        </w:rPr>
        <w:t>响应</w:t>
      </w:r>
      <w:r>
        <w:rPr>
          <w:rFonts w:hint="eastAsia" w:ascii="宋体" w:hAnsi="宋体" w:eastAsia="宋体" w:cs="宋体"/>
          <w:sz w:val="24"/>
          <w:szCs w:val="24"/>
        </w:rPr>
        <w:t>文件内容的方式密封</w:t>
      </w:r>
      <w:r>
        <w:rPr>
          <w:rFonts w:hint="eastAsia" w:ascii="宋体" w:hAnsi="宋体" w:eastAsia="宋体" w:cs="宋体"/>
          <w:sz w:val="24"/>
          <w:szCs w:val="24"/>
          <w:lang w:eastAsia="zh-CN"/>
        </w:rPr>
        <w:t>。</w:t>
      </w:r>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15.2 纸质</w:t>
      </w:r>
      <w:r>
        <w:rPr>
          <w:rFonts w:hint="eastAsia" w:ascii="宋体" w:hAnsi="宋体" w:eastAsia="宋体" w:cs="宋体"/>
          <w:sz w:val="24"/>
          <w:szCs w:val="24"/>
          <w:lang w:eastAsia="zh-CN"/>
        </w:rPr>
        <w:t>响应</w:t>
      </w:r>
      <w:r>
        <w:rPr>
          <w:rFonts w:hint="eastAsia" w:ascii="宋体" w:hAnsi="宋体" w:eastAsia="宋体" w:cs="宋体"/>
          <w:sz w:val="24"/>
          <w:szCs w:val="24"/>
          <w:lang w:val="en-US" w:eastAsia="zh-CN"/>
        </w:rPr>
        <w:t>文件密封和递交要求：</w:t>
      </w:r>
      <w:r>
        <w:rPr>
          <w:rFonts w:hint="eastAsia" w:ascii="宋体" w:hAnsi="宋体" w:eastAsia="宋体" w:cs="宋体"/>
          <w:sz w:val="24"/>
          <w:szCs w:val="24"/>
          <w:u w:val="single"/>
          <w:lang w:val="en-US" w:eastAsia="zh-CN"/>
        </w:rPr>
        <w:t>详见供应商须知前附表</w:t>
      </w:r>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15.</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lang w:eastAsia="zh-CN"/>
        </w:rPr>
        <w:t>电子响应文件密封和递交要求：</w:t>
      </w:r>
      <w:r>
        <w:rPr>
          <w:rFonts w:hint="eastAsia" w:ascii="宋体" w:hAnsi="宋体" w:eastAsia="宋体" w:cs="宋体"/>
          <w:sz w:val="24"/>
          <w:szCs w:val="24"/>
          <w:u w:val="single"/>
          <w:lang w:val="en-US" w:eastAsia="zh-CN"/>
        </w:rPr>
        <w:t>详见供应商须知前附表</w:t>
      </w:r>
      <w:bookmarkStart w:id="128" w:name="_Toc2582282"/>
      <w:bookmarkStart w:id="129" w:name="_Toc9840"/>
      <w:bookmarkStart w:id="130" w:name="_Toc12751"/>
      <w:bookmarkStart w:id="131" w:name="_Toc532473468"/>
      <w:bookmarkStart w:id="132" w:name="_Toc515647776"/>
      <w:bookmarkStart w:id="133" w:name="_Toc520356161"/>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u w:val="none"/>
        </w:rPr>
      </w:pPr>
      <w:r>
        <w:rPr>
          <w:rFonts w:hint="eastAsia" w:ascii="宋体" w:hAnsi="宋体" w:eastAsia="宋体" w:cs="宋体"/>
          <w:sz w:val="24"/>
          <w:szCs w:val="24"/>
          <w:u w:val="none"/>
        </w:rPr>
        <w:t>16.</w:t>
      </w:r>
      <w:r>
        <w:rPr>
          <w:rFonts w:hint="eastAsia" w:ascii="宋体" w:hAnsi="宋体" w:eastAsia="宋体" w:cs="宋体"/>
          <w:sz w:val="24"/>
          <w:szCs w:val="24"/>
          <w:u w:val="none"/>
          <w:lang w:eastAsia="zh-CN"/>
        </w:rPr>
        <w:t>响应</w:t>
      </w:r>
      <w:r>
        <w:rPr>
          <w:rFonts w:hint="eastAsia" w:ascii="宋体" w:hAnsi="宋体" w:eastAsia="宋体" w:cs="宋体"/>
          <w:sz w:val="24"/>
          <w:szCs w:val="24"/>
          <w:u w:val="none"/>
        </w:rPr>
        <w:t>截止</w:t>
      </w:r>
      <w:bookmarkEnd w:id="128"/>
      <w:bookmarkEnd w:id="129"/>
      <w:bookmarkEnd w:id="130"/>
      <w:bookmarkEnd w:id="131"/>
      <w:bookmarkEnd w:id="132"/>
      <w:bookmarkEnd w:id="133"/>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16.1供应商应在供应商须知前附表中规定的截止时间前，将响应文件递交到竞争性磋商公告中规定的地点。</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16.2采购人和采购代理机构将拒绝接收在响应截止时间后送达响应文件。</w:t>
      </w:r>
      <w:bookmarkStart w:id="134" w:name="_Toc2582283"/>
      <w:bookmarkStart w:id="135" w:name="_Toc18537"/>
      <w:bookmarkStart w:id="136" w:name="_Toc515647777"/>
      <w:bookmarkStart w:id="137" w:name="_Toc24275"/>
      <w:bookmarkStart w:id="138" w:name="_Toc532473469"/>
      <w:bookmarkStart w:id="139" w:name="_Toc520356162"/>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17</w:t>
      </w:r>
      <w:r>
        <w:rPr>
          <w:rFonts w:hint="eastAsia" w:ascii="宋体" w:hAnsi="宋体" w:eastAsia="宋体" w:cs="宋体"/>
          <w:b w:val="0"/>
          <w:bCs w:val="0"/>
          <w:kern w:val="2"/>
          <w:sz w:val="24"/>
          <w:szCs w:val="24"/>
          <w:lang w:val="en-US" w:eastAsia="zh-CN" w:bidi="ar-SA"/>
        </w:rPr>
        <w:t>响应文件的接收、修改与撤回</w:t>
      </w:r>
      <w:bookmarkEnd w:id="134"/>
      <w:bookmarkEnd w:id="135"/>
      <w:bookmarkEnd w:id="136"/>
      <w:bookmarkEnd w:id="137"/>
      <w:bookmarkEnd w:id="138"/>
      <w:bookmarkEnd w:id="139"/>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17.1</w:t>
      </w:r>
      <w:r>
        <w:rPr>
          <w:rFonts w:hint="eastAsia" w:ascii="宋体" w:hAnsi="宋体" w:eastAsia="宋体" w:cs="宋体"/>
          <w:b w:val="0"/>
          <w:bCs w:val="0"/>
          <w:kern w:val="2"/>
          <w:sz w:val="24"/>
          <w:szCs w:val="24"/>
          <w:lang w:val="en-US" w:eastAsia="zh-CN" w:bidi="ar-SA"/>
        </w:rPr>
        <w:t>采购人和采购代理机构将按磋商文件规定的时间和地点接收响应文件。</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17.2 递交响应文件以后，如果供应商要进行修改，须在响应截止时间前提出申请，供应商对响应文件的修改申请应按本须知规定编制、签署、密封。采购人和采购代理机构将予以接收，并视为响应文件的组成部分。递交响应文件以后，如果供应商要进行撤回的，须在响应截止时间前提出申请，采购人和采购代理机构将予以接受。</w:t>
      </w:r>
      <w:bookmarkStart w:id="140" w:name="_Toc216582809"/>
      <w:bookmarkStart w:id="141" w:name="_Toc2582284"/>
      <w:bookmarkStart w:id="142" w:name="_Toc515647778"/>
      <w:bookmarkStart w:id="143" w:name="_Toc532473470"/>
      <w:bookmarkStart w:id="144" w:name="_Toc28398"/>
      <w:bookmarkStart w:id="145" w:name="_Toc12436"/>
      <w:bookmarkStart w:id="146" w:name="_Toc520356163"/>
    </w:p>
    <w:p>
      <w:pPr>
        <w:pStyle w:val="3"/>
        <w:pageBreakBefore w:val="0"/>
        <w:widowControl w:val="0"/>
        <w:kinsoku/>
        <w:wordWrap/>
        <w:overflowPunct/>
        <w:topLinePunct w:val="0"/>
        <w:bidi w:val="0"/>
        <w:snapToGrid/>
        <w:spacing w:before="0" w:beforeLines="0" w:after="0" w:afterLines="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w:t>
      </w:r>
      <w:r>
        <w:rPr>
          <w:rFonts w:hint="eastAsia" w:ascii="宋体" w:hAnsi="宋体" w:eastAsia="宋体" w:cs="宋体"/>
          <w:b/>
          <w:bCs/>
          <w:sz w:val="24"/>
          <w:szCs w:val="24"/>
          <w:lang w:eastAsia="zh-CN"/>
        </w:rPr>
        <w:t>）</w:t>
      </w:r>
      <w:bookmarkEnd w:id="140"/>
      <w:bookmarkEnd w:id="141"/>
      <w:bookmarkEnd w:id="142"/>
      <w:bookmarkEnd w:id="143"/>
      <w:bookmarkEnd w:id="144"/>
      <w:bookmarkEnd w:id="145"/>
      <w:bookmarkEnd w:id="146"/>
      <w:r>
        <w:rPr>
          <w:rFonts w:hint="eastAsia" w:ascii="宋体" w:hAnsi="宋体" w:eastAsia="宋体" w:cs="宋体"/>
          <w:b/>
          <w:bCs/>
          <w:kern w:val="2"/>
          <w:sz w:val="24"/>
          <w:szCs w:val="24"/>
          <w:lang w:val="en-US" w:eastAsia="zh-CN" w:bidi="ar-SA"/>
        </w:rPr>
        <w:t>磋商</w:t>
      </w:r>
      <w:r>
        <w:rPr>
          <w:rFonts w:hint="eastAsia" w:ascii="宋体" w:hAnsi="宋体" w:eastAsia="宋体" w:cs="宋体"/>
          <w:sz w:val="24"/>
          <w:szCs w:val="24"/>
          <w:lang w:eastAsia="zh-CN"/>
        </w:rPr>
        <w:t>评审</w:t>
      </w:r>
    </w:p>
    <w:p>
      <w:pPr>
        <w:pStyle w:val="5"/>
        <w:pageBreakBefore w:val="0"/>
        <w:widowControl w:val="0"/>
        <w:numPr>
          <w:ilvl w:val="0"/>
          <w:numId w:val="0"/>
        </w:numPr>
        <w:kinsoku/>
        <w:wordWrap/>
        <w:overflowPunct/>
        <w:topLinePunct w:val="0"/>
        <w:bidi w:val="0"/>
        <w:snapToGrid/>
        <w:spacing w:before="0" w:after="0" w:line="360" w:lineRule="auto"/>
        <w:textAlignment w:val="auto"/>
        <w:rPr>
          <w:rFonts w:hint="eastAsia" w:ascii="宋体" w:hAnsi="宋体" w:eastAsia="宋体" w:cs="宋体"/>
          <w:sz w:val="24"/>
          <w:szCs w:val="24"/>
          <w:lang w:eastAsia="zh-CN"/>
        </w:rPr>
      </w:pPr>
      <w:bookmarkStart w:id="147" w:name="_Toc520356164"/>
      <w:bookmarkStart w:id="148" w:name="_Toc7186"/>
      <w:bookmarkStart w:id="149" w:name="_Toc515647779"/>
      <w:bookmarkStart w:id="150" w:name="_Toc532473471"/>
      <w:bookmarkStart w:id="151" w:name="_Toc25345"/>
      <w:bookmarkStart w:id="152" w:name="_Toc2582285"/>
      <w:r>
        <w:rPr>
          <w:rFonts w:hint="eastAsia" w:ascii="宋体" w:hAnsi="宋体" w:eastAsia="宋体" w:cs="宋体"/>
          <w:sz w:val="24"/>
          <w:szCs w:val="24"/>
          <w:u w:val="none"/>
          <w:lang w:val="en-US" w:eastAsia="zh-CN"/>
        </w:rPr>
        <w:t>18.</w:t>
      </w:r>
      <w:bookmarkEnd w:id="147"/>
      <w:bookmarkEnd w:id="148"/>
      <w:bookmarkEnd w:id="149"/>
      <w:bookmarkEnd w:id="150"/>
      <w:bookmarkEnd w:id="151"/>
      <w:bookmarkEnd w:id="152"/>
      <w:r>
        <w:rPr>
          <w:rFonts w:hint="eastAsia" w:ascii="宋体" w:hAnsi="宋体" w:eastAsia="宋体" w:cs="宋体"/>
          <w:sz w:val="24"/>
          <w:szCs w:val="24"/>
          <w:u w:val="none"/>
          <w:lang w:eastAsia="zh-CN"/>
        </w:rPr>
        <w:t>成立磋商小组</w:t>
      </w:r>
    </w:p>
    <w:p>
      <w:pPr>
        <w:pStyle w:val="3"/>
        <w:pageBreakBefore w:val="0"/>
        <w:kinsoku/>
        <w:wordWrap/>
        <w:overflowPunct/>
        <w:topLinePunct w:val="0"/>
        <w:bidi w:val="0"/>
        <w:snapToGrid/>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18.1  磋商小组由评审专家共3人以上的单数组成，其中评审专家人数不得少于磋商小组成员总数的三分之二。</w:t>
      </w:r>
    </w:p>
    <w:p>
      <w:pPr>
        <w:pStyle w:val="3"/>
        <w:pageBreakBefore w:val="0"/>
        <w:kinsoku/>
        <w:wordWrap/>
        <w:overflowPunct/>
        <w:topLinePunct w:val="0"/>
        <w:bidi w:val="0"/>
        <w:snapToGrid/>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18.2  采购人、采购代理机构根据磋商文件规定的程序和标准对供应商递交的响应文件进行资格性审查，确定供应商是否具有参加磋商的资格。</w:t>
      </w:r>
    </w:p>
    <w:p>
      <w:pPr>
        <w:pStyle w:val="3"/>
        <w:pageBreakBefore w:val="0"/>
        <w:kinsoku/>
        <w:wordWrap/>
        <w:overflowPunct/>
        <w:topLinePunct w:val="0"/>
        <w:bidi w:val="0"/>
        <w:snapToGrid/>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18.3  采购人或采购代理机构将按供应商须知前附表中规定的时间查询供应商的信用记录。</w:t>
      </w:r>
    </w:p>
    <w:p>
      <w:pPr>
        <w:pStyle w:val="3"/>
        <w:pageBreakBefore w:val="0"/>
        <w:kinsoku/>
        <w:wordWrap/>
        <w:overflowPunct/>
        <w:topLinePunct w:val="0"/>
        <w:bidi w:val="0"/>
        <w:snapToGrid/>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18.3.1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响应将被认定为响应无效。以联合体形式参加投标的，联合体任何成员存在以上不良信用记录的，联合体响应将被认定为响应无效。</w:t>
      </w:r>
    </w:p>
    <w:p>
      <w:pPr>
        <w:pStyle w:val="3"/>
        <w:pageBreakBefore w:val="0"/>
        <w:kinsoku/>
        <w:wordWrap/>
        <w:overflowPunct/>
        <w:topLinePunct w:val="0"/>
        <w:bidi w:val="0"/>
        <w:snapToGrid/>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18.3.2 采购人或采购代理机构经办人将查询网页存档备查。供应商不良信用记录以采购人或采购代理机构查询结果为准。供应商自行提供的与网站信息不一致的其他证明材料亦不作为资格审查依据。在本磋商文件规定的查询时间之外，网站信息发生的任何变更均不作为资格审查依据。</w:t>
      </w:r>
    </w:p>
    <w:p>
      <w:pPr>
        <w:pStyle w:val="3"/>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19.</w:t>
      </w:r>
      <w:r>
        <w:rPr>
          <w:rFonts w:hint="eastAsia" w:ascii="宋体" w:hAnsi="宋体" w:eastAsia="宋体" w:cs="宋体"/>
          <w:b/>
          <w:bCs/>
          <w:kern w:val="2"/>
          <w:sz w:val="24"/>
          <w:szCs w:val="24"/>
          <w:lang w:val="en-US" w:eastAsia="zh-CN" w:bidi="ar-SA"/>
        </w:rPr>
        <w:t>磋商</w:t>
      </w:r>
    </w:p>
    <w:p>
      <w:pPr>
        <w:pStyle w:val="3"/>
        <w:pageBreakBefore w:val="0"/>
        <w:kinsoku/>
        <w:wordWrap/>
        <w:overflowPunct/>
        <w:topLinePunct w:val="0"/>
        <w:bidi w:val="0"/>
        <w:snapToGrid/>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19.1 磋商小组应当按照客观、公正、审慎的原则，根据磋商文件规定的评审程序、评审方法和评审标准进行独立评审。磋商小组应当集中与单一供应商分别进行磋商，并了解其报价组成情况。磋商中，磋商的任何一方不得透露与磋商有关的其他供应商的技术资料、价格和其他信息。未实质性响应磋商文件的响应文件按无效响应处理，磋商小组应当告知提交响应文件的供应商。</w:t>
      </w:r>
    </w:p>
    <w:p>
      <w:pPr>
        <w:pStyle w:val="3"/>
        <w:pageBreakBefore w:val="0"/>
        <w:kinsoku/>
        <w:wordWrap/>
        <w:overflowPunct/>
        <w:topLinePunct w:val="0"/>
        <w:bidi w:val="0"/>
        <w:snapToGrid/>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19.2 在磋商过程中，磋商文件内容违反国家有关强制性规定的，磋商小组应当停止评审并向采购人或者采购代理机构说明情况。</w:t>
      </w:r>
    </w:p>
    <w:p>
      <w:pPr>
        <w:pStyle w:val="3"/>
        <w:pageBreakBefore w:val="0"/>
        <w:kinsoku/>
        <w:wordWrap/>
        <w:overflowPunct/>
        <w:topLinePunct w:val="0"/>
        <w:bidi w:val="0"/>
        <w:snapToGrid/>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19.3 磋商小组在对响应文件的有效性、完整性和响应程度进行审查时，可以要求供应商对响应文件中含义不明确、同类问题表述不一致或者由明显文字和计算错误的内容等作出必要的澄清、说明或者更正。</w:t>
      </w:r>
    </w:p>
    <w:p>
      <w:pPr>
        <w:pStyle w:val="3"/>
        <w:pageBreakBefore w:val="0"/>
        <w:kinsoku/>
        <w:wordWrap/>
        <w:overflowPunct/>
        <w:topLinePunct w:val="0"/>
        <w:bidi w:val="0"/>
        <w:snapToGrid/>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19.4 供应商的澄清、说明或者更正不得超出响应文件的范围或者改变响应文件的实质性内容，应当由法定代表人或其授权代表签字或者加盖公章。</w:t>
      </w:r>
    </w:p>
    <w:p>
      <w:pPr>
        <w:pStyle w:val="3"/>
        <w:pageBreakBefore w:val="0"/>
        <w:kinsoku/>
        <w:wordWrap/>
        <w:overflowPunct/>
        <w:topLinePunct w:val="0"/>
        <w:bidi w:val="0"/>
        <w:snapToGrid/>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19.5在磋商过程中,磋商小组可以根据磋商文件和磋商情况实质性变动采购需求中的技术、服务要求以及合同草案条款，但不得变动磋商文件中的其他内容。实质性变动的内容，须经采购人代表确认。</w:t>
      </w:r>
    </w:p>
    <w:p>
      <w:pPr>
        <w:pStyle w:val="3"/>
        <w:pageBreakBefore w:val="0"/>
        <w:kinsoku/>
        <w:wordWrap/>
        <w:overflowPunct/>
        <w:topLinePunct w:val="0"/>
        <w:bidi w:val="0"/>
        <w:snapToGrid/>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19.6对磋商文件作出的实质性变动是磋商文件的有效组成部分, 应通知所有参加磋商的供应商,并给所有磋商供应商提供较充分的修正时间。供应商应当按照磋商文件的变动情况和磋商小组的要求重新提交响应文件，并由其法定代表人或授权代表签字或者加盖公章。</w:t>
      </w:r>
    </w:p>
    <w:p>
      <w:pPr>
        <w:pStyle w:val="3"/>
        <w:pageBreakBefore w:val="0"/>
        <w:kinsoku/>
        <w:wordWrap/>
        <w:overflowPunct/>
        <w:topLinePunct w:val="0"/>
        <w:bidi w:val="0"/>
        <w:snapToGrid/>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19.7 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的，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文件。</w:t>
      </w:r>
    </w:p>
    <w:p>
      <w:pPr>
        <w:pStyle w:val="4"/>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19.8 已提交响应文件的供应商，在提交最后报价之前，可以根据磋商情况退出磋商。采购人、采购代理机构应当退还退出磋商的供应商的保证金。</w:t>
      </w:r>
    </w:p>
    <w:p>
      <w:pPr>
        <w:pStyle w:val="4"/>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19.9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4"/>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19.10 根据《政府采购促进中小企业发展管理办法》（财库[2020]46号）、《财政部 司法部关于政府采购支持监狱企业发展有关问题的通知》（财库〔2014〕68号）和《三部门联合发布关于促进残疾人就业政府采购政策的通知》（</w:t>
      </w:r>
      <w:bookmarkStart w:id="153" w:name="sendNo"/>
      <w:r>
        <w:rPr>
          <w:rFonts w:hint="eastAsia" w:ascii="宋体" w:hAnsi="宋体" w:eastAsia="宋体" w:cs="宋体"/>
          <w:b w:val="0"/>
          <w:bCs w:val="0"/>
          <w:kern w:val="2"/>
          <w:sz w:val="24"/>
          <w:szCs w:val="24"/>
          <w:lang w:val="en-US" w:eastAsia="zh-CN" w:bidi="ar-SA"/>
        </w:rPr>
        <w:t>财库〔</w:t>
      </w:r>
      <w:bookmarkEnd w:id="153"/>
      <w:r>
        <w:rPr>
          <w:rFonts w:hint="eastAsia" w:ascii="宋体" w:hAnsi="宋体" w:eastAsia="宋体" w:cs="宋体"/>
          <w:b w:val="0"/>
          <w:bCs w:val="0"/>
          <w:kern w:val="2"/>
          <w:sz w:val="24"/>
          <w:szCs w:val="24"/>
          <w:lang w:val="en-US" w:eastAsia="zh-CN" w:bidi="ar-SA"/>
        </w:rPr>
        <w:t>2017〕141号）的规定，对满足价格扣除条件且在响应文件中提交了《中小企业声明函》、《残疾人福利性单位声明函》相关属于监狱企业的证明文件的供应商，按照相关价格扣除规定和供应商须知前附表要求执行。</w:t>
      </w:r>
    </w:p>
    <w:p>
      <w:pPr>
        <w:pStyle w:val="13"/>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19.11</w:t>
      </w:r>
      <w:r>
        <w:rPr>
          <w:rFonts w:hint="eastAsia" w:ascii="宋体" w:hAnsi="宋体" w:eastAsia="宋体" w:cs="宋体"/>
          <w:sz w:val="24"/>
          <w:szCs w:val="24"/>
        </w:rPr>
        <w:t>落实其他政府采购政策条款</w:t>
      </w:r>
      <w:r>
        <w:rPr>
          <w:rFonts w:hint="eastAsia" w:ascii="宋体" w:hAnsi="宋体" w:eastAsia="宋体" w:cs="宋体"/>
          <w:sz w:val="24"/>
          <w:szCs w:val="24"/>
          <w:lang w:eastAsia="zh-CN"/>
        </w:rPr>
        <w:t>，</w:t>
      </w:r>
      <w:r>
        <w:rPr>
          <w:rFonts w:hint="eastAsia" w:ascii="宋体" w:hAnsi="宋体" w:eastAsia="宋体" w:cs="宋体"/>
          <w:sz w:val="24"/>
          <w:szCs w:val="24"/>
        </w:rPr>
        <w:t>具体详见</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w:t>
      </w:r>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154" w:name="_Toc515647783"/>
      <w:bookmarkStart w:id="155" w:name="_Toc6092"/>
      <w:bookmarkStart w:id="156" w:name="_Toc532473475"/>
      <w:bookmarkStart w:id="157" w:name="_Toc4950"/>
      <w:bookmarkStart w:id="158" w:name="_Toc2582289"/>
      <w:bookmarkStart w:id="159" w:name="_Toc520356167"/>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0</w:t>
      </w:r>
      <w:r>
        <w:rPr>
          <w:rFonts w:hint="eastAsia" w:ascii="宋体" w:hAnsi="宋体" w:eastAsia="宋体" w:cs="宋体"/>
          <w:sz w:val="24"/>
          <w:szCs w:val="24"/>
          <w:u w:val="none"/>
        </w:rPr>
        <w:t>.</w:t>
      </w:r>
      <w:bookmarkEnd w:id="154"/>
      <w:r>
        <w:rPr>
          <w:rFonts w:hint="eastAsia" w:ascii="宋体" w:hAnsi="宋体" w:eastAsia="宋体" w:cs="宋体"/>
          <w:sz w:val="24"/>
          <w:szCs w:val="24"/>
          <w:u w:val="none"/>
          <w:lang w:eastAsia="zh-CN"/>
        </w:rPr>
        <w:t>响应</w:t>
      </w:r>
      <w:r>
        <w:rPr>
          <w:rFonts w:hint="eastAsia" w:ascii="宋体" w:hAnsi="宋体" w:eastAsia="宋体" w:cs="宋体"/>
          <w:sz w:val="24"/>
          <w:szCs w:val="24"/>
          <w:u w:val="none"/>
        </w:rPr>
        <w:t>无效</w:t>
      </w:r>
      <w:bookmarkEnd w:id="155"/>
      <w:bookmarkEnd w:id="156"/>
      <w:bookmarkEnd w:id="157"/>
      <w:bookmarkEnd w:id="158"/>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如发现下列情况之一的，其</w:t>
      </w:r>
      <w:r>
        <w:rPr>
          <w:rFonts w:hint="eastAsia" w:ascii="宋体" w:hAnsi="宋体" w:eastAsia="宋体" w:cs="宋体"/>
          <w:sz w:val="24"/>
          <w:szCs w:val="24"/>
          <w:lang w:eastAsia="zh-CN"/>
        </w:rPr>
        <w:t>响应</w:t>
      </w:r>
      <w:r>
        <w:rPr>
          <w:rFonts w:hint="eastAsia" w:ascii="宋体" w:hAnsi="宋体" w:eastAsia="宋体" w:cs="宋体"/>
          <w:sz w:val="24"/>
          <w:szCs w:val="24"/>
        </w:rPr>
        <w:t>将被认定为</w:t>
      </w:r>
      <w:r>
        <w:rPr>
          <w:rFonts w:hint="eastAsia" w:ascii="宋体" w:hAnsi="宋体" w:eastAsia="宋体" w:cs="宋体"/>
          <w:sz w:val="24"/>
          <w:szCs w:val="24"/>
          <w:lang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w:t>
      </w:r>
    </w:p>
    <w:p>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20.1.1</w:t>
      </w:r>
      <w:r>
        <w:rPr>
          <w:rFonts w:hint="eastAsia" w:ascii="宋体" w:hAnsi="宋体" w:eastAsia="宋体" w:cs="宋体"/>
          <w:sz w:val="24"/>
          <w:szCs w:val="24"/>
        </w:rPr>
        <w:t>未按照</w:t>
      </w:r>
      <w:r>
        <w:rPr>
          <w:rFonts w:hint="eastAsia" w:ascii="宋体" w:hAnsi="宋体" w:eastAsia="宋体" w:cs="宋体"/>
          <w:sz w:val="24"/>
          <w:szCs w:val="24"/>
          <w:lang w:eastAsia="zh-CN"/>
        </w:rPr>
        <w:t>磋商</w:t>
      </w:r>
      <w:r>
        <w:rPr>
          <w:rFonts w:hint="eastAsia" w:ascii="宋体" w:hAnsi="宋体" w:eastAsia="宋体" w:cs="宋体"/>
          <w:sz w:val="24"/>
          <w:szCs w:val="24"/>
        </w:rPr>
        <w:t>文件规定要求签署、盖章的；</w:t>
      </w:r>
    </w:p>
    <w:p>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20.1.2</w:t>
      </w:r>
      <w:r>
        <w:rPr>
          <w:rFonts w:hint="eastAsia" w:ascii="宋体" w:hAnsi="宋体" w:eastAsia="宋体" w:cs="宋体"/>
          <w:sz w:val="24"/>
          <w:szCs w:val="24"/>
        </w:rPr>
        <w:t>未满足</w:t>
      </w:r>
      <w:r>
        <w:rPr>
          <w:rFonts w:hint="eastAsia" w:ascii="宋体" w:hAnsi="宋体" w:eastAsia="宋体" w:cs="宋体"/>
          <w:sz w:val="24"/>
          <w:szCs w:val="24"/>
          <w:lang w:eastAsia="zh-CN"/>
        </w:rPr>
        <w:t>响应</w:t>
      </w:r>
      <w:r>
        <w:rPr>
          <w:rFonts w:hint="eastAsia" w:ascii="宋体" w:hAnsi="宋体" w:eastAsia="宋体" w:cs="宋体"/>
          <w:sz w:val="24"/>
          <w:szCs w:val="24"/>
        </w:rPr>
        <w:t>文件中的实质性要求；</w:t>
      </w:r>
    </w:p>
    <w:p>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20.1.3</w:t>
      </w:r>
      <w:r>
        <w:rPr>
          <w:rFonts w:hint="eastAsia" w:ascii="宋体" w:hAnsi="宋体" w:eastAsia="宋体" w:cs="宋体"/>
          <w:sz w:val="24"/>
          <w:szCs w:val="24"/>
        </w:rPr>
        <w:t>属于串通投标，或者依法被视为串通投标；</w:t>
      </w:r>
    </w:p>
    <w:p>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20.1.4响应</w:t>
      </w:r>
      <w:r>
        <w:rPr>
          <w:rFonts w:hint="eastAsia" w:ascii="宋体" w:hAnsi="宋体" w:eastAsia="宋体" w:cs="宋体"/>
          <w:sz w:val="24"/>
          <w:szCs w:val="24"/>
        </w:rPr>
        <w:t>文件含有采购人不能接受的附加条件的；</w:t>
      </w:r>
    </w:p>
    <w:p>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20.1.5</w:t>
      </w:r>
      <w:r>
        <w:rPr>
          <w:rFonts w:hint="eastAsia" w:ascii="宋体" w:hAnsi="宋体" w:eastAsia="宋体" w:cs="宋体"/>
          <w:sz w:val="24"/>
          <w:szCs w:val="24"/>
        </w:rPr>
        <w:t>属于</w:t>
      </w:r>
      <w:r>
        <w:rPr>
          <w:rFonts w:hint="eastAsia" w:ascii="宋体" w:hAnsi="宋体" w:eastAsia="宋体" w:cs="宋体"/>
          <w:sz w:val="24"/>
          <w:szCs w:val="24"/>
          <w:lang w:eastAsia="zh-CN"/>
        </w:rPr>
        <w:t>磋商</w:t>
      </w:r>
      <w:r>
        <w:rPr>
          <w:rFonts w:hint="eastAsia" w:ascii="宋体" w:hAnsi="宋体" w:eastAsia="宋体" w:cs="宋体"/>
          <w:sz w:val="24"/>
          <w:szCs w:val="24"/>
        </w:rPr>
        <w:t>文件规定的其他</w:t>
      </w:r>
      <w:r>
        <w:rPr>
          <w:rFonts w:hint="eastAsia" w:ascii="宋体" w:hAnsi="宋体" w:eastAsia="宋体" w:cs="宋体"/>
          <w:sz w:val="24"/>
          <w:szCs w:val="24"/>
          <w:lang w:eastAsia="zh-CN"/>
        </w:rPr>
        <w:t>响应</w:t>
      </w:r>
      <w:r>
        <w:rPr>
          <w:rFonts w:hint="eastAsia" w:ascii="宋体" w:hAnsi="宋体" w:eastAsia="宋体" w:cs="宋体"/>
          <w:bCs/>
          <w:sz w:val="24"/>
          <w:szCs w:val="24"/>
        </w:rPr>
        <w:t>无效</w:t>
      </w:r>
      <w:r>
        <w:rPr>
          <w:rFonts w:hint="eastAsia" w:ascii="宋体" w:hAnsi="宋体" w:eastAsia="宋体" w:cs="宋体"/>
          <w:sz w:val="24"/>
          <w:szCs w:val="24"/>
        </w:rPr>
        <w:t>情形；</w:t>
      </w:r>
    </w:p>
    <w:p>
      <w:pPr>
        <w:pageBreakBefore w:val="0"/>
        <w:widowControl w:val="0"/>
        <w:numPr>
          <w:ilvl w:val="0"/>
          <w:numId w:val="0"/>
        </w:numPr>
        <w:tabs>
          <w:tab w:val="left" w:pos="0"/>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20.1.6</w:t>
      </w:r>
      <w:r>
        <w:rPr>
          <w:rFonts w:hint="eastAsia" w:ascii="宋体" w:hAnsi="宋体" w:eastAsia="宋体" w:cs="宋体"/>
          <w:sz w:val="24"/>
          <w:szCs w:val="24"/>
        </w:rPr>
        <w:t>不符合</w:t>
      </w:r>
      <w:r>
        <w:rPr>
          <w:rFonts w:hint="eastAsia" w:ascii="宋体" w:hAnsi="宋体" w:eastAsia="宋体" w:cs="宋体"/>
          <w:sz w:val="24"/>
          <w:szCs w:val="24"/>
          <w:lang w:eastAsia="zh-CN"/>
        </w:rPr>
        <w:t>政府采购法律</w:t>
      </w:r>
      <w:r>
        <w:rPr>
          <w:rFonts w:hint="eastAsia" w:ascii="宋体" w:hAnsi="宋体" w:eastAsia="宋体" w:cs="宋体"/>
          <w:sz w:val="24"/>
          <w:szCs w:val="24"/>
        </w:rPr>
        <w:t>法规和</w:t>
      </w:r>
      <w:r>
        <w:rPr>
          <w:rFonts w:hint="eastAsia" w:ascii="宋体" w:hAnsi="宋体" w:eastAsia="宋体" w:cs="宋体"/>
          <w:sz w:val="24"/>
          <w:szCs w:val="24"/>
          <w:lang w:eastAsia="zh-CN"/>
        </w:rPr>
        <w:t>磋商</w:t>
      </w:r>
      <w:r>
        <w:rPr>
          <w:rFonts w:hint="eastAsia" w:ascii="宋体" w:hAnsi="宋体" w:eastAsia="宋体" w:cs="宋体"/>
          <w:sz w:val="24"/>
          <w:szCs w:val="24"/>
        </w:rPr>
        <w:t>文件中规定的其他实质性要求的。</w:t>
      </w:r>
    </w:p>
    <w:bookmarkEnd w:id="159"/>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160" w:name="_Toc515647786"/>
      <w:bookmarkStart w:id="161" w:name="_Toc24972"/>
      <w:bookmarkStart w:id="162" w:name="_Toc31289"/>
      <w:bookmarkStart w:id="163" w:name="_Toc2582292"/>
      <w:bookmarkStart w:id="164" w:name="_Toc532473478"/>
      <w:bookmarkStart w:id="165" w:name="_Toc520356169"/>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.保密</w:t>
      </w:r>
      <w:bookmarkEnd w:id="160"/>
      <w:bookmarkEnd w:id="161"/>
      <w:bookmarkEnd w:id="162"/>
      <w:r>
        <w:rPr>
          <w:rFonts w:hint="eastAsia" w:ascii="宋体" w:hAnsi="宋体" w:eastAsia="宋体" w:cs="宋体"/>
          <w:sz w:val="24"/>
          <w:szCs w:val="24"/>
          <w:u w:val="none"/>
        </w:rPr>
        <w:t>要求</w:t>
      </w:r>
      <w:bookmarkEnd w:id="163"/>
      <w:bookmarkEnd w:id="164"/>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b w:val="0"/>
          <w:bCs w:val="0"/>
          <w:kern w:val="2"/>
          <w:sz w:val="24"/>
          <w:szCs w:val="24"/>
          <w:lang w:val="en-US" w:eastAsia="zh-CN" w:bidi="ar-SA"/>
        </w:rPr>
        <w:t>磋商</w:t>
      </w:r>
      <w:r>
        <w:rPr>
          <w:rFonts w:hint="eastAsia" w:ascii="宋体" w:hAnsi="宋体" w:eastAsia="宋体" w:cs="宋体"/>
          <w:sz w:val="24"/>
          <w:szCs w:val="24"/>
        </w:rPr>
        <w:t>将在严格保密的情况下进行。</w:t>
      </w:r>
    </w:p>
    <w:p>
      <w:pPr>
        <w:pStyle w:val="4"/>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21.2 有关人员应当遵守评审工作纪律，不得泄露评审文件、评审情况和从评审中获悉的国家秘密、商业秘密。</w:t>
      </w:r>
    </w:p>
    <w:bookmarkEnd w:id="165"/>
    <w:p>
      <w:pPr>
        <w:pStyle w:val="3"/>
        <w:pageBreakBefore w:val="0"/>
        <w:widowControl w:val="0"/>
        <w:kinsoku/>
        <w:wordWrap/>
        <w:overflowPunct/>
        <w:topLinePunct w:val="0"/>
        <w:bidi w:val="0"/>
        <w:snapToGrid/>
        <w:spacing w:before="0" w:beforeLines="0" w:after="0" w:afterLines="0" w:line="360" w:lineRule="auto"/>
        <w:jc w:val="center"/>
        <w:textAlignment w:val="auto"/>
        <w:rPr>
          <w:rFonts w:hint="eastAsia" w:ascii="宋体" w:hAnsi="宋体" w:eastAsia="宋体" w:cs="宋体"/>
          <w:sz w:val="24"/>
          <w:szCs w:val="24"/>
          <w:lang w:eastAsia="zh-CN"/>
        </w:rPr>
      </w:pPr>
      <w:bookmarkStart w:id="166" w:name="_Toc532473479"/>
      <w:bookmarkStart w:id="167" w:name="_Toc23904"/>
      <w:bookmarkStart w:id="168" w:name="_Toc2582293"/>
      <w:bookmarkStart w:id="169" w:name="_Toc216582810"/>
      <w:bookmarkStart w:id="170" w:name="_Toc12143"/>
      <w:bookmarkStart w:id="171" w:name="_Toc515647787"/>
      <w:r>
        <w:rPr>
          <w:rFonts w:hint="eastAsia" w:ascii="宋体" w:hAnsi="宋体" w:eastAsia="宋体" w:cs="宋体"/>
          <w:sz w:val="24"/>
          <w:szCs w:val="24"/>
          <w:lang w:eastAsia="zh-CN"/>
        </w:rPr>
        <w:t>（六）</w:t>
      </w:r>
      <w:r>
        <w:rPr>
          <w:rFonts w:hint="eastAsia" w:ascii="宋体" w:hAnsi="宋体" w:eastAsia="宋体" w:cs="宋体"/>
          <w:sz w:val="24"/>
          <w:szCs w:val="24"/>
        </w:rPr>
        <w:t>确定</w:t>
      </w:r>
      <w:bookmarkEnd w:id="166"/>
      <w:bookmarkEnd w:id="167"/>
      <w:bookmarkEnd w:id="168"/>
      <w:bookmarkEnd w:id="169"/>
      <w:bookmarkEnd w:id="170"/>
      <w:bookmarkEnd w:id="171"/>
      <w:r>
        <w:rPr>
          <w:rFonts w:hint="eastAsia" w:ascii="宋体" w:hAnsi="宋体" w:eastAsia="宋体" w:cs="宋体"/>
          <w:sz w:val="24"/>
          <w:szCs w:val="24"/>
          <w:lang w:eastAsia="zh-CN"/>
        </w:rPr>
        <w:t>成交</w:t>
      </w:r>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172" w:name="_Toc515647788"/>
      <w:bookmarkStart w:id="173" w:name="_Toc532473480"/>
      <w:bookmarkStart w:id="174" w:name="_Ref467307010"/>
      <w:bookmarkStart w:id="175" w:name="_Toc23617"/>
      <w:bookmarkStart w:id="176" w:name="_Toc2582294"/>
      <w:bookmarkStart w:id="177" w:name="_Toc23762"/>
      <w:bookmarkStart w:id="178" w:name="_Toc520356170"/>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成交</w:t>
      </w:r>
      <w:r>
        <w:rPr>
          <w:rFonts w:hint="eastAsia" w:ascii="宋体" w:hAnsi="宋体" w:eastAsia="宋体" w:cs="宋体"/>
          <w:sz w:val="24"/>
          <w:szCs w:val="24"/>
          <w:u w:val="none"/>
        </w:rPr>
        <w:t>候选人的确定原则及标准</w:t>
      </w:r>
      <w:bookmarkEnd w:id="172"/>
      <w:bookmarkEnd w:id="173"/>
      <w:bookmarkEnd w:id="174"/>
      <w:bookmarkEnd w:id="175"/>
      <w:bookmarkEnd w:id="176"/>
      <w:bookmarkEnd w:id="177"/>
      <w:bookmarkEnd w:id="178"/>
    </w:p>
    <w:p>
      <w:pPr>
        <w:pStyle w:val="4"/>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22.1  除磋商小组受采购人委托直接确定成交供应商的情形外，磋商小组应当根据综合评分情况，按照评审得分由高到低顺序推荐成交候选供应商。</w:t>
      </w:r>
    </w:p>
    <w:p>
      <w:pPr>
        <w:pStyle w:val="5"/>
        <w:pageBreakBefore w:val="0"/>
        <w:widowControl w:val="0"/>
        <w:tabs>
          <w:tab w:val="left" w:pos="900"/>
        </w:tabs>
        <w:kinsoku/>
        <w:wordWrap/>
        <w:overflowPunct/>
        <w:topLinePunct w:val="0"/>
        <w:bidi w:val="0"/>
        <w:snapToGrid/>
        <w:spacing w:before="0" w:after="0" w:line="360" w:lineRule="auto"/>
        <w:textAlignment w:val="auto"/>
        <w:rPr>
          <w:rFonts w:hint="eastAsia" w:ascii="宋体" w:hAnsi="宋体" w:eastAsia="宋体" w:cs="宋体"/>
          <w:sz w:val="24"/>
          <w:szCs w:val="24"/>
          <w:u w:val="none"/>
          <w:lang w:eastAsia="zh-CN"/>
        </w:rPr>
      </w:pPr>
      <w:bookmarkStart w:id="179" w:name="_Toc520356171"/>
      <w:bookmarkStart w:id="180" w:name="_Toc23951"/>
      <w:bookmarkStart w:id="181" w:name="_Toc515647789"/>
      <w:bookmarkStart w:id="182" w:name="_Toc2582295"/>
      <w:bookmarkStart w:id="183" w:name="_Toc9653"/>
      <w:bookmarkStart w:id="184" w:name="_Toc532473481"/>
      <w:r>
        <w:rPr>
          <w:rFonts w:hint="eastAsia" w:ascii="宋体" w:hAnsi="宋体" w:eastAsia="宋体" w:cs="宋体"/>
          <w:sz w:val="24"/>
          <w:szCs w:val="24"/>
          <w:u w:val="none"/>
        </w:rPr>
        <w:t>2</w:t>
      </w:r>
      <w:bookmarkEnd w:id="179"/>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.确定</w:t>
      </w:r>
      <w:r>
        <w:rPr>
          <w:rFonts w:hint="eastAsia" w:ascii="宋体" w:hAnsi="宋体" w:eastAsia="宋体" w:cs="宋体"/>
          <w:sz w:val="24"/>
          <w:szCs w:val="24"/>
          <w:u w:val="none"/>
          <w:lang w:eastAsia="zh-CN"/>
        </w:rPr>
        <w:t>成交</w:t>
      </w:r>
      <w:r>
        <w:rPr>
          <w:rFonts w:hint="eastAsia" w:ascii="宋体" w:hAnsi="宋体" w:eastAsia="宋体" w:cs="宋体"/>
          <w:sz w:val="24"/>
          <w:szCs w:val="24"/>
          <w:u w:val="none"/>
        </w:rPr>
        <w:t>候选人和</w:t>
      </w:r>
      <w:bookmarkEnd w:id="180"/>
      <w:bookmarkEnd w:id="181"/>
      <w:bookmarkEnd w:id="182"/>
      <w:bookmarkEnd w:id="183"/>
      <w:bookmarkEnd w:id="184"/>
      <w:r>
        <w:rPr>
          <w:rFonts w:hint="eastAsia" w:ascii="宋体" w:hAnsi="宋体" w:eastAsia="宋体" w:cs="宋体"/>
          <w:sz w:val="24"/>
          <w:szCs w:val="24"/>
          <w:u w:val="none"/>
          <w:lang w:eastAsia="zh-CN"/>
        </w:rPr>
        <w:t>成交供应商</w:t>
      </w:r>
    </w:p>
    <w:p>
      <w:pPr>
        <w:pStyle w:val="4"/>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23.1 磋商小组按</w:t>
      </w:r>
      <w:r>
        <w:rPr>
          <w:rFonts w:hint="eastAsia" w:ascii="宋体" w:hAnsi="宋体" w:eastAsia="宋体" w:cs="宋体"/>
          <w:b w:val="0"/>
          <w:bCs w:val="0"/>
          <w:kern w:val="2"/>
          <w:sz w:val="24"/>
          <w:szCs w:val="24"/>
          <w:u w:val="single"/>
          <w:lang w:val="en-US" w:eastAsia="zh-CN" w:bidi="ar-SA"/>
        </w:rPr>
        <w:t>供应商须知前附表</w:t>
      </w:r>
      <w:r>
        <w:rPr>
          <w:rFonts w:hint="eastAsia" w:ascii="宋体" w:hAnsi="宋体" w:eastAsia="宋体" w:cs="宋体"/>
          <w:b w:val="0"/>
          <w:bCs w:val="0"/>
          <w:kern w:val="2"/>
          <w:sz w:val="24"/>
          <w:szCs w:val="24"/>
          <w:lang w:val="en-US" w:eastAsia="zh-CN" w:bidi="ar-SA"/>
        </w:rPr>
        <w:t>中规定数量推荐成交候选供应商，采购人在成交候选供应商中按照排序由高到低的原则确定成交供应商。</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按</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中规定，</w:t>
      </w:r>
      <w:r>
        <w:rPr>
          <w:rFonts w:hint="eastAsia" w:ascii="宋体" w:hAnsi="宋体" w:eastAsia="宋体" w:cs="宋体"/>
          <w:sz w:val="24"/>
          <w:szCs w:val="24"/>
          <w:lang w:eastAsia="zh-CN"/>
        </w:rPr>
        <w:t>采购人书面授权磋商小组按照成交</w:t>
      </w:r>
      <w:r>
        <w:rPr>
          <w:rFonts w:hint="eastAsia" w:ascii="宋体" w:hAnsi="宋体" w:eastAsia="宋体" w:cs="宋体"/>
          <w:sz w:val="24"/>
          <w:szCs w:val="24"/>
        </w:rPr>
        <w:t>候选</w:t>
      </w:r>
      <w:r>
        <w:rPr>
          <w:rFonts w:hint="eastAsia" w:ascii="宋体" w:hAnsi="宋体" w:eastAsia="宋体" w:cs="宋体"/>
          <w:sz w:val="24"/>
          <w:szCs w:val="24"/>
          <w:lang w:eastAsia="zh-CN"/>
        </w:rPr>
        <w:t>供应商排序由高到低的原则</w:t>
      </w:r>
      <w:r>
        <w:rPr>
          <w:rFonts w:hint="eastAsia" w:ascii="宋体" w:hAnsi="宋体" w:eastAsia="宋体" w:cs="宋体"/>
          <w:sz w:val="24"/>
          <w:szCs w:val="24"/>
        </w:rPr>
        <w:t>直接确定</w:t>
      </w:r>
      <w:r>
        <w:rPr>
          <w:rFonts w:hint="eastAsia" w:ascii="宋体" w:hAnsi="宋体" w:eastAsia="宋体" w:cs="宋体"/>
          <w:sz w:val="24"/>
          <w:szCs w:val="24"/>
          <w:lang w:eastAsia="zh-CN"/>
        </w:rPr>
        <w:t>成交供应商</w:t>
      </w:r>
      <w:r>
        <w:rPr>
          <w:rFonts w:hint="eastAsia" w:ascii="宋体" w:hAnsi="宋体" w:eastAsia="宋体" w:cs="宋体"/>
          <w:sz w:val="24"/>
          <w:szCs w:val="24"/>
        </w:rPr>
        <w:t>。</w:t>
      </w:r>
    </w:p>
    <w:p>
      <w:pPr>
        <w:pStyle w:val="5"/>
        <w:pageBreakBefore w:val="0"/>
        <w:widowControl w:val="0"/>
        <w:tabs>
          <w:tab w:val="left" w:pos="900"/>
        </w:tabs>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185" w:name="_Toc2582296"/>
      <w:bookmarkStart w:id="186" w:name="_Toc532473483"/>
      <w:bookmarkStart w:id="187" w:name="_Toc515647791"/>
      <w:bookmarkStart w:id="188" w:name="_Toc520356174"/>
      <w:bookmarkStart w:id="189" w:name="_Toc30170"/>
      <w:bookmarkStart w:id="190" w:name="_Toc31099"/>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.发出</w:t>
      </w:r>
      <w:r>
        <w:rPr>
          <w:rFonts w:hint="eastAsia" w:ascii="宋体" w:hAnsi="宋体" w:eastAsia="宋体" w:cs="宋体"/>
          <w:sz w:val="24"/>
          <w:szCs w:val="24"/>
          <w:u w:val="none"/>
          <w:lang w:eastAsia="zh-CN"/>
        </w:rPr>
        <w:t>成交</w:t>
      </w:r>
      <w:r>
        <w:rPr>
          <w:rFonts w:hint="eastAsia" w:ascii="宋体" w:hAnsi="宋体" w:eastAsia="宋体" w:cs="宋体"/>
          <w:sz w:val="24"/>
          <w:szCs w:val="24"/>
          <w:u w:val="none"/>
        </w:rPr>
        <w:t>通知书</w:t>
      </w:r>
      <w:bookmarkEnd w:id="185"/>
    </w:p>
    <w:p>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在</w:t>
      </w:r>
      <w:r>
        <w:rPr>
          <w:rFonts w:hint="eastAsia" w:ascii="宋体" w:hAnsi="宋体" w:eastAsia="宋体" w:cs="宋体"/>
          <w:sz w:val="24"/>
          <w:szCs w:val="24"/>
          <w:lang w:eastAsia="zh-CN"/>
        </w:rPr>
        <w:t>响应</w:t>
      </w:r>
      <w:r>
        <w:rPr>
          <w:rFonts w:hint="eastAsia" w:ascii="宋体" w:hAnsi="宋体" w:eastAsia="宋体" w:cs="宋体"/>
          <w:sz w:val="24"/>
          <w:szCs w:val="24"/>
        </w:rPr>
        <w:t>有效期内，</w:t>
      </w:r>
      <w:r>
        <w:rPr>
          <w:rFonts w:hint="eastAsia" w:ascii="宋体" w:hAnsi="宋体" w:eastAsia="宋体" w:cs="宋体"/>
          <w:sz w:val="24"/>
          <w:szCs w:val="24"/>
          <w:lang w:eastAsia="zh-CN"/>
        </w:rPr>
        <w:t>成交供应商</w:t>
      </w:r>
      <w:r>
        <w:rPr>
          <w:rFonts w:hint="eastAsia" w:ascii="宋体" w:hAnsi="宋体" w:eastAsia="宋体" w:cs="宋体"/>
          <w:sz w:val="24"/>
          <w:szCs w:val="24"/>
        </w:rPr>
        <w:t>确定后，采购人或者采购代理机构发布</w:t>
      </w:r>
      <w:r>
        <w:rPr>
          <w:rFonts w:hint="eastAsia" w:ascii="宋体" w:hAnsi="宋体" w:eastAsia="宋体" w:cs="宋体"/>
          <w:sz w:val="24"/>
          <w:szCs w:val="24"/>
          <w:lang w:eastAsia="zh-CN"/>
        </w:rPr>
        <w:t>成交</w:t>
      </w:r>
      <w:r>
        <w:rPr>
          <w:rFonts w:hint="eastAsia" w:ascii="宋体" w:hAnsi="宋体" w:eastAsia="宋体" w:cs="宋体"/>
          <w:sz w:val="24"/>
          <w:szCs w:val="24"/>
        </w:rPr>
        <w:t>公告。在公告</w:t>
      </w:r>
      <w:r>
        <w:rPr>
          <w:rFonts w:hint="eastAsia" w:ascii="宋体" w:hAnsi="宋体" w:eastAsia="宋体" w:cs="宋体"/>
          <w:sz w:val="24"/>
          <w:szCs w:val="24"/>
          <w:lang w:eastAsia="zh-CN"/>
        </w:rPr>
        <w:t>成交</w:t>
      </w:r>
      <w:r>
        <w:rPr>
          <w:rFonts w:hint="eastAsia" w:ascii="宋体" w:hAnsi="宋体" w:eastAsia="宋体" w:cs="宋体"/>
          <w:sz w:val="24"/>
          <w:szCs w:val="24"/>
        </w:rPr>
        <w:t>结果的同时，向</w:t>
      </w:r>
      <w:r>
        <w:rPr>
          <w:rFonts w:hint="eastAsia" w:ascii="宋体" w:hAnsi="宋体" w:eastAsia="宋体" w:cs="宋体"/>
          <w:sz w:val="24"/>
          <w:szCs w:val="24"/>
          <w:lang w:eastAsia="zh-CN"/>
        </w:rPr>
        <w:t>成交供应商</w:t>
      </w:r>
      <w:r>
        <w:rPr>
          <w:rFonts w:hint="eastAsia" w:ascii="宋体" w:hAnsi="宋体" w:eastAsia="宋体" w:cs="宋体"/>
          <w:sz w:val="24"/>
          <w:szCs w:val="24"/>
        </w:rPr>
        <w:t>发出</w:t>
      </w:r>
      <w:r>
        <w:rPr>
          <w:rFonts w:hint="eastAsia" w:ascii="宋体" w:hAnsi="宋体" w:eastAsia="宋体" w:cs="宋体"/>
          <w:sz w:val="24"/>
          <w:szCs w:val="24"/>
          <w:lang w:eastAsia="zh-CN"/>
        </w:rPr>
        <w:t>成交</w:t>
      </w:r>
      <w:r>
        <w:rPr>
          <w:rFonts w:hint="eastAsia" w:ascii="宋体" w:hAnsi="宋体" w:eastAsia="宋体" w:cs="宋体"/>
          <w:sz w:val="24"/>
          <w:szCs w:val="24"/>
        </w:rPr>
        <w:t>通知书，</w:t>
      </w:r>
      <w:r>
        <w:rPr>
          <w:rFonts w:hint="eastAsia" w:ascii="宋体" w:hAnsi="宋体" w:eastAsia="宋体" w:cs="宋体"/>
          <w:sz w:val="24"/>
          <w:szCs w:val="24"/>
          <w:lang w:eastAsia="zh-CN"/>
        </w:rPr>
        <w:t>成交</w:t>
      </w:r>
      <w:r>
        <w:rPr>
          <w:rFonts w:hint="eastAsia" w:ascii="宋体" w:hAnsi="宋体" w:eastAsia="宋体" w:cs="宋体"/>
          <w:sz w:val="24"/>
          <w:szCs w:val="24"/>
        </w:rPr>
        <w:t>通知书是合同的组成部分。</w:t>
      </w:r>
      <w:bookmarkEnd w:id="186"/>
      <w:bookmarkEnd w:id="187"/>
      <w:bookmarkEnd w:id="188"/>
      <w:bookmarkEnd w:id="189"/>
      <w:bookmarkEnd w:id="190"/>
      <w:bookmarkStart w:id="191" w:name="_Toc2582298"/>
      <w:bookmarkStart w:id="192" w:name="_Toc520356175"/>
      <w:bookmarkStart w:id="193" w:name="_Ref467306978"/>
      <w:bookmarkStart w:id="194" w:name="_Ref467307062"/>
      <w:bookmarkStart w:id="195" w:name="_Toc515647792"/>
      <w:bookmarkStart w:id="196" w:name="_Toc532473484"/>
      <w:bookmarkStart w:id="197" w:name="_Toc790"/>
      <w:bookmarkStart w:id="198" w:name="_Toc7779"/>
      <w:bookmarkStart w:id="199" w:name="_Ref467307204"/>
      <w:bookmarkStart w:id="200" w:name="_Ref467306377"/>
    </w:p>
    <w:p>
      <w:pPr>
        <w:pStyle w:val="3"/>
        <w:pageBreakBefore w:val="0"/>
        <w:widowControl w:val="0"/>
        <w:kinsoku/>
        <w:wordWrap/>
        <w:overflowPunct/>
        <w:topLinePunct w:val="0"/>
        <w:bidi w:val="0"/>
        <w:snapToGrid/>
        <w:spacing w:before="0" w:beforeLines="0" w:after="0" w:afterLines="0" w:line="360" w:lineRule="auto"/>
        <w:jc w:val="center"/>
        <w:textAlignment w:val="auto"/>
        <w:rPr>
          <w:rFonts w:hint="eastAsia" w:ascii="宋体" w:hAnsi="宋体" w:eastAsia="宋体" w:cs="宋体"/>
          <w:sz w:val="24"/>
          <w:szCs w:val="24"/>
          <w:u w:val="none"/>
        </w:rPr>
      </w:pPr>
      <w:r>
        <w:rPr>
          <w:rFonts w:hint="eastAsia" w:ascii="宋体" w:hAnsi="宋体" w:eastAsia="宋体" w:cs="宋体"/>
          <w:sz w:val="24"/>
          <w:szCs w:val="24"/>
          <w:lang w:eastAsia="zh-CN"/>
        </w:rPr>
        <w:t>（七）合同及履约验收</w:t>
      </w:r>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25</w:t>
      </w:r>
      <w:r>
        <w:rPr>
          <w:rFonts w:hint="eastAsia" w:ascii="宋体" w:hAnsi="宋体" w:eastAsia="宋体" w:cs="宋体"/>
          <w:sz w:val="24"/>
          <w:szCs w:val="24"/>
          <w:u w:val="none"/>
        </w:rPr>
        <w:t>.签订合同</w:t>
      </w:r>
      <w:bookmarkEnd w:id="191"/>
      <w:bookmarkEnd w:id="192"/>
      <w:bookmarkEnd w:id="193"/>
      <w:bookmarkEnd w:id="194"/>
      <w:bookmarkEnd w:id="195"/>
      <w:bookmarkEnd w:id="196"/>
      <w:bookmarkEnd w:id="197"/>
      <w:bookmarkEnd w:id="198"/>
      <w:bookmarkEnd w:id="199"/>
      <w:bookmarkEnd w:id="200"/>
    </w:p>
    <w:p>
      <w:pPr>
        <w:pageBreakBefore w:val="0"/>
        <w:widowControl w:val="0"/>
        <w:kinsoku/>
        <w:wordWrap/>
        <w:overflowPunct/>
        <w:topLinePunct w:val="0"/>
        <w:bidi w:val="0"/>
        <w:snapToGrid/>
        <w:spacing w:line="360" w:lineRule="auto"/>
        <w:ind w:left="900" w:right="-140" w:rightChars="-50" w:hanging="900" w:hangingChars="3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.1采购人与</w:t>
      </w:r>
      <w:r>
        <w:rPr>
          <w:rFonts w:hint="eastAsia" w:ascii="宋体" w:hAnsi="宋体" w:eastAsia="宋体" w:cs="宋体"/>
          <w:sz w:val="24"/>
          <w:szCs w:val="24"/>
          <w:lang w:eastAsia="zh-CN"/>
        </w:rPr>
        <w:t>成交供应商</w:t>
      </w:r>
      <w:r>
        <w:rPr>
          <w:rFonts w:hint="eastAsia" w:ascii="宋体" w:hAnsi="宋体" w:eastAsia="宋体" w:cs="宋体"/>
          <w:sz w:val="24"/>
          <w:szCs w:val="24"/>
        </w:rPr>
        <w:t>应当</w:t>
      </w:r>
      <w:r>
        <w:rPr>
          <w:rFonts w:hint="eastAsia" w:ascii="宋体" w:hAnsi="宋体" w:eastAsia="宋体" w:cs="宋体"/>
          <w:sz w:val="24"/>
          <w:szCs w:val="24"/>
          <w:lang w:eastAsia="zh-CN"/>
        </w:rPr>
        <w:t>在成交</w:t>
      </w:r>
      <w:r>
        <w:rPr>
          <w:rFonts w:hint="eastAsia" w:ascii="宋体" w:hAnsi="宋体" w:eastAsia="宋体" w:cs="宋体"/>
          <w:sz w:val="24"/>
          <w:szCs w:val="24"/>
        </w:rPr>
        <w:t>通知书</w:t>
      </w:r>
      <w:r>
        <w:rPr>
          <w:rFonts w:hint="eastAsia" w:ascii="宋体" w:hAnsi="宋体" w:eastAsia="宋体" w:cs="宋体"/>
          <w:sz w:val="24"/>
          <w:szCs w:val="24"/>
          <w:lang w:eastAsia="zh-CN"/>
        </w:rPr>
        <w:t>发出之日</w:t>
      </w:r>
      <w:r>
        <w:rPr>
          <w:rFonts w:hint="eastAsia" w:ascii="宋体" w:hAnsi="宋体" w:eastAsia="宋体" w:cs="宋体"/>
          <w:sz w:val="24"/>
          <w:szCs w:val="24"/>
        </w:rPr>
        <w:t>起</w:t>
      </w:r>
      <w:r>
        <w:rPr>
          <w:rFonts w:hint="eastAsia" w:ascii="宋体" w:hAnsi="宋体" w:eastAsia="宋体" w:cs="宋体"/>
          <w:sz w:val="24"/>
          <w:szCs w:val="24"/>
          <w:lang w:eastAsia="zh-CN"/>
        </w:rPr>
        <w:t>三十</w:t>
      </w:r>
      <w:r>
        <w:rPr>
          <w:rFonts w:hint="eastAsia" w:ascii="宋体" w:hAnsi="宋体" w:eastAsia="宋体" w:cs="宋体"/>
          <w:sz w:val="24"/>
          <w:szCs w:val="24"/>
        </w:rPr>
        <w:t>日内，签订</w:t>
      </w:r>
      <w:r>
        <w:rPr>
          <w:rFonts w:hint="eastAsia" w:ascii="宋体" w:hAnsi="宋体" w:eastAsia="宋体" w:cs="宋体"/>
          <w:sz w:val="24"/>
          <w:szCs w:val="24"/>
          <w:lang w:eastAsia="zh-CN"/>
        </w:rPr>
        <w:t>政府采购</w:t>
      </w:r>
      <w:r>
        <w:rPr>
          <w:rFonts w:hint="eastAsia" w:ascii="宋体" w:hAnsi="宋体" w:eastAsia="宋体" w:cs="宋体"/>
          <w:sz w:val="24"/>
          <w:szCs w:val="24"/>
        </w:rPr>
        <w:t>合同。</w:t>
      </w:r>
    </w:p>
    <w:p>
      <w:pPr>
        <w:pageBreakBefore w:val="0"/>
        <w:widowControl w:val="0"/>
        <w:kinsoku/>
        <w:wordWrap/>
        <w:overflowPunct/>
        <w:topLinePunct w:val="0"/>
        <w:bidi w:val="0"/>
        <w:snapToGrid/>
        <w:spacing w:line="360" w:lineRule="auto"/>
        <w:ind w:left="900" w:right="-420" w:rightChars="-150" w:hanging="900" w:hangingChars="3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25.2</w:t>
      </w:r>
      <w:bookmarkStart w:id="201" w:name="_Ref467306425"/>
      <w:bookmarkStart w:id="202" w:name="_Toc520356176"/>
      <w:bookmarkStart w:id="203" w:name="_Ref467307090"/>
      <w:r>
        <w:rPr>
          <w:rFonts w:hint="eastAsia" w:ascii="宋体" w:hAnsi="宋体" w:eastAsia="宋体" w:cs="宋体"/>
          <w:sz w:val="24"/>
          <w:szCs w:val="24"/>
          <w:lang w:eastAsia="zh-CN"/>
        </w:rPr>
        <w:t>磋商</w:t>
      </w:r>
      <w:r>
        <w:rPr>
          <w:rFonts w:hint="eastAsia" w:ascii="宋体" w:hAnsi="宋体" w:eastAsia="宋体" w:cs="宋体"/>
          <w:sz w:val="24"/>
          <w:szCs w:val="24"/>
        </w:rPr>
        <w:t>文件、</w:t>
      </w:r>
      <w:r>
        <w:rPr>
          <w:rFonts w:hint="eastAsia" w:ascii="宋体" w:hAnsi="宋体" w:eastAsia="宋体" w:cs="宋体"/>
          <w:sz w:val="24"/>
          <w:szCs w:val="24"/>
          <w:lang w:eastAsia="zh-CN"/>
        </w:rPr>
        <w:t>成交供应商</w:t>
      </w:r>
      <w:r>
        <w:rPr>
          <w:rFonts w:hint="eastAsia" w:ascii="宋体" w:hAnsi="宋体" w:eastAsia="宋体" w:cs="宋体"/>
          <w:sz w:val="24"/>
          <w:szCs w:val="24"/>
        </w:rPr>
        <w:t>的</w:t>
      </w:r>
      <w:r>
        <w:rPr>
          <w:rFonts w:hint="eastAsia" w:ascii="宋体" w:hAnsi="宋体" w:eastAsia="宋体" w:cs="宋体"/>
          <w:sz w:val="24"/>
          <w:szCs w:val="24"/>
          <w:lang w:eastAsia="zh-CN"/>
        </w:rPr>
        <w:t>响应</w:t>
      </w:r>
      <w:r>
        <w:rPr>
          <w:rFonts w:hint="eastAsia" w:ascii="宋体" w:hAnsi="宋体" w:eastAsia="宋体" w:cs="宋体"/>
          <w:sz w:val="24"/>
          <w:szCs w:val="24"/>
        </w:rPr>
        <w:t>文件等均为签订合同的依据。采购人不得向</w:t>
      </w:r>
      <w:r>
        <w:rPr>
          <w:rFonts w:hint="eastAsia" w:ascii="宋体" w:hAnsi="宋体" w:eastAsia="宋体" w:cs="宋体"/>
          <w:sz w:val="24"/>
          <w:szCs w:val="24"/>
          <w:lang w:eastAsia="zh-CN"/>
        </w:rPr>
        <w:t>成交</w:t>
      </w:r>
      <w:r>
        <w:rPr>
          <w:rFonts w:hint="eastAsia" w:ascii="宋体" w:hAnsi="宋体" w:eastAsia="宋体" w:cs="宋体"/>
          <w:sz w:val="24"/>
          <w:szCs w:val="24"/>
        </w:rPr>
        <w:t>人提</w:t>
      </w:r>
    </w:p>
    <w:p>
      <w:pPr>
        <w:pageBreakBefore w:val="0"/>
        <w:widowControl w:val="0"/>
        <w:kinsoku/>
        <w:wordWrap/>
        <w:overflowPunct/>
        <w:topLinePunct w:val="0"/>
        <w:bidi w:val="0"/>
        <w:snapToGrid/>
        <w:spacing w:line="360" w:lineRule="auto"/>
        <w:ind w:left="900" w:hanging="900" w:hangingChars="375"/>
        <w:textAlignment w:val="auto"/>
        <w:rPr>
          <w:rFonts w:hint="eastAsia" w:ascii="宋体" w:hAnsi="宋体" w:eastAsia="宋体" w:cs="宋体"/>
          <w:sz w:val="24"/>
          <w:szCs w:val="24"/>
        </w:rPr>
      </w:pPr>
      <w:r>
        <w:rPr>
          <w:rFonts w:hint="eastAsia" w:ascii="宋体" w:hAnsi="宋体" w:eastAsia="宋体" w:cs="宋体"/>
          <w:sz w:val="24"/>
          <w:szCs w:val="24"/>
        </w:rPr>
        <w:t>出任何不合理的要求作为签订合同的条件。</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25.3</w:t>
      </w:r>
      <w:r>
        <w:rPr>
          <w:rFonts w:hint="eastAsia" w:ascii="宋体" w:hAnsi="宋体" w:eastAsia="宋体" w:cs="宋体"/>
          <w:sz w:val="24"/>
          <w:szCs w:val="24"/>
          <w:lang w:eastAsia="zh-CN"/>
        </w:rPr>
        <w:t xml:space="preserve"> 如成交供应商拒绝与采购人签订合同的，成交供应商须按响应函内容向采购人和采购代理机构支付赔偿；采购人可以按照评审报告推荐的成交候选人排序，确定下一成交候选人为成交供应商，也可以重新开展采购活动。拒绝签订政府采购合同的成交供应商不得参加对该项目重新开展的采购活动。</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25.4</w:t>
      </w:r>
      <w:r>
        <w:rPr>
          <w:rFonts w:hint="eastAsia" w:ascii="宋体" w:hAnsi="宋体" w:eastAsia="宋体" w:cs="宋体"/>
          <w:sz w:val="24"/>
          <w:szCs w:val="24"/>
          <w:lang w:eastAsia="zh-CN"/>
        </w:rPr>
        <w:t xml:space="preserve">  当出现法律法规规定的成交无效或成交结果无效情形时，且合格的供应商数量符合规定，采购人可与排名下一位的成交候选人另行签订合同，或依法重新开展采购活动。</w:t>
      </w:r>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204" w:name="_Toc14080"/>
      <w:bookmarkStart w:id="205" w:name="_Toc532473485"/>
      <w:bookmarkStart w:id="206" w:name="_Toc22555"/>
      <w:bookmarkStart w:id="207" w:name="_Toc2582299"/>
      <w:bookmarkStart w:id="208" w:name="_Toc515647793"/>
      <w:r>
        <w:rPr>
          <w:rFonts w:hint="eastAsia" w:ascii="宋体" w:hAnsi="宋体" w:eastAsia="宋体" w:cs="宋体"/>
          <w:sz w:val="24"/>
          <w:szCs w:val="24"/>
          <w:u w:val="none"/>
          <w:lang w:val="en-US" w:eastAsia="zh-CN"/>
        </w:rPr>
        <w:t>26</w:t>
      </w:r>
      <w:r>
        <w:rPr>
          <w:rFonts w:hint="eastAsia" w:ascii="宋体" w:hAnsi="宋体" w:eastAsia="宋体" w:cs="宋体"/>
          <w:sz w:val="24"/>
          <w:szCs w:val="24"/>
          <w:u w:val="none"/>
        </w:rPr>
        <w:t>.履约保证金</w:t>
      </w:r>
      <w:bookmarkEnd w:id="201"/>
      <w:bookmarkEnd w:id="202"/>
      <w:bookmarkEnd w:id="203"/>
      <w:bookmarkEnd w:id="204"/>
      <w:bookmarkEnd w:id="205"/>
      <w:bookmarkEnd w:id="206"/>
      <w:bookmarkEnd w:id="207"/>
      <w:bookmarkEnd w:id="208"/>
    </w:p>
    <w:p>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如果需要履约保证金，成交供应商应按照供应商须知前附表规定向采购人提交履约保证金。</w:t>
      </w:r>
    </w:p>
    <w:p>
      <w:pPr>
        <w:pStyle w:val="3"/>
        <w:pageBreakBefore w:val="0"/>
        <w:numPr>
          <w:ilvl w:val="0"/>
          <w:numId w:val="2"/>
        </w:numPr>
        <w:wordWrap/>
        <w:topLinePunct w:val="0"/>
        <w:bidi w:val="0"/>
        <w:spacing w:before="0" w:after="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履约验收</w:t>
      </w:r>
    </w:p>
    <w:p>
      <w:pPr>
        <w:pStyle w:val="3"/>
        <w:pageBreakBefore w:val="0"/>
        <w:numPr>
          <w:ilvl w:val="0"/>
          <w:numId w:val="0"/>
        </w:numPr>
        <w:wordWrap/>
        <w:topLinePunct w:val="0"/>
        <w:bidi w:val="0"/>
        <w:spacing w:beforeLines="0" w:afterLines="0"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按采购人要求执行</w:t>
      </w:r>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bookmarkStart w:id="209" w:name="_Toc2583659"/>
      <w:bookmarkStart w:id="210" w:name="_Toc515647794"/>
      <w:bookmarkStart w:id="211" w:name="_Toc532473486"/>
      <w:bookmarkStart w:id="212" w:name="_Toc29408"/>
      <w:bookmarkStart w:id="213" w:name="_Toc2582300"/>
      <w:bookmarkStart w:id="214" w:name="_Toc3090"/>
      <w:r>
        <w:rPr>
          <w:rFonts w:hint="eastAsia" w:ascii="宋体" w:hAnsi="宋体" w:eastAsia="宋体" w:cs="宋体"/>
          <w:sz w:val="24"/>
          <w:szCs w:val="24"/>
          <w:u w:val="none"/>
          <w:lang w:val="en-US" w:eastAsia="zh-CN"/>
        </w:rPr>
        <w:t>28</w:t>
      </w:r>
      <w:r>
        <w:rPr>
          <w:rFonts w:hint="eastAsia" w:ascii="宋体" w:hAnsi="宋体" w:eastAsia="宋体" w:cs="宋体"/>
          <w:sz w:val="24"/>
          <w:szCs w:val="24"/>
          <w:u w:val="none"/>
        </w:rPr>
        <w:t>.招标代理费</w:t>
      </w:r>
      <w:bookmarkEnd w:id="209"/>
    </w:p>
    <w:p>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本项目是否由</w:t>
      </w:r>
      <w:r>
        <w:rPr>
          <w:rFonts w:hint="eastAsia" w:ascii="宋体" w:hAnsi="宋体" w:eastAsia="宋体" w:cs="宋体"/>
          <w:sz w:val="24"/>
          <w:szCs w:val="24"/>
          <w:lang w:eastAsia="zh-CN"/>
        </w:rPr>
        <w:t>成交供应商</w:t>
      </w:r>
      <w:r>
        <w:rPr>
          <w:rFonts w:hint="eastAsia" w:ascii="宋体" w:hAnsi="宋体" w:eastAsia="宋体" w:cs="宋体"/>
          <w:sz w:val="24"/>
          <w:szCs w:val="24"/>
        </w:rPr>
        <w:t>向采购代理机构支付招标代理费</w:t>
      </w:r>
      <w:r>
        <w:rPr>
          <w:rFonts w:hint="eastAsia" w:ascii="宋体" w:hAnsi="宋体" w:eastAsia="宋体" w:cs="宋体"/>
          <w:sz w:val="24"/>
          <w:szCs w:val="24"/>
          <w:lang w:eastAsia="zh-CN"/>
        </w:rPr>
        <w:t>及招标代理费标准</w:t>
      </w:r>
      <w:r>
        <w:rPr>
          <w:rFonts w:hint="eastAsia" w:ascii="宋体" w:hAnsi="宋体" w:eastAsia="宋体" w:cs="宋体"/>
          <w:sz w:val="24"/>
          <w:szCs w:val="24"/>
        </w:rPr>
        <w:t>，按照</w:t>
      </w:r>
      <w:r>
        <w:rPr>
          <w:rFonts w:hint="eastAsia" w:ascii="宋体" w:hAnsi="宋体" w:eastAsia="宋体" w:cs="宋体"/>
          <w:sz w:val="24"/>
          <w:szCs w:val="24"/>
          <w:u w:val="single"/>
          <w:lang w:eastAsia="zh-CN"/>
        </w:rPr>
        <w:t>供应商须知前附表</w:t>
      </w:r>
      <w:r>
        <w:rPr>
          <w:rFonts w:hint="eastAsia" w:ascii="宋体" w:hAnsi="宋体" w:eastAsia="宋体" w:cs="宋体"/>
          <w:sz w:val="24"/>
          <w:szCs w:val="24"/>
        </w:rPr>
        <w:t>规定执行。</w:t>
      </w:r>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lang w:eastAsia="zh-CN"/>
        </w:rPr>
      </w:pPr>
      <w:bookmarkStart w:id="215" w:name="_Toc2583660"/>
      <w:bookmarkStart w:id="216" w:name="_Toc518923099"/>
      <w:r>
        <w:rPr>
          <w:rFonts w:hint="eastAsia" w:ascii="宋体" w:hAnsi="宋体" w:eastAsia="宋体" w:cs="宋体"/>
          <w:sz w:val="24"/>
          <w:szCs w:val="24"/>
          <w:u w:val="none"/>
          <w:lang w:val="en-US" w:eastAsia="zh-CN"/>
        </w:rPr>
        <w:t>29</w:t>
      </w:r>
      <w:r>
        <w:rPr>
          <w:rFonts w:hint="eastAsia" w:ascii="宋体" w:hAnsi="宋体" w:eastAsia="宋体" w:cs="宋体"/>
          <w:sz w:val="24"/>
          <w:szCs w:val="24"/>
          <w:u w:val="none"/>
        </w:rPr>
        <w:t>.政府采购</w:t>
      </w:r>
      <w:bookmarkEnd w:id="215"/>
      <w:bookmarkEnd w:id="216"/>
      <w:r>
        <w:rPr>
          <w:rFonts w:hint="eastAsia" w:ascii="宋体" w:hAnsi="宋体" w:eastAsia="宋体" w:cs="宋体"/>
          <w:sz w:val="24"/>
          <w:szCs w:val="24"/>
          <w:u w:val="none"/>
          <w:lang w:eastAsia="zh-CN"/>
        </w:rPr>
        <w:t>合同线上信用融资</w:t>
      </w:r>
    </w:p>
    <w:p>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lang w:eastAsia="zh-CN"/>
        </w:rPr>
        <w:t>成交供应商为中小微企业的，可以在取得成交通知书后，通过“政府采购合同线上信用融资系统”，向相关金融机构、担保机构申请政府采购融资服务。</w:t>
      </w:r>
      <w:bookmarkStart w:id="217" w:name="_Toc2583663"/>
      <w:bookmarkStart w:id="218" w:name="_Toc518923102"/>
    </w:p>
    <w:p>
      <w:pPr>
        <w:pStyle w:val="5"/>
        <w:pageBreakBefore w:val="0"/>
        <w:widowControl w:val="0"/>
        <w:kinsoku/>
        <w:wordWrap/>
        <w:overflowPunct/>
        <w:topLinePunct w:val="0"/>
        <w:bidi w:val="0"/>
        <w:snapToGrid/>
        <w:spacing w:before="0" w:after="0" w:line="360" w:lineRule="auto"/>
        <w:jc w:val="center"/>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（八）质疑和投诉</w:t>
      </w:r>
    </w:p>
    <w:p>
      <w:pPr>
        <w:pStyle w:val="5"/>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30</w:t>
      </w:r>
      <w:r>
        <w:rPr>
          <w:rFonts w:hint="eastAsia" w:ascii="宋体" w:hAnsi="宋体" w:eastAsia="宋体" w:cs="宋体"/>
          <w:sz w:val="24"/>
          <w:szCs w:val="24"/>
          <w:u w:val="none"/>
        </w:rPr>
        <w:t>.质疑</w:t>
      </w:r>
      <w:bookmarkEnd w:id="217"/>
      <w:bookmarkEnd w:id="218"/>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 xml:space="preserve">.1  </w:t>
      </w:r>
      <w:r>
        <w:rPr>
          <w:rFonts w:hint="eastAsia" w:ascii="宋体" w:hAnsi="宋体" w:eastAsia="宋体" w:cs="宋体"/>
          <w:sz w:val="24"/>
          <w:szCs w:val="24"/>
          <w:lang w:eastAsia="zh-CN"/>
        </w:rPr>
        <w:t>供应商</w:t>
      </w:r>
      <w:r>
        <w:rPr>
          <w:rFonts w:hint="eastAsia" w:ascii="宋体" w:hAnsi="宋体" w:eastAsia="宋体" w:cs="宋体"/>
          <w:sz w:val="24"/>
          <w:szCs w:val="24"/>
        </w:rPr>
        <w:t>认为</w:t>
      </w:r>
      <w:r>
        <w:rPr>
          <w:rFonts w:hint="eastAsia" w:ascii="宋体" w:hAnsi="宋体" w:eastAsia="宋体" w:cs="宋体"/>
          <w:sz w:val="24"/>
          <w:szCs w:val="24"/>
          <w:lang w:eastAsia="zh-CN"/>
        </w:rPr>
        <w:t>采购</w:t>
      </w:r>
      <w:r>
        <w:rPr>
          <w:rFonts w:hint="eastAsia" w:ascii="宋体" w:hAnsi="宋体" w:eastAsia="宋体" w:cs="宋体"/>
          <w:sz w:val="24"/>
          <w:szCs w:val="24"/>
        </w:rPr>
        <w:t>文件、</w:t>
      </w:r>
      <w:r>
        <w:rPr>
          <w:rFonts w:hint="eastAsia" w:ascii="宋体" w:hAnsi="宋体" w:eastAsia="宋体" w:cs="宋体"/>
          <w:sz w:val="24"/>
          <w:szCs w:val="24"/>
          <w:lang w:eastAsia="zh-CN"/>
        </w:rPr>
        <w:t>采购</w:t>
      </w:r>
      <w:r>
        <w:rPr>
          <w:rFonts w:hint="eastAsia" w:ascii="宋体" w:hAnsi="宋体" w:eastAsia="宋体" w:cs="宋体"/>
          <w:sz w:val="24"/>
          <w:szCs w:val="24"/>
        </w:rPr>
        <w:t>过程和</w:t>
      </w:r>
      <w:r>
        <w:rPr>
          <w:rFonts w:hint="eastAsia" w:ascii="宋体" w:hAnsi="宋体" w:eastAsia="宋体" w:cs="宋体"/>
          <w:sz w:val="24"/>
          <w:szCs w:val="24"/>
          <w:lang w:eastAsia="zh-CN"/>
        </w:rPr>
        <w:t>成交</w:t>
      </w:r>
      <w:r>
        <w:rPr>
          <w:rFonts w:hint="eastAsia" w:ascii="宋体" w:hAnsi="宋体" w:eastAsia="宋体" w:cs="宋体"/>
          <w:sz w:val="24"/>
          <w:szCs w:val="24"/>
        </w:rPr>
        <w:t>结果使自己的权益受到损害的，可以根据《中华人民共和国政府采购法》、《中华人民共和国政府采购法实施条例》和《政府采购质疑和投诉办法》的有关规定，</w:t>
      </w:r>
      <w:r>
        <w:rPr>
          <w:rFonts w:hint="eastAsia" w:ascii="宋体" w:hAnsi="宋体" w:eastAsia="宋体" w:cs="宋体"/>
          <w:sz w:val="24"/>
          <w:szCs w:val="24"/>
          <w:lang w:eastAsia="zh-CN"/>
        </w:rPr>
        <w:t>在知道或者应知其权益受到损害之日起</w:t>
      </w:r>
      <w:r>
        <w:rPr>
          <w:rFonts w:hint="eastAsia" w:ascii="宋体" w:hAnsi="宋体" w:eastAsia="宋体" w:cs="宋体"/>
          <w:sz w:val="24"/>
          <w:szCs w:val="24"/>
          <w:lang w:val="en-US" w:eastAsia="zh-CN"/>
        </w:rPr>
        <w:t>7个工作日内，</w:t>
      </w:r>
      <w:r>
        <w:rPr>
          <w:rFonts w:hint="eastAsia" w:ascii="宋体" w:hAnsi="宋体" w:eastAsia="宋体" w:cs="宋体"/>
          <w:sz w:val="24"/>
          <w:szCs w:val="24"/>
        </w:rPr>
        <w:t>依法向采购人或其委托的采购代理机构提出质疑。</w:t>
      </w:r>
    </w:p>
    <w:p>
      <w:pPr>
        <w:pStyle w:val="3"/>
        <w:pageBreakBefore w:val="0"/>
        <w:widowControl w:val="0"/>
        <w:kinsoku/>
        <w:wordWrap/>
        <w:overflowPunct/>
        <w:topLinePunct w:val="0"/>
        <w:bidi w:val="0"/>
        <w:spacing w:before="0" w:beforeLines="0" w:after="0" w:after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30.2  提出质疑的供应商应当是参加所本项目采购活动的供应商。依法获取可质疑采购文件的潜在供应商也可以依法提出质疑。</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质疑供应商</w:t>
      </w:r>
      <w:r>
        <w:rPr>
          <w:rFonts w:hint="eastAsia" w:ascii="宋体" w:hAnsi="宋体" w:eastAsia="宋体" w:cs="宋体"/>
          <w:sz w:val="24"/>
          <w:szCs w:val="24"/>
          <w:lang w:eastAsia="zh-CN"/>
        </w:rPr>
        <w:t>应在法定质疑期内通过“宁夏回族自治区政府采购网”“政府采购在线质疑投诉系统”提出质疑。</w:t>
      </w:r>
      <w:r>
        <w:rPr>
          <w:rFonts w:hint="eastAsia" w:ascii="宋体" w:hAnsi="宋体" w:eastAsia="宋体" w:cs="宋体"/>
          <w:sz w:val="24"/>
          <w:szCs w:val="24"/>
        </w:rPr>
        <w:t>针对同一采购程序环节的质疑次数应符合</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的规定。超出法定质疑期提交的质疑将被拒绝。</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30.4  采购人、采购代理机构不得拒收质疑供应商在法定质疑期内发出的质疑函，应当在收到质疑函7个工作日内作出答复，并通知质疑供应商和相关供应商。</w:t>
      </w:r>
    </w:p>
    <w:bookmarkEnd w:id="210"/>
    <w:bookmarkEnd w:id="211"/>
    <w:bookmarkEnd w:id="212"/>
    <w:bookmarkEnd w:id="213"/>
    <w:bookmarkEnd w:id="214"/>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31.投诉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31.1 质疑供应商对采购人、采购代理机构的答复不满意，或者采购人、采购代理机构未在规定时间内作出答复的，可以在答复期满后15个工作日内向同级财政部门提起投诉。</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.2 </w:t>
      </w:r>
      <w:r>
        <w:rPr>
          <w:rFonts w:hint="eastAsia" w:ascii="宋体" w:hAnsi="宋体" w:eastAsia="宋体" w:cs="宋体"/>
          <w:sz w:val="24"/>
          <w:szCs w:val="24"/>
          <w:lang w:eastAsia="zh-CN"/>
        </w:rPr>
        <w:t>投诉</w:t>
      </w:r>
      <w:r>
        <w:rPr>
          <w:rFonts w:hint="eastAsia" w:ascii="宋体" w:hAnsi="宋体" w:eastAsia="宋体" w:cs="宋体"/>
          <w:sz w:val="24"/>
          <w:szCs w:val="24"/>
        </w:rPr>
        <w:t>供应商</w:t>
      </w:r>
      <w:r>
        <w:rPr>
          <w:rFonts w:hint="eastAsia" w:ascii="宋体" w:hAnsi="宋体" w:eastAsia="宋体" w:cs="宋体"/>
          <w:sz w:val="24"/>
          <w:szCs w:val="24"/>
          <w:lang w:eastAsia="zh-CN"/>
        </w:rPr>
        <w:t>应在法定投诉期内通过“宁夏回族自治区政府采购网”“政府采购在线质疑投诉系统”提出投诉。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lang w:val="en-US" w:eastAsia="zh-CN"/>
        </w:rPr>
      </w:pPr>
    </w:p>
    <w:p>
      <w:pPr>
        <w:pageBreakBefore w:val="0"/>
        <w:wordWrap/>
        <w:topLinePunct w:val="0"/>
        <w:bidi w:val="0"/>
        <w:spacing w:line="360" w:lineRule="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lang w:val="en-US" w:eastAsia="zh-CN"/>
        </w:rPr>
      </w:pPr>
      <w:bookmarkStart w:id="219" w:name="_Toc449607231"/>
      <w:r>
        <w:rPr>
          <w:rFonts w:hint="eastAsia" w:ascii="宋体" w:hAnsi="宋体" w:eastAsia="宋体" w:cs="宋体"/>
          <w:b/>
          <w:bCs/>
          <w:color w:val="auto"/>
          <w:sz w:val="32"/>
          <w:szCs w:val="32"/>
          <w:highlight w:val="none"/>
          <w:lang w:val="en-US" w:eastAsia="zh-CN"/>
        </w:rPr>
        <w:t>第四章 工程量清单及采购需求</w:t>
      </w:r>
    </w:p>
    <w:bookmarkEnd w:id="219"/>
    <w:p>
      <w:pPr>
        <w:pageBreakBefore w:val="0"/>
        <w:wordWrap/>
        <w:topLinePunct w:val="0"/>
        <w:bidi w:val="0"/>
        <w:spacing w:line="360" w:lineRule="auto"/>
        <w:ind w:firstLine="560" w:firstLineChars="200"/>
        <w:rPr>
          <w:rFonts w:hint="eastAsia" w:ascii="仿宋" w:hAnsi="仿宋" w:eastAsia="仿宋" w:cs="仿宋"/>
          <w:sz w:val="28"/>
          <w:szCs w:val="28"/>
          <w:highlight w:val="none"/>
          <w:lang w:val="en-US" w:eastAsia="zh-CN"/>
        </w:rPr>
      </w:pPr>
    </w:p>
    <w:p>
      <w:pPr>
        <w:pStyle w:val="21"/>
        <w:pageBreakBefore w:val="0"/>
        <w:wordWrap/>
        <w:topLinePunct w:val="0"/>
        <w:bidi w:val="0"/>
        <w:spacing w:line="360" w:lineRule="auto"/>
        <w:rPr>
          <w:rFonts w:hint="eastAsia" w:ascii="宋体" w:hAnsi="宋体" w:eastAsia="宋体" w:cs="宋体"/>
          <w:b/>
          <w:bCs/>
          <w:color w:val="auto"/>
          <w:sz w:val="32"/>
          <w:szCs w:val="32"/>
          <w:highlight w:val="none"/>
          <w:lang w:val="en-US" w:eastAsia="zh-CN"/>
        </w:rPr>
      </w:pPr>
    </w:p>
    <w:p>
      <w:pPr>
        <w:pStyle w:val="21"/>
        <w:pageBreakBefore w:val="0"/>
        <w:wordWrap/>
        <w:topLinePunct w:val="0"/>
        <w:bidi w:val="0"/>
        <w:spacing w:line="360" w:lineRule="auto"/>
        <w:ind w:firstLine="2570" w:firstLineChars="800"/>
        <w:rPr>
          <w:rFonts w:hint="eastAsia"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highlight w:val="none"/>
          <w:u w:val="none"/>
          <w:lang w:val="en-US" w:eastAsia="zh-CN"/>
        </w:rPr>
        <w:t>详见工程量清单附件</w:t>
      </w:r>
    </w:p>
    <w:p>
      <w:pPr>
        <w:rPr>
          <w:rFonts w:hint="eastAsia" w:ascii="宋体" w:hAnsi="宋体" w:eastAsia="宋体" w:cs="宋体"/>
          <w:b/>
          <w:bCs/>
          <w:color w:val="auto"/>
          <w:sz w:val="32"/>
          <w:szCs w:val="32"/>
          <w:highlight w:val="none"/>
          <w:u w:val="none"/>
          <w:lang w:val="en-US" w:eastAsia="zh-CN"/>
        </w:rPr>
      </w:pPr>
    </w:p>
    <w:p>
      <w:pPr>
        <w:rPr>
          <w:rFonts w:hint="eastAsia" w:ascii="宋体" w:hAnsi="宋体" w:eastAsia="宋体" w:cs="宋体"/>
          <w:b/>
          <w:bCs/>
          <w:color w:val="auto"/>
          <w:sz w:val="32"/>
          <w:szCs w:val="32"/>
          <w:highlight w:val="none"/>
          <w:u w:val="none"/>
          <w:lang w:val="en-US" w:eastAsia="zh-CN"/>
        </w:rPr>
      </w:pPr>
    </w:p>
    <w:p>
      <w:pPr>
        <w:pStyle w:val="21"/>
        <w:pageBreakBefore w:val="0"/>
        <w:wordWrap/>
        <w:topLinePunct w:val="0"/>
        <w:bidi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备注：本项目为宣传事务中心“两馆”科普教育基地维修改造项目，项目实施过程中需要对两馆中的文物陈列品进行保护搬运，要求投标单位具有文物保护及搬运意识和基本常识，搬运过程中不允许对文物进行损坏和丢失。</w:t>
      </w:r>
    </w:p>
    <w:p>
      <w:pPr>
        <w:pageBreakBefore w:val="0"/>
        <w:wordWrap/>
        <w:topLinePunct w:val="0"/>
        <w:bidi w:val="0"/>
        <w:spacing w:line="360" w:lineRule="auto"/>
        <w:rPr>
          <w:rFonts w:hint="eastAsia"/>
          <w:lang w:val="en-US" w:eastAsia="zh-CN"/>
        </w:rPr>
      </w:pPr>
    </w:p>
    <w:p>
      <w:pPr>
        <w:pStyle w:val="21"/>
        <w:pageBreakBefore w:val="0"/>
        <w:wordWrap/>
        <w:topLinePunct w:val="0"/>
        <w:bidi w:val="0"/>
        <w:spacing w:line="360" w:lineRule="auto"/>
        <w:rPr>
          <w:rFonts w:hint="eastAsia" w:ascii="宋体" w:hAnsi="宋体" w:eastAsia="宋体" w:cs="宋体"/>
          <w:b/>
          <w:bCs/>
          <w:color w:val="auto"/>
          <w:sz w:val="32"/>
          <w:szCs w:val="32"/>
          <w:highlight w:val="none"/>
          <w:lang w:val="en-US" w:eastAsia="zh-CN"/>
        </w:rPr>
      </w:pPr>
    </w:p>
    <w:p>
      <w:pPr>
        <w:pageBreakBefore w:val="0"/>
        <w:wordWrap/>
        <w:topLinePunct w:val="0"/>
        <w:bidi w:val="0"/>
        <w:spacing w:line="360" w:lineRule="auto"/>
        <w:rPr>
          <w:rFonts w:hint="eastAsia" w:ascii="宋体" w:hAnsi="宋体" w:eastAsia="宋体" w:cs="宋体"/>
          <w:b/>
          <w:bCs/>
          <w:color w:val="auto"/>
          <w:sz w:val="32"/>
          <w:szCs w:val="32"/>
          <w:highlight w:val="none"/>
          <w:lang w:val="en-US" w:eastAsia="zh-CN"/>
        </w:rPr>
      </w:pPr>
    </w:p>
    <w:p>
      <w:pPr>
        <w:pageBreakBefore w:val="0"/>
        <w:wordWrap/>
        <w:topLinePunct w:val="0"/>
        <w:bidi w:val="0"/>
        <w:spacing w:line="360" w:lineRule="auto"/>
        <w:rPr>
          <w:rFonts w:hint="eastAsia" w:ascii="宋体" w:hAnsi="宋体" w:eastAsia="宋体" w:cs="宋体"/>
          <w:b/>
          <w:bCs/>
          <w:color w:val="auto"/>
          <w:sz w:val="32"/>
          <w:szCs w:val="32"/>
          <w:highlight w:val="none"/>
          <w:lang w:val="en-US" w:eastAsia="zh-CN"/>
        </w:rPr>
      </w:pPr>
    </w:p>
    <w:p>
      <w:pPr>
        <w:pageBreakBefore w:val="0"/>
        <w:wordWrap/>
        <w:topLinePunct w:val="0"/>
        <w:bidi w:val="0"/>
        <w:spacing w:line="360" w:lineRule="auto"/>
        <w:rPr>
          <w:rFonts w:hint="eastAsia" w:ascii="宋体" w:hAnsi="宋体" w:eastAsia="宋体" w:cs="宋体"/>
          <w:b/>
          <w:bCs/>
          <w:color w:val="auto"/>
          <w:sz w:val="32"/>
          <w:szCs w:val="32"/>
          <w:highlight w:val="none"/>
          <w:lang w:val="en-US" w:eastAsia="zh-CN"/>
        </w:rPr>
      </w:pPr>
    </w:p>
    <w:p>
      <w:pPr>
        <w:pageBreakBefore w:val="0"/>
        <w:wordWrap/>
        <w:topLinePunct w:val="0"/>
        <w:bidi w:val="0"/>
        <w:spacing w:line="360" w:lineRule="auto"/>
        <w:rPr>
          <w:rFonts w:hint="eastAsia" w:ascii="宋体" w:hAnsi="宋体" w:eastAsia="宋体" w:cs="宋体"/>
          <w:b/>
          <w:bCs/>
          <w:color w:val="auto"/>
          <w:sz w:val="32"/>
          <w:szCs w:val="32"/>
          <w:highlight w:val="none"/>
          <w:lang w:val="en-US" w:eastAsia="zh-CN"/>
        </w:rPr>
      </w:pPr>
    </w:p>
    <w:p>
      <w:pPr>
        <w:pageBreakBefore w:val="0"/>
        <w:wordWrap/>
        <w:topLinePunct w:val="0"/>
        <w:bidi w:val="0"/>
        <w:spacing w:line="360" w:lineRule="auto"/>
        <w:rPr>
          <w:rFonts w:hint="eastAsia" w:ascii="宋体" w:hAnsi="宋体" w:eastAsia="宋体" w:cs="宋体"/>
          <w:b/>
          <w:bCs/>
          <w:color w:val="auto"/>
          <w:sz w:val="32"/>
          <w:szCs w:val="32"/>
          <w:highlight w:val="none"/>
          <w:lang w:val="en-US" w:eastAsia="zh-CN"/>
        </w:rPr>
      </w:pPr>
    </w:p>
    <w:p>
      <w:pPr>
        <w:pageBreakBefore w:val="0"/>
        <w:wordWrap/>
        <w:topLinePunct w:val="0"/>
        <w:bidi w:val="0"/>
        <w:spacing w:line="360" w:lineRule="auto"/>
        <w:rPr>
          <w:rFonts w:hint="eastAsia" w:ascii="宋体" w:hAnsi="宋体" w:eastAsia="宋体" w:cs="宋体"/>
          <w:b/>
          <w:bCs/>
          <w:color w:val="auto"/>
          <w:sz w:val="32"/>
          <w:szCs w:val="32"/>
          <w:highlight w:val="none"/>
          <w:lang w:val="en-US" w:eastAsia="zh-CN"/>
        </w:rPr>
      </w:pPr>
    </w:p>
    <w:p>
      <w:pPr>
        <w:pageBreakBefore w:val="0"/>
        <w:wordWrap/>
        <w:topLinePunct w:val="0"/>
        <w:bidi w:val="0"/>
        <w:spacing w:line="360" w:lineRule="auto"/>
        <w:rPr>
          <w:rFonts w:hint="eastAsia" w:ascii="宋体" w:hAnsi="宋体" w:eastAsia="宋体" w:cs="宋体"/>
          <w:b/>
          <w:bCs/>
          <w:color w:val="auto"/>
          <w:sz w:val="32"/>
          <w:szCs w:val="32"/>
          <w:highlight w:val="none"/>
          <w:lang w:val="en-US" w:eastAsia="zh-CN"/>
        </w:rPr>
      </w:pPr>
    </w:p>
    <w:p>
      <w:pPr>
        <w:pageBreakBefore w:val="0"/>
        <w:wordWrap/>
        <w:topLinePunct w:val="0"/>
        <w:bidi w:val="0"/>
        <w:spacing w:line="360" w:lineRule="auto"/>
        <w:rPr>
          <w:rFonts w:hint="eastAsia" w:ascii="宋体" w:hAnsi="宋体" w:eastAsia="宋体" w:cs="宋体"/>
          <w:b/>
          <w:bCs/>
          <w:color w:val="auto"/>
          <w:sz w:val="32"/>
          <w:szCs w:val="32"/>
          <w:highlight w:val="none"/>
          <w:lang w:val="en-US" w:eastAsia="zh-CN"/>
        </w:rPr>
      </w:pPr>
    </w:p>
    <w:p>
      <w:pPr>
        <w:pageBreakBefore w:val="0"/>
        <w:wordWrap/>
        <w:topLinePunct w:val="0"/>
        <w:bidi w:val="0"/>
        <w:spacing w:line="360" w:lineRule="auto"/>
        <w:rPr>
          <w:rFonts w:hint="eastAsia" w:ascii="宋体" w:hAnsi="宋体" w:eastAsia="宋体" w:cs="宋体"/>
          <w:b/>
          <w:bCs/>
          <w:color w:val="auto"/>
          <w:sz w:val="32"/>
          <w:szCs w:val="32"/>
          <w:highlight w:val="none"/>
          <w:lang w:val="en-US" w:eastAsia="zh-CN"/>
        </w:rPr>
      </w:pPr>
    </w:p>
    <w:p>
      <w:pPr>
        <w:pageBreakBefore w:val="0"/>
        <w:wordWrap/>
        <w:topLinePunct w:val="0"/>
        <w:bidi w:val="0"/>
        <w:spacing w:line="360" w:lineRule="auto"/>
        <w:rPr>
          <w:rFonts w:hint="eastAsia" w:ascii="宋体" w:hAnsi="宋体" w:eastAsia="宋体" w:cs="宋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lang w:val="en-US" w:eastAsia="zh-CN"/>
        </w:rPr>
      </w:pPr>
      <w:r>
        <w:rPr>
          <w:rFonts w:hint="eastAsia" w:ascii="宋体" w:hAnsi="宋体" w:eastAsia="宋体" w:cs="宋体"/>
          <w:b/>
          <w:bCs/>
          <w:color w:val="auto"/>
          <w:sz w:val="32"/>
          <w:szCs w:val="32"/>
          <w:highlight w:val="none"/>
          <w:lang w:val="en-US" w:eastAsia="zh-CN"/>
        </w:rPr>
        <w:t>第五章 政府采购合同范本</w:t>
      </w:r>
    </w:p>
    <w:p>
      <w:pPr>
        <w:pageBreakBefore w:val="0"/>
        <w:wordWrap/>
        <w:topLinePunct w:val="0"/>
        <w:bidi w:val="0"/>
        <w:spacing w:line="360" w:lineRule="auto"/>
        <w:jc w:val="left"/>
        <w:rPr>
          <w:rFonts w:hint="eastAsia" w:ascii="宋体" w:hAnsi="宋体" w:eastAsia="宋体" w:cs="宋体"/>
          <w:bCs/>
          <w:color w:val="000000"/>
          <w:sz w:val="32"/>
          <w:szCs w:val="32"/>
        </w:rPr>
      </w:pPr>
      <w:bookmarkStart w:id="220" w:name="_Toc9603"/>
    </w:p>
    <w:p>
      <w:pPr>
        <w:pageBreakBefore w:val="0"/>
        <w:wordWrap/>
        <w:topLinePunct w:val="0"/>
        <w:bidi w:val="0"/>
        <w:spacing w:line="360" w:lineRule="auto"/>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rPr>
        <w:t>（GF—2017—0201）</w:t>
      </w:r>
    </w:p>
    <w:p>
      <w:pPr>
        <w:pageBreakBefore w:val="0"/>
        <w:wordWrap/>
        <w:topLinePunct w:val="0"/>
        <w:bidi w:val="0"/>
        <w:spacing w:line="360" w:lineRule="auto"/>
        <w:jc w:val="center"/>
        <w:rPr>
          <w:rFonts w:hint="eastAsia" w:ascii="宋体" w:hAnsi="宋体" w:eastAsia="宋体" w:cs="宋体"/>
          <w:b/>
          <w:color w:val="000000"/>
          <w:sz w:val="52"/>
          <w:szCs w:val="52"/>
        </w:rPr>
      </w:pPr>
    </w:p>
    <w:p>
      <w:pPr>
        <w:pageBreakBefore w:val="0"/>
        <w:wordWrap/>
        <w:topLinePunct w:val="0"/>
        <w:bidi w:val="0"/>
        <w:spacing w:line="360" w:lineRule="auto"/>
        <w:jc w:val="center"/>
        <w:rPr>
          <w:rFonts w:hint="eastAsia" w:ascii="宋体" w:hAnsi="宋体" w:eastAsia="宋体" w:cs="宋体"/>
          <w:b/>
          <w:color w:val="000000"/>
          <w:sz w:val="52"/>
          <w:szCs w:val="52"/>
        </w:rPr>
      </w:pPr>
    </w:p>
    <w:p>
      <w:pPr>
        <w:pageBreakBefore w:val="0"/>
        <w:wordWrap/>
        <w:topLinePunct w:val="0"/>
        <w:bidi w:val="0"/>
        <w:spacing w:line="360" w:lineRule="auto"/>
        <w:jc w:val="center"/>
        <w:rPr>
          <w:rFonts w:hint="eastAsia" w:ascii="宋体" w:hAnsi="宋体" w:eastAsia="宋体" w:cs="宋体"/>
          <w:b/>
          <w:color w:val="000000"/>
          <w:sz w:val="52"/>
          <w:szCs w:val="52"/>
        </w:rPr>
      </w:pPr>
    </w:p>
    <w:p>
      <w:pPr>
        <w:pageBreakBefore w:val="0"/>
        <w:wordWrap/>
        <w:topLinePunct w:val="0"/>
        <w:bidi w:val="0"/>
        <w:spacing w:line="360" w:lineRule="auto"/>
        <w:jc w:val="center"/>
        <w:rPr>
          <w:rFonts w:hint="eastAsia" w:ascii="宋体" w:hAnsi="宋体" w:eastAsia="宋体" w:cs="宋体"/>
          <w:b/>
          <w:color w:val="000000"/>
          <w:sz w:val="72"/>
          <w:szCs w:val="52"/>
          <w:lang w:eastAsia="zh-CN"/>
        </w:rPr>
      </w:pPr>
      <w:r>
        <w:rPr>
          <w:rFonts w:hint="eastAsia" w:ascii="宋体" w:hAnsi="宋体" w:eastAsia="宋体" w:cs="宋体"/>
          <w:b/>
          <w:color w:val="000000"/>
          <w:sz w:val="72"/>
          <w:szCs w:val="52"/>
        </w:rPr>
        <w:t>建设工程施工合同</w:t>
      </w:r>
    </w:p>
    <w:p>
      <w:pPr>
        <w:pStyle w:val="9"/>
        <w:pageBreakBefore w:val="0"/>
        <w:wordWrap/>
        <w:topLinePunct w:val="0"/>
        <w:bidi w:val="0"/>
        <w:spacing w:line="360" w:lineRule="auto"/>
        <w:rPr>
          <w:rFonts w:hint="eastAsia" w:ascii="宋体" w:hAnsi="宋体" w:eastAsia="宋体" w:cs="宋体"/>
          <w:lang w:eastAsia="zh-CN"/>
        </w:rPr>
      </w:pPr>
    </w:p>
    <w:p>
      <w:pPr>
        <w:pageBreakBefore w:val="0"/>
        <w:wordWrap/>
        <w:topLinePunct w:val="0"/>
        <w:bidi w:val="0"/>
        <w:spacing w:line="360" w:lineRule="auto"/>
        <w:jc w:val="center"/>
        <w:rPr>
          <w:rFonts w:hint="eastAsia" w:ascii="宋体" w:hAnsi="宋体" w:eastAsia="宋体" w:cs="宋体"/>
          <w:b/>
          <w:color w:val="000000"/>
          <w:sz w:val="52"/>
          <w:szCs w:val="52"/>
        </w:rPr>
      </w:pPr>
    </w:p>
    <w:p>
      <w:pPr>
        <w:pageBreakBefore w:val="0"/>
        <w:wordWrap/>
        <w:topLinePunct w:val="0"/>
        <w:bidi w:val="0"/>
        <w:spacing w:line="360" w:lineRule="auto"/>
        <w:rPr>
          <w:rFonts w:hint="eastAsia" w:ascii="宋体" w:hAnsi="宋体" w:eastAsia="宋体" w:cs="宋体"/>
          <w:b/>
          <w:color w:val="000000"/>
          <w:sz w:val="28"/>
          <w:szCs w:val="28"/>
        </w:rPr>
      </w:pPr>
    </w:p>
    <w:p>
      <w:pPr>
        <w:pageBreakBefore w:val="0"/>
        <w:wordWrap/>
        <w:topLinePunct w:val="0"/>
        <w:bidi w:val="0"/>
        <w:spacing w:line="360" w:lineRule="auto"/>
        <w:rPr>
          <w:rFonts w:hint="eastAsia" w:ascii="宋体" w:hAnsi="宋体" w:eastAsia="宋体" w:cs="宋体"/>
          <w:b/>
          <w:color w:val="000000"/>
          <w:sz w:val="28"/>
          <w:szCs w:val="28"/>
        </w:rPr>
      </w:pPr>
    </w:p>
    <w:p>
      <w:pPr>
        <w:pageBreakBefore w:val="0"/>
        <w:wordWrap/>
        <w:topLinePunct w:val="0"/>
        <w:bidi w:val="0"/>
        <w:spacing w:line="360" w:lineRule="auto"/>
        <w:rPr>
          <w:rFonts w:hint="eastAsia" w:ascii="宋体" w:hAnsi="宋体" w:eastAsia="宋体" w:cs="宋体"/>
        </w:rPr>
      </w:pPr>
    </w:p>
    <w:p>
      <w:pPr>
        <w:pageBreakBefore w:val="0"/>
        <w:wordWrap/>
        <w:topLinePunct w:val="0"/>
        <w:bidi w:val="0"/>
        <w:spacing w:line="360" w:lineRule="auto"/>
        <w:ind w:right="3626" w:rightChars="1295"/>
        <w:jc w:val="distribute"/>
        <w:rPr>
          <w:rFonts w:hint="eastAsia" w:ascii="宋体" w:hAnsi="宋体" w:eastAsia="宋体" w:cs="宋体"/>
          <w:b/>
          <w:color w:val="000000"/>
          <w:sz w:val="32"/>
          <w:szCs w:val="28"/>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HNLXHYAAAACQEA&#10;AA8AAAAAAAAAAQAgAAAAOAAAAGRycy9kb3ducmV2LnhtbFBLAQIUABQAAAAIAIdO4kDtHmq6BAIA&#10;AAwEAAAOAAAAAAAAAAEAIAAAAD0BAABkcnMvZTJvRG9jLnhtbFBLBQYAAAAABgAGAFkBAACzBQAA&#10;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hint="eastAsia" w:ascii="宋体" w:hAnsi="宋体" w:cs="宋体"/>
          <w:b/>
          <w:color w:val="000000"/>
          <w:sz w:val="32"/>
          <w:szCs w:val="28"/>
          <w:lang w:val="en-US" w:eastAsia="zh-CN"/>
        </w:rPr>
        <w:t xml:space="preserve">        </w:t>
      </w:r>
      <w:r>
        <w:rPr>
          <w:rFonts w:hint="eastAsia" w:ascii="宋体" w:hAnsi="宋体" w:eastAsia="宋体" w:cs="宋体"/>
          <w:b/>
          <w:color w:val="000000"/>
          <w:sz w:val="32"/>
          <w:szCs w:val="28"/>
        </w:rPr>
        <w:t>住房城乡建设部</w:t>
      </w:r>
    </w:p>
    <w:p>
      <w:pPr>
        <w:pageBreakBefore w:val="0"/>
        <w:wordWrap/>
        <w:topLinePunct w:val="0"/>
        <w:bidi w:val="0"/>
        <w:spacing w:line="360" w:lineRule="auto"/>
        <w:ind w:right="3626" w:rightChars="1295"/>
        <w:jc w:val="distribute"/>
        <w:rPr>
          <w:rFonts w:hint="eastAsia" w:ascii="宋体" w:hAnsi="宋体" w:eastAsia="宋体" w:cs="宋体"/>
          <w:b/>
          <w:color w:val="000000"/>
          <w:sz w:val="32"/>
          <w:szCs w:val="28"/>
        </w:rPr>
      </w:pPr>
      <w:r>
        <w:rPr>
          <w:rFonts w:hint="eastAsia" w:ascii="宋体" w:hAnsi="宋体" w:cs="宋体"/>
          <w:b/>
          <w:color w:val="000000"/>
          <w:sz w:val="32"/>
          <w:szCs w:val="28"/>
          <w:lang w:val="en-US" w:eastAsia="zh-CN"/>
        </w:rPr>
        <w:t xml:space="preserve">        </w:t>
      </w:r>
      <w:r>
        <w:rPr>
          <w:rFonts w:hint="eastAsia" w:ascii="宋体" w:hAnsi="宋体" w:eastAsia="宋体" w:cs="宋体"/>
          <w:b/>
          <w:color w:val="000000"/>
          <w:sz w:val="32"/>
          <w:szCs w:val="28"/>
        </w:rPr>
        <w:t>国家工商行政管理总局</w:t>
      </w:r>
    </w:p>
    <w:p>
      <w:pPr>
        <w:pStyle w:val="45"/>
        <w:pageBreakBefore w:val="0"/>
        <w:wordWrap/>
        <w:topLinePunct w:val="0"/>
        <w:bidi w:val="0"/>
        <w:spacing w:before="0" w:after="0" w:line="360" w:lineRule="auto"/>
        <w:outlineLvl w:val="0"/>
        <w:rPr>
          <w:rFonts w:hint="eastAsia" w:ascii="宋体" w:hAnsi="宋体" w:eastAsia="宋体" w:cs="宋体"/>
          <w:sz w:val="30"/>
          <w:szCs w:val="30"/>
        </w:rPr>
        <w:sectPr>
          <w:footerReference r:id="rId8" w:type="first"/>
          <w:footerReference r:id="rId7" w:type="default"/>
          <w:pgSz w:w="11906" w:h="16838"/>
          <w:pgMar w:top="1418" w:right="1555" w:bottom="1418" w:left="1531" w:header="851" w:footer="992" w:gutter="0"/>
          <w:pgNumType w:fmt="decimal" w:start="0"/>
          <w:cols w:space="720" w:num="1"/>
          <w:titlePg/>
          <w:docGrid w:type="lines" w:linePitch="312" w:charSpace="0"/>
        </w:sectPr>
      </w:pPr>
      <w:bookmarkStart w:id="221" w:name="_Toc296503025"/>
      <w:bookmarkStart w:id="222" w:name="_Toc296890982"/>
    </w:p>
    <w:p>
      <w:pPr>
        <w:pStyle w:val="46"/>
        <w:pageBreakBefore w:val="0"/>
        <w:wordWrap/>
        <w:topLinePunct w:val="0"/>
        <w:bidi w:val="0"/>
        <w:spacing w:before="120" w:after="120" w:line="360" w:lineRule="auto"/>
        <w:jc w:val="center"/>
        <w:rPr>
          <w:rFonts w:hint="eastAsia" w:ascii="宋体" w:hAnsi="宋体" w:eastAsia="宋体" w:cs="宋体"/>
          <w:sz w:val="24"/>
          <w:szCs w:val="24"/>
        </w:rPr>
      </w:pPr>
      <w:bookmarkStart w:id="223" w:name="_Toc351203480"/>
      <w:r>
        <w:rPr>
          <w:rFonts w:hint="eastAsia" w:ascii="宋体" w:hAnsi="宋体" w:eastAsia="宋体" w:cs="宋体"/>
          <w:sz w:val="24"/>
          <w:szCs w:val="24"/>
          <w:lang w:val="zh-CN"/>
        </w:rPr>
        <w:t>目  录</w:t>
      </w:r>
    </w:p>
    <w:p>
      <w:pPr>
        <w:pStyle w:val="12"/>
        <w:pageBreakBefore w:val="0"/>
        <w:tabs>
          <w:tab w:val="right" w:leader="dot" w:pos="8810"/>
        </w:tabs>
        <w:wordWrap/>
        <w:topLinePunct w:val="0"/>
        <w:bidi w:val="0"/>
        <w:spacing w:line="360" w:lineRule="auto"/>
        <w:ind w:left="0" w:leftChars="0" w:firstLine="360" w:firstLineChars="150"/>
        <w:rPr>
          <w:rFonts w:hint="eastAsia" w:ascii="宋体" w:hAnsi="宋体" w:eastAsia="宋体" w:cs="宋体"/>
          <w:b/>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"1-5"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"_Toc351203480"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b/>
          <w:sz w:val="24"/>
          <w:szCs w:val="24"/>
        </w:rPr>
        <w:t>第一部分 合同协议书</w:t>
      </w:r>
      <w:r>
        <w:rPr>
          <w:rFonts w:hint="eastAsia" w:ascii="宋体" w:hAnsi="宋体" w:eastAsia="宋体" w:cs="宋体"/>
          <w:sz w:val="24"/>
          <w:szCs w:val="24"/>
        </w:rPr>
        <w:t>……………………</w:t>
      </w:r>
      <w:r>
        <w:rPr>
          <w:rFonts w:hint="eastAsia" w:ascii="宋体" w:hAnsi="宋体" w:eastAsia="宋体" w:cs="宋体"/>
          <w:spacing w:val="34"/>
          <w:sz w:val="24"/>
          <w:szCs w:val="24"/>
        </w:rPr>
        <w:t>…</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_Toc351203480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
          <w:sz w:val="24"/>
          <w:szCs w:val="24"/>
        </w:rPr>
        <w:fldChar w:fldCharType="end"/>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"_Toc351203481"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一、工程概况</w:t>
      </w:r>
      <w:r>
        <w:rPr>
          <w:rFonts w:hint="eastAsia" w:ascii="宋体" w:hAnsi="宋体" w:eastAsia="宋体" w:cs="宋体"/>
          <w:sz w:val="24"/>
          <w:szCs w:val="24"/>
        </w:rPr>
        <w:tab/>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_Toc351203481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"_Toc351203482"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二、合同工期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_Toc351203482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"_Toc351203483"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三、质量标准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_Toc351203483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"_Toc351203484"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四、签约合同价与合同价格形式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_Toc351203484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"_Toc351203485"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五、项目经理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_Toc351203485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"_Toc351203486"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六、合同文件构成</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3</w:t>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"_Toc351203487"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七、承诺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_Toc351203487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"_Toc351203488"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八、词语含义</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4</w:t>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"_Toc351203489"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九、签订时间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_Toc351203489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"_Toc351203490"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十、签订地点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_Toc351203490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"_Toc351203491"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十一、补充协议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_Toc351203491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"_Toc351203492"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十二、合同生效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_Toc351203492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"_Toc351203493"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十三、合同份数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_Toc351203493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pageBreakBefore w:val="0"/>
        <w:tabs>
          <w:tab w:val="right" w:leader="dot" w:pos="8810"/>
        </w:tabs>
        <w:wordWrap/>
        <w:topLinePunct w:val="0"/>
        <w:bidi w:val="0"/>
        <w:spacing w:line="360" w:lineRule="auto"/>
        <w:ind w:left="0" w:leftChars="0" w:firstLine="238" w:firstLineChars="99"/>
        <w:rPr>
          <w:rFonts w:hint="eastAsia" w:ascii="宋体" w:hAnsi="宋体" w:eastAsia="宋体" w:cs="宋体"/>
          <w:b/>
          <w:sz w:val="24"/>
          <w:szCs w:val="24"/>
        </w:rPr>
      </w:pPr>
      <w:r>
        <w:rPr>
          <w:rFonts w:hint="eastAsia" w:ascii="宋体" w:hAnsi="宋体" w:eastAsia="宋体" w:cs="宋体"/>
          <w:b/>
          <w:sz w:val="24"/>
          <w:szCs w:val="24"/>
        </w:rPr>
        <w:fldChar w:fldCharType="begin"/>
      </w:r>
      <w:r>
        <w:rPr>
          <w:rStyle w:val="31"/>
          <w:rFonts w:hint="eastAsia" w:ascii="宋体" w:hAnsi="宋体" w:eastAsia="宋体" w:cs="宋体"/>
          <w:b/>
          <w:sz w:val="24"/>
          <w:szCs w:val="24"/>
        </w:rPr>
        <w:instrText xml:space="preserve"> </w:instrText>
      </w:r>
      <w:r>
        <w:rPr>
          <w:rFonts w:hint="eastAsia" w:ascii="宋体" w:hAnsi="宋体" w:eastAsia="宋体" w:cs="宋体"/>
          <w:b/>
          <w:sz w:val="24"/>
          <w:szCs w:val="24"/>
        </w:rPr>
        <w:instrText xml:space="preserve">HYPERLINK \l "_Toc351203494"</w:instrText>
      </w:r>
      <w:r>
        <w:rPr>
          <w:rStyle w:val="31"/>
          <w:rFonts w:hint="eastAsia" w:ascii="宋体" w:hAnsi="宋体" w:eastAsia="宋体" w:cs="宋体"/>
          <w:b/>
          <w:sz w:val="24"/>
          <w:szCs w:val="24"/>
        </w:rPr>
        <w:instrText xml:space="preserve"> </w:instrText>
      </w:r>
      <w:r>
        <w:rPr>
          <w:rFonts w:hint="eastAsia" w:ascii="宋体" w:hAnsi="宋体" w:eastAsia="宋体" w:cs="宋体"/>
          <w:b/>
          <w:sz w:val="24"/>
          <w:szCs w:val="24"/>
        </w:rPr>
        <w:fldChar w:fldCharType="separate"/>
      </w:r>
      <w:r>
        <w:rPr>
          <w:rStyle w:val="31"/>
          <w:rFonts w:hint="eastAsia" w:ascii="宋体" w:hAnsi="宋体" w:eastAsia="宋体" w:cs="宋体"/>
          <w:b/>
          <w:sz w:val="24"/>
          <w:szCs w:val="24"/>
        </w:rPr>
        <w:t>第二部分 通用合同条款</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_Toc351203494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
          <w:sz w:val="24"/>
          <w:szCs w:val="24"/>
        </w:rPr>
        <w:fldChar w:fldCharType="end"/>
      </w:r>
    </w:p>
    <w:p>
      <w:pPr>
        <w:pStyle w:val="19"/>
        <w:pageBreakBefore w:val="0"/>
        <w:wordWrap/>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"_Toc351203495"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 一般约定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_Toc351203495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"_Toc351203496"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1.1词语定义与解释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_Toc351203496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"_Toc351203497"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1.2语言文字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_Toc351203497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"_Toc351203498"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1.3法律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_Toc351203498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"_Toc351203499"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1.4 标准和规范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_Toc351203499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"_Toc351203500"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1.5 合同文件的优先顺序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_Toc351203500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"_Toc351203501"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1.6图纸和承包人文件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_Toc351203501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"_Toc351203502"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1.7联络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_Toc351203502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"_Toc351203503"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1.8严禁贿赂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_Toc351203503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"_Toc351203504"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1.9化石、文物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_Toc351203504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"_Toc351203505"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1.10交通运输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_Toc351203505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"_Toc351203506"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1.11知识产权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_Toc351203506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"_Toc351203507"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1.12保密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_Toc351203507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"_Toc351203508"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1.13工程量清单错误的修正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_Toc351203508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"_Toc351203509"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 发包人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_Toc351203509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"_Toc351203510"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2.1 许可或批准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_Toc351203510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"_Toc351203511"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2.2 发包人代表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_Toc351203511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"_Toc351203512"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2.3 发包人人员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_Toc351203512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"_Toc351203513"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2.4 施工现场、施工条件和基础资料的提供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_Toc351203513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"_Toc351203514"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2.5 资金来源证明及支付担保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_Toc351203514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"_Toc351203515"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2.6 支付合同价款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_Toc351203515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"_Toc351203516"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2.7 组织竣工验收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_Toc351203516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"_Toc351203517"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2.8 现场统一管理协议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_Toc351203517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"_Toc351203518"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3. 承包人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_Toc351203518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"_Toc351203519"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3.1 承包人的一般义务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_Toc351203519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"_Toc351203520"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3.2 项目经理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_Toc351203520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"_Toc351203521"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3.3 承包人人员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_Toc351203521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"_Toc351203522"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3.4 承包人现场查勘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_Toc351203522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"_Toc351203523"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3.5 分包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_Toc351203523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"_Toc351203524"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3.6 工程照管与成品、半成品保护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_Toc351203524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"_Toc351203525"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3.7 履约担保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_Toc351203525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"_Toc351203526"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3.8 联合体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_Toc351203526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"_Toc351203527"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4. 监理人</w:t>
      </w:r>
      <w:r>
        <w:rPr>
          <w:rFonts w:hint="eastAsia" w:ascii="宋体" w:hAnsi="宋体" w:eastAsia="宋体" w:cs="宋体"/>
          <w:sz w:val="24"/>
          <w:szCs w:val="24"/>
        </w:rPr>
        <w:tab/>
      </w:r>
      <w:r>
        <w:rPr>
          <w:rFonts w:hint="eastAsia" w:ascii="宋体" w:hAnsi="宋体" w:eastAsia="宋体" w:cs="宋体"/>
          <w:sz w:val="24"/>
          <w:szCs w:val="24"/>
        </w:rPr>
        <w:t>30</w:t>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"_Toc351203528"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4.1监理人的一般规定</w:t>
      </w:r>
      <w:r>
        <w:rPr>
          <w:rFonts w:hint="eastAsia" w:ascii="宋体" w:hAnsi="宋体" w:eastAsia="宋体" w:cs="宋体"/>
          <w:sz w:val="24"/>
          <w:szCs w:val="24"/>
        </w:rPr>
        <w:tab/>
      </w:r>
      <w:r>
        <w:rPr>
          <w:rFonts w:hint="eastAsia" w:ascii="宋体" w:hAnsi="宋体" w:eastAsia="宋体" w:cs="宋体"/>
          <w:sz w:val="24"/>
          <w:szCs w:val="24"/>
        </w:rPr>
        <w:t>30</w:t>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"_Toc351203529"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4.2监理人员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_Toc351203529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"_Toc351203530"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4.3监理人的指示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_Toc351203530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"_Toc351203531"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4.4 商定或确定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_Toc351203531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"_Toc351203532"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5. 工程质量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_Toc351203532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"_Toc351203533"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5.1质量要求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_Toc351203533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"_Toc351203534"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5.2质量保证措施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_Toc351203534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"_Toc351203535"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5.3 隐蔽工程检查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_Toc351203535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"_Toc351203536"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5.4不合格工程的处理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_Toc351203536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"_Toc351203537"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5.5 质量争议检测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_Toc351203537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"_Toc351203538"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6. 安全文明施工与环境保护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_Toc351203538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"_Toc351203539"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6.1安全文明施工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_Toc351203539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"_Toc351203540"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6.2 职业健康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_Toc351203540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"_Toc351203541"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6.3 环境保护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_Toc351203541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"_Toc351203542"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7. 工期和进度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_Toc351203542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"_Toc351203543"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7.1施工组织设计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_Toc351203543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"_Toc351203544"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7.2 施工进度计划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_Toc351203544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"_Toc351203545"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7.3 开工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_Toc351203545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"_Toc351203546"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7.4测量放线</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_Toc351203546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"_Toc351203547"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7.5工期延误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_Toc351203547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"_Toc351203548"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7.6 不利物质条件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_Toc351203548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"_Toc351203549"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7.7异常恶劣的气候条件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_Toc351203549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"_Toc351203550"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7.8 暂停施工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_Toc351203550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"_Toc351203551"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7.9 提前竣工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_Toc351203551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"_Toc351203552"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8. 材料与设备</w:t>
      </w:r>
      <w:r>
        <w:rPr>
          <w:rFonts w:hint="eastAsia" w:ascii="宋体" w:hAnsi="宋体" w:eastAsia="宋体" w:cs="宋体"/>
          <w:sz w:val="24"/>
          <w:szCs w:val="24"/>
        </w:rPr>
        <w:tab/>
      </w:r>
      <w:r>
        <w:rPr>
          <w:rFonts w:hint="eastAsia" w:ascii="宋体" w:hAnsi="宋体" w:eastAsia="宋体" w:cs="宋体"/>
          <w:sz w:val="24"/>
          <w:szCs w:val="24"/>
        </w:rPr>
        <w:t>50</w:t>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"_Toc351203553"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8.1发包人供应材料与工程设备</w:t>
      </w:r>
      <w:r>
        <w:rPr>
          <w:rFonts w:hint="eastAsia" w:ascii="宋体" w:hAnsi="宋体" w:eastAsia="宋体" w:cs="宋体"/>
          <w:sz w:val="24"/>
          <w:szCs w:val="24"/>
        </w:rPr>
        <w:tab/>
      </w:r>
      <w:r>
        <w:rPr>
          <w:rFonts w:hint="eastAsia" w:ascii="宋体" w:hAnsi="宋体" w:eastAsia="宋体" w:cs="宋体"/>
          <w:sz w:val="24"/>
          <w:szCs w:val="24"/>
        </w:rPr>
        <w:t>50</w:t>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"_Toc351203554"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8.2承包人采购材料与工程设备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_Toc351203554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"_Toc351203555"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8.3材料与工程设备的接收与拒收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_Toc351203555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"_Toc351203556"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8.4材料与工程设备的保管与使用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_Toc351203556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"_Toc351203557"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8.5 禁止使用不合格的材料和工程设备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_Toc351203557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"_Toc351203558"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8.6 样品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_Toc351203558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"_Toc351203559"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8.7 材料与工程设备的替代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_Toc351203559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"_Toc351203560"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8.8 施工设备和临时设施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_Toc351203560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"_Toc351203561"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8.9材料与设备专用要求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_Toc351203561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"_Toc351203562"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9. 试验与检验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_Toc351203562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"_Toc351203563"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9.1试验设备与试验人员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_Toc351203563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"_Toc351203564"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9.2取样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_Toc351203564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"_Toc351203565"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9.3 材料、工程设备和工程的试验和检验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_Toc351203565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"_Toc351203566"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9.4 现场工艺试验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_Toc351203566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"_Toc351203567"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10. 变更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_Toc351203567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"_Toc351203568"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10.1变更的范围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_Toc351203568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"_Toc351203569"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10.2 变更权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_Toc351203569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"_Toc351203570"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10.3变更程序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_Toc351203570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"_Toc351203571"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10.4变更估价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_Toc351203571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"_Toc351203572"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10.5 承包人的合理化建议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_Toc351203572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"_Toc351203573"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10.6 变更引起的工期调整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_Toc351203573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"_Toc351203574"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10.7 暂估价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_Toc351203574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"_Toc351203575"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10.8 暂列金额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_Toc351203575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"_Toc351203576"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10.9 计日工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_Toc351203576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"_Toc351203577"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11. 价格调整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_Toc351203577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"_Toc351203578"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11.1 市场价格波动引起的调整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_Toc351203578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"_Toc351203579"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11.2 法律变化引起的调整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_Toc351203579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"_Toc351203580"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12. 合同价格、计量与支付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_Toc351203580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"_Toc351203581"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12.1 合同价格形式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_Toc351203581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"_Toc351203582"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12.2 预付款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_Toc351203582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"_Toc351203583"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12.3 计量</w:t>
      </w:r>
      <w:r>
        <w:rPr>
          <w:rFonts w:hint="eastAsia" w:ascii="宋体" w:hAnsi="宋体" w:eastAsia="宋体" w:cs="宋体"/>
          <w:sz w:val="24"/>
          <w:szCs w:val="24"/>
        </w:rPr>
        <w:tab/>
      </w:r>
      <w:r>
        <w:rPr>
          <w:rFonts w:hint="eastAsia" w:ascii="宋体" w:hAnsi="宋体" w:eastAsia="宋体" w:cs="宋体"/>
          <w:sz w:val="24"/>
          <w:szCs w:val="24"/>
        </w:rPr>
        <w:t>70</w:t>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"_Toc351203584"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12.4 工程进度款支付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_Toc351203584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"_Toc351203585"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12.5 支付账户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_Toc351203585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"_Toc351203586"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13. 验收和工程试车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_Toc351203586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"_Toc351203587"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13.1 分部分项工程验收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_Toc351203587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"_Toc351203588"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13.2竣工验收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_Toc351203588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"_Toc351203589"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13.3工程试车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_Toc351203589 \h </w:instrText>
      </w:r>
      <w:r>
        <w:rPr>
          <w:rFonts w:hint="eastAsia" w:ascii="宋体" w:hAnsi="宋体" w:eastAsia="宋体" w:cs="宋体"/>
          <w:sz w:val="24"/>
          <w:szCs w:val="24"/>
        </w:rPr>
        <w:fldChar w:fldCharType="separate"/>
      </w:r>
      <w:r>
        <w:rPr>
          <w:rFonts w:hint="eastAsia" w:ascii="宋体" w:hAnsi="宋体" w:eastAsia="宋体" w:cs="宋体"/>
          <w:sz w:val="24"/>
          <w:szCs w:val="24"/>
        </w:rPr>
        <w:t>79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"_Toc351203590"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13.4提前交付单位工程的验收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_Toc351203590 \h </w:instrText>
      </w:r>
      <w:r>
        <w:rPr>
          <w:rFonts w:hint="eastAsia" w:ascii="宋体" w:hAnsi="宋体" w:eastAsia="宋体" w:cs="宋体"/>
          <w:sz w:val="24"/>
          <w:szCs w:val="24"/>
        </w:rPr>
        <w:fldChar w:fldCharType="separate"/>
      </w:r>
      <w:r>
        <w:rPr>
          <w:rFonts w:hint="eastAsia" w:ascii="宋体" w:hAnsi="宋体" w:eastAsia="宋体" w:cs="宋体"/>
          <w:sz w:val="24"/>
          <w:szCs w:val="24"/>
        </w:rPr>
        <w:t>81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"_Toc351203591"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13.5 施工期运行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_Toc351203591 \h </w:instrText>
      </w:r>
      <w:r>
        <w:rPr>
          <w:rFonts w:hint="eastAsia" w:ascii="宋体" w:hAnsi="宋体" w:eastAsia="宋体" w:cs="宋体"/>
          <w:sz w:val="24"/>
          <w:szCs w:val="24"/>
        </w:rPr>
        <w:fldChar w:fldCharType="separate"/>
      </w:r>
      <w:r>
        <w:rPr>
          <w:rFonts w:hint="eastAsia" w:ascii="宋体" w:hAnsi="宋体" w:eastAsia="宋体" w:cs="宋体"/>
          <w:sz w:val="24"/>
          <w:szCs w:val="24"/>
        </w:rPr>
        <w:t>81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"_Toc351203592"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13.6 竣工退场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_Toc351203592 \h </w:instrText>
      </w:r>
      <w:r>
        <w:rPr>
          <w:rFonts w:hint="eastAsia" w:ascii="宋体" w:hAnsi="宋体" w:eastAsia="宋体" w:cs="宋体"/>
          <w:sz w:val="24"/>
          <w:szCs w:val="24"/>
        </w:rPr>
        <w:fldChar w:fldCharType="separate"/>
      </w:r>
      <w:r>
        <w:rPr>
          <w:rFonts w:hint="eastAsia" w:ascii="宋体" w:hAnsi="宋体" w:eastAsia="宋体" w:cs="宋体"/>
          <w:sz w:val="24"/>
          <w:szCs w:val="24"/>
        </w:rPr>
        <w:t>82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"_Toc351203593"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14. 竣工结算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_Toc351203593 \h </w:instrText>
      </w:r>
      <w:r>
        <w:rPr>
          <w:rFonts w:hint="eastAsia" w:ascii="宋体" w:hAnsi="宋体" w:eastAsia="宋体" w:cs="宋体"/>
          <w:sz w:val="24"/>
          <w:szCs w:val="24"/>
        </w:rPr>
        <w:fldChar w:fldCharType="separate"/>
      </w:r>
      <w:r>
        <w:rPr>
          <w:rFonts w:hint="eastAsia" w:ascii="宋体" w:hAnsi="宋体" w:eastAsia="宋体" w:cs="宋体"/>
          <w:sz w:val="24"/>
          <w:szCs w:val="24"/>
        </w:rPr>
        <w:t>83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"_Toc351203594"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14.1 竣工结算申请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_Toc351203594 \h </w:instrText>
      </w:r>
      <w:r>
        <w:rPr>
          <w:rFonts w:hint="eastAsia" w:ascii="宋体" w:hAnsi="宋体" w:eastAsia="宋体" w:cs="宋体"/>
          <w:sz w:val="24"/>
          <w:szCs w:val="24"/>
        </w:rPr>
        <w:fldChar w:fldCharType="separate"/>
      </w:r>
      <w:r>
        <w:rPr>
          <w:rFonts w:hint="eastAsia" w:ascii="宋体" w:hAnsi="宋体" w:eastAsia="宋体" w:cs="宋体"/>
          <w:sz w:val="24"/>
          <w:szCs w:val="24"/>
        </w:rPr>
        <w:t>83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"_Toc351203595"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14.2 竣工</w:t>
      </w:r>
      <w:bookmarkStart w:id="224" w:name="_Hlt356058166"/>
      <w:bookmarkStart w:id="225" w:name="_Hlt356058165"/>
      <w:r>
        <w:rPr>
          <w:rStyle w:val="31"/>
          <w:rFonts w:hint="eastAsia" w:ascii="宋体" w:hAnsi="宋体" w:eastAsia="宋体" w:cs="宋体"/>
          <w:sz w:val="24"/>
          <w:szCs w:val="24"/>
        </w:rPr>
        <w:t>结</w:t>
      </w:r>
      <w:bookmarkEnd w:id="224"/>
      <w:bookmarkEnd w:id="225"/>
      <w:r>
        <w:rPr>
          <w:rStyle w:val="31"/>
          <w:rFonts w:hint="eastAsia" w:ascii="宋体" w:hAnsi="宋体" w:eastAsia="宋体" w:cs="宋体"/>
          <w:sz w:val="24"/>
          <w:szCs w:val="24"/>
        </w:rPr>
        <w:t>算审核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_Toc351203595 \h </w:instrText>
      </w:r>
      <w:r>
        <w:rPr>
          <w:rFonts w:hint="eastAsia" w:ascii="宋体" w:hAnsi="宋体" w:eastAsia="宋体" w:cs="宋体"/>
          <w:sz w:val="24"/>
          <w:szCs w:val="24"/>
        </w:rPr>
        <w:fldChar w:fldCharType="separate"/>
      </w:r>
      <w:r>
        <w:rPr>
          <w:rFonts w:hint="eastAsia" w:ascii="宋体" w:hAnsi="宋体" w:eastAsia="宋体" w:cs="宋体"/>
          <w:sz w:val="24"/>
          <w:szCs w:val="24"/>
        </w:rPr>
        <w:t>83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"_Toc351203596"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14.3 甩项竣工协议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_Toc351203596 \h </w:instrText>
      </w:r>
      <w:r>
        <w:rPr>
          <w:rFonts w:hint="eastAsia" w:ascii="宋体" w:hAnsi="宋体" w:eastAsia="宋体" w:cs="宋体"/>
          <w:sz w:val="24"/>
          <w:szCs w:val="24"/>
        </w:rPr>
        <w:fldChar w:fldCharType="separate"/>
      </w:r>
      <w:r>
        <w:rPr>
          <w:rFonts w:hint="eastAsia" w:ascii="宋体" w:hAnsi="宋体" w:eastAsia="宋体" w:cs="宋体"/>
          <w:sz w:val="24"/>
          <w:szCs w:val="24"/>
        </w:rPr>
        <w:t>84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"_Toc351203597"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14.4 最终结清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_Toc351203597 \h </w:instrText>
      </w:r>
      <w:r>
        <w:rPr>
          <w:rFonts w:hint="eastAsia" w:ascii="宋体" w:hAnsi="宋体" w:eastAsia="宋体" w:cs="宋体"/>
          <w:sz w:val="24"/>
          <w:szCs w:val="24"/>
        </w:rPr>
        <w:fldChar w:fldCharType="separate"/>
      </w:r>
      <w:r>
        <w:rPr>
          <w:rFonts w:hint="eastAsia" w:ascii="宋体" w:hAnsi="宋体" w:eastAsia="宋体" w:cs="宋体"/>
          <w:sz w:val="24"/>
          <w:szCs w:val="24"/>
        </w:rPr>
        <w:t>85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"_Toc351203598"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15. 缺陷责任与保修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_Toc351203598 \h </w:instrText>
      </w:r>
      <w:r>
        <w:rPr>
          <w:rFonts w:hint="eastAsia" w:ascii="宋体" w:hAnsi="宋体" w:eastAsia="宋体" w:cs="宋体"/>
          <w:sz w:val="24"/>
          <w:szCs w:val="24"/>
        </w:rPr>
        <w:fldChar w:fldCharType="separate"/>
      </w:r>
      <w:r>
        <w:rPr>
          <w:rFonts w:hint="eastAsia" w:ascii="宋体" w:hAnsi="宋体" w:eastAsia="宋体" w:cs="宋体"/>
          <w:sz w:val="24"/>
          <w:szCs w:val="24"/>
        </w:rPr>
        <w:t>86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"_Toc351203599"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15.1 工程保修的原则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_Toc351203599 \h </w:instrText>
      </w:r>
      <w:r>
        <w:rPr>
          <w:rFonts w:hint="eastAsia" w:ascii="宋体" w:hAnsi="宋体" w:eastAsia="宋体" w:cs="宋体"/>
          <w:sz w:val="24"/>
          <w:szCs w:val="24"/>
        </w:rPr>
        <w:fldChar w:fldCharType="separate"/>
      </w:r>
      <w:r>
        <w:rPr>
          <w:rFonts w:hint="eastAsia" w:ascii="宋体" w:hAnsi="宋体" w:eastAsia="宋体" w:cs="宋体"/>
          <w:sz w:val="24"/>
          <w:szCs w:val="24"/>
        </w:rPr>
        <w:t>86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"_Toc351203600"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15.2 缺</w:t>
      </w:r>
      <w:bookmarkStart w:id="226" w:name="_Hlt354658488"/>
      <w:bookmarkStart w:id="227" w:name="_Hlt354658487"/>
      <w:r>
        <w:rPr>
          <w:rStyle w:val="31"/>
          <w:rFonts w:hint="eastAsia" w:ascii="宋体" w:hAnsi="宋体" w:eastAsia="宋体" w:cs="宋体"/>
          <w:sz w:val="24"/>
          <w:szCs w:val="24"/>
        </w:rPr>
        <w:t>陷</w:t>
      </w:r>
      <w:bookmarkEnd w:id="226"/>
      <w:bookmarkEnd w:id="227"/>
      <w:r>
        <w:rPr>
          <w:rStyle w:val="31"/>
          <w:rFonts w:hint="eastAsia" w:ascii="宋体" w:hAnsi="宋体" w:eastAsia="宋体" w:cs="宋体"/>
          <w:sz w:val="24"/>
          <w:szCs w:val="24"/>
        </w:rPr>
        <w:t>责任期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_Toc351203600 \h </w:instrText>
      </w:r>
      <w:r>
        <w:rPr>
          <w:rFonts w:hint="eastAsia" w:ascii="宋体" w:hAnsi="宋体" w:eastAsia="宋体" w:cs="宋体"/>
          <w:sz w:val="24"/>
          <w:szCs w:val="24"/>
        </w:rPr>
        <w:fldChar w:fldCharType="separate"/>
      </w:r>
      <w:r>
        <w:rPr>
          <w:rFonts w:hint="eastAsia" w:ascii="宋体" w:hAnsi="宋体" w:eastAsia="宋体" w:cs="宋体"/>
          <w:sz w:val="24"/>
          <w:szCs w:val="24"/>
        </w:rPr>
        <w:t>86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"_Toc351203601"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15.3 质量保证金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_Toc351203601 \h </w:instrText>
      </w:r>
      <w:r>
        <w:rPr>
          <w:rFonts w:hint="eastAsia" w:ascii="宋体" w:hAnsi="宋体" w:eastAsia="宋体" w:cs="宋体"/>
          <w:sz w:val="24"/>
          <w:szCs w:val="24"/>
        </w:rPr>
        <w:fldChar w:fldCharType="separate"/>
      </w:r>
      <w:r>
        <w:rPr>
          <w:rFonts w:hint="eastAsia" w:ascii="宋体" w:hAnsi="宋体" w:eastAsia="宋体" w:cs="宋体"/>
          <w:sz w:val="24"/>
          <w:szCs w:val="24"/>
        </w:rPr>
        <w:t>87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"_Toc351203602"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15.4 保修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_Toc351203602 \h </w:instrText>
      </w:r>
      <w:r>
        <w:rPr>
          <w:rFonts w:hint="eastAsia" w:ascii="宋体" w:hAnsi="宋体" w:eastAsia="宋体" w:cs="宋体"/>
          <w:sz w:val="24"/>
          <w:szCs w:val="24"/>
        </w:rPr>
        <w:fldChar w:fldCharType="separate"/>
      </w:r>
      <w:r>
        <w:rPr>
          <w:rFonts w:hint="eastAsia" w:ascii="宋体" w:hAnsi="宋体" w:eastAsia="宋体" w:cs="宋体"/>
          <w:sz w:val="24"/>
          <w:szCs w:val="24"/>
        </w:rPr>
        <w:t>89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"_Toc351203603"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16. 违约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_Toc351203603 \h </w:instrText>
      </w:r>
      <w:r>
        <w:rPr>
          <w:rFonts w:hint="eastAsia" w:ascii="宋体" w:hAnsi="宋体" w:eastAsia="宋体" w:cs="宋体"/>
          <w:sz w:val="24"/>
          <w:szCs w:val="24"/>
        </w:rPr>
        <w:fldChar w:fldCharType="separate"/>
      </w:r>
      <w:r>
        <w:rPr>
          <w:rFonts w:hint="eastAsia" w:ascii="宋体" w:hAnsi="宋体" w:eastAsia="宋体" w:cs="宋体"/>
          <w:sz w:val="24"/>
          <w:szCs w:val="24"/>
        </w:rPr>
        <w:t>91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"_Toc351203604"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16.1 发包人违约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_Toc351203604 \h </w:instrText>
      </w:r>
      <w:r>
        <w:rPr>
          <w:rFonts w:hint="eastAsia" w:ascii="宋体" w:hAnsi="宋体" w:eastAsia="宋体" w:cs="宋体"/>
          <w:sz w:val="24"/>
          <w:szCs w:val="24"/>
        </w:rPr>
        <w:fldChar w:fldCharType="separate"/>
      </w:r>
      <w:r>
        <w:rPr>
          <w:rFonts w:hint="eastAsia" w:ascii="宋体" w:hAnsi="宋体" w:eastAsia="宋体" w:cs="宋体"/>
          <w:sz w:val="24"/>
          <w:szCs w:val="24"/>
        </w:rPr>
        <w:t>91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"_Toc351203605"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16.2 承包人违约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_Toc351203605 \h </w:instrText>
      </w:r>
      <w:r>
        <w:rPr>
          <w:rFonts w:hint="eastAsia" w:ascii="宋体" w:hAnsi="宋体" w:eastAsia="宋体" w:cs="宋体"/>
          <w:sz w:val="24"/>
          <w:szCs w:val="24"/>
        </w:rPr>
        <w:fldChar w:fldCharType="separate"/>
      </w:r>
      <w:r>
        <w:rPr>
          <w:rFonts w:hint="eastAsia" w:ascii="宋体" w:hAnsi="宋体" w:eastAsia="宋体" w:cs="宋体"/>
          <w:sz w:val="24"/>
          <w:szCs w:val="24"/>
        </w:rPr>
        <w:t>93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"_Toc351203606"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16.3 第三人造成的违约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_Toc351203606 \h </w:instrText>
      </w:r>
      <w:r>
        <w:rPr>
          <w:rFonts w:hint="eastAsia" w:ascii="宋体" w:hAnsi="宋体" w:eastAsia="宋体" w:cs="宋体"/>
          <w:sz w:val="24"/>
          <w:szCs w:val="24"/>
        </w:rPr>
        <w:fldChar w:fldCharType="separate"/>
      </w:r>
      <w:r>
        <w:rPr>
          <w:rFonts w:hint="eastAsia" w:ascii="宋体" w:hAnsi="宋体" w:eastAsia="宋体" w:cs="宋体"/>
          <w:sz w:val="24"/>
          <w:szCs w:val="24"/>
        </w:rPr>
        <w:t>95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"_Toc351203607"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17. 不可抗力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_Toc351203607 \h </w:instrText>
      </w:r>
      <w:r>
        <w:rPr>
          <w:rFonts w:hint="eastAsia" w:ascii="宋体" w:hAnsi="宋体" w:eastAsia="宋体" w:cs="宋体"/>
          <w:sz w:val="24"/>
          <w:szCs w:val="24"/>
        </w:rPr>
        <w:fldChar w:fldCharType="separate"/>
      </w:r>
      <w:r>
        <w:rPr>
          <w:rFonts w:hint="eastAsia" w:ascii="宋体" w:hAnsi="宋体" w:eastAsia="宋体" w:cs="宋体"/>
          <w:sz w:val="24"/>
          <w:szCs w:val="24"/>
        </w:rPr>
        <w:t>95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"_Toc351203608"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17.1 不可抗力的确认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_Toc351203608 \h </w:instrText>
      </w:r>
      <w:r>
        <w:rPr>
          <w:rFonts w:hint="eastAsia" w:ascii="宋体" w:hAnsi="宋体" w:eastAsia="宋体" w:cs="宋体"/>
          <w:sz w:val="24"/>
          <w:szCs w:val="24"/>
        </w:rPr>
        <w:fldChar w:fldCharType="separate"/>
      </w:r>
      <w:r>
        <w:rPr>
          <w:rFonts w:hint="eastAsia" w:ascii="宋体" w:hAnsi="宋体" w:eastAsia="宋体" w:cs="宋体"/>
          <w:sz w:val="24"/>
          <w:szCs w:val="24"/>
        </w:rPr>
        <w:t>95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"_Toc351203609"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17.2 不可抗力的通知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_Toc351203609 \h </w:instrText>
      </w:r>
      <w:r>
        <w:rPr>
          <w:rFonts w:hint="eastAsia" w:ascii="宋体" w:hAnsi="宋体" w:eastAsia="宋体" w:cs="宋体"/>
          <w:sz w:val="24"/>
          <w:szCs w:val="24"/>
        </w:rPr>
        <w:fldChar w:fldCharType="separate"/>
      </w:r>
      <w:r>
        <w:rPr>
          <w:rFonts w:hint="eastAsia" w:ascii="宋体" w:hAnsi="宋体" w:eastAsia="宋体" w:cs="宋体"/>
          <w:sz w:val="24"/>
          <w:szCs w:val="24"/>
        </w:rPr>
        <w:t>96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"_Toc351203610"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17.3 不可抗力后果的承担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_Toc351203610 \h </w:instrText>
      </w:r>
      <w:r>
        <w:rPr>
          <w:rFonts w:hint="eastAsia" w:ascii="宋体" w:hAnsi="宋体" w:eastAsia="宋体" w:cs="宋体"/>
          <w:sz w:val="24"/>
          <w:szCs w:val="24"/>
        </w:rPr>
        <w:fldChar w:fldCharType="separate"/>
      </w:r>
      <w:r>
        <w:rPr>
          <w:rFonts w:hint="eastAsia" w:ascii="宋体" w:hAnsi="宋体" w:eastAsia="宋体" w:cs="宋体"/>
          <w:sz w:val="24"/>
          <w:szCs w:val="24"/>
        </w:rPr>
        <w:t>96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"_Toc351203611"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17.4 因不可抗力解除合同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_Toc351203611 \h </w:instrText>
      </w:r>
      <w:r>
        <w:rPr>
          <w:rFonts w:hint="eastAsia" w:ascii="宋体" w:hAnsi="宋体" w:eastAsia="宋体" w:cs="宋体"/>
          <w:sz w:val="24"/>
          <w:szCs w:val="24"/>
        </w:rPr>
        <w:fldChar w:fldCharType="separate"/>
      </w:r>
      <w:r>
        <w:rPr>
          <w:rFonts w:hint="eastAsia" w:ascii="宋体" w:hAnsi="宋体" w:eastAsia="宋体" w:cs="宋体"/>
          <w:sz w:val="24"/>
          <w:szCs w:val="24"/>
        </w:rPr>
        <w:t>97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"_Toc351203612"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18. 保险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_Toc351203612 \h </w:instrText>
      </w:r>
      <w:r>
        <w:rPr>
          <w:rFonts w:hint="eastAsia" w:ascii="宋体" w:hAnsi="宋体" w:eastAsia="宋体" w:cs="宋体"/>
          <w:sz w:val="24"/>
          <w:szCs w:val="24"/>
        </w:rPr>
        <w:fldChar w:fldCharType="separate"/>
      </w:r>
      <w:r>
        <w:rPr>
          <w:rFonts w:hint="eastAsia" w:ascii="宋体" w:hAnsi="宋体" w:eastAsia="宋体" w:cs="宋体"/>
          <w:sz w:val="24"/>
          <w:szCs w:val="24"/>
        </w:rPr>
        <w:t>98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"_Toc351203613"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18.1 工程保险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_Toc351203613 \h </w:instrText>
      </w:r>
      <w:r>
        <w:rPr>
          <w:rFonts w:hint="eastAsia" w:ascii="宋体" w:hAnsi="宋体" w:eastAsia="宋体" w:cs="宋体"/>
          <w:sz w:val="24"/>
          <w:szCs w:val="24"/>
        </w:rPr>
        <w:fldChar w:fldCharType="separate"/>
      </w:r>
      <w:r>
        <w:rPr>
          <w:rFonts w:hint="eastAsia" w:ascii="宋体" w:hAnsi="宋体" w:eastAsia="宋体" w:cs="宋体"/>
          <w:sz w:val="24"/>
          <w:szCs w:val="24"/>
        </w:rPr>
        <w:t>98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"_Toc351203614"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18.2 工伤保险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_Toc351203614 \h </w:instrText>
      </w:r>
      <w:r>
        <w:rPr>
          <w:rFonts w:hint="eastAsia" w:ascii="宋体" w:hAnsi="宋体" w:eastAsia="宋体" w:cs="宋体"/>
          <w:sz w:val="24"/>
          <w:szCs w:val="24"/>
        </w:rPr>
        <w:fldChar w:fldCharType="separate"/>
      </w:r>
      <w:r>
        <w:rPr>
          <w:rFonts w:hint="eastAsia" w:ascii="宋体" w:hAnsi="宋体" w:eastAsia="宋体" w:cs="宋体"/>
          <w:sz w:val="24"/>
          <w:szCs w:val="24"/>
        </w:rPr>
        <w:t>98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"_Toc351203615"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18.3 其他保险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_Toc351203615 \h </w:instrText>
      </w:r>
      <w:r>
        <w:rPr>
          <w:rFonts w:hint="eastAsia" w:ascii="宋体" w:hAnsi="宋体" w:eastAsia="宋体" w:cs="宋体"/>
          <w:sz w:val="24"/>
          <w:szCs w:val="24"/>
        </w:rPr>
        <w:fldChar w:fldCharType="separate"/>
      </w:r>
      <w:r>
        <w:rPr>
          <w:rFonts w:hint="eastAsia" w:ascii="宋体" w:hAnsi="宋体" w:eastAsia="宋体" w:cs="宋体"/>
          <w:sz w:val="24"/>
          <w:szCs w:val="24"/>
        </w:rPr>
        <w:t>99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"_Toc351203616"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18.4 持续保险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_Toc351203616 \h </w:instrText>
      </w:r>
      <w:r>
        <w:rPr>
          <w:rFonts w:hint="eastAsia" w:ascii="宋体" w:hAnsi="宋体" w:eastAsia="宋体" w:cs="宋体"/>
          <w:sz w:val="24"/>
          <w:szCs w:val="24"/>
        </w:rPr>
        <w:fldChar w:fldCharType="separate"/>
      </w:r>
      <w:r>
        <w:rPr>
          <w:rFonts w:hint="eastAsia" w:ascii="宋体" w:hAnsi="宋体" w:eastAsia="宋体" w:cs="宋体"/>
          <w:sz w:val="24"/>
          <w:szCs w:val="24"/>
        </w:rPr>
        <w:t>99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"_Toc351203617"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18.5 保险凭证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_Toc351203617 \h </w:instrText>
      </w:r>
      <w:r>
        <w:rPr>
          <w:rFonts w:hint="eastAsia" w:ascii="宋体" w:hAnsi="宋体" w:eastAsia="宋体" w:cs="宋体"/>
          <w:sz w:val="24"/>
          <w:szCs w:val="24"/>
        </w:rPr>
        <w:fldChar w:fldCharType="separate"/>
      </w:r>
      <w:r>
        <w:rPr>
          <w:rFonts w:hint="eastAsia" w:ascii="宋体" w:hAnsi="宋体" w:eastAsia="宋体" w:cs="宋体"/>
          <w:sz w:val="24"/>
          <w:szCs w:val="24"/>
        </w:rPr>
        <w:t>99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"_Toc351203618"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18.6 未按约定投保的补救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_Toc351203618 \h </w:instrText>
      </w:r>
      <w:r>
        <w:rPr>
          <w:rFonts w:hint="eastAsia" w:ascii="宋体" w:hAnsi="宋体" w:eastAsia="宋体" w:cs="宋体"/>
          <w:sz w:val="24"/>
          <w:szCs w:val="24"/>
        </w:rPr>
        <w:fldChar w:fldCharType="separate"/>
      </w:r>
      <w:r>
        <w:rPr>
          <w:rFonts w:hint="eastAsia" w:ascii="宋体" w:hAnsi="宋体" w:eastAsia="宋体" w:cs="宋体"/>
          <w:sz w:val="24"/>
          <w:szCs w:val="24"/>
        </w:rPr>
        <w:t>99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"_Toc351203619"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18.7 通知义务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_Toc351203619 \h </w:instrText>
      </w:r>
      <w:r>
        <w:rPr>
          <w:rFonts w:hint="eastAsia" w:ascii="宋体" w:hAnsi="宋体" w:eastAsia="宋体" w:cs="宋体"/>
          <w:sz w:val="24"/>
          <w:szCs w:val="24"/>
        </w:rPr>
        <w:fldChar w:fldCharType="separate"/>
      </w:r>
      <w:r>
        <w:rPr>
          <w:rFonts w:hint="eastAsia" w:ascii="宋体" w:hAnsi="宋体" w:eastAsia="宋体" w:cs="宋体"/>
          <w:sz w:val="24"/>
          <w:szCs w:val="24"/>
        </w:rPr>
        <w:t>100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"_Toc351203620"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19. 索赔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_Toc351203620 \h </w:instrText>
      </w:r>
      <w:r>
        <w:rPr>
          <w:rFonts w:hint="eastAsia" w:ascii="宋体" w:hAnsi="宋体" w:eastAsia="宋体" w:cs="宋体"/>
          <w:sz w:val="24"/>
          <w:szCs w:val="24"/>
        </w:rPr>
        <w:fldChar w:fldCharType="separate"/>
      </w:r>
      <w:r>
        <w:rPr>
          <w:rFonts w:hint="eastAsia" w:ascii="宋体" w:hAnsi="宋体" w:eastAsia="宋体" w:cs="宋体"/>
          <w:sz w:val="24"/>
          <w:szCs w:val="24"/>
        </w:rPr>
        <w:t>100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"_Toc351203621"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19.1 承包人的索赔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_Toc351203621 \h </w:instrText>
      </w:r>
      <w:r>
        <w:rPr>
          <w:rFonts w:hint="eastAsia" w:ascii="宋体" w:hAnsi="宋体" w:eastAsia="宋体" w:cs="宋体"/>
          <w:sz w:val="24"/>
          <w:szCs w:val="24"/>
        </w:rPr>
        <w:fldChar w:fldCharType="separate"/>
      </w:r>
      <w:r>
        <w:rPr>
          <w:rFonts w:hint="eastAsia" w:ascii="宋体" w:hAnsi="宋体" w:eastAsia="宋体" w:cs="宋体"/>
          <w:sz w:val="24"/>
          <w:szCs w:val="24"/>
        </w:rPr>
        <w:t>100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"_Toc351203622"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19.2 对承包人索赔的处理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_Toc351203622 \h </w:instrText>
      </w:r>
      <w:r>
        <w:rPr>
          <w:rFonts w:hint="eastAsia" w:ascii="宋体" w:hAnsi="宋体" w:eastAsia="宋体" w:cs="宋体"/>
          <w:sz w:val="24"/>
          <w:szCs w:val="24"/>
        </w:rPr>
        <w:fldChar w:fldCharType="separate"/>
      </w:r>
      <w:r>
        <w:rPr>
          <w:rFonts w:hint="eastAsia" w:ascii="宋体" w:hAnsi="宋体" w:eastAsia="宋体" w:cs="宋体"/>
          <w:sz w:val="24"/>
          <w:szCs w:val="24"/>
        </w:rPr>
        <w:t>101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"_Toc351203623"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19.3 发包人的索赔</w:t>
      </w:r>
      <w:r>
        <w:rPr>
          <w:rFonts w:hint="eastAsia" w:ascii="宋体" w:hAnsi="宋体" w:eastAsia="宋体" w:cs="宋体"/>
          <w:sz w:val="24"/>
          <w:szCs w:val="24"/>
        </w:rPr>
        <w:tab/>
      </w:r>
      <w:r>
        <w:rPr>
          <w:rFonts w:hint="eastAsia" w:ascii="宋体" w:hAnsi="宋体" w:eastAsia="宋体" w:cs="宋体"/>
          <w:sz w:val="24"/>
          <w:szCs w:val="24"/>
        </w:rPr>
        <w:t>100</w:t>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"_Toc351203624"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19.4 对发包人索赔的处理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_Toc351203624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"_Toc351203625"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19.5 提出索赔的期限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_Toc351203625 \h </w:instrText>
      </w:r>
      <w:r>
        <w:rPr>
          <w:rFonts w:hint="eastAsia" w:ascii="宋体" w:hAnsi="宋体" w:eastAsia="宋体" w:cs="宋体"/>
          <w:sz w:val="24"/>
          <w:szCs w:val="24"/>
        </w:rPr>
        <w:fldChar w:fldCharType="separate"/>
      </w:r>
      <w:r>
        <w:rPr>
          <w:rFonts w:hint="eastAsia" w:ascii="宋体" w:hAnsi="宋体" w:eastAsia="宋体" w:cs="宋体"/>
          <w:sz w:val="24"/>
          <w:szCs w:val="24"/>
        </w:rPr>
        <w:t>102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"_Toc351203626"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20. 争议解决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_Toc351203626 \h </w:instrText>
      </w:r>
      <w:r>
        <w:rPr>
          <w:rFonts w:hint="eastAsia" w:ascii="宋体" w:hAnsi="宋体" w:eastAsia="宋体" w:cs="宋体"/>
          <w:sz w:val="24"/>
          <w:szCs w:val="24"/>
        </w:rPr>
        <w:fldChar w:fldCharType="separate"/>
      </w:r>
      <w:r>
        <w:rPr>
          <w:rFonts w:hint="eastAsia" w:ascii="宋体" w:hAnsi="宋体" w:eastAsia="宋体" w:cs="宋体"/>
          <w:sz w:val="24"/>
          <w:szCs w:val="24"/>
        </w:rPr>
        <w:t>103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"_Toc351203627"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20.1和解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_Toc351203627 \h </w:instrText>
      </w:r>
      <w:r>
        <w:rPr>
          <w:rFonts w:hint="eastAsia" w:ascii="宋体" w:hAnsi="宋体" w:eastAsia="宋体" w:cs="宋体"/>
          <w:sz w:val="24"/>
          <w:szCs w:val="24"/>
        </w:rPr>
        <w:fldChar w:fldCharType="separate"/>
      </w:r>
      <w:r>
        <w:rPr>
          <w:rFonts w:hint="eastAsia" w:ascii="宋体" w:hAnsi="宋体" w:eastAsia="宋体" w:cs="宋体"/>
          <w:sz w:val="24"/>
          <w:szCs w:val="24"/>
        </w:rPr>
        <w:t>103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"_Toc351203628"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20.2调解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_Toc351203628 \h </w:instrText>
      </w:r>
      <w:r>
        <w:rPr>
          <w:rFonts w:hint="eastAsia" w:ascii="宋体" w:hAnsi="宋体" w:eastAsia="宋体" w:cs="宋体"/>
          <w:sz w:val="24"/>
          <w:szCs w:val="24"/>
        </w:rPr>
        <w:fldChar w:fldCharType="separate"/>
      </w:r>
      <w:r>
        <w:rPr>
          <w:rFonts w:hint="eastAsia" w:ascii="宋体" w:hAnsi="宋体" w:eastAsia="宋体" w:cs="宋体"/>
          <w:sz w:val="24"/>
          <w:szCs w:val="24"/>
        </w:rPr>
        <w:t>103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"_Toc351203629"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20.3争议评审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_Toc351203629 \h </w:instrText>
      </w:r>
      <w:r>
        <w:rPr>
          <w:rFonts w:hint="eastAsia" w:ascii="宋体" w:hAnsi="宋体" w:eastAsia="宋体" w:cs="宋体"/>
          <w:sz w:val="24"/>
          <w:szCs w:val="24"/>
        </w:rPr>
        <w:fldChar w:fldCharType="separate"/>
      </w:r>
      <w:r>
        <w:rPr>
          <w:rFonts w:hint="eastAsia" w:ascii="宋体" w:hAnsi="宋体" w:eastAsia="宋体" w:cs="宋体"/>
          <w:sz w:val="24"/>
          <w:szCs w:val="24"/>
        </w:rPr>
        <w:t>103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"_Toc351203630"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20.4仲裁或诉讼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_Toc351203630 \h </w:instrText>
      </w:r>
      <w:r>
        <w:rPr>
          <w:rFonts w:hint="eastAsia" w:ascii="宋体" w:hAnsi="宋体" w:eastAsia="宋体" w:cs="宋体"/>
          <w:sz w:val="24"/>
          <w:szCs w:val="24"/>
        </w:rPr>
        <w:fldChar w:fldCharType="separate"/>
      </w:r>
      <w:r>
        <w:rPr>
          <w:rFonts w:hint="eastAsia" w:ascii="宋体" w:hAnsi="宋体" w:eastAsia="宋体" w:cs="宋体"/>
          <w:sz w:val="24"/>
          <w:szCs w:val="24"/>
        </w:rPr>
        <w:t>104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"_Toc351203631"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20.5争议解决条款效力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_Toc351203631 \h </w:instrText>
      </w:r>
      <w:r>
        <w:rPr>
          <w:rFonts w:hint="eastAsia" w:ascii="宋体" w:hAnsi="宋体" w:eastAsia="宋体" w:cs="宋体"/>
          <w:sz w:val="24"/>
          <w:szCs w:val="24"/>
        </w:rPr>
        <w:fldChar w:fldCharType="separate"/>
      </w:r>
      <w:r>
        <w:rPr>
          <w:rFonts w:hint="eastAsia" w:ascii="宋体" w:hAnsi="宋体" w:eastAsia="宋体" w:cs="宋体"/>
          <w:sz w:val="24"/>
          <w:szCs w:val="24"/>
        </w:rPr>
        <w:t>104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pageBreakBefore w:val="0"/>
        <w:tabs>
          <w:tab w:val="right" w:leader="dot" w:pos="8810"/>
        </w:tabs>
        <w:wordWrap/>
        <w:topLinePunct w:val="0"/>
        <w:bidi w:val="0"/>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"_Toc351203632"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b/>
          <w:sz w:val="24"/>
          <w:szCs w:val="24"/>
        </w:rPr>
        <w:t>第三部分 专用合同条款</w:t>
      </w:r>
      <w:r>
        <w:rPr>
          <w:rFonts w:hint="eastAsia" w:ascii="宋体" w:hAnsi="宋体" w:eastAsia="宋体" w:cs="宋体"/>
          <w:sz w:val="24"/>
          <w:szCs w:val="24"/>
        </w:rPr>
        <w:t>……………..…………...….................</w:t>
      </w:r>
      <w:r>
        <w:rPr>
          <w:rFonts w:hint="eastAsia" w:ascii="宋体" w:hAnsi="宋体" w:eastAsia="宋体" w:cs="宋体"/>
          <w:sz w:val="24"/>
          <w:szCs w:val="24"/>
        </w:rPr>
        <w:fldChar w:fldCharType="end"/>
      </w:r>
      <w:r>
        <w:rPr>
          <w:rFonts w:hint="eastAsia" w:ascii="宋体" w:hAnsi="宋体" w:eastAsia="宋体" w:cs="宋体"/>
          <w:sz w:val="24"/>
          <w:szCs w:val="24"/>
        </w:rPr>
        <w:t>105</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"_Toc351203633"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 一般约定</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05</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"_Toc351203634"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 发包人</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09</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"_Toc351203635"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3. 承包人</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10</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"_Toc351203636"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4. 监理人</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13</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"_Toc351203637"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5. 工程质量</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15</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"_Toc351203638"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6. 安全文明施工与环境保护</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16</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"_Toc351203639"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7. 工期和进度</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16</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"_Toc351203640"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8. 材料与设备</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18</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"_Toc351203641"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9. 试验与检验</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19</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"_Toc351203642"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10. 变更</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19</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"_Toc351203643"</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11. 价格调整</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21</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"_Toc351203644"</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12. 合同价格、计量与支付</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22</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"_Toc351203645"</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13. 验收和工程试车</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25</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"_Toc351203646"</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14. 竣工结算</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26</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"_Toc351203647"</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15. 缺陷责任期与保修</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27</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"_Toc351203648"</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16. 违约</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29</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"_Toc351203649"</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17. 不可抗力</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31</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"_Toc351203650"</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18. 保险</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31</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"_Toc351203651"</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20. 争议解决</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32</w:t>
      </w:r>
    </w:p>
    <w:p>
      <w:pPr>
        <w:pStyle w:val="19"/>
        <w:pageBreakBefore w:val="0"/>
        <w:wordWrap/>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"_Toc351203652"</w:instrText>
      </w:r>
      <w:r>
        <w:rPr>
          <w:rStyle w:val="3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31"/>
          <w:rFonts w:hint="eastAsia" w:ascii="宋体" w:hAnsi="宋体" w:eastAsia="宋体" w:cs="宋体"/>
          <w:sz w:val="24"/>
          <w:szCs w:val="24"/>
        </w:rPr>
        <w:t>附件</w:t>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34</w:t>
      </w:r>
    </w:p>
    <w:p>
      <w:pPr>
        <w:pStyle w:val="5"/>
        <w:pageBreakBefore w:val="0"/>
        <w:wordWrap/>
        <w:topLinePunct w:val="0"/>
        <w:bidi w:val="0"/>
        <w:spacing w:line="360" w:lineRule="auto"/>
        <w:jc w:val="center"/>
        <w:rPr>
          <w:rFonts w:hint="eastAsia" w:ascii="宋体" w:hAnsi="宋体" w:eastAsia="宋体" w:cs="宋体"/>
          <w:sz w:val="24"/>
          <w:szCs w:val="24"/>
        </w:rPr>
        <w:sectPr>
          <w:footerReference r:id="rId9" w:type="first"/>
          <w:pgSz w:w="11906" w:h="16838"/>
          <w:pgMar w:top="1418" w:right="1555" w:bottom="1418" w:left="1531" w:header="851" w:footer="992" w:gutter="0"/>
          <w:pgNumType w:fmt="decimal" w:start="1"/>
          <w:cols w:space="720" w:num="1"/>
          <w:titlePg/>
          <w:docGrid w:type="lines" w:linePitch="312" w:charSpace="0"/>
        </w:sectPr>
      </w:pPr>
      <w:r>
        <w:rPr>
          <w:rFonts w:hint="eastAsia" w:ascii="宋体" w:hAnsi="宋体" w:eastAsia="宋体" w:cs="宋体"/>
          <w:sz w:val="24"/>
          <w:szCs w:val="24"/>
        </w:rPr>
        <w:fldChar w:fldCharType="end"/>
      </w:r>
    </w:p>
    <w:p>
      <w:pPr>
        <w:pStyle w:val="5"/>
        <w:pageBreakBefore w:val="0"/>
        <w:wordWrap/>
        <w:topLinePunct w:val="0"/>
        <w:bidi w:val="0"/>
        <w:spacing w:line="360" w:lineRule="auto"/>
        <w:jc w:val="center"/>
        <w:rPr>
          <w:rFonts w:hint="eastAsia" w:ascii="宋体" w:hAnsi="宋体" w:eastAsia="宋体" w:cs="宋体"/>
          <w:b w:val="0"/>
          <w:color w:val="000000"/>
          <w:sz w:val="24"/>
          <w:szCs w:val="24"/>
        </w:rPr>
      </w:pPr>
      <w:r>
        <w:rPr>
          <w:rFonts w:hint="eastAsia" w:ascii="宋体" w:hAnsi="宋体" w:eastAsia="宋体" w:cs="宋体"/>
          <w:sz w:val="24"/>
          <w:szCs w:val="24"/>
        </w:rPr>
        <w:t>第一部分 合同协议书</w:t>
      </w:r>
      <w:bookmarkEnd w:id="221"/>
      <w:bookmarkEnd w:id="222"/>
      <w:bookmarkEnd w:id="223"/>
    </w:p>
    <w:p>
      <w:pPr>
        <w:pageBreakBefore w:val="0"/>
        <w:wordWrap/>
        <w:topLinePunct w:val="0"/>
        <w:bidi w:val="0"/>
        <w:spacing w:line="360" w:lineRule="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w:t>
      </w:r>
      <w:r>
        <w:rPr>
          <w:rFonts w:hint="eastAsia" w:ascii="宋体" w:hAnsi="宋体" w:cs="宋体"/>
          <w:b/>
          <w:color w:val="000000"/>
          <w:sz w:val="24"/>
          <w:szCs w:val="24"/>
          <w:u w:val="single"/>
          <w:lang w:eastAsia="zh-CN"/>
        </w:rPr>
        <w:t>宁夏回族自治区交通宣传事务中心</w:t>
      </w:r>
      <w:r>
        <w:rPr>
          <w:rFonts w:hint="eastAsia" w:ascii="宋体" w:hAnsi="宋体" w:eastAsia="宋体" w:cs="宋体"/>
          <w:b/>
          <w:color w:val="000000"/>
          <w:sz w:val="24"/>
          <w:szCs w:val="24"/>
          <w:u w:val="single"/>
        </w:rPr>
        <w:t xml:space="preserve">   </w:t>
      </w:r>
    </w:p>
    <w:p>
      <w:pPr>
        <w:pageBreakBefore w:val="0"/>
        <w:wordWrap/>
        <w:topLinePunct w:val="0"/>
        <w:bidi w:val="0"/>
        <w:spacing w:line="360" w:lineRule="auto"/>
        <w:rPr>
          <w:rFonts w:hint="eastAsia" w:ascii="宋体" w:hAnsi="宋体" w:eastAsia="宋体" w:cs="宋体"/>
          <w:b/>
          <w:color w:val="000000"/>
          <w:sz w:val="24"/>
          <w:szCs w:val="24"/>
          <w:u w:val="single"/>
          <w:lang w:val="en-US" w:eastAsia="zh-CN"/>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lang w:val="en-US" w:eastAsia="zh-CN"/>
        </w:rPr>
        <w:t xml:space="preserve">              </w:t>
      </w:r>
      <w:r>
        <w:rPr>
          <w:rFonts w:hint="eastAsia" w:ascii="宋体" w:hAnsi="宋体" w:cs="宋体"/>
          <w:b/>
          <w:color w:val="000000"/>
          <w:sz w:val="24"/>
          <w:szCs w:val="24"/>
          <w:u w:val="single"/>
          <w:lang w:val="en-US" w:eastAsia="zh-CN"/>
        </w:rPr>
        <w:t xml:space="preserve">             </w:t>
      </w:r>
      <w:r>
        <w:rPr>
          <w:rFonts w:hint="eastAsia" w:ascii="宋体" w:hAnsi="宋体" w:eastAsia="宋体" w:cs="宋体"/>
          <w:b/>
          <w:color w:val="000000"/>
          <w:sz w:val="24"/>
          <w:szCs w:val="24"/>
          <w:u w:val="single"/>
          <w:lang w:val="en-US" w:eastAsia="zh-CN"/>
        </w:rPr>
        <w:t xml:space="preserve">        </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根据《中华人民共和国民法典》、《中华人民共和国建筑法》及有关法律规定，遵循平等、自愿、公平和诚实信用的原则，双方就</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single"/>
        </w:rPr>
        <w:t>段</w:t>
      </w:r>
      <w:r>
        <w:rPr>
          <w:rFonts w:hint="eastAsia" w:ascii="宋体" w:hAnsi="宋体" w:eastAsia="宋体" w:cs="宋体"/>
          <w:color w:val="000000"/>
          <w:sz w:val="24"/>
          <w:szCs w:val="24"/>
        </w:rPr>
        <w:t>工程施工及有关事项协商一致，共同达成如下协议：</w:t>
      </w:r>
    </w:p>
    <w:p>
      <w:pPr>
        <w:pStyle w:val="6"/>
        <w:pageBreakBefore w:val="0"/>
        <w:wordWrap/>
        <w:topLinePunct w:val="0"/>
        <w:bidi w:val="0"/>
        <w:spacing w:before="120" w:after="120"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228" w:name="_Toc351203481"/>
      <w:r>
        <w:rPr>
          <w:rFonts w:hint="eastAsia" w:ascii="宋体" w:hAnsi="宋体" w:eastAsia="宋体" w:cs="宋体"/>
          <w:b w:val="0"/>
          <w:color w:val="000000"/>
          <w:sz w:val="24"/>
          <w:szCs w:val="24"/>
        </w:rPr>
        <w:t>一、工程概况</w:t>
      </w:r>
      <w:bookmarkEnd w:id="228"/>
    </w:p>
    <w:p>
      <w:pPr>
        <w:pageBreakBefore w:val="0"/>
        <w:wordWrap/>
        <w:topLinePunct w:val="0"/>
        <w:bidi w:val="0"/>
        <w:spacing w:line="360" w:lineRule="auto"/>
        <w:ind w:firstLine="470" w:firstLineChars="196"/>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b/>
          <w:color w:val="000000"/>
          <w:sz w:val="24"/>
          <w:szCs w:val="24"/>
          <w:u w:val="single"/>
        </w:rPr>
        <w:t>银川市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pPr>
        <w:pageBreakBefore w:val="0"/>
        <w:wordWrap/>
        <w:topLinePunct w:val="0"/>
        <w:bidi w:val="0"/>
        <w:spacing w:line="360" w:lineRule="auto"/>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w:t>
      </w:r>
    </w:p>
    <w:p>
      <w:pPr>
        <w:pageBreakBefore w:val="0"/>
        <w:wordWrap/>
        <w:topLinePunct w:val="0"/>
        <w:bidi w:val="0"/>
        <w:spacing w:line="360" w:lineRule="auto"/>
        <w:ind w:firstLine="470" w:firstLineChars="196"/>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bCs/>
          <w:color w:val="000000"/>
          <w:sz w:val="24"/>
          <w:szCs w:val="24"/>
        </w:rPr>
        <w:t>。</w:t>
      </w:r>
      <w:r>
        <w:rPr>
          <w:rFonts w:hint="eastAsia" w:ascii="宋体" w:hAnsi="宋体" w:eastAsia="宋体" w:cs="宋体"/>
          <w:color w:val="000000"/>
          <w:sz w:val="24"/>
          <w:szCs w:val="24"/>
        </w:rPr>
        <w:t xml:space="preserve">              </w:t>
      </w:r>
      <w:r>
        <w:rPr>
          <w:rFonts w:hint="eastAsia" w:ascii="宋体" w:hAnsi="宋体" w:eastAsia="宋体" w:cs="宋体"/>
          <w:bCs/>
          <w:color w:val="000000"/>
          <w:sz w:val="24"/>
          <w:szCs w:val="24"/>
        </w:rPr>
        <w:t>。</w:t>
      </w:r>
    </w:p>
    <w:p>
      <w:pPr>
        <w:pageBreakBefore w:val="0"/>
        <w:wordWrap/>
        <w:topLinePunct w:val="0"/>
        <w:bidi w:val="0"/>
        <w:spacing w:line="360" w:lineRule="auto"/>
        <w:ind w:firstLine="470" w:firstLineChars="196"/>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pPr>
        <w:pageBreakBefore w:val="0"/>
        <w:wordWrap/>
        <w:topLinePunct w:val="0"/>
        <w:bidi w:val="0"/>
        <w:spacing w:line="360" w:lineRule="auto"/>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6.工程承包范围：</w:t>
      </w:r>
    </w:p>
    <w:p>
      <w:pPr>
        <w:pageBreakBefore w:val="0"/>
        <w:wordWrap/>
        <w:topLinePunct w:val="0"/>
        <w:bidi w:val="0"/>
        <w:spacing w:line="360" w:lineRule="auto"/>
        <w:ind w:firstLine="481" w:firstLineChars="200"/>
        <w:rPr>
          <w:rFonts w:hint="eastAsia" w:ascii="宋体" w:hAnsi="宋体" w:eastAsia="宋体" w:cs="宋体"/>
          <w:color w:val="000000"/>
          <w:sz w:val="24"/>
          <w:szCs w:val="24"/>
        </w:rPr>
      </w:pPr>
      <w:r>
        <w:rPr>
          <w:rFonts w:hint="eastAsia" w:ascii="宋体" w:hAnsi="宋体" w:eastAsia="宋体" w:cs="宋体"/>
          <w:b/>
          <w:bCs/>
          <w:sz w:val="24"/>
          <w:szCs w:val="24"/>
          <w:u w:val="single"/>
        </w:rPr>
        <w:t>招标文件、投标文件、招标答疑包括的所有施工内容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229" w:name="_Toc351203482"/>
      <w:r>
        <w:rPr>
          <w:rFonts w:hint="eastAsia" w:ascii="宋体" w:hAnsi="宋体" w:eastAsia="宋体" w:cs="宋体"/>
          <w:b w:val="0"/>
          <w:color w:val="000000"/>
          <w:sz w:val="24"/>
          <w:szCs w:val="24"/>
        </w:rPr>
        <w:t>二、合同工期</w:t>
      </w:r>
      <w:bookmarkEnd w:id="229"/>
    </w:p>
    <w:p>
      <w:pPr>
        <w:pageBreakBefore w:val="0"/>
        <w:wordWrap/>
        <w:topLinePunct w:val="0"/>
        <w:bidi w:val="0"/>
        <w:spacing w:line="360" w:lineRule="auto"/>
        <w:ind w:firstLine="459"/>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lang w:val="en-US" w:eastAsia="zh-CN" w:bidi="ar"/>
        </w:rPr>
        <w:t>202</w:t>
      </w:r>
      <w:r>
        <w:rPr>
          <w:rFonts w:hint="eastAsia" w:ascii="宋体" w:hAnsi="宋体" w:cs="宋体"/>
          <w:b/>
          <w:color w:val="000000"/>
          <w:sz w:val="24"/>
          <w:szCs w:val="24"/>
          <w:u w:val="single"/>
          <w:lang w:val="en-US" w:eastAsia="zh-CN" w:bidi="ar"/>
        </w:rPr>
        <w:t>4</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lang w:val="en-US" w:eastAsia="zh-CN" w:bidi="ar"/>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lang w:val="en-US" w:eastAsia="zh-CN" w:bidi="ar"/>
        </w:rPr>
        <w:t xml:space="preserve"> </w:t>
      </w:r>
      <w:r>
        <w:rPr>
          <w:rFonts w:hint="eastAsia" w:ascii="宋体" w:hAnsi="宋体" w:eastAsia="宋体" w:cs="宋体"/>
          <w:b/>
          <w:color w:val="000000"/>
          <w:sz w:val="24"/>
          <w:szCs w:val="24"/>
          <w:u w:val="single"/>
          <w:lang w:bidi="ar"/>
        </w:rPr>
        <w:t xml:space="preserve"> </w:t>
      </w:r>
      <w:r>
        <w:rPr>
          <w:rFonts w:hint="eastAsia" w:ascii="宋体" w:hAnsi="宋体" w:eastAsia="宋体" w:cs="宋体"/>
          <w:color w:val="000000"/>
          <w:sz w:val="24"/>
          <w:szCs w:val="24"/>
        </w:rPr>
        <w:t>日。</w:t>
      </w:r>
    </w:p>
    <w:p>
      <w:pPr>
        <w:pageBreakBefore w:val="0"/>
        <w:wordWrap/>
        <w:topLinePunct w:val="0"/>
        <w:bidi w:val="0"/>
        <w:spacing w:line="360" w:lineRule="auto"/>
        <w:ind w:firstLine="459"/>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lang w:val="en-US" w:eastAsia="zh-CN" w:bidi="ar"/>
        </w:rPr>
        <w:t>202</w:t>
      </w:r>
      <w:r>
        <w:rPr>
          <w:rFonts w:hint="eastAsia" w:ascii="宋体" w:hAnsi="宋体" w:cs="宋体"/>
          <w:b/>
          <w:color w:val="000000"/>
          <w:sz w:val="24"/>
          <w:szCs w:val="24"/>
          <w:u w:val="single"/>
          <w:lang w:val="en-US" w:eastAsia="zh-CN" w:bidi="ar"/>
        </w:rPr>
        <w:t>4</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lang w:val="en-US" w:eastAsia="zh-CN" w:bidi="ar"/>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lang w:val="en-US" w:eastAsia="zh-CN" w:bidi="ar"/>
        </w:rPr>
        <w:t xml:space="preserve">  </w:t>
      </w:r>
      <w:r>
        <w:rPr>
          <w:rFonts w:hint="eastAsia" w:ascii="宋体" w:hAnsi="宋体" w:eastAsia="宋体" w:cs="宋体"/>
          <w:color w:val="000000"/>
          <w:sz w:val="24"/>
          <w:szCs w:val="24"/>
        </w:rPr>
        <w:t>日。</w:t>
      </w:r>
    </w:p>
    <w:p>
      <w:pPr>
        <w:pageBreakBefore w:val="0"/>
        <w:wordWrap/>
        <w:topLinePunct w:val="0"/>
        <w:bidi w:val="0"/>
        <w:spacing w:line="360" w:lineRule="auto"/>
        <w:ind w:firstLine="459"/>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天。工期总日历天数与根据前述计划开竣工日期计算的工期天数不一致的，以工期总日历天数为准。</w:t>
      </w:r>
    </w:p>
    <w:p>
      <w:pPr>
        <w:pStyle w:val="6"/>
        <w:pageBreakBefore w:val="0"/>
        <w:wordWrap/>
        <w:topLinePunct w:val="0"/>
        <w:bidi w:val="0"/>
        <w:spacing w:before="120" w:after="120"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230" w:name="_Toc351203483"/>
      <w:r>
        <w:rPr>
          <w:rFonts w:hint="eastAsia" w:ascii="宋体" w:hAnsi="宋体" w:eastAsia="宋体" w:cs="宋体"/>
          <w:b w:val="0"/>
          <w:color w:val="000000"/>
          <w:sz w:val="24"/>
          <w:szCs w:val="24"/>
        </w:rPr>
        <w:t>三、质量标准</w:t>
      </w:r>
      <w:bookmarkEnd w:id="230"/>
    </w:p>
    <w:p>
      <w:pPr>
        <w:pageBreakBefore w:val="0"/>
        <w:wordWrap/>
        <w:topLinePunct w:val="0"/>
        <w:bidi w:val="0"/>
        <w:spacing w:line="360" w:lineRule="auto"/>
        <w:ind w:firstLine="45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工程质量符合</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rPr>
        <w:t>标准</w:t>
      </w:r>
      <w:r>
        <w:rPr>
          <w:rFonts w:hint="eastAsia" w:ascii="宋体" w:hAnsi="宋体" w:eastAsia="宋体" w:cs="宋体"/>
          <w:color w:val="000000"/>
          <w:sz w:val="24"/>
          <w:szCs w:val="24"/>
          <w:lang w:val="en-US" w:eastAsia="zh-CN"/>
        </w:rPr>
        <w:t>。</w:t>
      </w:r>
    </w:p>
    <w:p>
      <w:pPr>
        <w:pStyle w:val="6"/>
        <w:pageBreakBefore w:val="0"/>
        <w:wordWrap/>
        <w:topLinePunct w:val="0"/>
        <w:bidi w:val="0"/>
        <w:spacing w:before="120" w:after="120"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231" w:name="_Toc351203484"/>
      <w:r>
        <w:rPr>
          <w:rFonts w:hint="eastAsia" w:ascii="宋体" w:hAnsi="宋体" w:eastAsia="宋体" w:cs="宋体"/>
          <w:b w:val="0"/>
          <w:color w:val="000000"/>
          <w:sz w:val="24"/>
          <w:szCs w:val="24"/>
        </w:rPr>
        <w:t>四、签约合同价与合同价格形式</w:t>
      </w:r>
      <w:bookmarkEnd w:id="231"/>
      <w:r>
        <w:rPr>
          <w:rFonts w:hint="eastAsia" w:ascii="宋体" w:hAnsi="宋体" w:eastAsia="宋体" w:cs="宋体"/>
          <w:b w:val="0"/>
          <w:color w:val="000000"/>
          <w:sz w:val="24"/>
          <w:szCs w:val="24"/>
        </w:rPr>
        <w:tab/>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pPr>
        <w:pageBreakBefore w:val="0"/>
        <w:wordWrap/>
        <w:topLinePunct w:val="0"/>
        <w:bidi w:val="0"/>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b/>
          <w:color w:val="000000"/>
          <w:sz w:val="24"/>
          <w:szCs w:val="24"/>
        </w:rPr>
        <w:t>¥</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元</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pPr>
        <w:pageBreakBefore w:val="0"/>
        <w:wordWrap/>
        <w:topLinePunct w:val="0"/>
        <w:bidi w:val="0"/>
        <w:spacing w:line="360" w:lineRule="auto"/>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pPr>
        <w:pageBreakBefore w:val="0"/>
        <w:wordWrap/>
        <w:topLinePunct w:val="0"/>
        <w:bidi w:val="0"/>
        <w:spacing w:line="360" w:lineRule="auto"/>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pPr>
        <w:pageBreakBefore w:val="0"/>
        <w:wordWrap/>
        <w:topLinePunct w:val="0"/>
        <w:bidi w:val="0"/>
        <w:spacing w:line="360" w:lineRule="auto"/>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pPr>
        <w:pageBreakBefore w:val="0"/>
        <w:wordWrap/>
        <w:topLinePunct w:val="0"/>
        <w:bidi w:val="0"/>
        <w:spacing w:line="360" w:lineRule="auto"/>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b/>
          <w:bCs/>
          <w:color w:val="000000"/>
          <w:sz w:val="24"/>
          <w:szCs w:val="24"/>
          <w:u w:val="single"/>
        </w:rPr>
        <w:t></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rPr>
        <w:t>。</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232" w:name="_Toc351203485"/>
      <w:r>
        <w:rPr>
          <w:rFonts w:hint="eastAsia" w:ascii="宋体" w:hAnsi="宋体" w:eastAsia="宋体" w:cs="宋体"/>
          <w:b w:val="0"/>
          <w:color w:val="000000"/>
          <w:sz w:val="24"/>
          <w:szCs w:val="24"/>
        </w:rPr>
        <w:t>五、</w:t>
      </w:r>
      <w:bookmarkEnd w:id="232"/>
      <w:r>
        <w:rPr>
          <w:rFonts w:hint="eastAsia" w:ascii="宋体" w:hAnsi="宋体" w:eastAsia="宋体" w:cs="宋体"/>
          <w:b w:val="0"/>
          <w:color w:val="000000"/>
          <w:sz w:val="24"/>
          <w:szCs w:val="24"/>
        </w:rPr>
        <w:t>项目经理</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Style w:val="6"/>
        <w:pageBreakBefore w:val="0"/>
        <w:wordWrap/>
        <w:topLinePunct w:val="0"/>
        <w:bidi w:val="0"/>
        <w:spacing w:before="120" w:after="120"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233" w:name="_Toc351203486"/>
      <w:r>
        <w:rPr>
          <w:rFonts w:hint="eastAsia" w:ascii="宋体" w:hAnsi="宋体" w:eastAsia="宋体" w:cs="宋体"/>
          <w:b w:val="0"/>
          <w:color w:val="000000"/>
          <w:sz w:val="24"/>
          <w:szCs w:val="24"/>
        </w:rPr>
        <w:t>六、合同文件构成</w:t>
      </w:r>
      <w:bookmarkEnd w:id="233"/>
    </w:p>
    <w:p>
      <w:pPr>
        <w:pageBreakBefore w:val="0"/>
        <w:wordWrap/>
        <w:topLinePunct w:val="0"/>
        <w:bidi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（2）投标函及其附录（如果有）； </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6"/>
        <w:pageBreakBefore w:val="0"/>
        <w:wordWrap/>
        <w:topLinePunct w:val="0"/>
        <w:bidi w:val="0"/>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234" w:name="_Toc351203487"/>
      <w:r>
        <w:rPr>
          <w:rFonts w:hint="eastAsia" w:ascii="宋体" w:hAnsi="宋体" w:eastAsia="宋体" w:cs="宋体"/>
          <w:b w:val="0"/>
          <w:color w:val="000000"/>
          <w:sz w:val="24"/>
          <w:szCs w:val="24"/>
        </w:rPr>
        <w:t>七、承诺</w:t>
      </w:r>
      <w:bookmarkEnd w:id="234"/>
    </w:p>
    <w:p>
      <w:pPr>
        <w:pageBreakBefore w:val="0"/>
        <w:wordWrap/>
        <w:topLinePunct w:val="0"/>
        <w:bidi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pPr>
        <w:pageBreakBefore w:val="0"/>
        <w:wordWrap/>
        <w:topLinePunct w:val="0"/>
        <w:bidi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ordWrap/>
        <w:topLinePunct w:val="0"/>
        <w:bidi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pPr>
        <w:pageBreakBefore w:val="0"/>
        <w:wordWrap/>
        <w:topLinePunct w:val="0"/>
        <w:bidi w:val="0"/>
        <w:spacing w:line="360" w:lineRule="auto"/>
        <w:rPr>
          <w:rFonts w:hint="eastAsia" w:ascii="宋体" w:hAnsi="宋体" w:eastAsia="宋体" w:cs="宋体"/>
          <w:bCs/>
          <w:color w:val="000000"/>
          <w:sz w:val="24"/>
          <w:szCs w:val="24"/>
        </w:rPr>
      </w:pPr>
      <w:bookmarkStart w:id="235" w:name="_Toc351203488"/>
      <w:r>
        <w:rPr>
          <w:rFonts w:hint="eastAsia" w:ascii="宋体" w:hAnsi="宋体" w:eastAsia="宋体" w:cs="宋体"/>
          <w:b/>
          <w:color w:val="000000"/>
          <w:sz w:val="24"/>
          <w:szCs w:val="24"/>
        </w:rPr>
        <w:t xml:space="preserve">    八、词语含义</w:t>
      </w:r>
      <w:bookmarkEnd w:id="235"/>
    </w:p>
    <w:p>
      <w:pPr>
        <w:pageBreakBefore w:val="0"/>
        <w:wordWrap/>
        <w:topLinePunct w:val="0"/>
        <w:bidi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pPr>
        <w:pStyle w:val="6"/>
        <w:pageBreakBefore w:val="0"/>
        <w:wordWrap/>
        <w:topLinePunct w:val="0"/>
        <w:bidi w:val="0"/>
        <w:spacing w:before="120" w:after="120"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236" w:name="_Toc351203489"/>
      <w:r>
        <w:rPr>
          <w:rFonts w:hint="eastAsia" w:ascii="宋体" w:hAnsi="宋体" w:eastAsia="宋体" w:cs="宋体"/>
          <w:b w:val="0"/>
          <w:color w:val="000000"/>
          <w:sz w:val="24"/>
          <w:szCs w:val="24"/>
        </w:rPr>
        <w:t>九、签订时间</w:t>
      </w:r>
      <w:bookmarkEnd w:id="236"/>
    </w:p>
    <w:p>
      <w:pPr>
        <w:pageBreakBefore w:val="0"/>
        <w:wordWrap/>
        <w:topLinePunct w:val="0"/>
        <w:bidi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p>
    <w:p>
      <w:pPr>
        <w:pStyle w:val="6"/>
        <w:pageBreakBefore w:val="0"/>
        <w:wordWrap/>
        <w:topLinePunct w:val="0"/>
        <w:bidi w:val="0"/>
        <w:spacing w:before="120" w:after="120"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237" w:name="_Toc351203490"/>
      <w:r>
        <w:rPr>
          <w:rFonts w:hint="eastAsia" w:ascii="宋体" w:hAnsi="宋体" w:eastAsia="宋体" w:cs="宋体"/>
          <w:b w:val="0"/>
          <w:color w:val="000000"/>
          <w:sz w:val="24"/>
          <w:szCs w:val="24"/>
        </w:rPr>
        <w:t>十、签订地点</w:t>
      </w:r>
      <w:bookmarkEnd w:id="237"/>
    </w:p>
    <w:p>
      <w:pPr>
        <w:pageBreakBefore w:val="0"/>
        <w:wordWrap/>
        <w:topLinePunct w:val="0"/>
        <w:bidi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
          <w:color w:val="000000"/>
          <w:sz w:val="24"/>
          <w:szCs w:val="24"/>
          <w:u w:val="single"/>
        </w:rPr>
        <w:t xml:space="preserve">  </w:t>
      </w:r>
      <w:r>
        <w:rPr>
          <w:rFonts w:hint="eastAsia" w:ascii="宋体" w:hAnsi="宋体" w:cs="宋体"/>
          <w:b/>
          <w:color w:val="000000"/>
          <w:sz w:val="24"/>
          <w:szCs w:val="24"/>
          <w:u w:val="single"/>
          <w:lang w:eastAsia="zh-CN"/>
        </w:rPr>
        <w:t>宁夏回族自治区交通宣传事务中心</w:t>
      </w:r>
      <w:r>
        <w:rPr>
          <w:rFonts w:hint="eastAsia" w:ascii="宋体" w:hAnsi="宋体" w:eastAsia="宋体" w:cs="宋体"/>
          <w:b/>
          <w:color w:val="000000"/>
          <w:sz w:val="24"/>
          <w:szCs w:val="24"/>
          <w:u w:val="single"/>
        </w:rPr>
        <w:t xml:space="preserve">              </w:t>
      </w:r>
      <w:r>
        <w:rPr>
          <w:rFonts w:hint="eastAsia" w:ascii="宋体" w:hAnsi="宋体" w:eastAsia="宋体" w:cs="宋体"/>
          <w:bCs/>
          <w:color w:val="000000"/>
          <w:sz w:val="24"/>
          <w:szCs w:val="24"/>
        </w:rPr>
        <w:t>签订。</w:t>
      </w:r>
    </w:p>
    <w:p>
      <w:pPr>
        <w:pStyle w:val="6"/>
        <w:pageBreakBefore w:val="0"/>
        <w:wordWrap/>
        <w:topLinePunct w:val="0"/>
        <w:bidi w:val="0"/>
        <w:spacing w:before="120" w:after="120"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238" w:name="_Toc351203491"/>
      <w:r>
        <w:rPr>
          <w:rFonts w:hint="eastAsia" w:ascii="宋体" w:hAnsi="宋体" w:eastAsia="宋体" w:cs="宋体"/>
          <w:b w:val="0"/>
          <w:color w:val="000000"/>
          <w:sz w:val="24"/>
          <w:szCs w:val="24"/>
        </w:rPr>
        <w:t>十一、补充协议</w:t>
      </w:r>
      <w:bookmarkEnd w:id="238"/>
    </w:p>
    <w:p>
      <w:pPr>
        <w:pageBreakBefore w:val="0"/>
        <w:wordWrap/>
        <w:topLinePunct w:val="0"/>
        <w:bidi w:val="0"/>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pPr>
        <w:pStyle w:val="6"/>
        <w:pageBreakBefore w:val="0"/>
        <w:wordWrap/>
        <w:topLinePunct w:val="0"/>
        <w:bidi w:val="0"/>
        <w:spacing w:before="120" w:after="120"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239" w:name="_Toc351203492"/>
      <w:r>
        <w:rPr>
          <w:rFonts w:hint="eastAsia" w:ascii="宋体" w:hAnsi="宋体" w:eastAsia="宋体" w:cs="宋体"/>
          <w:b w:val="0"/>
          <w:color w:val="000000"/>
          <w:sz w:val="24"/>
          <w:szCs w:val="24"/>
        </w:rPr>
        <w:t>十二、合同生效</w:t>
      </w:r>
      <w:bookmarkEnd w:id="239"/>
    </w:p>
    <w:p>
      <w:pPr>
        <w:pageBreakBefore w:val="0"/>
        <w:wordWrap/>
        <w:topLinePunct w:val="0"/>
        <w:bidi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
          <w:color w:val="000000"/>
          <w:sz w:val="24"/>
          <w:szCs w:val="24"/>
          <w:u w:val="single"/>
        </w:rPr>
        <w:t xml:space="preserve"> 签字、盖章之日                   </w:t>
      </w:r>
      <w:r>
        <w:rPr>
          <w:rFonts w:hint="eastAsia" w:ascii="宋体" w:hAnsi="宋体" w:eastAsia="宋体" w:cs="宋体"/>
          <w:bCs/>
          <w:color w:val="000000"/>
          <w:sz w:val="24"/>
          <w:szCs w:val="24"/>
        </w:rPr>
        <w:t>生效。</w:t>
      </w:r>
    </w:p>
    <w:p>
      <w:pPr>
        <w:pStyle w:val="6"/>
        <w:pageBreakBefore w:val="0"/>
        <w:wordWrap/>
        <w:topLinePunct w:val="0"/>
        <w:bidi w:val="0"/>
        <w:spacing w:before="120" w:after="120"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240" w:name="_Toc351203493"/>
      <w:r>
        <w:rPr>
          <w:rFonts w:hint="eastAsia" w:ascii="宋体" w:hAnsi="宋体" w:eastAsia="宋体" w:cs="宋体"/>
          <w:b w:val="0"/>
          <w:color w:val="000000"/>
          <w:sz w:val="24"/>
          <w:szCs w:val="24"/>
        </w:rPr>
        <w:t>十三、合同份数</w:t>
      </w:r>
      <w:bookmarkEnd w:id="240"/>
    </w:p>
    <w:p>
      <w:pPr>
        <w:pageBreakBefore w:val="0"/>
        <w:wordWrap/>
        <w:topLinePunct w:val="0"/>
        <w:bidi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
          <w:color w:val="000000"/>
          <w:sz w:val="24"/>
          <w:szCs w:val="24"/>
          <w:u w:val="single"/>
        </w:rPr>
        <w:t xml:space="preserve"> 捌 </w:t>
      </w:r>
      <w:r>
        <w:rPr>
          <w:rFonts w:hint="eastAsia" w:ascii="宋体" w:hAnsi="宋体" w:eastAsia="宋体" w:cs="宋体"/>
          <w:bCs/>
          <w:color w:val="000000"/>
          <w:sz w:val="24"/>
          <w:szCs w:val="24"/>
        </w:rPr>
        <w:t>份，均具有同等法律效力，发包人执</w:t>
      </w:r>
      <w:r>
        <w:rPr>
          <w:rFonts w:hint="eastAsia" w:ascii="宋体" w:hAnsi="宋体" w:eastAsia="宋体" w:cs="宋体"/>
          <w:b/>
          <w:color w:val="000000"/>
          <w:sz w:val="24"/>
          <w:szCs w:val="24"/>
          <w:u w:val="single"/>
        </w:rPr>
        <w:t xml:space="preserve">  肆 </w:t>
      </w:r>
      <w:r>
        <w:rPr>
          <w:rFonts w:hint="eastAsia" w:ascii="宋体" w:hAnsi="宋体" w:eastAsia="宋体" w:cs="宋体"/>
          <w:bCs/>
          <w:color w:val="000000"/>
          <w:sz w:val="24"/>
          <w:szCs w:val="24"/>
        </w:rPr>
        <w:t>份，承包人执</w:t>
      </w:r>
      <w:r>
        <w:rPr>
          <w:rFonts w:hint="eastAsia" w:ascii="宋体" w:hAnsi="宋体" w:eastAsia="宋体" w:cs="宋体"/>
          <w:b/>
          <w:color w:val="000000"/>
          <w:sz w:val="24"/>
          <w:szCs w:val="24"/>
          <w:u w:val="single"/>
        </w:rPr>
        <w:t xml:space="preserve">  肆 </w:t>
      </w:r>
      <w:r>
        <w:rPr>
          <w:rFonts w:hint="eastAsia" w:ascii="宋体" w:hAnsi="宋体" w:eastAsia="宋体" w:cs="宋体"/>
          <w:bCs/>
          <w:color w:val="000000"/>
          <w:sz w:val="24"/>
          <w:szCs w:val="24"/>
        </w:rPr>
        <w:t>份。</w:t>
      </w:r>
    </w:p>
    <w:p>
      <w:pPr>
        <w:pageBreakBefore w:val="0"/>
        <w:wordWrap/>
        <w:topLinePunct w:val="0"/>
        <w:bidi w:val="0"/>
        <w:spacing w:line="360" w:lineRule="auto"/>
        <w:rPr>
          <w:rFonts w:hint="eastAsia" w:ascii="宋体" w:hAnsi="宋体" w:eastAsia="宋体" w:cs="宋体"/>
          <w:bCs/>
          <w:color w:val="000000"/>
          <w:sz w:val="24"/>
          <w:szCs w:val="24"/>
        </w:rPr>
      </w:pPr>
    </w:p>
    <w:p>
      <w:pPr>
        <w:pageBreakBefore w:val="0"/>
        <w:wordWrap/>
        <w:topLinePunct w:val="0"/>
        <w:bidi w:val="0"/>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发包人：  (公章)             承包人：  (公章)</w:t>
      </w:r>
    </w:p>
    <w:p>
      <w:pPr>
        <w:pageBreakBefore w:val="0"/>
        <w:wordWrap/>
        <w:topLinePunct w:val="0"/>
        <w:bidi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p>
    <w:p>
      <w:pPr>
        <w:pageBreakBefore w:val="0"/>
        <w:wordWrap/>
        <w:topLinePunct w:val="0"/>
        <w:bidi w:val="0"/>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pPr>
        <w:pageBreakBefore w:val="0"/>
        <w:wordWrap/>
        <w:topLinePunct w:val="0"/>
        <w:bidi w:val="0"/>
        <w:spacing w:line="360" w:lineRule="auto"/>
        <w:rPr>
          <w:rFonts w:hint="eastAsia" w:ascii="宋体" w:hAnsi="宋体" w:eastAsia="宋体" w:cs="宋体"/>
          <w:color w:val="000000"/>
          <w:sz w:val="24"/>
          <w:szCs w:val="24"/>
          <w:u w:val="single"/>
        </w:rPr>
      </w:pPr>
    </w:p>
    <w:p>
      <w:pPr>
        <w:pageBreakBefore w:val="0"/>
        <w:tabs>
          <w:tab w:val="left" w:pos="4410"/>
        </w:tabs>
        <w:wordWrap/>
        <w:topLinePunct w:val="0"/>
        <w:bidi w:val="0"/>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w w:val="90"/>
          <w:sz w:val="24"/>
          <w:szCs w:val="24"/>
          <w:u w:val="single"/>
          <w:lang w:val="en-US" w:eastAsia="zh-CN"/>
        </w:rPr>
        <w:t xml:space="preserve">   </w:t>
      </w:r>
      <w:r>
        <w:rPr>
          <w:rFonts w:hint="eastAsia" w:ascii="宋体" w:hAnsi="宋体" w:cs="宋体"/>
          <w:color w:val="000000"/>
          <w:w w:val="90"/>
          <w:sz w:val="24"/>
          <w:szCs w:val="24"/>
          <w:u w:val="single"/>
          <w:lang w:val="en-US" w:eastAsia="zh-CN"/>
        </w:rPr>
        <w:t xml:space="preserve">       </w:t>
      </w:r>
      <w:r>
        <w:rPr>
          <w:rFonts w:hint="eastAsia" w:ascii="宋体" w:hAnsi="宋体" w:eastAsia="宋体" w:cs="宋体"/>
          <w:color w:val="000000"/>
          <w:w w:val="90"/>
          <w:sz w:val="24"/>
          <w:szCs w:val="24"/>
          <w:u w:val="single"/>
          <w:lang w:val="en-US" w:eastAsia="zh-CN"/>
        </w:rPr>
        <w:t xml:space="preserve">  </w:t>
      </w:r>
    </w:p>
    <w:p>
      <w:pPr>
        <w:pageBreakBefore w:val="0"/>
        <w:wordWrap/>
        <w:topLinePunct w:val="0"/>
        <w:bidi w:val="0"/>
        <w:spacing w:line="360" w:lineRule="auto"/>
        <w:ind w:left="4556" w:leftChars="170" w:hanging="4080" w:hangingChars="1700"/>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新华西街291号      </w:t>
      </w:r>
      <w:r>
        <w:rPr>
          <w:rFonts w:hint="eastAsia" w:ascii="宋体" w:hAnsi="宋体" w:eastAsia="宋体" w:cs="宋体"/>
          <w:color w:val="000000"/>
          <w:sz w:val="24"/>
          <w:szCs w:val="24"/>
        </w:rPr>
        <w:t xml:space="preserve"> 地  址：</w:t>
      </w:r>
      <w:r>
        <w:rPr>
          <w:rFonts w:hint="eastAsia" w:ascii="宋体" w:hAnsi="宋体" w:eastAsia="宋体" w:cs="宋体"/>
          <w:color w:val="000000"/>
          <w:w w:val="9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法定代表人：</w:t>
      </w:r>
      <w:r>
        <w:rPr>
          <w:rFonts w:hint="eastAsia" w:ascii="宋体" w:hAnsi="宋体" w:eastAsia="宋体" w:cs="宋体"/>
          <w:color w:val="000000"/>
          <w:sz w:val="24"/>
          <w:szCs w:val="24"/>
          <w:u w:val="single"/>
        </w:rPr>
        <w:t xml:space="preserve">         </w:t>
      </w:r>
    </w:p>
    <w:p>
      <w:pPr>
        <w:pageBreakBefore w:val="0"/>
        <w:wordWrap/>
        <w:topLinePunct w:val="0"/>
        <w:bidi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eastAsia="zh-CN"/>
        </w:rPr>
        <w:t xml:space="preserve">0951-6076675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电子信箱：</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ind w:left="6000" w:hanging="4800" w:hangingChars="20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p>
    <w:p>
      <w:pPr>
        <w:pageBreakBefore w:val="0"/>
        <w:wordWrap/>
        <w:topLinePunct w:val="0"/>
        <w:bidi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p>
    <w:p>
      <w:pPr>
        <w:pStyle w:val="5"/>
        <w:pageBreakBefore w:val="0"/>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bookmarkStart w:id="241" w:name="_Toc351203494"/>
      <w:r>
        <w:rPr>
          <w:rFonts w:hint="eastAsia" w:ascii="宋体" w:hAnsi="宋体" w:eastAsia="宋体" w:cs="宋体"/>
          <w:sz w:val="24"/>
          <w:szCs w:val="24"/>
        </w:rPr>
        <w:t>第二部分 通用合同条款</w:t>
      </w:r>
      <w:bookmarkEnd w:id="241"/>
      <w:bookmarkStart w:id="242" w:name="_Toc337558727"/>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243" w:name="_Toc351203495"/>
      <w:r>
        <w:rPr>
          <w:rFonts w:hint="eastAsia" w:ascii="宋体" w:hAnsi="宋体" w:eastAsia="宋体" w:cs="宋体"/>
          <w:b w:val="0"/>
          <w:color w:val="000000"/>
          <w:sz w:val="24"/>
          <w:szCs w:val="24"/>
        </w:rPr>
        <w:t>1.</w:t>
      </w:r>
      <w:bookmarkStart w:id="244" w:name="_Toc303538973"/>
      <w:bookmarkEnd w:id="244"/>
      <w:bookmarkStart w:id="245" w:name="_Toc303538976"/>
      <w:bookmarkEnd w:id="245"/>
      <w:bookmarkStart w:id="246" w:name="_Toc303538975"/>
      <w:bookmarkEnd w:id="246"/>
      <w:bookmarkStart w:id="247" w:name="_Toc303538974"/>
      <w:bookmarkEnd w:id="247"/>
      <w:bookmarkStart w:id="248" w:name="_Toc303538972"/>
      <w:bookmarkEnd w:id="248"/>
      <w:bookmarkStart w:id="249" w:name="_Toc296346528"/>
      <w:bookmarkStart w:id="250" w:name="_Toc296503027"/>
      <w:r>
        <w:rPr>
          <w:rFonts w:hint="eastAsia" w:ascii="宋体" w:hAnsi="宋体" w:eastAsia="宋体" w:cs="宋体"/>
          <w:b w:val="0"/>
          <w:color w:val="000000"/>
          <w:sz w:val="24"/>
          <w:szCs w:val="24"/>
        </w:rPr>
        <w:t xml:space="preserve"> 一般约定</w:t>
      </w:r>
      <w:bookmarkEnd w:id="242"/>
      <w:bookmarkEnd w:id="243"/>
      <w:bookmarkEnd w:id="249"/>
      <w:bookmarkEnd w:id="250"/>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251" w:name="_Toc296503028"/>
      <w:bookmarkStart w:id="252" w:name="_Toc337558728"/>
      <w:bookmarkStart w:id="253" w:name="_Toc296346529"/>
      <w:bookmarkStart w:id="254" w:name="_Toc351203496"/>
      <w:r>
        <w:rPr>
          <w:rFonts w:hint="eastAsia" w:ascii="宋体" w:hAnsi="宋体" w:eastAsia="宋体" w:cs="宋体"/>
          <w:b w:val="0"/>
          <w:color w:val="000000"/>
          <w:sz w:val="24"/>
          <w:szCs w:val="24"/>
        </w:rPr>
        <w:t>1.1词语定义</w:t>
      </w:r>
      <w:bookmarkEnd w:id="251"/>
      <w:bookmarkEnd w:id="252"/>
      <w:bookmarkEnd w:id="253"/>
      <w:r>
        <w:rPr>
          <w:rFonts w:hint="eastAsia" w:ascii="宋体" w:hAnsi="宋体" w:eastAsia="宋体" w:cs="宋体"/>
          <w:b w:val="0"/>
          <w:color w:val="000000"/>
          <w:sz w:val="24"/>
          <w:szCs w:val="24"/>
        </w:rPr>
        <w:t>与解释</w:t>
      </w:r>
      <w:bookmarkEnd w:id="254"/>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合同协议书、通用合同条款、专用合同条款中的下列词语具有本款所赋予的含义：</w:t>
      </w:r>
    </w:p>
    <w:p>
      <w:pPr>
        <w:pageBreakBefore w:val="0"/>
        <w:wordWrap/>
        <w:topLinePunct w:val="0"/>
        <w:autoSpaceDE w:val="0"/>
        <w:autoSpaceDN w:val="0"/>
        <w:bidi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1.1.1 合同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sz w:val="24"/>
          <w:szCs w:val="24"/>
        </w:rPr>
        <w:t>及其附件</w:t>
      </w:r>
      <w:r>
        <w:rPr>
          <w:rFonts w:hint="eastAsia" w:ascii="宋体" w:hAnsi="宋体" w:eastAsia="宋体" w:cs="宋体"/>
          <w:color w:val="000000"/>
          <w:kern w:val="0"/>
          <w:sz w:val="24"/>
          <w:szCs w:val="24"/>
        </w:rPr>
        <w:t>、通用合同条款、技术标准和要求、图纸、已标价工程量清单或预算书以及其他合同文件。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1.1.1.2 合同协议书：是指构成合同的由发包人和承包人共同签署的称为“合同协议书”的书面文件。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1.1.1.3 中标通知书：是指构成合同的由发包人通知承包人中标的书面文件。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1.1.1.4 投标函：是指构成合同的由承包人填写并签署的用于投标的称为“投标函”的文件。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1.1.1.5 投标函附录：是指构成合同的附在投标函后的称为“投标函附录”的文件。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1.1.1.6 技术标准和要求：是指构成合同的施工应当遵守的或指导施工的国家、行业或地方的技术标准和要求，以及合同约定的技术标准和要求。</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pageBreakBefore w:val="0"/>
        <w:wordWrap/>
        <w:topLinePunct w:val="0"/>
        <w:autoSpaceDE w:val="0"/>
        <w:autoSpaceDN w:val="0"/>
        <w:bidi w:val="0"/>
        <w:adjustRightInd w:val="0"/>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1.1.1.8 已标价工程量清单：是指构成合同的由承包人按照规定的格式和要求填写并标明价格的工程量清单，包括说明和表格。</w:t>
      </w:r>
    </w:p>
    <w:p>
      <w:pPr>
        <w:pageBreakBefore w:val="0"/>
        <w:wordWrap/>
        <w:topLinePunct w:val="0"/>
        <w:autoSpaceDE w:val="0"/>
        <w:autoSpaceDN w:val="0"/>
        <w:bidi w:val="0"/>
        <w:adjustRightInd w:val="0"/>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1.1.1.9 预算书：是指构成合同的由承包人按照发包人规定的格式和要求编制的工程预算文件。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 其他合同文件：是指经合同当事人约定的与工程施工有关的具有合同约束力的文件或书面协议。合同当事人可以在专用合同条款中进行约定。</w:t>
      </w:r>
    </w:p>
    <w:p>
      <w:pPr>
        <w:pageBreakBefore w:val="0"/>
        <w:wordWrap/>
        <w:topLinePunct w:val="0"/>
        <w:autoSpaceDE w:val="0"/>
        <w:autoSpaceDN w:val="0"/>
        <w:bidi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1.1.2 合同当事人及其他相关方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1.1.2.1 合同当事人：是指发包人和（或）承包人。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1.1.2.2 发包人：是指与承包人签订合同协议书的当事人及取得该当事人资格的合法继承人。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1.1.2.3 承包人：是指与发包人签订合同协议书的，具有相应工程施工承包资质的当事人及取得该当事人资格的合法继承人。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1.1.2.4 监理人：是指在专用合同条款中指明的，受发包人委托按照法律规定进行工程监督管理的法人或其他组织。</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1.1.2.5 设计人：是指在专用合同条款中指明的，受发包人委托负责工程设计并具备相应工程设计资质的法人或其他组织。</w:t>
      </w:r>
    </w:p>
    <w:p>
      <w:pPr>
        <w:pageBreakBefore w:val="0"/>
        <w:wordWrap/>
        <w:topLinePunct w:val="0"/>
        <w:bidi w:val="0"/>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1.1.2.6 分包人：</w:t>
      </w:r>
      <w:bookmarkStart w:id="255" w:name="#go5"/>
      <w:bookmarkEnd w:id="255"/>
      <w:r>
        <w:rPr>
          <w:rFonts w:hint="eastAsia" w:ascii="宋体" w:hAnsi="宋体" w:eastAsia="宋体" w:cs="宋体"/>
          <w:color w:val="000000"/>
          <w:kern w:val="0"/>
          <w:sz w:val="24"/>
          <w:szCs w:val="24"/>
        </w:rPr>
        <w:t>是指按照法律规定和合同约定，分包部分工程或工作，并与承包人签订分包合同的具有相应资质的法人。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1.1.2.7 发包人代表：是指由发包人任命并派驻施工现场在发包人授权范围内行使发包人权利的人。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1.1.2.8 项目经理：是指由承包人任命并派驻施工现场，在承包人授权范围内负责合同履行，且按照法律规定具有相应资格的项目负责人。</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1.1.2.9 总监理工程师：是指由监理人任命并派驻施工现场进行工程监理的总负责人。</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 工程和设备</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1.1.3.1 工程：是指与合同协议书中工程承包范围对应的永久工程和（或）临时工程。</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1.1.3.2 永久工程：是指按合同约定建造并移交给发包人的工程，包括工程设备。</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1.1.3.3 临时工程：是指为完成合同约定的永久工程所修建的各类临时性工程，不包括施工设备。</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1.1.3.4 单位工程：是指在合同协议书中指明的，具备独立施工条件并能形成独立使用功能的永久工程。</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1.1.3.5 工程设备：是指构成永久工程的机电设备、金属结构设备、仪器及其他类似的设备和装置。</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1.1.3.6 施工设备：是指为完成合同约定的各项工作所需的设备、器具和其他物品，但不包括工程设备、临时工程和材料。</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1.1.3.7 施工现场：是指用于工程施工的场所，以及在专用合同条款中指明作为施工场所组成部分的其他场所，包括永久占地和临时占地。</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1.1.3.8临时设施：是指为完成合同约定的各项工作所服务的临时性生产和生活设施。</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永久占地：是指专用合同条款中指明为实施工程需永久占用的土地。</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1.1.3.10 临时占地：是指专用合同条款中指明为实施工程需要临时占用的土地。</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 日期和期限</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1.1.4.2 竣工日期：包括计划竣工日期和实际竣工日期。计划竣工日期是指合同协议书约定的竣工日期；实际竣工日期按照第13.2.3项〔竣工日期〕的约定确定。 </w:t>
      </w:r>
    </w:p>
    <w:p>
      <w:pPr>
        <w:pageBreakBefore w:val="0"/>
        <w:wordWrap/>
        <w:topLinePunct w:val="0"/>
        <w:bidi w:val="0"/>
        <w:spacing w:line="360" w:lineRule="auto"/>
        <w:ind w:firstLine="487" w:firstLineChars="203"/>
        <w:rPr>
          <w:rFonts w:hint="eastAsia" w:ascii="宋体" w:hAnsi="宋体" w:eastAsia="宋体" w:cs="宋体"/>
          <w:color w:val="000000"/>
          <w:sz w:val="24"/>
          <w:szCs w:val="24"/>
        </w:rPr>
      </w:pPr>
      <w:r>
        <w:rPr>
          <w:rFonts w:hint="eastAsia" w:ascii="宋体" w:hAnsi="宋体" w:eastAsia="宋体" w:cs="宋体"/>
          <w:color w:val="000000"/>
          <w:kern w:val="0"/>
          <w:sz w:val="24"/>
          <w:szCs w:val="24"/>
        </w:rPr>
        <w:t>1.1.4.3 工期：是指在合同协议书约定的承包人完成工程所需的期限，包括按照合同约定所作的期限变更。</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1.1.4.4 缺陷责任期：是指承包人按照合同约定承担缺陷修复义务，且发包人预留质量保证金（已缴纳履约保证金的除外）的期限，自工程实际竣工日期起计算。</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1.1.4.5 保修期：是指承包人按照合同约定对工程承担保修责任的期限，从工程竣工验收合格之日起计算。</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1.1.4.6 基准日期：招标发包的工程以投标截止日前28天的日期为基准日期，直接发包的工程以合同签订日前28天的日期为基准日期。</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1.1.4.7 天：除特别指明外，均指日历天。合同中按天计算时间的，开始当天不计入，从次日开始计算，期限最后一天的截止时间为当天24:00时。</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 合同价格和费用</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1.1.5.1 签约合同价：是指</w:t>
      </w:r>
      <w:r>
        <w:rPr>
          <w:rFonts w:hint="eastAsia" w:ascii="宋体" w:hAnsi="宋体" w:eastAsia="宋体" w:cs="宋体"/>
          <w:color w:val="000000"/>
          <w:sz w:val="24"/>
          <w:szCs w:val="24"/>
        </w:rPr>
        <w:t>发包人和承包人在合同协议书中确定的总金额，包括安全文明施工费、暂估价及暂列金额等。</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1.1.5.2 合同价格：是指发包人用于支付承包人按照合同约定完成承包范围内全部工作的金额，包括合同履行过程中按合同约定发生的价格变化。</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1.1.5.3 费用：是指为履行合同所发生的或将要发生的所有必需的开支，包括管理费和应分摊的其他费用，但不包括利润。</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1.1.5.4 暂估价：是指发包人在工程量清单或预算书中提供的用于支付必然发生但暂时不能确定价格的材料、工程设备的单价、专业工程以及服务工作的金额。</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1.1.5.6 计日工：是指合同履行过程中，承包人完成发包人提出的零星工作或需要采用计日工计价的变更工作时，按合同中约定的单价计价的一种方式。</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1.1.5.7 质量保证金</w:t>
      </w:r>
      <w:bookmarkStart w:id="256" w:name="#go2"/>
      <w:bookmarkEnd w:id="256"/>
      <w:r>
        <w:rPr>
          <w:rFonts w:hint="eastAsia" w:ascii="宋体" w:hAnsi="宋体" w:eastAsia="宋体" w:cs="宋体"/>
          <w:color w:val="000000"/>
          <w:kern w:val="0"/>
          <w:sz w:val="24"/>
          <w:szCs w:val="24"/>
        </w:rPr>
        <w:t>：是指按照第15.3款〔质量保证金〕约定承包人用于保证其在缺陷责任期内履行缺陷修补义务的担保</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1.1.5.8 总价项目：是指在现行国家、行业以及地方的计量规则中无工程量计算规则，在已标价工程量清单或预算书中以总价或以费率形式计算的项目。</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1.1.6 其他</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1.1.6.1 书面形式：是指合同文件、信函、电报、传真等可以有形地表现所载内容的形式。</w:t>
      </w:r>
    </w:p>
    <w:p>
      <w:pPr>
        <w:pStyle w:val="7"/>
        <w:pageBreakBefore w:val="0"/>
        <w:wordWrap/>
        <w:topLinePunct w:val="0"/>
        <w:bidi w:val="0"/>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257" w:name="_Toc296503029"/>
      <w:bookmarkStart w:id="258" w:name="_Toc337558729"/>
      <w:bookmarkStart w:id="259" w:name="_Toc296346530"/>
      <w:bookmarkStart w:id="260" w:name="_Toc351203497"/>
      <w:r>
        <w:rPr>
          <w:rFonts w:hint="eastAsia" w:ascii="宋体" w:hAnsi="宋体" w:eastAsia="宋体" w:cs="宋体"/>
          <w:b w:val="0"/>
          <w:color w:val="000000"/>
          <w:sz w:val="24"/>
          <w:szCs w:val="24"/>
        </w:rPr>
        <w:t>1.2语言文字</w:t>
      </w:r>
      <w:bookmarkEnd w:id="257"/>
      <w:bookmarkEnd w:id="258"/>
      <w:bookmarkEnd w:id="259"/>
      <w:bookmarkEnd w:id="260"/>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合同以中国的汉语简体文字编写、解释和说明。合同当事人在专用合同条款中约定使用两种以上语言时，汉语为优先解释和说明合同的语言。</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261" w:name="_Toc351203498"/>
      <w:bookmarkStart w:id="262" w:name="_Toc337558730"/>
      <w:bookmarkStart w:id="263" w:name="_Toc296346531"/>
      <w:bookmarkStart w:id="264" w:name="_Toc296503030"/>
      <w:r>
        <w:rPr>
          <w:rFonts w:hint="eastAsia" w:ascii="宋体" w:hAnsi="宋体" w:eastAsia="宋体" w:cs="宋体"/>
          <w:b w:val="0"/>
          <w:color w:val="000000"/>
          <w:sz w:val="24"/>
          <w:szCs w:val="24"/>
        </w:rPr>
        <w:t>1.3法律</w:t>
      </w:r>
      <w:bookmarkEnd w:id="261"/>
      <w:bookmarkEnd w:id="262"/>
      <w:bookmarkEnd w:id="263"/>
      <w:bookmarkEnd w:id="264"/>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合同所称法律是指中华人民共和国法律、行政法规、部门规章，以及工程所在地的地方性法规、自治条例、单行条例和地方政府规章等。</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合同当事人可以在专用合同条款中约定合同适用的其他规范性文件。</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265" w:name="_Toc351203499"/>
      <w:r>
        <w:rPr>
          <w:rFonts w:hint="eastAsia" w:ascii="宋体" w:hAnsi="宋体" w:eastAsia="宋体" w:cs="宋体"/>
          <w:b w:val="0"/>
          <w:color w:val="000000"/>
          <w:sz w:val="24"/>
          <w:szCs w:val="24"/>
        </w:rPr>
        <w:t>1.4 标准和规范</w:t>
      </w:r>
      <w:bookmarkEnd w:id="265"/>
    </w:p>
    <w:p>
      <w:pPr>
        <w:pageBreakBefore w:val="0"/>
        <w:wordWrap/>
        <w:topLinePunct w:val="0"/>
        <w:autoSpaceDE w:val="0"/>
        <w:autoSpaceDN w:val="0"/>
        <w:bidi w:val="0"/>
        <w:adjustRightInd w:val="0"/>
        <w:spacing w:line="360" w:lineRule="auto"/>
        <w:ind w:firstLine="6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 适用于工程的国家标准、行业标准、工程所在地的地方性标准，以及相应的规范、规程等，合同当事人有特别要求的，应在专用合同条款中约定。</w:t>
      </w:r>
    </w:p>
    <w:p>
      <w:pPr>
        <w:pageBreakBefore w:val="0"/>
        <w:wordWrap/>
        <w:topLinePunct w:val="0"/>
        <w:autoSpaceDE w:val="0"/>
        <w:autoSpaceDN w:val="0"/>
        <w:bidi w:val="0"/>
        <w:adjustRightInd w:val="0"/>
        <w:spacing w:line="360" w:lineRule="auto"/>
        <w:ind w:firstLine="6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 发包人要求使用国外标准、规范的，发包人负责提供原文版本和中文译本，并在专用合同条款中约定提供标准规范的名称、份数和时间。</w:t>
      </w:r>
    </w:p>
    <w:p>
      <w:pPr>
        <w:pageBreakBefore w:val="0"/>
        <w:wordWrap/>
        <w:topLinePunct w:val="0"/>
        <w:autoSpaceDE w:val="0"/>
        <w:autoSpaceDN w:val="0"/>
        <w:bidi w:val="0"/>
        <w:adjustRightInd w:val="0"/>
        <w:spacing w:line="360" w:lineRule="auto"/>
        <w:ind w:firstLine="6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266" w:name="_Toc351203500"/>
      <w:r>
        <w:rPr>
          <w:rFonts w:hint="eastAsia" w:ascii="宋体" w:hAnsi="宋体" w:eastAsia="宋体" w:cs="宋体"/>
          <w:b w:val="0"/>
          <w:color w:val="000000"/>
          <w:sz w:val="24"/>
          <w:szCs w:val="24"/>
        </w:rPr>
        <w:t>1</w:t>
      </w:r>
      <w:bookmarkStart w:id="267" w:name="_Toc296503031"/>
      <w:bookmarkStart w:id="268" w:name="_Toc337558731"/>
      <w:bookmarkStart w:id="269" w:name="_Toc296346532"/>
      <w:r>
        <w:rPr>
          <w:rFonts w:hint="eastAsia" w:ascii="宋体" w:hAnsi="宋体" w:eastAsia="宋体" w:cs="宋体"/>
          <w:b w:val="0"/>
          <w:color w:val="000000"/>
          <w:sz w:val="24"/>
          <w:szCs w:val="24"/>
        </w:rPr>
        <w:t>.5 合同文件的优先顺序</w:t>
      </w:r>
      <w:bookmarkEnd w:id="266"/>
    </w:p>
    <w:bookmarkEnd w:id="267"/>
    <w:bookmarkEnd w:id="268"/>
    <w:bookmarkEnd w:id="269"/>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组成合同的各项文件应互相解释，互为说明。除专用合同条款另有约定外，解释合同文件的优先顺序如下：</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（1）合同协议书；</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（2）中标通知书（如果有）；</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（3）投标函及其附录（如果有）；</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（4）专用合同条款</w:t>
      </w:r>
      <w:r>
        <w:rPr>
          <w:rFonts w:hint="eastAsia" w:ascii="宋体" w:hAnsi="宋体" w:eastAsia="宋体" w:cs="宋体"/>
          <w:color w:val="000000"/>
          <w:sz w:val="24"/>
          <w:szCs w:val="24"/>
        </w:rPr>
        <w:t>及其附件</w:t>
      </w:r>
      <w:r>
        <w:rPr>
          <w:rFonts w:hint="eastAsia" w:ascii="宋体" w:hAnsi="宋体" w:eastAsia="宋体" w:cs="宋体"/>
          <w:color w:val="000000"/>
          <w:kern w:val="0"/>
          <w:sz w:val="24"/>
          <w:szCs w:val="24"/>
        </w:rPr>
        <w:t>；</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（5）通用合同条款；</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（6）技术标准和要求；</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（7）图纸；</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（8）已标价工程量清单或预算书；</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（9）其他合同文件。</w:t>
      </w:r>
    </w:p>
    <w:p>
      <w:pPr>
        <w:pageBreakBefore w:val="0"/>
        <w:wordWrap/>
        <w:topLinePunct w:val="0"/>
        <w:bidi w:val="0"/>
        <w:spacing w:line="360" w:lineRule="auto"/>
        <w:ind w:firstLine="511" w:firstLineChars="213"/>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w:t>
      </w:r>
    </w:p>
    <w:p>
      <w:pPr>
        <w:pageBreakBefore w:val="0"/>
        <w:wordWrap/>
        <w:topLinePunct w:val="0"/>
        <w:bidi w:val="0"/>
        <w:spacing w:line="360" w:lineRule="auto"/>
        <w:ind w:firstLine="511" w:firstLineChars="213"/>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在合同订立及履行过程中形成的与合同有关的文件均构成合同文件组成部分，并根据其性质确定优先解释顺序。</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270" w:name="_Toc351203501"/>
      <w:r>
        <w:rPr>
          <w:rFonts w:hint="eastAsia" w:ascii="宋体" w:hAnsi="宋体" w:eastAsia="宋体" w:cs="宋体"/>
          <w:b w:val="0"/>
          <w:color w:val="000000"/>
          <w:sz w:val="24"/>
          <w:szCs w:val="24"/>
        </w:rPr>
        <w:t>1</w:t>
      </w:r>
      <w:bookmarkStart w:id="271" w:name="_Toc337558732"/>
      <w:bookmarkStart w:id="272" w:name="_Toc296503032"/>
      <w:bookmarkStart w:id="273" w:name="_Toc296346533"/>
      <w:r>
        <w:rPr>
          <w:rFonts w:hint="eastAsia" w:ascii="宋体" w:hAnsi="宋体" w:eastAsia="宋体" w:cs="宋体"/>
          <w:b w:val="0"/>
          <w:color w:val="000000"/>
          <w:sz w:val="24"/>
          <w:szCs w:val="24"/>
        </w:rPr>
        <w:t>.6图纸和承包人文件</w:t>
      </w:r>
      <w:bookmarkEnd w:id="270"/>
    </w:p>
    <w:bookmarkEnd w:id="271"/>
    <w:bookmarkEnd w:id="272"/>
    <w:bookmarkEnd w:id="273"/>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 图纸的提供和交底</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因发包人未按合同约定提供图纸导致承包人费用增加和（或）工期延误的，按照第7.5.1项〔因发包人原因导致工期延误〕约定办理。</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 图纸的错误</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1.6.3 图纸的修改和补充</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1.6.4 承包人文件</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承包人应按照专用合同条款的约定提供应当由其编制的与工程施工有关的文件，并按照专用合同条款约定的期限、数量和形式提交监理人，并由监理人报送发包人。</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1.6.5 图纸和承包人文件的保管</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除专用合同条款另有约定外，承包人应在施工现场另外保存一套完整的图纸和承包人文件，供发包人、监理人及有关人员进行工程检查时使用。</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274" w:name="_Toc351203502"/>
      <w:r>
        <w:rPr>
          <w:rFonts w:hint="eastAsia" w:ascii="宋体" w:hAnsi="宋体" w:eastAsia="宋体" w:cs="宋体"/>
          <w:b w:val="0"/>
          <w:color w:val="000000"/>
          <w:sz w:val="24"/>
          <w:szCs w:val="24"/>
        </w:rPr>
        <w:t>1</w:t>
      </w:r>
      <w:bookmarkStart w:id="275" w:name="_Toc296503033"/>
      <w:bookmarkStart w:id="276" w:name="_Toc337558733"/>
      <w:bookmarkStart w:id="277" w:name="_Toc296346534"/>
      <w:r>
        <w:rPr>
          <w:rFonts w:hint="eastAsia" w:ascii="宋体" w:hAnsi="宋体" w:eastAsia="宋体" w:cs="宋体"/>
          <w:b w:val="0"/>
          <w:color w:val="000000"/>
          <w:sz w:val="24"/>
          <w:szCs w:val="24"/>
        </w:rPr>
        <w:t>.7联络</w:t>
      </w:r>
      <w:bookmarkEnd w:id="274"/>
    </w:p>
    <w:bookmarkEnd w:id="275"/>
    <w:bookmarkEnd w:id="276"/>
    <w:bookmarkEnd w:id="277"/>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 与合同有关的通知、批准、证明、证书、指示、指令、要求、请求、同意、意见、确定和决定等，均应采用书面形式，并应在合同约定的期限内送达接收人和送达地点。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发包人和承包人应在专用合同条款中约定各自的送达接收人和送达地点。任何一方合同当事人指定的接收人或送达地点发生变动的，应提前3天以书面形式通知对方。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000000"/>
          <w:kern w:val="0"/>
          <w:sz w:val="24"/>
          <w:szCs w:val="24"/>
        </w:rPr>
        <w:t>1.7.3 发包人和承包人应当及时签收另一方送达至送达地点和指定接收人的来往信函。拒不签收的，由此增加的费用和（或）延误的工期由拒绝接收一方承担。</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278" w:name="_Toc351203503"/>
      <w:r>
        <w:rPr>
          <w:rFonts w:hint="eastAsia" w:ascii="宋体" w:hAnsi="宋体" w:eastAsia="宋体" w:cs="宋体"/>
          <w:b w:val="0"/>
          <w:color w:val="000000"/>
          <w:sz w:val="24"/>
          <w:szCs w:val="24"/>
        </w:rPr>
        <w:t>1</w:t>
      </w:r>
      <w:bookmarkStart w:id="279" w:name="_Toc337558734"/>
      <w:bookmarkStart w:id="280" w:name="_Toc296346536"/>
      <w:bookmarkStart w:id="281" w:name="_Toc296503035"/>
      <w:r>
        <w:rPr>
          <w:rFonts w:hint="eastAsia" w:ascii="宋体" w:hAnsi="宋体" w:eastAsia="宋体" w:cs="宋体"/>
          <w:b w:val="0"/>
          <w:color w:val="000000"/>
          <w:sz w:val="24"/>
          <w:szCs w:val="24"/>
        </w:rPr>
        <w:t>.8严禁贿赂</w:t>
      </w:r>
      <w:bookmarkEnd w:id="278"/>
    </w:p>
    <w:bookmarkEnd w:id="279"/>
    <w:bookmarkEnd w:id="280"/>
    <w:bookmarkEnd w:id="281"/>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合同当事人不得以贿赂或变相贿赂的方式，谋取非法利益或损害对方权益。因一方合同当事人的贿赂造成对方损失的，应赔偿损失，并承担相应的法律责任。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282" w:name="_Toc351203504"/>
      <w:r>
        <w:rPr>
          <w:rFonts w:hint="eastAsia" w:ascii="宋体" w:hAnsi="宋体" w:eastAsia="宋体" w:cs="宋体"/>
          <w:b w:val="0"/>
          <w:color w:val="000000"/>
          <w:sz w:val="24"/>
          <w:szCs w:val="24"/>
        </w:rPr>
        <w:t>1</w:t>
      </w:r>
      <w:bookmarkStart w:id="283" w:name="_Toc337558735"/>
      <w:bookmarkStart w:id="284" w:name="_Toc296503036"/>
      <w:bookmarkStart w:id="285" w:name="_Toc296346537"/>
      <w:r>
        <w:rPr>
          <w:rFonts w:hint="eastAsia" w:ascii="宋体" w:hAnsi="宋体" w:eastAsia="宋体" w:cs="宋体"/>
          <w:b w:val="0"/>
          <w:color w:val="000000"/>
          <w:sz w:val="24"/>
          <w:szCs w:val="24"/>
        </w:rPr>
        <w:t>.9化石、文物</w:t>
      </w:r>
      <w:bookmarkEnd w:id="282"/>
    </w:p>
    <w:bookmarkEnd w:id="283"/>
    <w:bookmarkEnd w:id="284"/>
    <w:bookmarkEnd w:id="285"/>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发包人、监理人和承包人应按有关政府行政管理部门要求采取妥善的保护措施，由此增加的费用和（或）延误的工期由发包人承担。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承包人发现文物后不及时报告或隐瞒不报，致使文物丢失或损坏的，应赔偿损失，并承担相应的法律责任。</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286" w:name="_Toc351203505"/>
      <w:r>
        <w:rPr>
          <w:rFonts w:hint="eastAsia" w:ascii="宋体" w:hAnsi="宋体" w:eastAsia="宋体" w:cs="宋体"/>
          <w:b w:val="0"/>
          <w:color w:val="000000"/>
          <w:sz w:val="24"/>
          <w:szCs w:val="24"/>
        </w:rPr>
        <w:t>1</w:t>
      </w:r>
      <w:bookmarkStart w:id="287" w:name="_Toc337558736"/>
      <w:r>
        <w:rPr>
          <w:rFonts w:hint="eastAsia" w:ascii="宋体" w:hAnsi="宋体" w:eastAsia="宋体" w:cs="宋体"/>
          <w:b w:val="0"/>
          <w:color w:val="000000"/>
          <w:sz w:val="24"/>
          <w:szCs w:val="24"/>
        </w:rPr>
        <w:t>.10交通运输</w:t>
      </w:r>
      <w:bookmarkEnd w:id="286"/>
    </w:p>
    <w:bookmarkEnd w:id="287"/>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1.10.1 出入现场的权利</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1.10.2 场外交通</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1.10.3场内交通</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场外交通和场内交通的边界由合同当事人在专用合同条款中约定。</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1.10.4 超大件和超重件的运输</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1.10.5 道路和桥梁的损坏责任</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因承包人运输造成施工场地内外公共道路和桥梁损坏的，由承包人承担修复损坏的全部费用和可能引起的赔偿。</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1.10.6 水路和航空运输</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288" w:name="_Toc351203506"/>
      <w:r>
        <w:rPr>
          <w:rFonts w:hint="eastAsia" w:ascii="宋体" w:hAnsi="宋体" w:eastAsia="宋体" w:cs="宋体"/>
          <w:b w:val="0"/>
          <w:color w:val="000000"/>
          <w:sz w:val="24"/>
          <w:szCs w:val="24"/>
        </w:rPr>
        <w:t>1</w:t>
      </w:r>
      <w:bookmarkStart w:id="289" w:name="_Toc337558737"/>
      <w:bookmarkStart w:id="290" w:name="_Toc296346538"/>
      <w:bookmarkStart w:id="291" w:name="_Toc296503037"/>
      <w:r>
        <w:rPr>
          <w:rFonts w:hint="eastAsia" w:ascii="宋体" w:hAnsi="宋体" w:eastAsia="宋体" w:cs="宋体"/>
          <w:b w:val="0"/>
          <w:color w:val="000000"/>
          <w:sz w:val="24"/>
          <w:szCs w:val="24"/>
        </w:rPr>
        <w:t>.11知识产权</w:t>
      </w:r>
      <w:bookmarkEnd w:id="288"/>
      <w:r>
        <w:rPr>
          <w:rFonts w:hint="eastAsia" w:ascii="宋体" w:hAnsi="宋体" w:eastAsia="宋体" w:cs="宋体"/>
          <w:b w:val="0"/>
          <w:color w:val="000000"/>
          <w:sz w:val="24"/>
          <w:szCs w:val="24"/>
        </w:rPr>
        <w:t xml:space="preserve"> </w:t>
      </w:r>
      <w:bookmarkEnd w:id="289"/>
    </w:p>
    <w:bookmarkEnd w:id="290"/>
    <w:bookmarkEnd w:id="291"/>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pageBreakBefore w:val="0"/>
        <w:wordWrap/>
        <w:topLinePunct w:val="0"/>
        <w:bidi w:val="0"/>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sz w:val="24"/>
          <w:szCs w:val="24"/>
        </w:rPr>
        <w:t>1.11.4 除专用合同条款另有约定外，承包人在合同签订前和签订时已确定采用的专利、专有技术、技术秘密的使用费已包含在签约合同价中。</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292" w:name="_Toc351203507"/>
      <w:r>
        <w:rPr>
          <w:rFonts w:hint="eastAsia" w:ascii="宋体" w:hAnsi="宋体" w:eastAsia="宋体" w:cs="宋体"/>
          <w:b w:val="0"/>
          <w:color w:val="000000"/>
          <w:sz w:val="24"/>
          <w:szCs w:val="24"/>
        </w:rPr>
        <w:t>1</w:t>
      </w:r>
      <w:bookmarkStart w:id="293" w:name="_Toc337558738"/>
      <w:r>
        <w:rPr>
          <w:rFonts w:hint="eastAsia" w:ascii="宋体" w:hAnsi="宋体" w:eastAsia="宋体" w:cs="宋体"/>
          <w:b w:val="0"/>
          <w:color w:val="000000"/>
          <w:sz w:val="24"/>
          <w:szCs w:val="24"/>
        </w:rPr>
        <w:t>.12保密</w:t>
      </w:r>
      <w:bookmarkEnd w:id="292"/>
    </w:p>
    <w:bookmarkEnd w:id="293"/>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除法律规定或合同另有约定外，未经发包人同意，承包人不得将发包人提供的图纸、文件以及声明需要保密的资料信息等商业秘密泄露给第三方。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除法律规定或合同另有约定外，未经承包人同意，发包人不得将承包人提供的技术秘密及声明需要保密的资料信息等商业秘密泄露给第三方。</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294" w:name="_Toc351203508"/>
      <w:r>
        <w:rPr>
          <w:rFonts w:hint="eastAsia" w:ascii="宋体" w:hAnsi="宋体" w:eastAsia="宋体" w:cs="宋体"/>
          <w:b w:val="0"/>
          <w:color w:val="000000"/>
          <w:sz w:val="24"/>
          <w:szCs w:val="24"/>
        </w:rPr>
        <w:t>1.13工程量清单错误的修正</w:t>
      </w:r>
      <w:bookmarkEnd w:id="294"/>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除专用合同条款另有约定外，发包人提供的工程量清单，应被认为是准确的和完整的。出现下列情形之一时，发包人应予以修正，并相应调整合同价格：</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（1）工程量清单存在缺项、漏项的；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（2）工程量清单偏差超出专用合同条款约定的工程量偏差范围的；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（3）未按照国家现行计量规范强制性规定计量的。</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295" w:name="_Toc351203509"/>
      <w:r>
        <w:rPr>
          <w:rFonts w:hint="eastAsia" w:ascii="宋体" w:hAnsi="宋体" w:eastAsia="宋体" w:cs="宋体"/>
          <w:b w:val="0"/>
          <w:color w:val="000000"/>
          <w:sz w:val="24"/>
          <w:szCs w:val="24"/>
        </w:rPr>
        <w:t>2</w:t>
      </w:r>
      <w:bookmarkStart w:id="296" w:name="_Toc296346539"/>
      <w:bookmarkStart w:id="297" w:name="_Toc337558739"/>
      <w:bookmarkStart w:id="298" w:name="_Toc296503038"/>
      <w:bookmarkStart w:id="299" w:name="OLE_LINK2"/>
      <w:bookmarkStart w:id="300" w:name="OLE_LINK1"/>
      <w:r>
        <w:rPr>
          <w:rFonts w:hint="eastAsia" w:ascii="宋体" w:hAnsi="宋体" w:eastAsia="宋体" w:cs="宋体"/>
          <w:b w:val="0"/>
          <w:color w:val="000000"/>
          <w:sz w:val="24"/>
          <w:szCs w:val="24"/>
        </w:rPr>
        <w:t>. 发包人</w:t>
      </w:r>
      <w:bookmarkEnd w:id="295"/>
    </w:p>
    <w:bookmarkEnd w:id="296"/>
    <w:bookmarkEnd w:id="297"/>
    <w:bookmarkEnd w:id="298"/>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01" w:name="_Toc351203510"/>
      <w:r>
        <w:rPr>
          <w:rFonts w:hint="eastAsia" w:ascii="宋体" w:hAnsi="宋体" w:eastAsia="宋体" w:cs="宋体"/>
          <w:b w:val="0"/>
          <w:color w:val="000000"/>
          <w:sz w:val="24"/>
          <w:szCs w:val="24"/>
        </w:rPr>
        <w:t>2</w:t>
      </w:r>
      <w:bookmarkStart w:id="302" w:name="_Toc337558740"/>
      <w:bookmarkStart w:id="303" w:name="_Toc296346540"/>
      <w:bookmarkStart w:id="304" w:name="_Toc296503039"/>
      <w:r>
        <w:rPr>
          <w:rFonts w:hint="eastAsia" w:ascii="宋体" w:hAnsi="宋体" w:eastAsia="宋体" w:cs="宋体"/>
          <w:b w:val="0"/>
          <w:color w:val="000000"/>
          <w:sz w:val="24"/>
          <w:szCs w:val="24"/>
        </w:rPr>
        <w:t>.1 许可或批准</w:t>
      </w:r>
      <w:bookmarkEnd w:id="301"/>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因发包人原因未能及时办理完毕前述许可、批准或备案，由发包人承担由此增加的费用和（或）延误的工期，并支付承包人合理的利润。</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05" w:name="_Toc351203511"/>
      <w:r>
        <w:rPr>
          <w:rFonts w:hint="eastAsia" w:ascii="宋体" w:hAnsi="宋体" w:eastAsia="宋体" w:cs="宋体"/>
          <w:b w:val="0"/>
          <w:color w:val="000000"/>
          <w:sz w:val="24"/>
          <w:szCs w:val="24"/>
        </w:rPr>
        <w:t>2.2 发包人代表</w:t>
      </w:r>
      <w:bookmarkEnd w:id="305"/>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发包人代表不能按照合同约定履行其职责及义务，并导致合同无法继续正常履行的，承包人可以要求发包人撤换发包人代表。</w:t>
      </w:r>
    </w:p>
    <w:p>
      <w:pPr>
        <w:pageBreakBefore w:val="0"/>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不属于法定必须监理的工程，监理人的职权可以由发包人代表或发包人指定的其他人员行使。</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06" w:name="_Toc351203512"/>
      <w:r>
        <w:rPr>
          <w:rFonts w:hint="eastAsia" w:ascii="宋体" w:hAnsi="宋体" w:eastAsia="宋体" w:cs="宋体"/>
          <w:b w:val="0"/>
          <w:color w:val="000000"/>
          <w:sz w:val="24"/>
          <w:szCs w:val="24"/>
        </w:rPr>
        <w:t>2.3 发包人人员</w:t>
      </w:r>
      <w:bookmarkEnd w:id="306"/>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发包人应要求在施工现场的发包人人员遵守法律及有关安全、质量、环境保护、文明施工等规定，并保障承包人免于承受因发包人人员未遵守上述要求给承包人造成的损失和责任。</w:t>
      </w:r>
    </w:p>
    <w:p>
      <w:pPr>
        <w:pageBreakBefore w:val="0"/>
        <w:wordWrap/>
        <w:topLinePunct w:val="0"/>
        <w:bidi w:val="0"/>
        <w:spacing w:line="360" w:lineRule="auto"/>
        <w:ind w:firstLine="6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发包人人员包括发包人代表及其他由发包人派驻施工现场的人员。</w:t>
      </w:r>
      <w:bookmarkEnd w:id="302"/>
      <w:bookmarkEnd w:id="303"/>
      <w:bookmarkEnd w:id="304"/>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07" w:name="_Toc351203513"/>
      <w:r>
        <w:rPr>
          <w:rFonts w:hint="eastAsia" w:ascii="宋体" w:hAnsi="宋体" w:eastAsia="宋体" w:cs="宋体"/>
          <w:b w:val="0"/>
          <w:color w:val="000000"/>
          <w:sz w:val="24"/>
          <w:szCs w:val="24"/>
        </w:rPr>
        <w:t>2</w:t>
      </w:r>
      <w:bookmarkStart w:id="308" w:name="_Toc296346541"/>
      <w:bookmarkStart w:id="309" w:name="_Toc337558741"/>
      <w:bookmarkStart w:id="310" w:name="_Toc296503040"/>
      <w:r>
        <w:rPr>
          <w:rFonts w:hint="eastAsia" w:ascii="宋体" w:hAnsi="宋体" w:eastAsia="宋体" w:cs="宋体"/>
          <w:b w:val="0"/>
          <w:color w:val="000000"/>
          <w:sz w:val="24"/>
          <w:szCs w:val="24"/>
        </w:rPr>
        <w:t>.4 施工现场、施工条件和基础资料的提供</w:t>
      </w:r>
      <w:bookmarkEnd w:id="307"/>
      <w:r>
        <w:rPr>
          <w:rFonts w:hint="eastAsia" w:ascii="宋体" w:hAnsi="宋体" w:eastAsia="宋体" w:cs="宋体"/>
          <w:b w:val="0"/>
          <w:color w:val="000000"/>
          <w:sz w:val="24"/>
          <w:szCs w:val="24"/>
        </w:rPr>
        <w:t xml:space="preserve"> </w:t>
      </w:r>
      <w:bookmarkEnd w:id="308"/>
      <w:bookmarkEnd w:id="309"/>
      <w:bookmarkEnd w:id="310"/>
      <w:r>
        <w:rPr>
          <w:rFonts w:hint="eastAsia" w:ascii="宋体" w:hAnsi="宋体" w:eastAsia="宋体" w:cs="宋体"/>
          <w:b w:val="0"/>
          <w:color w:val="000000"/>
          <w:sz w:val="24"/>
          <w:szCs w:val="24"/>
        </w:rPr>
        <w:t xml:space="preserve"> </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2.4.1 提供施工现场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w:t>
      </w:r>
      <w:bookmarkEnd w:id="299"/>
      <w:bookmarkEnd w:id="300"/>
      <w:r>
        <w:rPr>
          <w:rFonts w:hint="eastAsia" w:ascii="宋体" w:hAnsi="宋体" w:eastAsia="宋体" w:cs="宋体"/>
          <w:color w:val="000000"/>
          <w:kern w:val="0"/>
          <w:sz w:val="24"/>
          <w:szCs w:val="24"/>
        </w:rPr>
        <w:t>专用合同条款另有约定外，发包人应最迟于开工日期7天前向承包人移交施工现场。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2.4.2 提供施工条件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除专用合同条款另有约定外，发包人应负责提供施工所需要的条件，包括：</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（1）将施工用水、电力、通讯线路等施工所必需的条件接至施工现场内；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（2）保证向承包人提供正常施工所需要的进入施工现场的交通条件；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（3）协调处理施工现场周围地下管线和邻近建筑物、构筑物、古树名木的保护工作，并承担相关费用；</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（4）按照专用合同条款约定应提供的其他设施和条件。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2.4.3 提供基础资料</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按照法律规定确需在开工后方能提供的基础资料，发包人应尽其努力及时地在相应工程施工前的合理期限内提供，合理期限应以不影响承包人的正常施工为限。</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2.4.4 逾期提供的责任</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因发包人原因未能按合同约定及时向承包人提供施工现场、施工条件、基础资料的，由发包人承担由此增加的费用和（或）延误的工期。</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11" w:name="_Toc351203514"/>
      <w:r>
        <w:rPr>
          <w:rFonts w:hint="eastAsia" w:ascii="宋体" w:hAnsi="宋体" w:eastAsia="宋体" w:cs="宋体"/>
          <w:b w:val="0"/>
          <w:color w:val="000000"/>
          <w:sz w:val="24"/>
          <w:szCs w:val="24"/>
        </w:rPr>
        <w:t>2</w:t>
      </w:r>
      <w:bookmarkStart w:id="312" w:name="_Toc296346543"/>
      <w:bookmarkStart w:id="313" w:name="_Toc337558745"/>
      <w:bookmarkStart w:id="314" w:name="_Toc296503042"/>
      <w:r>
        <w:rPr>
          <w:rFonts w:hint="eastAsia" w:ascii="宋体" w:hAnsi="宋体" w:eastAsia="宋体" w:cs="宋体"/>
          <w:b w:val="0"/>
          <w:color w:val="000000"/>
          <w:sz w:val="24"/>
          <w:szCs w:val="24"/>
        </w:rPr>
        <w:t>.5 资</w:t>
      </w:r>
      <w:bookmarkEnd w:id="312"/>
      <w:bookmarkEnd w:id="313"/>
      <w:bookmarkEnd w:id="314"/>
      <w:r>
        <w:rPr>
          <w:rFonts w:hint="eastAsia" w:ascii="宋体" w:hAnsi="宋体" w:eastAsia="宋体" w:cs="宋体"/>
          <w:b w:val="0"/>
          <w:color w:val="000000"/>
          <w:sz w:val="24"/>
          <w:szCs w:val="24"/>
        </w:rPr>
        <w:t>金来源证明及支付担保</w:t>
      </w:r>
      <w:bookmarkEnd w:id="311"/>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除专用合同条款另有约定外，发包人应在收到承包人要求提供资金来源证明的书面通知后28天内，向承包人提供能够按照合同约定支付合同价款的相应资金来源证明。</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15" w:name="_Toc351203515"/>
      <w:r>
        <w:rPr>
          <w:rFonts w:hint="eastAsia" w:ascii="宋体" w:hAnsi="宋体" w:eastAsia="宋体" w:cs="宋体"/>
          <w:b w:val="0"/>
          <w:color w:val="000000"/>
          <w:sz w:val="24"/>
          <w:szCs w:val="24"/>
        </w:rPr>
        <w:t>2.6 支付合同价款</w:t>
      </w:r>
      <w:bookmarkEnd w:id="315"/>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发包人应按合同约定向承包人及时支付合同价款。</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16" w:name="_Toc351203516"/>
      <w:r>
        <w:rPr>
          <w:rFonts w:hint="eastAsia" w:ascii="宋体" w:hAnsi="宋体" w:eastAsia="宋体" w:cs="宋体"/>
          <w:b w:val="0"/>
          <w:color w:val="000000"/>
          <w:sz w:val="24"/>
          <w:szCs w:val="24"/>
        </w:rPr>
        <w:t>2.7 组织竣工验收</w:t>
      </w:r>
      <w:bookmarkEnd w:id="316"/>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发包人应按合同约定及时组织竣工验收。</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17" w:name="_Toc351203517"/>
      <w:r>
        <w:rPr>
          <w:rFonts w:hint="eastAsia" w:ascii="宋体" w:hAnsi="宋体" w:eastAsia="宋体" w:cs="宋体"/>
          <w:b w:val="0"/>
          <w:color w:val="000000"/>
          <w:sz w:val="24"/>
          <w:szCs w:val="24"/>
        </w:rPr>
        <w:t>2.8 现场统一管理协议</w:t>
      </w:r>
      <w:bookmarkEnd w:id="317"/>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发包人应与承包人、由发包人直接发包的专业工程的承包人签订施工现场统一管理协议，明确各方的权利义务。施工现场统一管理协议作为专用合同条款的附件。</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318" w:name="_Toc351203518"/>
      <w:r>
        <w:rPr>
          <w:rFonts w:hint="eastAsia" w:ascii="宋体" w:hAnsi="宋体" w:eastAsia="宋体" w:cs="宋体"/>
          <w:b w:val="0"/>
          <w:color w:val="000000"/>
          <w:sz w:val="24"/>
          <w:szCs w:val="24"/>
        </w:rPr>
        <w:t>3</w:t>
      </w:r>
      <w:bookmarkStart w:id="319" w:name="_Toc296503045"/>
      <w:bookmarkStart w:id="320" w:name="_Toc337558746"/>
      <w:bookmarkStart w:id="321" w:name="_Toc296346546"/>
      <w:r>
        <w:rPr>
          <w:rFonts w:hint="eastAsia" w:ascii="宋体" w:hAnsi="宋体" w:eastAsia="宋体" w:cs="宋体"/>
          <w:b w:val="0"/>
          <w:color w:val="000000"/>
          <w:sz w:val="24"/>
          <w:szCs w:val="24"/>
        </w:rPr>
        <w:t>. 承包人</w:t>
      </w:r>
      <w:bookmarkEnd w:id="318"/>
    </w:p>
    <w:bookmarkEnd w:id="319"/>
    <w:bookmarkEnd w:id="320"/>
    <w:bookmarkEnd w:id="321"/>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22" w:name="_Toc351203519"/>
      <w:r>
        <w:rPr>
          <w:rFonts w:hint="eastAsia" w:ascii="宋体" w:hAnsi="宋体" w:eastAsia="宋体" w:cs="宋体"/>
          <w:b w:val="0"/>
          <w:color w:val="000000"/>
          <w:sz w:val="24"/>
          <w:szCs w:val="24"/>
        </w:rPr>
        <w:t>3</w:t>
      </w:r>
      <w:bookmarkStart w:id="323" w:name="_Toc296346547"/>
      <w:bookmarkStart w:id="324" w:name="_Toc296503046"/>
      <w:bookmarkStart w:id="325" w:name="_Toc337558747"/>
      <w:r>
        <w:rPr>
          <w:rFonts w:hint="eastAsia" w:ascii="宋体" w:hAnsi="宋体" w:eastAsia="宋体" w:cs="宋体"/>
          <w:b w:val="0"/>
          <w:color w:val="000000"/>
          <w:sz w:val="24"/>
          <w:szCs w:val="24"/>
        </w:rPr>
        <w:t>.1 承包人的一般义务</w:t>
      </w:r>
      <w:bookmarkEnd w:id="322"/>
    </w:p>
    <w:bookmarkEnd w:id="323"/>
    <w:bookmarkEnd w:id="324"/>
    <w:bookmarkEnd w:id="325"/>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承包人在履行合同过程中应遵守法律和工程建设标准规范，并履行以下义务：</w:t>
      </w:r>
    </w:p>
    <w:p>
      <w:pPr>
        <w:pageBreakBefore w:val="0"/>
        <w:numPr>
          <w:ilvl w:val="0"/>
          <w:numId w:val="3"/>
        </w:numPr>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办理法律规定应由承包人办理的许可和批准，并将办理结果书面报送发包人留存；</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（2）按法律规定和合同约定完成工程，并在保修期内承担保修义务；</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（3）按法律规定和合同约定采取施工安全和环境保护措施，办理工伤保险，确保工程及人员、材料、设备和设施的安全；</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（4）按合同约定的工作内容和施工进度要求，编制施工组织设计和施工措施计划，并对所有施工作业和施工方法的完备性和安全可靠性负责；</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（6）按照第6.3款〔环境保护〕约定负责施工场地及其周边环境与生态的保护工作；</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（7）按第6.1款〔安全文明施工〕约定采取施工安全措施，确保工程及其人员、材料、设备和设施的安全，防止因工程施工造成的人身伤害和财产损失；</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（8）将发包人按合同约定支付的各项价款专用于合同工程，且应及时支付其雇用人员工资，并及时向分包人支付合同价款；</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（9）按照法律规定和合同约定编制竣工资料，完成竣工资料立卷及归档，并按专用合同条款约定的竣工资料的套数、内容、时间等要求移交发包人；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（10）应履行的其他义务。</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26" w:name="_Toc351203520"/>
      <w:r>
        <w:rPr>
          <w:rFonts w:hint="eastAsia" w:ascii="宋体" w:hAnsi="宋体" w:eastAsia="宋体" w:cs="宋体"/>
          <w:b w:val="0"/>
          <w:color w:val="000000"/>
          <w:sz w:val="24"/>
          <w:szCs w:val="24"/>
        </w:rPr>
        <w:t>3</w:t>
      </w:r>
      <w:bookmarkStart w:id="327" w:name="_Toc337558748"/>
      <w:bookmarkStart w:id="328" w:name="_Toc296503047"/>
      <w:bookmarkStart w:id="329" w:name="_Toc296346548"/>
      <w:r>
        <w:rPr>
          <w:rFonts w:hint="eastAsia" w:ascii="宋体" w:hAnsi="宋体" w:eastAsia="宋体" w:cs="宋体"/>
          <w:b w:val="0"/>
          <w:color w:val="000000"/>
          <w:sz w:val="24"/>
          <w:szCs w:val="24"/>
        </w:rPr>
        <w:t xml:space="preserve">.2 </w:t>
      </w:r>
      <w:bookmarkEnd w:id="326"/>
      <w:r>
        <w:rPr>
          <w:rFonts w:hint="eastAsia" w:ascii="宋体" w:hAnsi="宋体" w:eastAsia="宋体" w:cs="宋体"/>
          <w:b w:val="0"/>
          <w:color w:val="000000"/>
          <w:sz w:val="24"/>
          <w:szCs w:val="24"/>
        </w:rPr>
        <w:t>项目经理</w:t>
      </w:r>
    </w:p>
    <w:bookmarkEnd w:id="327"/>
    <w:bookmarkEnd w:id="328"/>
    <w:bookmarkEnd w:id="329"/>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承包人违反上述约定的，应按照专用合同条款的约定，承担违约责任。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30" w:name="_Toc351203521"/>
      <w:r>
        <w:rPr>
          <w:rFonts w:hint="eastAsia" w:ascii="宋体" w:hAnsi="宋体" w:eastAsia="宋体" w:cs="宋体"/>
          <w:b w:val="0"/>
          <w:color w:val="000000"/>
          <w:sz w:val="24"/>
          <w:szCs w:val="24"/>
        </w:rPr>
        <w:t>3</w:t>
      </w:r>
      <w:bookmarkStart w:id="331" w:name="_Toc296346549"/>
      <w:bookmarkStart w:id="332" w:name="_Toc296503048"/>
      <w:bookmarkStart w:id="333" w:name="_Toc337558749"/>
      <w:r>
        <w:rPr>
          <w:rFonts w:hint="eastAsia" w:ascii="宋体" w:hAnsi="宋体" w:eastAsia="宋体" w:cs="宋体"/>
          <w:b w:val="0"/>
          <w:color w:val="000000"/>
          <w:sz w:val="24"/>
          <w:szCs w:val="24"/>
        </w:rPr>
        <w:t xml:space="preserve">.3 </w:t>
      </w:r>
      <w:bookmarkEnd w:id="331"/>
      <w:bookmarkEnd w:id="332"/>
      <w:r>
        <w:rPr>
          <w:rFonts w:hint="eastAsia" w:ascii="宋体" w:hAnsi="宋体" w:eastAsia="宋体" w:cs="宋体"/>
          <w:b w:val="0"/>
          <w:color w:val="000000"/>
          <w:sz w:val="24"/>
          <w:szCs w:val="24"/>
        </w:rPr>
        <w:t>承包人人员</w:t>
      </w:r>
      <w:bookmarkEnd w:id="330"/>
    </w:p>
    <w:bookmarkEnd w:id="333"/>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特殊工种作业人员均应持有相应的资格证明，监理人可以随时检查。</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3.3.5 承包人擅自更换主要施工管理人员，或前述人员未经监理人或发包人同意擅自离开施工现场的，应按照专用合同条款约定承担违约责任。</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34" w:name="_Toc351203522"/>
      <w:r>
        <w:rPr>
          <w:rFonts w:hint="eastAsia" w:ascii="宋体" w:hAnsi="宋体" w:eastAsia="宋体" w:cs="宋体"/>
          <w:b w:val="0"/>
          <w:color w:val="000000"/>
          <w:sz w:val="24"/>
          <w:szCs w:val="24"/>
        </w:rPr>
        <w:t>3</w:t>
      </w:r>
      <w:bookmarkStart w:id="335" w:name="_Toc337558750"/>
      <w:bookmarkStart w:id="336" w:name="_Toc296503050"/>
      <w:bookmarkStart w:id="337" w:name="_Toc296346551"/>
      <w:r>
        <w:rPr>
          <w:rFonts w:hint="eastAsia" w:ascii="宋体" w:hAnsi="宋体" w:eastAsia="宋体" w:cs="宋体"/>
          <w:b w:val="0"/>
          <w:color w:val="000000"/>
          <w:sz w:val="24"/>
          <w:szCs w:val="24"/>
        </w:rPr>
        <w:t>.4 承包人现场查勘</w:t>
      </w:r>
      <w:bookmarkEnd w:id="334"/>
    </w:p>
    <w:bookmarkEnd w:id="335"/>
    <w:bookmarkEnd w:id="336"/>
    <w:bookmarkEnd w:id="337"/>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承包人应对基于发包人按照第2.4.3项〔提供基础资料〕提交的基础资料所做出的解释和推断负责，但因基础资料存在错误、遗漏导致承包人解释或推断失实的，由发包人承担责任。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38" w:name="_Toc351203523"/>
      <w:r>
        <w:rPr>
          <w:rFonts w:hint="eastAsia" w:ascii="宋体" w:hAnsi="宋体" w:eastAsia="宋体" w:cs="宋体"/>
          <w:b w:val="0"/>
          <w:color w:val="000000"/>
          <w:sz w:val="24"/>
          <w:szCs w:val="24"/>
        </w:rPr>
        <w:t>3</w:t>
      </w:r>
      <w:bookmarkStart w:id="339" w:name="_Toc337558751"/>
      <w:bookmarkStart w:id="340" w:name="_Toc296503051"/>
      <w:bookmarkStart w:id="341" w:name="_Toc296346552"/>
      <w:r>
        <w:rPr>
          <w:rFonts w:hint="eastAsia" w:ascii="宋体" w:hAnsi="宋体" w:eastAsia="宋体" w:cs="宋体"/>
          <w:b w:val="0"/>
          <w:color w:val="000000"/>
          <w:sz w:val="24"/>
          <w:szCs w:val="24"/>
        </w:rPr>
        <w:t>.5 分包</w:t>
      </w:r>
      <w:bookmarkEnd w:id="338"/>
    </w:p>
    <w:bookmarkEnd w:id="339"/>
    <w:bookmarkEnd w:id="340"/>
    <w:bookmarkEnd w:id="341"/>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3.5.1 分包的一般约定</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承包人不得以劳务分包的名义转包或违法分包工程。</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3.5.2 分包的确定</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3.5.3 分包管理</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承包人应向监理人提交分包人的主要施工管理人员表，并对分包人的施工人员进行实名制管理，包括但不限于进出场管理、登记造册以及各种证照的办理。</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3.5.4 分包合同价款</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（1）除本项第（2）目约定的情况或专用合同条款另有约定外，分包合同价款由承包人与分包人结算，未经承包人同意，发包人不得向分包人支付分包工程价款；</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（2）生效法律文书要求发包人向分包人支付分包合同价款的，发包人有权从应付承包人工程款中扣除该部分款项。</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3.5.5 分包合同权益的转让</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42" w:name="_Toc351203524"/>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3.6 工程照管与成品、半成品保护</w:t>
      </w:r>
      <w:bookmarkEnd w:id="342"/>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（1）除专用合同条款另有约定外，自发包人向承包人移交施工现场之日起，承包人应负责照管工程及工程相关的材料、工程设备，直到颁发工程接收证书之日止。</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（2）在承包人负责照管期间，因承包人原因造成工程、材料、工程设备损坏的，由承包人负责修复或更换，并承担由此增加的费用和（或）延误的工期。</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43" w:name="_Toc351203525"/>
      <w:r>
        <w:rPr>
          <w:rFonts w:hint="eastAsia" w:ascii="宋体" w:hAnsi="宋体" w:eastAsia="宋体" w:cs="宋体"/>
          <w:b w:val="0"/>
          <w:color w:val="000000"/>
          <w:sz w:val="24"/>
          <w:szCs w:val="24"/>
        </w:rPr>
        <w:t>3</w:t>
      </w:r>
      <w:bookmarkStart w:id="344" w:name="_Toc337558752"/>
      <w:bookmarkStart w:id="345" w:name="_Toc296346553"/>
      <w:bookmarkStart w:id="346" w:name="_Toc296503052"/>
      <w:r>
        <w:rPr>
          <w:rFonts w:hint="eastAsia" w:ascii="宋体" w:hAnsi="宋体" w:eastAsia="宋体" w:cs="宋体"/>
          <w:b w:val="0"/>
          <w:color w:val="000000"/>
          <w:sz w:val="24"/>
          <w:szCs w:val="24"/>
        </w:rPr>
        <w:t>.7 履约担保</w:t>
      </w:r>
      <w:bookmarkEnd w:id="343"/>
    </w:p>
    <w:bookmarkEnd w:id="344"/>
    <w:bookmarkEnd w:id="345"/>
    <w:bookmarkEnd w:id="346"/>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因承包人原因导致工期延长的，继续提供履约担保所增加的费用由承包人承担；非因承包人原因导致工期延长的，继续提供履约担保所增加的费用由发包人承担。</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47" w:name="_Toc351203526"/>
      <w:r>
        <w:rPr>
          <w:rFonts w:hint="eastAsia" w:ascii="宋体" w:hAnsi="宋体" w:eastAsia="宋体" w:cs="宋体"/>
          <w:b w:val="0"/>
          <w:color w:val="000000"/>
          <w:sz w:val="24"/>
          <w:szCs w:val="24"/>
        </w:rPr>
        <w:t>3.8 联合体</w:t>
      </w:r>
      <w:bookmarkEnd w:id="347"/>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3.8.1 联合体各方应共同与发包人签订合同协议书。联合体各方应为履行合同向发包人承担连带责任。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3.8.2 联合体协议经发包人确认后作为合同附件。在履行合同过程中，未经发包人同意，不得修改联合体协议。</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3.8.3 联合体牵头人负责与发包人和监理人联系，并接受指示，负责组织联合体各成员全面履行合同。</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348" w:name="_Toc351203527"/>
      <w:r>
        <w:rPr>
          <w:rFonts w:hint="eastAsia" w:ascii="宋体" w:hAnsi="宋体" w:eastAsia="宋体" w:cs="宋体"/>
          <w:b w:val="0"/>
          <w:color w:val="000000"/>
          <w:sz w:val="24"/>
          <w:szCs w:val="24"/>
        </w:rPr>
        <w:t>4</w:t>
      </w:r>
      <w:bookmarkStart w:id="349" w:name="_Toc296503053"/>
      <w:bookmarkStart w:id="350" w:name="_Toc296346554"/>
      <w:bookmarkStart w:id="351" w:name="_Toc337558753"/>
      <w:r>
        <w:rPr>
          <w:rFonts w:hint="eastAsia" w:ascii="宋体" w:hAnsi="宋体" w:eastAsia="宋体" w:cs="宋体"/>
          <w:b w:val="0"/>
          <w:color w:val="000000"/>
          <w:sz w:val="24"/>
          <w:szCs w:val="24"/>
        </w:rPr>
        <w:t>. 监</w:t>
      </w:r>
      <w:bookmarkEnd w:id="349"/>
      <w:bookmarkEnd w:id="350"/>
      <w:r>
        <w:rPr>
          <w:rFonts w:hint="eastAsia" w:ascii="宋体" w:hAnsi="宋体" w:eastAsia="宋体" w:cs="宋体"/>
          <w:b w:val="0"/>
          <w:color w:val="000000"/>
          <w:sz w:val="24"/>
          <w:szCs w:val="24"/>
        </w:rPr>
        <w:t>理人</w:t>
      </w:r>
      <w:bookmarkEnd w:id="348"/>
    </w:p>
    <w:bookmarkEnd w:id="351"/>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52" w:name="_Toc351203528"/>
      <w:r>
        <w:rPr>
          <w:rFonts w:hint="eastAsia" w:ascii="宋体" w:hAnsi="宋体" w:eastAsia="宋体" w:cs="宋体"/>
          <w:b w:val="0"/>
          <w:color w:val="000000"/>
          <w:sz w:val="24"/>
          <w:szCs w:val="24"/>
        </w:rPr>
        <w:t>4</w:t>
      </w:r>
      <w:bookmarkStart w:id="353" w:name="_Toc337558754"/>
      <w:bookmarkStart w:id="354" w:name="_Toc296503054"/>
      <w:bookmarkStart w:id="355" w:name="_Toc296346555"/>
      <w:r>
        <w:rPr>
          <w:rFonts w:hint="eastAsia" w:ascii="宋体" w:hAnsi="宋体" w:eastAsia="宋体" w:cs="宋体"/>
          <w:b w:val="0"/>
          <w:color w:val="000000"/>
          <w:sz w:val="24"/>
          <w:szCs w:val="24"/>
        </w:rPr>
        <w:t>.1监理人的一般规定</w:t>
      </w:r>
      <w:bookmarkEnd w:id="352"/>
    </w:p>
    <w:bookmarkEnd w:id="353"/>
    <w:bookmarkEnd w:id="354"/>
    <w:bookmarkEnd w:id="355"/>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除专用合同条款另有约定外，监理人在施工现场的办公场所、生活场所由承包人提供，所发生的费用由发包人承担。</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56" w:name="_Toc351203529"/>
      <w:r>
        <w:rPr>
          <w:rFonts w:hint="eastAsia" w:ascii="宋体" w:hAnsi="宋体" w:eastAsia="宋体" w:cs="宋体"/>
          <w:b w:val="0"/>
          <w:color w:val="000000"/>
          <w:sz w:val="24"/>
          <w:szCs w:val="24"/>
        </w:rPr>
        <w:t>4</w:t>
      </w:r>
      <w:bookmarkStart w:id="357" w:name="_Toc337558755"/>
      <w:r>
        <w:rPr>
          <w:rFonts w:hint="eastAsia" w:ascii="宋体" w:hAnsi="宋体" w:eastAsia="宋体" w:cs="宋体"/>
          <w:b w:val="0"/>
          <w:color w:val="000000"/>
          <w:sz w:val="24"/>
          <w:szCs w:val="24"/>
        </w:rPr>
        <w:t>.2监理人员</w:t>
      </w:r>
      <w:bookmarkEnd w:id="356"/>
    </w:p>
    <w:bookmarkEnd w:id="357"/>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58" w:name="_Toc351203530"/>
      <w:r>
        <w:rPr>
          <w:rFonts w:hint="eastAsia" w:ascii="宋体" w:hAnsi="宋体" w:eastAsia="宋体" w:cs="宋体"/>
          <w:b w:val="0"/>
          <w:color w:val="000000"/>
          <w:sz w:val="24"/>
          <w:szCs w:val="24"/>
        </w:rPr>
        <w:t>4</w:t>
      </w:r>
      <w:bookmarkStart w:id="359" w:name="_Toc296503055"/>
      <w:bookmarkStart w:id="360" w:name="_Toc296346556"/>
      <w:bookmarkStart w:id="361" w:name="_Toc337558756"/>
      <w:r>
        <w:rPr>
          <w:rFonts w:hint="eastAsia" w:ascii="宋体" w:hAnsi="宋体" w:eastAsia="宋体" w:cs="宋体"/>
          <w:b w:val="0"/>
          <w:color w:val="000000"/>
          <w:sz w:val="24"/>
          <w:szCs w:val="24"/>
        </w:rPr>
        <w:t>.3</w:t>
      </w:r>
      <w:bookmarkEnd w:id="359"/>
      <w:bookmarkEnd w:id="360"/>
      <w:r>
        <w:rPr>
          <w:rFonts w:hint="eastAsia" w:ascii="宋体" w:hAnsi="宋体" w:eastAsia="宋体" w:cs="宋体"/>
          <w:b w:val="0"/>
          <w:color w:val="000000"/>
          <w:sz w:val="24"/>
          <w:szCs w:val="24"/>
        </w:rPr>
        <w:t>监理人的指</w:t>
      </w:r>
      <w:bookmarkEnd w:id="361"/>
      <w:r>
        <w:rPr>
          <w:rFonts w:hint="eastAsia" w:ascii="宋体" w:hAnsi="宋体" w:eastAsia="宋体" w:cs="宋体"/>
          <w:b w:val="0"/>
          <w:color w:val="000000"/>
          <w:sz w:val="24"/>
          <w:szCs w:val="24"/>
        </w:rPr>
        <w:t>示</w:t>
      </w:r>
      <w:bookmarkEnd w:id="358"/>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承包人对监理人发出的指示有疑问的，应向监理人提出书面异议，监理人应在48小时内对该指示予以确认、更改或撤销，监理人逾期未回复的，承包人有权拒绝执行上述指示。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pStyle w:val="6"/>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62" w:name="_Toc351203531"/>
      <w:r>
        <w:rPr>
          <w:rFonts w:hint="eastAsia" w:ascii="宋体" w:hAnsi="宋体" w:eastAsia="宋体" w:cs="宋体"/>
          <w:b w:val="0"/>
          <w:color w:val="000000"/>
          <w:sz w:val="24"/>
          <w:szCs w:val="24"/>
        </w:rPr>
        <w:t>4</w:t>
      </w:r>
      <w:bookmarkStart w:id="363" w:name="_Toc296503057"/>
      <w:bookmarkStart w:id="364" w:name="_Toc296346558"/>
      <w:bookmarkStart w:id="365" w:name="_Toc337558757"/>
      <w:r>
        <w:rPr>
          <w:rFonts w:hint="eastAsia" w:ascii="宋体" w:hAnsi="宋体" w:eastAsia="宋体" w:cs="宋体"/>
          <w:b w:val="0"/>
          <w:color w:val="000000"/>
          <w:sz w:val="24"/>
          <w:szCs w:val="24"/>
        </w:rPr>
        <w:t>.4 商定或确定</w:t>
      </w:r>
      <w:bookmarkEnd w:id="362"/>
    </w:p>
    <w:bookmarkEnd w:id="363"/>
    <w:bookmarkEnd w:id="364"/>
    <w:bookmarkEnd w:id="365"/>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合同当事人进行商定或确定时，总监理工程师应当会同合同当事人尽量通过协商达成一致，不能达成一致的，由总监理工程师按照合同约定审慎做出公正的确定。</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366" w:name="_Toc351203532"/>
      <w:r>
        <w:rPr>
          <w:rFonts w:hint="eastAsia" w:ascii="宋体" w:hAnsi="宋体" w:eastAsia="宋体" w:cs="宋体"/>
          <w:b w:val="0"/>
          <w:color w:val="000000"/>
          <w:sz w:val="24"/>
          <w:szCs w:val="24"/>
        </w:rPr>
        <w:t>5</w:t>
      </w:r>
      <w:bookmarkStart w:id="367" w:name="_Toc337558758"/>
      <w:r>
        <w:rPr>
          <w:rFonts w:hint="eastAsia" w:ascii="宋体" w:hAnsi="宋体" w:eastAsia="宋体" w:cs="宋体"/>
          <w:b w:val="0"/>
          <w:color w:val="000000"/>
          <w:sz w:val="24"/>
          <w:szCs w:val="24"/>
        </w:rPr>
        <w:t>. 工程质量</w:t>
      </w:r>
      <w:bookmarkEnd w:id="366"/>
    </w:p>
    <w:bookmarkEnd w:id="367"/>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68" w:name="_Toc351203533"/>
      <w:r>
        <w:rPr>
          <w:rFonts w:hint="eastAsia" w:ascii="宋体" w:hAnsi="宋体" w:eastAsia="宋体" w:cs="宋体"/>
          <w:b w:val="0"/>
          <w:color w:val="000000"/>
          <w:sz w:val="24"/>
          <w:szCs w:val="24"/>
        </w:rPr>
        <w:t>5</w:t>
      </w:r>
      <w:bookmarkStart w:id="369" w:name="_Toc337558759"/>
      <w:r>
        <w:rPr>
          <w:rFonts w:hint="eastAsia" w:ascii="宋体" w:hAnsi="宋体" w:eastAsia="宋体" w:cs="宋体"/>
          <w:b w:val="0"/>
          <w:color w:val="000000"/>
          <w:sz w:val="24"/>
          <w:szCs w:val="24"/>
        </w:rPr>
        <w:t>.1质量要求</w:t>
      </w:r>
      <w:bookmarkEnd w:id="368"/>
    </w:p>
    <w:bookmarkEnd w:id="369"/>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5.1.1 工程质量标准必须符合现行国家有关工程施工质量验收规范和标准的要求。有关工程质量的特殊标准或要求由合同当事人在专用合同条款中约定。</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5.1.2 因发包人原因造成工程质量未达到合同约定标准的，由发包人承担由此增加的费用和（或）延误的工期，并支付承包人合理的利润。</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5.1.3 因承包人原因造成工程质量未达到合同约定标准的，发包人有权要求承包人返工直至工程质量达到合同约定的标准为止，并由承包人承担由此增加的费用和（或）延误的工期。</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70" w:name="_Toc351203534"/>
      <w:r>
        <w:rPr>
          <w:rFonts w:hint="eastAsia" w:ascii="宋体" w:hAnsi="宋体" w:eastAsia="宋体" w:cs="宋体"/>
          <w:b w:val="0"/>
          <w:color w:val="000000"/>
          <w:sz w:val="24"/>
          <w:szCs w:val="24"/>
        </w:rPr>
        <w:t>5</w:t>
      </w:r>
      <w:bookmarkStart w:id="371" w:name="_Toc337558760"/>
      <w:r>
        <w:rPr>
          <w:rFonts w:hint="eastAsia" w:ascii="宋体" w:hAnsi="宋体" w:eastAsia="宋体" w:cs="宋体"/>
          <w:b w:val="0"/>
          <w:color w:val="000000"/>
          <w:sz w:val="24"/>
          <w:szCs w:val="24"/>
        </w:rPr>
        <w:t>.2质量保证措施</w:t>
      </w:r>
      <w:bookmarkEnd w:id="370"/>
    </w:p>
    <w:bookmarkEnd w:id="371"/>
    <w:p>
      <w:pPr>
        <w:pageBreakBefore w:val="0"/>
        <w:wordWrap/>
        <w:topLinePunct w:val="0"/>
        <w:autoSpaceDE w:val="0"/>
        <w:autoSpaceDN w:val="0"/>
        <w:bidi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5.2.1 发包人的质量管理</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发包人应按照法律规定及合同约定完成与工程质量有关的各项工作。</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5.2.2 承包人的质量管理</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承包人应对施工人员进行质量教育和技术培训，定期考核施工人员的劳动技能，严格执行施工规范和操作规程。</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pageBreakBefore w:val="0"/>
        <w:wordWrap/>
        <w:topLinePunct w:val="0"/>
        <w:autoSpaceDE w:val="0"/>
        <w:autoSpaceDN w:val="0"/>
        <w:bidi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5.2.3 监理人的质量检查和检验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72" w:name="_Toc351203535"/>
      <w:r>
        <w:rPr>
          <w:rFonts w:hint="eastAsia" w:ascii="宋体" w:hAnsi="宋体" w:eastAsia="宋体" w:cs="宋体"/>
          <w:b w:val="0"/>
          <w:color w:val="000000"/>
          <w:sz w:val="24"/>
          <w:szCs w:val="24"/>
        </w:rPr>
        <w:t>5</w:t>
      </w:r>
      <w:bookmarkStart w:id="373" w:name="_Toc337558761"/>
      <w:r>
        <w:rPr>
          <w:rFonts w:hint="eastAsia" w:ascii="宋体" w:hAnsi="宋体" w:eastAsia="宋体" w:cs="宋体"/>
          <w:b w:val="0"/>
          <w:color w:val="000000"/>
          <w:sz w:val="24"/>
          <w:szCs w:val="24"/>
        </w:rPr>
        <w:t>.3 隐蔽工程检查</w:t>
      </w:r>
      <w:bookmarkEnd w:id="372"/>
    </w:p>
    <w:bookmarkEnd w:id="373"/>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5.3.1承包人自检</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承包人应当对工程隐蔽部位进行自检，并经自检确认是否具备覆盖条件。</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5.3.2检查程序</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5.3.3 重新检查</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5.3.4 承包人私自覆盖</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74" w:name="_Toc351203536"/>
      <w:r>
        <w:rPr>
          <w:rFonts w:hint="eastAsia" w:ascii="宋体" w:hAnsi="宋体" w:eastAsia="宋体" w:cs="宋体"/>
          <w:b w:val="0"/>
          <w:color w:val="000000"/>
          <w:sz w:val="24"/>
          <w:szCs w:val="24"/>
        </w:rPr>
        <w:t>5</w:t>
      </w:r>
      <w:bookmarkStart w:id="375" w:name="_Toc337558762"/>
      <w:r>
        <w:rPr>
          <w:rFonts w:hint="eastAsia" w:ascii="宋体" w:hAnsi="宋体" w:eastAsia="宋体" w:cs="宋体"/>
          <w:b w:val="0"/>
          <w:color w:val="000000"/>
          <w:sz w:val="24"/>
          <w:szCs w:val="24"/>
        </w:rPr>
        <w:t>.4不合格工程的处理</w:t>
      </w:r>
      <w:bookmarkEnd w:id="374"/>
    </w:p>
    <w:bookmarkEnd w:id="375"/>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5.4.2 因发包人原因造成工程不合格的，由此增加的费用和（或）延误的工期由发包人承担，并支付承包人合理的利润。</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76" w:name="_Toc351203537"/>
      <w:r>
        <w:rPr>
          <w:rFonts w:hint="eastAsia" w:ascii="宋体" w:hAnsi="宋体" w:eastAsia="宋体" w:cs="宋体"/>
          <w:b w:val="0"/>
          <w:color w:val="000000"/>
          <w:sz w:val="24"/>
          <w:szCs w:val="24"/>
        </w:rPr>
        <w:t>5.5 质量争议检测</w:t>
      </w:r>
      <w:bookmarkEnd w:id="376"/>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合同当事人对工程质量有争议的，由双方协商确定的工程质量检测机构鉴定，由此产生的费用及因此造成的损失，由责任方承担。</w:t>
      </w:r>
    </w:p>
    <w:p>
      <w:pPr>
        <w:pageBreakBefore w:val="0"/>
        <w:wordWrap/>
        <w:topLinePunct w:val="0"/>
        <w:autoSpaceDE w:val="0"/>
        <w:autoSpaceDN w:val="0"/>
        <w:bidi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合同当事人均有责任的，由双方根据其责任分别承担。合同当事人无法达成一致的，按照第4.4款〔商定或确定〕执行。</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377" w:name="_Toc351203538"/>
      <w:r>
        <w:rPr>
          <w:rFonts w:hint="eastAsia" w:ascii="宋体" w:hAnsi="宋体" w:eastAsia="宋体" w:cs="宋体"/>
          <w:b w:val="0"/>
          <w:color w:val="000000"/>
          <w:sz w:val="24"/>
          <w:szCs w:val="24"/>
        </w:rPr>
        <w:t>6</w:t>
      </w:r>
      <w:bookmarkStart w:id="378" w:name="_Toc337558763"/>
      <w:r>
        <w:rPr>
          <w:rFonts w:hint="eastAsia" w:ascii="宋体" w:hAnsi="宋体" w:eastAsia="宋体" w:cs="宋体"/>
          <w:b w:val="0"/>
          <w:color w:val="000000"/>
          <w:sz w:val="24"/>
          <w:szCs w:val="24"/>
        </w:rPr>
        <w:t>. 安全文明施工与环境保护</w:t>
      </w:r>
      <w:bookmarkEnd w:id="377"/>
    </w:p>
    <w:bookmarkEnd w:id="378"/>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79" w:name="_Toc351203539"/>
      <w:r>
        <w:rPr>
          <w:rFonts w:hint="eastAsia" w:ascii="宋体" w:hAnsi="宋体" w:eastAsia="宋体" w:cs="宋体"/>
          <w:b w:val="0"/>
          <w:color w:val="000000"/>
          <w:sz w:val="24"/>
          <w:szCs w:val="24"/>
        </w:rPr>
        <w:t>6</w:t>
      </w:r>
      <w:bookmarkStart w:id="380" w:name="_Toc337558764"/>
      <w:r>
        <w:rPr>
          <w:rFonts w:hint="eastAsia" w:ascii="宋体" w:hAnsi="宋体" w:eastAsia="宋体" w:cs="宋体"/>
          <w:b w:val="0"/>
          <w:color w:val="000000"/>
          <w:sz w:val="24"/>
          <w:szCs w:val="24"/>
        </w:rPr>
        <w:t>.1安全文明施工</w:t>
      </w:r>
      <w:bookmarkEnd w:id="379"/>
    </w:p>
    <w:bookmarkEnd w:id="380"/>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6.1.1安全生产要求</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kern w:val="0"/>
          <w:sz w:val="24"/>
          <w:szCs w:val="24"/>
        </w:rPr>
        <w:t>政府有关行政管理部门</w:t>
      </w:r>
      <w:r>
        <w:rPr>
          <w:rFonts w:hint="eastAsia" w:ascii="宋体" w:hAnsi="宋体" w:eastAsia="宋体" w:cs="宋体"/>
          <w:color w:val="000000"/>
          <w:sz w:val="24"/>
          <w:szCs w:val="24"/>
        </w:rPr>
        <w:t>采取应急措施。</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因安全生产需要暂停施工的，按照第7.8款〔暂停施工〕的约定执行。</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6.1.2 安全生产保证措施</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承包人应当按照有关</w:t>
      </w:r>
      <w:r>
        <w:rPr>
          <w:rFonts w:hint="eastAsia" w:ascii="宋体" w:hAnsi="宋体" w:eastAsia="宋体" w:cs="宋体"/>
          <w:color w:val="000000"/>
          <w:kern w:val="0"/>
          <w:sz w:val="24"/>
          <w:szCs w:val="24"/>
        </w:rPr>
        <w:t>规定编制安全技术措施或者专项施工方案，</w:t>
      </w:r>
      <w:r>
        <w:rPr>
          <w:rFonts w:hint="eastAsia" w:ascii="宋体" w:hAnsi="宋体" w:eastAsia="宋体" w:cs="宋体"/>
          <w:color w:val="000000"/>
          <w:sz w:val="24"/>
          <w:szCs w:val="24"/>
        </w:rPr>
        <w:t>建立安全生产责任制度、治安保卫制度及安全生产教育培训制度，并</w:t>
      </w:r>
      <w:r>
        <w:rPr>
          <w:rFonts w:hint="eastAsia" w:ascii="宋体" w:hAnsi="宋体" w:eastAsia="宋体" w:cs="宋体"/>
          <w:color w:val="000000"/>
          <w:kern w:val="0"/>
          <w:sz w:val="24"/>
          <w:szCs w:val="24"/>
        </w:rPr>
        <w:t>按安全生产法律规定及合同约定履行安全职责，如实</w:t>
      </w:r>
      <w:r>
        <w:rPr>
          <w:rFonts w:hint="eastAsia" w:ascii="宋体" w:hAnsi="宋体" w:eastAsia="宋体" w:cs="宋体"/>
          <w:color w:val="000000"/>
          <w:sz w:val="24"/>
          <w:szCs w:val="24"/>
        </w:rPr>
        <w:t>编制工程安全生产的有关记录，</w:t>
      </w:r>
      <w:r>
        <w:rPr>
          <w:rFonts w:hint="eastAsia" w:ascii="宋体" w:hAnsi="宋体" w:eastAsia="宋体" w:cs="宋体"/>
          <w:color w:val="000000"/>
          <w:kern w:val="0"/>
          <w:sz w:val="24"/>
          <w:szCs w:val="24"/>
        </w:rPr>
        <w:t>接受发包人、监理人及政府安全监督部门的检查与监督。</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6.1.3特别安全生产事项</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需单独编制危险性较大分部分项专项工程施工方案的，及要求进行专家论证的超过一定规模的危险性较大的分部分项工程，承包人应及时编制和组织论证。</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6.1.4 治安保卫</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除专用合同条款另有约定外，发包人应与当地公安部门协商，在现场建立治安管理机构或联防组织，统一管理施工场地的治安保卫事项，履行合同工程的治安保卫职责。</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发包人和承包人除应协助现场治安管理机构或联防组织维护施工场地的社会治安外，还应做好包括生活区在内的各自管辖区的治安保卫工作。</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6.1.5 文明施工</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6.1.6 安全文明施工费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安全文明施工费由发包人承担，发包人不得以任何形式扣减该部分费用。因基准日期后合同所适用的法律或政府有关规定发生变化，增加的安全文明施工费由发包人承担。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6.1.7 紧急情况处理</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6.1.8 事故处理</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6.1.9 安全生产责任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6.1.9.1 发包人的安全责任</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发包人应负责赔偿以下各种情况造成的损失：</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（1）工程或工程的任何部分对土地的占用所造成的第三者财产损失；</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（2）由于发包人原因在施工场地及其毗邻地带造成的第三者人身伤亡和财产损失；</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（3）由于发包人原因对承包人、监理人造成的人员人身伤亡和财产损失；</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（4）由于发包人原因造成的发包人自身人员的人身伤害以及财产损失。</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6.1.9.2 承包人的安全责任</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由于承包人原因在施工场地内及其毗邻地带造成的发包人、监理人以及第三者人员伤亡和财产损失，由承包人负责赔偿。</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81" w:name="_Toc351203540"/>
      <w:r>
        <w:rPr>
          <w:rFonts w:hint="eastAsia" w:ascii="宋体" w:hAnsi="宋体" w:eastAsia="宋体" w:cs="宋体"/>
          <w:b w:val="0"/>
          <w:color w:val="000000"/>
          <w:sz w:val="24"/>
          <w:szCs w:val="24"/>
        </w:rPr>
        <w:t>6</w:t>
      </w:r>
      <w:bookmarkStart w:id="382" w:name="_Toc337558765"/>
      <w:r>
        <w:rPr>
          <w:rFonts w:hint="eastAsia" w:ascii="宋体" w:hAnsi="宋体" w:eastAsia="宋体" w:cs="宋体"/>
          <w:b w:val="0"/>
          <w:color w:val="000000"/>
          <w:sz w:val="24"/>
          <w:szCs w:val="24"/>
        </w:rPr>
        <w:t>.2 职业健康</w:t>
      </w:r>
      <w:bookmarkEnd w:id="381"/>
    </w:p>
    <w:bookmarkEnd w:id="382"/>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6.2.1 劳动保护</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6.2.2 生活条件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83" w:name="_Toc351203541"/>
      <w:r>
        <w:rPr>
          <w:rFonts w:hint="eastAsia" w:ascii="宋体" w:hAnsi="宋体" w:eastAsia="宋体" w:cs="宋体"/>
          <w:b w:val="0"/>
          <w:color w:val="000000"/>
          <w:sz w:val="24"/>
          <w:szCs w:val="24"/>
        </w:rPr>
        <w:t>6</w:t>
      </w:r>
      <w:bookmarkStart w:id="384" w:name="_Toc337558766"/>
      <w:r>
        <w:rPr>
          <w:rFonts w:hint="eastAsia" w:ascii="宋体" w:hAnsi="宋体" w:eastAsia="宋体" w:cs="宋体"/>
          <w:b w:val="0"/>
          <w:color w:val="000000"/>
          <w:sz w:val="24"/>
          <w:szCs w:val="24"/>
        </w:rPr>
        <w:t>.3 环境保护</w:t>
      </w:r>
      <w:bookmarkEnd w:id="383"/>
    </w:p>
    <w:bookmarkEnd w:id="384"/>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承包人应当承担因其原因引起的环境污染侵权损害赔偿责任，因上述环境污染引起纠纷而导致暂停施工的，由此增加的费用和（或）延误的工期由承包人承担。</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385" w:name="_Toc351203542"/>
      <w:r>
        <w:rPr>
          <w:rFonts w:hint="eastAsia" w:ascii="宋体" w:hAnsi="宋体" w:eastAsia="宋体" w:cs="宋体"/>
          <w:b w:val="0"/>
          <w:color w:val="000000"/>
          <w:sz w:val="24"/>
          <w:szCs w:val="24"/>
        </w:rPr>
        <w:t>7</w:t>
      </w:r>
      <w:bookmarkStart w:id="386" w:name="_Toc337558767"/>
      <w:r>
        <w:rPr>
          <w:rFonts w:hint="eastAsia" w:ascii="宋体" w:hAnsi="宋体" w:eastAsia="宋体" w:cs="宋体"/>
          <w:b w:val="0"/>
          <w:color w:val="000000"/>
          <w:sz w:val="24"/>
          <w:szCs w:val="24"/>
        </w:rPr>
        <w:t>. 工期和进度</w:t>
      </w:r>
      <w:bookmarkEnd w:id="385"/>
    </w:p>
    <w:bookmarkEnd w:id="386"/>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87" w:name="_Toc351203543"/>
      <w:r>
        <w:rPr>
          <w:rFonts w:hint="eastAsia" w:ascii="宋体" w:hAnsi="宋体" w:eastAsia="宋体" w:cs="宋体"/>
          <w:b w:val="0"/>
          <w:color w:val="000000"/>
          <w:sz w:val="24"/>
          <w:szCs w:val="24"/>
        </w:rPr>
        <w:t>7</w:t>
      </w:r>
      <w:bookmarkStart w:id="388" w:name="_Toc337558768"/>
      <w:bookmarkStart w:id="389" w:name="_Toc296346567"/>
      <w:bookmarkStart w:id="390" w:name="_Toc296503066"/>
      <w:r>
        <w:rPr>
          <w:rFonts w:hint="eastAsia" w:ascii="宋体" w:hAnsi="宋体" w:eastAsia="宋体" w:cs="宋体"/>
          <w:b w:val="0"/>
          <w:color w:val="000000"/>
          <w:sz w:val="24"/>
          <w:szCs w:val="24"/>
        </w:rPr>
        <w:t>.1施工组织设计</w:t>
      </w:r>
      <w:bookmarkEnd w:id="387"/>
    </w:p>
    <w:bookmarkEnd w:id="388"/>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7.1.1</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施工组织设计的内容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施工组织设计应包含以下内容：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（1）施工方案； </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（2）施工现场平面布置图；</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（3）施工进度计划和保证措施； </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（4）劳动力及材料供应计划；</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（5）施工机械设备的选用；</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（6）质量保证体系及措施；</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（7）安全生产、文明施工措施；</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（8）环境保护、成本控制措施；</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（9）合同当事人约定的其他内容。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施工进度计划的编制和修改按照第7.2款〔施工进度计划〕执行。</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91" w:name="_Toc351203544"/>
      <w:r>
        <w:rPr>
          <w:rFonts w:hint="eastAsia" w:ascii="宋体" w:hAnsi="宋体" w:eastAsia="宋体" w:cs="宋体"/>
          <w:b w:val="0"/>
          <w:color w:val="000000"/>
          <w:sz w:val="24"/>
          <w:szCs w:val="24"/>
        </w:rPr>
        <w:t>7</w:t>
      </w:r>
      <w:bookmarkStart w:id="392" w:name="_Toc337558769"/>
      <w:r>
        <w:rPr>
          <w:rFonts w:hint="eastAsia" w:ascii="宋体" w:hAnsi="宋体" w:eastAsia="宋体" w:cs="宋体"/>
          <w:b w:val="0"/>
          <w:color w:val="000000"/>
          <w:sz w:val="24"/>
          <w:szCs w:val="24"/>
        </w:rPr>
        <w:t>.2 施工进度计划</w:t>
      </w:r>
      <w:bookmarkEnd w:id="391"/>
    </w:p>
    <w:bookmarkEnd w:id="392"/>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7.2.1 施工进度计划的编制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7.2.2 施工进度计划的修订</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93" w:name="_Toc351203545"/>
      <w:r>
        <w:rPr>
          <w:rFonts w:hint="eastAsia" w:ascii="宋体" w:hAnsi="宋体" w:eastAsia="宋体" w:cs="宋体"/>
          <w:b w:val="0"/>
          <w:color w:val="000000"/>
          <w:sz w:val="24"/>
          <w:szCs w:val="24"/>
        </w:rPr>
        <w:t>7</w:t>
      </w:r>
      <w:bookmarkStart w:id="394" w:name="_Toc337558770"/>
      <w:r>
        <w:rPr>
          <w:rFonts w:hint="eastAsia" w:ascii="宋体" w:hAnsi="宋体" w:eastAsia="宋体" w:cs="宋体"/>
          <w:b w:val="0"/>
          <w:color w:val="000000"/>
          <w:sz w:val="24"/>
          <w:szCs w:val="24"/>
        </w:rPr>
        <w:t>.3 开工</w:t>
      </w:r>
      <w:bookmarkEnd w:id="393"/>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7.3.1 开工准备</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除专用合同条款另有约定外，合同当事人应按约定完成开工准备工作。</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7.3.2 开工通知</w:t>
      </w:r>
    </w:p>
    <w:bookmarkEnd w:id="394"/>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395" w:name="_Toc351203546"/>
      <w:r>
        <w:rPr>
          <w:rFonts w:hint="eastAsia" w:ascii="宋体" w:hAnsi="宋体" w:eastAsia="宋体" w:cs="宋体"/>
          <w:b w:val="0"/>
          <w:color w:val="000000"/>
          <w:sz w:val="24"/>
          <w:szCs w:val="24"/>
        </w:rPr>
        <w:t>7.4测量放线</w:t>
      </w:r>
      <w:bookmarkEnd w:id="395"/>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施工过程中对施工现场内水准点等测量标志物的保护工作由承包人负责。</w:t>
      </w:r>
      <w:bookmarkStart w:id="396" w:name="_Toc351203547"/>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7</w:t>
      </w:r>
      <w:bookmarkEnd w:id="389"/>
      <w:bookmarkEnd w:id="390"/>
      <w:bookmarkStart w:id="397" w:name="_Toc296503073"/>
      <w:bookmarkStart w:id="398" w:name="_Toc296346574"/>
      <w:bookmarkStart w:id="399" w:name="_Toc337558772"/>
      <w:r>
        <w:rPr>
          <w:rFonts w:hint="eastAsia" w:ascii="宋体" w:hAnsi="宋体" w:eastAsia="宋体" w:cs="宋体"/>
          <w:b w:val="0"/>
          <w:color w:val="000000"/>
          <w:sz w:val="24"/>
          <w:szCs w:val="24"/>
        </w:rPr>
        <w:t>.5 工期延误</w:t>
      </w:r>
      <w:bookmarkEnd w:id="396"/>
    </w:p>
    <w:bookmarkEnd w:id="397"/>
    <w:bookmarkEnd w:id="398"/>
    <w:bookmarkEnd w:id="399"/>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7.5.1 因发包人原因导致工期延误</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在合同履行过程中，因下列情况导致工期延误和（或）费用增加的，由发包人承担由此延误的工期和（或）增加的费用，且发包人应支付承包人合理的利润： </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（1）发包人未能按合同约定提供图纸或所提供图纸不符合合同约定的；</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（2）发包人未能按合同约定提供施工现场、施工条件、基础资料、许可、批准等开工条件的；</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（3）发包人提供的测量基准点、基准线和水准点及其书面资料存在错误或疏漏的；</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（4）发包人未能在计划开工日期之日起7天内同意下达开工通知的；</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（5）发包人未能按合同约定日期支付工程预付款、进度款或竣工结算款的；</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（6）监理人未按合同约定发出指示、批准等文件的；</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（7）专用合同条款中约定的其他情形。</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7.5.2 因承包人原因导致工期延误</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bookmarkStart w:id="400" w:name="_Toc296346577"/>
      <w:bookmarkStart w:id="401" w:name="_Toc296503076"/>
      <w:r>
        <w:rPr>
          <w:rFonts w:hint="eastAsia" w:ascii="宋体" w:hAnsi="宋体" w:eastAsia="宋体" w:cs="宋体"/>
          <w:color w:val="000000"/>
          <w:kern w:val="0"/>
          <w:sz w:val="24"/>
          <w:szCs w:val="24"/>
        </w:rPr>
        <w:t>因</w:t>
      </w:r>
      <w:bookmarkEnd w:id="400"/>
      <w:bookmarkEnd w:id="401"/>
      <w:r>
        <w:rPr>
          <w:rFonts w:hint="eastAsia" w:ascii="宋体" w:hAnsi="宋体" w:eastAsia="宋体" w:cs="宋体"/>
          <w:color w:val="000000"/>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02" w:name="_Toc351203548"/>
      <w:r>
        <w:rPr>
          <w:rFonts w:hint="eastAsia" w:ascii="宋体" w:hAnsi="宋体" w:eastAsia="宋体" w:cs="宋体"/>
          <w:b w:val="0"/>
          <w:color w:val="000000"/>
          <w:sz w:val="24"/>
          <w:szCs w:val="24"/>
        </w:rPr>
        <w:t>7</w:t>
      </w:r>
      <w:bookmarkStart w:id="403" w:name="_Toc296346575"/>
      <w:bookmarkStart w:id="404" w:name="_Toc337558773"/>
      <w:bookmarkStart w:id="405" w:name="_Toc296503074"/>
      <w:bookmarkStart w:id="406" w:name="_Toc296503077"/>
      <w:bookmarkStart w:id="407" w:name="_Toc296346578"/>
      <w:r>
        <w:rPr>
          <w:rFonts w:hint="eastAsia" w:ascii="宋体" w:hAnsi="宋体" w:eastAsia="宋体" w:cs="宋体"/>
          <w:b w:val="0"/>
          <w:color w:val="000000"/>
          <w:sz w:val="24"/>
          <w:szCs w:val="24"/>
        </w:rPr>
        <w:t>.6 不利物质条件</w:t>
      </w:r>
      <w:bookmarkEnd w:id="402"/>
    </w:p>
    <w:bookmarkEnd w:id="403"/>
    <w:bookmarkEnd w:id="404"/>
    <w:bookmarkEnd w:id="405"/>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08" w:name="_Toc351203549"/>
      <w:r>
        <w:rPr>
          <w:rFonts w:hint="eastAsia" w:ascii="宋体" w:hAnsi="宋体" w:eastAsia="宋体" w:cs="宋体"/>
          <w:b w:val="0"/>
          <w:color w:val="000000"/>
          <w:sz w:val="24"/>
          <w:szCs w:val="24"/>
        </w:rPr>
        <w:t>7</w:t>
      </w:r>
      <w:bookmarkStart w:id="409" w:name="_Toc337558774"/>
      <w:bookmarkStart w:id="410" w:name="_Toc296346576"/>
      <w:bookmarkStart w:id="411" w:name="_Toc296503075"/>
      <w:r>
        <w:rPr>
          <w:rFonts w:hint="eastAsia" w:ascii="宋体" w:hAnsi="宋体" w:eastAsia="宋体" w:cs="宋体"/>
          <w:b w:val="0"/>
          <w:color w:val="000000"/>
          <w:sz w:val="24"/>
          <w:szCs w:val="24"/>
        </w:rPr>
        <w:t>.7 异常恶劣的气候条件</w:t>
      </w:r>
      <w:bookmarkEnd w:id="408"/>
    </w:p>
    <w:bookmarkEnd w:id="409"/>
    <w:bookmarkEnd w:id="410"/>
    <w:bookmarkEnd w:id="411"/>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412" w:name="_Toc351203550"/>
    </w:p>
    <w:p>
      <w:pPr>
        <w:pageBreakBefore w:val="0"/>
        <w:wordWrap/>
        <w:topLinePunct w:val="0"/>
        <w:autoSpaceDE w:val="0"/>
        <w:autoSpaceDN w:val="0"/>
        <w:bidi w:val="0"/>
        <w:adjustRightInd w:val="0"/>
        <w:spacing w:line="360" w:lineRule="auto"/>
        <w:ind w:firstLine="480" w:firstLineChars="200"/>
        <w:jc w:val="left"/>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7</w:t>
      </w:r>
      <w:bookmarkStart w:id="413" w:name="_Toc337558775"/>
      <w:r>
        <w:rPr>
          <w:rFonts w:hint="eastAsia" w:ascii="宋体" w:hAnsi="宋体" w:eastAsia="宋体" w:cs="宋体"/>
          <w:bCs/>
          <w:color w:val="000000"/>
          <w:sz w:val="24"/>
          <w:szCs w:val="24"/>
        </w:rPr>
        <w:t>.8 暂停施工</w:t>
      </w:r>
      <w:bookmarkEnd w:id="412"/>
    </w:p>
    <w:bookmarkEnd w:id="406"/>
    <w:bookmarkEnd w:id="407"/>
    <w:bookmarkEnd w:id="413"/>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7.8.1发包人原因引起的暂停施工</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因发包人原因引起暂停施工的，监理人经发包人同意后，应及时下达暂停施工指示。情况紧急且监理人未及时下达暂停施工指示的，按照第7.8.4项〔紧急情况下的暂停施工〕执行。</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因发包人原因引起的暂停施工，发包人应承担由此增加的费用和（或）延误的工期，</w:t>
      </w:r>
      <w:r>
        <w:rPr>
          <w:rFonts w:hint="eastAsia" w:ascii="宋体" w:hAnsi="宋体" w:eastAsia="宋体" w:cs="宋体"/>
          <w:kern w:val="0"/>
          <w:sz w:val="24"/>
          <w:szCs w:val="24"/>
        </w:rPr>
        <w:t>并支付承包人</w:t>
      </w:r>
      <w:r>
        <w:rPr>
          <w:rFonts w:hint="eastAsia" w:ascii="宋体" w:hAnsi="宋体" w:eastAsia="宋体" w:cs="宋体"/>
          <w:color w:val="000000"/>
          <w:kern w:val="0"/>
          <w:sz w:val="24"/>
          <w:szCs w:val="24"/>
        </w:rPr>
        <w:t>合理的利润。</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7.8.2 承包人原因引起的暂停施工</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7.8.3 指示暂停施工</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监理人认为有必要时，并经发包人批准后，可向承包人作出暂停施工的指示，承包人应按监理人指示暂停施工。</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7.8.4 紧急情况下的暂停施工</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7.8.5 暂停施工后的复工</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承包人无故拖延和拒绝复工的，承包人承担由此增加的费用和（或）延误的工期；因发包人原因无法按时复工的，按照第7.5.1项〔因发包人原因导致工期延误〕约定办理。</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7.8.6 暂停施工持续56天以上</w:t>
      </w:r>
    </w:p>
    <w:p>
      <w:pPr>
        <w:pageBreakBefore w:val="0"/>
        <w:wordWrap/>
        <w:topLinePunct w:val="0"/>
        <w:bidi w:val="0"/>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pageBreakBefore w:val="0"/>
        <w:wordWrap/>
        <w:topLinePunct w:val="0"/>
        <w:bidi w:val="0"/>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pageBreakBefore w:val="0"/>
        <w:wordWrap/>
        <w:topLinePunct w:val="0"/>
        <w:bidi w:val="0"/>
        <w:spacing w:line="360" w:lineRule="auto"/>
        <w:ind w:left="16"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7.8.7 暂停施工期间的工程照管</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暂停施工期间，承包人应负责妥善照管工程并提供安全保障，由此增加的费用由责任方承担。</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7.8.8 暂停施工的措施</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暂停施工期间，发包人和承包人均应采取必要的措施确保工程质量及安全，防止因暂停施工扩大损失。</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14" w:name="_Toc351203551"/>
      <w:r>
        <w:rPr>
          <w:rFonts w:hint="eastAsia" w:ascii="宋体" w:hAnsi="宋体" w:eastAsia="宋体" w:cs="宋体"/>
          <w:b w:val="0"/>
          <w:color w:val="000000"/>
          <w:sz w:val="24"/>
          <w:szCs w:val="24"/>
        </w:rPr>
        <w:t>7.9提前竣工</w:t>
      </w:r>
      <w:bookmarkEnd w:id="414"/>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7.9.2 发包人要求承包人提前竣工，或承包人提出提前竣工的建议能够给发包人带来效益的，合同当事人可以在专用合同条款中约定提前竣工的奖励。</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415" w:name="_Toc351203552"/>
      <w:r>
        <w:rPr>
          <w:rFonts w:hint="eastAsia" w:ascii="宋体" w:hAnsi="宋体" w:eastAsia="宋体" w:cs="宋体"/>
          <w:b w:val="0"/>
          <w:color w:val="000000"/>
          <w:sz w:val="24"/>
          <w:szCs w:val="24"/>
        </w:rPr>
        <w:t>8</w:t>
      </w:r>
      <w:bookmarkStart w:id="416" w:name="_Toc296346559"/>
      <w:bookmarkStart w:id="417" w:name="_Toc296503058"/>
      <w:bookmarkStart w:id="418" w:name="_Toc337558776"/>
      <w:r>
        <w:rPr>
          <w:rFonts w:hint="eastAsia" w:ascii="宋体" w:hAnsi="宋体" w:eastAsia="宋体" w:cs="宋体"/>
          <w:b w:val="0"/>
          <w:color w:val="000000"/>
          <w:sz w:val="24"/>
          <w:szCs w:val="24"/>
        </w:rPr>
        <w:t>. 材料与设备</w:t>
      </w:r>
      <w:bookmarkEnd w:id="415"/>
    </w:p>
    <w:bookmarkEnd w:id="416"/>
    <w:bookmarkEnd w:id="417"/>
    <w:bookmarkEnd w:id="418"/>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19" w:name="_Toc351203553"/>
      <w:r>
        <w:rPr>
          <w:rFonts w:hint="eastAsia" w:ascii="宋体" w:hAnsi="宋体" w:eastAsia="宋体" w:cs="宋体"/>
          <w:b w:val="0"/>
          <w:color w:val="000000"/>
          <w:sz w:val="24"/>
          <w:szCs w:val="24"/>
        </w:rPr>
        <w:t>8</w:t>
      </w:r>
      <w:bookmarkStart w:id="420" w:name="_Toc296503059"/>
      <w:bookmarkStart w:id="421" w:name="_Toc296346560"/>
      <w:bookmarkStart w:id="422" w:name="_Toc337558777"/>
      <w:bookmarkStart w:id="423" w:name="_Toc468936960"/>
      <w:r>
        <w:rPr>
          <w:rFonts w:hint="eastAsia" w:ascii="宋体" w:hAnsi="宋体" w:eastAsia="宋体" w:cs="宋体"/>
          <w:b w:val="0"/>
          <w:color w:val="000000"/>
          <w:sz w:val="24"/>
          <w:szCs w:val="24"/>
        </w:rPr>
        <w:t>.1发包人供应材料与工程设备</w:t>
      </w:r>
      <w:bookmarkEnd w:id="419"/>
    </w:p>
    <w:bookmarkEnd w:id="420"/>
    <w:bookmarkEnd w:id="421"/>
    <w:bookmarkEnd w:id="422"/>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发包人自行供应材料、工程设备的，应在签订合同时在专用合同条款的附件《发包人供应材料设备一览表》中明确材料、工程设备的品种、规格、型号、数量、单价、质量等级和送达地点。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pageBreakBefore w:val="0"/>
        <w:wordWrap/>
        <w:topLinePunct w:val="0"/>
        <w:bidi w:val="0"/>
        <w:spacing w:before="120" w:after="120" w:line="360" w:lineRule="auto"/>
        <w:ind w:firstLine="480" w:firstLineChars="200"/>
        <w:rPr>
          <w:rFonts w:hint="eastAsia" w:ascii="宋体" w:hAnsi="宋体" w:eastAsia="宋体" w:cs="宋体"/>
          <w:color w:val="000000"/>
          <w:sz w:val="24"/>
          <w:szCs w:val="24"/>
        </w:rPr>
      </w:pPr>
      <w:bookmarkStart w:id="424" w:name="_Toc351203554"/>
      <w:r>
        <w:rPr>
          <w:rFonts w:hint="eastAsia" w:ascii="宋体" w:hAnsi="宋体" w:eastAsia="宋体" w:cs="宋体"/>
          <w:b w:val="0"/>
          <w:color w:val="000000"/>
          <w:sz w:val="24"/>
          <w:szCs w:val="24"/>
        </w:rPr>
        <w:t>8</w:t>
      </w:r>
      <w:bookmarkStart w:id="425" w:name="_Toc296503060"/>
      <w:bookmarkStart w:id="426" w:name="_Toc296346561"/>
      <w:bookmarkStart w:id="427" w:name="_Toc337558778"/>
      <w:r>
        <w:rPr>
          <w:rFonts w:hint="eastAsia" w:ascii="宋体" w:hAnsi="宋体" w:eastAsia="宋体" w:cs="宋体"/>
          <w:b w:val="0"/>
          <w:color w:val="000000"/>
          <w:sz w:val="24"/>
          <w:szCs w:val="24"/>
        </w:rPr>
        <w:t>.2承包人采购材料与工程设备</w:t>
      </w:r>
      <w:bookmarkEnd w:id="424"/>
    </w:p>
    <w:bookmarkEnd w:id="425"/>
    <w:bookmarkEnd w:id="426"/>
    <w:bookmarkEnd w:id="427"/>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28" w:name="_Toc351203555"/>
      <w:r>
        <w:rPr>
          <w:rFonts w:hint="eastAsia" w:ascii="宋体" w:hAnsi="宋体" w:eastAsia="宋体" w:cs="宋体"/>
          <w:b w:val="0"/>
          <w:color w:val="000000"/>
          <w:sz w:val="24"/>
          <w:szCs w:val="24"/>
        </w:rPr>
        <w:t>8</w:t>
      </w:r>
      <w:bookmarkStart w:id="429" w:name="_Toc296346562"/>
      <w:bookmarkStart w:id="430" w:name="_Toc296503061"/>
      <w:bookmarkStart w:id="431" w:name="_Toc337558779"/>
      <w:r>
        <w:rPr>
          <w:rFonts w:hint="eastAsia" w:ascii="宋体" w:hAnsi="宋体" w:eastAsia="宋体" w:cs="宋体"/>
          <w:b w:val="0"/>
          <w:color w:val="000000"/>
          <w:sz w:val="24"/>
          <w:szCs w:val="24"/>
        </w:rPr>
        <w:t>.3材料与工程设备的接收与拒收</w:t>
      </w:r>
      <w:bookmarkEnd w:id="428"/>
    </w:p>
    <w:bookmarkEnd w:id="429"/>
    <w:bookmarkEnd w:id="430"/>
    <w:bookmarkEnd w:id="431"/>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发包人提供的材料和工程设备的规格、数量或质量不符合合同约定的，或因发包人原因导致交货日期延误或交货地点变更等情况的，按照第16.1款〔发包人违约〕约定办理。</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8.3.2 承包人采购的材料和工程设备，应保证产品质量合格，承包人应在材料和工程设备到货前24小时通知监理人检验。承</w:t>
      </w:r>
      <w:bookmarkStart w:id="432" w:name="_Toc250655469"/>
      <w:r>
        <w:rPr>
          <w:rFonts w:hint="eastAsia" w:ascii="宋体" w:hAnsi="宋体" w:eastAsia="宋体" w:cs="宋体"/>
          <w:color w:val="000000"/>
          <w:kern w:val="0"/>
          <w:sz w:val="24"/>
          <w:szCs w:val="24"/>
        </w:rPr>
        <w:t>包人进行永久设备、材料的制造和生产的，应符合相关质量标准，并向监理人提交材料的样本以及有关资料，并应在使用该材料或工程设备之前获得监理人同意。</w:t>
      </w:r>
    </w:p>
    <w:bookmarkEnd w:id="432"/>
    <w:p>
      <w:pPr>
        <w:pageBreakBefore w:val="0"/>
        <w:wordWrap/>
        <w:topLinePunct w:val="0"/>
        <w:autoSpaceDE w:val="0"/>
        <w:autoSpaceDN w:val="0"/>
        <w:bidi w:val="0"/>
        <w:adjustRightInd w:val="0"/>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33" w:name="_Toc351203556"/>
      <w:r>
        <w:rPr>
          <w:rFonts w:hint="eastAsia" w:ascii="宋体" w:hAnsi="宋体" w:eastAsia="宋体" w:cs="宋体"/>
          <w:b w:val="0"/>
          <w:color w:val="000000"/>
          <w:sz w:val="24"/>
          <w:szCs w:val="24"/>
        </w:rPr>
        <w:t>8</w:t>
      </w:r>
      <w:bookmarkStart w:id="434" w:name="_Toc296503062"/>
      <w:bookmarkStart w:id="435" w:name="_Toc337558780"/>
      <w:bookmarkStart w:id="436" w:name="_Toc296346563"/>
      <w:r>
        <w:rPr>
          <w:rFonts w:hint="eastAsia" w:ascii="宋体" w:hAnsi="宋体" w:eastAsia="宋体" w:cs="宋体"/>
          <w:b w:val="0"/>
          <w:color w:val="000000"/>
          <w:sz w:val="24"/>
          <w:szCs w:val="24"/>
        </w:rPr>
        <w:t>.4材料与工程设备的保管与使用</w:t>
      </w:r>
      <w:bookmarkEnd w:id="433"/>
    </w:p>
    <w:bookmarkEnd w:id="434"/>
    <w:bookmarkEnd w:id="435"/>
    <w:bookmarkEnd w:id="436"/>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8.4.1 发包人供应</w:t>
      </w:r>
      <w:r>
        <w:rPr>
          <w:rFonts w:hint="eastAsia" w:ascii="宋体" w:hAnsi="宋体" w:eastAsia="宋体" w:cs="宋体"/>
          <w:color w:val="000000"/>
          <w:sz w:val="24"/>
          <w:szCs w:val="24"/>
        </w:rPr>
        <w:t>材料与</w:t>
      </w:r>
      <w:r>
        <w:rPr>
          <w:rFonts w:hint="eastAsia" w:ascii="宋体" w:hAnsi="宋体" w:eastAsia="宋体" w:cs="宋体"/>
          <w:color w:val="000000"/>
          <w:kern w:val="0"/>
          <w:sz w:val="24"/>
          <w:szCs w:val="24"/>
        </w:rPr>
        <w:t>工程</w:t>
      </w:r>
      <w:r>
        <w:rPr>
          <w:rFonts w:hint="eastAsia" w:ascii="宋体" w:hAnsi="宋体" w:eastAsia="宋体" w:cs="宋体"/>
          <w:color w:val="000000"/>
          <w:sz w:val="24"/>
          <w:szCs w:val="24"/>
        </w:rPr>
        <w:t>设备的保管与使用</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发包人供应的材料和工程设备使用前，由承包人负责检验，检验费用由发包人承担，不合格的不得使用。</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8.4.2 承包人采购</w:t>
      </w:r>
      <w:r>
        <w:rPr>
          <w:rFonts w:hint="eastAsia" w:ascii="宋体" w:hAnsi="宋体" w:eastAsia="宋体" w:cs="宋体"/>
          <w:color w:val="000000"/>
          <w:sz w:val="24"/>
          <w:szCs w:val="24"/>
        </w:rPr>
        <w:t>材料与</w:t>
      </w:r>
      <w:r>
        <w:rPr>
          <w:rFonts w:hint="eastAsia" w:ascii="宋体" w:hAnsi="宋体" w:eastAsia="宋体" w:cs="宋体"/>
          <w:color w:val="000000"/>
          <w:kern w:val="0"/>
          <w:sz w:val="24"/>
          <w:szCs w:val="24"/>
        </w:rPr>
        <w:t>工程</w:t>
      </w:r>
      <w:r>
        <w:rPr>
          <w:rFonts w:hint="eastAsia" w:ascii="宋体" w:hAnsi="宋体" w:eastAsia="宋体" w:cs="宋体"/>
          <w:color w:val="000000"/>
          <w:sz w:val="24"/>
          <w:szCs w:val="24"/>
        </w:rPr>
        <w:t>设备的保管与使用</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发包人或监理人发现承包人使用不符合设计或有关标准要求的材料和工程设备时，有权要求承包人进行修复、拆除或重新采购，由此增加的费用和（或）延误的工期，由承包人承担。</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37" w:name="_Toc351203557"/>
      <w:r>
        <w:rPr>
          <w:rFonts w:hint="eastAsia" w:ascii="宋体" w:hAnsi="宋体" w:eastAsia="宋体" w:cs="宋体"/>
          <w:b w:val="0"/>
          <w:color w:val="000000"/>
          <w:sz w:val="24"/>
          <w:szCs w:val="24"/>
        </w:rPr>
        <w:t>8.5禁止使用不合格的材料和工程设备</w:t>
      </w:r>
      <w:bookmarkEnd w:id="437"/>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8.5.1 监理人有权拒绝承包人提供的不合格材料或工程设备，并要求承包人立即进行更换。监理人应在更换后再次进行检查和检验，由此增加的费用和（或）延误的工期由承包人承担。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8.5.2 监理人发现承包人使用了不合格的材料和工程设备，承包人应按照监理人的指示立即改正，并禁止在工程中继续使用不合格的材料和工程设备。</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8.5.3 发包人提供的材料或工程设备不符合合同要求的，承包人有权拒绝，并可要求发包人更换，由此增加的费用和（或）延误的工期由发包人承担，并支付承包人合理的利润。</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38" w:name="_Toc351203558"/>
      <w:r>
        <w:rPr>
          <w:rFonts w:hint="eastAsia" w:ascii="宋体" w:hAnsi="宋体" w:eastAsia="宋体" w:cs="宋体"/>
          <w:b w:val="0"/>
          <w:color w:val="000000"/>
          <w:sz w:val="24"/>
          <w:szCs w:val="24"/>
        </w:rPr>
        <w:t>8.6 样品</w:t>
      </w:r>
      <w:bookmarkEnd w:id="438"/>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样品的报送与封存</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需要承包人报送样品的材料或工程设备，样品的种类、名称、规格、数量等要求均应在专用合同条款中约定。样品的报送程序如下：</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（3）经发包人和监理人审批确认的样品应按约定的方法封样，封存的样品作为检验工程相关部分的标准之一。承包人在施工过程中不得使用与样品不符的材料或工程设备。</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8.6.2 样品的保管</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经批准的样品应由监理人负责封存于现场，承包人应在现场为保存样品提供适当和固定的场所并保持适当和良好的存储环境条件。</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39" w:name="_Toc351203559"/>
      <w:r>
        <w:rPr>
          <w:rFonts w:hint="eastAsia" w:ascii="宋体" w:hAnsi="宋体" w:eastAsia="宋体" w:cs="宋体"/>
          <w:b w:val="0"/>
          <w:color w:val="000000"/>
          <w:sz w:val="24"/>
          <w:szCs w:val="24"/>
        </w:rPr>
        <w:t>8.7材料与工程设备的替代</w:t>
      </w:r>
      <w:bookmarkEnd w:id="439"/>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8.7.1 出现下列情况需要使用替代材料和工程设备的，承包人应按照第8.7.2项约定的程序执行：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（1）基准日期后生效的法律规定禁止使用的；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（2）发包人要求使用替代品的；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（3）因其他原因必须使用替代品的。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8.7.2 承包人应在使用替代材料和工程设备28天前书面通知监理人，并附下列文件：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（1）被替代的材料和工程设备的名称、数量、规格、型号、品牌、性能、价格及其他相关资料；</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（2）替代品的名称、数量、规格、型号、品牌、性能、价格及其他相关资料；</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（3）替代品与被替代产品之间的差异以及使用替代品可能对工程产生的影响；</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（4）替代品与被替代产品的价格差异；</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（5）使用替代品的理由和原因说明；</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（6）监理人要求的其他文件。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监理人应在收到通知后14天内向承包人发出经发包人签认的书面指示；监理人逾期发出书面指示的，视为发包人和监理人同意使用替代品。</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40" w:name="_Toc351203560"/>
      <w:r>
        <w:rPr>
          <w:rFonts w:hint="eastAsia" w:ascii="宋体" w:hAnsi="宋体" w:eastAsia="宋体" w:cs="宋体"/>
          <w:b w:val="0"/>
          <w:color w:val="000000"/>
          <w:sz w:val="24"/>
          <w:szCs w:val="24"/>
        </w:rPr>
        <w:t>8.8施工设备和临时设施</w:t>
      </w:r>
      <w:bookmarkEnd w:id="440"/>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8.8.1 承包人提供的施工设备和临时设施</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除专用合同条款另有约定外，承包人应自行承担修建临时设施的费用，需要临时占地的，应由发包人办理申请手续并承担相应费用。</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8.8.2发包人提供的施工设备和临时设施</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发包人提供的施工设备或临时设施在专用合同条款中约定。</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8.8.3要求承包人增加或更换施工设备</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41" w:name="_Toc351203561"/>
      <w:r>
        <w:rPr>
          <w:rFonts w:hint="eastAsia" w:ascii="宋体" w:hAnsi="宋体" w:eastAsia="宋体" w:cs="宋体"/>
          <w:b w:val="0"/>
          <w:color w:val="000000"/>
          <w:sz w:val="24"/>
          <w:szCs w:val="24"/>
        </w:rPr>
        <w:t>8</w:t>
      </w:r>
      <w:bookmarkStart w:id="442" w:name="_Toc296346564"/>
      <w:bookmarkStart w:id="443" w:name="_Toc296503063"/>
      <w:bookmarkStart w:id="444" w:name="_Toc337558781"/>
      <w:r>
        <w:rPr>
          <w:rFonts w:hint="eastAsia" w:ascii="宋体" w:hAnsi="宋体" w:eastAsia="宋体" w:cs="宋体"/>
          <w:b w:val="0"/>
          <w:color w:val="000000"/>
          <w:sz w:val="24"/>
          <w:szCs w:val="24"/>
        </w:rPr>
        <w:t>.9材料与设备专用</w:t>
      </w:r>
      <w:bookmarkEnd w:id="441"/>
      <w:r>
        <w:rPr>
          <w:rFonts w:hint="eastAsia" w:ascii="宋体" w:hAnsi="宋体" w:eastAsia="宋体" w:cs="宋体"/>
          <w:b w:val="0"/>
          <w:color w:val="000000"/>
          <w:sz w:val="24"/>
          <w:szCs w:val="24"/>
        </w:rPr>
        <w:t>要求</w:t>
      </w:r>
    </w:p>
    <w:bookmarkEnd w:id="442"/>
    <w:bookmarkEnd w:id="443"/>
    <w:bookmarkEnd w:id="444"/>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423"/>
      <w:r>
        <w:rPr>
          <w:rFonts w:hint="eastAsia" w:ascii="宋体" w:hAnsi="宋体" w:eastAsia="宋体" w:cs="宋体"/>
          <w:color w:val="000000"/>
          <w:kern w:val="0"/>
          <w:sz w:val="24"/>
          <w:szCs w:val="24"/>
        </w:rPr>
        <w:t>经发包人批准，承包人可以根据施工进度计划撤走闲置的施工设备和其他物品。</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445" w:name="_Toc351203562"/>
      <w:r>
        <w:rPr>
          <w:rFonts w:hint="eastAsia" w:ascii="宋体" w:hAnsi="宋体" w:eastAsia="宋体" w:cs="宋体"/>
          <w:b w:val="0"/>
          <w:color w:val="000000"/>
          <w:sz w:val="24"/>
          <w:szCs w:val="24"/>
        </w:rPr>
        <w:t>9</w:t>
      </w:r>
      <w:bookmarkStart w:id="446" w:name="_Toc337558782"/>
      <w:bookmarkStart w:id="447" w:name="_Toc296346584"/>
      <w:bookmarkStart w:id="448" w:name="_Toc296503083"/>
      <w:r>
        <w:rPr>
          <w:rFonts w:hint="eastAsia" w:ascii="宋体" w:hAnsi="宋体" w:eastAsia="宋体" w:cs="宋体"/>
          <w:b w:val="0"/>
          <w:color w:val="000000"/>
          <w:sz w:val="24"/>
          <w:szCs w:val="24"/>
        </w:rPr>
        <w:t>. 试验与检验</w:t>
      </w:r>
      <w:bookmarkEnd w:id="445"/>
    </w:p>
    <w:bookmarkEnd w:id="446"/>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49" w:name="_Toc351203563"/>
      <w:r>
        <w:rPr>
          <w:rFonts w:hint="eastAsia" w:ascii="宋体" w:hAnsi="宋体" w:eastAsia="宋体" w:cs="宋体"/>
          <w:b w:val="0"/>
          <w:color w:val="000000"/>
          <w:sz w:val="24"/>
          <w:szCs w:val="24"/>
        </w:rPr>
        <w:t>9</w:t>
      </w:r>
      <w:bookmarkStart w:id="450" w:name="_Toc337558783"/>
      <w:r>
        <w:rPr>
          <w:rFonts w:hint="eastAsia" w:ascii="宋体" w:hAnsi="宋体" w:eastAsia="宋体" w:cs="宋体"/>
          <w:b w:val="0"/>
          <w:color w:val="000000"/>
          <w:sz w:val="24"/>
          <w:szCs w:val="24"/>
        </w:rPr>
        <w:t>.1试验设备与试验人员</w:t>
      </w:r>
      <w:bookmarkEnd w:id="449"/>
    </w:p>
    <w:bookmarkEnd w:id="450"/>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9.1.2 承包人应按专用合同条款的约定提供试验设备、取样装置、试验场所和试验条件，并向监理人提交相应进场计划表。</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承包人配置的试验设备要符合相应试验规程的要求并经过具有资质的检测单位检测，且在正式使用该试验设备前，需要经过监理人与承包人共同校定。</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9.1.3 承包人应向监理人提交试验人员的名单及其岗位、资格等证明资料，试验人员必须能够熟练进行相应的检测试验，承包人对试验人员的试验程序和试验结果的正确性负责。</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51" w:name="_Toc351203564"/>
      <w:r>
        <w:rPr>
          <w:rFonts w:hint="eastAsia" w:ascii="宋体" w:hAnsi="宋体" w:eastAsia="宋体" w:cs="宋体"/>
          <w:b w:val="0"/>
          <w:color w:val="000000"/>
          <w:sz w:val="24"/>
          <w:szCs w:val="24"/>
        </w:rPr>
        <w:t>9</w:t>
      </w:r>
      <w:bookmarkStart w:id="452" w:name="_Toc337558784"/>
      <w:r>
        <w:rPr>
          <w:rFonts w:hint="eastAsia" w:ascii="宋体" w:hAnsi="宋体" w:eastAsia="宋体" w:cs="宋体"/>
          <w:b w:val="0"/>
          <w:color w:val="000000"/>
          <w:sz w:val="24"/>
          <w:szCs w:val="24"/>
        </w:rPr>
        <w:t>.2取样</w:t>
      </w:r>
      <w:bookmarkEnd w:id="451"/>
    </w:p>
    <w:bookmarkEnd w:id="452"/>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试验属于自检性质的，承包人可以单独取样。试验属于监理人抽检性质的，可由监理人取样，也可由承包人的试验人员在监理人的监督下取样。</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53" w:name="_Toc351203565"/>
      <w:r>
        <w:rPr>
          <w:rFonts w:hint="eastAsia" w:ascii="宋体" w:hAnsi="宋体" w:eastAsia="宋体" w:cs="宋体"/>
          <w:b w:val="0"/>
          <w:color w:val="000000"/>
          <w:sz w:val="24"/>
          <w:szCs w:val="24"/>
        </w:rPr>
        <w:t>9</w:t>
      </w:r>
      <w:bookmarkStart w:id="454" w:name="_Toc337558785"/>
      <w:r>
        <w:rPr>
          <w:rFonts w:hint="eastAsia" w:ascii="宋体" w:hAnsi="宋体" w:eastAsia="宋体" w:cs="宋体"/>
          <w:b w:val="0"/>
          <w:color w:val="000000"/>
          <w:sz w:val="24"/>
          <w:szCs w:val="24"/>
        </w:rPr>
        <w:t>.3材料、工程设备和工程的试验和检验</w:t>
      </w:r>
      <w:bookmarkEnd w:id="453"/>
    </w:p>
    <w:bookmarkEnd w:id="454"/>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55" w:name="_Toc351203566"/>
      <w:r>
        <w:rPr>
          <w:rFonts w:hint="eastAsia" w:ascii="宋体" w:hAnsi="宋体" w:eastAsia="宋体" w:cs="宋体"/>
          <w:b w:val="0"/>
          <w:color w:val="000000"/>
          <w:sz w:val="24"/>
          <w:szCs w:val="24"/>
        </w:rPr>
        <w:t>9</w:t>
      </w:r>
      <w:bookmarkStart w:id="456" w:name="_Toc337558786"/>
      <w:r>
        <w:rPr>
          <w:rFonts w:hint="eastAsia" w:ascii="宋体" w:hAnsi="宋体" w:eastAsia="宋体" w:cs="宋体"/>
          <w:b w:val="0"/>
          <w:color w:val="000000"/>
          <w:sz w:val="24"/>
          <w:szCs w:val="24"/>
        </w:rPr>
        <w:t>.4现场工艺试验</w:t>
      </w:r>
      <w:bookmarkEnd w:id="455"/>
    </w:p>
    <w:bookmarkEnd w:id="456"/>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457" w:name="_Toc351203567"/>
      <w:r>
        <w:rPr>
          <w:rFonts w:hint="eastAsia" w:ascii="宋体" w:hAnsi="宋体" w:eastAsia="宋体" w:cs="宋体"/>
          <w:b w:val="0"/>
          <w:color w:val="000000"/>
          <w:sz w:val="24"/>
          <w:szCs w:val="24"/>
        </w:rPr>
        <w:t>1</w:t>
      </w:r>
      <w:bookmarkStart w:id="458" w:name="_Toc337558787"/>
      <w:r>
        <w:rPr>
          <w:rFonts w:hint="eastAsia" w:ascii="宋体" w:hAnsi="宋体" w:eastAsia="宋体" w:cs="宋体"/>
          <w:b w:val="0"/>
          <w:color w:val="000000"/>
          <w:sz w:val="24"/>
          <w:szCs w:val="24"/>
        </w:rPr>
        <w:t>0. 变更</w:t>
      </w:r>
      <w:bookmarkEnd w:id="447"/>
      <w:bookmarkEnd w:id="448"/>
      <w:bookmarkEnd w:id="457"/>
    </w:p>
    <w:bookmarkEnd w:id="458"/>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59" w:name="_Toc351203568"/>
      <w:r>
        <w:rPr>
          <w:rFonts w:hint="eastAsia" w:ascii="宋体" w:hAnsi="宋体" w:eastAsia="宋体" w:cs="宋体"/>
          <w:b w:val="0"/>
          <w:color w:val="000000"/>
          <w:sz w:val="24"/>
          <w:szCs w:val="24"/>
        </w:rPr>
        <w:t>1</w:t>
      </w:r>
      <w:bookmarkStart w:id="460" w:name="_Toc296503084"/>
      <w:bookmarkStart w:id="461" w:name="_Toc296346585"/>
      <w:bookmarkStart w:id="462" w:name="_Toc337558788"/>
      <w:r>
        <w:rPr>
          <w:rFonts w:hint="eastAsia" w:ascii="宋体" w:hAnsi="宋体" w:eastAsia="宋体" w:cs="宋体"/>
          <w:b w:val="0"/>
          <w:color w:val="000000"/>
          <w:sz w:val="24"/>
          <w:szCs w:val="24"/>
        </w:rPr>
        <w:t>0.1变更的范围</w:t>
      </w:r>
      <w:bookmarkEnd w:id="459"/>
    </w:p>
    <w:bookmarkEnd w:id="460"/>
    <w:bookmarkEnd w:id="461"/>
    <w:bookmarkEnd w:id="462"/>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除专用合同条款另有约定外，合同履行过程中发生以下情形的，应按照本条约定进行变更：</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（1）增加或减少合同中任何工作，或追加额外的工作；</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（2）取消合同中任何工作，但转由他人实施的工作除外；</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（3）改变合同中任何工作的质量标准或其他特性；</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（4）改变工程的基线、标高、位置和尺寸；</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（5）改变工程的时间安排或实施顺序。</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63" w:name="_Toc351203569"/>
      <w:r>
        <w:rPr>
          <w:rFonts w:hint="eastAsia" w:ascii="宋体" w:hAnsi="宋体" w:eastAsia="宋体" w:cs="宋体"/>
          <w:b w:val="0"/>
          <w:color w:val="000000"/>
          <w:sz w:val="24"/>
          <w:szCs w:val="24"/>
        </w:rPr>
        <w:t>1</w:t>
      </w:r>
      <w:bookmarkStart w:id="464" w:name="_Toc337558789"/>
      <w:bookmarkStart w:id="465" w:name="_Toc296503085"/>
      <w:bookmarkStart w:id="466" w:name="_Toc296346586"/>
      <w:r>
        <w:rPr>
          <w:rFonts w:hint="eastAsia" w:ascii="宋体" w:hAnsi="宋体" w:eastAsia="宋体" w:cs="宋体"/>
          <w:b w:val="0"/>
          <w:color w:val="000000"/>
          <w:sz w:val="24"/>
          <w:szCs w:val="24"/>
        </w:rPr>
        <w:t>0.2变更权</w:t>
      </w:r>
      <w:bookmarkEnd w:id="463"/>
    </w:p>
    <w:bookmarkEnd w:id="464"/>
    <w:bookmarkEnd w:id="465"/>
    <w:bookmarkEnd w:id="466"/>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涉及设计变更的，应由设计人提供变更后的图纸和说明。如变更超过原设计标准或批准的建设规模时，发包人应及时办理规划、设计变更等审批手续。</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67" w:name="_Toc351203570"/>
      <w:r>
        <w:rPr>
          <w:rFonts w:hint="eastAsia" w:ascii="宋体" w:hAnsi="宋体" w:eastAsia="宋体" w:cs="宋体"/>
          <w:b w:val="0"/>
          <w:color w:val="000000"/>
          <w:sz w:val="24"/>
          <w:szCs w:val="24"/>
        </w:rPr>
        <w:t>1</w:t>
      </w:r>
      <w:bookmarkStart w:id="468" w:name="_Toc296503086"/>
      <w:bookmarkStart w:id="469" w:name="_Toc337558790"/>
      <w:bookmarkStart w:id="470" w:name="_Toc296346587"/>
      <w:r>
        <w:rPr>
          <w:rFonts w:hint="eastAsia" w:ascii="宋体" w:hAnsi="宋体" w:eastAsia="宋体" w:cs="宋体"/>
          <w:b w:val="0"/>
          <w:color w:val="000000"/>
          <w:sz w:val="24"/>
          <w:szCs w:val="24"/>
        </w:rPr>
        <w:t>0.3变更程序</w:t>
      </w:r>
      <w:bookmarkEnd w:id="467"/>
    </w:p>
    <w:bookmarkEnd w:id="468"/>
    <w:bookmarkEnd w:id="469"/>
    <w:bookmarkEnd w:id="470"/>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10</w:t>
      </w:r>
      <w:r>
        <w:rPr>
          <w:rFonts w:hint="eastAsia" w:ascii="宋体" w:hAnsi="宋体" w:eastAsia="宋体" w:cs="宋体"/>
          <w:color w:val="000000"/>
          <w:kern w:val="0"/>
          <w:sz w:val="24"/>
          <w:szCs w:val="24"/>
        </w:rPr>
        <w:t>.3.1 发包人提出变更</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发包人提出变更的，应通过监理人向承包人发出变更指示，变更指示应说明计划变更的工程范围和变更的内容。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10</w:t>
      </w:r>
      <w:r>
        <w:rPr>
          <w:rFonts w:hint="eastAsia" w:ascii="宋体" w:hAnsi="宋体" w:eastAsia="宋体" w:cs="宋体"/>
          <w:color w:val="000000"/>
          <w:kern w:val="0"/>
          <w:sz w:val="24"/>
          <w:szCs w:val="24"/>
        </w:rPr>
        <w:t>.3.2 监理人提出变更建议</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10.3.3 变更执行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71" w:name="_Toc351203571"/>
      <w:r>
        <w:rPr>
          <w:rFonts w:hint="eastAsia" w:ascii="宋体" w:hAnsi="宋体" w:eastAsia="宋体" w:cs="宋体"/>
          <w:b w:val="0"/>
          <w:color w:val="000000"/>
          <w:sz w:val="24"/>
          <w:szCs w:val="24"/>
        </w:rPr>
        <w:t>1</w:t>
      </w:r>
      <w:bookmarkStart w:id="472" w:name="_Toc296346588"/>
      <w:bookmarkStart w:id="473" w:name="_Toc296503087"/>
      <w:bookmarkStart w:id="474" w:name="_Toc337558791"/>
      <w:r>
        <w:rPr>
          <w:rFonts w:hint="eastAsia" w:ascii="宋体" w:hAnsi="宋体" w:eastAsia="宋体" w:cs="宋体"/>
          <w:b w:val="0"/>
          <w:color w:val="000000"/>
          <w:sz w:val="24"/>
          <w:szCs w:val="24"/>
        </w:rPr>
        <w:t>0.4变更估价</w:t>
      </w:r>
      <w:bookmarkEnd w:id="471"/>
    </w:p>
    <w:bookmarkEnd w:id="472"/>
    <w:bookmarkEnd w:id="473"/>
    <w:bookmarkEnd w:id="474"/>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10.4.1 变更估价原则</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除专用合同条款另有约定外，变更估价按照本款约定处理：</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（1）已标价工程量清单或预算书有相同项目的，按照相同项目单价认定；</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（2）已标价工程量清单或预算书中无相同项目，但有类似项目的，参照类似项目的单价认定；</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10.4.2 变更估价程序</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因变更引起的价格调整应计入最近一期的进度款中支付。</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75" w:name="_Toc351203572"/>
      <w:r>
        <w:rPr>
          <w:rFonts w:hint="eastAsia" w:ascii="宋体" w:hAnsi="宋体" w:eastAsia="宋体" w:cs="宋体"/>
          <w:b w:val="0"/>
          <w:color w:val="000000"/>
          <w:sz w:val="24"/>
          <w:szCs w:val="24"/>
        </w:rPr>
        <w:t>1</w:t>
      </w:r>
      <w:bookmarkStart w:id="476" w:name="_Toc337558792"/>
      <w:bookmarkStart w:id="477" w:name="_Toc296346595"/>
      <w:bookmarkStart w:id="478" w:name="_Toc296503094"/>
      <w:r>
        <w:rPr>
          <w:rFonts w:hint="eastAsia" w:ascii="宋体" w:hAnsi="宋体" w:eastAsia="宋体" w:cs="宋体"/>
          <w:b w:val="0"/>
          <w:color w:val="000000"/>
          <w:sz w:val="24"/>
          <w:szCs w:val="24"/>
        </w:rPr>
        <w:t>0.5承包人的合理化建议</w:t>
      </w:r>
      <w:bookmarkEnd w:id="475"/>
    </w:p>
    <w:bookmarkEnd w:id="476"/>
    <w:bookmarkEnd w:id="477"/>
    <w:bookmarkEnd w:id="478"/>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承包人提出合理化建议的，应向监理人提交合理化建议说明，说明建议的内容和理由，以及实施该建议对合同价格和工期的影响。</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合理化建议降低了合同价格或者提高了工程经济效益的，发包人可对承包人给予奖励，奖励的方法和金额在专用合同条款中约定。</w:t>
      </w:r>
    </w:p>
    <w:p>
      <w:pPr>
        <w:pStyle w:val="7"/>
        <w:pageBreakBefore w:val="0"/>
        <w:wordWrap/>
        <w:topLinePunct w:val="0"/>
        <w:bidi w:val="0"/>
        <w:spacing w:before="120" w:after="120" w:line="360" w:lineRule="auto"/>
        <w:ind w:firstLine="480" w:firstLineChars="200"/>
        <w:rPr>
          <w:rFonts w:hint="eastAsia" w:ascii="宋体" w:hAnsi="宋体" w:eastAsia="宋体" w:cs="宋体"/>
          <w:color w:val="000000"/>
          <w:sz w:val="24"/>
          <w:szCs w:val="24"/>
        </w:rPr>
      </w:pPr>
      <w:bookmarkStart w:id="479" w:name="_Toc351203573"/>
      <w:r>
        <w:rPr>
          <w:rFonts w:hint="eastAsia" w:ascii="宋体" w:hAnsi="宋体" w:eastAsia="宋体" w:cs="宋体"/>
          <w:b w:val="0"/>
          <w:color w:val="000000"/>
          <w:sz w:val="24"/>
          <w:szCs w:val="24"/>
        </w:rPr>
        <w:t>1</w:t>
      </w:r>
      <w:bookmarkStart w:id="480" w:name="_Toc337558793"/>
      <w:r>
        <w:rPr>
          <w:rFonts w:hint="eastAsia" w:ascii="宋体" w:hAnsi="宋体" w:eastAsia="宋体" w:cs="宋体"/>
          <w:b w:val="0"/>
          <w:color w:val="000000"/>
          <w:sz w:val="24"/>
          <w:szCs w:val="24"/>
        </w:rPr>
        <w:t>0.6变更引起的工期调整</w:t>
      </w:r>
      <w:bookmarkEnd w:id="479"/>
      <w:r>
        <w:rPr>
          <w:rFonts w:hint="eastAsia" w:ascii="宋体" w:hAnsi="宋体" w:eastAsia="宋体" w:cs="宋体"/>
          <w:b w:val="0"/>
          <w:color w:val="000000"/>
          <w:sz w:val="24"/>
          <w:szCs w:val="24"/>
        </w:rPr>
        <w:t xml:space="preserve"> </w:t>
      </w:r>
      <w:bookmarkEnd w:id="480"/>
      <w:r>
        <w:rPr>
          <w:rFonts w:hint="eastAsia" w:ascii="宋体" w:hAnsi="宋体" w:eastAsia="宋体" w:cs="宋体"/>
          <w:b w:val="0"/>
          <w:color w:val="000000"/>
          <w:sz w:val="24"/>
          <w:szCs w:val="24"/>
        </w:rPr>
        <w:t xml:space="preserve"> </w:t>
      </w:r>
      <w:r>
        <w:rPr>
          <w:rFonts w:hint="eastAsia" w:ascii="宋体" w:hAnsi="宋体" w:eastAsia="宋体" w:cs="宋体"/>
          <w:color w:val="000000"/>
          <w:sz w:val="24"/>
          <w:szCs w:val="24"/>
        </w:rPr>
        <w:t xml:space="preserve"> </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因变更引起工期变化的，合同当事人均可要求调整合同工期，由合同当事人按照第4.4款〔商定或确定〕并参考工程所在地的工期定额标准确定增减工期天数。</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81" w:name="_Toc351203574"/>
      <w:r>
        <w:rPr>
          <w:rFonts w:hint="eastAsia" w:ascii="宋体" w:hAnsi="宋体" w:eastAsia="宋体" w:cs="宋体"/>
          <w:b w:val="0"/>
          <w:color w:val="000000"/>
          <w:sz w:val="24"/>
          <w:szCs w:val="24"/>
        </w:rPr>
        <w:t>10.7暂估价</w:t>
      </w:r>
      <w:bookmarkEnd w:id="481"/>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暂估价专业分包工程、服务、材料和工程设备的明细由合同当事人在专用合同条款中约定。</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10.7.1</w:t>
      </w:r>
      <w:r>
        <w:rPr>
          <w:rFonts w:hint="eastAsia" w:ascii="宋体" w:hAnsi="宋体" w:eastAsia="宋体" w:cs="宋体"/>
          <w:color w:val="000000"/>
          <w:kern w:val="0"/>
          <w:sz w:val="24"/>
          <w:szCs w:val="24"/>
        </w:rPr>
        <w:t xml:space="preserve"> 依法必须招标的暂估价项目</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对于依法必须招标的暂估价项目，采取以下第1种方式确定。合同当事人也可以在专用合同条款中选择其他招标方式。</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第1种方式：对于依法必须招标的暂估价项目，由承包人招标，对该暂估价项目的确认和批准按照以下约定执行：</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pageBreakBefore w:val="0"/>
        <w:wordWrap/>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10.7.2</w:t>
      </w:r>
      <w:r>
        <w:rPr>
          <w:rFonts w:hint="eastAsia" w:ascii="宋体" w:hAnsi="宋体" w:eastAsia="宋体" w:cs="宋体"/>
          <w:color w:val="000000"/>
          <w:kern w:val="0"/>
          <w:sz w:val="24"/>
          <w:szCs w:val="24"/>
        </w:rPr>
        <w:t>不属于依法必须招标的暂估价项目</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除专用合同条款另有约定外，对于不属于依法必须招标的暂估价项目，采取以下第1种方式确定： </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第1种方式：对于不属于依法必须招标的暂估价项目，按本项约定确认和批准：</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（2）发包人认为承包人确定的供应商、分包人无法满足工程质量或合同要求的，发包人可以要求承包人重新确定暂估价项目的供应商、分包人;</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（3）承包人应当在签订暂估价合同后7天内，将暂估价合同副本报送发包人留存。</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第2种方式：承包人按照第10.7.1项〔依法必须招标的暂估价项目〕约定的第1种方式确定暂估价项目。</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第3种方式：</w:t>
      </w:r>
      <w:r>
        <w:rPr>
          <w:rFonts w:hint="eastAsia" w:ascii="宋体" w:hAnsi="宋体" w:eastAsia="宋体" w:cs="宋体"/>
          <w:color w:val="000000"/>
          <w:kern w:val="0"/>
          <w:sz w:val="24"/>
          <w:szCs w:val="24"/>
        </w:rPr>
        <w:t>承包人直接实施的暂估价项目</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承包人具备实施暂估价项目的资格和条件的，经发包人和承包人协商一致后，可由承包人自行实施暂估价项目，合同当事人可以在专用合同条款约定具体事项。</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82" w:name="_Toc351203575"/>
      <w:r>
        <w:rPr>
          <w:rFonts w:hint="eastAsia" w:ascii="宋体" w:hAnsi="宋体" w:eastAsia="宋体" w:cs="宋体"/>
          <w:b w:val="0"/>
          <w:color w:val="000000"/>
          <w:sz w:val="24"/>
          <w:szCs w:val="24"/>
        </w:rPr>
        <w:t>1</w:t>
      </w:r>
      <w:bookmarkStart w:id="483" w:name="_Toc337558794"/>
      <w:bookmarkStart w:id="484" w:name="_Toc296503090"/>
      <w:bookmarkStart w:id="485" w:name="_Toc322522561"/>
      <w:bookmarkStart w:id="486" w:name="_Toc296346591"/>
      <w:r>
        <w:rPr>
          <w:rFonts w:hint="eastAsia" w:ascii="宋体" w:hAnsi="宋体" w:eastAsia="宋体" w:cs="宋体"/>
          <w:b w:val="0"/>
          <w:color w:val="000000"/>
          <w:sz w:val="24"/>
          <w:szCs w:val="24"/>
        </w:rPr>
        <w:t>0.8暂列金额</w:t>
      </w:r>
      <w:bookmarkEnd w:id="482"/>
    </w:p>
    <w:bookmarkEnd w:id="483"/>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暂列金额应按照发包人的要求使用，发包人的要求应通过监理人发出。合同当事人可以在专用合同条款中协商确定有关事项。</w:t>
      </w:r>
    </w:p>
    <w:bookmarkEnd w:id="484"/>
    <w:bookmarkEnd w:id="485"/>
    <w:bookmarkEnd w:id="486"/>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87" w:name="_Toc351203576"/>
      <w:r>
        <w:rPr>
          <w:rFonts w:hint="eastAsia" w:ascii="宋体" w:hAnsi="宋体" w:eastAsia="宋体" w:cs="宋体"/>
          <w:b w:val="0"/>
          <w:color w:val="000000"/>
          <w:sz w:val="24"/>
          <w:szCs w:val="24"/>
        </w:rPr>
        <w:t>1</w:t>
      </w:r>
      <w:bookmarkStart w:id="488" w:name="_Toc337558796"/>
      <w:bookmarkStart w:id="489" w:name="_Toc296346592"/>
      <w:bookmarkStart w:id="490" w:name="_Toc296503091"/>
      <w:r>
        <w:rPr>
          <w:rFonts w:hint="eastAsia" w:ascii="宋体" w:hAnsi="宋体" w:eastAsia="宋体" w:cs="宋体"/>
          <w:b w:val="0"/>
          <w:color w:val="000000"/>
          <w:sz w:val="24"/>
          <w:szCs w:val="24"/>
        </w:rPr>
        <w:t>0.9计日工</w:t>
      </w:r>
      <w:bookmarkEnd w:id="487"/>
      <w:r>
        <w:rPr>
          <w:rFonts w:hint="eastAsia" w:ascii="宋体" w:hAnsi="宋体" w:eastAsia="宋体" w:cs="宋体"/>
          <w:b w:val="0"/>
          <w:color w:val="000000"/>
          <w:sz w:val="24"/>
          <w:szCs w:val="24"/>
        </w:rPr>
        <w:t xml:space="preserve"> </w:t>
      </w:r>
      <w:bookmarkEnd w:id="488"/>
      <w:bookmarkEnd w:id="489"/>
      <w:bookmarkEnd w:id="490"/>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采用计日工计价的任何一项工作，承包人应在该项工作实施过程中，每天提交以下报表和有关凭证报送监理人审查：</w:t>
      </w:r>
    </w:p>
    <w:p>
      <w:pPr>
        <w:pageBreakBefore w:val="0"/>
        <w:wordWrap/>
        <w:topLinePunct w:val="0"/>
        <w:bidi w:val="0"/>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（1）工作名称、内容和数量；</w:t>
      </w:r>
    </w:p>
    <w:p>
      <w:pPr>
        <w:pageBreakBefore w:val="0"/>
        <w:wordWrap/>
        <w:topLinePunct w:val="0"/>
        <w:bidi w:val="0"/>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（2）投入该工作的所有人员的姓名、专业、工种、级别和耗用工时；</w:t>
      </w:r>
    </w:p>
    <w:p>
      <w:pPr>
        <w:pageBreakBefore w:val="0"/>
        <w:wordWrap/>
        <w:topLinePunct w:val="0"/>
        <w:bidi w:val="0"/>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（3）投入该工作的材料类别和数量；</w:t>
      </w:r>
    </w:p>
    <w:p>
      <w:pPr>
        <w:pageBreakBefore w:val="0"/>
        <w:wordWrap/>
        <w:topLinePunct w:val="0"/>
        <w:bidi w:val="0"/>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（4）投入该工作的施工设备型号、台数和耗用台时；</w:t>
      </w:r>
    </w:p>
    <w:p>
      <w:pPr>
        <w:pageBreakBefore w:val="0"/>
        <w:wordWrap/>
        <w:topLinePunct w:val="0"/>
        <w:bidi w:val="0"/>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（5）其他有关资料和凭证。</w:t>
      </w:r>
    </w:p>
    <w:p>
      <w:pPr>
        <w:pageBreakBefore w:val="0"/>
        <w:wordWrap/>
        <w:topLinePunct w:val="0"/>
        <w:bidi w:val="0"/>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计日工由承包人汇总后，列入最近一期进度付款申请单，由监理人审查并经发包人批准后列入进度付款。</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491" w:name="_Toc351203577"/>
      <w:r>
        <w:rPr>
          <w:rFonts w:hint="eastAsia" w:ascii="宋体" w:hAnsi="宋体" w:eastAsia="宋体" w:cs="宋体"/>
          <w:b w:val="0"/>
          <w:color w:val="000000"/>
          <w:sz w:val="24"/>
          <w:szCs w:val="24"/>
        </w:rPr>
        <w:t>11. 价格调整</w:t>
      </w:r>
      <w:bookmarkEnd w:id="491"/>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92" w:name="_Toc351203578"/>
      <w:bookmarkStart w:id="493" w:name="_Toc296503092"/>
      <w:bookmarkStart w:id="494" w:name="_Toc296346593"/>
      <w:bookmarkStart w:id="495" w:name="_Toc337558797"/>
      <w:r>
        <w:rPr>
          <w:rFonts w:hint="eastAsia" w:ascii="宋体" w:hAnsi="宋体" w:eastAsia="宋体" w:cs="宋体"/>
          <w:b w:val="0"/>
          <w:color w:val="000000"/>
          <w:sz w:val="24"/>
          <w:szCs w:val="24"/>
        </w:rPr>
        <w:t>11.1市场价格波动引起的调整</w:t>
      </w:r>
      <w:bookmarkEnd w:id="492"/>
    </w:p>
    <w:bookmarkEnd w:id="493"/>
    <w:bookmarkEnd w:id="494"/>
    <w:bookmarkEnd w:id="495"/>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除专用合同条款另有约定外，市场价格波动超过合同当事人约定的范围，合同价格应当调整。合同当事人可以在专用合同条款中约定选择以下一种方式对合同价格进行调整：</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（1）价格调整公式</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因人工、材料和设备等价格波动影响合同价格时，根据专用合同条款中约定的数据，按以下公式计算差额并调整合同价格：</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position w:val="-30"/>
          <w:sz w:val="24"/>
          <w:szCs w:val="24"/>
        </w:rPr>
        <w:object>
          <v:shape id="_x0000_i1025" o:spt="75" type="#_x0000_t75" style="height:43.9pt;width:359.85pt;" o:ole="t" filled="f" stroked="f" coordsize="21600,21600">
            <v:path/>
            <v:fill on="f" focussize="0,0"/>
            <v:stroke on="f"/>
            <v:imagedata r:id="rId13" o:title=""/>
            <o:lock v:ext="edit" grouping="f" rotation="f" text="f" aspectratio="t"/>
            <w10:wrap type="none"/>
            <w10:anchorlock/>
          </v:shape>
          <o:OLEObject Type="Embed" ProgID="Equation.KSEE3" ShapeID="_x0000_i1025" DrawAspect="Content" ObjectID="_1468075725" r:id="rId12">
            <o:LockedField>false</o:LockedField>
          </o:OLEObject>
        </w:object>
      </w:r>
    </w:p>
    <w:p>
      <w:pPr>
        <w:pageBreakBefore w:val="0"/>
        <w:tabs>
          <w:tab w:val="left" w:pos="0"/>
          <w:tab w:val="left" w:pos="360"/>
          <w:tab w:val="left" w:pos="540"/>
        </w:tabs>
        <w:wordWrap/>
        <w:topLinePunct w:val="0"/>
        <w:bidi w:val="0"/>
        <w:spacing w:line="360" w:lineRule="auto"/>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公式中：ΔP——需调整的价格差额；</w:t>
      </w:r>
    </w:p>
    <w:p>
      <w:pPr>
        <w:pageBreakBefore w:val="0"/>
        <w:tabs>
          <w:tab w:val="left" w:pos="0"/>
          <w:tab w:val="left" w:pos="360"/>
          <w:tab w:val="left" w:pos="540"/>
        </w:tabs>
        <w:wordWrap/>
        <w:topLinePunct w:val="0"/>
        <w:bidi w:val="0"/>
        <w:spacing w:line="360" w:lineRule="auto"/>
        <w:ind w:firstLine="1440" w:firstLineChars="600"/>
        <w:rPr>
          <w:rFonts w:hint="eastAsia" w:ascii="宋体" w:hAnsi="宋体" w:eastAsia="宋体" w:cs="宋体"/>
          <w:color w:val="000000"/>
          <w:sz w:val="24"/>
          <w:szCs w:val="24"/>
        </w:rPr>
      </w:pPr>
      <w:r>
        <w:rPr>
          <w:rFonts w:hint="eastAsia" w:ascii="宋体" w:hAnsi="宋体" w:eastAsia="宋体" w:cs="宋体"/>
          <w:color w:val="000000"/>
          <w:position w:val="-6"/>
          <w:sz w:val="24"/>
          <w:szCs w:val="24"/>
        </w:rPr>
        <w:object>
          <v:shape id="_x0000_i1026" o:spt="75" type="#_x0000_t75" style="height:17.95pt;width:17.95pt;" o:ole="t" filled="f" stroked="f" coordsize="21600,21600">
            <v:path/>
            <v:fill on="f" focussize="0,0"/>
            <v:stroke on="f"/>
            <v:imagedata r:id="rId15" o:title=""/>
            <o:lock v:ext="edit" grouping="f" rotation="f" text="f" aspectratio="t"/>
            <w10:wrap type="none"/>
            <w10:anchorlock/>
          </v:shape>
          <o:OLEObject Type="Embed" ProgID="Equation.KSEE3" ShapeID="_x0000_i1026" DrawAspect="Content" ObjectID="_1468075726" r:id="rId14">
            <o:LockedField>false</o:LockedField>
          </o:OLEObject>
        </w:object>
      </w:r>
      <w:r>
        <w:rPr>
          <w:rFonts w:hint="eastAsia" w:ascii="宋体" w:hAnsi="宋体" w:eastAsia="宋体" w:cs="宋体"/>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A——定值权重（即不调部分的权重）；</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position w:val="-10"/>
          <w:sz w:val="24"/>
          <w:szCs w:val="24"/>
        </w:rPr>
        <w:object>
          <v:shape id="_x0000_i1027" o:spt="75" type="#_x0000_t75" style="height:21.05pt;width:101pt;" o:ole="t" filled="f" stroked="f" coordsize="21600,21600">
            <v:path/>
            <v:fill on="f" focussize="0,0"/>
            <v:stroke on="f"/>
            <v:imagedata r:id="rId17" o:title=""/>
            <o:lock v:ext="edit" grouping="f" rotation="f" text="f" aspectratio="t"/>
            <w10:wrap type="none"/>
            <w10:anchorlock/>
          </v:shape>
          <o:OLEObject Type="Embed" ProgID="Equation.KSEE3" ShapeID="_x0000_i1027" DrawAspect="Content" ObjectID="_1468075727" r:id="rId16">
            <o:LockedField>false</o:LockedField>
          </o:OLEObject>
        </w:object>
      </w:r>
      <w:r>
        <w:rPr>
          <w:rFonts w:hint="eastAsia" w:ascii="宋体" w:hAnsi="宋体" w:eastAsia="宋体" w:cs="宋体"/>
          <w:color w:val="000000"/>
          <w:sz w:val="24"/>
          <w:szCs w:val="24"/>
        </w:rPr>
        <w:t>——各可调因子的变值权重（即可调部分的权重），为各可调因子在签约合同价中所占的比例；</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position w:val="-10"/>
          <w:sz w:val="24"/>
          <w:szCs w:val="24"/>
        </w:rPr>
        <w:object>
          <v:shape id="_x0000_i1028" o:spt="75" type="#_x0000_t75" style="height:20.6pt;width:102.05pt;" o:ole="t" filled="f" stroked="f" coordsize="21600,21600">
            <v:path/>
            <v:fill on="f" focussize="0,0"/>
            <v:stroke on="f"/>
            <v:imagedata r:id="rId19" o:title=""/>
            <o:lock v:ext="edit" grouping="f" rotation="f" text="f" aspectratio="t"/>
            <w10:wrap type="none"/>
            <w10:anchorlock/>
          </v:shape>
          <o:OLEObject Type="Embed" ProgID="Equation.KSEE3" ShapeID="_x0000_i1028" DrawAspect="Content" ObjectID="_1468075728" r:id="rId18">
            <o:LockedField>false</o:LockedField>
          </o:OLEObject>
        </w:object>
      </w:r>
      <w:r>
        <w:rPr>
          <w:rFonts w:hint="eastAsia" w:ascii="宋体" w:hAnsi="宋体" w:eastAsia="宋体" w:cs="宋体"/>
          <w:color w:val="000000"/>
          <w:sz w:val="24"/>
          <w:szCs w:val="24"/>
        </w:rPr>
        <w:t>——各可调因子的现行价格指数，指约定的付款证书相关周期最后一天的前42天的各可调因子的价格指数；</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position w:val="-10"/>
          <w:sz w:val="24"/>
          <w:szCs w:val="24"/>
        </w:rPr>
        <w:object>
          <v:shape id="_x0000_i1029" o:spt="75" type="#_x0000_t75" style="height:20.2pt;width:108pt;" o:ole="t" filled="f" stroked="f" coordsize="21600,21600">
            <v:path/>
            <v:fill on="f" focussize="0,0"/>
            <v:stroke on="f"/>
            <v:imagedata r:id="rId21" o:title=""/>
            <o:lock v:ext="edit" grouping="f" rotation="f" text="f" aspectratio="t"/>
            <w10:wrap type="none"/>
            <w10:anchorlock/>
          </v:shape>
          <o:OLEObject Type="Embed" ProgID="Equation.KSEE3" ShapeID="_x0000_i1029" DrawAspect="Content" ObjectID="_1468075729" r:id="rId20">
            <o:LockedField>false</o:LockedField>
          </o:OLEObject>
        </w:object>
      </w:r>
      <w:r>
        <w:rPr>
          <w:rFonts w:hint="eastAsia" w:ascii="宋体" w:hAnsi="宋体" w:eastAsia="宋体" w:cs="宋体"/>
          <w:color w:val="000000"/>
          <w:sz w:val="24"/>
          <w:szCs w:val="24"/>
        </w:rPr>
        <w:t>——各可调因子的基本价格指数，指基准日期的各可调因子的价格指数。</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（2）暂时确定调整差额</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在计算调整差额时无现行价格指数的，合同当事人同意暂用前次价格指数计算。实际价格指数有调整的，合同当事人进行相应调整。</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（3）权重的调整</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因变更导致合同约定的权重不合理时，按照第4.4款〔商定或确定〕执行。</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（4）因承包人原因工期延误后的价格调整</w:t>
      </w:r>
    </w:p>
    <w:p>
      <w:pPr>
        <w:pageBreakBefore w:val="0"/>
        <w:tabs>
          <w:tab w:val="left" w:pos="0"/>
          <w:tab w:val="left" w:pos="360"/>
          <w:tab w:val="left" w:pos="540"/>
        </w:tabs>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（2）材料、工程设备价格变化的价款调整按照发包人提供的基准价格，按以下风险范围规定执行:</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③承包人在已标价工程量清单或预算书中载明材料单价等于基准价格的：除专用合同条款另有约定外，合同履行期间材料单价涨跌幅以基准价格为基础超过±5%时，其超过部分据实调整。</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bookmarkStart w:id="496" w:name="OLE_LINK3"/>
      <w:r>
        <w:rPr>
          <w:rFonts w:hint="eastAsia" w:ascii="宋体" w:hAnsi="宋体" w:eastAsia="宋体" w:cs="宋体"/>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（3）施工机械台班单价或施工机械使用费发生变化超过省级或行业建设主管部门或其授权的工程造价管理机构规定的范围时，按规定调整合同价格。</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第3种方式：专用合同条款约定的其他方式。</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497" w:name="_Toc351203579"/>
      <w:bookmarkStart w:id="498" w:name="_Toc296503093"/>
      <w:bookmarkStart w:id="499" w:name="_Toc296346594"/>
      <w:bookmarkStart w:id="500" w:name="_Toc337558798"/>
      <w:r>
        <w:rPr>
          <w:rFonts w:hint="eastAsia" w:ascii="宋体" w:hAnsi="宋体" w:eastAsia="宋体" w:cs="宋体"/>
          <w:b w:val="0"/>
          <w:color w:val="000000"/>
          <w:sz w:val="24"/>
          <w:szCs w:val="24"/>
        </w:rPr>
        <w:t>11.2法律变化引起的调整</w:t>
      </w:r>
      <w:bookmarkEnd w:id="497"/>
    </w:p>
    <w:bookmarkEnd w:id="498"/>
    <w:bookmarkEnd w:id="499"/>
    <w:bookmarkEnd w:id="500"/>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因法律变化引起的合同价格和工期调整，合同当事人无法达成一致的，由总监理工程师按第4.4款〔商定或确定〕的约定处理。</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因承包人原因造成工期延误，在工期延误期间出现法律变化的，由此增加的费用和（或）延误的工期由承包人承担。</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501" w:name="_Toc351203580"/>
      <w:bookmarkStart w:id="502" w:name="_Toc337558799"/>
      <w:bookmarkStart w:id="503" w:name="_Toc296503096"/>
      <w:bookmarkStart w:id="504" w:name="_Toc296346597"/>
      <w:r>
        <w:rPr>
          <w:rFonts w:hint="eastAsia" w:ascii="宋体" w:hAnsi="宋体" w:eastAsia="宋体" w:cs="宋体"/>
          <w:b w:val="0"/>
          <w:color w:val="000000"/>
          <w:sz w:val="24"/>
          <w:szCs w:val="24"/>
        </w:rPr>
        <w:t>12. 合同价格、计量与支付</w:t>
      </w:r>
      <w:bookmarkEnd w:id="501"/>
    </w:p>
    <w:bookmarkEnd w:id="502"/>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05" w:name="_Toc351203581"/>
      <w:bookmarkStart w:id="506" w:name="_Toc337558800"/>
      <w:r>
        <w:rPr>
          <w:rFonts w:hint="eastAsia" w:ascii="宋体" w:hAnsi="宋体" w:eastAsia="宋体" w:cs="宋体"/>
          <w:b w:val="0"/>
          <w:color w:val="000000"/>
          <w:sz w:val="24"/>
          <w:szCs w:val="24"/>
        </w:rPr>
        <w:t>12.1 合同价</w:t>
      </w:r>
      <w:bookmarkEnd w:id="503"/>
      <w:bookmarkEnd w:id="504"/>
      <w:r>
        <w:rPr>
          <w:rFonts w:hint="eastAsia" w:ascii="宋体" w:hAnsi="宋体" w:eastAsia="宋体" w:cs="宋体"/>
          <w:b w:val="0"/>
          <w:color w:val="000000"/>
          <w:sz w:val="24"/>
          <w:szCs w:val="24"/>
        </w:rPr>
        <w:t>格形式</w:t>
      </w:r>
      <w:bookmarkEnd w:id="505"/>
    </w:p>
    <w:bookmarkEnd w:id="506"/>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发包人和承包人应在合同协议书中选择下列一种合同价格形式： </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1.单价合同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单价合同是指合同当事人约定以工程量清单及其综合单价进行合同价格计算、调整和确认的建设工程施工合同，</w:t>
      </w:r>
      <w:r>
        <w:rPr>
          <w:rFonts w:hint="eastAsia" w:ascii="宋体" w:hAnsi="宋体" w:eastAsia="宋体" w:cs="宋体"/>
          <w:sz w:val="24"/>
          <w:szCs w:val="24"/>
        </w:rPr>
        <w:t>在约定的范围内合同单价不作调整</w:t>
      </w:r>
      <w:r>
        <w:rPr>
          <w:rFonts w:hint="eastAsia" w:ascii="宋体" w:hAnsi="宋体" w:eastAsia="宋体" w:cs="宋体"/>
          <w:color w:val="000000"/>
          <w:kern w:val="0"/>
          <w:sz w:val="24"/>
          <w:szCs w:val="24"/>
        </w:rPr>
        <w:t>。合同当事人应在专用合同条款中约定综合单价包含的风险范围和风险费用的计算方法</w:t>
      </w:r>
      <w:r>
        <w:rPr>
          <w:rFonts w:hint="eastAsia" w:ascii="宋体" w:hAnsi="宋体" w:eastAsia="宋体" w:cs="宋体"/>
          <w:sz w:val="24"/>
          <w:szCs w:val="24"/>
        </w:rPr>
        <w:t>，</w:t>
      </w:r>
      <w:r>
        <w:rPr>
          <w:rFonts w:hint="eastAsia" w:ascii="宋体" w:hAnsi="宋体" w:eastAsia="宋体" w:cs="宋体"/>
          <w:color w:val="000000"/>
          <w:kern w:val="0"/>
          <w:sz w:val="24"/>
          <w:szCs w:val="24"/>
        </w:rPr>
        <w:t>并约定风险范围以外的合同价格的调整方法，其中因市场价格波动引起的调整按第11.1款〔市场价格波动引起的调整〕约定执行。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2.总价合同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总价合同是指合同当事人约定以施工图、已标价工程量清单或预算书及有关条件进行合同价格计算、调整和确认的建设工程施工合同，</w:t>
      </w:r>
      <w:r>
        <w:rPr>
          <w:rFonts w:hint="eastAsia" w:ascii="宋体" w:hAnsi="宋体" w:eastAsia="宋体" w:cs="宋体"/>
          <w:sz w:val="24"/>
          <w:szCs w:val="24"/>
        </w:rPr>
        <w:t>在约定的范围内合同总价不作调整</w:t>
      </w:r>
      <w:r>
        <w:rPr>
          <w:rFonts w:hint="eastAsia" w:ascii="宋体" w:hAnsi="宋体" w:eastAsia="宋体" w:cs="宋体"/>
          <w:color w:val="000000"/>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3.其它价格形式</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合同当事人可在专用合同条款中约定其他合同价格形式。</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07" w:name="_Toc296503097"/>
      <w:bookmarkStart w:id="508" w:name="_Toc296346598"/>
      <w:bookmarkStart w:id="509" w:name="_Toc351203582"/>
      <w:bookmarkStart w:id="510" w:name="_Toc337558801"/>
      <w:r>
        <w:rPr>
          <w:rFonts w:hint="eastAsia" w:ascii="宋体" w:hAnsi="宋体" w:eastAsia="宋体" w:cs="宋体"/>
          <w:b w:val="0"/>
          <w:color w:val="000000"/>
          <w:sz w:val="24"/>
          <w:szCs w:val="24"/>
        </w:rPr>
        <w:t>12.2预</w:t>
      </w:r>
      <w:bookmarkEnd w:id="507"/>
      <w:bookmarkEnd w:id="508"/>
      <w:bookmarkStart w:id="511" w:name="_Toc296503100"/>
      <w:bookmarkStart w:id="512" w:name="_Toc296346601"/>
      <w:r>
        <w:rPr>
          <w:rFonts w:hint="eastAsia" w:ascii="宋体" w:hAnsi="宋体" w:eastAsia="宋体" w:cs="宋体"/>
          <w:b w:val="0"/>
          <w:color w:val="000000"/>
          <w:sz w:val="24"/>
          <w:szCs w:val="24"/>
        </w:rPr>
        <w:t>付款</w:t>
      </w:r>
      <w:bookmarkEnd w:id="509"/>
    </w:p>
    <w:bookmarkEnd w:id="510"/>
    <w:bookmarkEnd w:id="511"/>
    <w:bookmarkEnd w:id="512"/>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12.2.</w:t>
      </w:r>
      <w:r>
        <w:rPr>
          <w:rFonts w:hint="eastAsia" w:ascii="宋体" w:hAnsi="宋体" w:eastAsia="宋体" w:cs="宋体"/>
          <w:color w:val="000000"/>
          <w:kern w:val="0"/>
          <w:sz w:val="24"/>
          <w:szCs w:val="24"/>
        </w:rPr>
        <w:t>1预付款的支付</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除专用合同条款另有约定外，预付款在进度付款中同比例扣回。</w:t>
      </w:r>
      <w:bookmarkEnd w:id="496"/>
      <w:r>
        <w:rPr>
          <w:rFonts w:hint="eastAsia" w:ascii="宋体" w:hAnsi="宋体" w:eastAsia="宋体" w:cs="宋体"/>
          <w:color w:val="000000"/>
          <w:kern w:val="0"/>
          <w:sz w:val="24"/>
          <w:szCs w:val="24"/>
        </w:rPr>
        <w:t>在颁发工程接收证书前，提前解除合同的，尚未扣完的预付款应与合同价款一并结算。</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发包人逾期支付预付款超过7天的，承包人有权向发包人发出要求预付的催告通知，发包人收到通知后7天内仍未支付的，承包人有权暂停施工，并按第16.1.1项〔发包人违约的情形〕执行。</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发包人在工程款中逐期扣回预付款后，预付款担保额度应相应减少，但剩余的预付款担保金额不得低于未被扣回的预付款金额。</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13" w:name="_Toc351203583"/>
      <w:bookmarkStart w:id="514" w:name="_Toc337558802"/>
      <w:r>
        <w:rPr>
          <w:rFonts w:hint="eastAsia" w:ascii="宋体" w:hAnsi="宋体" w:eastAsia="宋体" w:cs="宋体"/>
          <w:b w:val="0"/>
          <w:color w:val="000000"/>
          <w:sz w:val="24"/>
          <w:szCs w:val="24"/>
        </w:rPr>
        <w:t>12.3计量</w:t>
      </w:r>
      <w:bookmarkEnd w:id="513"/>
    </w:p>
    <w:bookmarkEnd w:id="514"/>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12.3.1 计量原则</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工程量计量按照合同约定的工程量计算规则、图纸及变更指示等进行计量。工程量计算规则应以相关的国家标准、行业标准等为依据，由合同当事人在专用合同条款中约定。</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12.3.2 计量周期</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除专用合同条款另有约定外，工程量的计量按月进行。</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12.3.3 单价合同的计量</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除专用合同条款另有约定外，单价合同的计量按照本项约定执行：</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（1）承包人应于每月25日向监理人报送上月20日至当月19日已完成的工程量报告，并附具进度付款申请单、已完成工程量报表和有关资料。</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（3）监理人未在收到承包人提交的工程量报表后的7天内完成审核的，承包人报送的工程量报告中的工程量视为承包人实际完成的工程量，据此计算工程价款。</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12.3.4 总价合同的计量</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除专用合同条款另有约定外，按月计量支付的总价合同，按照本项约定执行：</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（1）承包人应于每月25日向监理人报送上月20日至当月19日已完成的工程量报告，并附具进度付款申请单、已完成工程量报表和有关资料。</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（3）监理人未在收到承包人提交的工程量报表后的7天内完成复核的，承包人提交的工程量报告中的工程量视为承包人实际完成的工程量。</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12.3.5 总价合同采用支付分解表计量支付的，可以按照第12.3.4项〔总价合同的计量〕约定进行计量，但合同价款按照支付分解表进行支付。</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12.3.6 其他价格形式合同的计量</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合同当事人可在专用合同条款中约定其他价格形式合同的计量方式和程序。</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15" w:name="_Toc296503101"/>
      <w:bookmarkStart w:id="516" w:name="_Toc296346602"/>
      <w:bookmarkStart w:id="517" w:name="_Toc351203584"/>
      <w:bookmarkStart w:id="518" w:name="_Toc337558803"/>
      <w:r>
        <w:rPr>
          <w:rFonts w:hint="eastAsia" w:ascii="宋体" w:hAnsi="宋体" w:eastAsia="宋体" w:cs="宋体"/>
          <w:b w:val="0"/>
          <w:color w:val="000000"/>
          <w:sz w:val="24"/>
          <w:szCs w:val="24"/>
        </w:rPr>
        <w:t>12.4工程进度款支</w:t>
      </w:r>
      <w:bookmarkEnd w:id="515"/>
      <w:bookmarkEnd w:id="516"/>
      <w:r>
        <w:rPr>
          <w:rFonts w:hint="eastAsia" w:ascii="宋体" w:hAnsi="宋体" w:eastAsia="宋体" w:cs="宋体"/>
          <w:b w:val="0"/>
          <w:color w:val="000000"/>
          <w:sz w:val="24"/>
          <w:szCs w:val="24"/>
        </w:rPr>
        <w:t>付</w:t>
      </w:r>
      <w:bookmarkEnd w:id="517"/>
    </w:p>
    <w:bookmarkEnd w:id="518"/>
    <w:p>
      <w:pPr>
        <w:pageBreakBefore w:val="0"/>
        <w:wordWrap/>
        <w:topLinePunct w:val="0"/>
        <w:autoSpaceDE w:val="0"/>
        <w:autoSpaceDN w:val="0"/>
        <w:bidi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sz w:val="24"/>
          <w:szCs w:val="24"/>
        </w:rPr>
        <w:t>12.4</w:t>
      </w:r>
      <w:r>
        <w:rPr>
          <w:rFonts w:hint="eastAsia" w:ascii="宋体" w:hAnsi="宋体" w:eastAsia="宋体" w:cs="宋体"/>
          <w:color w:val="000000"/>
          <w:kern w:val="0"/>
          <w:sz w:val="24"/>
          <w:szCs w:val="24"/>
        </w:rPr>
        <w:t>.1 付款周期</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除专用合同条款另有约定外，付款周期应按照第12.3.2项〔计量周期〕的约定与计量周期保持一致。</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12.4</w:t>
      </w:r>
      <w:r>
        <w:rPr>
          <w:rFonts w:hint="eastAsia" w:ascii="宋体" w:hAnsi="宋体" w:eastAsia="宋体" w:cs="宋体"/>
          <w:color w:val="000000"/>
          <w:kern w:val="0"/>
          <w:sz w:val="24"/>
          <w:szCs w:val="24"/>
        </w:rPr>
        <w:t>.2 进度付款申请单的编制</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除专用合同条款另有约定外，进度付款申请单应包括下列内容：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（1）截至本次付款周期已完成工作对应的金额；</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（2）根据第10条〔变更〕应增加和扣减的变更金额；</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（3）根据第12.2款〔预付款〕约定应支付的预付款和扣减的返还预付款；</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（4）根据第15.3款〔质量保证金〕约定应扣减的质量保证金；</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（5）根据第19条〔索赔〕应增加和扣减的索赔金额；</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（6）对已签发的进度款支付证书中出现错误的修正，应在本次进度付款中支付或扣除的金额；</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（7）根据合同约定应增加和扣减的其他金额。</w:t>
      </w:r>
    </w:p>
    <w:p>
      <w:pPr>
        <w:pageBreakBefore w:val="0"/>
        <w:wordWrap/>
        <w:topLinePunct w:val="0"/>
        <w:autoSpaceDE w:val="0"/>
        <w:autoSpaceDN w:val="0"/>
        <w:bidi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12.4.3 进度付款申请单的提交</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（1）单价合同进度付款申请单的提交</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（2）总价合同进度付款申请单的提交</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总价合同按月计量支付的，承包人按照第12.3.4项〔总价合同的计量〕约定的时间按月向监理人提交进度付款申请单，并附上已完成工程量报表和有关资料。</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总价合同按支付分解表支付的，承包人应按照第12.4.6项〔支付分解表〕及第12.4.2项〔进度付款申请单的编制〕的约定向监理人提交进度付款申请单。</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（3）其他价格形式合同的进度付款申请单的提交</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合同当事人可在专用合同条款中约定其他价格形式合同的进度付款申请单的编制和提交程序。</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12.4</w:t>
      </w:r>
      <w:r>
        <w:rPr>
          <w:rFonts w:hint="eastAsia" w:ascii="宋体" w:hAnsi="宋体" w:eastAsia="宋体" w:cs="宋体"/>
          <w:color w:val="000000"/>
          <w:kern w:val="0"/>
          <w:sz w:val="24"/>
          <w:szCs w:val="24"/>
        </w:rPr>
        <w:t>.4 进度款审核和支付</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（3）发包人签发进度款支付证书或临时进度款支付证书，不表明发包人已同意、批准或接受了承包人完成的相应部分的工作。</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12.4.5 进度付款的修正</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12.4.6 支付分解表</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1.支付分解表的编制要求</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（1）支付分解表中所列的每期付款金额，应为第12.4.2项〔进度付款申请单的编制〕第（1）目的估算金额；</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（2）实际进度与施工进度计划不一致的，合同当事人可按照第4.4款〔商定或确定〕修改支付分解表；</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（3）不采用支付分解表的，承包人应向发包人和监理人提交按季度编制的支付估算分解表，用于支付参考。</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2.总价合同支付分解表的编制与审批</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pPr>
        <w:pageBreakBefore w:val="0"/>
        <w:wordWrap/>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（3）发包人逾期未完成支付分解表审批的，也未及时要求承包人进行修正和提供补充资料的，则承包人提交的支付分解表视为已经获得发包人批准。</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3.单价合同的总价项目支付分解表的编制与审批</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19" w:name="_Toc351203585"/>
      <w:r>
        <w:rPr>
          <w:rFonts w:hint="eastAsia" w:ascii="宋体" w:hAnsi="宋体" w:eastAsia="宋体" w:cs="宋体"/>
          <w:b w:val="0"/>
          <w:color w:val="000000"/>
          <w:sz w:val="24"/>
          <w:szCs w:val="24"/>
        </w:rPr>
        <w:t>12.5支付账户</w:t>
      </w:r>
      <w:bookmarkEnd w:id="519"/>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发包人应将合同价款支付至合同协议书中约定的承包人账户。</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520" w:name="_Toc351203586"/>
      <w:bookmarkStart w:id="521" w:name="_Toc322522574"/>
      <w:bookmarkStart w:id="522" w:name="_Toc296346607"/>
      <w:bookmarkStart w:id="523" w:name="_Toc337558804"/>
      <w:bookmarkStart w:id="524" w:name="_Toc296503106"/>
      <w:r>
        <w:rPr>
          <w:rFonts w:hint="eastAsia" w:ascii="宋体" w:hAnsi="宋体" w:eastAsia="宋体" w:cs="宋体"/>
          <w:b w:val="0"/>
          <w:color w:val="000000"/>
          <w:sz w:val="24"/>
          <w:szCs w:val="24"/>
        </w:rPr>
        <w:t>13. 验收和工程试车</w:t>
      </w:r>
      <w:bookmarkEnd w:id="520"/>
    </w:p>
    <w:bookmarkEnd w:id="521"/>
    <w:bookmarkEnd w:id="522"/>
    <w:bookmarkEnd w:id="523"/>
    <w:bookmarkEnd w:id="524"/>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25" w:name="_Toc351203587"/>
      <w:bookmarkStart w:id="526" w:name="_Toc337558805"/>
      <w:bookmarkStart w:id="527" w:name="_Toc296503110"/>
      <w:bookmarkStart w:id="528" w:name="_Toc296346611"/>
      <w:r>
        <w:rPr>
          <w:rFonts w:hint="eastAsia" w:ascii="宋体" w:hAnsi="宋体" w:eastAsia="宋体" w:cs="宋体"/>
          <w:b w:val="0"/>
          <w:color w:val="000000"/>
          <w:sz w:val="24"/>
          <w:szCs w:val="24"/>
        </w:rPr>
        <w:t>13.1分部分项工程验收</w:t>
      </w:r>
      <w:bookmarkEnd w:id="525"/>
    </w:p>
    <w:bookmarkEnd w:id="526"/>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13.1.1 分部分项工程质量应符合国家有关工程施工验收规范、标准及合同约定，承包人应按照施工组织设计的要求完成分部分项工程施工。</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13.1.2 除专用合同条款另有约定外，分部分项工程经承包人自检合格并具备验收条件的，承包人应提前48小时通知监理人进行验收。</w:t>
      </w:r>
      <w:r>
        <w:rPr>
          <w:rFonts w:hint="eastAsia" w:ascii="宋体" w:hAnsi="宋体" w:eastAsia="宋体" w:cs="宋体"/>
          <w:color w:val="000000"/>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sz w:val="24"/>
          <w:szCs w:val="24"/>
        </w:rPr>
        <w:t>分部分项工程未经验收的，不得进入下一道工序施工。</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分部分项工程的验收资料应当作为竣工资料的组成部分。</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29" w:name="_Toc351203588"/>
      <w:bookmarkStart w:id="530" w:name="_Toc337558806"/>
      <w:r>
        <w:rPr>
          <w:rFonts w:hint="eastAsia" w:ascii="宋体" w:hAnsi="宋体" w:eastAsia="宋体" w:cs="宋体"/>
          <w:b w:val="0"/>
          <w:color w:val="000000"/>
          <w:sz w:val="24"/>
          <w:szCs w:val="24"/>
        </w:rPr>
        <w:t>13.2竣工验收</w:t>
      </w:r>
      <w:bookmarkEnd w:id="529"/>
    </w:p>
    <w:bookmarkEnd w:id="527"/>
    <w:bookmarkEnd w:id="528"/>
    <w:bookmarkEnd w:id="530"/>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13.2.1竣工验收条件</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工程具备以下条件的，承包人可以申请竣工验收：</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（1）除发包人同意的甩项工作和缺陷修补工作外，合同范围内的全部工程以及有关工作，包括合同要求的试验、试运行以及检验均已完成，并符合合同要求；</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（2）已按合同约定编制了甩项工作和缺陷修补工作清单以及相应的施工计划；</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（3）已按合同约定的内容和份数备齐竣工资料。</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13.2.2竣工验收程序</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除专用合同条款另有约定外，承包人申请竣工验收的，应当按照以下程序进行：</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（3）竣工验收合格的，发包人应在验收合格后14天内向承包人签发工程接收证书。发包人无正当理由逾期不颁发工程接收证书的，自验收合格后第15天起视为已颁发工程接收证书。</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13.2.3竣工日期</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31" w:name="#go14"/>
      <w:bookmarkEnd w:id="531"/>
      <w:r>
        <w:rPr>
          <w:rFonts w:hint="eastAsia" w:ascii="宋体" w:hAnsi="宋体" w:eastAsia="宋体" w:cs="宋体"/>
          <w:color w:val="000000"/>
          <w:kern w:val="0"/>
          <w:sz w:val="24"/>
          <w:szCs w:val="24"/>
        </w:rPr>
        <w:t>收申请报告的日期为实际竣工日期；工程未经竣工验收，发包人擅自使用的，以转移占有工程之日为实际竣工日期。</w:t>
      </w:r>
    </w:p>
    <w:p>
      <w:pPr>
        <w:pageBreakBefore w:val="0"/>
        <w:wordWrap/>
        <w:topLinePunct w:val="0"/>
        <w:bidi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13.2.4 拒绝接收全部或部分工程</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13.2.5 移交、接收全部与部分工程</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除专用合同条款另有约定外，合同当事人应当在颁发工程接收证书后7天内完成工程的移交。</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32" w:name="_Toc351203589"/>
      <w:bookmarkStart w:id="533" w:name="_Toc337558807"/>
      <w:bookmarkStart w:id="534" w:name="_Toc296346612"/>
      <w:bookmarkStart w:id="535" w:name="_Toc296503111"/>
      <w:r>
        <w:rPr>
          <w:rFonts w:hint="eastAsia" w:ascii="宋体" w:hAnsi="宋体" w:eastAsia="宋体" w:cs="宋体"/>
          <w:b w:val="0"/>
          <w:color w:val="000000"/>
          <w:sz w:val="24"/>
          <w:szCs w:val="24"/>
        </w:rPr>
        <w:t>13.3工程试车</w:t>
      </w:r>
      <w:bookmarkEnd w:id="532"/>
    </w:p>
    <w:bookmarkEnd w:id="533"/>
    <w:bookmarkEnd w:id="534"/>
    <w:bookmarkEnd w:id="535"/>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13.3.1试车程序</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工程需要试车的，除专用合同条款另有约定外，试车内容应与承包人承包范围相一致，试车费用由承包人承担。工程试车应按如下程序进行：</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13.3.2 试车中的责任</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如需进行投料试车的，发包人应在工程竣工验收后组织投料试车。发包人要求在工程竣工验收前进行或需要承包人配合时，应征得承包人同意，并在专用合同条款中约定有关事项。</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pageBreakBefore w:val="0"/>
        <w:wordWrap/>
        <w:topLinePunct w:val="0"/>
        <w:bidi w:val="0"/>
        <w:spacing w:before="120" w:after="120" w:line="360" w:lineRule="auto"/>
        <w:rPr>
          <w:rFonts w:hint="eastAsia" w:ascii="宋体" w:hAnsi="宋体" w:eastAsia="宋体" w:cs="宋体"/>
          <w:b w:val="0"/>
          <w:color w:val="000000"/>
          <w:sz w:val="24"/>
          <w:szCs w:val="24"/>
        </w:rPr>
      </w:pPr>
      <w:bookmarkStart w:id="536" w:name="_Toc337558808"/>
      <w:r>
        <w:rPr>
          <w:rFonts w:hint="eastAsia" w:ascii="宋体" w:hAnsi="宋体" w:eastAsia="宋体" w:cs="宋体"/>
          <w:b w:val="0"/>
          <w:color w:val="000000"/>
          <w:sz w:val="24"/>
          <w:szCs w:val="24"/>
        </w:rPr>
        <w:t xml:space="preserve">    </w:t>
      </w:r>
      <w:bookmarkStart w:id="537" w:name="_Toc351203590"/>
      <w:r>
        <w:rPr>
          <w:rFonts w:hint="eastAsia" w:ascii="宋体" w:hAnsi="宋体" w:eastAsia="宋体" w:cs="宋体"/>
          <w:b w:val="0"/>
          <w:color w:val="000000"/>
          <w:sz w:val="24"/>
          <w:szCs w:val="24"/>
        </w:rPr>
        <w:t>13.4提前交付单位工程的验收</w:t>
      </w:r>
      <w:bookmarkEnd w:id="537"/>
    </w:p>
    <w:bookmarkEnd w:id="536"/>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13.4.2 发包人要求在工程竣工前交付单位工程，由此导致承包人费用增加和（或）工期延误的，由发包人承担由此增加的费用和（或）延误的工期，并支付承包人合理的利润。</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38" w:name="_Toc351203591"/>
      <w:r>
        <w:rPr>
          <w:rFonts w:hint="eastAsia" w:ascii="宋体" w:hAnsi="宋体" w:eastAsia="宋体" w:cs="宋体"/>
          <w:b w:val="0"/>
          <w:color w:val="000000"/>
          <w:sz w:val="24"/>
          <w:szCs w:val="24"/>
        </w:rPr>
        <w:t>13.5 施工期运行</w:t>
      </w:r>
      <w:bookmarkEnd w:id="538"/>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13.5.2 在施工期运行中发现工程或工程设备损坏或存在缺陷的，由承包人按第15.2款〔缺陷责任期〕约定进行修复。</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39" w:name="_Toc296503112"/>
      <w:bookmarkStart w:id="540" w:name="_Toc296346613"/>
      <w:bookmarkStart w:id="541" w:name="_Toc351203592"/>
      <w:bookmarkStart w:id="542" w:name="_Toc337558809"/>
      <w:r>
        <w:rPr>
          <w:rFonts w:hint="eastAsia" w:ascii="宋体" w:hAnsi="宋体" w:eastAsia="宋体" w:cs="宋体"/>
          <w:b w:val="0"/>
          <w:color w:val="000000"/>
          <w:sz w:val="24"/>
          <w:szCs w:val="24"/>
        </w:rPr>
        <w:t>13.6 竣工退</w:t>
      </w:r>
      <w:bookmarkEnd w:id="539"/>
      <w:bookmarkEnd w:id="540"/>
      <w:r>
        <w:rPr>
          <w:rFonts w:hint="eastAsia" w:ascii="宋体" w:hAnsi="宋体" w:eastAsia="宋体" w:cs="宋体"/>
          <w:b w:val="0"/>
          <w:color w:val="000000"/>
          <w:sz w:val="24"/>
          <w:szCs w:val="24"/>
        </w:rPr>
        <w:t>场</w:t>
      </w:r>
      <w:bookmarkEnd w:id="541"/>
    </w:p>
    <w:bookmarkEnd w:id="542"/>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颁发工程接收证书后，承包人应按以下要求对施工现场进行清理：</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（1）施工现场内残留的垃圾已全部清除出场；</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（2）临时工程已拆除，场地已进行清理、平整或复原；</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（3）按合同约定应撤离的人员、承包人施工设备和剩余的材料，包括废弃的施工设备和材料，已按计划撤离施工现场；</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（4）施工现场周边及其附近道路、河道的施工堆积物，已全部清理；</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（5）施工现场其他场地清理工作已全部完成。</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13.6.2 地表还原</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543" w:name="_Toc351203593"/>
      <w:bookmarkStart w:id="544" w:name="_Toc337558810"/>
      <w:bookmarkStart w:id="545" w:name="_Toc296503113"/>
      <w:bookmarkStart w:id="546" w:name="_Toc296346614"/>
      <w:r>
        <w:rPr>
          <w:rFonts w:hint="eastAsia" w:ascii="宋体" w:hAnsi="宋体" w:eastAsia="宋体" w:cs="宋体"/>
          <w:b w:val="0"/>
          <w:color w:val="000000"/>
          <w:sz w:val="24"/>
          <w:szCs w:val="24"/>
        </w:rPr>
        <w:t>14. 竣工结算</w:t>
      </w:r>
      <w:bookmarkEnd w:id="543"/>
    </w:p>
    <w:bookmarkEnd w:id="544"/>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47" w:name="_Toc351203594"/>
      <w:bookmarkStart w:id="548" w:name="_Toc337558811"/>
      <w:r>
        <w:rPr>
          <w:rFonts w:hint="eastAsia" w:ascii="宋体" w:hAnsi="宋体" w:eastAsia="宋体" w:cs="宋体"/>
          <w:b w:val="0"/>
          <w:color w:val="000000"/>
          <w:sz w:val="24"/>
          <w:szCs w:val="24"/>
        </w:rPr>
        <w:t>14.1 竣工结算申请</w:t>
      </w:r>
      <w:bookmarkEnd w:id="547"/>
    </w:p>
    <w:bookmarkEnd w:id="548"/>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除专用合同条款另有约定外，</w:t>
      </w:r>
      <w:r>
        <w:rPr>
          <w:rFonts w:hint="eastAsia" w:ascii="宋体" w:hAnsi="宋体" w:eastAsia="宋体" w:cs="宋体"/>
          <w:color w:val="000000"/>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除专用合同条款另有约定外，竣工结算申请单应包括以下内容：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（1）竣工结算合同价格；</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（2）发包人已支付承包人的款项；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（3）应扣留的质量保证金。已缴纳履约保证金的或提供其他工程质量担保方式的除外； </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（4）发包人应支付承包人的合同价款。</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49" w:name="_Toc351203595"/>
      <w:bookmarkStart w:id="550" w:name="_Toc337558812"/>
      <w:r>
        <w:rPr>
          <w:rFonts w:hint="eastAsia" w:ascii="宋体" w:hAnsi="宋体" w:eastAsia="宋体" w:cs="宋体"/>
          <w:b w:val="0"/>
          <w:color w:val="000000"/>
          <w:sz w:val="24"/>
          <w:szCs w:val="24"/>
        </w:rPr>
        <w:t>14.2 竣工结算审核</w:t>
      </w:r>
      <w:bookmarkEnd w:id="549"/>
    </w:p>
    <w:bookmarkEnd w:id="550"/>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sz w:val="24"/>
          <w:szCs w:val="24"/>
        </w:rPr>
        <w:t>发包人对竣工</w:t>
      </w:r>
      <w:r>
        <w:rPr>
          <w:rFonts w:hint="eastAsia" w:ascii="宋体" w:hAnsi="宋体" w:eastAsia="宋体" w:cs="宋体"/>
          <w:color w:val="000000"/>
          <w:kern w:val="0"/>
          <w:sz w:val="24"/>
          <w:szCs w:val="24"/>
        </w:rPr>
        <w:t>结算</w:t>
      </w:r>
      <w:r>
        <w:rPr>
          <w:rFonts w:hint="eastAsia" w:ascii="宋体" w:hAnsi="宋体" w:eastAsia="宋体" w:cs="宋体"/>
          <w:color w:val="000000"/>
          <w:sz w:val="24"/>
          <w:szCs w:val="24"/>
        </w:rPr>
        <w:t>申请单有异议的，有权要求承包人进行修正和提供补充资料，承包人应提交修正后的竣工</w:t>
      </w:r>
      <w:r>
        <w:rPr>
          <w:rFonts w:hint="eastAsia" w:ascii="宋体" w:hAnsi="宋体" w:eastAsia="宋体" w:cs="宋体"/>
          <w:color w:val="000000"/>
          <w:kern w:val="0"/>
          <w:sz w:val="24"/>
          <w:szCs w:val="24"/>
        </w:rPr>
        <w:t>结算</w:t>
      </w:r>
      <w:r>
        <w:rPr>
          <w:rFonts w:hint="eastAsia" w:ascii="宋体" w:hAnsi="宋体" w:eastAsia="宋体" w:cs="宋体"/>
          <w:color w:val="000000"/>
          <w:sz w:val="24"/>
          <w:szCs w:val="24"/>
        </w:rPr>
        <w:t>申请单。</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51" w:name="_Toc351203596"/>
      <w:bookmarkStart w:id="552" w:name="_Toc337558813"/>
      <w:r>
        <w:rPr>
          <w:rFonts w:hint="eastAsia" w:ascii="宋体" w:hAnsi="宋体" w:eastAsia="宋体" w:cs="宋体"/>
          <w:b w:val="0"/>
          <w:color w:val="000000"/>
          <w:sz w:val="24"/>
          <w:szCs w:val="24"/>
        </w:rPr>
        <w:t>14.3 甩项竣工协议</w:t>
      </w:r>
      <w:bookmarkEnd w:id="551"/>
    </w:p>
    <w:bookmarkEnd w:id="552"/>
    <w:p>
      <w:pPr>
        <w:pageBreakBefore w:val="0"/>
        <w:wordWrap/>
        <w:topLinePunct w:val="0"/>
        <w:autoSpaceDE w:val="0"/>
        <w:autoSpaceDN w:val="0"/>
        <w:bidi w:val="0"/>
        <w:adjustRightInd w:val="0"/>
        <w:spacing w:line="360" w:lineRule="auto"/>
        <w:ind w:firstLine="470" w:firstLineChars="196"/>
        <w:jc w:val="left"/>
        <w:rPr>
          <w:rFonts w:hint="eastAsia" w:ascii="宋体" w:hAnsi="宋体" w:eastAsia="宋体" w:cs="宋体"/>
          <w:color w:val="000000"/>
          <w:kern w:val="0"/>
          <w:sz w:val="24"/>
          <w:szCs w:val="24"/>
        </w:rPr>
      </w:pPr>
      <w:r>
        <w:rPr>
          <w:rFonts w:hint="eastAsia" w:ascii="宋体" w:hAnsi="宋体" w:eastAsia="宋体" w:cs="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53" w:name="_Toc351203597"/>
      <w:bookmarkStart w:id="554" w:name="_Toc337558814"/>
      <w:r>
        <w:rPr>
          <w:rFonts w:hint="eastAsia" w:ascii="宋体" w:hAnsi="宋体" w:eastAsia="宋体" w:cs="宋体"/>
          <w:b w:val="0"/>
          <w:color w:val="000000"/>
          <w:sz w:val="24"/>
          <w:szCs w:val="24"/>
        </w:rPr>
        <w:t>14.4 最终结清</w:t>
      </w:r>
      <w:bookmarkEnd w:id="553"/>
    </w:p>
    <w:bookmarkEnd w:id="554"/>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（1）除专用合同条款另有约定外，承包人应在缺陷责任期终止证书颁发后7天内，按专用合同条款约定的份数向发包人提交最终结清申请单，并提供相关证明材料。</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w:t>
      </w:r>
      <w:r>
        <w:rPr>
          <w:rFonts w:hint="eastAsia" w:ascii="宋体" w:hAnsi="宋体" w:eastAsia="宋体" w:cs="宋体"/>
          <w:color w:val="000000"/>
          <w:kern w:val="0"/>
          <w:sz w:val="24"/>
          <w:szCs w:val="24"/>
        </w:rPr>
        <w:t>最终结清申请单</w:t>
      </w:r>
      <w:r>
        <w:rPr>
          <w:rFonts w:hint="eastAsia" w:ascii="宋体" w:hAnsi="宋体" w:eastAsia="宋体" w:cs="宋体"/>
          <w:color w:val="000000"/>
          <w:sz w:val="24"/>
          <w:szCs w:val="24"/>
        </w:rPr>
        <w:t>应列明质量保证金、应扣除的质量保证金、缺陷责任期内发生的增减费用。</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（2）发包人对最终结清申请单内容有异议的，有权要求承包人进行修正和提供补充资料，承包人应向发包人提交修正后的最终结清申请单。</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14.4.2 最终结清证书和支付</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（3）承包人对发包人颁发的最终结清证书有异议的，按第20条〔争议解决〕的约定办理。</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555" w:name="_Toc351203598"/>
      <w:bookmarkStart w:id="556" w:name="_Toc337558815"/>
      <w:r>
        <w:rPr>
          <w:rFonts w:hint="eastAsia" w:ascii="宋体" w:hAnsi="宋体" w:eastAsia="宋体" w:cs="宋体"/>
          <w:b w:val="0"/>
          <w:color w:val="000000"/>
          <w:sz w:val="24"/>
          <w:szCs w:val="24"/>
        </w:rPr>
        <w:t>15. 缺陷责任与保修</w:t>
      </w:r>
      <w:bookmarkEnd w:id="555"/>
    </w:p>
    <w:bookmarkEnd w:id="545"/>
    <w:bookmarkEnd w:id="546"/>
    <w:bookmarkEnd w:id="556"/>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57" w:name="_Toc351203599"/>
      <w:bookmarkStart w:id="558" w:name="_Toc337558816"/>
      <w:bookmarkStart w:id="559" w:name="_Toc296346615"/>
      <w:bookmarkStart w:id="560" w:name="_Toc296503114"/>
      <w:r>
        <w:rPr>
          <w:rFonts w:hint="eastAsia" w:ascii="宋体" w:hAnsi="宋体" w:eastAsia="宋体" w:cs="宋体"/>
          <w:b w:val="0"/>
          <w:color w:val="000000"/>
          <w:sz w:val="24"/>
          <w:szCs w:val="24"/>
        </w:rPr>
        <w:t>15.1 工程保修的原则</w:t>
      </w:r>
      <w:bookmarkEnd w:id="557"/>
    </w:p>
    <w:bookmarkEnd w:id="558"/>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在工程移交发包人后，因承包人原因产生的质量缺陷，承包人应承担质量缺陷责任和保修义务。缺陷责任期届满，承包人仍应按合同约定的工程各部位保修年限承担保修义务。</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61" w:name="_Toc351203600"/>
      <w:bookmarkStart w:id="562" w:name="_Toc337558817"/>
      <w:r>
        <w:rPr>
          <w:rFonts w:hint="eastAsia" w:ascii="宋体" w:hAnsi="宋体" w:eastAsia="宋体" w:cs="宋体"/>
          <w:b w:val="0"/>
          <w:color w:val="000000"/>
          <w:sz w:val="24"/>
          <w:szCs w:val="24"/>
        </w:rPr>
        <w:t>15.2 缺陷责任期</w:t>
      </w:r>
      <w:bookmarkEnd w:id="559"/>
      <w:bookmarkEnd w:id="560"/>
      <w:bookmarkEnd w:id="561"/>
    </w:p>
    <w:bookmarkEnd w:id="562"/>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15.2.1 缺陷责任期从工程通过竣工验收之日起计算，合同当事人应在专用合同条款约定缺陷责任期的具体期限，但该期限最长不超过24个月。</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000000"/>
          <w:sz w:val="24"/>
          <w:szCs w:val="24"/>
        </w:rPr>
        <w:t>包人延长缺陷责任期，</w:t>
      </w:r>
      <w:r>
        <w:rPr>
          <w:rFonts w:hint="eastAsia" w:ascii="宋体" w:hAnsi="宋体" w:eastAsia="宋体" w:cs="宋体"/>
          <w:color w:val="000000"/>
          <w:kern w:val="0"/>
          <w:sz w:val="24"/>
          <w:szCs w:val="24"/>
        </w:rPr>
        <w:t>并应在原缺陷责任期届满前发出延长通知。</w:t>
      </w:r>
      <w:r>
        <w:rPr>
          <w:rFonts w:hint="eastAsia" w:ascii="宋体" w:hAnsi="宋体" w:eastAsia="宋体" w:cs="宋体"/>
          <w:bCs/>
          <w:color w:val="000000"/>
          <w:sz w:val="24"/>
          <w:szCs w:val="24"/>
        </w:rPr>
        <w:t>但缺陷责任期（含延长部分）最长</w:t>
      </w:r>
      <w:r>
        <w:rPr>
          <w:rFonts w:hint="eastAsia" w:ascii="宋体" w:hAnsi="宋体" w:eastAsia="宋体" w:cs="宋体"/>
          <w:color w:val="000000"/>
          <w:kern w:val="0"/>
          <w:sz w:val="24"/>
          <w:szCs w:val="24"/>
        </w:rPr>
        <w:t>不能超过24个月。</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由他人原因造成的缺陷，发包人负责组织维修，承包人不承担费用，且发包人不得从保证金中扣除费用。</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15.2.3 任何一项缺陷或损坏修复后，经检查证明其影响了工程或工程设备的使用性能，承包人应重新进行合同约定的试验和试运行，试验和试运行的全部费用应由责任方承担。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63" w:name="_Toc351203601"/>
      <w:bookmarkStart w:id="564" w:name="_Toc337558818"/>
      <w:bookmarkStart w:id="565" w:name="_Toc296503115"/>
      <w:bookmarkStart w:id="566" w:name="_Toc296346616"/>
      <w:r>
        <w:rPr>
          <w:rFonts w:hint="eastAsia" w:ascii="宋体" w:hAnsi="宋体" w:eastAsia="宋体" w:cs="宋体"/>
          <w:b w:val="0"/>
          <w:color w:val="000000"/>
          <w:sz w:val="24"/>
          <w:szCs w:val="24"/>
        </w:rPr>
        <w:t>15.3 质量保证金</w:t>
      </w:r>
      <w:bookmarkEnd w:id="563"/>
    </w:p>
    <w:bookmarkEnd w:id="564"/>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经合同当事人协商一致扣留质量保证金的，应在专用合同条款中予以明确。</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在工程项目竣工前，承包人已经提供履约担保的，发包人不得同时预留工程质量保证金。</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15.3.1 承包人提供质量保证金的方式</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承包人提供质量保证金有以下三种方式：</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（1）质量保证金保函； </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（2）相应比例的工程款；</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（3）双方约定的其他方式。</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除专用合同条款另有约定外，质量保证金原则上采用上述第（1）种方式。</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15.3.2 质量保证金的扣留</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质量保证金的扣留有以下三种方式：</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w:t>
      </w:r>
      <w:bookmarkStart w:id="567" w:name="#go6"/>
      <w:bookmarkEnd w:id="567"/>
      <w:r>
        <w:rPr>
          <w:rFonts w:hint="eastAsia" w:ascii="宋体" w:hAnsi="宋体" w:eastAsia="宋体" w:cs="宋体"/>
          <w:color w:val="000000"/>
          <w:kern w:val="0"/>
          <w:sz w:val="24"/>
          <w:szCs w:val="24"/>
        </w:rPr>
        <w:t>程竣工结算时一次性扣留质量保证金；</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（3）双方约定的其他扣留方式。</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除专用合同条款另有约定外，质量保证金的扣留原则上采用上述第（1）种方式。</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w:t>
      </w:r>
      <w:bookmarkStart w:id="568" w:name="#go4"/>
      <w:bookmarkEnd w:id="568"/>
      <w:r>
        <w:rPr>
          <w:rFonts w:hint="eastAsia" w:ascii="宋体" w:hAnsi="宋体" w:eastAsia="宋体" w:cs="宋体"/>
          <w:color w:val="000000"/>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发包人在退还质量保证金的同时按照中国人民银行发布的同期同类贷款基准利率支付利息。</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15.3.3 </w:t>
      </w:r>
      <w:r>
        <w:rPr>
          <w:rFonts w:hint="eastAsia" w:ascii="宋体" w:hAnsi="宋体" w:eastAsia="宋体" w:cs="宋体"/>
          <w:color w:val="000000"/>
          <w:sz w:val="24"/>
          <w:szCs w:val="24"/>
        </w:rPr>
        <w:t>质量保证金</w:t>
      </w:r>
      <w:r>
        <w:rPr>
          <w:rFonts w:hint="eastAsia" w:ascii="宋体" w:hAnsi="宋体" w:eastAsia="宋体" w:cs="宋体"/>
          <w:color w:val="000000"/>
          <w:kern w:val="0"/>
          <w:sz w:val="24"/>
          <w:szCs w:val="24"/>
        </w:rPr>
        <w:t>的退还</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缺陷责任期内，承包人认真履行合同约定的责任，到期后，承包人可向发包人申请返还保证金。</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发包人和承包人对保证金预留、返还以及工程维修质量、费用有争议的，按本合同第20条约定的争议和纠纷解决程序处理。</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69" w:name="_Toc351203602"/>
      <w:bookmarkStart w:id="570" w:name="_Toc337558819"/>
      <w:r>
        <w:rPr>
          <w:rFonts w:hint="eastAsia" w:ascii="宋体" w:hAnsi="宋体" w:eastAsia="宋体" w:cs="宋体"/>
          <w:b w:val="0"/>
          <w:color w:val="000000"/>
          <w:sz w:val="24"/>
          <w:szCs w:val="24"/>
        </w:rPr>
        <w:t>15.4 保修</w:t>
      </w:r>
      <w:bookmarkEnd w:id="569"/>
    </w:p>
    <w:bookmarkEnd w:id="565"/>
    <w:bookmarkEnd w:id="566"/>
    <w:bookmarkEnd w:id="570"/>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15.4.1保修责任</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发包人未经竣工验收擅自使用工程的，保修期自</w:t>
      </w:r>
      <w:r>
        <w:rPr>
          <w:rFonts w:hint="eastAsia" w:ascii="宋体" w:hAnsi="宋体" w:eastAsia="宋体" w:cs="宋体"/>
          <w:color w:val="000000"/>
          <w:kern w:val="0"/>
          <w:sz w:val="24"/>
          <w:szCs w:val="24"/>
        </w:rPr>
        <w:t>转移占有之日起算</w:t>
      </w:r>
      <w:r>
        <w:rPr>
          <w:rFonts w:hint="eastAsia" w:ascii="宋体" w:hAnsi="宋体" w:eastAsia="宋体" w:cs="宋体"/>
          <w:color w:val="000000"/>
          <w:sz w:val="24"/>
          <w:szCs w:val="24"/>
        </w:rPr>
        <w:t>。</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15.4.2 修复费用</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保修期内，修复的费用按照以下约定处理：</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（1）保修期内，因承包人原因造成工程的缺陷、损坏，承包人应负责修复，并承担修复的费用以及因工程的缺陷、损坏造成的人身伤害和财产损失；</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（2）保修期内，因发包人使用不当造成工程的缺陷、损坏，可以委托承包人修复，但发包人应承担修复的费用，并支付承包人合理利润；</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（3）因其他原因造成工程的缺陷、损坏，可以委托承包人修复，发包人应承担修复的费用，并支付承包人合理的利润，因工程的缺陷、损坏造成的人身伤害和财产损失由责任方承担。</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15.4.3 修复通知</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15.4.4 未能修复</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15.4.5 承包人出入权</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571" w:name="_Toc351203603"/>
      <w:bookmarkStart w:id="572" w:name="_Toc337558820"/>
      <w:r>
        <w:rPr>
          <w:rFonts w:hint="eastAsia" w:ascii="宋体" w:hAnsi="宋体" w:eastAsia="宋体" w:cs="宋体"/>
          <w:b w:val="0"/>
          <w:color w:val="000000"/>
          <w:sz w:val="24"/>
          <w:szCs w:val="24"/>
        </w:rPr>
        <w:t>16. 违约</w:t>
      </w:r>
      <w:bookmarkEnd w:id="571"/>
    </w:p>
    <w:bookmarkEnd w:id="572"/>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73" w:name="_Toc296503129"/>
      <w:bookmarkStart w:id="574" w:name="_Toc296346630"/>
      <w:bookmarkStart w:id="575" w:name="_Toc351203604"/>
      <w:bookmarkStart w:id="576" w:name="_Toc337558821"/>
      <w:r>
        <w:rPr>
          <w:rFonts w:hint="eastAsia" w:ascii="宋体" w:hAnsi="宋体" w:eastAsia="宋体" w:cs="宋体"/>
          <w:b w:val="0"/>
          <w:color w:val="000000"/>
          <w:sz w:val="24"/>
          <w:szCs w:val="24"/>
        </w:rPr>
        <w:t>16.1 发</w:t>
      </w:r>
      <w:bookmarkEnd w:id="573"/>
      <w:bookmarkEnd w:id="574"/>
      <w:r>
        <w:rPr>
          <w:rFonts w:hint="eastAsia" w:ascii="宋体" w:hAnsi="宋体" w:eastAsia="宋体" w:cs="宋体"/>
          <w:b w:val="0"/>
          <w:color w:val="000000"/>
          <w:sz w:val="24"/>
          <w:szCs w:val="24"/>
        </w:rPr>
        <w:t>包人违约</w:t>
      </w:r>
      <w:bookmarkEnd w:id="575"/>
    </w:p>
    <w:bookmarkEnd w:id="576"/>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16.1.1 发包人违约的情形</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在合同履行过程中发生的下列情形，属于发包人违约：</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（1）因发包人原因未能在计划开工日期前7天内下达开工通知的；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（2）因发包人原因未能按合同约定支付合同价款的；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（3）发包人违反第10.1款〔变更的范围〕第（2）项约定，自行实施被取消的工作或转由他人实施的；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（5）因发包人违反合同约定造成暂停施工的；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（7）发包人明确表示或者以其行为表明不履行合同主要义务的；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（8）发包人未能按照合同约定履行其他义务的。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16.1.2 发包人违约的责任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发包人应承担因其违约给承包人增加的费用和（或）延误的工期，并支付承包人合理的利润。此外，合同当事人可在专用合同条款中另行约定发包人违约责任的承担方式和计算方法。</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16.1.3 因发包人违约解除合同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16.1.4 因发包人违约解除合同后的付款</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承包人按照本款约定解除合同的，发包人应在解除合同后28天内支付下列款项，并解除履约担保：</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（1）合同解除前所完成工作的价款；</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（2）承包人为工程施工订购并已付款的材料、工程设备和其他物品的价款；</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（3）承包人撤离施工现场以及遣散承包人人员的款项；</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（4）按照合同约定在合同解除前应支付的违约金；</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（5）按照合同约定应当支付给承包人的其他款项；</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（6）按照合同约定应退还的质量保证金；</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（7）因解除合同给承包人造成的损失。</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合同当事人未能就解除合同后的结清达成一致的，按照第20条〔争议解决〕的约定处理。</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承包人应妥善做好已完工程和与工程有关的已购材料、工程设备的保护和移交工作，并将施工设备和人员撤出施工现场，发包人应为承包人撤出提供必要条件。</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77" w:name="_Toc351203605"/>
      <w:bookmarkStart w:id="578" w:name="_Toc296346632"/>
      <w:bookmarkStart w:id="579" w:name="_Toc296503131"/>
      <w:bookmarkStart w:id="580" w:name="_Toc337558822"/>
      <w:r>
        <w:rPr>
          <w:rFonts w:hint="eastAsia" w:ascii="宋体" w:hAnsi="宋体" w:eastAsia="宋体" w:cs="宋体"/>
          <w:b w:val="0"/>
          <w:color w:val="000000"/>
          <w:sz w:val="24"/>
          <w:szCs w:val="24"/>
        </w:rPr>
        <w:t>16.2 承包人违约</w:t>
      </w:r>
      <w:bookmarkEnd w:id="577"/>
    </w:p>
    <w:bookmarkEnd w:id="578"/>
    <w:bookmarkEnd w:id="579"/>
    <w:bookmarkEnd w:id="580"/>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16.2.1 承包人违约的情形</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在合同履行过程中发生的下列情形，属于承包人违约：</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（1）承包人违反合同约定进行转包或违法分包的；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（2）承包人违反合同约定采购和使用不合格的材料和工程设备的；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（3）因承包人原因导致工程质量不符合合同要求的； </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（4）承包人违反第8.9款〔材料与设备专用要求〕的约定，未经批准，私自将已按照合同约定进入施工现场的材料或设备撤离施工现场的；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（5）承包人未能按施工进度计划及时完成合同约定的工作，造成工期延误的；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（6）承包人在缺陷责任期及保修期内，未能在合理期限对工程缺陷进行修复，或拒绝按发包人要求进行修复的；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（7）承包人明确表示或者以其行为表明不履行合同主要义务的；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（8）承包人未能按照合同约定履行其他义务的。</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承包人发生除本项第（7）目约定以外的其他违约情况时，监理人可向承包人发出整改通知，要求其在指定的期限内改正。</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16.2.2 承包人违约的责任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承包人应承担因其违约行为而增加的费用和（或）延误的工期。此外，合同当事人可在专用合同条款中另行约定承包人违约责任的承担方式和计算方法。</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16.2.3 因承包人违约解除合同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16.2.4因承包人违约解除合同后的处理</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因承包人原因导致合同解除的，则合同当事人应在合同解除后28天内完成估价、付款和清算，并按以下约定执行：</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（1）合同解除后，按第4.4款〔商定或确定〕商定或确定承包人实际完成工作对应的合同价款，以及承包人已提供的材料、工程设备、施工设备和临时工程等的价值；</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（2）合同解除后，承包人应支付的违约金；</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（3）合同解除后，因解除合同给发包人造成的损失；</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（4）合同解除后，承包人应按照发包人要求和监理人的指示完成现场的清理和撤离；</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（5）发包人和承包人应在合同解除后进行清算，出具最终结清付款证书，结清全部款项。</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16.2.5采购合同权益转让</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81" w:name="_Toc351203606"/>
      <w:r>
        <w:rPr>
          <w:rFonts w:hint="eastAsia" w:ascii="宋体" w:hAnsi="宋体" w:eastAsia="宋体" w:cs="宋体"/>
          <w:b w:val="0"/>
          <w:color w:val="000000"/>
          <w:sz w:val="24"/>
          <w:szCs w:val="24"/>
        </w:rPr>
        <w:t>16.3 第三人造成的违约</w:t>
      </w:r>
      <w:bookmarkEnd w:id="581"/>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在履行合同过程中，一方当事人因第三人的原因造成违约的，应当向对方当事人承担违约责任。一方当事人和第三人之间的纠纷，依照法律规定或者按照约定解决。</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582" w:name="_Toc351203607"/>
      <w:bookmarkStart w:id="583" w:name="_Toc337558823"/>
      <w:bookmarkStart w:id="584" w:name="_Toc296503116"/>
      <w:bookmarkStart w:id="585" w:name="_Toc296346617"/>
      <w:r>
        <w:rPr>
          <w:rFonts w:hint="eastAsia" w:ascii="宋体" w:hAnsi="宋体" w:eastAsia="宋体" w:cs="宋体"/>
          <w:b w:val="0"/>
          <w:color w:val="000000"/>
          <w:sz w:val="24"/>
          <w:szCs w:val="24"/>
        </w:rPr>
        <w:t>17. 不可抗力</w:t>
      </w:r>
      <w:bookmarkEnd w:id="582"/>
      <w:r>
        <w:rPr>
          <w:rFonts w:hint="eastAsia" w:ascii="宋体" w:hAnsi="宋体" w:eastAsia="宋体" w:cs="宋体"/>
          <w:b w:val="0"/>
          <w:color w:val="000000"/>
          <w:sz w:val="24"/>
          <w:szCs w:val="24"/>
        </w:rPr>
        <w:t xml:space="preserve"> </w:t>
      </w:r>
      <w:bookmarkEnd w:id="583"/>
      <w:bookmarkEnd w:id="584"/>
      <w:bookmarkEnd w:id="585"/>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86" w:name="_Toc351203608"/>
      <w:bookmarkStart w:id="587" w:name="_Toc296503117"/>
      <w:bookmarkStart w:id="588" w:name="_Toc337558824"/>
      <w:bookmarkStart w:id="589" w:name="_Toc296346618"/>
      <w:r>
        <w:rPr>
          <w:rFonts w:hint="eastAsia" w:ascii="宋体" w:hAnsi="宋体" w:eastAsia="宋体" w:cs="宋体"/>
          <w:b w:val="0"/>
          <w:color w:val="000000"/>
          <w:sz w:val="24"/>
          <w:szCs w:val="24"/>
        </w:rPr>
        <w:t>17.1 不可抗力的确认</w:t>
      </w:r>
      <w:bookmarkEnd w:id="586"/>
    </w:p>
    <w:bookmarkEnd w:id="587"/>
    <w:bookmarkEnd w:id="588"/>
    <w:bookmarkEnd w:id="589"/>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90" w:name="_Toc351203609"/>
      <w:bookmarkStart w:id="591" w:name="_Toc337558825"/>
      <w:bookmarkStart w:id="592" w:name="_Toc296346619"/>
      <w:bookmarkStart w:id="593" w:name="_Toc296503118"/>
      <w:r>
        <w:rPr>
          <w:rFonts w:hint="eastAsia" w:ascii="宋体" w:hAnsi="宋体" w:eastAsia="宋体" w:cs="宋体"/>
          <w:b w:val="0"/>
          <w:color w:val="000000"/>
          <w:sz w:val="24"/>
          <w:szCs w:val="24"/>
        </w:rPr>
        <w:t>17.2 不可抗力的通知</w:t>
      </w:r>
      <w:bookmarkEnd w:id="590"/>
    </w:p>
    <w:bookmarkEnd w:id="591"/>
    <w:bookmarkEnd w:id="592"/>
    <w:bookmarkEnd w:id="593"/>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合同一方当事人遇到不可抗力事件，使其履行合同义务受到阻碍时，应立即通知合同另一方当事人和监理人，书面说明不可抗力和受阻碍的详细情况，并提供必要的证明。</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94" w:name="_Toc351203610"/>
      <w:bookmarkStart w:id="595" w:name="_Toc296346620"/>
      <w:bookmarkStart w:id="596" w:name="_Toc296503119"/>
      <w:bookmarkStart w:id="597" w:name="_Toc337558826"/>
      <w:r>
        <w:rPr>
          <w:rFonts w:hint="eastAsia" w:ascii="宋体" w:hAnsi="宋体" w:eastAsia="宋体" w:cs="宋体"/>
          <w:b w:val="0"/>
          <w:color w:val="000000"/>
          <w:sz w:val="24"/>
          <w:szCs w:val="24"/>
        </w:rPr>
        <w:t>17.3 不可抗力后果的承担</w:t>
      </w:r>
      <w:bookmarkEnd w:id="594"/>
    </w:p>
    <w:bookmarkEnd w:id="595"/>
    <w:bookmarkEnd w:id="596"/>
    <w:bookmarkEnd w:id="597"/>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17.3.1 不可抗力引起的后果及造成的损失由合同当事人按照法律规定及合同约定各自承担。不可抗力发生前已完成的工程应当按照合同约定进行计量支付。</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17.3.2 不可抗力导致的人员伤亡、财产损失、费用增加和（或）工期延误等后果，由合同当事人按以下原则承担：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（1）永久工程、已运至施工现场的材料和工程设备的损坏，以及因工程损坏造成的第三人人员伤亡和财产损失由发包人承担；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（2）承包人施工设备的损坏由承包人承担；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（3）发包人和承包人承担各自人员伤亡和财产的损失；</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（5）因不可抗力引起或将引起工期延误，发包人要求赶工的，由此增加的赶工费用由发包人承担；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（6）承包人在停工期间按照发包人要求照管、清理和修复工程的费用由发包人承担。</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不可抗力发生后，合同当事人均应采取措施尽量避免和减少损失的扩大，任何一方当事人没有采取有效措施导致损失扩大的，应对扩大的损失承担责任。</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因合同一方迟延履行合同义务，在迟延履行期间遭遇不可抗力的，不免除其违约责任。</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598" w:name="_Toc351203611"/>
      <w:bookmarkStart w:id="599" w:name="_Toc337558827"/>
      <w:r>
        <w:rPr>
          <w:rFonts w:hint="eastAsia" w:ascii="宋体" w:hAnsi="宋体" w:eastAsia="宋体" w:cs="宋体"/>
          <w:b w:val="0"/>
          <w:color w:val="000000"/>
          <w:sz w:val="24"/>
          <w:szCs w:val="24"/>
        </w:rPr>
        <w:t>17.4 因不可抗力解除合同</w:t>
      </w:r>
      <w:bookmarkEnd w:id="598"/>
    </w:p>
    <w:bookmarkEnd w:id="599"/>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（1）合同解除前承包人已完成工作的价款；</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（2）承包人为工程订购的并已交付给承包人，或承包人有责任接受交付的材料、工程设备和其他物品的价款；</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（3）发包人要求承包人退货或解除订货合同而产生的费用，或因不能退货或解除合同而产生的损失；</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（4）承包人撤离施工现场以及遣散承包人人员的费用；</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（5）按照合同约定在合同解除前应支付给承包人的其他款项；</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（6）扣减承包人按照合同约定应向发包人支付的款项；</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（7）双方商定或确定的其他款项。</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除专用合同条款另有约定外，合同解除后，发包人应在商定或确定上述款项后28天内完成上述款项的支付。</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600" w:name="_Toc351203612"/>
      <w:bookmarkStart w:id="601" w:name="_Toc337558828"/>
      <w:bookmarkStart w:id="602" w:name="_Toc296346621"/>
      <w:bookmarkStart w:id="603" w:name="_Toc296503120"/>
      <w:r>
        <w:rPr>
          <w:rFonts w:hint="eastAsia" w:ascii="宋体" w:hAnsi="宋体" w:eastAsia="宋体" w:cs="宋体"/>
          <w:b w:val="0"/>
          <w:color w:val="000000"/>
          <w:sz w:val="24"/>
          <w:szCs w:val="24"/>
        </w:rPr>
        <w:t>18. 保险</w:t>
      </w:r>
      <w:bookmarkEnd w:id="600"/>
    </w:p>
    <w:bookmarkEnd w:id="601"/>
    <w:bookmarkEnd w:id="602"/>
    <w:bookmarkEnd w:id="603"/>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04" w:name="_Toc351203613"/>
      <w:bookmarkStart w:id="605" w:name="_Toc296346622"/>
      <w:bookmarkStart w:id="606" w:name="_Toc296503121"/>
      <w:bookmarkStart w:id="607" w:name="_Toc337558829"/>
      <w:r>
        <w:rPr>
          <w:rFonts w:hint="eastAsia" w:ascii="宋体" w:hAnsi="宋体" w:eastAsia="宋体" w:cs="宋体"/>
          <w:b w:val="0"/>
          <w:color w:val="000000"/>
          <w:sz w:val="24"/>
          <w:szCs w:val="24"/>
        </w:rPr>
        <w:t>18.1 工程保险</w:t>
      </w:r>
      <w:bookmarkEnd w:id="604"/>
    </w:p>
    <w:bookmarkEnd w:id="605"/>
    <w:bookmarkEnd w:id="606"/>
    <w:bookmarkEnd w:id="607"/>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除专用合同条款另有约定外，发包人应投保建筑工程一切险或安装工程一切险；发包人委托承包人投保的，因投保产生的保险费和其他相关费用由发包人承担。</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08" w:name="_Toc351203614"/>
      <w:bookmarkStart w:id="609" w:name="_Toc337558830"/>
      <w:bookmarkStart w:id="610" w:name="_Toc296346623"/>
      <w:bookmarkStart w:id="611" w:name="_Toc296503122"/>
      <w:r>
        <w:rPr>
          <w:rFonts w:hint="eastAsia" w:ascii="宋体" w:hAnsi="宋体" w:eastAsia="宋体" w:cs="宋体"/>
          <w:b w:val="0"/>
          <w:color w:val="000000"/>
          <w:sz w:val="24"/>
          <w:szCs w:val="24"/>
        </w:rPr>
        <w:t>18.2 工伤保险</w:t>
      </w:r>
      <w:bookmarkEnd w:id="608"/>
    </w:p>
    <w:bookmarkEnd w:id="609"/>
    <w:bookmarkEnd w:id="610"/>
    <w:bookmarkEnd w:id="611"/>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18.2.1 发包人应依照法律规定参加工伤保险，并为在施工现场的全部员工办理工伤保险，缴纳工伤保险费，并要求监理人及由发包人为履行合同聘请的第三方依法参加工伤保险。</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18.2.2 承包人应依照法律规定参加工伤保险，并为其履行合同的全部员工办理工伤保险，缴纳工伤保险费，并要求分包人及由承包人为履行合同聘请的第三方依法参加工伤保险。</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12" w:name="_Toc351203615"/>
      <w:bookmarkStart w:id="613" w:name="_Toc296503125"/>
      <w:bookmarkStart w:id="614" w:name="_Toc296346626"/>
      <w:bookmarkStart w:id="615" w:name="_Toc337558831"/>
      <w:r>
        <w:rPr>
          <w:rFonts w:hint="eastAsia" w:ascii="宋体" w:hAnsi="宋体" w:eastAsia="宋体" w:cs="宋体"/>
          <w:b w:val="0"/>
          <w:color w:val="000000"/>
          <w:sz w:val="24"/>
          <w:szCs w:val="24"/>
        </w:rPr>
        <w:t>18.3其他保险</w:t>
      </w:r>
      <w:bookmarkEnd w:id="612"/>
    </w:p>
    <w:bookmarkEnd w:id="613"/>
    <w:bookmarkEnd w:id="614"/>
    <w:bookmarkEnd w:id="615"/>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除专用合同条款另有约定外，承包人应为其施工设备等办理财产保险。</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16" w:name="_Toc351203616"/>
      <w:r>
        <w:rPr>
          <w:rFonts w:hint="eastAsia" w:ascii="宋体" w:hAnsi="宋体" w:eastAsia="宋体" w:cs="宋体"/>
          <w:b w:val="0"/>
          <w:color w:val="000000"/>
          <w:sz w:val="24"/>
          <w:szCs w:val="24"/>
        </w:rPr>
        <w:t>18.4持续保险</w:t>
      </w:r>
      <w:bookmarkEnd w:id="616"/>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合同当事人应与保险人保持联系，使保险人能够随时了解工程实施中的变动，并确保按保险合同条款要求持续保险。</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17" w:name="_Toc351203617"/>
      <w:bookmarkStart w:id="618" w:name="_Toc296346627"/>
      <w:bookmarkStart w:id="619" w:name="_Toc337558832"/>
      <w:bookmarkStart w:id="620" w:name="_Toc296503126"/>
      <w:r>
        <w:rPr>
          <w:rFonts w:hint="eastAsia" w:ascii="宋体" w:hAnsi="宋体" w:eastAsia="宋体" w:cs="宋体"/>
          <w:b w:val="0"/>
          <w:color w:val="000000"/>
          <w:sz w:val="24"/>
          <w:szCs w:val="24"/>
        </w:rPr>
        <w:t>18.5 保险凭证</w:t>
      </w:r>
      <w:bookmarkEnd w:id="617"/>
    </w:p>
    <w:bookmarkEnd w:id="618"/>
    <w:bookmarkEnd w:id="619"/>
    <w:bookmarkEnd w:id="620"/>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合同当事人应及时向另一方当事人提交其已投保的各项保险的凭证和保险单复印件。</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21" w:name="_Toc351203618"/>
      <w:bookmarkStart w:id="622" w:name="_Toc296503127"/>
      <w:bookmarkStart w:id="623" w:name="_Toc296346628"/>
      <w:bookmarkStart w:id="624" w:name="_Toc337558833"/>
      <w:r>
        <w:rPr>
          <w:rFonts w:hint="eastAsia" w:ascii="宋体" w:hAnsi="宋体" w:eastAsia="宋体" w:cs="宋体"/>
          <w:b w:val="0"/>
          <w:color w:val="000000"/>
          <w:sz w:val="24"/>
          <w:szCs w:val="24"/>
        </w:rPr>
        <w:t>18.6 未按约定投保的补救</w:t>
      </w:r>
      <w:bookmarkEnd w:id="621"/>
    </w:p>
    <w:bookmarkEnd w:id="622"/>
    <w:bookmarkEnd w:id="623"/>
    <w:bookmarkEnd w:id="624"/>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25" w:name="_Toc351203619"/>
      <w:bookmarkStart w:id="626" w:name="_Toc337558834"/>
      <w:r>
        <w:rPr>
          <w:rFonts w:hint="eastAsia" w:ascii="宋体" w:hAnsi="宋体" w:eastAsia="宋体" w:cs="宋体"/>
          <w:b w:val="0"/>
          <w:color w:val="000000"/>
          <w:sz w:val="24"/>
          <w:szCs w:val="24"/>
        </w:rPr>
        <w:t>18.7 通知义务</w:t>
      </w:r>
      <w:bookmarkEnd w:id="625"/>
    </w:p>
    <w:bookmarkEnd w:id="626"/>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保险事故发生时，投保人应按照保险合同规定的条件和期限及时向保险人报告。发包人和承包人应当在知道保险事故发生后及时通知对方。</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627" w:name="_Toc351203620"/>
      <w:bookmarkStart w:id="628" w:name="_Toc337558835"/>
      <w:bookmarkStart w:id="629" w:name="_Toc296346641"/>
      <w:bookmarkStart w:id="630" w:name="_Toc296503140"/>
      <w:r>
        <w:rPr>
          <w:rFonts w:hint="eastAsia" w:ascii="宋体" w:hAnsi="宋体" w:eastAsia="宋体" w:cs="宋体"/>
          <w:b w:val="0"/>
          <w:color w:val="000000"/>
          <w:sz w:val="24"/>
          <w:szCs w:val="24"/>
        </w:rPr>
        <w:t>19. 索赔</w:t>
      </w:r>
      <w:bookmarkEnd w:id="627"/>
    </w:p>
    <w:bookmarkEnd w:id="628"/>
    <w:bookmarkEnd w:id="629"/>
    <w:bookmarkEnd w:id="630"/>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31" w:name="_Toc351203621"/>
      <w:bookmarkStart w:id="632" w:name="_Toc296346642"/>
      <w:bookmarkStart w:id="633" w:name="_Toc296503141"/>
      <w:bookmarkStart w:id="634" w:name="_Toc337558836"/>
      <w:r>
        <w:rPr>
          <w:rFonts w:hint="eastAsia" w:ascii="宋体" w:hAnsi="宋体" w:eastAsia="宋体" w:cs="宋体"/>
          <w:b w:val="0"/>
          <w:color w:val="000000"/>
          <w:sz w:val="24"/>
          <w:szCs w:val="24"/>
        </w:rPr>
        <w:t>19.1承包人的索赔</w:t>
      </w:r>
      <w:bookmarkEnd w:id="631"/>
    </w:p>
    <w:bookmarkEnd w:id="632"/>
    <w:bookmarkEnd w:id="633"/>
    <w:bookmarkEnd w:id="634"/>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根据合同约定，承包人认为有权得到追加付款和（或）延长工期的，应按以下程序向发包人提出索赔：</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（2）承包人应在发出索赔意向通知书后28天内，向监理人正式递交索赔报告；索赔报告应详细说明索赔理由以及要求追加的付款金额和（或）延长的工期，并附必要的记录和证明材料；</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（3）索赔事件具有持续影响的，承包人应按合理时间间隔继续递交延续索赔通知，说明持续影响的实际情况和记录，列出累计的追加付款金额和（或）工期延长天数；</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（4）在索赔事件影响结束后28天内，承包人应向监理人递交最终索赔报告，说明最终要求索赔的追加付款金额和（或）延长的工期，并附必要的记录和证明材料。</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35" w:name="_Toc351203622"/>
      <w:bookmarkStart w:id="636" w:name="_Toc296346643"/>
      <w:bookmarkStart w:id="637" w:name="_Toc296503142"/>
      <w:bookmarkStart w:id="638" w:name="_Toc337558837"/>
      <w:r>
        <w:rPr>
          <w:rFonts w:hint="eastAsia" w:ascii="宋体" w:hAnsi="宋体" w:eastAsia="宋体" w:cs="宋体"/>
          <w:b w:val="0"/>
          <w:color w:val="000000"/>
          <w:sz w:val="24"/>
          <w:szCs w:val="24"/>
        </w:rPr>
        <w:t>19.2 对承包人索赔的处理</w:t>
      </w:r>
      <w:bookmarkEnd w:id="635"/>
    </w:p>
    <w:bookmarkEnd w:id="636"/>
    <w:bookmarkEnd w:id="637"/>
    <w:bookmarkEnd w:id="638"/>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对承包人索赔的处理如下：</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（1）监理人应在收到索赔报告后14天内完成审查并报送发包人。监理人对索赔报告存在异议的，有权要求承包人提交全部原始记录副本；</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（3）承包人接受索赔处理结果的，索赔款项在当期进度款中进行支付；承包人不接受索赔处理结果的，按照第20条〔争议解决〕约定处理。</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39" w:name="_Toc351203623"/>
      <w:bookmarkStart w:id="640" w:name="_Toc296346644"/>
      <w:bookmarkStart w:id="641" w:name="_Toc337558838"/>
      <w:bookmarkStart w:id="642" w:name="_Toc296503143"/>
      <w:r>
        <w:rPr>
          <w:rFonts w:hint="eastAsia" w:ascii="宋体" w:hAnsi="宋体" w:eastAsia="宋体" w:cs="宋体"/>
          <w:b w:val="0"/>
          <w:color w:val="000000"/>
          <w:sz w:val="24"/>
          <w:szCs w:val="24"/>
        </w:rPr>
        <w:t>19.3发包人的索赔</w:t>
      </w:r>
      <w:bookmarkEnd w:id="639"/>
    </w:p>
    <w:bookmarkEnd w:id="640"/>
    <w:bookmarkEnd w:id="641"/>
    <w:bookmarkEnd w:id="642"/>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根据合同约定，发包人认为有权得到赔付金额和（或）延长缺陷责任期的，监理人应向承包人发出通知并附有详细的证明。</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43" w:name="_Toc351203624"/>
      <w:bookmarkStart w:id="644" w:name="_Toc296346645"/>
      <w:bookmarkStart w:id="645" w:name="_Toc337558839"/>
      <w:bookmarkStart w:id="646" w:name="_Toc296503144"/>
      <w:r>
        <w:rPr>
          <w:rFonts w:hint="eastAsia" w:ascii="宋体" w:hAnsi="宋体" w:eastAsia="宋体" w:cs="宋体"/>
          <w:b w:val="0"/>
          <w:color w:val="000000"/>
          <w:sz w:val="24"/>
          <w:szCs w:val="24"/>
        </w:rPr>
        <w:t>19.4 对发包人索赔的处理</w:t>
      </w:r>
      <w:bookmarkEnd w:id="643"/>
    </w:p>
    <w:bookmarkEnd w:id="644"/>
    <w:bookmarkEnd w:id="645"/>
    <w:bookmarkEnd w:id="646"/>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对发包人索赔的处理如下：</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（1）承包人收到发包人提交的索赔报告后，应及时审查索赔报告的内容、查验发包人证明材料；</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（2）承包人应在收到索赔报告或有关索赔的进一步证明材料后28天内，将索赔处理结果答复发包人。如果承包人未在上述期限内作出答复的，则视为对发包人索赔要求的认可；</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（3）承包人接受索赔处理结果的，发包人可从应支付给承包人的合同价款中扣除赔付的金额或延长缺陷责任期；发包人不接受索赔处理结果的，按第20条〔争议解决〕约定处理。</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47" w:name="_Toc351203625"/>
      <w:r>
        <w:rPr>
          <w:rFonts w:hint="eastAsia" w:ascii="宋体" w:hAnsi="宋体" w:eastAsia="宋体" w:cs="宋体"/>
          <w:b w:val="0"/>
          <w:color w:val="000000"/>
          <w:sz w:val="24"/>
          <w:szCs w:val="24"/>
        </w:rPr>
        <w:t>19.5 提出索赔的期限</w:t>
      </w:r>
      <w:bookmarkEnd w:id="647"/>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（1）承包人按第14.2款〔竣工结算审核〕约定接收竣工付款证书后，应被视为已无权再提出在工程接收证书颁发前所发生的任何索赔。</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（2）承包人按第14.4款〔最终结清〕提交的最终结清申请单中，只限于提出工程接收证书颁发后发生的索赔。提出索赔的期限自接受最终结清证书时终止。</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648" w:name="_Toc351203626"/>
      <w:r>
        <w:rPr>
          <w:rFonts w:hint="eastAsia" w:ascii="宋体" w:hAnsi="宋体" w:eastAsia="宋体" w:cs="宋体"/>
          <w:b w:val="0"/>
          <w:color w:val="000000"/>
          <w:sz w:val="24"/>
          <w:szCs w:val="24"/>
        </w:rPr>
        <w:t>20</w:t>
      </w:r>
      <w:bookmarkStart w:id="649" w:name="_Toc337558840"/>
      <w:bookmarkStart w:id="650" w:name="_Toc296503146"/>
      <w:bookmarkStart w:id="651" w:name="_Toc296346647"/>
      <w:r>
        <w:rPr>
          <w:rFonts w:hint="eastAsia" w:ascii="宋体" w:hAnsi="宋体" w:eastAsia="宋体" w:cs="宋体"/>
          <w:b w:val="0"/>
          <w:color w:val="000000"/>
          <w:sz w:val="24"/>
          <w:szCs w:val="24"/>
        </w:rPr>
        <w:t>. 争议解决</w:t>
      </w:r>
      <w:bookmarkEnd w:id="648"/>
    </w:p>
    <w:bookmarkEnd w:id="649"/>
    <w:bookmarkEnd w:id="650"/>
    <w:bookmarkEnd w:id="651"/>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52" w:name="_Toc351203627"/>
      <w:bookmarkStart w:id="653" w:name="_Toc337558841"/>
      <w:bookmarkStart w:id="654" w:name="_Toc296346648"/>
      <w:bookmarkStart w:id="655" w:name="_Toc296503147"/>
      <w:r>
        <w:rPr>
          <w:rFonts w:hint="eastAsia" w:ascii="宋体" w:hAnsi="宋体" w:eastAsia="宋体" w:cs="宋体"/>
          <w:b w:val="0"/>
          <w:color w:val="000000"/>
          <w:sz w:val="24"/>
          <w:szCs w:val="24"/>
        </w:rPr>
        <w:t>20.1和解</w:t>
      </w:r>
      <w:bookmarkEnd w:id="652"/>
    </w:p>
    <w:bookmarkEnd w:id="653"/>
    <w:bookmarkEnd w:id="654"/>
    <w:bookmarkEnd w:id="655"/>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合同当事人可以就争议自行和解，自行和解达成协议的经双方签字并盖章后作为合同补充文件，双方均应遵照执行。</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56" w:name="_Toc351203628"/>
      <w:r>
        <w:rPr>
          <w:rFonts w:hint="eastAsia" w:ascii="宋体" w:hAnsi="宋体" w:eastAsia="宋体" w:cs="宋体"/>
          <w:b w:val="0"/>
          <w:color w:val="000000"/>
          <w:sz w:val="24"/>
          <w:szCs w:val="24"/>
        </w:rPr>
        <w:t>20</w:t>
      </w:r>
      <w:bookmarkStart w:id="657" w:name="_Toc296503148"/>
      <w:bookmarkStart w:id="658" w:name="_Toc337558842"/>
      <w:bookmarkStart w:id="659" w:name="_Toc296346649"/>
      <w:r>
        <w:rPr>
          <w:rFonts w:hint="eastAsia" w:ascii="宋体" w:hAnsi="宋体" w:eastAsia="宋体" w:cs="宋体"/>
          <w:b w:val="0"/>
          <w:color w:val="000000"/>
          <w:sz w:val="24"/>
          <w:szCs w:val="24"/>
        </w:rPr>
        <w:t>.2调解</w:t>
      </w:r>
      <w:bookmarkEnd w:id="656"/>
    </w:p>
    <w:bookmarkEnd w:id="657"/>
    <w:bookmarkEnd w:id="658"/>
    <w:bookmarkEnd w:id="659"/>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合同当事人可以就争议请求建设行政主管部门、行业协会或其他第三方进行调解，调解达成协议的，经双方签字并盖章后作为合同补充文件，双方均应遵照执行。</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60" w:name="_Toc351203629"/>
      <w:bookmarkStart w:id="661" w:name="_Toc296503149"/>
      <w:bookmarkStart w:id="662" w:name="_Toc337558843"/>
      <w:bookmarkStart w:id="663" w:name="_Toc296346650"/>
      <w:r>
        <w:rPr>
          <w:rFonts w:hint="eastAsia" w:ascii="宋体" w:hAnsi="宋体" w:eastAsia="宋体" w:cs="宋体"/>
          <w:b w:val="0"/>
          <w:color w:val="000000"/>
          <w:sz w:val="24"/>
          <w:szCs w:val="24"/>
        </w:rPr>
        <w:t>20.3争议评审</w:t>
      </w:r>
      <w:bookmarkEnd w:id="660"/>
    </w:p>
    <w:bookmarkEnd w:id="661"/>
    <w:bookmarkEnd w:id="662"/>
    <w:bookmarkEnd w:id="663"/>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合同当事人在专用合同条款中约定采取争议评审方式解决争议以及评审规则，并按下列约定执行： </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20.3.1 争议评审小组的确定</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除专用合同条款另有约定外，评审员报酬由发包人和承包人各承担一半。</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20.3.2 争议评审小组的决定</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20.3.3 争议评审小组决定的效力</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争议评审小组作出的书面决定经合同当事人签字确认后，对双方具有约束力，双方应遵照执行。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任何一方当事人不接受争议评审小组决定或不履行争议评审小组决定的，双方可选择采用其他争议解决方式。</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64" w:name="_Toc351203630"/>
      <w:bookmarkStart w:id="665" w:name="_Toc296346651"/>
      <w:bookmarkStart w:id="666" w:name="_Toc296503150"/>
      <w:bookmarkStart w:id="667" w:name="_Toc337558844"/>
      <w:r>
        <w:rPr>
          <w:rFonts w:hint="eastAsia" w:ascii="宋体" w:hAnsi="宋体" w:eastAsia="宋体" w:cs="宋体"/>
          <w:b w:val="0"/>
          <w:color w:val="000000"/>
          <w:sz w:val="24"/>
          <w:szCs w:val="24"/>
        </w:rPr>
        <w:t>20.4仲裁或诉讼</w:t>
      </w:r>
      <w:bookmarkEnd w:id="664"/>
    </w:p>
    <w:bookmarkEnd w:id="665"/>
    <w:bookmarkEnd w:id="666"/>
    <w:bookmarkEnd w:id="667"/>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因合同及合同有关事项产生的争议，合同当事人可以在专用合同条款中约定以下一种方式解决争议：</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（1）向约定的仲裁委员会申请仲裁；</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（2）向有管辖权的人民法院起诉。</w:t>
      </w:r>
    </w:p>
    <w:p>
      <w:pPr>
        <w:pStyle w:val="7"/>
        <w:pageBreakBefore w:val="0"/>
        <w:wordWrap/>
        <w:topLinePunct w:val="0"/>
        <w:bidi w:val="0"/>
        <w:spacing w:before="120" w:after="120" w:line="360" w:lineRule="auto"/>
        <w:ind w:firstLine="480" w:firstLineChars="200"/>
        <w:rPr>
          <w:rFonts w:hint="eastAsia" w:ascii="宋体" w:hAnsi="宋体" w:eastAsia="宋体" w:cs="宋体"/>
          <w:b w:val="0"/>
          <w:color w:val="000000"/>
          <w:sz w:val="24"/>
          <w:szCs w:val="24"/>
        </w:rPr>
      </w:pPr>
      <w:bookmarkStart w:id="668" w:name="_Toc351203631"/>
      <w:bookmarkStart w:id="669" w:name="_Toc296503152"/>
      <w:bookmarkStart w:id="670" w:name="_Toc296346653"/>
      <w:bookmarkStart w:id="671" w:name="_Toc337558845"/>
      <w:r>
        <w:rPr>
          <w:rFonts w:hint="eastAsia" w:ascii="宋体" w:hAnsi="宋体" w:eastAsia="宋体" w:cs="宋体"/>
          <w:b w:val="0"/>
          <w:color w:val="000000"/>
          <w:sz w:val="24"/>
          <w:szCs w:val="24"/>
        </w:rPr>
        <w:t>20.5争议解决条款效力</w:t>
      </w:r>
      <w:bookmarkEnd w:id="668"/>
    </w:p>
    <w:bookmarkEnd w:id="669"/>
    <w:bookmarkEnd w:id="670"/>
    <w:bookmarkEnd w:id="671"/>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合同有关争议解决的条款独立存在，合同的变更、解除、终止、无效或者被撤销均不影响其效力。 </w:t>
      </w:r>
    </w:p>
    <w:p>
      <w:pPr>
        <w:pStyle w:val="5"/>
        <w:pageBreakBefore w:val="0"/>
        <w:wordWrap/>
        <w:topLinePunct w:val="0"/>
        <w:bidi w:val="0"/>
        <w:spacing w:line="360" w:lineRule="auto"/>
        <w:jc w:val="center"/>
        <w:rPr>
          <w:rFonts w:hint="eastAsia" w:ascii="宋体" w:hAnsi="宋体" w:eastAsia="宋体" w:cs="宋体"/>
          <w:sz w:val="24"/>
          <w:szCs w:val="24"/>
        </w:rPr>
      </w:pPr>
      <w:bookmarkStart w:id="672" w:name="_Toc351203632"/>
      <w:r>
        <w:rPr>
          <w:rFonts w:hint="eastAsia" w:ascii="宋体" w:hAnsi="宋体" w:eastAsia="宋体" w:cs="宋体"/>
          <w:sz w:val="24"/>
          <w:szCs w:val="24"/>
        </w:rPr>
        <w:br w:type="page"/>
      </w:r>
      <w:r>
        <w:rPr>
          <w:rFonts w:hint="eastAsia" w:ascii="宋体" w:hAnsi="宋体" w:eastAsia="宋体" w:cs="宋体"/>
          <w:sz w:val="24"/>
          <w:szCs w:val="24"/>
        </w:rPr>
        <w:t>第三部分 专用合同条款</w:t>
      </w:r>
      <w:bookmarkEnd w:id="672"/>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673" w:name="_Toc351203633"/>
      <w:r>
        <w:rPr>
          <w:rFonts w:hint="eastAsia" w:ascii="宋体" w:hAnsi="宋体" w:eastAsia="宋体" w:cs="宋体"/>
          <w:b w:val="0"/>
          <w:color w:val="000000"/>
          <w:sz w:val="24"/>
          <w:szCs w:val="24"/>
        </w:rPr>
        <w:t>1</w:t>
      </w:r>
      <w:bookmarkStart w:id="674" w:name="_Toc292559361"/>
      <w:bookmarkStart w:id="675" w:name="_Toc296346657"/>
      <w:bookmarkStart w:id="676" w:name="_Toc296891196"/>
      <w:bookmarkStart w:id="677" w:name="_Toc296944495"/>
      <w:bookmarkStart w:id="678" w:name="_Toc296347155"/>
      <w:bookmarkStart w:id="679" w:name="_Toc292559866"/>
      <w:bookmarkStart w:id="680" w:name="_Toc296890984"/>
      <w:bookmarkStart w:id="681" w:name="_Toc297120456"/>
      <w:bookmarkStart w:id="682" w:name="_Toc297048342"/>
      <w:bookmarkStart w:id="683" w:name="_Toc296503156"/>
      <w:r>
        <w:rPr>
          <w:rFonts w:hint="eastAsia" w:ascii="宋体" w:hAnsi="宋体" w:eastAsia="宋体" w:cs="宋体"/>
          <w:b w:val="0"/>
          <w:color w:val="000000"/>
          <w:sz w:val="24"/>
          <w:szCs w:val="24"/>
        </w:rPr>
        <w:t>. 一般约定</w:t>
      </w:r>
      <w:bookmarkEnd w:id="673"/>
    </w:p>
    <w:bookmarkEnd w:id="674"/>
    <w:bookmarkEnd w:id="675"/>
    <w:bookmarkEnd w:id="676"/>
    <w:bookmarkEnd w:id="677"/>
    <w:bookmarkEnd w:id="678"/>
    <w:bookmarkEnd w:id="679"/>
    <w:bookmarkEnd w:id="680"/>
    <w:bookmarkEnd w:id="681"/>
    <w:bookmarkEnd w:id="682"/>
    <w:bookmarkEnd w:id="683"/>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 词语定义</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1.1.1合同</w:t>
      </w:r>
    </w:p>
    <w:p>
      <w:pPr>
        <w:pageBreakBefore w:val="0"/>
        <w:wordWrap/>
        <w:topLinePunct w:val="0"/>
        <w:bidi w:val="0"/>
        <w:spacing w:line="360" w:lineRule="auto"/>
        <w:ind w:left="2160" w:leftChars="300" w:hanging="1320" w:hangingChars="550"/>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1.1.1.10其他合同文件包括：</w:t>
      </w:r>
      <w:r>
        <w:rPr>
          <w:rFonts w:hint="eastAsia" w:ascii="宋体" w:hAnsi="宋体" w:eastAsia="宋体" w:cs="宋体"/>
          <w:b/>
          <w:bCs/>
          <w:color w:val="000000"/>
          <w:sz w:val="24"/>
          <w:szCs w:val="24"/>
          <w:u w:val="single"/>
        </w:rPr>
        <w:t xml:space="preserve">     执行通用条款        </w:t>
      </w:r>
      <w:r>
        <w:rPr>
          <w:rFonts w:hint="eastAsia" w:ascii="宋体" w:hAnsi="宋体" w:eastAsia="宋体" w:cs="宋体"/>
          <w:b/>
          <w:bCs/>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1.1.2.4监理人：</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b/>
          <w:bCs/>
          <w:color w:val="000000"/>
          <w:sz w:val="24"/>
          <w:szCs w:val="24"/>
          <w:u w:val="single"/>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b/>
          <w:bCs/>
          <w:color w:val="000000"/>
          <w:sz w:val="24"/>
          <w:szCs w:val="24"/>
          <w:u w:val="single"/>
        </w:rPr>
        <w:t></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b/>
          <w:bCs/>
          <w:color w:val="000000"/>
          <w:sz w:val="24"/>
          <w:szCs w:val="24"/>
          <w:u w:val="single"/>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1.1.2.5 设计人：</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pPr>
        <w:pageBreakBefore w:val="0"/>
        <w:wordWrap/>
        <w:topLinePunct w:val="0"/>
        <w:bidi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1.1.3.7 作为施工现场组成部分的其他场所包括：</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永久占地包括：</w:t>
      </w:r>
      <w:r>
        <w:rPr>
          <w:rFonts w:hint="eastAsia" w:ascii="宋体" w:hAnsi="宋体" w:eastAsia="宋体" w:cs="宋体"/>
          <w:color w:val="000000"/>
          <w:sz w:val="24"/>
          <w:szCs w:val="24"/>
          <w:u w:val="single"/>
        </w:rPr>
        <w:t xml:space="preserve">            </w:t>
      </w:r>
      <w:r>
        <w:rPr>
          <w:rFonts w:hint="eastAsia" w:ascii="宋体" w:hAnsi="宋体" w:eastAsia="宋体" w:cs="宋体"/>
          <w:sz w:val="24"/>
          <w:szCs w:val="24"/>
          <w:u w:val="single"/>
        </w:rPr>
        <w:t>/</w:t>
      </w:r>
      <w:r>
        <w:rPr>
          <w:rFonts w:hint="eastAsia" w:ascii="宋体" w:hAnsi="宋体" w:eastAsia="宋体" w:cs="宋体"/>
          <w:color w:val="000000"/>
          <w:sz w:val="24"/>
          <w:szCs w:val="24"/>
          <w:u w:val="single"/>
        </w:rPr>
        <w:t xml:space="preserve">      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1.1.3.10 临时占地包括：</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施工设施设备、材料堆放场地</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1.3法律 </w:t>
      </w:r>
    </w:p>
    <w:p>
      <w:pPr>
        <w:pageBreakBefore w:val="0"/>
        <w:wordWrap/>
        <w:topLinePunct w:val="0"/>
        <w:autoSpaceDE w:val="0"/>
        <w:autoSpaceDN w:val="0"/>
        <w:bidi w:val="0"/>
        <w:adjustRightInd w:val="0"/>
        <w:spacing w:line="360" w:lineRule="auto"/>
        <w:ind w:left="795" w:leftChars="284"/>
        <w:jc w:val="left"/>
        <w:rPr>
          <w:rFonts w:hint="eastAsia" w:ascii="宋体" w:hAnsi="宋体" w:eastAsia="宋体" w:cs="宋体"/>
          <w:color w:val="000000"/>
          <w:sz w:val="24"/>
          <w:szCs w:val="24"/>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rPr>
        <w:t></w:t>
      </w:r>
      <w:r>
        <w:rPr>
          <w:rFonts w:hint="eastAsia" w:ascii="宋体" w:hAnsi="宋体" w:eastAsia="宋体" w:cs="宋体"/>
          <w:b/>
          <w:sz w:val="24"/>
          <w:szCs w:val="24"/>
          <w:u w:val="single"/>
        </w:rPr>
        <w:t>《中华人民共和国民法典》、《中华人民共和国建筑法》、《中华人民共和国安全生产法》、《建设工程质量管理条例》、《房屋建筑工程质量保修办法》、《建设工程</w:t>
      </w:r>
      <w:r>
        <w:rPr>
          <w:rFonts w:hint="eastAsia" w:ascii="宋体" w:hAnsi="宋体" w:cs="宋体"/>
          <w:b/>
          <w:sz w:val="24"/>
          <w:szCs w:val="24"/>
          <w:u w:val="single"/>
          <w:lang w:eastAsia="zh-CN"/>
        </w:rPr>
        <w:t>安全</w:t>
      </w:r>
      <w:bookmarkStart w:id="1220" w:name="_GoBack"/>
      <w:bookmarkEnd w:id="1220"/>
      <w:r>
        <w:rPr>
          <w:rFonts w:hint="eastAsia" w:ascii="宋体" w:hAnsi="宋体" w:eastAsia="宋体" w:cs="宋体"/>
          <w:b/>
          <w:sz w:val="24"/>
          <w:szCs w:val="24"/>
          <w:u w:val="single"/>
        </w:rPr>
        <w:t>生产管理条例》及国家现行的法律、法规及宁夏回族自治区的有关规定</w:t>
      </w:r>
      <w:r>
        <w:rPr>
          <w:rFonts w:hint="eastAsia" w:ascii="宋体" w:hAnsi="宋体" w:eastAsia="宋体" w:cs="宋体"/>
          <w:sz w:val="24"/>
          <w:szCs w:val="24"/>
          <w:u w:val="single"/>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pPr>
        <w:pageBreakBefore w:val="0"/>
        <w:wordWrap/>
        <w:topLinePunct w:val="0"/>
        <w:bidi w:val="0"/>
        <w:spacing w:line="360" w:lineRule="auto"/>
        <w:ind w:left="795" w:leftChars="284"/>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rPr>
        <w:t></w:t>
      </w:r>
      <w:r>
        <w:rPr>
          <w:rFonts w:hint="eastAsia" w:ascii="宋体" w:hAnsi="宋体" w:eastAsia="宋体" w:cs="宋体"/>
          <w:b/>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outlineLvl w:val="0"/>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1.4.2 发包人提供国外标准、规范的名称：</w:t>
      </w:r>
      <w:r>
        <w:rPr>
          <w:rFonts w:hint="eastAsia" w:ascii="宋体" w:hAnsi="宋体" w:eastAsia="宋体" w:cs="宋体"/>
          <w:color w:val="000000"/>
          <w:kern w:val="0"/>
          <w:sz w:val="24"/>
          <w:szCs w:val="24"/>
          <w:u w:val="single"/>
        </w:rPr>
        <w:t xml:space="preserve">                 </w:t>
      </w:r>
    </w:p>
    <w:p>
      <w:pPr>
        <w:pageBreakBefore w:val="0"/>
        <w:wordWrap/>
        <w:topLinePunct w:val="0"/>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发包人提供国外标准、规范的份数：</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发包人提供国外标准、规范的名称：</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wordWrap/>
        <w:topLinePunct w:val="0"/>
        <w:bidi w:val="0"/>
        <w:spacing w:line="360" w:lineRule="auto"/>
        <w:ind w:left="795" w:leftChars="284"/>
        <w:rPr>
          <w:rFonts w:hint="eastAsia" w:ascii="宋体" w:hAnsi="宋体" w:eastAsia="宋体" w:cs="宋体"/>
          <w:color w:val="000000"/>
          <w:sz w:val="24"/>
          <w:szCs w:val="24"/>
        </w:rPr>
      </w:pPr>
      <w:r>
        <w:rPr>
          <w:rFonts w:hint="eastAsia" w:ascii="宋体" w:hAnsi="宋体" w:eastAsia="宋体" w:cs="宋体"/>
          <w:color w:val="000000"/>
          <w:sz w:val="24"/>
          <w:szCs w:val="24"/>
        </w:rPr>
        <w:t>1.4.3发包人对工程的技术标准和功能要求的特殊要求：</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 合同文件的优先顺序</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合同文件组成及优先顺序为：</w:t>
      </w:r>
      <w:r>
        <w:rPr>
          <w:rFonts w:hint="eastAsia" w:ascii="宋体" w:hAnsi="宋体" w:eastAsia="宋体" w:cs="宋体"/>
          <w:color w:val="000000"/>
          <w:sz w:val="24"/>
          <w:szCs w:val="24"/>
          <w:u w:val="single"/>
        </w:rPr>
        <w:t></w:t>
      </w:r>
      <w:r>
        <w:rPr>
          <w:rFonts w:hint="eastAsia" w:ascii="宋体" w:hAnsi="宋体" w:eastAsia="宋体" w:cs="宋体"/>
          <w:b/>
          <w:sz w:val="24"/>
          <w:szCs w:val="24"/>
          <w:u w:val="single"/>
        </w:rPr>
        <w:t xml:space="preserve">执行合同通用条款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 图纸和承包人文件</w:t>
      </w:r>
      <w:r>
        <w:rPr>
          <w:rFonts w:hint="eastAsia" w:ascii="宋体" w:hAnsi="宋体" w:eastAsia="宋体" w:cs="宋体"/>
          <w:color w:val="000000"/>
          <w:sz w:val="24"/>
          <w:szCs w:val="24"/>
        </w:rPr>
        <w:tab/>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1.6.4 承包人文件</w:t>
      </w:r>
    </w:p>
    <w:p>
      <w:pPr>
        <w:pageBreakBefore w:val="0"/>
        <w:wordWrap/>
        <w:topLinePunct w:val="0"/>
        <w:bidi w:val="0"/>
        <w:spacing w:line="360" w:lineRule="auto"/>
        <w:ind w:left="795" w:leftChars="284"/>
        <w:jc w:val="left"/>
        <w:rPr>
          <w:rFonts w:hint="eastAsia" w:ascii="宋体" w:hAnsi="宋体" w:eastAsia="宋体" w:cs="宋体"/>
          <w:color w:val="000000"/>
          <w:sz w:val="24"/>
          <w:szCs w:val="24"/>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rPr>
        <w:t></w:t>
      </w:r>
      <w:r>
        <w:rPr>
          <w:rFonts w:hint="eastAsia" w:ascii="宋体" w:hAnsi="宋体" w:eastAsia="宋体" w:cs="宋体"/>
          <w:b/>
          <w:sz w:val="24"/>
          <w:szCs w:val="24"/>
          <w:u w:val="single"/>
        </w:rPr>
        <w:t>执行合同通用条款</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000000"/>
          <w:sz w:val="24"/>
          <w:szCs w:val="24"/>
          <w:u w:val="single"/>
        </w:rPr>
        <w:t></w:t>
      </w:r>
      <w:r>
        <w:rPr>
          <w:rFonts w:hint="eastAsia" w:ascii="宋体" w:hAnsi="宋体" w:eastAsia="宋体" w:cs="宋体"/>
          <w:b/>
          <w:bCs/>
          <w:sz w:val="24"/>
          <w:szCs w:val="24"/>
          <w:u w:val="single"/>
        </w:rPr>
        <w:t xml:space="preserve">通知提交后7天内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rPr>
        <w:t></w:t>
      </w:r>
      <w:r>
        <w:rPr>
          <w:rFonts w:hint="eastAsia" w:ascii="宋体" w:hAnsi="宋体" w:eastAsia="宋体" w:cs="宋体"/>
          <w:b/>
          <w:bCs/>
          <w:color w:val="000000"/>
          <w:sz w:val="24"/>
          <w:szCs w:val="24"/>
          <w:u w:val="single"/>
        </w:rPr>
        <w:t>按发包人要求提供</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rPr>
        <w:t></w:t>
      </w:r>
      <w:r>
        <w:rPr>
          <w:rFonts w:hint="eastAsia" w:ascii="宋体" w:hAnsi="宋体" w:eastAsia="宋体" w:cs="宋体"/>
          <w:b/>
          <w:bCs/>
          <w:sz w:val="24"/>
          <w:szCs w:val="24"/>
          <w:u w:val="single"/>
        </w:rPr>
        <w:t>书面形式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rPr>
        <w:t></w:t>
      </w:r>
      <w:r>
        <w:rPr>
          <w:rFonts w:hint="eastAsia" w:ascii="宋体" w:hAnsi="宋体" w:eastAsia="宋体" w:cs="宋体"/>
          <w:b/>
          <w:bCs/>
          <w:sz w:val="24"/>
          <w:szCs w:val="24"/>
          <w:u w:val="single"/>
        </w:rPr>
        <w:t>收到后10个工作日</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1.6.5 现场图纸准备</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1.7.1发包人和承包人应当在</w:t>
      </w:r>
      <w:r>
        <w:rPr>
          <w:rFonts w:hint="eastAsia" w:ascii="宋体" w:hAnsi="宋体" w:eastAsia="宋体" w:cs="宋体"/>
          <w:color w:val="000000"/>
          <w:sz w:val="24"/>
          <w:szCs w:val="24"/>
          <w:u w:val="single"/>
        </w:rPr>
        <w:t xml:space="preserve"> 7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1.7.2 </w:t>
      </w:r>
      <w:r>
        <w:rPr>
          <w:rFonts w:hint="eastAsia" w:ascii="宋体" w:hAnsi="宋体" w:cs="宋体"/>
          <w:color w:val="000000"/>
          <w:kern w:val="0"/>
          <w:sz w:val="24"/>
          <w:szCs w:val="24"/>
          <w:lang w:eastAsia="zh-CN"/>
        </w:rPr>
        <w:t>承包人</w:t>
      </w:r>
      <w:r>
        <w:rPr>
          <w:rFonts w:hint="eastAsia" w:ascii="宋体" w:hAnsi="宋体" w:eastAsia="宋体" w:cs="宋体"/>
          <w:color w:val="000000"/>
          <w:kern w:val="0"/>
          <w:sz w:val="24"/>
          <w:szCs w:val="24"/>
        </w:rPr>
        <w:t>接收文件的地点：</w:t>
      </w:r>
      <w:r>
        <w:rPr>
          <w:rFonts w:hint="eastAsia" w:ascii="宋体" w:hAnsi="宋体" w:eastAsia="宋体" w:cs="宋体"/>
          <w:color w:val="000000"/>
          <w:sz w:val="24"/>
          <w:szCs w:val="24"/>
          <w:u w:val="single"/>
        </w:rPr>
        <w:t></w:t>
      </w:r>
      <w:r>
        <w:rPr>
          <w:rFonts w:hint="eastAsia" w:ascii="宋体" w:hAnsi="宋体" w:cs="宋体"/>
          <w:b/>
          <w:bCs/>
          <w:sz w:val="24"/>
          <w:szCs w:val="24"/>
          <w:u w:val="single"/>
          <w:lang w:eastAsia="zh-CN"/>
        </w:rPr>
        <w:t>宁夏回族自治区交通宣传事务中心</w:t>
      </w:r>
      <w:r>
        <w:rPr>
          <w:rFonts w:hint="eastAsia" w:ascii="宋体" w:hAnsi="宋体" w:eastAsia="宋体" w:cs="宋体"/>
          <w:b/>
          <w:bCs/>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b/>
          <w:bCs/>
          <w:sz w:val="24"/>
          <w:szCs w:val="24"/>
          <w:u w:val="single"/>
        </w:rPr>
        <w:t>银川市兴庆区解放东街南侧宁夏日用百货副食批发市场综合楼</w:t>
      </w:r>
      <w:r>
        <w:rPr>
          <w:rFonts w:hint="eastAsia" w:ascii="宋体" w:hAnsi="宋体" w:eastAsia="宋体" w:cs="宋体"/>
          <w:color w:val="000000"/>
          <w:sz w:val="24"/>
          <w:szCs w:val="24"/>
          <w:u w:val="single"/>
        </w:rPr>
        <w:t>A</w:t>
      </w:r>
      <w:r>
        <w:rPr>
          <w:rFonts w:hint="eastAsia" w:ascii="宋体" w:hAnsi="宋体" w:eastAsia="宋体" w:cs="宋体"/>
          <w:b/>
          <w:bCs/>
          <w:sz w:val="24"/>
          <w:szCs w:val="24"/>
          <w:u w:val="single"/>
        </w:rPr>
        <w:t>段四层</w:t>
      </w:r>
      <w:r>
        <w:rPr>
          <w:rFonts w:hint="eastAsia" w:ascii="宋体" w:hAnsi="宋体" w:eastAsia="宋体" w:cs="宋体"/>
          <w:color w:val="000000"/>
          <w:sz w:val="24"/>
          <w:szCs w:val="24"/>
          <w:u w:val="single"/>
        </w:rPr>
        <w:t>1</w:t>
      </w:r>
      <w:r>
        <w:rPr>
          <w:rFonts w:hint="eastAsia" w:ascii="宋体" w:hAnsi="宋体" w:eastAsia="宋体" w:cs="宋体"/>
          <w:b/>
          <w:bCs/>
          <w:sz w:val="24"/>
          <w:szCs w:val="24"/>
          <w:u w:val="single"/>
        </w:rPr>
        <w:t>号</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sz w:val="24"/>
          <w:szCs w:val="24"/>
          <w:u w:val="single"/>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监理人接收文件的地点：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监理人指定的接收人为：</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1.10 交通运输</w:t>
      </w:r>
    </w:p>
    <w:p>
      <w:pPr>
        <w:pageBreakBefore w:val="0"/>
        <w:wordWrap/>
        <w:topLinePunct w:val="0"/>
        <w:bidi w:val="0"/>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w:t>
      </w:r>
      <w:bookmarkStart w:id="684" w:name="_Toc312677986"/>
      <w:bookmarkStart w:id="685" w:name="_Toc304295521"/>
      <w:bookmarkStart w:id="686" w:name="_Toc318581155"/>
      <w:bookmarkStart w:id="687" w:name="_Toc300934943"/>
      <w:bookmarkStart w:id="688" w:name="_Toc303539100"/>
      <w:r>
        <w:rPr>
          <w:rFonts w:hint="eastAsia" w:ascii="宋体" w:hAnsi="宋体" w:eastAsia="宋体" w:cs="宋体"/>
          <w:sz w:val="24"/>
          <w:szCs w:val="24"/>
        </w:rPr>
        <w:t>.10.1 出入现场的权利</w:t>
      </w:r>
    </w:p>
    <w:p>
      <w:pPr>
        <w:pageBreakBefore w:val="0"/>
        <w:wordWrap/>
        <w:topLinePunct w:val="0"/>
        <w:bidi w:val="0"/>
        <w:spacing w:line="360" w:lineRule="auto"/>
        <w:ind w:left="795" w:leftChars="284"/>
        <w:rPr>
          <w:rFonts w:hint="eastAsia" w:ascii="宋体" w:hAnsi="宋体" w:eastAsia="宋体" w:cs="宋体"/>
          <w:sz w:val="24"/>
          <w:szCs w:val="24"/>
        </w:rPr>
      </w:pPr>
      <w:r>
        <w:rPr>
          <w:rFonts w:hint="eastAsia" w:ascii="宋体" w:hAnsi="宋体" w:eastAsia="宋体" w:cs="宋体"/>
          <w:sz w:val="24"/>
          <w:szCs w:val="24"/>
        </w:rPr>
        <w:t>关于出入现场的权利的约定：</w:t>
      </w: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 xml:space="preserve">     按通用条款执行  </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rPr>
        <w:t>。</w:t>
      </w:r>
    </w:p>
    <w:bookmarkEnd w:id="684"/>
    <w:bookmarkEnd w:id="685"/>
    <w:bookmarkEnd w:id="686"/>
    <w:bookmarkEnd w:id="687"/>
    <w:bookmarkEnd w:id="688"/>
    <w:p>
      <w:pPr>
        <w:pageBreakBefore w:val="0"/>
        <w:wordWrap/>
        <w:topLinePunct w:val="0"/>
        <w:bidi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1</w:t>
      </w:r>
      <w:bookmarkStart w:id="689" w:name="_Toc318581156"/>
      <w:bookmarkStart w:id="690" w:name="_Toc300934944"/>
      <w:bookmarkStart w:id="691" w:name="_Toc304295522"/>
      <w:bookmarkStart w:id="692" w:name="_Toc303539101"/>
      <w:bookmarkStart w:id="693" w:name="_Toc312677987"/>
      <w:r>
        <w:rPr>
          <w:rFonts w:hint="eastAsia" w:ascii="宋体" w:hAnsi="宋体" w:eastAsia="宋体" w:cs="宋体"/>
          <w:sz w:val="24"/>
          <w:szCs w:val="24"/>
        </w:rPr>
        <w:t>.10.3 场内交通</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关于场外交通和场内交通的边界的约定：</w:t>
      </w:r>
      <w:r>
        <w:rPr>
          <w:rFonts w:hint="eastAsia" w:ascii="宋体" w:hAnsi="宋体" w:eastAsia="宋体" w:cs="宋体"/>
          <w:color w:val="000000"/>
          <w:sz w:val="24"/>
          <w:szCs w:val="24"/>
          <w:u w:val="single"/>
        </w:rPr>
        <w:t></w:t>
      </w:r>
      <w:r>
        <w:rPr>
          <w:rFonts w:hint="eastAsia" w:ascii="宋体" w:hAnsi="宋体" w:eastAsia="宋体" w:cs="宋体"/>
          <w:b/>
          <w:bCs/>
          <w:sz w:val="24"/>
          <w:szCs w:val="24"/>
          <w:u w:val="single"/>
        </w:rPr>
        <w:t>出入施工现场的专用和临时道路的修建或通行权的取得由发包人负责，并承担有关手续费用和建设费用，不包括承包人应该承担的相关费用。</w:t>
      </w:r>
      <w:r>
        <w:rPr>
          <w:rFonts w:hint="eastAsia" w:ascii="宋体" w:hAnsi="宋体" w:eastAsia="宋体" w:cs="宋体"/>
          <w:b/>
          <w:sz w:val="24"/>
          <w:szCs w:val="24"/>
          <w:u w:val="single"/>
        </w:rPr>
        <w:t xml:space="preserve"> </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color w:val="000000"/>
          <w:sz w:val="24"/>
          <w:szCs w:val="24"/>
          <w:u w:val="single"/>
        </w:rPr>
        <w:t></w:t>
      </w:r>
      <w:r>
        <w:rPr>
          <w:rFonts w:hint="eastAsia" w:ascii="宋体" w:hAnsi="宋体" w:eastAsia="宋体" w:cs="宋体"/>
          <w:b/>
          <w:bCs/>
          <w:sz w:val="24"/>
          <w:szCs w:val="24"/>
          <w:u w:val="single"/>
        </w:rPr>
        <w:t>执行通用条款。</w:t>
      </w:r>
      <w:r>
        <w:rPr>
          <w:rFonts w:hint="eastAsia" w:ascii="宋体" w:hAnsi="宋体" w:eastAsia="宋体" w:cs="宋体"/>
          <w:color w:val="000000"/>
          <w:sz w:val="24"/>
          <w:szCs w:val="24"/>
          <w:u w:val="single"/>
        </w:rPr>
        <w:t></w:t>
      </w:r>
      <w:bookmarkEnd w:id="689"/>
      <w:bookmarkEnd w:id="690"/>
      <w:bookmarkEnd w:id="691"/>
      <w:bookmarkEnd w:id="692"/>
      <w:bookmarkEnd w:id="693"/>
      <w:bookmarkStart w:id="694" w:name="_Toc318581157"/>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1.10.4超大件和超重件的运输</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承包人  </w:t>
      </w:r>
      <w:r>
        <w:rPr>
          <w:rFonts w:hint="eastAsia" w:ascii="宋体" w:hAnsi="宋体" w:eastAsia="宋体" w:cs="宋体"/>
          <w:sz w:val="24"/>
          <w:szCs w:val="24"/>
          <w:u w:val="single"/>
        </w:rPr>
        <w:t xml:space="preserve">         </w:t>
      </w:r>
      <w:r>
        <w:rPr>
          <w:rFonts w:hint="eastAsia" w:ascii="宋体" w:hAnsi="宋体" w:eastAsia="宋体" w:cs="宋体"/>
          <w:sz w:val="24"/>
          <w:szCs w:val="24"/>
        </w:rPr>
        <w:t>承担。</w:t>
      </w:r>
    </w:p>
    <w:bookmarkEnd w:id="694"/>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1.11 知识产权</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u w:val="single"/>
        </w:rPr>
        <w:t></w:t>
      </w:r>
      <w:r>
        <w:rPr>
          <w:rFonts w:hint="eastAsia" w:ascii="宋体" w:hAnsi="宋体" w:eastAsia="宋体" w:cs="宋体"/>
          <w:b/>
          <w:sz w:val="24"/>
          <w:szCs w:val="24"/>
          <w:u w:val="single"/>
        </w:rPr>
        <w:t>归属发包人</w:t>
      </w:r>
      <w:r>
        <w:rPr>
          <w:rFonts w:hint="eastAsia" w:ascii="宋体" w:hAnsi="宋体" w:eastAsia="宋体" w:cs="宋体"/>
          <w:sz w:val="24"/>
          <w:szCs w:val="24"/>
          <w:u w:val="single"/>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left="795" w:leftChars="284"/>
        <w:rPr>
          <w:rFonts w:hint="eastAsia" w:ascii="宋体" w:hAnsi="宋体" w:eastAsia="宋体" w:cs="宋体"/>
          <w:b/>
          <w:sz w:val="24"/>
          <w:szCs w:val="24"/>
          <w:u w:val="single"/>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除法律规定</w:t>
      </w:r>
    </w:p>
    <w:p>
      <w:pPr>
        <w:pageBreakBefore w:val="0"/>
        <w:wordWrap/>
        <w:topLinePunct w:val="0"/>
        <w:bidi w:val="0"/>
        <w:spacing w:line="360" w:lineRule="auto"/>
        <w:rPr>
          <w:rFonts w:hint="eastAsia" w:ascii="宋体" w:hAnsi="宋体" w:eastAsia="宋体" w:cs="宋体"/>
          <w:b/>
          <w:bCs/>
          <w:color w:val="000000"/>
          <w:sz w:val="24"/>
          <w:szCs w:val="24"/>
        </w:rPr>
      </w:pPr>
      <w:r>
        <w:rPr>
          <w:rFonts w:hint="eastAsia" w:ascii="宋体" w:hAnsi="宋体" w:eastAsia="宋体" w:cs="宋体"/>
          <w:b/>
          <w:sz w:val="24"/>
          <w:szCs w:val="24"/>
          <w:u w:val="single"/>
        </w:rPr>
        <w:t>外，未经发包人书面同意，承包人不得将发包人提供的技术秘密及声明需要保密的资料信息等商业秘密泄露给第三方</w:t>
      </w:r>
      <w:r>
        <w:rPr>
          <w:rFonts w:hint="eastAsia" w:ascii="宋体" w:hAnsi="宋体" w:eastAsia="宋体" w:cs="宋体"/>
          <w:b/>
          <w:bCs/>
          <w:sz w:val="24"/>
          <w:szCs w:val="24"/>
          <w:u w:val="single"/>
        </w:rPr>
        <w:t>。一经发现，承包人应向发包人支付违约金5万元，造成损失的，由承包人全部赔偿</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w:t>
      </w:r>
    </w:p>
    <w:p>
      <w:pPr>
        <w:pageBreakBefore w:val="0"/>
        <w:wordWrap/>
        <w:topLinePunct w:val="0"/>
        <w:bidi w:val="0"/>
        <w:spacing w:line="360" w:lineRule="auto"/>
        <w:ind w:left="795" w:leftChars="284"/>
        <w:outlineLvl w:val="0"/>
        <w:rPr>
          <w:rFonts w:hint="eastAsia" w:ascii="宋体" w:hAnsi="宋体" w:eastAsia="宋体" w:cs="宋体"/>
          <w:b/>
          <w:sz w:val="24"/>
          <w:szCs w:val="24"/>
          <w:u w:val="single"/>
        </w:rPr>
      </w:pPr>
      <w:r>
        <w:rPr>
          <w:rFonts w:hint="eastAsia" w:ascii="宋体" w:hAnsi="宋体" w:eastAsia="宋体" w:cs="宋体"/>
          <w:color w:val="000000"/>
          <w:sz w:val="24"/>
          <w:szCs w:val="24"/>
        </w:rPr>
        <w:t>1.11.2 关于承包人为实施工程所编制文件的著作权的归属：</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归</w:t>
      </w:r>
    </w:p>
    <w:p>
      <w:pPr>
        <w:pageBreakBefore w:val="0"/>
        <w:wordWrap/>
        <w:topLinePunct w:val="0"/>
        <w:bidi w:val="0"/>
        <w:spacing w:line="360" w:lineRule="auto"/>
        <w:outlineLvl w:val="0"/>
        <w:rPr>
          <w:rFonts w:hint="eastAsia" w:ascii="宋体" w:hAnsi="宋体" w:eastAsia="宋体" w:cs="宋体"/>
          <w:color w:val="000000"/>
          <w:sz w:val="24"/>
          <w:szCs w:val="24"/>
        </w:rPr>
      </w:pPr>
      <w:r>
        <w:rPr>
          <w:rFonts w:hint="eastAsia" w:ascii="宋体" w:hAnsi="宋体" w:eastAsia="宋体" w:cs="宋体"/>
          <w:b/>
          <w:sz w:val="24"/>
          <w:szCs w:val="24"/>
          <w:u w:val="single"/>
        </w:rPr>
        <w:t>属承包人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关于承包人提供的上述文件的使用限制的要求：</w:t>
      </w:r>
      <w:r>
        <w:rPr>
          <w:rFonts w:hint="eastAsia" w:ascii="宋体" w:hAnsi="宋体" w:eastAsia="宋体" w:cs="宋体"/>
          <w:color w:val="000000"/>
          <w:sz w:val="24"/>
          <w:szCs w:val="24"/>
          <w:u w:val="single"/>
        </w:rPr>
        <w:t></w:t>
      </w:r>
      <w:r>
        <w:rPr>
          <w:rFonts w:hint="eastAsia" w:ascii="宋体" w:hAnsi="宋体" w:eastAsia="宋体" w:cs="宋体"/>
          <w:b/>
          <w:sz w:val="24"/>
          <w:szCs w:val="24"/>
          <w:u w:val="single"/>
        </w:rPr>
        <w:t>除法律规定外，未经承包人书面同意，发包人不得将承包人提供的技术秘密及声明需要保密的资料信息等商业秘密泄露给第三方。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outlineLvl w:val="0"/>
        <w:rPr>
          <w:rFonts w:hint="eastAsia" w:ascii="宋体" w:hAnsi="宋体" w:eastAsia="宋体" w:cs="宋体"/>
          <w:color w:val="000000"/>
          <w:kern w:val="0"/>
          <w:sz w:val="24"/>
          <w:szCs w:val="24"/>
        </w:rPr>
      </w:pPr>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w:t>
      </w:r>
      <w:r>
        <w:rPr>
          <w:rFonts w:hint="eastAsia" w:ascii="宋体" w:hAnsi="宋体" w:eastAsia="宋体" w:cs="宋体"/>
          <w:b/>
          <w:sz w:val="24"/>
          <w:szCs w:val="24"/>
          <w:u w:val="single"/>
        </w:rPr>
        <w:t>由承包人承担</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1.13工程量清单错误的修正</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color w:val="000000"/>
          <w:sz w:val="24"/>
          <w:szCs w:val="24"/>
          <w:u w:val="single"/>
        </w:rPr>
        <w:t xml:space="preserve">      /    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sz w:val="24"/>
          <w:szCs w:val="24"/>
          <w:u w:val="single"/>
        </w:rPr>
        <w:t xml:space="preserve">      /            </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w:t>
      </w:r>
      <w:r>
        <w:rPr>
          <w:rFonts w:hint="eastAsia" w:ascii="宋体" w:hAnsi="宋体" w:eastAsia="宋体" w:cs="宋体"/>
          <w:color w:val="000000"/>
          <w:kern w:val="0"/>
          <w:sz w:val="24"/>
          <w:szCs w:val="24"/>
        </w:rPr>
        <w:t>。</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695" w:name="_Toc351203634"/>
      <w:r>
        <w:rPr>
          <w:rFonts w:hint="eastAsia" w:ascii="宋体" w:hAnsi="宋体" w:eastAsia="宋体" w:cs="宋体"/>
          <w:b w:val="0"/>
          <w:color w:val="000000"/>
          <w:sz w:val="24"/>
          <w:szCs w:val="24"/>
        </w:rPr>
        <w:t>2</w:t>
      </w:r>
      <w:bookmarkStart w:id="696" w:name="_Toc296890985"/>
      <w:bookmarkStart w:id="697" w:name="_Toc297048343"/>
      <w:bookmarkStart w:id="698" w:name="_Toc297120457"/>
      <w:bookmarkStart w:id="699" w:name="_Toc292559867"/>
      <w:bookmarkStart w:id="700" w:name="_Toc296346658"/>
      <w:bookmarkStart w:id="701" w:name="_Toc296891197"/>
      <w:bookmarkStart w:id="702" w:name="_Toc296944496"/>
      <w:bookmarkStart w:id="703" w:name="_Toc292559362"/>
      <w:bookmarkStart w:id="704" w:name="_Toc296347156"/>
      <w:bookmarkStart w:id="705" w:name="_Toc296503157"/>
      <w:r>
        <w:rPr>
          <w:rFonts w:hint="eastAsia" w:ascii="宋体" w:hAnsi="宋体" w:eastAsia="宋体" w:cs="宋体"/>
          <w:b w:val="0"/>
          <w:color w:val="000000"/>
          <w:sz w:val="24"/>
          <w:szCs w:val="24"/>
        </w:rPr>
        <w:t>. 发包人</w:t>
      </w:r>
      <w:bookmarkEnd w:id="695"/>
    </w:p>
    <w:bookmarkEnd w:id="696"/>
    <w:bookmarkEnd w:id="697"/>
    <w:bookmarkEnd w:id="698"/>
    <w:bookmarkEnd w:id="699"/>
    <w:bookmarkEnd w:id="700"/>
    <w:bookmarkEnd w:id="701"/>
    <w:bookmarkEnd w:id="702"/>
    <w:bookmarkEnd w:id="703"/>
    <w:bookmarkEnd w:id="704"/>
    <w:bookmarkEnd w:id="705"/>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2.2 发包人代表</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发包人代表：</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   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eastAsia="zh-CN"/>
        </w:rPr>
        <w:t>宁夏银川市北京中路175号</w:t>
      </w:r>
      <w:r>
        <w:rPr>
          <w:rFonts w:hint="eastAsia" w:ascii="宋体" w:hAnsi="宋体" w:eastAsia="宋体" w:cs="宋体"/>
          <w:b/>
          <w:bCs/>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w:t>
      </w:r>
      <w:r>
        <w:rPr>
          <w:rFonts w:hint="eastAsia" w:ascii="宋体" w:hAnsi="宋体" w:eastAsia="宋体" w:cs="宋体"/>
          <w:b/>
          <w:sz w:val="24"/>
          <w:szCs w:val="24"/>
          <w:u w:val="single"/>
        </w:rPr>
        <w:t xml:space="preserve">（1）督促指导监理工程师行使职权；（2）协调该项目及施工现场各方面关系，协调工程、质量、安全文明施工中存在的问题，解决有关设计和技术问题；（3）办理现场工程量确认单；（4）进行现场工程质量、进度的签认权、现场变更量的认可权、工程进度付款的认可权、所有使用在本工程上的材料采购最终认可权；（5）对施工、监理单位违约的处罚权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2.4 施工现场、施工条件和基础资料的提供</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rPr>
        <w:t></w:t>
      </w:r>
      <w:r>
        <w:rPr>
          <w:rFonts w:hint="eastAsia" w:ascii="宋体" w:hAnsi="宋体" w:eastAsia="宋体" w:cs="宋体"/>
          <w:b/>
          <w:sz w:val="24"/>
          <w:szCs w:val="24"/>
          <w:u w:val="single"/>
        </w:rPr>
        <w:t>开工前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pPr>
        <w:pageBreakBefore w:val="0"/>
        <w:wordWrap/>
        <w:topLinePunct w:val="0"/>
        <w:bidi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开工前协调施工所需的供水、供电等线路，由发包人接至施工现场，保证工作施工期间的需求，并符合供水、供电要求，确认计量。同时，在施工过程中产生的水、电费用由承包人实际承担。如欠缴，发包人有权从应付工程款中直接扣除。协调处理施工场地周围地下管线和邻近建筑物、构筑物（文物保护建筑）、古树名木的保护工作</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2.5 资金来源证明及支付担保</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发包人提供资金来源证明的期限要求：</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发包人是否提供支付担保：</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发包人提供支付担保的形式：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706" w:name="_Toc351203635"/>
      <w:r>
        <w:rPr>
          <w:rFonts w:hint="eastAsia" w:ascii="宋体" w:hAnsi="宋体" w:eastAsia="宋体" w:cs="宋体"/>
          <w:b w:val="0"/>
          <w:color w:val="000000"/>
          <w:sz w:val="24"/>
          <w:szCs w:val="24"/>
        </w:rPr>
        <w:t>3</w:t>
      </w:r>
      <w:bookmarkStart w:id="707" w:name="_Toc296944497"/>
      <w:bookmarkStart w:id="708" w:name="_Toc292559868"/>
      <w:bookmarkStart w:id="709" w:name="_Toc296503158"/>
      <w:bookmarkStart w:id="710" w:name="_Toc296346659"/>
      <w:bookmarkStart w:id="711" w:name="_Toc296891198"/>
      <w:bookmarkStart w:id="712" w:name="_Toc296890986"/>
      <w:bookmarkStart w:id="713" w:name="_Toc292559363"/>
      <w:bookmarkStart w:id="714" w:name="_Toc297120458"/>
      <w:bookmarkStart w:id="715" w:name="_Toc296347157"/>
      <w:bookmarkStart w:id="716" w:name="_Toc297048344"/>
      <w:r>
        <w:rPr>
          <w:rFonts w:hint="eastAsia" w:ascii="宋体" w:hAnsi="宋体" w:eastAsia="宋体" w:cs="宋体"/>
          <w:b w:val="0"/>
          <w:color w:val="000000"/>
          <w:sz w:val="24"/>
          <w:szCs w:val="24"/>
        </w:rPr>
        <w:t>. 承包人</w:t>
      </w:r>
      <w:bookmarkEnd w:id="706"/>
    </w:p>
    <w:bookmarkEnd w:id="707"/>
    <w:bookmarkEnd w:id="708"/>
    <w:bookmarkEnd w:id="709"/>
    <w:bookmarkEnd w:id="710"/>
    <w:bookmarkEnd w:id="711"/>
    <w:bookmarkEnd w:id="712"/>
    <w:bookmarkEnd w:id="713"/>
    <w:bookmarkEnd w:id="714"/>
    <w:bookmarkEnd w:id="715"/>
    <w:bookmarkEnd w:id="716"/>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（1）-（8）：</w:t>
      </w:r>
      <w:r>
        <w:rPr>
          <w:rFonts w:hint="eastAsia" w:ascii="宋体" w:hAnsi="宋体" w:eastAsia="宋体" w:cs="宋体"/>
          <w:color w:val="000000"/>
          <w:kern w:val="0"/>
          <w:sz w:val="24"/>
          <w:szCs w:val="24"/>
          <w:u w:val="single"/>
        </w:rPr>
        <w:t xml:space="preserve">  执行通用条款     。</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r>
        <w:rPr>
          <w:rFonts w:hint="eastAsia" w:ascii="宋体" w:hAnsi="宋体" w:eastAsia="宋体" w:cs="宋体"/>
          <w:color w:val="000000"/>
          <w:sz w:val="24"/>
          <w:szCs w:val="24"/>
        </w:rPr>
        <w:t>承包人提交的竣工资料的内容：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承包人需要提交的竣工资料套数：</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left="851" w:leftChars="304"/>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承包人提交的竣工资料的费用承担：</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left="851" w:leftChars="304"/>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承包人提交的竣工资料形式要求：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（10）承包人应履行的其他义务：</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 项目经理</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3.2.1 </w:t>
      </w:r>
      <w:r>
        <w:rPr>
          <w:rFonts w:hint="eastAsia" w:ascii="宋体" w:hAnsi="宋体" w:eastAsia="宋体" w:cs="宋体"/>
          <w:color w:val="000000"/>
          <w:sz w:val="24"/>
          <w:szCs w:val="24"/>
        </w:rPr>
        <w:t>项目经理：</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000000"/>
          <w:sz w:val="24"/>
          <w:szCs w:val="24"/>
          <w:u w:val="single"/>
        </w:rPr>
        <w:t></w:t>
      </w:r>
      <w:r>
        <w:rPr>
          <w:rFonts w:hint="eastAsia" w:ascii="宋体" w:hAnsi="宋体" w:eastAsia="宋体" w:cs="宋体"/>
          <w:b/>
          <w:sz w:val="24"/>
          <w:szCs w:val="24"/>
          <w:u w:val="single"/>
        </w:rPr>
        <w:t>（1）负责组织施工合同范围内工程进度款的支付、工程结算、工程验收和竣工、材料验收等所有履行本合同实施的管理工作；（2）承包人为履行合同发出的一切函件应盖有承包人授权的施工现场管理机构章，并由承包人项目经理签字；（3）包括但不限于工程结算、所有通知和文件的签收等</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关于项目经理每月在施工现场的时间要求：</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 同投标文件承诺时间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承包人未提交劳动合同，以及没有为项目经理缴纳社会保险证明的违约责任：</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承包人不提交上述文件的，项目经理无权履行职责，发包人有权要求限期提交，由此增加的费用和延误的工期由承包人承担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项目经理未经批准，擅自离开施工现场的违约责任：</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项目经理确需离开施工现场时，应通知发包人，并取得发包人书面同意，否则发包人每发现一次，有权对承包人处予5000元违约处罚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3.2.3 承包人擅自更换项目经理的违约责任：</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承包人需要更换项目经理的，应提前14天书面通知应通知发包人，并取得发包人书面同意</w:t>
      </w:r>
      <w:r>
        <w:rPr>
          <w:rFonts w:hint="eastAsia" w:ascii="宋体" w:hAnsi="宋体" w:eastAsia="宋体" w:cs="宋体"/>
          <w:sz w:val="24"/>
          <w:szCs w:val="24"/>
        </w:rPr>
        <w:t>。</w:t>
      </w:r>
      <w:r>
        <w:rPr>
          <w:rFonts w:hint="eastAsia" w:ascii="宋体" w:hAnsi="宋体" w:eastAsia="宋体" w:cs="宋体"/>
          <w:b/>
          <w:sz w:val="24"/>
          <w:szCs w:val="24"/>
          <w:u w:val="single"/>
        </w:rPr>
        <w:t>通知中应当载明继任项目经理的注册职业资格、管理经验等，并且不得低于前任项目经理职业资格及业绩，继任项目经理履行通用条款第3.2.1项约定的职责</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3.2.4 承包人无正当理由拒绝更换项目经理的违约责任：</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承包人无正当理由拒绝更换项目经理的，向发包人支付10万元违约金。并承担由此产生的工期延误和造成的各类损失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开工前3日内完成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3.3.3 承包人无正当理由拒绝撤换主要施工管理人员的违约责任：</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承包人承担对发包人造成的一切损失及自愿支付违约金10万元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3.3.4 承包人主要施工管理人员离开施工现场的批准要求：   </w:t>
      </w:r>
      <w:r>
        <w:rPr>
          <w:rFonts w:hint="eastAsia" w:ascii="宋体" w:hAnsi="宋体" w:eastAsia="宋体" w:cs="宋体"/>
          <w:color w:val="000000"/>
          <w:sz w:val="24"/>
          <w:szCs w:val="24"/>
          <w:u w:val="single"/>
        </w:rPr>
        <w:t></w:t>
      </w:r>
      <w:r>
        <w:rPr>
          <w:rFonts w:hint="eastAsia" w:ascii="宋体" w:hAnsi="宋体" w:eastAsia="宋体" w:cs="宋体"/>
          <w:b/>
          <w:sz w:val="24"/>
          <w:szCs w:val="24"/>
          <w:u w:val="single"/>
        </w:rPr>
        <w:t xml:space="preserve">每月离开施工现场超过一周应取得发包人同意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3.3.5承包人擅自更换主要施工管理人员的违约责任：</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承包人承担对发包人造成的一切损失及自愿支付违约金10万元</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承包人主要施工管理人员擅自离开施工现场的违约责任：</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发包人按承包人人员离岗对待，承包人承担对发包人造成的一切损失及 自愿支付违约金10万元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717" w:name="_Toc296346660"/>
      <w:bookmarkStart w:id="718" w:name="_Toc292559869"/>
      <w:bookmarkStart w:id="719" w:name="_Toc296944498"/>
      <w:bookmarkStart w:id="720" w:name="_Toc303539102"/>
      <w:bookmarkStart w:id="721" w:name="_Toc296891199"/>
      <w:bookmarkStart w:id="722" w:name="_Toc304295523"/>
      <w:bookmarkStart w:id="723" w:name="_Toc297120459"/>
      <w:bookmarkStart w:id="724" w:name="_Toc297123492"/>
      <w:bookmarkStart w:id="725" w:name="_Toc296890987"/>
      <w:bookmarkStart w:id="726" w:name="_Toc312677988"/>
      <w:bookmarkStart w:id="727" w:name="_Toc300934945"/>
      <w:bookmarkStart w:id="728" w:name="_Toc292559364"/>
      <w:bookmarkStart w:id="729" w:name="_Toc297048345"/>
      <w:bookmarkStart w:id="730" w:name="_Toc296347158"/>
      <w:bookmarkStart w:id="731" w:name="_Toc296503159"/>
      <w:bookmarkStart w:id="732" w:name="_Toc297216151"/>
      <w:r>
        <w:rPr>
          <w:rFonts w:hint="eastAsia" w:ascii="宋体" w:hAnsi="宋体" w:eastAsia="宋体" w:cs="宋体"/>
          <w:color w:val="000000"/>
          <w:sz w:val="24"/>
          <w:szCs w:val="24"/>
        </w:rPr>
        <w:t>.5 分包</w:t>
      </w:r>
    </w:p>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Pr>
        <w:pageBreakBefore w:val="0"/>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bookmarkStart w:id="733" w:name="_Toc297048346"/>
      <w:bookmarkStart w:id="734" w:name="_Toc297120460"/>
      <w:bookmarkStart w:id="735" w:name="_Toc296347159"/>
      <w:bookmarkStart w:id="736" w:name="_Toc296891200"/>
      <w:bookmarkStart w:id="737" w:name="_Toc292559365"/>
      <w:bookmarkStart w:id="738" w:name="_Toc292559870"/>
      <w:bookmarkStart w:id="739" w:name="_Toc303539103"/>
      <w:bookmarkStart w:id="740" w:name="_Toc296346661"/>
      <w:bookmarkStart w:id="741" w:name="_Toc297123493"/>
      <w:bookmarkStart w:id="742" w:name="_Toc296944499"/>
      <w:bookmarkStart w:id="743" w:name="_Toc296890988"/>
      <w:bookmarkStart w:id="744" w:name="_Toc300934946"/>
      <w:bookmarkStart w:id="745" w:name="_Toc296503160"/>
      <w:bookmarkStart w:id="746" w:name="_Toc297216152"/>
      <w:bookmarkStart w:id="747" w:name="_Toc304295524"/>
      <w:bookmarkStart w:id="748" w:name="_Toc312677989"/>
      <w:bookmarkStart w:id="749" w:name="_Toc318581158"/>
      <w:r>
        <w:rPr>
          <w:rFonts w:hint="eastAsia" w:ascii="宋体" w:hAnsi="宋体" w:eastAsia="宋体" w:cs="宋体"/>
          <w:sz w:val="24"/>
          <w:szCs w:val="24"/>
        </w:rPr>
        <w:t>.5.1 分包的一般约定</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rPr>
        <w:t xml:space="preserve">不得分包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sz w:val="24"/>
          <w:szCs w:val="24"/>
        </w:rPr>
        <w:t>主体结构、关键性工作的范围：</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Start w:id="750" w:name="_Toc297123494"/>
      <w:bookmarkStart w:id="751" w:name="_Toc296891201"/>
      <w:bookmarkStart w:id="752" w:name="_Toc300934947"/>
      <w:bookmarkStart w:id="753" w:name="_Toc297216153"/>
      <w:bookmarkStart w:id="754" w:name="_Toc304295525"/>
      <w:bookmarkStart w:id="755" w:name="_Toc296346662"/>
      <w:bookmarkStart w:id="756" w:name="_Toc303539104"/>
      <w:bookmarkStart w:id="757" w:name="_Toc297120461"/>
      <w:bookmarkStart w:id="758" w:name="_Toc297048347"/>
      <w:bookmarkStart w:id="759" w:name="_Toc296944500"/>
      <w:bookmarkStart w:id="760" w:name="_Toc296503161"/>
      <w:bookmarkStart w:id="761" w:name="_Toc296347160"/>
      <w:bookmarkStart w:id="762" w:name="_Toc296890989"/>
    </w:p>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Pr>
        <w:pageBreakBefore w:val="0"/>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3</w:t>
      </w:r>
      <w:bookmarkStart w:id="763" w:name="_Toc312677990"/>
      <w:bookmarkStart w:id="764" w:name="_Toc318581159"/>
      <w:r>
        <w:rPr>
          <w:rFonts w:hint="eastAsia" w:ascii="宋体" w:hAnsi="宋体" w:eastAsia="宋体" w:cs="宋体"/>
          <w:sz w:val="24"/>
          <w:szCs w:val="24"/>
        </w:rPr>
        <w:t>.5.2分包的确定</w:t>
      </w:r>
    </w:p>
    <w:p>
      <w:pPr>
        <w:pageBreakBefore w:val="0"/>
        <w:wordWrap/>
        <w:topLinePunct w:val="0"/>
        <w:bidi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其他关于分包的约定：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3.5.4 分包合同价款</w:t>
      </w:r>
    </w:p>
    <w:p>
      <w:pPr>
        <w:pageBreakBefore w:val="0"/>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bookmarkEnd w:id="763"/>
    <w:bookmarkEnd w:id="764"/>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pPr>
        <w:pageBreakBefore w:val="0"/>
        <w:wordWrap/>
        <w:topLinePunct w:val="0"/>
        <w:bidi w:val="0"/>
        <w:spacing w:before="120" w:after="120" w:line="360" w:lineRule="auto"/>
        <w:ind w:firstLine="480" w:firstLineChars="200"/>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承包人负责照管工程及工程相关的材料、工程设备的起始时间：</w:t>
      </w:r>
      <w:r>
        <w:rPr>
          <w:rFonts w:hint="eastAsia" w:ascii="宋体" w:hAnsi="宋体" w:eastAsia="宋体" w:cs="宋体"/>
          <w:color w:val="000000"/>
          <w:kern w:val="0"/>
          <w:sz w:val="24"/>
          <w:szCs w:val="24"/>
          <w:u w:val="single"/>
        </w:rPr>
        <w:t xml:space="preserve">  </w:t>
      </w:r>
      <w:r>
        <w:rPr>
          <w:rFonts w:hint="eastAsia" w:ascii="宋体" w:hAnsi="宋体" w:eastAsia="宋体" w:cs="宋体"/>
          <w:b/>
          <w:kern w:val="0"/>
          <w:sz w:val="24"/>
          <w:szCs w:val="24"/>
          <w:u w:val="single"/>
        </w:rPr>
        <w:t>工程及工程相关的材料、工程设备进场至验收交付使用前</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3.7 履约担保</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承包人提供履约担保的形式、金额及期限的：</w:t>
      </w:r>
      <w:r>
        <w:rPr>
          <w:rFonts w:hint="eastAsia" w:ascii="宋体" w:hAnsi="宋体" w:eastAsia="宋体" w:cs="宋体"/>
          <w:color w:val="000000"/>
          <w:sz w:val="24"/>
          <w:szCs w:val="24"/>
          <w:u w:val="single"/>
        </w:rPr>
        <w:t xml:space="preserve">      /        </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765" w:name="_Toc351203636"/>
      <w:r>
        <w:rPr>
          <w:rFonts w:hint="eastAsia" w:ascii="宋体" w:hAnsi="宋体" w:eastAsia="宋体" w:cs="宋体"/>
          <w:b w:val="0"/>
          <w:color w:val="000000"/>
          <w:sz w:val="24"/>
          <w:szCs w:val="24"/>
        </w:rPr>
        <w:t>4</w:t>
      </w:r>
      <w:bookmarkStart w:id="766" w:name="_Toc297120462"/>
      <w:bookmarkStart w:id="767" w:name="_Toc292559871"/>
      <w:bookmarkStart w:id="768" w:name="_Toc296890990"/>
      <w:bookmarkStart w:id="769" w:name="_Toc267251413"/>
      <w:bookmarkStart w:id="770" w:name="_Toc296503162"/>
      <w:bookmarkStart w:id="771" w:name="_Toc296347161"/>
      <w:bookmarkStart w:id="772" w:name="_Toc296944501"/>
      <w:bookmarkStart w:id="773" w:name="_Toc292559366"/>
      <w:bookmarkStart w:id="774" w:name="_Toc297048348"/>
      <w:bookmarkStart w:id="775" w:name="_Toc296891202"/>
      <w:bookmarkStart w:id="776" w:name="_Toc296346663"/>
      <w:r>
        <w:rPr>
          <w:rFonts w:hint="eastAsia" w:ascii="宋体" w:hAnsi="宋体" w:eastAsia="宋体" w:cs="宋体"/>
          <w:b w:val="0"/>
          <w:color w:val="000000"/>
          <w:sz w:val="24"/>
          <w:szCs w:val="24"/>
        </w:rPr>
        <w:t>. 监</w:t>
      </w:r>
      <w:bookmarkEnd w:id="766"/>
      <w:bookmarkEnd w:id="767"/>
      <w:bookmarkEnd w:id="768"/>
      <w:bookmarkEnd w:id="769"/>
      <w:bookmarkEnd w:id="770"/>
      <w:bookmarkEnd w:id="771"/>
      <w:bookmarkEnd w:id="772"/>
      <w:bookmarkEnd w:id="773"/>
      <w:bookmarkEnd w:id="774"/>
      <w:bookmarkEnd w:id="775"/>
      <w:bookmarkEnd w:id="776"/>
      <w:r>
        <w:rPr>
          <w:rFonts w:hint="eastAsia" w:ascii="宋体" w:hAnsi="宋体" w:eastAsia="宋体" w:cs="宋体"/>
          <w:b w:val="0"/>
          <w:color w:val="000000"/>
          <w:sz w:val="24"/>
          <w:szCs w:val="24"/>
        </w:rPr>
        <w:t>理人</w:t>
      </w:r>
      <w:bookmarkEnd w:id="765"/>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 xml:space="preserve">（1）、监理期限内施工现场的安全、文明施工监理；（2）、监理过程中施工自检资料，送检资料的完整性、严谨性负责；（3）对基础工程、隐蔽工程、分项分部工程的质量进行检查、签证和施工质量的评价；（4）审核施工单位完成的工程量和单价费用等，并签发计量和支付凭证 </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施工阶段的工程质量控制、进度控制、造价控制、现场安全文明施工监督、现场管理、技术资料管理、各方关系协调等；组织召开工程监理例会；审查施工单位管理人员、特殊工程资质和上岗证；主要已购材料的资料；对所有进场材料进行检查、验收并见证取样；施工过程的检查、抽检、隐蔽验收、分部分项验收、单位工程验收、单项工程竣工验收；签署工程竣工图、备案资料、归档资料；审查施工图范围内的技术核定，以及发包人与监理单位签订的监理委托合同约定的其它内容</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 xml:space="preserve">监理人在施工现场的办公场所由承包人提供，所发生的费用由监理人承担。监理单位履行监理服务有关的通讯设施、办公设施（用品）、生活设施（用品）及场所由监理单位自行解决，并承担其费用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监理工程师执业资格证书号：</w:t>
      </w:r>
      <w:r>
        <w:rPr>
          <w:rFonts w:hint="eastAsia" w:ascii="宋体" w:hAnsi="宋体" w:eastAsia="宋体" w:cs="宋体"/>
          <w:color w:val="000000"/>
          <w:sz w:val="24"/>
          <w:szCs w:val="24"/>
          <w:u w:val="single"/>
        </w:rPr>
        <w:t></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身份证号码：</w:t>
      </w:r>
      <w:r>
        <w:rPr>
          <w:rFonts w:hint="eastAsia" w:ascii="宋体" w:hAnsi="宋体" w:eastAsia="宋体" w:cs="宋体"/>
          <w:sz w:val="24"/>
          <w:szCs w:val="24"/>
          <w:u w:val="single"/>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w:t>
      </w:r>
      <w:r>
        <w:rPr>
          <w:rFonts w:hint="eastAsia" w:ascii="宋体" w:hAnsi="宋体" w:eastAsia="宋体" w:cs="宋体"/>
          <w:b/>
          <w:bCs/>
          <w:spacing w:val="-20"/>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关于监理人的其他约定：</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bookmarkStart w:id="777" w:name="_Toc267251418"/>
      <w:r>
        <w:rPr>
          <w:rFonts w:hint="eastAsia" w:ascii="宋体" w:hAnsi="宋体" w:eastAsia="宋体" w:cs="宋体"/>
          <w:color w:val="000000"/>
          <w:sz w:val="24"/>
          <w:szCs w:val="24"/>
        </w:rPr>
        <w:t>在发包人和承包人不能通过协商达成一致意见时，发包人授权监理人对以下事项进行确定：</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778" w:name="_Toc351203637"/>
      <w:r>
        <w:rPr>
          <w:rFonts w:hint="eastAsia" w:ascii="宋体" w:hAnsi="宋体" w:eastAsia="宋体" w:cs="宋体"/>
          <w:b w:val="0"/>
          <w:color w:val="000000"/>
          <w:sz w:val="24"/>
          <w:szCs w:val="24"/>
        </w:rPr>
        <w:t>5</w:t>
      </w:r>
      <w:bookmarkEnd w:id="777"/>
      <w:bookmarkStart w:id="779" w:name="_Toc292559367"/>
      <w:bookmarkStart w:id="780" w:name="_Toc296944502"/>
      <w:bookmarkStart w:id="781" w:name="_Toc296503163"/>
      <w:bookmarkStart w:id="782" w:name="_Toc296891203"/>
      <w:bookmarkStart w:id="783" w:name="_Toc296890991"/>
      <w:bookmarkStart w:id="784" w:name="_Toc297120463"/>
      <w:bookmarkStart w:id="785" w:name="_Toc297048349"/>
      <w:bookmarkStart w:id="786" w:name="_Toc296346664"/>
      <w:bookmarkStart w:id="787" w:name="_Toc292559872"/>
      <w:bookmarkStart w:id="788" w:name="_Toc296347162"/>
      <w:r>
        <w:rPr>
          <w:rFonts w:hint="eastAsia" w:ascii="宋体" w:hAnsi="宋体" w:eastAsia="宋体" w:cs="宋体"/>
          <w:b w:val="0"/>
          <w:color w:val="000000"/>
          <w:sz w:val="24"/>
          <w:szCs w:val="24"/>
        </w:rPr>
        <w:t>. 工程质量</w:t>
      </w:r>
      <w:bookmarkEnd w:id="778"/>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5.1 质量要求</w:t>
      </w:r>
    </w:p>
    <w:p>
      <w:pPr>
        <w:pageBreakBefore w:val="0"/>
        <w:wordWrap/>
        <w:topLinePunct w:val="0"/>
        <w:bidi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5</w:t>
      </w:r>
      <w:bookmarkStart w:id="789" w:name="_Toc300934949"/>
      <w:bookmarkStart w:id="790" w:name="_Toc304295527"/>
      <w:bookmarkStart w:id="791" w:name="_Toc297216155"/>
      <w:bookmarkStart w:id="792" w:name="_Toc312677997"/>
      <w:bookmarkStart w:id="793" w:name="_Toc318581164"/>
      <w:bookmarkStart w:id="794" w:name="_Toc303539106"/>
      <w:bookmarkStart w:id="795" w:name="_Toc297123496"/>
      <w:r>
        <w:rPr>
          <w:rFonts w:hint="eastAsia" w:ascii="宋体" w:hAnsi="宋体" w:eastAsia="宋体" w:cs="宋体"/>
          <w:sz w:val="24"/>
          <w:szCs w:val="24"/>
        </w:rPr>
        <w:t>.1.1 特殊质量标准和要求：</w:t>
      </w:r>
      <w:r>
        <w:rPr>
          <w:rFonts w:hint="eastAsia" w:ascii="宋体" w:hAnsi="宋体" w:eastAsia="宋体" w:cs="宋体"/>
          <w:sz w:val="24"/>
          <w:szCs w:val="24"/>
          <w:u w:val="single"/>
        </w:rPr>
        <w:t xml:space="preserve">           /                  </w:t>
      </w:r>
    </w:p>
    <w:p>
      <w:pPr>
        <w:pageBreakBefore w:val="0"/>
        <w:wordWrap/>
        <w:topLinePunct w:val="0"/>
        <w:bidi w:val="0"/>
        <w:spacing w:line="360" w:lineRule="auto"/>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                  </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b/>
          <w:bCs/>
          <w:sz w:val="24"/>
          <w:szCs w:val="24"/>
          <w:u w:val="single"/>
        </w:rPr>
        <w:t xml:space="preserve">  隐蔽前48小时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rPr>
        <w:t xml:space="preserve">   24    </w:t>
      </w:r>
      <w:r>
        <w:rPr>
          <w:rFonts w:hint="eastAsia" w:ascii="宋体" w:hAnsi="宋体" w:eastAsia="宋体" w:cs="宋体"/>
          <w:sz w:val="24"/>
          <w:szCs w:val="24"/>
        </w:rPr>
        <w:t>小时提交书面延期要求。</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48       </w:t>
      </w:r>
      <w:r>
        <w:rPr>
          <w:rFonts w:hint="eastAsia" w:ascii="宋体" w:hAnsi="宋体" w:eastAsia="宋体" w:cs="宋体"/>
          <w:sz w:val="24"/>
          <w:szCs w:val="24"/>
        </w:rPr>
        <w:t>小时。</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796" w:name="_Toc351203638"/>
      <w:r>
        <w:rPr>
          <w:rFonts w:hint="eastAsia" w:ascii="宋体" w:hAnsi="宋体" w:eastAsia="宋体" w:cs="宋体"/>
          <w:b w:val="0"/>
          <w:color w:val="000000"/>
          <w:sz w:val="24"/>
          <w:szCs w:val="24"/>
        </w:rPr>
        <w:t>6. 安全文明施工与环境保护</w:t>
      </w:r>
      <w:bookmarkEnd w:id="796"/>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6.1.1</w:t>
      </w:r>
      <w:r>
        <w:rPr>
          <w:rFonts w:hint="eastAsia" w:ascii="宋体" w:hAnsi="宋体" w:eastAsia="宋体" w:cs="宋体"/>
          <w:color w:val="000000"/>
          <w:sz w:val="24"/>
          <w:szCs w:val="24"/>
        </w:rPr>
        <w:t xml:space="preserve"> 项目安全生产的达标目标及相应事项的约定：</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要求达到《建筑施工安全检查标准（JGJ59-2011）、</w:t>
      </w:r>
      <w:r>
        <w:rPr>
          <w:rFonts w:hint="eastAsia" w:ascii="宋体" w:hAnsi="宋体" w:eastAsia="宋体" w:cs="宋体"/>
          <w:b/>
          <w:bCs/>
          <w:sz w:val="24"/>
          <w:szCs w:val="24"/>
          <w:u w:val="single"/>
        </w:rPr>
        <w:t>《施工企业安全生产评价标准»（JGJ/T77-2010）、</w:t>
      </w:r>
      <w:r>
        <w:rPr>
          <w:rFonts w:hint="eastAsia" w:ascii="宋体" w:hAnsi="宋体" w:eastAsia="宋体" w:cs="宋体"/>
          <w:b/>
          <w:sz w:val="24"/>
          <w:szCs w:val="24"/>
          <w:u w:val="single"/>
        </w:rPr>
        <w:t xml:space="preserve">监理人以及项目管理单位的要求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6.1.4 关于治安保卫的特别约定：</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施工现场的安保工作及人员、材料的安全等由承包人负责，费用由承包人承担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开工前提供现场治安管理计划或按照发包人要求执行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6.1.5 文明施工</w:t>
      </w:r>
    </w:p>
    <w:p>
      <w:pPr>
        <w:pageBreakBefore w:val="0"/>
        <w:wordWrap/>
        <w:topLinePunct w:val="0"/>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合同当事人对文明施工的要求：</w:t>
      </w:r>
      <w:r>
        <w:rPr>
          <w:rFonts w:hint="eastAsia" w:ascii="宋体" w:hAnsi="宋体" w:eastAsia="宋体" w:cs="宋体"/>
          <w:b/>
          <w:bCs/>
          <w:sz w:val="24"/>
          <w:szCs w:val="24"/>
          <w:u w:val="single"/>
        </w:rPr>
        <w:t>达到</w:t>
      </w:r>
      <w:r>
        <w:rPr>
          <w:rFonts w:hint="eastAsia" w:ascii="宋体" w:hAnsi="宋体" w:eastAsia="宋体" w:cs="宋体"/>
          <w:b/>
          <w:bCs/>
          <w:color w:val="000000"/>
          <w:sz w:val="24"/>
          <w:szCs w:val="24"/>
          <w:u w:val="single"/>
        </w:rPr>
        <w:t xml:space="preserve">《建筑施工现场环境与卫生标准》（JGJ46-2013）、工程扬尘污染防治及现场监控等相关规定或要求   </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r>
        <w:rPr>
          <w:rFonts w:hint="eastAsia" w:ascii="宋体" w:hAnsi="宋体" w:eastAsia="宋体" w:cs="宋体"/>
          <w:sz w:val="24"/>
          <w:szCs w:val="24"/>
          <w:u w:val="single"/>
        </w:rPr>
        <w:t xml:space="preserve">     </w:t>
      </w:r>
    </w:p>
    <w:p>
      <w:pPr>
        <w:pageBreakBefore w:val="0"/>
        <w:wordWrap/>
        <w:topLinePunct w:val="0"/>
        <w:bidi w:val="0"/>
        <w:spacing w:line="360" w:lineRule="auto"/>
        <w:jc w:val="left"/>
        <w:rPr>
          <w:rFonts w:hint="eastAsia" w:ascii="宋体" w:hAnsi="宋体" w:eastAsia="宋体" w:cs="宋体"/>
          <w:sz w:val="24"/>
          <w:szCs w:val="24"/>
        </w:rPr>
      </w:pPr>
      <w:r>
        <w:rPr>
          <w:rFonts w:hint="eastAsia" w:ascii="宋体" w:hAnsi="宋体" w:eastAsia="宋体" w:cs="宋体"/>
          <w:sz w:val="24"/>
          <w:szCs w:val="24"/>
          <w:u w:val="single"/>
        </w:rPr>
        <w:t xml:space="preserve">                     /                                    </w:t>
      </w:r>
      <w:r>
        <w:rPr>
          <w:rFonts w:hint="eastAsia" w:ascii="宋体" w:hAnsi="宋体" w:eastAsia="宋体" w:cs="宋体"/>
          <w:sz w:val="24"/>
          <w:szCs w:val="24"/>
        </w:rPr>
        <w:t>。</w:t>
      </w:r>
    </w:p>
    <w:bookmarkEnd w:id="789"/>
    <w:bookmarkEnd w:id="790"/>
    <w:bookmarkEnd w:id="791"/>
    <w:bookmarkEnd w:id="792"/>
    <w:bookmarkEnd w:id="793"/>
    <w:bookmarkEnd w:id="794"/>
    <w:bookmarkEnd w:id="795"/>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797" w:name="_Toc351203639"/>
      <w:r>
        <w:rPr>
          <w:rFonts w:hint="eastAsia" w:ascii="宋体" w:hAnsi="宋体" w:eastAsia="宋体" w:cs="宋体"/>
          <w:b w:val="0"/>
          <w:color w:val="000000"/>
          <w:sz w:val="24"/>
          <w:szCs w:val="24"/>
        </w:rPr>
        <w:t>7. 工期和进度</w:t>
      </w:r>
      <w:bookmarkEnd w:id="797"/>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 xml:space="preserve">7.1.1 </w:t>
      </w:r>
      <w:r>
        <w:rPr>
          <w:rFonts w:hint="eastAsia" w:ascii="宋体" w:hAnsi="宋体" w:eastAsia="宋体" w:cs="宋体"/>
          <w:color w:val="000000"/>
          <w:sz w:val="24"/>
          <w:szCs w:val="24"/>
        </w:rPr>
        <w:t>合</w:t>
      </w:r>
      <w:r>
        <w:rPr>
          <w:rFonts w:hint="eastAsia" w:ascii="宋体" w:hAnsi="宋体" w:eastAsia="宋体" w:cs="宋体"/>
          <w:color w:val="000000"/>
          <w:kern w:val="0"/>
          <w:sz w:val="24"/>
          <w:szCs w:val="24"/>
        </w:rPr>
        <w:t>同当事人约定的施工组织设计应包括的其他内容：</w:t>
      </w:r>
      <w:r>
        <w:rPr>
          <w:rFonts w:hint="eastAsia" w:ascii="宋体" w:hAnsi="宋体" w:eastAsia="宋体" w:cs="宋体"/>
          <w:sz w:val="24"/>
          <w:szCs w:val="24"/>
          <w:u w:val="single"/>
        </w:rPr>
        <w:t xml:space="preserve">   </w:t>
      </w:r>
    </w:p>
    <w:p>
      <w:pPr>
        <w:pageBreakBefore w:val="0"/>
        <w:wordWrap/>
        <w:topLinePunct w:val="0"/>
        <w:autoSpaceDE w:val="0"/>
        <w:autoSpaceDN w:val="0"/>
        <w:bidi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按招标文件的约定编制，无约定的按通用条款执行，但必须有可操作性</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承包人提交详细施工组织设计的期限的约定：</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开工前7日内</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收到后5日内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798" w:name="_Toc297216173"/>
      <w:bookmarkStart w:id="799" w:name="_Toc312677479"/>
      <w:bookmarkStart w:id="800" w:name="_Toc303539123"/>
      <w:bookmarkStart w:id="801" w:name="_Toc297123514"/>
      <w:bookmarkStart w:id="802" w:name="_Toc304295541"/>
      <w:bookmarkStart w:id="803" w:name="_Toc312678005"/>
      <w:bookmarkStart w:id="804" w:name="_Toc300934966"/>
      <w:r>
        <w:rPr>
          <w:rFonts w:hint="eastAsia" w:ascii="宋体" w:hAnsi="宋体" w:eastAsia="宋体" w:cs="宋体"/>
          <w:color w:val="000000"/>
          <w:sz w:val="24"/>
          <w:szCs w:val="24"/>
        </w:rPr>
        <w:t>.2 施工进度计划</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收到后5日内      </w:t>
      </w:r>
      <w:r>
        <w:rPr>
          <w:rFonts w:hint="eastAsia" w:ascii="宋体" w:hAnsi="宋体" w:eastAsia="宋体" w:cs="宋体"/>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pPr>
        <w:pageBreakBefore w:val="0"/>
        <w:wordWrap/>
        <w:topLinePunct w:val="0"/>
        <w:bidi w:val="0"/>
        <w:spacing w:line="360" w:lineRule="auto"/>
        <w:ind w:firstLine="645"/>
        <w:jc w:val="left"/>
        <w:rPr>
          <w:rFonts w:hint="eastAsia" w:ascii="宋体" w:hAnsi="宋体" w:eastAsia="宋体" w:cs="宋体"/>
          <w:sz w:val="24"/>
          <w:szCs w:val="24"/>
          <w:u w:val="single"/>
        </w:rPr>
      </w:pPr>
      <w:r>
        <w:rPr>
          <w:rFonts w:hint="eastAsia" w:ascii="宋体" w:hAnsi="宋体" w:eastAsia="宋体" w:cs="宋体"/>
          <w:color w:val="000000"/>
          <w:sz w:val="24"/>
          <w:szCs w:val="24"/>
        </w:rPr>
        <w:t>关于承包人提交</w:t>
      </w:r>
      <w:r>
        <w:rPr>
          <w:rFonts w:hint="eastAsia" w:ascii="宋体" w:hAnsi="宋体" w:eastAsia="宋体" w:cs="宋体"/>
          <w:color w:val="000000"/>
          <w:kern w:val="0"/>
          <w:sz w:val="24"/>
          <w:szCs w:val="24"/>
        </w:rPr>
        <w:t>工程开工报审表的期限：</w:t>
      </w:r>
      <w:r>
        <w:rPr>
          <w:rFonts w:hint="eastAsia" w:ascii="宋体" w:hAnsi="宋体" w:eastAsia="宋体" w:cs="宋体"/>
          <w:b/>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w:t>
      </w:r>
      <w:r>
        <w:rPr>
          <w:rFonts w:hint="eastAsia" w:ascii="宋体" w:hAnsi="宋体" w:eastAsia="宋体" w:cs="宋体"/>
          <w:sz w:val="24"/>
          <w:szCs w:val="24"/>
          <w:u w:val="single"/>
        </w:rPr>
        <w:t xml:space="preserve">  /   </w:t>
      </w:r>
      <w:r>
        <w:rPr>
          <w:rFonts w:hint="eastAsia" w:ascii="宋体" w:hAnsi="宋体" w:eastAsia="宋体" w:cs="宋体"/>
          <w:color w:val="000000"/>
          <w:sz w:val="24"/>
          <w:szCs w:val="24"/>
        </w:rPr>
        <w:t>天内发出开工通知的，承包人有权提出价格调整要求，或者解除合同。</w:t>
      </w:r>
    </w:p>
    <w:bookmarkEnd w:id="798"/>
    <w:bookmarkEnd w:id="799"/>
    <w:bookmarkEnd w:id="800"/>
    <w:bookmarkEnd w:id="801"/>
    <w:bookmarkEnd w:id="802"/>
    <w:bookmarkEnd w:id="803"/>
    <w:bookmarkEnd w:id="804"/>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pPr>
        <w:pageBreakBefore w:val="0"/>
        <w:wordWrap/>
        <w:topLinePunct w:val="0"/>
        <w:bidi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805" w:name="_Toc303539125"/>
      <w:bookmarkStart w:id="806" w:name="_Toc312678010"/>
      <w:bookmarkStart w:id="807" w:name="_Toc300934968"/>
      <w:bookmarkStart w:id="808" w:name="_Toc312677484"/>
      <w:bookmarkStart w:id="809" w:name="_Toc304295546"/>
      <w:bookmarkStart w:id="810" w:name="_Toc297216175"/>
      <w:bookmarkStart w:id="811" w:name="_Toc297123516"/>
      <w:r>
        <w:rPr>
          <w:rFonts w:hint="eastAsia" w:ascii="宋体" w:hAnsi="宋体" w:eastAsia="宋体" w:cs="宋体"/>
          <w:color w:val="000000"/>
          <w:sz w:val="24"/>
          <w:szCs w:val="24"/>
        </w:rPr>
        <w:t>.5 工期延误</w:t>
      </w:r>
    </w:p>
    <w:bookmarkEnd w:id="805"/>
    <w:bookmarkEnd w:id="806"/>
    <w:bookmarkEnd w:id="807"/>
    <w:bookmarkEnd w:id="808"/>
    <w:bookmarkEnd w:id="809"/>
    <w:bookmarkEnd w:id="810"/>
    <w:bookmarkEnd w:id="811"/>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pPr>
        <w:pageBreakBefore w:val="0"/>
        <w:wordWrap/>
        <w:topLinePunct w:val="0"/>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（7）因发包人原因导致工期延误的其他情形：</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未经甲方书面同意，工期不得顺延</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bookmarkStart w:id="812" w:name="_Toc312678012"/>
      <w:bookmarkStart w:id="813" w:name="_Toc312677486"/>
      <w:bookmarkStart w:id="814" w:name="_Toc318581169"/>
      <w:bookmarkStart w:id="815" w:name="_Toc297216177"/>
      <w:bookmarkStart w:id="816" w:name="_Toc304295548"/>
      <w:bookmarkStart w:id="817" w:name="_Toc300934970"/>
      <w:bookmarkStart w:id="818" w:name="_Toc303539127"/>
      <w:bookmarkStart w:id="819" w:name="_Toc297123518"/>
      <w:r>
        <w:rPr>
          <w:rFonts w:hint="eastAsia" w:ascii="宋体" w:hAnsi="宋体" w:eastAsia="宋体" w:cs="宋体"/>
          <w:sz w:val="24"/>
          <w:szCs w:val="24"/>
        </w:rPr>
        <w:t>.5.2 因承包人原因导致工期延误</w:t>
      </w:r>
    </w:p>
    <w:bookmarkEnd w:id="812"/>
    <w:bookmarkEnd w:id="813"/>
    <w:bookmarkEnd w:id="814"/>
    <w:p>
      <w:pPr>
        <w:pageBreakBefore w:val="0"/>
        <w:wordWrap/>
        <w:topLinePunct w:val="0"/>
        <w:bidi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因</w:t>
      </w:r>
      <w:bookmarkStart w:id="820" w:name="_Toc312677487"/>
      <w:bookmarkStart w:id="821" w:name="_Toc312678013"/>
      <w:bookmarkStart w:id="822" w:name="_Toc318581170"/>
      <w:r>
        <w:rPr>
          <w:rFonts w:hint="eastAsia" w:ascii="宋体" w:hAnsi="宋体" w:eastAsia="宋体" w:cs="宋体"/>
          <w:sz w:val="24"/>
          <w:szCs w:val="24"/>
        </w:rPr>
        <w:t>承包人原因造成工期延误，逾期竣工违约金的计算方法为：</w:t>
      </w:r>
    </w:p>
    <w:p>
      <w:pPr>
        <w:pageBreakBefore w:val="0"/>
        <w:wordWrap/>
        <w:topLinePunct w:val="0"/>
        <w:bidi w:val="0"/>
        <w:spacing w:line="360" w:lineRule="auto"/>
        <w:jc w:val="left"/>
        <w:rPr>
          <w:rFonts w:hint="eastAsia" w:ascii="宋体" w:hAnsi="宋体" w:eastAsia="宋体" w:cs="宋体"/>
          <w:sz w:val="24"/>
          <w:szCs w:val="24"/>
        </w:rPr>
      </w:pPr>
      <w:r>
        <w:rPr>
          <w:rFonts w:hint="eastAsia" w:ascii="宋体" w:hAnsi="宋体" w:eastAsia="宋体" w:cs="宋体"/>
          <w:b/>
          <w:sz w:val="24"/>
          <w:szCs w:val="24"/>
          <w:u w:val="single"/>
        </w:rPr>
        <w:t xml:space="preserve"> 工程总工期每延期一天，承包人应当每日支付约定合同价的万分之五的逾期违约金   </w:t>
      </w:r>
      <w:r>
        <w:rPr>
          <w:rFonts w:hint="eastAsia" w:ascii="宋体" w:hAnsi="宋体" w:eastAsia="宋体" w:cs="宋体"/>
          <w:sz w:val="24"/>
          <w:szCs w:val="24"/>
        </w:rPr>
        <w:t>。</w:t>
      </w:r>
      <w:bookmarkEnd w:id="815"/>
      <w:bookmarkEnd w:id="816"/>
      <w:bookmarkEnd w:id="817"/>
      <w:bookmarkEnd w:id="818"/>
      <w:bookmarkEnd w:id="819"/>
      <w:bookmarkEnd w:id="820"/>
      <w:bookmarkEnd w:id="821"/>
    </w:p>
    <w:bookmarkEnd w:id="822"/>
    <w:p>
      <w:pPr>
        <w:pageBreakBefore w:val="0"/>
        <w:wordWrap/>
        <w:topLinePunct w:val="0"/>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因承包人原因造成工期延误，逾</w:t>
      </w:r>
      <w:bookmarkStart w:id="823" w:name="_Toc318581171"/>
      <w:bookmarkStart w:id="824" w:name="_Toc312678014"/>
      <w:r>
        <w:rPr>
          <w:rFonts w:hint="eastAsia" w:ascii="宋体" w:hAnsi="宋体" w:eastAsia="宋体" w:cs="宋体"/>
          <w:sz w:val="24"/>
          <w:szCs w:val="24"/>
        </w:rPr>
        <w:t>期竣工违约金的上限：</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823"/>
    <w:bookmarkEnd w:id="824"/>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825" w:name="_Toc303539128"/>
      <w:bookmarkStart w:id="826" w:name="_Toc304295549"/>
      <w:bookmarkStart w:id="827" w:name="_Toc300934971"/>
      <w:bookmarkStart w:id="828" w:name="_Toc297216178"/>
      <w:bookmarkStart w:id="829" w:name="_Toc297123519"/>
      <w:bookmarkStart w:id="830" w:name="_Toc312678015"/>
      <w:r>
        <w:rPr>
          <w:rFonts w:hint="eastAsia" w:ascii="宋体" w:hAnsi="宋体" w:eastAsia="宋体" w:cs="宋体"/>
          <w:color w:val="000000"/>
          <w:sz w:val="24"/>
          <w:szCs w:val="24"/>
        </w:rPr>
        <w:t>.6 不</w:t>
      </w:r>
      <w:bookmarkEnd w:id="825"/>
      <w:bookmarkEnd w:id="826"/>
      <w:bookmarkEnd w:id="827"/>
      <w:bookmarkEnd w:id="828"/>
      <w:bookmarkEnd w:id="829"/>
      <w:bookmarkEnd w:id="830"/>
      <w:r>
        <w:rPr>
          <w:rFonts w:hint="eastAsia" w:ascii="宋体" w:hAnsi="宋体" w:eastAsia="宋体" w:cs="宋体"/>
          <w:color w:val="000000"/>
          <w:sz w:val="24"/>
          <w:szCs w:val="24"/>
        </w:rPr>
        <w:t>利物质条件</w:t>
      </w:r>
    </w:p>
    <w:p>
      <w:pPr>
        <w:pageBreakBefore w:val="0"/>
        <w:wordWrap/>
        <w:topLinePunct w:val="0"/>
        <w:bidi w:val="0"/>
        <w:spacing w:line="360" w:lineRule="auto"/>
        <w:ind w:firstLine="480" w:firstLineChars="200"/>
        <w:jc w:val="left"/>
        <w:rPr>
          <w:rFonts w:hint="eastAsia" w:ascii="宋体" w:hAnsi="宋体" w:eastAsia="宋体" w:cs="宋体"/>
          <w:sz w:val="24"/>
          <w:szCs w:val="24"/>
          <w:u w:val="single"/>
        </w:rPr>
      </w:pPr>
      <w:bookmarkStart w:id="831" w:name="_Toc297216179"/>
      <w:bookmarkStart w:id="832" w:name="_Toc318581172"/>
      <w:bookmarkStart w:id="833" w:name="_Toc300934972"/>
      <w:bookmarkStart w:id="834" w:name="_Toc303539129"/>
      <w:bookmarkStart w:id="835" w:name="_Toc297123520"/>
      <w:bookmarkStart w:id="836" w:name="_Toc304295550"/>
      <w:bookmarkStart w:id="837" w:name="_Toc312678016"/>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          </w:t>
      </w:r>
    </w:p>
    <w:p>
      <w:pPr>
        <w:pageBreakBefore w:val="0"/>
        <w:wordWrap/>
        <w:topLinePunct w:val="0"/>
        <w:bidi w:val="0"/>
        <w:spacing w:line="360" w:lineRule="auto"/>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831"/>
    <w:bookmarkEnd w:id="832"/>
    <w:bookmarkEnd w:id="833"/>
    <w:bookmarkEnd w:id="834"/>
    <w:bookmarkEnd w:id="835"/>
    <w:bookmarkEnd w:id="836"/>
    <w:bookmarkEnd w:id="837"/>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838" w:name="_Toc300934973"/>
      <w:bookmarkStart w:id="839" w:name="_Toc312678017"/>
      <w:bookmarkStart w:id="840" w:name="_Toc297123521"/>
      <w:bookmarkStart w:id="841" w:name="_Toc304295551"/>
      <w:bookmarkStart w:id="842" w:name="_Toc303539130"/>
      <w:bookmarkStart w:id="843" w:name="_Toc297216180"/>
      <w:r>
        <w:rPr>
          <w:rFonts w:hint="eastAsia" w:ascii="宋体" w:hAnsi="宋体" w:eastAsia="宋体" w:cs="宋体"/>
          <w:color w:val="000000"/>
          <w:sz w:val="24"/>
          <w:szCs w:val="24"/>
        </w:rPr>
        <w:t>.7异常恶劣的气候条件</w:t>
      </w:r>
    </w:p>
    <w:bookmarkEnd w:id="838"/>
    <w:bookmarkEnd w:id="839"/>
    <w:bookmarkEnd w:id="840"/>
    <w:bookmarkEnd w:id="841"/>
    <w:bookmarkEnd w:id="842"/>
    <w:bookmarkEnd w:id="843"/>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影响工程施工的暴风、雨、雪、洪、震、重大的疫情等自然灾害和有毒有害气体、辐射、暴乱等其它危险因素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7.9 提前竣工的奖励</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844" w:name="_Toc351203640"/>
      <w:r>
        <w:rPr>
          <w:rFonts w:hint="eastAsia" w:ascii="宋体" w:hAnsi="宋体" w:eastAsia="宋体" w:cs="宋体"/>
          <w:b w:val="0"/>
          <w:color w:val="000000"/>
          <w:sz w:val="24"/>
          <w:szCs w:val="24"/>
        </w:rPr>
        <w:t>8. 材料与设备</w:t>
      </w:r>
      <w:bookmarkEnd w:id="844"/>
    </w:p>
    <w:bookmarkEnd w:id="779"/>
    <w:bookmarkEnd w:id="780"/>
    <w:bookmarkEnd w:id="781"/>
    <w:bookmarkEnd w:id="782"/>
    <w:bookmarkEnd w:id="783"/>
    <w:bookmarkEnd w:id="784"/>
    <w:bookmarkEnd w:id="785"/>
    <w:bookmarkEnd w:id="786"/>
    <w:bookmarkEnd w:id="787"/>
    <w:bookmarkEnd w:id="788"/>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w:t>
      </w:r>
      <w:bookmarkStart w:id="845" w:name="_Toc296890995"/>
      <w:bookmarkStart w:id="846" w:name="_Toc297048353"/>
      <w:bookmarkStart w:id="847" w:name="_Toc292559372"/>
      <w:bookmarkStart w:id="848" w:name="_Toc303539136"/>
      <w:bookmarkStart w:id="849" w:name="_Toc296891207"/>
      <w:bookmarkStart w:id="850" w:name="_Toc296346668"/>
      <w:bookmarkStart w:id="851" w:name="_Toc312677493"/>
      <w:bookmarkStart w:id="852" w:name="_Toc296503167"/>
      <w:bookmarkStart w:id="853" w:name="_Toc296347166"/>
      <w:bookmarkStart w:id="854" w:name="_Toc297216186"/>
      <w:bookmarkStart w:id="855" w:name="_Toc312678019"/>
      <w:bookmarkStart w:id="856" w:name="_Toc304295556"/>
      <w:bookmarkStart w:id="857" w:name="_Toc297120467"/>
      <w:bookmarkStart w:id="858" w:name="_Toc297123527"/>
      <w:bookmarkStart w:id="859" w:name="_Toc296944506"/>
      <w:bookmarkStart w:id="860" w:name="_Toc280868654"/>
      <w:bookmarkStart w:id="861" w:name="_Toc300934979"/>
      <w:bookmarkStart w:id="862" w:name="_Toc292559877"/>
      <w:bookmarkStart w:id="863" w:name="_Toc280868655"/>
      <w:bookmarkStart w:id="864" w:name="_Toc267251424"/>
      <w:bookmarkStart w:id="865" w:name="_Toc280868656"/>
      <w:r>
        <w:rPr>
          <w:rFonts w:hint="eastAsia" w:ascii="宋体" w:hAnsi="宋体" w:eastAsia="宋体" w:cs="宋体"/>
          <w:color w:val="000000"/>
          <w:sz w:val="24"/>
          <w:szCs w:val="24"/>
        </w:rPr>
        <w:t>.4材料与工程设备的保管与使用</w:t>
      </w:r>
    </w:p>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bookmarkStart w:id="866" w:name="_Toc292559878"/>
      <w:bookmarkStart w:id="867" w:name="_Toc292559373"/>
      <w:bookmarkStart w:id="868" w:name="_Toc312677494"/>
      <w:bookmarkStart w:id="869" w:name="_Toc318581173"/>
      <w:bookmarkStart w:id="870" w:name="_Toc300934980"/>
      <w:bookmarkStart w:id="871" w:name="_Toc297120468"/>
      <w:bookmarkStart w:id="872" w:name="_Toc304295557"/>
      <w:bookmarkStart w:id="873" w:name="_Toc312678020"/>
      <w:bookmarkStart w:id="874" w:name="_Toc296891208"/>
      <w:bookmarkStart w:id="875" w:name="_Toc296890996"/>
      <w:bookmarkStart w:id="876" w:name="_Toc303539137"/>
      <w:bookmarkStart w:id="877" w:name="_Toc296503168"/>
      <w:bookmarkStart w:id="878" w:name="_Toc297048354"/>
      <w:bookmarkStart w:id="879" w:name="_Toc296944507"/>
      <w:bookmarkStart w:id="880" w:name="_Toc296347167"/>
      <w:bookmarkStart w:id="881" w:name="_Toc297216187"/>
      <w:bookmarkStart w:id="882" w:name="_Toc296346669"/>
      <w:bookmarkStart w:id="883" w:name="_Toc297123528"/>
      <w:r>
        <w:rPr>
          <w:rFonts w:hint="eastAsia" w:ascii="宋体" w:hAnsi="宋体" w:eastAsia="宋体" w:cs="宋体"/>
          <w:sz w:val="24"/>
          <w:szCs w:val="24"/>
        </w:rPr>
        <w:t>.4.1发包人供应的材料设备的保管费用的承担：</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866"/>
      <w:bookmarkEnd w:id="867"/>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8.6 样品</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样品的报送与封存</w:t>
      </w:r>
    </w:p>
    <w:p>
      <w:pPr>
        <w:pageBreakBefore w:val="0"/>
        <w:wordWrap/>
        <w:topLinePunct w:val="0"/>
        <w:autoSpaceDE w:val="0"/>
        <w:autoSpaceDN w:val="0"/>
        <w:bidi w:val="0"/>
        <w:adjustRightInd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需要承包人报送样品的材料或工程设备，样品的种类、名称、规格、数量要求：</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按发包人及监理人的要求确定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8.8 施工设备和临时设施</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pPr>
        <w:pageBreakBefore w:val="0"/>
        <w:wordWrap/>
        <w:topLinePunct w:val="0"/>
        <w:autoSpaceDE w:val="0"/>
        <w:autoSpaceDN w:val="0"/>
        <w:bidi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关于修建临时设施费用承担的约定：</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由承包人承担</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884" w:name="_Toc351203641"/>
      <w:r>
        <w:rPr>
          <w:rFonts w:hint="eastAsia" w:ascii="宋体" w:hAnsi="宋体" w:eastAsia="宋体" w:cs="宋体"/>
          <w:b w:val="0"/>
          <w:color w:val="000000"/>
          <w:sz w:val="24"/>
          <w:szCs w:val="24"/>
        </w:rPr>
        <w:t>9</w:t>
      </w:r>
      <w:bookmarkEnd w:id="863"/>
      <w:bookmarkEnd w:id="864"/>
      <w:bookmarkEnd w:id="865"/>
      <w:bookmarkStart w:id="885" w:name="_Toc300934982"/>
      <w:bookmarkStart w:id="886" w:name="_Toc312677495"/>
      <w:bookmarkStart w:id="887" w:name="_Toc303539139"/>
      <w:bookmarkStart w:id="888" w:name="_Toc297216192"/>
      <w:bookmarkStart w:id="889" w:name="_Toc297123533"/>
      <w:bookmarkStart w:id="890" w:name="_Toc304295559"/>
      <w:bookmarkStart w:id="891" w:name="_Toc312678021"/>
      <w:bookmarkStart w:id="892" w:name="_Toc296891213"/>
      <w:bookmarkStart w:id="893" w:name="_Toc296944512"/>
      <w:bookmarkStart w:id="894" w:name="_Toc267251428"/>
      <w:bookmarkStart w:id="895" w:name="_Toc296503173"/>
      <w:bookmarkStart w:id="896" w:name="_Toc292559378"/>
      <w:bookmarkStart w:id="897" w:name="_Toc296346674"/>
      <w:bookmarkStart w:id="898" w:name="_Toc297120473"/>
      <w:bookmarkStart w:id="899" w:name="_Toc297048359"/>
      <w:bookmarkStart w:id="900" w:name="_Toc292559883"/>
      <w:bookmarkStart w:id="901" w:name="_Toc296891001"/>
      <w:bookmarkStart w:id="902" w:name="_Toc267251427"/>
      <w:bookmarkStart w:id="903" w:name="_Toc296347172"/>
      <w:r>
        <w:rPr>
          <w:rFonts w:hint="eastAsia" w:ascii="宋体" w:hAnsi="宋体" w:eastAsia="宋体" w:cs="宋体"/>
          <w:b w:val="0"/>
          <w:color w:val="000000"/>
          <w:sz w:val="24"/>
          <w:szCs w:val="24"/>
        </w:rPr>
        <w:t>. 试验与检验</w:t>
      </w:r>
      <w:bookmarkEnd w:id="884"/>
    </w:p>
    <w:bookmarkEnd w:id="885"/>
    <w:bookmarkEnd w:id="886"/>
    <w:bookmarkEnd w:id="887"/>
    <w:bookmarkEnd w:id="888"/>
    <w:bookmarkEnd w:id="889"/>
    <w:bookmarkEnd w:id="890"/>
    <w:bookmarkEnd w:id="891"/>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904" w:name="_Toc297123534"/>
      <w:bookmarkStart w:id="905" w:name="_Toc304295560"/>
      <w:bookmarkStart w:id="906" w:name="_Toc303539140"/>
      <w:bookmarkStart w:id="907" w:name="_Toc312677496"/>
      <w:bookmarkStart w:id="908" w:name="_Toc300934983"/>
      <w:bookmarkStart w:id="909" w:name="_Toc297216193"/>
      <w:bookmarkStart w:id="910" w:name="_Toc312678022"/>
      <w:r>
        <w:rPr>
          <w:rFonts w:hint="eastAsia" w:ascii="宋体" w:hAnsi="宋体" w:eastAsia="宋体" w:cs="宋体"/>
          <w:color w:val="000000"/>
          <w:sz w:val="24"/>
          <w:szCs w:val="24"/>
        </w:rPr>
        <w:t>.1试验设备与试验人员</w:t>
      </w:r>
    </w:p>
    <w:bookmarkEnd w:id="904"/>
    <w:bookmarkEnd w:id="905"/>
    <w:bookmarkEnd w:id="906"/>
    <w:bookmarkEnd w:id="907"/>
    <w:bookmarkEnd w:id="908"/>
    <w:bookmarkEnd w:id="909"/>
    <w:bookmarkEnd w:id="910"/>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bookmarkStart w:id="911" w:name="_Toc303539141"/>
      <w:bookmarkStart w:id="912" w:name="_Toc312677497"/>
      <w:bookmarkStart w:id="913" w:name="_Toc304295561"/>
      <w:bookmarkStart w:id="914" w:name="_Toc297123535"/>
      <w:bookmarkStart w:id="915" w:name="_Toc300934984"/>
      <w:bookmarkStart w:id="916" w:name="_Toc312678023"/>
      <w:bookmarkStart w:id="917" w:name="_Toc297216194"/>
      <w:bookmarkStart w:id="918" w:name="_Toc318581174"/>
      <w:r>
        <w:rPr>
          <w:rFonts w:hint="eastAsia" w:ascii="宋体" w:hAnsi="宋体" w:eastAsia="宋体" w:cs="宋体"/>
          <w:sz w:val="24"/>
          <w:szCs w:val="24"/>
        </w:rPr>
        <w:t>.1.2 试验设备</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施工现场需要配置的试验场所：</w:t>
      </w:r>
      <w:bookmarkEnd w:id="911"/>
      <w:bookmarkEnd w:id="912"/>
      <w:bookmarkEnd w:id="913"/>
      <w:bookmarkEnd w:id="914"/>
      <w:bookmarkEnd w:id="915"/>
      <w:bookmarkEnd w:id="916"/>
      <w:bookmarkEnd w:id="917"/>
      <w:bookmarkStart w:id="919" w:name="_Toc304295562"/>
      <w:bookmarkStart w:id="920" w:name="_Toc303539142"/>
      <w:bookmarkStart w:id="921" w:name="_Toc297123536"/>
      <w:bookmarkStart w:id="922" w:name="_Toc312677498"/>
      <w:bookmarkStart w:id="923" w:name="_Toc297216195"/>
      <w:bookmarkStart w:id="924" w:name="_Toc312678024"/>
      <w:bookmarkStart w:id="925" w:name="_Toc300934985"/>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按相关规定以及监理人要求执行</w:t>
      </w:r>
      <w:r>
        <w:rPr>
          <w:rFonts w:hint="eastAsia" w:ascii="宋体" w:hAnsi="宋体" w:eastAsia="宋体" w:cs="宋体"/>
          <w:sz w:val="24"/>
          <w:szCs w:val="24"/>
        </w:rPr>
        <w:t xml:space="preserve">。 </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按相关规定以及监理人要求执行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按相关规定以及监理人要求执行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9.4 现场工艺试验 </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按相关规定以及监理人要求执行</w:t>
      </w:r>
      <w:r>
        <w:rPr>
          <w:rFonts w:hint="eastAsia" w:ascii="宋体" w:hAnsi="宋体" w:eastAsia="宋体" w:cs="宋体"/>
          <w:sz w:val="24"/>
          <w:szCs w:val="24"/>
        </w:rPr>
        <w:t>。</w:t>
      </w:r>
    </w:p>
    <w:bookmarkEnd w:id="918"/>
    <w:bookmarkEnd w:id="919"/>
    <w:bookmarkEnd w:id="920"/>
    <w:bookmarkEnd w:id="921"/>
    <w:bookmarkEnd w:id="922"/>
    <w:bookmarkEnd w:id="923"/>
    <w:bookmarkEnd w:id="924"/>
    <w:bookmarkEnd w:id="925"/>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926" w:name="_Toc351203642"/>
      <w:r>
        <w:rPr>
          <w:rFonts w:hint="eastAsia" w:ascii="宋体" w:hAnsi="宋体" w:eastAsia="宋体" w:cs="宋体"/>
          <w:b w:val="0"/>
          <w:color w:val="000000"/>
          <w:sz w:val="24"/>
          <w:szCs w:val="24"/>
        </w:rPr>
        <w:t>1</w:t>
      </w:r>
      <w:bookmarkEnd w:id="892"/>
      <w:bookmarkEnd w:id="893"/>
      <w:bookmarkEnd w:id="894"/>
      <w:bookmarkEnd w:id="895"/>
      <w:bookmarkEnd w:id="896"/>
      <w:bookmarkEnd w:id="897"/>
      <w:bookmarkEnd w:id="898"/>
      <w:bookmarkEnd w:id="899"/>
      <w:bookmarkEnd w:id="900"/>
      <w:bookmarkEnd w:id="901"/>
      <w:bookmarkEnd w:id="902"/>
      <w:bookmarkEnd w:id="903"/>
      <w:bookmarkStart w:id="927" w:name="_Toc297216199"/>
      <w:bookmarkStart w:id="928" w:name="_Toc296503193"/>
      <w:bookmarkStart w:id="929" w:name="_Toc300934989"/>
      <w:bookmarkStart w:id="930" w:name="_Toc297123540"/>
      <w:bookmarkStart w:id="931" w:name="_Toc297120493"/>
      <w:bookmarkStart w:id="932" w:name="_Toc296347192"/>
      <w:bookmarkStart w:id="933" w:name="_Toc297048379"/>
      <w:bookmarkStart w:id="934" w:name="_Toc292559398"/>
      <w:bookmarkStart w:id="935" w:name="_Toc296891233"/>
      <w:bookmarkStart w:id="936" w:name="_Toc296346694"/>
      <w:bookmarkStart w:id="937" w:name="_Toc292559903"/>
      <w:bookmarkStart w:id="938" w:name="_Toc303539146"/>
      <w:bookmarkStart w:id="939" w:name="_Toc296891021"/>
      <w:bookmarkStart w:id="940" w:name="_Toc296944532"/>
      <w:bookmarkStart w:id="941" w:name="_Toc304295566"/>
      <w:bookmarkStart w:id="942" w:name="_Toc312677499"/>
      <w:bookmarkStart w:id="943" w:name="_Toc312678025"/>
      <w:bookmarkStart w:id="944" w:name="_Toc267251433"/>
      <w:bookmarkStart w:id="945" w:name="_Toc267251439"/>
      <w:bookmarkStart w:id="946" w:name="_Toc267251435"/>
      <w:bookmarkStart w:id="947" w:name="_Toc267251437"/>
      <w:bookmarkStart w:id="948" w:name="_Toc267251441"/>
      <w:bookmarkStart w:id="949" w:name="_Toc267251440"/>
      <w:bookmarkStart w:id="950" w:name="_Toc267251442"/>
      <w:r>
        <w:rPr>
          <w:rFonts w:hint="eastAsia" w:ascii="宋体" w:hAnsi="宋体" w:eastAsia="宋体" w:cs="宋体"/>
          <w:b w:val="0"/>
          <w:color w:val="000000"/>
          <w:sz w:val="24"/>
          <w:szCs w:val="24"/>
        </w:rPr>
        <w:t>0. 变更</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bookmarkEnd w:id="942"/>
    <w:bookmarkEnd w:id="943"/>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951" w:name="_Toc304295567"/>
      <w:bookmarkStart w:id="952" w:name="_Toc296503194"/>
      <w:bookmarkStart w:id="953" w:name="_Toc296891022"/>
      <w:bookmarkStart w:id="954" w:name="_Toc312677500"/>
      <w:bookmarkStart w:id="955" w:name="_Toc300934990"/>
      <w:bookmarkStart w:id="956" w:name="_Toc292559904"/>
      <w:bookmarkStart w:id="957" w:name="_Toc297123541"/>
      <w:bookmarkStart w:id="958" w:name="_Toc296891234"/>
      <w:bookmarkStart w:id="959" w:name="_Toc297120494"/>
      <w:bookmarkStart w:id="960" w:name="_Toc296347193"/>
      <w:bookmarkStart w:id="961" w:name="_Toc296944533"/>
      <w:bookmarkStart w:id="962" w:name="_Toc297048380"/>
      <w:bookmarkStart w:id="963" w:name="_Toc303539147"/>
      <w:bookmarkStart w:id="964" w:name="_Toc292559399"/>
      <w:bookmarkStart w:id="965" w:name="_Toc296346695"/>
      <w:bookmarkStart w:id="966" w:name="_Toc312678026"/>
      <w:bookmarkStart w:id="967" w:name="_Toc297216200"/>
      <w:r>
        <w:rPr>
          <w:rFonts w:hint="eastAsia" w:ascii="宋体" w:hAnsi="宋体" w:eastAsia="宋体" w:cs="宋体"/>
          <w:color w:val="000000"/>
          <w:sz w:val="24"/>
          <w:szCs w:val="24"/>
        </w:rPr>
        <w:t>0.1变更的范围</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关于变更的范围的约定：</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1、施工合同范围以外的签证；2、超出合同确定的工程量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10.4 变更估价</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10.4.1 变更估价原则</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关于变更估价的约定: </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（1） 中标通知书中已有适用的综合单价，按中标通知书中已有的综合单价确定；（2）已标价的合同中有类似的综合单价，在合理的范围内参照类似的综合单价确定； （3）已标价的合同中没有适用或类似的综合单价，由承包人根据变更资料，计量规范和计价办法参照施工当时政策、法规、规定及市场信息、招标文件及答疑文件，编制预算文件，确定综合单价，最终价格以财政审定价格为准，经发包人确认后执行</w:t>
      </w:r>
      <w:r>
        <w:rPr>
          <w:rFonts w:hint="eastAsia" w:ascii="宋体" w:hAnsi="宋体" w:eastAsia="宋体" w:cs="宋体"/>
          <w:b/>
          <w:kern w:val="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Start w:id="968" w:name="_Toc296503197"/>
      <w:bookmarkStart w:id="969" w:name="_Toc296944536"/>
      <w:bookmarkStart w:id="970" w:name="_Toc296347196"/>
      <w:bookmarkStart w:id="971" w:name="_Toc297120497"/>
      <w:bookmarkStart w:id="972" w:name="_Toc300934993"/>
      <w:bookmarkStart w:id="973" w:name="_Toc297216203"/>
      <w:bookmarkStart w:id="974" w:name="_Toc297123544"/>
      <w:bookmarkStart w:id="975" w:name="_Toc292559907"/>
      <w:bookmarkStart w:id="976" w:name="_Toc296891237"/>
      <w:bookmarkStart w:id="977" w:name="_Toc297048383"/>
      <w:bookmarkStart w:id="978" w:name="_Toc303539150"/>
      <w:bookmarkStart w:id="979" w:name="_Toc296891025"/>
      <w:bookmarkStart w:id="980" w:name="_Toc292559402"/>
      <w:bookmarkStart w:id="981" w:name="_Toc296346698"/>
      <w:bookmarkStart w:id="982" w:name="_Toc312677503"/>
      <w:bookmarkStart w:id="983" w:name="_Toc304295570"/>
      <w:bookmarkStart w:id="984" w:name="_Toc312678029"/>
      <w:r>
        <w:rPr>
          <w:rFonts w:hint="eastAsia" w:ascii="宋体" w:hAnsi="宋体" w:eastAsia="宋体" w:cs="宋体"/>
          <w:color w:val="000000"/>
          <w:sz w:val="24"/>
          <w:szCs w:val="24"/>
        </w:rPr>
        <w:t>0.5承</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Start w:id="985" w:name="_Toc303539151"/>
      <w:bookmarkStart w:id="986" w:name="_Toc292559408"/>
      <w:bookmarkStart w:id="987" w:name="_Toc300934994"/>
      <w:bookmarkStart w:id="988" w:name="_Toc297123545"/>
      <w:bookmarkStart w:id="989" w:name="_Toc296891243"/>
      <w:bookmarkStart w:id="990" w:name="_Toc296346704"/>
      <w:bookmarkStart w:id="991" w:name="_Toc296891031"/>
      <w:bookmarkStart w:id="992" w:name="_Toc296503203"/>
      <w:bookmarkStart w:id="993" w:name="_Toc297048389"/>
      <w:bookmarkStart w:id="994" w:name="_Toc297120503"/>
      <w:bookmarkStart w:id="995" w:name="_Toc296347202"/>
      <w:bookmarkStart w:id="996" w:name="_Toc292559913"/>
      <w:bookmarkStart w:id="997" w:name="_Toc297216204"/>
      <w:bookmarkStart w:id="998" w:name="_Toc296944542"/>
      <w:r>
        <w:rPr>
          <w:rFonts w:hint="eastAsia" w:ascii="宋体" w:hAnsi="宋体" w:eastAsia="宋体" w:cs="宋体"/>
          <w:color w:val="000000"/>
          <w:sz w:val="24"/>
          <w:szCs w:val="24"/>
        </w:rPr>
        <w:t>包人的合理化建议</w:t>
      </w:r>
    </w:p>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按通用条款执行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承</w:t>
      </w:r>
      <w:bookmarkStart w:id="999" w:name="_Toc300934995"/>
      <w:bookmarkStart w:id="1000" w:name="_Toc312678030"/>
      <w:bookmarkStart w:id="1001" w:name="_Toc296944543"/>
      <w:bookmarkStart w:id="1002" w:name="_Toc292559914"/>
      <w:bookmarkStart w:id="1003" w:name="_Toc296891032"/>
      <w:bookmarkStart w:id="1004" w:name="_Toc297120504"/>
      <w:bookmarkStart w:id="1005" w:name="_Toc318581175"/>
      <w:bookmarkStart w:id="1006" w:name="_Toc296347203"/>
      <w:bookmarkStart w:id="1007" w:name="_Toc296503204"/>
      <w:bookmarkStart w:id="1008" w:name="_Toc304295571"/>
      <w:bookmarkStart w:id="1009" w:name="_Toc297123546"/>
      <w:bookmarkStart w:id="1010" w:name="_Toc303539152"/>
      <w:bookmarkStart w:id="1011" w:name="_Toc297048390"/>
      <w:bookmarkStart w:id="1012" w:name="_Toc312677504"/>
      <w:bookmarkStart w:id="1013" w:name="_Toc292559409"/>
      <w:bookmarkStart w:id="1014" w:name="_Toc296891244"/>
      <w:bookmarkStart w:id="1015" w:name="_Toc296346705"/>
      <w:bookmarkStart w:id="1016" w:name="_Toc297216205"/>
      <w:r>
        <w:rPr>
          <w:rFonts w:hint="eastAsia" w:ascii="宋体" w:hAnsi="宋体" w:eastAsia="宋体" w:cs="宋体"/>
          <w:sz w:val="24"/>
          <w:szCs w:val="24"/>
        </w:rPr>
        <w:t>包人提出的合理化建议降低了合同价格或者提高了工程经济效益的奖励的方法和金额为：</w:t>
      </w:r>
      <w:r>
        <w:rPr>
          <w:rFonts w:hint="eastAsia" w:ascii="宋体" w:hAnsi="宋体" w:eastAsia="宋体" w:cs="宋体"/>
          <w:sz w:val="24"/>
          <w:szCs w:val="24"/>
          <w:u w:val="single"/>
        </w:rPr>
        <w:t xml:space="preserve">                /                </w:t>
      </w:r>
    </w:p>
    <w:p>
      <w:pPr>
        <w:pageBreakBefore w:val="0"/>
        <w:wordWrap/>
        <w:topLinePunct w:val="0"/>
        <w:bidi w:val="0"/>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1017" w:name="_Toc304295574"/>
      <w:bookmarkStart w:id="1018" w:name="_Toc292559404"/>
      <w:bookmarkStart w:id="1019" w:name="_Toc296891239"/>
      <w:bookmarkStart w:id="1020" w:name="_Toc296347198"/>
      <w:bookmarkStart w:id="1021" w:name="_Toc300934997"/>
      <w:bookmarkStart w:id="1022" w:name="_Toc312677507"/>
      <w:bookmarkStart w:id="1023" w:name="_Toc292559909"/>
      <w:bookmarkStart w:id="1024" w:name="_Toc296944538"/>
      <w:bookmarkStart w:id="1025" w:name="_Toc297120499"/>
      <w:bookmarkStart w:id="1026" w:name="_Toc296346700"/>
      <w:bookmarkStart w:id="1027" w:name="_Toc297216207"/>
      <w:bookmarkStart w:id="1028" w:name="_Toc296503199"/>
      <w:bookmarkStart w:id="1029" w:name="_Toc312678033"/>
      <w:bookmarkStart w:id="1030" w:name="_Toc297123548"/>
      <w:bookmarkStart w:id="1031" w:name="_Toc297048385"/>
      <w:bookmarkStart w:id="1032" w:name="_Toc296891027"/>
      <w:bookmarkStart w:id="1033" w:name="_Toc303539154"/>
      <w:r>
        <w:rPr>
          <w:rFonts w:hint="eastAsia" w:ascii="宋体" w:hAnsi="宋体" w:eastAsia="宋体" w:cs="宋体"/>
          <w:color w:val="000000"/>
          <w:sz w:val="24"/>
          <w:szCs w:val="24"/>
        </w:rPr>
        <w:t>0.7 暂估价</w:t>
      </w:r>
    </w:p>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暂</w:t>
      </w:r>
      <w:bookmarkStart w:id="1034" w:name="_Toc312677508"/>
      <w:bookmarkStart w:id="1035" w:name="_Toc318581176"/>
      <w:bookmarkStart w:id="1036" w:name="_Toc312678034"/>
      <w:r>
        <w:rPr>
          <w:rFonts w:hint="eastAsia" w:ascii="宋体" w:hAnsi="宋体" w:eastAsia="宋体" w:cs="宋体"/>
          <w:kern w:val="0"/>
          <w:sz w:val="24"/>
          <w:szCs w:val="24"/>
        </w:rPr>
        <w:t>估价材料和工程设备的明细详见附件11：《</w:t>
      </w:r>
      <w:r>
        <w:rPr>
          <w:rFonts w:hint="eastAsia" w:ascii="宋体" w:hAnsi="宋体" w:eastAsia="宋体" w:cs="宋体"/>
          <w:color w:val="000000"/>
          <w:sz w:val="24"/>
          <w:szCs w:val="24"/>
        </w:rPr>
        <w:t>暂估价一览表》</w:t>
      </w:r>
      <w:r>
        <w:rPr>
          <w:rFonts w:hint="eastAsia" w:ascii="宋体" w:hAnsi="宋体" w:eastAsia="宋体" w:cs="宋体"/>
          <w:kern w:val="0"/>
          <w:sz w:val="24"/>
          <w:szCs w:val="24"/>
        </w:rPr>
        <w:t>。</w:t>
      </w:r>
    </w:p>
    <w:bookmarkEnd w:id="1034"/>
    <w:bookmarkEnd w:id="1035"/>
    <w:bookmarkEnd w:id="1036"/>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bookmarkStart w:id="1037" w:name="_Toc318581177"/>
      <w:bookmarkStart w:id="1038" w:name="_Toc312678035"/>
      <w:bookmarkStart w:id="1039" w:name="_Toc312677509"/>
      <w:r>
        <w:rPr>
          <w:rFonts w:hint="eastAsia" w:ascii="宋体" w:hAnsi="宋体" w:eastAsia="宋体" w:cs="宋体"/>
          <w:sz w:val="24"/>
          <w:szCs w:val="24"/>
        </w:rPr>
        <w:t>0.7.1 依法必须招标的暂估价项目</w:t>
      </w:r>
    </w:p>
    <w:bookmarkEnd w:id="1037"/>
    <w:bookmarkEnd w:id="1038"/>
    <w:bookmarkEnd w:id="1039"/>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eastAsia="宋体" w:cs="宋体"/>
          <w:sz w:val="24"/>
          <w:szCs w:val="24"/>
          <w:u w:val="single"/>
        </w:rPr>
        <w:t xml:space="preserve"> /   </w:t>
      </w:r>
      <w:r>
        <w:rPr>
          <w:rFonts w:hint="eastAsia" w:ascii="宋体" w:hAnsi="宋体" w:eastAsia="宋体" w:cs="宋体"/>
          <w:sz w:val="24"/>
          <w:szCs w:val="24"/>
        </w:rPr>
        <w:t>种方式确定。</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种方式确定。</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第3种方式：</w:t>
      </w:r>
      <w:r>
        <w:rPr>
          <w:rFonts w:hint="eastAsia" w:ascii="宋体" w:hAnsi="宋体" w:eastAsia="宋体" w:cs="宋体"/>
          <w:color w:val="000000"/>
          <w:kern w:val="0"/>
          <w:sz w:val="24"/>
          <w:szCs w:val="24"/>
        </w:rPr>
        <w:t>承包人直接实施的暂估价项目</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 xml:space="preserve">           /          </w:t>
      </w:r>
    </w:p>
    <w:p>
      <w:pPr>
        <w:pageBreakBefore w:val="0"/>
        <w:wordWrap/>
        <w:topLinePunct w:val="0"/>
        <w:bidi w:val="0"/>
        <w:spacing w:line="360" w:lineRule="auto"/>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10.8 暂列金额</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color w:val="000000"/>
          <w:kern w:val="0"/>
          <w:sz w:val="24"/>
          <w:szCs w:val="24"/>
        </w:rPr>
        <w:t>合同当事人关于暂列金额使用的约定：</w:t>
      </w:r>
      <w:r>
        <w:rPr>
          <w:rFonts w:hint="eastAsia" w:ascii="宋体" w:hAnsi="宋体" w:eastAsia="宋体" w:cs="宋体"/>
          <w:sz w:val="24"/>
          <w:szCs w:val="24"/>
          <w:u w:val="single"/>
        </w:rPr>
        <w:t xml:space="preserve">        /             </w:t>
      </w:r>
    </w:p>
    <w:p>
      <w:pPr>
        <w:pageBreakBefore w:val="0"/>
        <w:wordWrap/>
        <w:topLinePunct w:val="0"/>
        <w:autoSpaceDE w:val="0"/>
        <w:autoSpaceDN w:val="0"/>
        <w:bidi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sz w:val="24"/>
          <w:szCs w:val="24"/>
          <w:u w:val="single"/>
        </w:rPr>
        <w:t xml:space="preserve">                                                         </w:t>
      </w:r>
      <w:r>
        <w:rPr>
          <w:rFonts w:hint="eastAsia" w:ascii="宋体" w:hAnsi="宋体" w:eastAsia="宋体" w:cs="宋体"/>
          <w:color w:val="000000"/>
          <w:kern w:val="0"/>
          <w:sz w:val="24"/>
          <w:szCs w:val="24"/>
        </w:rPr>
        <w:t>。</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1040" w:name="_Toc351203643"/>
      <w:r>
        <w:rPr>
          <w:rFonts w:hint="eastAsia" w:ascii="宋体" w:hAnsi="宋体" w:eastAsia="宋体" w:cs="宋体"/>
          <w:b w:val="0"/>
          <w:color w:val="000000"/>
          <w:sz w:val="24"/>
          <w:szCs w:val="24"/>
        </w:rPr>
        <w:t>11. 价格调整</w:t>
      </w:r>
      <w:bookmarkEnd w:id="1040"/>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bookmarkStart w:id="1041" w:name="_Toc300935000"/>
      <w:bookmarkStart w:id="1042" w:name="_Toc296503201"/>
      <w:bookmarkStart w:id="1043" w:name="_Toc296347200"/>
      <w:bookmarkStart w:id="1044" w:name="_Toc312678039"/>
      <w:bookmarkStart w:id="1045" w:name="_Toc296944540"/>
      <w:bookmarkStart w:id="1046" w:name="_Toc296346702"/>
      <w:bookmarkStart w:id="1047" w:name="_Toc296891241"/>
      <w:bookmarkStart w:id="1048" w:name="_Toc292559911"/>
      <w:bookmarkStart w:id="1049" w:name="_Toc297048387"/>
      <w:bookmarkStart w:id="1050" w:name="_Toc304295577"/>
      <w:bookmarkStart w:id="1051" w:name="_Toc296891029"/>
      <w:bookmarkStart w:id="1052" w:name="_Toc297123550"/>
      <w:bookmarkStart w:id="1053" w:name="_Toc303539157"/>
      <w:bookmarkStart w:id="1054" w:name="_Toc297216209"/>
      <w:bookmarkStart w:id="1055" w:name="_Toc292559406"/>
      <w:bookmarkStart w:id="1056" w:name="_Toc297120501"/>
      <w:r>
        <w:rPr>
          <w:rFonts w:hint="eastAsia" w:ascii="宋体" w:hAnsi="宋体" w:eastAsia="宋体" w:cs="宋体"/>
          <w:color w:val="000000"/>
          <w:sz w:val="24"/>
          <w:szCs w:val="24"/>
        </w:rPr>
        <w:t>11.1 市场价格波动引起的调整</w:t>
      </w:r>
    </w:p>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市场价格波动是否调整合同价格的约定：</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不调整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因市场价格波动调整合同价格，采用以下</w:t>
      </w:r>
      <w:r>
        <w:rPr>
          <w:rFonts w:hint="eastAsia" w:ascii="宋体" w:hAnsi="宋体" w:eastAsia="宋体" w:cs="宋体"/>
          <w:sz w:val="24"/>
          <w:szCs w:val="24"/>
        </w:rPr>
        <w:t>第</w:t>
      </w:r>
      <w:r>
        <w:rPr>
          <w:rFonts w:hint="eastAsia" w:ascii="宋体" w:hAnsi="宋体" w:eastAsia="宋体" w:cs="宋体"/>
          <w:sz w:val="24"/>
          <w:szCs w:val="24"/>
          <w:u w:val="single"/>
        </w:rPr>
        <w:t xml:space="preserve">  /  </w:t>
      </w:r>
      <w:r>
        <w:rPr>
          <w:rFonts w:hint="eastAsia" w:ascii="宋体" w:hAnsi="宋体" w:eastAsia="宋体" w:cs="宋体"/>
          <w:color w:val="000000"/>
          <w:sz w:val="24"/>
          <w:szCs w:val="24"/>
        </w:rPr>
        <w:t>种方式对合同价格进行调整：</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关于各可调因子、定值和变值权重，以及基本价格指数及其来源的约定：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（2）关于基准价格的约定：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%时，或材料单价跌幅以已标价工程量清单或预算书中载明材料单价为基础超过</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%时，其超过部分据实调整。</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%时，材料单价涨幅以已标价工程量清单或预算书中载明材料单价为基础超过</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%时，其超过部分据实调整。</w:t>
      </w:r>
    </w:p>
    <w:p>
      <w:pPr>
        <w:pageBreakBefore w:val="0"/>
        <w:wordWrap/>
        <w:topLinePunct w:val="0"/>
        <w:bidi w:val="0"/>
        <w:spacing w:line="360" w:lineRule="auto"/>
        <w:ind w:firstLine="645"/>
        <w:jc w:val="left"/>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%时，其超过部分据实调整。</w:t>
      </w:r>
    </w:p>
    <w:p>
      <w:pPr>
        <w:pageBreakBefore w:val="0"/>
        <w:wordWrap/>
        <w:topLinePunct w:val="0"/>
        <w:bidi w:val="0"/>
        <w:spacing w:line="360" w:lineRule="auto"/>
        <w:ind w:firstLine="645"/>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第3种方式：其他价格调整方式：</w:t>
      </w:r>
      <w:r>
        <w:rPr>
          <w:rFonts w:hint="eastAsia" w:ascii="宋体" w:hAnsi="宋体" w:eastAsia="宋体" w:cs="宋体"/>
          <w:color w:val="000000"/>
          <w:sz w:val="24"/>
          <w:szCs w:val="24"/>
          <w:u w:val="single"/>
        </w:rPr>
        <w:t xml:space="preserve">         /               </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944"/>
    <w:bookmarkEnd w:id="945"/>
    <w:bookmarkEnd w:id="946"/>
    <w:bookmarkEnd w:id="947"/>
    <w:bookmarkEnd w:id="948"/>
    <w:bookmarkEnd w:id="949"/>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1057" w:name="_Toc292559410"/>
      <w:bookmarkStart w:id="1058" w:name="_Toc296347204"/>
      <w:bookmarkStart w:id="1059" w:name="_Toc297048391"/>
      <w:bookmarkStart w:id="1060" w:name="_Toc296503205"/>
      <w:bookmarkStart w:id="1061" w:name="_Toc296346706"/>
      <w:bookmarkStart w:id="1062" w:name="_Toc292559915"/>
      <w:bookmarkStart w:id="1063" w:name="_Toc296891245"/>
      <w:bookmarkStart w:id="1064" w:name="_Toc297120505"/>
      <w:bookmarkStart w:id="1065" w:name="_Toc296891033"/>
      <w:bookmarkStart w:id="1066" w:name="_Toc296944544"/>
      <w:bookmarkStart w:id="1067" w:name="_Toc351203644"/>
      <w:bookmarkStart w:id="1068" w:name="_Toc304295579"/>
      <w:bookmarkStart w:id="1069" w:name="_Toc303539159"/>
      <w:bookmarkStart w:id="1070" w:name="_Toc300935002"/>
      <w:bookmarkStart w:id="1071" w:name="_Toc297123552"/>
      <w:bookmarkStart w:id="1072" w:name="_Toc297216211"/>
      <w:bookmarkStart w:id="1073" w:name="_Toc312678040"/>
      <w:r>
        <w:rPr>
          <w:rFonts w:hint="eastAsia" w:ascii="宋体" w:hAnsi="宋体" w:eastAsia="宋体" w:cs="宋体"/>
          <w:b w:val="0"/>
          <w:color w:val="000000"/>
          <w:sz w:val="24"/>
          <w:szCs w:val="24"/>
        </w:rPr>
        <w:t xml:space="preserve">12. </w:t>
      </w:r>
      <w:bookmarkEnd w:id="1057"/>
      <w:bookmarkEnd w:id="1058"/>
      <w:bookmarkEnd w:id="1059"/>
      <w:bookmarkEnd w:id="1060"/>
      <w:bookmarkEnd w:id="1061"/>
      <w:bookmarkEnd w:id="1062"/>
      <w:bookmarkEnd w:id="1063"/>
      <w:bookmarkEnd w:id="1064"/>
      <w:bookmarkEnd w:id="1065"/>
      <w:bookmarkEnd w:id="1066"/>
      <w:r>
        <w:rPr>
          <w:rFonts w:hint="eastAsia" w:ascii="宋体" w:hAnsi="宋体" w:eastAsia="宋体" w:cs="宋体"/>
          <w:b w:val="0"/>
          <w:color w:val="000000"/>
          <w:sz w:val="24"/>
          <w:szCs w:val="24"/>
        </w:rPr>
        <w:t>合同价格、计量与支付</w:t>
      </w:r>
      <w:bookmarkEnd w:id="1067"/>
    </w:p>
    <w:bookmarkEnd w:id="1068"/>
    <w:bookmarkEnd w:id="1069"/>
    <w:bookmarkEnd w:id="1070"/>
    <w:bookmarkEnd w:id="1071"/>
    <w:bookmarkEnd w:id="1072"/>
    <w:bookmarkEnd w:id="1073"/>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bookmarkStart w:id="1074" w:name="_Toc292559916"/>
      <w:bookmarkStart w:id="1075" w:name="_Toc267251461"/>
      <w:bookmarkStart w:id="1076" w:name="_Toc292559411"/>
      <w:bookmarkStart w:id="1077" w:name="_Toc296347205"/>
      <w:bookmarkStart w:id="1078" w:name="_Toc296891034"/>
      <w:bookmarkStart w:id="1079" w:name="_Toc297120506"/>
      <w:bookmarkStart w:id="1080" w:name="_Toc296503206"/>
      <w:bookmarkStart w:id="1081" w:name="_Toc296944545"/>
      <w:bookmarkStart w:id="1082" w:name="_Toc296346707"/>
      <w:bookmarkStart w:id="1083" w:name="_Toc297048392"/>
      <w:bookmarkStart w:id="1084" w:name="_Toc296891246"/>
      <w:bookmarkStart w:id="1085" w:name="_Toc297123553"/>
      <w:bookmarkStart w:id="1086" w:name="_Toc300935003"/>
      <w:bookmarkStart w:id="1087" w:name="_Toc297216212"/>
      <w:bookmarkStart w:id="1088" w:name="_Toc304295580"/>
      <w:bookmarkStart w:id="1089" w:name="_Toc312678041"/>
      <w:bookmarkStart w:id="1090" w:name="_Toc303539160"/>
      <w:r>
        <w:rPr>
          <w:rFonts w:hint="eastAsia" w:ascii="宋体" w:hAnsi="宋体" w:eastAsia="宋体" w:cs="宋体"/>
          <w:color w:val="000000"/>
          <w:sz w:val="24"/>
          <w:szCs w:val="24"/>
        </w:rPr>
        <w:t>12.1 合</w:t>
      </w:r>
      <w:bookmarkEnd w:id="1074"/>
      <w:bookmarkEnd w:id="1075"/>
      <w:bookmarkEnd w:id="1076"/>
      <w:r>
        <w:rPr>
          <w:rFonts w:hint="eastAsia" w:ascii="宋体" w:hAnsi="宋体" w:eastAsia="宋体" w:cs="宋体"/>
          <w:color w:val="000000"/>
          <w:sz w:val="24"/>
          <w:szCs w:val="24"/>
        </w:rPr>
        <w:t>同价</w:t>
      </w:r>
      <w:bookmarkEnd w:id="1077"/>
      <w:bookmarkEnd w:id="1078"/>
      <w:bookmarkEnd w:id="1079"/>
      <w:bookmarkEnd w:id="1080"/>
      <w:bookmarkEnd w:id="1081"/>
      <w:bookmarkEnd w:id="1082"/>
      <w:bookmarkEnd w:id="1083"/>
      <w:bookmarkEnd w:id="1084"/>
      <w:r>
        <w:rPr>
          <w:rFonts w:hint="eastAsia" w:ascii="宋体" w:hAnsi="宋体" w:eastAsia="宋体" w:cs="宋体"/>
          <w:color w:val="000000"/>
          <w:sz w:val="24"/>
          <w:szCs w:val="24"/>
        </w:rPr>
        <w:t>格形式</w:t>
      </w:r>
    </w:p>
    <w:bookmarkEnd w:id="1085"/>
    <w:bookmarkEnd w:id="1086"/>
    <w:bookmarkEnd w:id="1087"/>
    <w:bookmarkEnd w:id="1088"/>
    <w:bookmarkEnd w:id="1089"/>
    <w:bookmarkEnd w:id="1090"/>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1、单价合同。</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综合单价包含的风险范围：</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2、总价合同。</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总价包含的风险范围：</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3、其他价格方式：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bookmarkStart w:id="1091" w:name="_Toc312678042"/>
      <w:bookmarkStart w:id="1092" w:name="_Toc297216213"/>
      <w:bookmarkStart w:id="1093" w:name="_Toc303539161"/>
      <w:bookmarkStart w:id="1094" w:name="_Toc304295581"/>
      <w:bookmarkStart w:id="1095" w:name="_Toc300935004"/>
      <w:bookmarkStart w:id="1096" w:name="_Toc297123554"/>
      <w:bookmarkStart w:id="1097" w:name="_Toc296891035"/>
      <w:bookmarkStart w:id="1098" w:name="_Toc296346708"/>
      <w:bookmarkStart w:id="1099" w:name="_Toc296944546"/>
      <w:bookmarkStart w:id="1100" w:name="_Toc297048393"/>
      <w:bookmarkStart w:id="1101" w:name="_Toc297120507"/>
      <w:bookmarkStart w:id="1102" w:name="_Toc296347206"/>
      <w:bookmarkStart w:id="1103" w:name="_Toc296503207"/>
      <w:bookmarkStart w:id="1104" w:name="_Toc296891247"/>
      <w:bookmarkStart w:id="1105" w:name="_Toc292559917"/>
      <w:bookmarkStart w:id="1106" w:name="_Toc292559412"/>
      <w:r>
        <w:rPr>
          <w:rFonts w:hint="eastAsia" w:ascii="宋体" w:hAnsi="宋体" w:eastAsia="宋体" w:cs="宋体"/>
          <w:color w:val="000000"/>
          <w:sz w:val="24"/>
          <w:szCs w:val="24"/>
        </w:rPr>
        <w:t>12.2 预付款</w:t>
      </w:r>
    </w:p>
    <w:bookmarkEnd w:id="1091"/>
    <w:bookmarkEnd w:id="1092"/>
    <w:bookmarkEnd w:id="1093"/>
    <w:bookmarkEnd w:id="1094"/>
    <w:bookmarkEnd w:id="1095"/>
    <w:bookmarkEnd w:id="1096"/>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12.2.1 预付款的支付</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预付款支付比例或金额：</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预付款支付期限：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预付款扣回的方式：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承包人提交预付款担保的期限：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bookmarkEnd w:id="1097"/>
    <w:bookmarkEnd w:id="1098"/>
    <w:bookmarkEnd w:id="1099"/>
    <w:bookmarkEnd w:id="1100"/>
    <w:bookmarkEnd w:id="1101"/>
    <w:bookmarkEnd w:id="1102"/>
    <w:bookmarkEnd w:id="1103"/>
    <w:bookmarkEnd w:id="1104"/>
    <w:bookmarkEnd w:id="1105"/>
    <w:bookmarkEnd w:id="1106"/>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12.3.4 总价合同的计量</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关于总价合同计量的约定：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12.3.5总价合同采用支付分解表计量支付的，是否适用第</w:t>
      </w:r>
      <w:r>
        <w:rPr>
          <w:rFonts w:hint="eastAsia" w:ascii="宋体" w:hAnsi="宋体" w:eastAsia="宋体" w:cs="宋体"/>
          <w:color w:val="000000"/>
          <w:kern w:val="0"/>
          <w:sz w:val="24"/>
          <w:szCs w:val="24"/>
        </w:rPr>
        <w:t xml:space="preserve">12.3.4 </w:t>
      </w:r>
      <w:r>
        <w:rPr>
          <w:rFonts w:hint="eastAsia" w:ascii="宋体" w:hAnsi="宋体" w:eastAsia="宋体" w:cs="宋体"/>
          <w:color w:val="000000"/>
          <w:sz w:val="24"/>
          <w:szCs w:val="24"/>
        </w:rPr>
        <w:t>项</w:t>
      </w:r>
      <w:r>
        <w:rPr>
          <w:rFonts w:hint="eastAsia" w:ascii="宋体" w:hAnsi="宋体" w:eastAsia="宋体" w:cs="宋体"/>
          <w:color w:val="000000"/>
          <w:kern w:val="0"/>
          <w:sz w:val="24"/>
          <w:szCs w:val="24"/>
        </w:rPr>
        <w:t>〔总价合同的计量〕</w:t>
      </w:r>
      <w:r>
        <w:rPr>
          <w:rFonts w:hint="eastAsia" w:ascii="宋体" w:hAnsi="宋体" w:eastAsia="宋体" w:cs="宋体"/>
          <w:color w:val="000000"/>
          <w:sz w:val="24"/>
          <w:szCs w:val="24"/>
        </w:rPr>
        <w:t>约定进行计量：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12.3.6 其他价格形式合同的计量</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其他价格形式的计量方式和程序：</w:t>
      </w:r>
      <w:r>
        <w:rPr>
          <w:rFonts w:hint="eastAsia" w:ascii="宋体" w:hAnsi="宋体" w:eastAsia="宋体" w:cs="宋体"/>
          <w:color w:val="000000"/>
          <w:sz w:val="24"/>
          <w:szCs w:val="24"/>
          <w:u w:val="single"/>
        </w:rPr>
        <w:t xml:space="preserve">         /                </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12.4 工程进度款支付</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bookmarkStart w:id="1107" w:name="_Toc297123556"/>
      <w:bookmarkStart w:id="1108" w:name="_Toc296891251"/>
      <w:bookmarkStart w:id="1109" w:name="_Toc292559921"/>
      <w:bookmarkStart w:id="1110" w:name="_Toc296347210"/>
      <w:bookmarkStart w:id="1111" w:name="_Toc296944550"/>
      <w:bookmarkStart w:id="1112" w:name="_Toc303539163"/>
      <w:bookmarkStart w:id="1113" w:name="_Toc292559416"/>
      <w:bookmarkStart w:id="1114" w:name="_Toc297120511"/>
      <w:bookmarkStart w:id="1115" w:name="_Toc300935006"/>
      <w:bookmarkStart w:id="1116" w:name="_Toc297048397"/>
      <w:bookmarkStart w:id="1117" w:name="_Toc296891039"/>
      <w:bookmarkStart w:id="1118" w:name="_Toc297216215"/>
      <w:bookmarkStart w:id="1119" w:name="_Toc296503211"/>
      <w:bookmarkStart w:id="1120" w:name="_Toc296346712"/>
      <w:r>
        <w:rPr>
          <w:rFonts w:hint="eastAsia" w:ascii="宋体" w:hAnsi="宋体" w:eastAsia="宋体" w:cs="宋体"/>
          <w:color w:val="000000"/>
          <w:sz w:val="24"/>
          <w:szCs w:val="24"/>
        </w:rPr>
        <w:t>12.4.1 付款周期</w:t>
      </w:r>
    </w:p>
    <w:p>
      <w:pPr>
        <w:pageBreakBefore w:val="0"/>
        <w:wordWrap/>
        <w:topLinePunct w:val="0"/>
        <w:bidi w:val="0"/>
        <w:spacing w:line="360" w:lineRule="auto"/>
        <w:ind w:firstLine="602"/>
        <w:rPr>
          <w:rFonts w:hint="eastAsia" w:ascii="宋体" w:hAnsi="宋体" w:eastAsia="宋体" w:cs="宋体"/>
          <w:b/>
          <w:sz w:val="24"/>
          <w:szCs w:val="24"/>
        </w:rPr>
      </w:pPr>
      <w:r>
        <w:rPr>
          <w:rFonts w:hint="eastAsia" w:ascii="宋体" w:hAnsi="宋体" w:eastAsia="宋体" w:cs="宋体"/>
          <w:color w:val="000000"/>
          <w:sz w:val="24"/>
          <w:szCs w:val="24"/>
        </w:rPr>
        <w:t>关于付款周期的约定：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themeColor="text1"/>
          <w:sz w:val="24"/>
          <w:szCs w:val="24"/>
          <w:u w:val="single"/>
          <w14:textFill>
            <w14:solidFill>
              <w14:schemeClr w14:val="tx1"/>
            </w14:solidFill>
          </w14:textFill>
        </w:rPr>
        <w:t>工程进度款经发包人审定后按进度支付，</w:t>
      </w:r>
      <w:r>
        <w:rPr>
          <w:rFonts w:hint="eastAsia" w:ascii="宋体" w:hAnsi="宋体" w:eastAsia="宋体" w:cs="宋体"/>
          <w:b/>
          <w:color w:val="000000" w:themeColor="text1"/>
          <w:sz w:val="24"/>
          <w:szCs w:val="24"/>
          <w:u w:val="single"/>
          <w:lang w:val="en-US" w:eastAsia="zh-CN"/>
          <w14:textFill>
            <w14:solidFill>
              <w14:schemeClr w14:val="tx1"/>
            </w14:solidFill>
          </w14:textFill>
        </w:rPr>
        <w:t>暂定    年   月    日前支付，</w:t>
      </w:r>
      <w:r>
        <w:rPr>
          <w:rFonts w:hint="eastAsia" w:ascii="宋体" w:hAnsi="宋体" w:eastAsia="宋体" w:cs="宋体"/>
          <w:b/>
          <w:color w:val="000000" w:themeColor="text1"/>
          <w:sz w:val="24"/>
          <w:szCs w:val="24"/>
          <w:u w:val="single"/>
          <w14:textFill>
            <w14:solidFill>
              <w14:schemeClr w14:val="tx1"/>
            </w14:solidFill>
          </w14:textFill>
        </w:rPr>
        <w:t>支付比例</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，是</w:t>
      </w:r>
      <w:r>
        <w:rPr>
          <w:rFonts w:hint="eastAsia" w:ascii="宋体" w:hAnsi="宋体" w:eastAsia="宋体" w:cs="宋体"/>
          <w:b/>
          <w:color w:val="000000" w:themeColor="text1"/>
          <w:sz w:val="24"/>
          <w:szCs w:val="24"/>
          <w:u w:val="single"/>
          <w14:textFill>
            <w14:solidFill>
              <w14:schemeClr w14:val="tx1"/>
            </w14:solidFill>
          </w14:textFill>
        </w:rPr>
        <w:t>按照</w:t>
      </w:r>
      <w:r>
        <w:rPr>
          <w:rFonts w:hint="eastAsia" w:ascii="宋体" w:hAnsi="宋体" w:eastAsia="宋体" w:cs="宋体"/>
          <w:b/>
          <w:sz w:val="24"/>
          <w:szCs w:val="24"/>
          <w:u w:val="single"/>
        </w:rPr>
        <w:t xml:space="preserve">《银川市人民政府办公室关于下达银川市本级政府资金2021年第一批投入计划的通知》（银政办发【2021】14号）文件执行（该文件承包人已知晓）。余款待工程结算由银川市财政项目预算审核中心审定后、财政清欠款指标下达后无息付清 。                                              </w:t>
      </w:r>
      <w:r>
        <w:rPr>
          <w:rFonts w:hint="eastAsia" w:ascii="宋体" w:hAnsi="宋体" w:eastAsia="宋体" w:cs="宋体"/>
          <w:sz w:val="24"/>
          <w:szCs w:val="24"/>
        </w:rPr>
        <w:t>。</w:t>
      </w:r>
      <w:r>
        <w:rPr>
          <w:rFonts w:hint="eastAsia" w:ascii="宋体" w:hAnsi="宋体" w:eastAsia="宋体" w:cs="宋体"/>
          <w:b/>
          <w:sz w:val="24"/>
          <w:szCs w:val="24"/>
        </w:rPr>
        <w:t xml:space="preserve">   </w:t>
      </w:r>
    </w:p>
    <w:p>
      <w:pPr>
        <w:pageBreakBefore w:val="0"/>
        <w:wordWrap/>
        <w:topLinePunct w:val="0"/>
        <w:bidi w:val="0"/>
        <w:spacing w:line="360" w:lineRule="auto"/>
        <w:ind w:firstLine="481" w:firstLineChars="200"/>
        <w:jc w:val="left"/>
        <w:rPr>
          <w:rFonts w:hint="eastAsia" w:ascii="宋体" w:hAnsi="宋体" w:eastAsia="宋体" w:cs="宋体"/>
          <w:color w:val="000000"/>
          <w:sz w:val="24"/>
          <w:szCs w:val="24"/>
          <w:u w:val="single"/>
        </w:rPr>
      </w:pPr>
      <w:r>
        <w:rPr>
          <w:rFonts w:hint="eastAsia" w:ascii="宋体" w:hAnsi="宋体" w:eastAsia="宋体" w:cs="宋体"/>
          <w:b/>
          <w:color w:val="000000"/>
          <w:sz w:val="24"/>
          <w:szCs w:val="24"/>
          <w:u w:val="single"/>
        </w:rPr>
        <w:t xml:space="preserve">工程款到位后优先保障农民工工资支付，严格规范劳动用工管理，依法与招用的农民工先签订劳动合同后进场施工，并严格履行合同。依法将工资按月足额支付给农民工本人，严禁将农民工工资发放给不具备用工主体资格的组织和个人。不得以工程款未到位等理由克扣或拖欠农民工工资，不得将合同应收工程款等经营风险转嫁给农民工。如未及时划拨工程款致使施工企业拖欠农民工工资的，由承包人先行垫付农民工工资。承包人如未按期支付，承包人应向发包人支付10万元违约金。因承包人的原因导致发包人垫付款项，承包人同意发包人从应付的工程款中扣减。  </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ind w:firstLine="481" w:firstLineChars="200"/>
        <w:jc w:val="left"/>
        <w:rPr>
          <w:rFonts w:hint="eastAsia" w:ascii="宋体" w:hAnsi="宋体" w:eastAsia="宋体" w:cs="宋体"/>
          <w:b/>
          <w:bCs w:val="0"/>
          <w:color w:val="auto"/>
          <w:sz w:val="24"/>
          <w:szCs w:val="24"/>
          <w:u w:val="single"/>
        </w:rPr>
      </w:pPr>
      <w:r>
        <w:rPr>
          <w:rFonts w:hint="eastAsia" w:ascii="宋体" w:hAnsi="宋体" w:eastAsia="宋体" w:cs="宋体"/>
          <w:b/>
          <w:color w:val="auto"/>
          <w:sz w:val="24"/>
          <w:szCs w:val="24"/>
          <w:u w:val="single"/>
        </w:rPr>
        <w:t>依据劳动监察部门相关条例，工程款按需分别划入中标单位的专用及基本账户，确保农民工合法权益不受侵害。</w:t>
      </w:r>
      <w:r>
        <w:rPr>
          <w:rFonts w:hint="eastAsia" w:ascii="宋体" w:hAnsi="宋体" w:eastAsia="宋体" w:cs="宋体"/>
          <w:b/>
          <w:bCs w:val="0"/>
          <w:color w:val="auto"/>
          <w:sz w:val="24"/>
          <w:szCs w:val="24"/>
          <w:u w:val="single"/>
        </w:rPr>
        <w:t>承包单位分账管理的农民工工资专用账户为：</w:t>
      </w:r>
    </w:p>
    <w:p>
      <w:pPr>
        <w:pageBreakBefore w:val="0"/>
        <w:tabs>
          <w:tab w:val="right" w:pos="8821"/>
        </w:tabs>
        <w:wordWrap/>
        <w:topLinePunct w:val="0"/>
        <w:bidi w:val="0"/>
        <w:spacing w:line="360" w:lineRule="auto"/>
        <w:ind w:firstLine="481" w:firstLineChars="200"/>
        <w:jc w:val="left"/>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rPr>
        <w:t>开户单位：</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pPr>
        <w:pageBreakBefore w:val="0"/>
        <w:wordWrap/>
        <w:topLinePunct w:val="0"/>
        <w:bidi w:val="0"/>
        <w:spacing w:line="360" w:lineRule="auto"/>
        <w:ind w:firstLine="481" w:firstLineChars="200"/>
        <w:jc w:val="left"/>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rPr>
        <w:t>开户银行：</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pPr>
        <w:pageBreakBefore w:val="0"/>
        <w:wordWrap/>
        <w:topLinePunct w:val="0"/>
        <w:bidi w:val="0"/>
        <w:spacing w:line="360" w:lineRule="auto"/>
        <w:ind w:firstLine="481" w:firstLineChars="200"/>
        <w:jc w:val="left"/>
        <w:rPr>
          <w:rFonts w:hint="eastAsia" w:ascii="宋体" w:hAnsi="宋体" w:eastAsia="宋体" w:cs="宋体"/>
          <w:b/>
          <w:color w:val="auto"/>
          <w:sz w:val="24"/>
          <w:szCs w:val="24"/>
          <w:u w:val="single"/>
        </w:rPr>
      </w:pPr>
      <w:r>
        <w:rPr>
          <w:rFonts w:hint="eastAsia" w:ascii="宋体" w:hAnsi="宋体" w:eastAsia="宋体" w:cs="宋体"/>
          <w:b/>
          <w:bCs w:val="0"/>
          <w:color w:val="auto"/>
          <w:sz w:val="24"/>
          <w:szCs w:val="24"/>
          <w:u w:val="single"/>
        </w:rPr>
        <w:t>账</w:t>
      </w:r>
      <w:r>
        <w:rPr>
          <w:rFonts w:hint="eastAsia" w:ascii="宋体" w:hAnsi="宋体" w:eastAsia="宋体" w:cs="宋体"/>
          <w:b/>
          <w:sz w:val="24"/>
          <w:szCs w:val="24"/>
          <w:u w:val="single"/>
        </w:rPr>
        <w:t xml:space="preserve">    </w:t>
      </w:r>
      <w:r>
        <w:rPr>
          <w:rFonts w:hint="eastAsia" w:ascii="宋体" w:hAnsi="宋体" w:eastAsia="宋体" w:cs="宋体"/>
          <w:b/>
          <w:bCs w:val="0"/>
          <w:color w:val="auto"/>
          <w:sz w:val="24"/>
          <w:szCs w:val="24"/>
          <w:u w:val="single"/>
        </w:rPr>
        <w:t>号：</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12.4.2 进度付款申请单的编制</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关于进度付款申请单编制的约定：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Pr>
          <w:rFonts w:hint="eastAsia" w:ascii="宋体" w:hAnsi="宋体" w:eastAsia="宋体" w:cs="宋体"/>
          <w:color w:val="000000"/>
          <w:sz w:val="24"/>
          <w:szCs w:val="24"/>
        </w:rPr>
        <w:t>2.4.3 进度付款申请单的提交</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（1）单价合同进度付款申请单提交的约定：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（2）总价合同进度付款申请单提交的约定：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（3）其他价格形式合同进度付款申请单提交的约定：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发包人完成审批并签发进度款支付证书的期限：</w:t>
      </w:r>
      <w:r>
        <w:rPr>
          <w:rFonts w:hint="eastAsia" w:ascii="宋体" w:hAnsi="宋体" w:eastAsia="宋体" w:cs="宋体"/>
          <w:color w:val="000000"/>
          <w:sz w:val="24"/>
          <w:szCs w:val="24"/>
          <w:u w:val="single"/>
        </w:rPr>
        <w:t xml:space="preserve">     /      </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（2）发包人支付进度款的期限：</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以财政实际支付时间为准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发包人逾期支付进度款的违约金的计算方式：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600" w:firstLineChars="250"/>
        <w:jc w:val="left"/>
        <w:rPr>
          <w:rFonts w:hint="eastAsia" w:ascii="宋体" w:hAnsi="宋体" w:eastAsia="宋体" w:cs="宋体"/>
          <w:color w:val="000000"/>
          <w:sz w:val="24"/>
          <w:szCs w:val="24"/>
        </w:rPr>
      </w:pPr>
      <w:r>
        <w:rPr>
          <w:rFonts w:hint="eastAsia" w:ascii="宋体" w:hAnsi="宋体" w:eastAsia="宋体" w:cs="宋体"/>
          <w:color w:val="000000"/>
          <w:sz w:val="24"/>
          <w:szCs w:val="24"/>
        </w:rPr>
        <w:t>12.4.6 支付分解表的编制</w:t>
      </w:r>
    </w:p>
    <w:p>
      <w:pPr>
        <w:pageBreakBefore w:val="0"/>
        <w:wordWrap/>
        <w:topLinePunct w:val="0"/>
        <w:bidi w:val="0"/>
        <w:spacing w:line="360" w:lineRule="auto"/>
        <w:ind w:left="6000" w:hanging="4800" w:hangingChars="20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2、总价合同支付分解表的编制与审批：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3、单价合同的总价项目支付分解表的编制与审批：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bookmarkEnd w:id="950"/>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1121" w:name="_Toc351203645"/>
      <w:bookmarkStart w:id="1122" w:name="_Toc303539172"/>
      <w:bookmarkStart w:id="1123" w:name="_Toc296891259"/>
      <w:bookmarkStart w:id="1124" w:name="_Toc296347218"/>
      <w:bookmarkStart w:id="1125" w:name="_Toc292559929"/>
      <w:bookmarkStart w:id="1126" w:name="_Toc296503219"/>
      <w:bookmarkStart w:id="1127" w:name="_Toc292559424"/>
      <w:bookmarkStart w:id="1128" w:name="_Toc297120519"/>
      <w:bookmarkStart w:id="1129" w:name="_Toc296891047"/>
      <w:bookmarkStart w:id="1130" w:name="_Toc297048405"/>
      <w:bookmarkStart w:id="1131" w:name="_Toc300935015"/>
      <w:bookmarkStart w:id="1132" w:name="_Toc297123564"/>
      <w:bookmarkStart w:id="1133" w:name="_Toc296944558"/>
      <w:bookmarkStart w:id="1134" w:name="_Toc312678053"/>
      <w:bookmarkStart w:id="1135" w:name="_Toc296346720"/>
      <w:bookmarkStart w:id="1136" w:name="_Toc297216223"/>
      <w:bookmarkStart w:id="1137" w:name="_Toc304295593"/>
      <w:r>
        <w:rPr>
          <w:rFonts w:hint="eastAsia" w:ascii="宋体" w:hAnsi="宋体" w:eastAsia="宋体" w:cs="宋体"/>
          <w:b w:val="0"/>
          <w:color w:val="000000"/>
          <w:sz w:val="24"/>
          <w:szCs w:val="24"/>
        </w:rPr>
        <w:t>13. 验收和工程试车</w:t>
      </w:r>
      <w:bookmarkEnd w:id="1121"/>
    </w:p>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 xml:space="preserve">   24    </w:t>
      </w:r>
      <w:r>
        <w:rPr>
          <w:rFonts w:hint="eastAsia" w:ascii="宋体" w:hAnsi="宋体" w:eastAsia="宋体" w:cs="宋体"/>
          <w:sz w:val="24"/>
          <w:szCs w:val="24"/>
        </w:rPr>
        <w:t>小时提交书面延期要求。</w:t>
      </w:r>
    </w:p>
    <w:p>
      <w:pPr>
        <w:pageBreakBefore w:val="0"/>
        <w:wordWrap/>
        <w:topLinePunct w:val="0"/>
        <w:bidi w:val="0"/>
        <w:spacing w:line="360" w:lineRule="auto"/>
        <w:ind w:firstLine="480" w:firstLineChars="200"/>
        <w:jc w:val="left"/>
        <w:rPr>
          <w:rFonts w:hint="eastAsia" w:ascii="宋体" w:hAnsi="宋体" w:eastAsia="宋体" w:cs="宋体"/>
          <w:b/>
          <w:color w:val="000000"/>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72     </w:t>
      </w:r>
      <w:r>
        <w:rPr>
          <w:rFonts w:hint="eastAsia" w:ascii="宋体" w:hAnsi="宋体" w:eastAsia="宋体" w:cs="宋体"/>
          <w:sz w:val="24"/>
          <w:szCs w:val="24"/>
        </w:rPr>
        <w:t>小时。</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bookmarkStart w:id="1138" w:name="_Toc304295596"/>
      <w:bookmarkStart w:id="1139" w:name="_Toc312678056"/>
      <w:bookmarkStart w:id="1140" w:name="_Toc303539173"/>
      <w:bookmarkStart w:id="1141" w:name="_Toc296346724"/>
      <w:bookmarkStart w:id="1142" w:name="_Toc297120523"/>
      <w:bookmarkStart w:id="1143" w:name="_Toc292559428"/>
      <w:bookmarkStart w:id="1144" w:name="_Toc300935016"/>
      <w:bookmarkStart w:id="1145" w:name="_Toc297048409"/>
      <w:bookmarkStart w:id="1146" w:name="_Toc296944562"/>
      <w:bookmarkStart w:id="1147" w:name="_Toc292559933"/>
      <w:bookmarkStart w:id="1148" w:name="_Toc297123565"/>
      <w:bookmarkStart w:id="1149" w:name="_Toc297216224"/>
      <w:bookmarkStart w:id="1150" w:name="_Toc296891051"/>
      <w:bookmarkStart w:id="1151" w:name="_Toc296347222"/>
      <w:bookmarkStart w:id="1152" w:name="_Toc296891263"/>
      <w:bookmarkStart w:id="1153" w:name="_Toc296503223"/>
      <w:bookmarkStart w:id="1154" w:name="_Toc267251474"/>
      <w:bookmarkStart w:id="1155" w:name="_Toc267251476"/>
      <w:bookmarkStart w:id="1156" w:name="_Toc267251471"/>
      <w:bookmarkStart w:id="1157" w:name="_Toc267251470"/>
      <w:bookmarkStart w:id="1158" w:name="_Toc267251473"/>
      <w:bookmarkStart w:id="1159" w:name="_Toc267251472"/>
      <w:bookmarkStart w:id="1160" w:name="_Toc267251475"/>
      <w:r>
        <w:rPr>
          <w:rFonts w:hint="eastAsia" w:ascii="宋体" w:hAnsi="宋体" w:eastAsia="宋体" w:cs="宋体"/>
          <w:color w:val="000000"/>
          <w:sz w:val="24"/>
          <w:szCs w:val="24"/>
        </w:rPr>
        <w:t>13.2 竣工验收</w:t>
      </w:r>
    </w:p>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bookmarkStart w:id="1161" w:name="_Toc280868704"/>
      <w:bookmarkStart w:id="1162" w:name="_Toc280868705"/>
      <w:bookmarkStart w:id="1163" w:name="_Toc280868706"/>
      <w:bookmarkStart w:id="1164" w:name="_Toc280868707"/>
      <w:bookmarkStart w:id="1165" w:name="_Toc280868708"/>
      <w:bookmarkStart w:id="1166" w:name="_Toc280868709"/>
      <w:r>
        <w:rPr>
          <w:rFonts w:hint="eastAsia" w:ascii="宋体" w:hAnsi="宋体" w:eastAsia="宋体" w:cs="宋体"/>
          <w:color w:val="000000"/>
          <w:sz w:val="24"/>
          <w:szCs w:val="24"/>
        </w:rPr>
        <w:t>13.2.2竣工验收程序</w:t>
      </w:r>
    </w:p>
    <w:bookmarkEnd w:id="1161"/>
    <w:p>
      <w:pPr>
        <w:pageBreakBefore w:val="0"/>
        <w:wordWrap/>
        <w:topLinePunct w:val="0"/>
        <w:bidi w:val="0"/>
        <w:spacing w:line="360" w:lineRule="auto"/>
        <w:ind w:left="6000" w:hanging="4800" w:hangingChars="20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关于竣工验收程序的约定：</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发包人不按照本项约定组织竣工验收、颁发工程接收证书的违约金的计算方法：</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162"/>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bookmarkEnd w:id="1163"/>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承包人向发包人移交工程的期限：</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发包人未按本合同约定接收全部或部分工程的，违约金的计算方法为：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164"/>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13.3 工程试车</w:t>
      </w:r>
    </w:p>
    <w:bookmarkEnd w:id="1165"/>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 试车程序</w:t>
      </w:r>
    </w:p>
    <w:p>
      <w:pPr>
        <w:pageBreakBefore w:val="0"/>
        <w:wordWrap/>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工程试车内容：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（1）单机无负荷试车费用由</w:t>
      </w:r>
      <w:r>
        <w:rPr>
          <w:rFonts w:hint="eastAsia" w:ascii="宋体" w:hAnsi="宋体" w:eastAsia="宋体" w:cs="宋体"/>
          <w:color w:val="000000"/>
          <w:sz w:val="24"/>
          <w:szCs w:val="24"/>
          <w:u w:val="single"/>
        </w:rPr>
        <w:t xml:space="preserve">         /            </w:t>
      </w:r>
      <w:r>
        <w:rPr>
          <w:rFonts w:hint="eastAsia" w:ascii="宋体" w:hAnsi="宋体" w:eastAsia="宋体" w:cs="宋体"/>
          <w:color w:val="000000"/>
          <w:kern w:val="0"/>
          <w:sz w:val="24"/>
          <w:szCs w:val="24"/>
        </w:rPr>
        <w:t>承担；</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（2）无负荷联动试车费用由</w:t>
      </w:r>
      <w:r>
        <w:rPr>
          <w:rFonts w:hint="eastAsia" w:ascii="宋体" w:hAnsi="宋体" w:eastAsia="宋体" w:cs="宋体"/>
          <w:color w:val="000000"/>
          <w:sz w:val="24"/>
          <w:szCs w:val="24"/>
          <w:u w:val="single"/>
        </w:rPr>
        <w:t xml:space="preserve">         /            </w:t>
      </w:r>
      <w:r>
        <w:rPr>
          <w:rFonts w:hint="eastAsia" w:ascii="宋体" w:hAnsi="宋体" w:eastAsia="宋体" w:cs="宋体"/>
          <w:color w:val="000000"/>
          <w:kern w:val="0"/>
          <w:sz w:val="24"/>
          <w:szCs w:val="24"/>
        </w:rPr>
        <w:t>承担。</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pPr>
        <w:pageBreakBefore w:val="0"/>
        <w:wordWrap/>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关于投料试车相关事项的约定：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13.6 竣工退场</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承包人完成竣工退场的期限：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kern w:val="0"/>
          <w:sz w:val="24"/>
          <w:szCs w:val="24"/>
        </w:rPr>
        <w:t>。</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1167" w:name="_Toc351203646"/>
      <w:r>
        <w:rPr>
          <w:rFonts w:hint="eastAsia" w:ascii="宋体" w:hAnsi="宋体" w:eastAsia="宋体" w:cs="宋体"/>
          <w:b w:val="0"/>
          <w:color w:val="000000"/>
          <w:sz w:val="24"/>
          <w:szCs w:val="24"/>
        </w:rPr>
        <w:t>14. 竣工结算</w:t>
      </w:r>
      <w:bookmarkEnd w:id="1167"/>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 竣工结算申请</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承包人提交竣工结算申请单的期限：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竣工结算申请单应包括的内容：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14.2 竣工结算审核</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发包人审批竣工付款申请单的期限：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发包人完成竣工付款的期限：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关于竣工付款证书异议部分复核的方式和程序：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14.4 最终结清</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承包人提交最终结清申请单的份数：</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一式五份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承包人提交最终结算申请单的期限：</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按通用条款执行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sz w:val="24"/>
          <w:szCs w:val="24"/>
        </w:rPr>
        <w:t xml:space="preserve"> </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14.4.2 最终结清证书和支付</w:t>
      </w:r>
    </w:p>
    <w:p>
      <w:pPr>
        <w:pageBreakBefore w:val="0"/>
        <w:wordWrap/>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发包人根据财政实际支付情况确定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（2）发包人完成支付的期限：</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发包人根据财政实际支付情况确定 </w:t>
      </w:r>
      <w:r>
        <w:rPr>
          <w:rFonts w:hint="eastAsia" w:ascii="宋体" w:hAnsi="宋体" w:eastAsia="宋体" w:cs="宋体"/>
          <w:color w:val="000000"/>
          <w:sz w:val="24"/>
          <w:szCs w:val="24"/>
        </w:rPr>
        <w:t>。</w:t>
      </w:r>
    </w:p>
    <w:p>
      <w:pPr>
        <w:pageBreakBefore w:val="0"/>
        <w:wordWrap/>
        <w:topLinePunct w:val="0"/>
        <w:bidi w:val="0"/>
        <w:spacing w:line="360" w:lineRule="auto"/>
        <w:ind w:firstLine="722" w:firstLineChars="300"/>
        <w:jc w:val="left"/>
        <w:rPr>
          <w:rFonts w:hint="eastAsia" w:ascii="宋体" w:hAnsi="宋体" w:eastAsia="宋体" w:cs="宋体"/>
          <w:color w:val="000000"/>
          <w:sz w:val="24"/>
          <w:szCs w:val="24"/>
        </w:rPr>
      </w:pPr>
      <w:r>
        <w:rPr>
          <w:rFonts w:hint="eastAsia" w:ascii="宋体" w:hAnsi="宋体" w:eastAsia="宋体" w:cs="宋体"/>
          <w:b/>
          <w:sz w:val="24"/>
          <w:szCs w:val="24"/>
          <w:u w:val="single"/>
        </w:rPr>
        <w:t>工程结算款的支付以财政实际拨付时间为准，若因财政等原因造成延期支付，则视为双方已达成延期支付协议。承包人不得以拖延付款为由向发包人主张违约等法律责任，更不得据此上访或拒绝履行合同义务。</w:t>
      </w:r>
    </w:p>
    <w:bookmarkEnd w:id="1154"/>
    <w:bookmarkEnd w:id="1155"/>
    <w:bookmarkEnd w:id="1156"/>
    <w:bookmarkEnd w:id="1157"/>
    <w:bookmarkEnd w:id="1158"/>
    <w:bookmarkEnd w:id="1159"/>
    <w:bookmarkEnd w:id="1160"/>
    <w:bookmarkEnd w:id="1166"/>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1168" w:name="_Toc351203647"/>
      <w:bookmarkStart w:id="1169" w:name="_Toc267251483"/>
      <w:bookmarkStart w:id="1170" w:name="_Toc267251484"/>
      <w:bookmarkStart w:id="1171" w:name="_Toc267251482"/>
      <w:bookmarkStart w:id="1172" w:name="_Toc267251485"/>
      <w:bookmarkStart w:id="1173" w:name="_Toc267251489"/>
      <w:bookmarkStart w:id="1174" w:name="_Toc267251488"/>
      <w:bookmarkStart w:id="1175" w:name="_Toc267251486"/>
      <w:bookmarkStart w:id="1176" w:name="_Toc267251490"/>
      <w:bookmarkStart w:id="1177" w:name="_Toc267251502"/>
      <w:bookmarkStart w:id="1178" w:name="_Toc267251493"/>
      <w:bookmarkStart w:id="1179" w:name="_Toc267251503"/>
      <w:bookmarkStart w:id="1180" w:name="_Toc267251494"/>
      <w:bookmarkStart w:id="1181" w:name="_Toc267251499"/>
      <w:bookmarkStart w:id="1182" w:name="_Toc267251501"/>
      <w:bookmarkStart w:id="1183" w:name="_Toc267251497"/>
      <w:bookmarkStart w:id="1184" w:name="_Toc267251492"/>
      <w:bookmarkStart w:id="1185" w:name="_Toc267251498"/>
      <w:bookmarkStart w:id="1186" w:name="_Toc267251491"/>
      <w:bookmarkStart w:id="1187" w:name="_Toc267251496"/>
      <w:bookmarkStart w:id="1188" w:name="_Toc267251495"/>
      <w:bookmarkStart w:id="1189" w:name="_Toc267251506"/>
      <w:bookmarkStart w:id="1190" w:name="_Toc267251504"/>
      <w:bookmarkStart w:id="1191" w:name="_Toc267251507"/>
      <w:bookmarkStart w:id="1192" w:name="_Toc267251508"/>
      <w:bookmarkStart w:id="1193" w:name="_Toc267251514"/>
      <w:bookmarkStart w:id="1194" w:name="_Toc267251510"/>
      <w:bookmarkStart w:id="1195" w:name="_Toc267251509"/>
      <w:bookmarkStart w:id="1196" w:name="_Toc267251515"/>
      <w:bookmarkStart w:id="1197" w:name="_Toc267251513"/>
      <w:bookmarkStart w:id="1198" w:name="_Toc267251511"/>
      <w:r>
        <w:rPr>
          <w:rFonts w:hint="eastAsia" w:ascii="宋体" w:hAnsi="宋体" w:eastAsia="宋体" w:cs="宋体"/>
          <w:b w:val="0"/>
          <w:color w:val="000000"/>
          <w:sz w:val="24"/>
          <w:szCs w:val="24"/>
        </w:rPr>
        <w:t>15. 缺陷责任期与保修</w:t>
      </w:r>
      <w:bookmarkEnd w:id="1168"/>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15.2缺陷责任期</w:t>
      </w:r>
      <w:bookmarkEnd w:id="1169"/>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缺陷责任期的具体期限：</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 按通用条款和《工程质量保修书》</w:t>
      </w:r>
      <w:r>
        <w:rPr>
          <w:rFonts w:hint="eastAsia" w:ascii="宋体" w:hAnsi="宋体" w:cs="宋体"/>
          <w:b/>
          <w:sz w:val="24"/>
          <w:szCs w:val="24"/>
          <w:u w:val="single"/>
          <w:lang w:eastAsia="zh-CN"/>
        </w:rPr>
        <w:t>执行</w:t>
      </w:r>
      <w:r>
        <w:rPr>
          <w:rFonts w:hint="eastAsia" w:ascii="宋体" w:hAnsi="宋体" w:eastAsia="宋体" w:cs="宋体"/>
          <w:b/>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15.3 质量保证金</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关于是否扣留质量保证金的约定：</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扣留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。在工程项目竣工前，承包人按专用合同条款第3.7条提供履约担保的，发包人不得同时预留工程质量保证金。</w:t>
      </w:r>
    </w:p>
    <w:p>
      <w:pPr>
        <w:pageBreakBefore w:val="0"/>
        <w:wordWrap/>
        <w:topLinePunct w:val="0"/>
        <w:bidi w:val="0"/>
        <w:spacing w:line="360" w:lineRule="auto"/>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15.3.1 承包人提供质量保证金的方式</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质量保证金采用以下第</w:t>
      </w: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（1）质量保证金保函，保证金额为：</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 xml:space="preserve">； </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u w:val="single"/>
        </w:rPr>
        <w:t xml:space="preserve">  3    </w:t>
      </w:r>
      <w:r>
        <w:rPr>
          <w:rFonts w:hint="eastAsia" w:ascii="宋体" w:hAnsi="宋体" w:eastAsia="宋体" w:cs="宋体"/>
          <w:color w:val="000000"/>
          <w:kern w:val="0"/>
          <w:sz w:val="24"/>
          <w:szCs w:val="24"/>
        </w:rPr>
        <w:t>%的工程款；</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（3）其他方式:</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15.3.2 质量保证金的扣留 </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质量保证金的扣留采取以下第</w:t>
      </w: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pPr>
        <w:pageBreakBefore w:val="0"/>
        <w:wordWrap/>
        <w:topLinePunct w:val="0"/>
        <w:autoSpaceDE w:val="0"/>
        <w:autoSpaceDN w:val="0"/>
        <w:bidi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（2）工程竣工结算时一次性扣留质量保证金；</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（3）其他扣留方式:</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关于质量保证金的补充约定：</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bookmarkEnd w:id="1170"/>
    <w:bookmarkEnd w:id="1171"/>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15.4保修</w:t>
      </w:r>
    </w:p>
    <w:bookmarkEnd w:id="1172"/>
    <w:p>
      <w:pPr>
        <w:pageBreakBefore w:val="0"/>
        <w:wordWrap/>
        <w:topLinePunct w:val="0"/>
        <w:bidi w:val="0"/>
        <w:spacing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工程保修期为：</w:t>
      </w:r>
      <w:r>
        <w:rPr>
          <w:rFonts w:hint="eastAsia" w:ascii="宋体" w:hAnsi="宋体" w:eastAsia="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pPr>
        <w:pageBreakBefore w:val="0"/>
        <w:wordWrap/>
        <w:topLinePunct w:val="0"/>
        <w:bidi w:val="0"/>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承包人收到保修通知并到达工程现场的合理时间：</w:t>
      </w:r>
      <w:r>
        <w:rPr>
          <w:rFonts w:hint="eastAsia" w:ascii="宋体" w:hAnsi="宋体" w:eastAsia="宋体" w:cs="宋体"/>
          <w:color w:val="000000"/>
          <w:kern w:val="0"/>
          <w:sz w:val="24"/>
          <w:szCs w:val="24"/>
          <w:u w:val="single"/>
        </w:rPr>
        <w:t xml:space="preserve"> </w:t>
      </w:r>
      <w:r>
        <w:rPr>
          <w:rFonts w:hint="eastAsia" w:ascii="宋体" w:hAnsi="宋体" w:eastAsia="宋体" w:cs="宋体"/>
          <w:b/>
          <w:bCs/>
          <w:color w:val="000000"/>
          <w:kern w:val="0"/>
          <w:sz w:val="24"/>
          <w:szCs w:val="24"/>
          <w:u w:val="single"/>
        </w:rPr>
        <w:t xml:space="preserve"> </w:t>
      </w:r>
      <w:r>
        <w:rPr>
          <w:rFonts w:hint="eastAsia" w:ascii="宋体" w:hAnsi="宋体" w:eastAsia="宋体" w:cs="宋体"/>
          <w:b/>
          <w:bCs/>
          <w:kern w:val="0"/>
          <w:sz w:val="24"/>
          <w:szCs w:val="24"/>
          <w:u w:val="single"/>
        </w:rPr>
        <w:t xml:space="preserve"> </w:t>
      </w:r>
      <w:r>
        <w:rPr>
          <w:rFonts w:hint="eastAsia" w:ascii="宋体" w:hAnsi="宋体" w:cs="宋体"/>
          <w:b/>
          <w:bCs/>
          <w:kern w:val="0"/>
          <w:sz w:val="24"/>
          <w:szCs w:val="24"/>
          <w:u w:val="single"/>
          <w:lang w:val="en-US" w:eastAsia="zh-CN"/>
        </w:rPr>
        <w:t xml:space="preserve">           </w:t>
      </w:r>
      <w:r>
        <w:rPr>
          <w:rFonts w:hint="eastAsia" w:ascii="宋体" w:hAnsi="宋体" w:eastAsia="宋体" w:cs="宋体"/>
          <w:b/>
          <w:bCs/>
          <w:kern w:val="0"/>
          <w:sz w:val="24"/>
          <w:szCs w:val="24"/>
          <w:u w:val="single"/>
        </w:rPr>
        <w:t xml:space="preserve">   </w:t>
      </w:r>
      <w:r>
        <w:rPr>
          <w:rFonts w:hint="eastAsia" w:ascii="宋体" w:hAnsi="宋体" w:eastAsia="宋体" w:cs="宋体"/>
          <w:b/>
          <w:bCs/>
          <w:color w:val="000000"/>
          <w:kern w:val="0"/>
          <w:sz w:val="24"/>
          <w:szCs w:val="24"/>
        </w:rPr>
        <w:t>。</w:t>
      </w:r>
    </w:p>
    <w:bookmarkEnd w:id="1173"/>
    <w:bookmarkEnd w:id="1174"/>
    <w:bookmarkEnd w:id="1175"/>
    <w:bookmarkEnd w:id="1176"/>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1199" w:name="_Toc351203648"/>
      <w:bookmarkStart w:id="1200" w:name="_Toc280868717"/>
      <w:bookmarkStart w:id="1201" w:name="_Toc280868718"/>
      <w:r>
        <w:rPr>
          <w:rFonts w:hint="eastAsia" w:ascii="宋体" w:hAnsi="宋体" w:eastAsia="宋体" w:cs="宋体"/>
          <w:b w:val="0"/>
          <w:color w:val="000000"/>
          <w:sz w:val="24"/>
          <w:szCs w:val="24"/>
        </w:rPr>
        <w:t>16. 违约</w:t>
      </w:r>
      <w:bookmarkEnd w:id="1199"/>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16.1 发包人违约</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16.1.1发包人违约的情形</w:t>
      </w:r>
    </w:p>
    <w:p>
      <w:pPr>
        <w:pageBreakBefore w:val="0"/>
        <w:wordWrap/>
        <w:topLinePunct w:val="0"/>
        <w:bidi w:val="0"/>
        <w:spacing w:line="360" w:lineRule="auto"/>
        <w:ind w:left="1320" w:leftChars="300" w:hanging="480" w:hanging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发包人违约的其他情形：</w:t>
      </w:r>
      <w:r>
        <w:rPr>
          <w:rFonts w:hint="eastAsia" w:ascii="宋体" w:hAnsi="宋体" w:eastAsia="宋体" w:cs="宋体"/>
          <w:color w:val="000000"/>
          <w:kern w:val="0"/>
          <w:sz w:val="24"/>
          <w:szCs w:val="24"/>
          <w:u w:val="single"/>
        </w:rPr>
        <w:t xml:space="preserve">   </w:t>
      </w:r>
      <w:r>
        <w:rPr>
          <w:rFonts w:hint="eastAsia" w:ascii="宋体" w:hAnsi="宋体" w:eastAsia="宋体" w:cs="宋体"/>
          <w:b/>
          <w:bCs/>
          <w:color w:val="000000"/>
          <w:kern w:val="0"/>
          <w:sz w:val="24"/>
          <w:szCs w:val="24"/>
          <w:u w:val="single"/>
        </w:rPr>
        <w:t xml:space="preserve">按通用条款执行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line="360" w:lineRule="auto"/>
        <w:ind w:left="1500" w:hanging="1200" w:hangingChars="5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16.1.2 发包人违约的责任</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发包人违约责任的承担方式和计算方法：</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（1）因发包人原因未能在计划开工日期前7天内下达开工通知的违约责任：</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（2）因发包人原因未能按合同约定支付合同价款的违约责任：</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（3）发包人违反第10.1款〔变更的范围〕第（2）项约定，自行实施被取消的工作或转由他人实施的违约责任：</w:t>
      </w:r>
      <w:r>
        <w:rPr>
          <w:rFonts w:hint="eastAsia" w:ascii="宋体" w:hAnsi="宋体" w:eastAsia="宋体" w:cs="宋体"/>
          <w:color w:val="000000"/>
          <w:kern w:val="0"/>
          <w:sz w:val="24"/>
          <w:szCs w:val="24"/>
          <w:u w:val="single"/>
        </w:rPr>
        <w:t xml:space="preserve">       /       </w:t>
      </w:r>
    </w:p>
    <w:p>
      <w:pPr>
        <w:pageBreakBefore w:val="0"/>
        <w:wordWrap/>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（5）因发包人违反合同约定造成暂停施工的违约责任：</w:t>
      </w:r>
      <w:r>
        <w:rPr>
          <w:rFonts w:hint="eastAsia" w:ascii="宋体" w:hAnsi="宋体" w:eastAsia="宋体" w:cs="宋体"/>
          <w:color w:val="000000"/>
          <w:kern w:val="0"/>
          <w:sz w:val="24"/>
          <w:szCs w:val="24"/>
          <w:u w:val="single"/>
        </w:rPr>
        <w:t xml:space="preserve">     </w:t>
      </w:r>
    </w:p>
    <w:p>
      <w:pPr>
        <w:pageBreakBefore w:val="0"/>
        <w:wordWrap/>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b/>
          <w:bCs/>
          <w:color w:val="000000"/>
          <w:kern w:val="0"/>
          <w:sz w:val="24"/>
          <w:szCs w:val="24"/>
          <w:u w:val="single"/>
        </w:rPr>
        <w:t>工期顺延</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b/>
          <w:bCs/>
          <w:color w:val="000000"/>
          <w:kern w:val="0"/>
          <w:sz w:val="24"/>
          <w:szCs w:val="24"/>
          <w:u w:val="single"/>
        </w:rPr>
        <w:t>工期顺延</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（7）其他：</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pPr>
        <w:pageBreakBefore w:val="0"/>
        <w:wordWrap/>
        <w:topLinePunct w:val="0"/>
        <w:autoSpaceDE w:val="0"/>
        <w:autoSpaceDN w:val="0"/>
        <w:bidi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承包人按16.1.1项〔发包人违约的情形〕约定暂停施工满</w:t>
      </w:r>
      <w:r>
        <w:rPr>
          <w:rFonts w:hint="eastAsia" w:ascii="宋体" w:hAnsi="宋体" w:eastAsia="宋体" w:cs="宋体"/>
          <w:color w:val="000000"/>
          <w:kern w:val="0"/>
          <w:sz w:val="24"/>
          <w:szCs w:val="24"/>
          <w:u w:val="single"/>
        </w:rPr>
        <w:t xml:space="preserve"> 60   </w:t>
      </w:r>
      <w:r>
        <w:rPr>
          <w:rFonts w:hint="eastAsia" w:ascii="宋体" w:hAnsi="宋体" w:eastAsia="宋体" w:cs="宋体"/>
          <w:color w:val="000000"/>
          <w:kern w:val="0"/>
          <w:sz w:val="24"/>
          <w:szCs w:val="24"/>
        </w:rPr>
        <w:t>天后发包人仍不纠正其违约行为并致使合同目的不能实现的，承包人有权解除合同。</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16.2 承包人违约</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16.2.1 承包人违约的情形</w:t>
      </w:r>
    </w:p>
    <w:p>
      <w:pPr>
        <w:pageBreakBefore w:val="0"/>
        <w:wordWrap/>
        <w:topLinePunct w:val="0"/>
        <w:bidi w:val="0"/>
        <w:spacing w:line="360" w:lineRule="auto"/>
        <w:ind w:firstLine="480" w:firstLineChars="200"/>
        <w:rPr>
          <w:rFonts w:hint="eastAsia" w:ascii="宋体" w:hAnsi="宋体" w:eastAsia="宋体" w:cs="宋体"/>
          <w:b/>
          <w:bCs/>
          <w:sz w:val="24"/>
          <w:szCs w:val="24"/>
          <w:u w:val="single"/>
        </w:rPr>
      </w:pPr>
      <w:r>
        <w:rPr>
          <w:rFonts w:hint="eastAsia" w:ascii="宋体" w:hAnsi="宋体" w:eastAsia="宋体" w:cs="宋体"/>
          <w:color w:val="000000"/>
          <w:kern w:val="0"/>
          <w:sz w:val="24"/>
          <w:szCs w:val="24"/>
        </w:rPr>
        <w:t>承包人违约的其他情形：</w:t>
      </w:r>
      <w:r>
        <w:rPr>
          <w:rFonts w:hint="eastAsia" w:ascii="宋体" w:hAnsi="宋体" w:eastAsia="宋体" w:cs="宋体"/>
          <w:color w:val="000000"/>
          <w:kern w:val="0"/>
          <w:sz w:val="24"/>
          <w:szCs w:val="24"/>
          <w:u w:val="single"/>
        </w:rPr>
        <w:t xml:space="preserve"> </w:t>
      </w:r>
      <w:r>
        <w:rPr>
          <w:rFonts w:hint="eastAsia" w:ascii="宋体" w:hAnsi="宋体" w:eastAsia="宋体" w:cs="宋体"/>
          <w:b/>
          <w:bCs/>
          <w:sz w:val="24"/>
          <w:szCs w:val="24"/>
          <w:u w:val="single"/>
        </w:rPr>
        <w:t>由于承包人的原因导致未能按合同规定的时间竣工并通过甲方验收合格，工程每迟交7日（不满7日按7日计算），承包人应当向发包人支付合同暂定价的5%的违约金。工期违约金的最高限额为合同总价的30%。如果承包人在达到违约金的最高限额后仍不能按期竣工，发包人有权单方解除合同。发包人解除合同的，承包人应当赔偿给发包人造成的实际损失（包括可得利益损失）</w:t>
      </w:r>
    </w:p>
    <w:p>
      <w:pPr>
        <w:pageBreakBefore w:val="0"/>
        <w:wordWrap/>
        <w:topLinePunct w:val="0"/>
        <w:bidi w:val="0"/>
        <w:spacing w:line="360" w:lineRule="auto"/>
        <w:ind w:firstLine="481" w:firstLineChars="200"/>
        <w:jc w:val="left"/>
        <w:rPr>
          <w:rFonts w:hint="eastAsia" w:ascii="宋体" w:hAnsi="宋体" w:eastAsia="宋体" w:cs="宋体"/>
          <w:color w:val="000000"/>
          <w:kern w:val="0"/>
          <w:sz w:val="24"/>
          <w:szCs w:val="24"/>
        </w:rPr>
      </w:pPr>
      <w:r>
        <w:rPr>
          <w:rFonts w:hint="eastAsia" w:ascii="宋体" w:hAnsi="宋体" w:eastAsia="宋体" w:cs="宋体"/>
          <w:b/>
          <w:bCs/>
          <w:sz w:val="24"/>
          <w:szCs w:val="24"/>
          <w:u w:val="single"/>
        </w:rPr>
        <w:t>违约金将由发包人从应付合同价款中扣除或者要求承包人另行支付</w:t>
      </w:r>
      <w:r>
        <w:rPr>
          <w:rFonts w:hint="eastAsia" w:ascii="宋体" w:hAnsi="宋体" w:eastAsia="宋体" w:cs="宋体"/>
          <w:b/>
          <w:bCs/>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line="360" w:lineRule="auto"/>
        <w:ind w:firstLine="358" w:firstLineChars="149"/>
        <w:rPr>
          <w:rFonts w:hint="eastAsia" w:ascii="宋体" w:hAnsi="宋体" w:eastAsia="宋体" w:cs="宋体"/>
          <w:b/>
          <w:sz w:val="24"/>
          <w:szCs w:val="24"/>
          <w:u w:val="single"/>
        </w:rPr>
      </w:pPr>
      <w:r>
        <w:rPr>
          <w:rFonts w:hint="eastAsia" w:ascii="宋体" w:hAnsi="宋体" w:eastAsia="宋体" w:cs="宋体"/>
          <w:b/>
          <w:sz w:val="24"/>
          <w:szCs w:val="24"/>
          <w:u w:val="single"/>
        </w:rPr>
        <w:t>质量违约责任：</w:t>
      </w:r>
    </w:p>
    <w:p>
      <w:pPr>
        <w:pageBreakBefore w:val="0"/>
        <w:wordWrap/>
        <w:topLinePunct w:val="0"/>
        <w:bidi w:val="0"/>
        <w:spacing w:line="360" w:lineRule="auto"/>
        <w:ind w:firstLine="481"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fldChar w:fldCharType="begin"/>
      </w:r>
      <w:r>
        <w:rPr>
          <w:rFonts w:hint="eastAsia" w:ascii="宋体" w:hAnsi="宋体" w:eastAsia="宋体" w:cs="宋体"/>
          <w:b/>
          <w:bCs/>
          <w:sz w:val="24"/>
          <w:szCs w:val="24"/>
          <w:u w:val="single"/>
        </w:rPr>
        <w:instrText xml:space="preserve"> = 1 \* GB2 </w:instrText>
      </w:r>
      <w:r>
        <w:rPr>
          <w:rFonts w:hint="eastAsia" w:ascii="宋体" w:hAnsi="宋体" w:eastAsia="宋体" w:cs="宋体"/>
          <w:b/>
          <w:bCs/>
          <w:sz w:val="24"/>
          <w:szCs w:val="24"/>
          <w:u w:val="single"/>
        </w:rPr>
        <w:fldChar w:fldCharType="separate"/>
      </w:r>
      <w:r>
        <w:rPr>
          <w:rFonts w:hint="eastAsia" w:ascii="宋体" w:hAnsi="宋体" w:eastAsia="宋体" w:cs="宋体"/>
          <w:b/>
          <w:bCs/>
          <w:sz w:val="24"/>
          <w:szCs w:val="24"/>
          <w:u w:val="single"/>
        </w:rPr>
        <w:t>⑴</w:t>
      </w:r>
      <w:r>
        <w:rPr>
          <w:rFonts w:hint="eastAsia" w:ascii="宋体" w:hAnsi="宋体" w:eastAsia="宋体" w:cs="宋体"/>
          <w:b/>
          <w:bCs/>
          <w:sz w:val="24"/>
          <w:szCs w:val="24"/>
          <w:u w:val="single"/>
        </w:rPr>
        <w:fldChar w:fldCharType="end"/>
      </w:r>
      <w:r>
        <w:rPr>
          <w:rFonts w:hint="eastAsia" w:ascii="宋体" w:hAnsi="宋体" w:eastAsia="宋体" w:cs="宋体"/>
          <w:b/>
          <w:bCs/>
          <w:sz w:val="24"/>
          <w:szCs w:val="24"/>
          <w:u w:val="single"/>
        </w:rPr>
        <w:t>如工程质量达不到国家或者行业的质量检验标准或者合同约定的质量标准，承包人应继续负责将工程修缮（完善），直至工程达到国家或者行业的质量检验标准或者合同约定的质量标准。工程返工的费用应由承包人自行承担。</w:t>
      </w:r>
    </w:p>
    <w:p>
      <w:pPr>
        <w:pageBreakBefore w:val="0"/>
        <w:wordWrap/>
        <w:topLinePunct w:val="0"/>
        <w:bidi w:val="0"/>
        <w:spacing w:line="360" w:lineRule="auto"/>
        <w:ind w:firstLine="546" w:firstLineChars="227"/>
        <w:rPr>
          <w:rFonts w:hint="eastAsia" w:ascii="宋体" w:hAnsi="宋体" w:eastAsia="宋体" w:cs="宋体"/>
          <w:b/>
          <w:bCs/>
          <w:sz w:val="24"/>
          <w:szCs w:val="24"/>
          <w:u w:val="single"/>
        </w:rPr>
      </w:pPr>
      <w:r>
        <w:rPr>
          <w:rFonts w:hint="eastAsia" w:ascii="宋体" w:hAnsi="宋体" w:eastAsia="宋体" w:cs="宋体"/>
          <w:b/>
          <w:bCs/>
          <w:sz w:val="24"/>
          <w:szCs w:val="24"/>
          <w:u w:val="single"/>
        </w:rPr>
        <w:fldChar w:fldCharType="begin"/>
      </w:r>
      <w:r>
        <w:rPr>
          <w:rFonts w:hint="eastAsia" w:ascii="宋体" w:hAnsi="宋体" w:eastAsia="宋体" w:cs="宋体"/>
          <w:b/>
          <w:bCs/>
          <w:sz w:val="24"/>
          <w:szCs w:val="24"/>
          <w:u w:val="single"/>
        </w:rPr>
        <w:instrText xml:space="preserve"> = 2 \* GB2 </w:instrText>
      </w:r>
      <w:r>
        <w:rPr>
          <w:rFonts w:hint="eastAsia" w:ascii="宋体" w:hAnsi="宋体" w:eastAsia="宋体" w:cs="宋体"/>
          <w:b/>
          <w:bCs/>
          <w:sz w:val="24"/>
          <w:szCs w:val="24"/>
          <w:u w:val="single"/>
        </w:rPr>
        <w:fldChar w:fldCharType="separate"/>
      </w:r>
      <w:r>
        <w:rPr>
          <w:rFonts w:hint="eastAsia" w:ascii="宋体" w:hAnsi="宋体" w:eastAsia="宋体" w:cs="宋体"/>
          <w:b/>
          <w:bCs/>
          <w:sz w:val="24"/>
          <w:szCs w:val="24"/>
          <w:u w:val="single"/>
        </w:rPr>
        <w:t>⑵</w:t>
      </w:r>
      <w:r>
        <w:rPr>
          <w:rFonts w:hint="eastAsia" w:ascii="宋体" w:hAnsi="宋体" w:eastAsia="宋体" w:cs="宋体"/>
          <w:b/>
          <w:bCs/>
          <w:sz w:val="24"/>
          <w:szCs w:val="24"/>
          <w:u w:val="single"/>
        </w:rPr>
        <w:fldChar w:fldCharType="end"/>
      </w:r>
      <w:r>
        <w:rPr>
          <w:rFonts w:hint="eastAsia" w:ascii="宋体" w:hAnsi="宋体" w:eastAsia="宋体" w:cs="宋体"/>
          <w:b/>
          <w:bCs/>
          <w:sz w:val="24"/>
          <w:szCs w:val="24"/>
          <w:u w:val="single"/>
        </w:rPr>
        <w:t>经发包人通知后，若承包人不予返工的，发包人有权使用工程质量保证金委托他人进行返工，直至达到国家或者行业的质量检验标准或者合同规定的质量等级。如果工程质量保证金不足以支付返工费用的，承包人应当补足返工费用。</w:t>
      </w:r>
    </w:p>
    <w:p>
      <w:pPr>
        <w:pageBreakBefore w:val="0"/>
        <w:wordWrap/>
        <w:topLinePunct w:val="0"/>
        <w:bidi w:val="0"/>
        <w:spacing w:line="360" w:lineRule="auto"/>
        <w:ind w:firstLine="546" w:firstLineChars="227"/>
        <w:rPr>
          <w:rFonts w:hint="eastAsia" w:ascii="宋体" w:hAnsi="宋体" w:eastAsia="宋体" w:cs="宋体"/>
          <w:color w:val="000000"/>
          <w:kern w:val="0"/>
          <w:sz w:val="24"/>
          <w:szCs w:val="24"/>
        </w:rPr>
      </w:pPr>
      <w:r>
        <w:rPr>
          <w:rFonts w:hint="eastAsia" w:ascii="宋体" w:hAnsi="宋体" w:eastAsia="宋体" w:cs="宋体"/>
          <w:b/>
          <w:bCs/>
          <w:sz w:val="24"/>
          <w:szCs w:val="24"/>
          <w:u w:val="single"/>
        </w:rPr>
        <w:fldChar w:fldCharType="begin"/>
      </w:r>
      <w:r>
        <w:rPr>
          <w:rFonts w:hint="eastAsia" w:ascii="宋体" w:hAnsi="宋体" w:eastAsia="宋体" w:cs="宋体"/>
          <w:b/>
          <w:bCs/>
          <w:sz w:val="24"/>
          <w:szCs w:val="24"/>
          <w:u w:val="single"/>
        </w:rPr>
        <w:instrText xml:space="preserve"> = 3 \* GB2 </w:instrText>
      </w:r>
      <w:r>
        <w:rPr>
          <w:rFonts w:hint="eastAsia" w:ascii="宋体" w:hAnsi="宋体" w:eastAsia="宋体" w:cs="宋体"/>
          <w:b/>
          <w:bCs/>
          <w:sz w:val="24"/>
          <w:szCs w:val="24"/>
          <w:u w:val="single"/>
        </w:rPr>
        <w:fldChar w:fldCharType="separate"/>
      </w:r>
      <w:r>
        <w:rPr>
          <w:rFonts w:hint="eastAsia" w:ascii="宋体" w:hAnsi="宋体" w:eastAsia="宋体" w:cs="宋体"/>
          <w:b/>
          <w:bCs/>
          <w:sz w:val="24"/>
          <w:szCs w:val="24"/>
          <w:u w:val="single"/>
        </w:rPr>
        <w:t>⑶</w:t>
      </w:r>
      <w:r>
        <w:rPr>
          <w:rFonts w:hint="eastAsia" w:ascii="宋体" w:hAnsi="宋体" w:eastAsia="宋体" w:cs="宋体"/>
          <w:b/>
          <w:bCs/>
          <w:sz w:val="24"/>
          <w:szCs w:val="24"/>
          <w:u w:val="single"/>
        </w:rPr>
        <w:fldChar w:fldCharType="end"/>
      </w:r>
      <w:r>
        <w:rPr>
          <w:rFonts w:hint="eastAsia" w:ascii="宋体" w:hAnsi="宋体" w:eastAsia="宋体" w:cs="宋体"/>
          <w:b/>
          <w:bCs/>
          <w:sz w:val="24"/>
          <w:szCs w:val="24"/>
          <w:u w:val="single"/>
        </w:rPr>
        <w:t>紧急情况下，发包人有权对工程进行及时抢修，抢修工作完成后，发包人再行通知承包人。工程抢修费用由承包人承担或从工程质量保证金中列支，不足部分由承包人补足。</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16.2.2承包人违约的责任</w:t>
      </w:r>
    </w:p>
    <w:p>
      <w:pPr>
        <w:pageBreakBefore w:val="0"/>
        <w:wordWrap/>
        <w:topLinePunct w:val="0"/>
        <w:bidi w:val="0"/>
        <w:spacing w:line="360" w:lineRule="auto"/>
        <w:ind w:left="1515" w:leftChars="284" w:hanging="720" w:hangingChars="3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承包人违约责任的承担方式和计算方法：</w:t>
      </w:r>
      <w:r>
        <w:rPr>
          <w:rFonts w:hint="eastAsia" w:ascii="宋体" w:hAnsi="宋体" w:eastAsia="宋体" w:cs="宋体"/>
          <w:color w:val="000000"/>
          <w:kern w:val="0"/>
          <w:sz w:val="24"/>
          <w:szCs w:val="24"/>
          <w:u w:val="single"/>
        </w:rPr>
        <w:t xml:space="preserve"> </w:t>
      </w:r>
      <w:r>
        <w:rPr>
          <w:rFonts w:hint="eastAsia" w:ascii="宋体" w:hAnsi="宋体" w:eastAsia="宋体" w:cs="宋体"/>
          <w:b/>
          <w:bCs/>
          <w:sz w:val="24"/>
          <w:szCs w:val="24"/>
          <w:u w:val="single"/>
        </w:rPr>
        <w:t xml:space="preserve"> 按照合同约定和法律法规规定执行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 xml:space="preserve">    </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pPr>
        <w:pageBreakBefore w:val="0"/>
        <w:wordWrap/>
        <w:topLinePunct w:val="0"/>
        <w:bidi w:val="0"/>
        <w:spacing w:before="120" w:after="120"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关于承包人违约解除合同的特别约定：</w:t>
      </w:r>
      <w:r>
        <w:rPr>
          <w:rFonts w:hint="eastAsia" w:ascii="宋体" w:hAnsi="宋体" w:eastAsia="宋体" w:cs="宋体"/>
          <w:color w:val="000000"/>
          <w:kern w:val="0"/>
          <w:sz w:val="24"/>
          <w:szCs w:val="24"/>
          <w:u w:val="single"/>
        </w:rPr>
        <w:t xml:space="preserve">  </w:t>
      </w:r>
      <w:r>
        <w:rPr>
          <w:rFonts w:hint="eastAsia" w:ascii="宋体" w:hAnsi="宋体" w:eastAsia="宋体" w:cs="宋体"/>
          <w:b/>
          <w:bCs/>
          <w:sz w:val="24"/>
          <w:szCs w:val="24"/>
          <w:u w:val="single"/>
        </w:rPr>
        <w:t>承担违约造成的损失（包括可得利益损失）</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before="120" w:after="12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szCs w:val="24"/>
          <w:u w:val="single"/>
        </w:rPr>
        <w:t xml:space="preserve">    </w:t>
      </w:r>
      <w:r>
        <w:rPr>
          <w:rFonts w:hint="eastAsia" w:ascii="宋体" w:hAnsi="宋体" w:eastAsia="宋体" w:cs="宋体"/>
          <w:b/>
          <w:bCs/>
          <w:sz w:val="24"/>
          <w:szCs w:val="24"/>
          <w:u w:val="single"/>
        </w:rPr>
        <w:t xml:space="preserve">按实际发生计算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1202" w:name="_Toc351203649"/>
      <w:r>
        <w:rPr>
          <w:rFonts w:hint="eastAsia" w:ascii="宋体" w:hAnsi="宋体" w:eastAsia="宋体" w:cs="宋体"/>
          <w:b w:val="0"/>
          <w:color w:val="000000"/>
          <w:sz w:val="24"/>
          <w:szCs w:val="24"/>
        </w:rPr>
        <w:t>17. 不可抗力</w:t>
      </w:r>
      <w:bookmarkEnd w:id="1202"/>
      <w:r>
        <w:rPr>
          <w:rFonts w:hint="eastAsia" w:ascii="宋体" w:hAnsi="宋体" w:eastAsia="宋体" w:cs="宋体"/>
          <w:b w:val="0"/>
          <w:color w:val="000000"/>
          <w:sz w:val="24"/>
          <w:szCs w:val="24"/>
        </w:rPr>
        <w:t xml:space="preserve"> </w:t>
      </w:r>
      <w:bookmarkEnd w:id="1200"/>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 xml:space="preserve">除通用合同条款约定的不可抗力事件之外，视为不可抗力的其他情形： </w:t>
      </w:r>
      <w:r>
        <w:rPr>
          <w:rFonts w:hint="eastAsia" w:ascii="宋体" w:hAnsi="宋体" w:eastAsia="宋体" w:cs="宋体"/>
          <w:color w:val="000000"/>
          <w:kern w:val="0"/>
          <w:sz w:val="24"/>
          <w:szCs w:val="24"/>
          <w:u w:val="single"/>
        </w:rPr>
        <w:t xml:space="preserve"> </w:t>
      </w:r>
      <w:r>
        <w:rPr>
          <w:rFonts w:hint="eastAsia" w:ascii="宋体" w:hAnsi="宋体" w:eastAsia="宋体" w:cs="宋体"/>
          <w:b/>
          <w:bCs/>
          <w:sz w:val="24"/>
          <w:szCs w:val="24"/>
          <w:u w:val="single"/>
        </w:rPr>
        <w:t xml:space="preserve">风、雨、雪、洪、重大疫情等自然灾害和有毒有害气体、辐射等其它影响正常施工的危险因素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17.4 因不可抗力解除合同</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合同解除后，发包人应在商定或确定发包人应支付款项后</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天内完成款项的支付。</w:t>
      </w:r>
    </w:p>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1203" w:name="_Toc351203650"/>
      <w:r>
        <w:rPr>
          <w:rFonts w:hint="eastAsia" w:ascii="宋体" w:hAnsi="宋体" w:eastAsia="宋体" w:cs="宋体"/>
          <w:b w:val="0"/>
          <w:color w:val="000000"/>
          <w:sz w:val="24"/>
          <w:szCs w:val="24"/>
        </w:rPr>
        <w:t>18. 保险</w:t>
      </w:r>
      <w:bookmarkEnd w:id="1203"/>
    </w:p>
    <w:bookmarkEnd w:id="1201"/>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18.1 工程保险</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关于工程保险的特别约定：</w:t>
      </w:r>
      <w:r>
        <w:rPr>
          <w:rFonts w:hint="eastAsia" w:ascii="宋体" w:hAnsi="宋体" w:eastAsia="宋体" w:cs="宋体"/>
          <w:color w:val="000000"/>
          <w:kern w:val="0"/>
          <w:sz w:val="24"/>
          <w:szCs w:val="24"/>
          <w:u w:val="single"/>
        </w:rPr>
        <w:t xml:space="preserve"> </w:t>
      </w:r>
      <w:r>
        <w:rPr>
          <w:rFonts w:hint="eastAsia" w:ascii="宋体" w:hAnsi="宋体" w:eastAsia="宋体" w:cs="宋体"/>
          <w:b/>
          <w:bCs/>
          <w:sz w:val="24"/>
          <w:szCs w:val="24"/>
          <w:u w:val="single"/>
        </w:rPr>
        <w:t>承包人必须按规定及时缴纳相关保险，不交或逾期缴纳的，由此产生的一切法律后果均由承包人承担，发包人对此概不负责</w:t>
      </w:r>
      <w:r>
        <w:rPr>
          <w:rFonts w:hint="eastAsia" w:ascii="宋体" w:hAnsi="宋体" w:eastAsia="宋体" w:cs="宋体"/>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18.3 其他保险</w:t>
      </w:r>
    </w:p>
    <w:p>
      <w:pPr>
        <w:pageBreakBefore w:val="0"/>
        <w:wordWrap/>
        <w:topLinePunct w:val="0"/>
        <w:bidi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关于其他保险的约定：</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wordWrap/>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承包人是否应为其施工设备等办理财产保险：</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18.7 通知义务</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关于变更保险合同时的通知义务的约定：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bookmarkEnd w:id="1177"/>
    <w:bookmarkEnd w:id="1178"/>
    <w:bookmarkEnd w:id="1179"/>
    <w:bookmarkEnd w:id="1180"/>
    <w:bookmarkEnd w:id="1181"/>
    <w:bookmarkEnd w:id="1182"/>
    <w:bookmarkEnd w:id="1183"/>
    <w:bookmarkEnd w:id="1184"/>
    <w:bookmarkEnd w:id="1185"/>
    <w:bookmarkEnd w:id="1186"/>
    <w:bookmarkEnd w:id="1187"/>
    <w:bookmarkEnd w:id="1188"/>
    <w:p>
      <w:pPr>
        <w:pStyle w:val="6"/>
        <w:pageBreakBefore w:val="0"/>
        <w:wordWrap/>
        <w:topLinePunct w:val="0"/>
        <w:bidi w:val="0"/>
        <w:spacing w:before="120" w:after="120" w:line="360" w:lineRule="auto"/>
        <w:rPr>
          <w:rFonts w:hint="eastAsia" w:ascii="宋体" w:hAnsi="宋体" w:eastAsia="宋体" w:cs="宋体"/>
          <w:b w:val="0"/>
          <w:color w:val="000000"/>
          <w:sz w:val="24"/>
          <w:szCs w:val="24"/>
        </w:rPr>
      </w:pPr>
      <w:bookmarkStart w:id="1204" w:name="_Toc351203651"/>
      <w:r>
        <w:rPr>
          <w:rFonts w:hint="eastAsia" w:ascii="宋体" w:hAnsi="宋体" w:eastAsia="宋体" w:cs="宋体"/>
          <w:b w:val="0"/>
          <w:color w:val="000000"/>
          <w:sz w:val="24"/>
          <w:szCs w:val="24"/>
        </w:rPr>
        <w:t>20. 争议解决</w:t>
      </w:r>
      <w:bookmarkEnd w:id="1204"/>
    </w:p>
    <w:bookmarkEnd w:id="1189"/>
    <w:bookmarkEnd w:id="1190"/>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20.3 争</w:t>
      </w:r>
      <w:bookmarkEnd w:id="1191"/>
      <w:r>
        <w:rPr>
          <w:rFonts w:hint="eastAsia" w:ascii="宋体" w:hAnsi="宋体" w:eastAsia="宋体" w:cs="宋体"/>
          <w:color w:val="000000"/>
          <w:sz w:val="24"/>
          <w:szCs w:val="24"/>
        </w:rPr>
        <w:t>议评审</w:t>
      </w:r>
    </w:p>
    <w:p>
      <w:pPr>
        <w:pageBreakBefore w:val="0"/>
        <w:wordWrap/>
        <w:topLinePunct w:val="0"/>
        <w:bidi w:val="0"/>
        <w:spacing w:line="360" w:lineRule="auto"/>
        <w:ind w:left="199" w:leftChars="71" w:firstLine="360" w:firstLineChars="15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 xml:space="preserve"> 同意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ordWrap/>
        <w:topLinePunct w:val="0"/>
        <w:bidi w:val="0"/>
        <w:spacing w:line="360" w:lineRule="auto"/>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20.3.1 争议评审小组的确定</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 xml:space="preserve"> 按通用条款执行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 xml:space="preserve">按通用条款执行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ordWrap/>
        <w:topLinePunct w:val="0"/>
        <w:autoSpaceDE w:val="0"/>
        <w:autoSpaceDN w:val="0"/>
        <w:bidi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20.3.2 争议评审小组的决定</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 xml:space="preserve">由发包人、承包人和双方共同认可的建筑行业主管部门组成。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after="120"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20.4仲裁或诉讼</w:t>
      </w:r>
      <w:bookmarkEnd w:id="1192"/>
    </w:p>
    <w:p>
      <w:pPr>
        <w:pageBreakBefore w:val="0"/>
        <w:wordWrap/>
        <w:topLinePunct w:val="0"/>
        <w:bidi w:val="0"/>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种方式解决：</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 xml:space="preserve"> 银川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仲裁委员会申请仲裁；</w:t>
      </w:r>
    </w:p>
    <w:p>
      <w:pPr>
        <w:pageBreakBefore w:val="0"/>
        <w:wordWrap/>
        <w:topLinePunct w:val="0"/>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rPr>
        <w:t xml:space="preserve"> 发包人所在地    </w:t>
      </w:r>
      <w:r>
        <w:rPr>
          <w:rFonts w:hint="eastAsia" w:ascii="宋体" w:hAnsi="宋体" w:eastAsia="宋体" w:cs="宋体"/>
          <w:color w:val="000000"/>
          <w:sz w:val="24"/>
          <w:szCs w:val="24"/>
        </w:rPr>
        <w:t>人民法院起诉。</w:t>
      </w:r>
      <w:bookmarkEnd w:id="1193"/>
      <w:bookmarkEnd w:id="1194"/>
      <w:bookmarkEnd w:id="1195"/>
      <w:bookmarkEnd w:id="1196"/>
      <w:bookmarkEnd w:id="1197"/>
      <w:bookmarkEnd w:id="1198"/>
    </w:p>
    <w:p>
      <w:pPr>
        <w:pageBreakBefore w:val="0"/>
        <w:wordWrap/>
        <w:topLinePunct w:val="0"/>
        <w:bidi w:val="0"/>
        <w:spacing w:line="360" w:lineRule="auto"/>
        <w:jc w:val="left"/>
        <w:rPr>
          <w:rFonts w:hint="eastAsia" w:ascii="宋体" w:hAnsi="宋体" w:eastAsia="宋体" w:cs="宋体"/>
          <w:b/>
          <w:color w:val="000000"/>
          <w:sz w:val="24"/>
          <w:szCs w:val="24"/>
        </w:rPr>
      </w:pPr>
      <w:r>
        <w:rPr>
          <w:rFonts w:hint="eastAsia" w:ascii="宋体" w:hAnsi="宋体" w:eastAsia="宋体" w:cs="宋体"/>
          <w:color w:val="000000"/>
          <w:sz w:val="24"/>
          <w:szCs w:val="24"/>
        </w:rPr>
        <w:br w:type="page"/>
      </w:r>
      <w:bookmarkStart w:id="1205" w:name="_Toc351203652"/>
      <w:r>
        <w:rPr>
          <w:rFonts w:hint="eastAsia" w:ascii="宋体" w:hAnsi="宋体" w:eastAsia="宋体" w:cs="宋体"/>
          <w:b/>
          <w:color w:val="000000"/>
          <w:sz w:val="24"/>
          <w:szCs w:val="24"/>
        </w:rPr>
        <w:t>附件</w:t>
      </w:r>
      <w:bookmarkEnd w:id="1205"/>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附件1：工程质量保修书</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附件2：中标通知书</w:t>
      </w:r>
    </w:p>
    <w:p>
      <w:pPr>
        <w:pageBreakBefore w:val="0"/>
        <w:wordWrap/>
        <w:topLinePunct w:val="0"/>
        <w:bidi w:val="0"/>
        <w:spacing w:line="360" w:lineRule="auto"/>
        <w:jc w:val="left"/>
        <w:rPr>
          <w:rFonts w:hint="eastAsia" w:ascii="宋体" w:hAnsi="宋体" w:eastAsia="宋体" w:cs="宋体"/>
          <w:color w:val="000000"/>
          <w:sz w:val="24"/>
          <w:szCs w:val="24"/>
        </w:rPr>
        <w:sectPr>
          <w:pgSz w:w="11906" w:h="16838"/>
          <w:pgMar w:top="1418" w:right="1555" w:bottom="1418" w:left="1531" w:header="851" w:footer="992" w:gutter="0"/>
          <w:pgNumType w:fmt="decimal" w:start="1"/>
          <w:cols w:space="720" w:num="1"/>
          <w:titlePg/>
          <w:docGrid w:type="lines" w:linePitch="312" w:charSpace="0"/>
        </w:sectPr>
      </w:pP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1206" w:name="_Toc296347225"/>
      <w:bookmarkStart w:id="1207" w:name="_Toc296503226"/>
      <w:bookmarkStart w:id="1208" w:name="_Toc267261693"/>
      <w:bookmarkStart w:id="1209" w:name="_Toc296944565"/>
      <w:bookmarkStart w:id="1210" w:name="_Toc296891054"/>
      <w:bookmarkStart w:id="1211" w:name="_Toc296346727"/>
      <w:bookmarkStart w:id="1212" w:name="_Toc296891266"/>
      <w:r>
        <w:rPr>
          <w:rFonts w:hint="eastAsia" w:ascii="宋体" w:hAnsi="宋体" w:eastAsia="宋体" w:cs="宋体"/>
          <w:color w:val="000000"/>
          <w:sz w:val="24"/>
          <w:szCs w:val="24"/>
        </w:rPr>
        <w:t>件1：</w:t>
      </w:r>
      <w:bookmarkEnd w:id="1206"/>
      <w:bookmarkEnd w:id="1207"/>
      <w:bookmarkEnd w:id="1208"/>
      <w:bookmarkEnd w:id="1209"/>
      <w:bookmarkEnd w:id="1210"/>
      <w:bookmarkEnd w:id="1211"/>
      <w:bookmarkEnd w:id="1212"/>
      <w:r>
        <w:rPr>
          <w:rFonts w:hint="eastAsia" w:ascii="宋体" w:hAnsi="宋体" w:eastAsia="宋体" w:cs="宋体"/>
          <w:color w:val="000000"/>
          <w:sz w:val="24"/>
          <w:szCs w:val="24"/>
        </w:rPr>
        <w:t xml:space="preserve">    </w:t>
      </w:r>
    </w:p>
    <w:p>
      <w:pPr>
        <w:pageBreakBefore w:val="0"/>
        <w:wordWrap/>
        <w:topLinePunct w:val="0"/>
        <w:bidi w:val="0"/>
        <w:spacing w:before="156" w:beforeLines="50" w:after="156" w:afterLines="50"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工程质量保修书</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hint="eastAsia" w:ascii="宋体" w:hAnsi="宋体" w:cs="宋体"/>
          <w:b/>
          <w:bCs/>
          <w:sz w:val="24"/>
          <w:szCs w:val="24"/>
          <w:u w:val="single"/>
          <w:lang w:eastAsia="zh-CN"/>
        </w:rPr>
        <w:t>宁夏回族自治区交通宣传事务中心</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承包人（全称）：</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发包人和承包人根据《中华人民共和国建筑法》和《建设工程质量管理条例》，经协商一致就</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color w:val="000000"/>
          <w:sz w:val="24"/>
          <w:szCs w:val="24"/>
        </w:rPr>
        <w:t>工程全称）签订工程质量保修书。</w:t>
      </w:r>
    </w:p>
    <w:p>
      <w:pPr>
        <w:pageBreakBefore w:val="0"/>
        <w:wordWrap/>
        <w:topLinePunct w:val="0"/>
        <w:bidi w:val="0"/>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一、工程质量保修范围和内容</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承包人在质量保修期内，按照有关法律规定和合同约定，承担工程质量保修责任。</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按照《工程质量管理条例》中有关保修条款规定执行</w:t>
      </w:r>
      <w:r>
        <w:rPr>
          <w:rFonts w:hint="eastAsia" w:ascii="宋体" w:hAnsi="宋体" w:eastAsia="宋体" w:cs="宋体"/>
          <w:b/>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二、质量保修期</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根据《建设工程质量管理条例》及有关规定，工程的质量保修期如下：</w:t>
      </w:r>
    </w:p>
    <w:p>
      <w:pPr>
        <w:pageBreakBefore w:val="0"/>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w:t>
      </w:r>
      <w:r>
        <w:rPr>
          <w:rFonts w:hint="eastAsia" w:ascii="宋体" w:hAnsi="宋体" w:eastAsia="宋体" w:cs="宋体"/>
          <w:sz w:val="24"/>
          <w:szCs w:val="24"/>
        </w:rPr>
        <w:t>地基基础工程和主体结构工程为设计文件规定的工程合理使用年限；</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屋面防水工程、有防水要求的卫生间、房间和外墙面的防渗     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年；</w:t>
      </w:r>
    </w:p>
    <w:p>
      <w:pPr>
        <w:pageBreakBefore w:val="0"/>
        <w:wordWrap/>
        <w:topLinePunct w:val="0"/>
        <w:bidi w:val="0"/>
        <w:spacing w:line="360" w:lineRule="auto"/>
        <w:ind w:left="56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装修工程为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年；</w:t>
      </w:r>
    </w:p>
    <w:p>
      <w:pPr>
        <w:pageBreakBefore w:val="0"/>
        <w:wordWrap/>
        <w:topLinePunct w:val="0"/>
        <w:bidi w:val="0"/>
        <w:spacing w:line="360" w:lineRule="auto"/>
        <w:ind w:left="56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电气管线、给排水管道、设备安装工程为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年；</w:t>
      </w:r>
    </w:p>
    <w:p>
      <w:pPr>
        <w:pageBreakBefore w:val="0"/>
        <w:wordWrap/>
        <w:topLinePunct w:val="0"/>
        <w:bidi w:val="0"/>
        <w:spacing w:line="360" w:lineRule="auto"/>
        <w:ind w:left="56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w:t>
      </w:r>
      <w:r>
        <w:rPr>
          <w:rFonts w:hint="eastAsia" w:ascii="宋体" w:hAnsi="宋体" w:eastAsia="宋体" w:cs="宋体"/>
          <w:color w:val="000000"/>
          <w:sz w:val="24"/>
          <w:szCs w:val="24"/>
        </w:rPr>
        <w:t>供热与供冷系统为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个采暖期、供冷期；</w:t>
      </w:r>
    </w:p>
    <w:p>
      <w:pPr>
        <w:pageBreakBefore w:val="0"/>
        <w:wordWrap/>
        <w:topLinePunct w:val="0"/>
        <w:bidi w:val="0"/>
        <w:spacing w:line="360" w:lineRule="auto"/>
        <w:ind w:left="56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w:t>
      </w:r>
      <w:r>
        <w:rPr>
          <w:rFonts w:hint="eastAsia" w:ascii="宋体" w:hAnsi="宋体" w:eastAsia="宋体" w:cs="宋体"/>
          <w:color w:val="000000"/>
          <w:sz w:val="24"/>
          <w:szCs w:val="24"/>
        </w:rPr>
        <w:t>住宅小区内的给排水设施、道路等配套工程为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年；</w:t>
      </w:r>
    </w:p>
    <w:p>
      <w:pPr>
        <w:pageBreakBefore w:val="0"/>
        <w:wordWrap/>
        <w:topLinePunct w:val="0"/>
        <w:bidi w:val="0"/>
        <w:spacing w:line="360" w:lineRule="auto"/>
        <w:ind w:left="56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sz w:val="24"/>
          <w:szCs w:val="24"/>
        </w:rPr>
        <w:t>．</w:t>
      </w:r>
      <w:r>
        <w:rPr>
          <w:rFonts w:hint="eastAsia" w:ascii="宋体" w:hAnsi="宋体" w:eastAsia="宋体" w:cs="宋体"/>
          <w:color w:val="000000"/>
          <w:sz w:val="24"/>
          <w:szCs w:val="24"/>
        </w:rPr>
        <w:t>其他项目保修期限约定如下：</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质量保修期自工程竣工验收合格之日起计算。</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u w:val="single"/>
        </w:rPr>
        <w:t xml:space="preserve">    12     </w:t>
      </w:r>
      <w:r>
        <w:rPr>
          <w:rFonts w:hint="eastAsia" w:ascii="宋体" w:hAnsi="宋体" w:eastAsia="宋体" w:cs="宋体"/>
          <w:color w:val="000000"/>
          <w:sz w:val="24"/>
          <w:szCs w:val="24"/>
        </w:rPr>
        <w:t>个月，缺陷责任期自工程通过竣工验收之日起计算。单位工程先于全部工程进行验收，单位工程缺陷责任期自单位工程验收合格之日起算。</w:t>
      </w:r>
    </w:p>
    <w:p>
      <w:pPr>
        <w:pageBreakBefore w:val="0"/>
        <w:wordWrap/>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pPr>
        <w:pageBreakBefore w:val="0"/>
        <w:wordWrap/>
        <w:topLinePunct w:val="0"/>
        <w:bidi w:val="0"/>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四、质量保修责任</w:t>
      </w:r>
    </w:p>
    <w:p>
      <w:pPr>
        <w:pageBreakBefore w:val="0"/>
        <w:wordWrap/>
        <w:topLinePunct w:val="0"/>
        <w:bidi w:val="0"/>
        <w:spacing w:line="360" w:lineRule="auto"/>
        <w:ind w:left="140"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w:t>
      </w:r>
      <w:r>
        <w:rPr>
          <w:rFonts w:hint="eastAsia" w:ascii="宋体" w:hAnsi="宋体" w:eastAsia="宋体" w:cs="宋体"/>
          <w:color w:val="000000"/>
          <w:sz w:val="24"/>
          <w:szCs w:val="24"/>
        </w:rPr>
        <w:t>属于保修范围、内容的项目，承包人应当在接到保修通知之日起7天内派人保修。承包人不在约定期限内派人保修的，发包人可以委托他人修理。</w:t>
      </w:r>
    </w:p>
    <w:p>
      <w:pPr>
        <w:pageBreakBefore w:val="0"/>
        <w:wordWrap/>
        <w:topLinePunct w:val="0"/>
        <w:bidi w:val="0"/>
        <w:spacing w:line="360" w:lineRule="auto"/>
        <w:ind w:left="140"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发生紧急事故需抢修的，承包人在接到事故通知后，应当立即到达事故现场抢修。</w:t>
      </w:r>
    </w:p>
    <w:p>
      <w:pPr>
        <w:pageBreakBefore w:val="0"/>
        <w:wordWrap/>
        <w:topLinePunct w:val="0"/>
        <w:bidi w:val="0"/>
        <w:spacing w:line="360" w:lineRule="auto"/>
        <w:ind w:left="140"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ageBreakBefore w:val="0"/>
        <w:wordWrap/>
        <w:topLinePunct w:val="0"/>
        <w:bidi w:val="0"/>
        <w:spacing w:line="360" w:lineRule="auto"/>
        <w:ind w:left="56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质量保修完成后，由发包人组织验收。</w:t>
      </w:r>
    </w:p>
    <w:p>
      <w:pPr>
        <w:pageBreakBefore w:val="0"/>
        <w:wordWrap/>
        <w:topLinePunct w:val="0"/>
        <w:bidi w:val="0"/>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五、保修费用</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保修费用由造成质量缺陷的责任方承担。</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b/>
          <w:color w:val="000000"/>
          <w:sz w:val="24"/>
          <w:szCs w:val="24"/>
        </w:rPr>
        <w:t>六</w:t>
      </w:r>
      <w:r>
        <w:rPr>
          <w:rFonts w:hint="eastAsia" w:ascii="宋体" w:hAnsi="宋体" w:eastAsia="宋体" w:cs="宋体"/>
          <w:color w:val="000000"/>
          <w:sz w:val="24"/>
          <w:szCs w:val="24"/>
        </w:rPr>
        <w:t>、双方约定的其他工程质量保修事项：</w:t>
      </w:r>
      <w:r>
        <w:rPr>
          <w:rFonts w:hint="eastAsia" w:ascii="宋体" w:hAnsi="宋体" w:eastAsia="宋体" w:cs="宋体"/>
          <w:color w:val="000000"/>
          <w:sz w:val="24"/>
          <w:szCs w:val="24"/>
          <w:u w:val="single"/>
        </w:rPr>
        <w:t xml:space="preserve">  </w:t>
      </w:r>
      <w:r>
        <w:rPr>
          <w:rFonts w:hint="eastAsia" w:ascii="宋体" w:hAnsi="宋体" w:eastAsia="宋体" w:cs="宋体"/>
          <w:b/>
          <w:bCs/>
          <w:sz w:val="24"/>
          <w:szCs w:val="24"/>
          <w:u w:val="single"/>
        </w:rPr>
        <w:t xml:space="preserve">不低于《建设工程质量管理条例规定》的期限，保修费用为工程结算价款的3%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ordWrap/>
        <w:topLinePunct w:val="0"/>
        <w:bidi w:val="0"/>
        <w:spacing w:line="360" w:lineRule="auto"/>
        <w:ind w:firstLine="456" w:firstLineChars="190"/>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pPr>
        <w:pageBreakBefore w:val="0"/>
        <w:wordWrap/>
        <w:topLinePunct w:val="0"/>
        <w:bidi w:val="0"/>
        <w:spacing w:line="360" w:lineRule="auto"/>
        <w:ind w:firstLine="420"/>
        <w:rPr>
          <w:rFonts w:hint="eastAsia" w:ascii="宋体" w:hAnsi="宋体" w:eastAsia="宋体" w:cs="宋体"/>
          <w:color w:val="000000"/>
          <w:sz w:val="24"/>
          <w:szCs w:val="24"/>
        </w:rPr>
      </w:pP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发包人(公章)：</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承包人(公章)：</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ind w:left="5700" w:hanging="4560" w:hangingChars="1900"/>
        <w:rPr>
          <w:rFonts w:hint="default" w:ascii="宋体" w:hAnsi="宋体" w:eastAsia="宋体" w:cs="宋体"/>
          <w:color w:val="000000"/>
          <w:w w:val="90"/>
          <w:sz w:val="24"/>
          <w:szCs w:val="24"/>
          <w:lang w:val="en-US" w:eastAsia="zh-CN"/>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新华西街291号      </w:t>
      </w:r>
      <w:r>
        <w:rPr>
          <w:rFonts w:hint="eastAsia" w:ascii="宋体" w:hAnsi="宋体" w:eastAsia="宋体" w:cs="宋体"/>
          <w:color w:val="000000"/>
          <w:sz w:val="24"/>
          <w:szCs w:val="24"/>
        </w:rPr>
        <w:t xml:space="preserve"> 地  址：</w:t>
      </w:r>
      <w:r>
        <w:rPr>
          <w:rFonts w:hint="eastAsia" w:ascii="宋体" w:hAnsi="宋体" w:eastAsia="宋体" w:cs="宋体"/>
          <w:color w:val="000000"/>
          <w:w w:val="90"/>
          <w:sz w:val="24"/>
          <w:szCs w:val="24"/>
          <w:u w:val="single"/>
          <w:lang w:val="en-US" w:eastAsia="zh-CN"/>
        </w:rPr>
        <w:t xml:space="preserve"> </w:t>
      </w:r>
      <w:r>
        <w:rPr>
          <w:rFonts w:hint="eastAsia" w:ascii="宋体" w:hAnsi="宋体" w:cs="宋体"/>
          <w:color w:val="000000"/>
          <w:w w:val="90"/>
          <w:sz w:val="24"/>
          <w:szCs w:val="24"/>
          <w:u w:val="single"/>
          <w:lang w:val="en-US" w:eastAsia="zh-CN"/>
        </w:rPr>
        <w:t xml:space="preserve">                            </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法定代表人(签字)：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委托代理人(签字)：</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eastAsia="zh-CN"/>
        </w:rPr>
        <w:t xml:space="preserve">0951-6076675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ind w:left="6000" w:hanging="4800" w:hangingChars="20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wordWrap/>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highlight w:val="none"/>
          <w:lang w:val="en-US" w:eastAsia="zh-CN"/>
        </w:rPr>
      </w:pPr>
    </w:p>
    <w:p>
      <w:pPr>
        <w:pStyle w:val="4"/>
        <w:pageBreakBefore w:val="0"/>
        <w:wordWrap/>
        <w:topLinePunct w:val="0"/>
        <w:bidi w:val="0"/>
        <w:spacing w:line="360" w:lineRule="auto"/>
        <w:ind w:left="0" w:leftChars="0" w:firstLine="0" w:firstLineChars="0"/>
        <w:rPr>
          <w:rFonts w:hint="eastAsia" w:ascii="宋体" w:hAnsi="宋体" w:eastAsia="宋体" w:cs="宋体"/>
          <w:b/>
          <w:bCs/>
          <w:color w:val="auto"/>
          <w:sz w:val="32"/>
          <w:szCs w:val="32"/>
          <w:highlight w:val="none"/>
          <w:lang w:val="en-US" w:eastAsia="zh-CN"/>
        </w:rPr>
      </w:pPr>
    </w:p>
    <w:p>
      <w:pPr>
        <w:pStyle w:val="4"/>
        <w:pageBreakBefore w:val="0"/>
        <w:wordWrap/>
        <w:topLinePunct w:val="0"/>
        <w:bidi w:val="0"/>
        <w:spacing w:line="360" w:lineRule="auto"/>
        <w:ind w:left="0" w:leftChars="0" w:firstLine="0" w:firstLineChars="0"/>
        <w:rPr>
          <w:rFonts w:hint="eastAsia" w:ascii="宋体" w:hAnsi="宋体" w:eastAsia="宋体" w:cs="宋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第七章 响应文件格式</w:t>
      </w:r>
      <w:bookmarkEnd w:id="22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eastAsia="zh-CN"/>
        </w:rPr>
      </w:pPr>
    </w:p>
    <w:p>
      <w:pPr>
        <w:pageBreakBefore w:val="0"/>
        <w:wordWrap/>
        <w:topLinePunct w:val="0"/>
        <w:bidi w:val="0"/>
        <w:spacing w:line="360" w:lineRule="auto"/>
        <w:outlineLvl w:val="9"/>
        <w:rPr>
          <w:rFonts w:hint="eastAsia" w:ascii="宋体" w:hAnsi="宋体" w:eastAsia="宋体" w:cs="宋体"/>
          <w:color w:val="auto"/>
          <w:sz w:val="32"/>
          <w:szCs w:val="32"/>
          <w:highlight w:val="none"/>
          <w:lang w:val="en-US" w:eastAsia="zh-CN"/>
        </w:rPr>
      </w:pPr>
    </w:p>
    <w:p>
      <w:pPr>
        <w:pStyle w:val="4"/>
        <w:pageBreakBefore w:val="0"/>
        <w:wordWrap/>
        <w:topLinePunct w:val="0"/>
        <w:bidi w:val="0"/>
        <w:spacing w:line="360" w:lineRule="auto"/>
        <w:rPr>
          <w:rFonts w:hint="eastAsia" w:ascii="宋体" w:hAnsi="宋体" w:eastAsia="宋体" w:cs="宋体"/>
          <w:color w:val="auto"/>
          <w:highlight w:val="none"/>
          <w:lang w:val="en-US" w:eastAsia="zh-CN"/>
        </w:rPr>
      </w:pPr>
    </w:p>
    <w:p>
      <w:pPr>
        <w:pageBreakBefore w:val="0"/>
        <w:wordWrap/>
        <w:topLinePunct w:val="0"/>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Cs/>
          <w:color w:val="auto"/>
          <w:sz w:val="32"/>
          <w:szCs w:val="32"/>
          <w:highlight w:val="none"/>
        </w:rPr>
        <w:t>（封  面）</w:t>
      </w:r>
    </w:p>
    <w:p>
      <w:pPr>
        <w:pageBreakBefore w:val="0"/>
        <w:wordWrap/>
        <w:topLinePunct w:val="0"/>
        <w:bidi w:val="0"/>
        <w:spacing w:line="360" w:lineRule="auto"/>
        <w:ind w:firstLine="3520" w:firstLineChars="1100"/>
        <w:rPr>
          <w:rFonts w:hint="eastAsia" w:ascii="宋体" w:hAnsi="宋体" w:eastAsia="宋体" w:cs="宋体"/>
          <w:bCs/>
          <w:color w:val="auto"/>
          <w:sz w:val="32"/>
          <w:szCs w:val="32"/>
          <w:highlight w:val="none"/>
        </w:rPr>
      </w:pPr>
    </w:p>
    <w:p>
      <w:pPr>
        <w:pageBreakBefore w:val="0"/>
        <w:wordWrap/>
        <w:topLinePunct w:val="0"/>
        <w:bidi w:val="0"/>
        <w:spacing w:line="360" w:lineRule="auto"/>
        <w:rPr>
          <w:rFonts w:hint="eastAsia" w:ascii="宋体" w:hAnsi="宋体" w:eastAsia="宋体" w:cs="宋体"/>
          <w:bCs/>
          <w:color w:val="auto"/>
          <w:sz w:val="32"/>
          <w:szCs w:val="32"/>
          <w:highlight w:val="none"/>
        </w:rPr>
      </w:pPr>
    </w:p>
    <w:p>
      <w:pPr>
        <w:pageBreakBefore w:val="0"/>
        <w:wordWrap/>
        <w:topLinePunct w:val="0"/>
        <w:bidi w:val="0"/>
        <w:spacing w:before="312" w:beforeLines="100" w:after="312" w:afterLines="100"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eastAsia="zh-CN"/>
        </w:rPr>
        <w:t>响</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lang w:eastAsia="zh-CN"/>
        </w:rPr>
        <w:t>应</w:t>
      </w:r>
      <w:r>
        <w:rPr>
          <w:rFonts w:hint="eastAsia" w:ascii="宋体" w:hAnsi="宋体" w:eastAsia="宋体" w:cs="宋体"/>
          <w:bCs/>
          <w:color w:val="auto"/>
          <w:sz w:val="32"/>
          <w:szCs w:val="32"/>
          <w:highlight w:val="none"/>
        </w:rPr>
        <w:t xml:space="preserve">  文  件</w:t>
      </w:r>
    </w:p>
    <w:p>
      <w:pPr>
        <w:pageBreakBefore w:val="0"/>
        <w:wordWrap/>
        <w:topLinePunct w:val="0"/>
        <w:bidi w:val="0"/>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pageBreakBefore w:val="0"/>
        <w:wordWrap/>
        <w:topLinePunct w:val="0"/>
        <w:bidi w:val="0"/>
        <w:spacing w:line="360" w:lineRule="auto"/>
        <w:rPr>
          <w:rFonts w:hint="eastAsia" w:ascii="宋体" w:hAnsi="宋体" w:eastAsia="宋体" w:cs="宋体"/>
          <w:bCs/>
          <w:color w:val="auto"/>
          <w:sz w:val="32"/>
          <w:szCs w:val="32"/>
          <w:highlight w:val="none"/>
        </w:rPr>
      </w:pPr>
    </w:p>
    <w:p>
      <w:pPr>
        <w:pageBreakBefore w:val="0"/>
        <w:wordWrap/>
        <w:topLinePunct w:val="0"/>
        <w:bidi w:val="0"/>
        <w:spacing w:line="360" w:lineRule="auto"/>
        <w:ind w:firstLine="1280" w:firstLineChars="4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u w:val="single"/>
        </w:rPr>
        <w:t xml:space="preserve"> </w:t>
      </w:r>
      <w:r>
        <w:rPr>
          <w:rFonts w:hint="eastAsia" w:ascii="宋体" w:hAnsi="宋体" w:eastAsia="宋体" w:cs="宋体"/>
          <w:bCs/>
          <w:color w:val="auto"/>
          <w:sz w:val="32"/>
          <w:szCs w:val="32"/>
          <w:highlight w:val="none"/>
          <w:u w:val="single"/>
          <w:lang w:eastAsia="zh-CN"/>
        </w:rPr>
        <w:t>（</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u w:val="single"/>
          <w:lang w:eastAsia="zh-CN"/>
        </w:rPr>
        <w:t>标段）</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 xml:space="preserve">                                 </w:t>
      </w:r>
    </w:p>
    <w:p>
      <w:pPr>
        <w:pageBreakBefore w:val="0"/>
        <w:wordWrap/>
        <w:topLinePunct w:val="0"/>
        <w:bidi w:val="0"/>
        <w:spacing w:line="360" w:lineRule="auto"/>
        <w:jc w:val="center"/>
        <w:rPr>
          <w:rFonts w:hint="eastAsia" w:ascii="宋体" w:hAnsi="宋体" w:eastAsia="宋体" w:cs="宋体"/>
          <w:bCs/>
          <w:color w:val="auto"/>
          <w:sz w:val="32"/>
          <w:szCs w:val="32"/>
          <w:highlight w:val="none"/>
        </w:rPr>
      </w:pPr>
    </w:p>
    <w:p>
      <w:pPr>
        <w:pageBreakBefore w:val="0"/>
        <w:wordWrap/>
        <w:topLinePunct w:val="0"/>
        <w:bidi w:val="0"/>
        <w:spacing w:line="360" w:lineRule="auto"/>
        <w:rPr>
          <w:rFonts w:hint="eastAsia" w:ascii="宋体" w:hAnsi="宋体" w:eastAsia="宋体" w:cs="宋体"/>
          <w:bCs/>
          <w:color w:val="auto"/>
          <w:sz w:val="32"/>
          <w:szCs w:val="32"/>
          <w:highlight w:val="none"/>
        </w:rPr>
      </w:pPr>
    </w:p>
    <w:p>
      <w:pPr>
        <w:pageBreakBefore w:val="0"/>
        <w:wordWrap/>
        <w:topLinePunct w:val="0"/>
        <w:bidi w:val="0"/>
        <w:spacing w:line="360" w:lineRule="auto"/>
        <w:rPr>
          <w:rFonts w:hint="eastAsia" w:ascii="宋体" w:hAnsi="宋体" w:eastAsia="宋体" w:cs="宋体"/>
          <w:bCs/>
          <w:color w:val="auto"/>
          <w:sz w:val="32"/>
          <w:szCs w:val="32"/>
          <w:highlight w:val="none"/>
        </w:rPr>
      </w:pPr>
    </w:p>
    <w:p>
      <w:pPr>
        <w:pageBreakBefore w:val="0"/>
        <w:wordWrap/>
        <w:topLinePunct w:val="0"/>
        <w:bidi w:val="0"/>
        <w:spacing w:line="360" w:lineRule="auto"/>
        <w:jc w:val="center"/>
        <w:rPr>
          <w:rFonts w:hint="eastAsia" w:ascii="宋体" w:hAnsi="宋体" w:eastAsia="宋体" w:cs="宋体"/>
          <w:bCs/>
          <w:color w:val="auto"/>
          <w:sz w:val="32"/>
          <w:szCs w:val="32"/>
          <w:highlight w:val="none"/>
          <w:u w:val="single"/>
          <w:lang w:val="en-US" w:eastAsia="zh-CN"/>
        </w:rPr>
      </w:pPr>
      <w:r>
        <w:rPr>
          <w:rFonts w:hint="eastAsia" w:ascii="宋体" w:hAnsi="宋体" w:eastAsia="宋体" w:cs="宋体"/>
          <w:bCs/>
          <w:color w:val="auto"/>
          <w:sz w:val="32"/>
          <w:szCs w:val="32"/>
          <w:highlight w:val="none"/>
        </w:rPr>
        <w:t>供 应 商：（盖章）</w:t>
      </w:r>
      <w:r>
        <w:rPr>
          <w:rFonts w:hint="eastAsia" w:ascii="宋体" w:hAnsi="宋体" w:eastAsia="宋体" w:cs="宋体"/>
          <w:bCs/>
          <w:color w:val="auto"/>
          <w:sz w:val="32"/>
          <w:szCs w:val="32"/>
          <w:highlight w:val="none"/>
          <w:u w:val="single"/>
          <w:lang w:val="en-US" w:eastAsia="zh-CN"/>
        </w:rPr>
        <w:t xml:space="preserve">     </w:t>
      </w:r>
    </w:p>
    <w:p>
      <w:pPr>
        <w:pageBreakBefore w:val="0"/>
        <w:wordWrap/>
        <w:topLinePunct w:val="0"/>
        <w:bidi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u w:val="single"/>
        </w:rPr>
        <w:t xml:space="preserve">   </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u w:val="single"/>
        </w:rPr>
        <w:t xml:space="preserve">   </w:t>
      </w:r>
      <w:r>
        <w:rPr>
          <w:rFonts w:hint="eastAsia" w:ascii="宋体" w:hAnsi="宋体" w:eastAsia="宋体" w:cs="宋体"/>
          <w:bCs/>
          <w:color w:val="auto"/>
          <w:sz w:val="32"/>
          <w:szCs w:val="32"/>
          <w:highlight w:val="none"/>
        </w:rPr>
        <w:t>月</w:t>
      </w:r>
      <w:r>
        <w:rPr>
          <w:rFonts w:hint="eastAsia" w:ascii="宋体" w:hAnsi="宋体" w:eastAsia="宋体" w:cs="宋体"/>
          <w:bCs/>
          <w:color w:val="auto"/>
          <w:sz w:val="32"/>
          <w:szCs w:val="32"/>
          <w:highlight w:val="none"/>
          <w:u w:val="single"/>
        </w:rPr>
        <w:t xml:space="preserve">   </w:t>
      </w:r>
      <w:r>
        <w:rPr>
          <w:rFonts w:hint="eastAsia" w:ascii="宋体" w:hAnsi="宋体" w:eastAsia="宋体" w:cs="宋体"/>
          <w:bCs/>
          <w:color w:val="auto"/>
          <w:sz w:val="32"/>
          <w:szCs w:val="32"/>
          <w:highlight w:val="none"/>
        </w:rPr>
        <w:t>日</w:t>
      </w:r>
    </w:p>
    <w:p>
      <w:pPr>
        <w:pStyle w:val="4"/>
        <w:pageBreakBefore w:val="0"/>
        <w:wordWrap/>
        <w:topLinePunct w:val="0"/>
        <w:bidi w:val="0"/>
        <w:spacing w:line="360" w:lineRule="auto"/>
        <w:ind w:left="0" w:leftChars="0" w:firstLine="0" w:firstLineChars="0"/>
        <w:rPr>
          <w:rFonts w:hint="eastAsia" w:ascii="宋体" w:hAnsi="宋体" w:eastAsia="宋体" w:cs="宋体"/>
          <w:color w:val="auto"/>
          <w:sz w:val="32"/>
          <w:szCs w:val="32"/>
          <w:highlight w:val="none"/>
          <w:lang w:val="en-US" w:eastAsia="zh-CN"/>
        </w:rPr>
      </w:pPr>
    </w:p>
    <w:p>
      <w:pPr>
        <w:pageBreakBefore w:val="0"/>
        <w:wordWrap/>
        <w:topLinePunct w:val="0"/>
        <w:bidi w:val="0"/>
        <w:spacing w:line="360" w:lineRule="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br w:type="page"/>
      </w:r>
    </w:p>
    <w:p>
      <w:pPr>
        <w:pStyle w:val="4"/>
        <w:pageBreakBefore w:val="0"/>
        <w:wordWrap/>
        <w:topLinePunct w:val="0"/>
        <w:bidi w:val="0"/>
        <w:spacing w:line="360" w:lineRule="auto"/>
        <w:ind w:left="0" w:leftChars="0" w:firstLine="0" w:firstLineChars="0"/>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目录</w:t>
      </w:r>
    </w:p>
    <w:p>
      <w:pPr>
        <w:pageBreakBefore w:val="0"/>
        <w:numPr>
          <w:ilvl w:val="0"/>
          <w:numId w:val="0"/>
        </w:numPr>
        <w:wordWrap/>
        <w:topLinePunct w:val="0"/>
        <w:bidi w:val="0"/>
        <w:spacing w:line="360" w:lineRule="auto"/>
        <w:rPr>
          <w:rFonts w:hint="eastAsia" w:ascii="宋体" w:hAnsi="宋体" w:eastAsia="宋体" w:cs="宋体"/>
          <w:bCs/>
          <w:sz w:val="28"/>
          <w:szCs w:val="28"/>
          <w:lang w:eastAsia="zh-CN"/>
        </w:rPr>
      </w:pPr>
      <w:r>
        <w:rPr>
          <w:rFonts w:hint="eastAsia" w:ascii="宋体" w:hAnsi="宋体" w:eastAsia="宋体" w:cs="宋体"/>
          <w:bCs/>
          <w:sz w:val="28"/>
          <w:szCs w:val="28"/>
          <w:lang w:eastAsia="zh-CN"/>
        </w:rPr>
        <w:t>一、响应</w:t>
      </w:r>
      <w:r>
        <w:rPr>
          <w:rFonts w:hint="eastAsia" w:ascii="宋体" w:hAnsi="宋体" w:eastAsia="宋体" w:cs="宋体"/>
          <w:bCs/>
          <w:sz w:val="28"/>
          <w:szCs w:val="28"/>
        </w:rPr>
        <w:t>函………………………………………………</w:t>
      </w:r>
      <w:r>
        <w:rPr>
          <w:rFonts w:hint="eastAsia" w:ascii="宋体" w:hAnsi="宋体" w:eastAsia="宋体" w:cs="宋体"/>
          <w:bCs/>
          <w:sz w:val="28"/>
          <w:szCs w:val="28"/>
          <w:lang w:eastAsia="zh-CN"/>
        </w:rPr>
        <w:t>（页数）</w:t>
      </w:r>
    </w:p>
    <w:p>
      <w:pPr>
        <w:pageBreakBefore w:val="0"/>
        <w:numPr>
          <w:ilvl w:val="0"/>
          <w:numId w:val="0"/>
        </w:numPr>
        <w:wordWrap/>
        <w:topLinePunct w:val="0"/>
        <w:bidi w:val="0"/>
        <w:spacing w:line="360" w:lineRule="auto"/>
        <w:rPr>
          <w:rFonts w:hint="eastAsia" w:ascii="宋体" w:hAnsi="宋体" w:eastAsia="宋体" w:cs="宋体"/>
          <w:bCs/>
          <w:sz w:val="28"/>
          <w:szCs w:val="28"/>
        </w:rPr>
      </w:pPr>
      <w:r>
        <w:rPr>
          <w:rFonts w:hint="eastAsia" w:ascii="宋体" w:hAnsi="宋体" w:eastAsia="宋体" w:cs="宋体"/>
          <w:bCs/>
          <w:sz w:val="28"/>
          <w:szCs w:val="28"/>
          <w:lang w:eastAsia="zh-CN"/>
        </w:rPr>
        <w:t>二、响应一览</w:t>
      </w:r>
      <w:r>
        <w:rPr>
          <w:rFonts w:hint="eastAsia" w:ascii="宋体" w:hAnsi="宋体" w:eastAsia="宋体" w:cs="宋体"/>
          <w:bCs/>
          <w:sz w:val="28"/>
          <w:szCs w:val="28"/>
        </w:rPr>
        <w:t>表…………………………………………</w:t>
      </w:r>
      <w:r>
        <w:rPr>
          <w:rFonts w:hint="eastAsia" w:ascii="宋体" w:hAnsi="宋体" w:eastAsia="宋体" w:cs="宋体"/>
          <w:bCs/>
          <w:sz w:val="28"/>
          <w:szCs w:val="28"/>
          <w:lang w:eastAsia="zh-CN"/>
        </w:rPr>
        <w:t>（页数）</w:t>
      </w:r>
    </w:p>
    <w:p>
      <w:pPr>
        <w:pageBreakBefore w:val="0"/>
        <w:numPr>
          <w:ilvl w:val="0"/>
          <w:numId w:val="0"/>
        </w:numPr>
        <w:wordWrap/>
        <w:topLinePunct w:val="0"/>
        <w:bidi w:val="0"/>
        <w:spacing w:line="360" w:lineRule="auto"/>
        <w:rPr>
          <w:rFonts w:hint="eastAsia" w:ascii="宋体" w:hAnsi="宋体" w:eastAsia="宋体" w:cs="宋体"/>
          <w:bCs/>
          <w:sz w:val="28"/>
          <w:szCs w:val="28"/>
          <w:lang w:eastAsia="zh-CN"/>
        </w:rPr>
      </w:pPr>
      <w:r>
        <w:rPr>
          <w:rFonts w:hint="eastAsia" w:ascii="宋体" w:hAnsi="宋体" w:eastAsia="宋体" w:cs="宋体"/>
          <w:bCs/>
          <w:sz w:val="28"/>
          <w:szCs w:val="28"/>
          <w:lang w:eastAsia="zh-CN"/>
        </w:rPr>
        <w:t>三、响应价格明细表</w:t>
      </w:r>
      <w:r>
        <w:rPr>
          <w:rFonts w:hint="eastAsia" w:ascii="宋体" w:hAnsi="宋体" w:eastAsia="宋体" w:cs="宋体"/>
          <w:bCs/>
          <w:sz w:val="28"/>
          <w:szCs w:val="28"/>
        </w:rPr>
        <w:t>……………………………………</w:t>
      </w:r>
      <w:r>
        <w:rPr>
          <w:rFonts w:hint="eastAsia" w:ascii="宋体" w:hAnsi="宋体" w:eastAsia="宋体" w:cs="宋体"/>
          <w:bCs/>
          <w:sz w:val="28"/>
          <w:szCs w:val="28"/>
          <w:lang w:eastAsia="zh-CN"/>
        </w:rPr>
        <w:t>（页数）</w:t>
      </w:r>
    </w:p>
    <w:p>
      <w:pPr>
        <w:pageBreakBefore w:val="0"/>
        <w:wordWrap/>
        <w:topLinePunct w:val="0"/>
        <w:bidi w:val="0"/>
        <w:spacing w:line="360" w:lineRule="auto"/>
        <w:rPr>
          <w:rFonts w:hint="eastAsia" w:ascii="宋体" w:hAnsi="宋体" w:eastAsia="宋体" w:cs="宋体"/>
          <w:bCs/>
          <w:sz w:val="28"/>
          <w:szCs w:val="28"/>
        </w:rPr>
      </w:pPr>
      <w:r>
        <w:rPr>
          <w:rFonts w:hint="eastAsia" w:ascii="宋体" w:hAnsi="宋体" w:eastAsia="宋体" w:cs="宋体"/>
          <w:bCs/>
          <w:sz w:val="28"/>
          <w:szCs w:val="28"/>
          <w:lang w:eastAsia="zh-CN"/>
        </w:rPr>
        <w:t>四、采购需求响应表</w:t>
      </w:r>
      <w:r>
        <w:rPr>
          <w:rFonts w:hint="eastAsia" w:ascii="宋体" w:hAnsi="宋体" w:eastAsia="宋体" w:cs="宋体"/>
          <w:bCs/>
          <w:sz w:val="28"/>
          <w:szCs w:val="28"/>
        </w:rPr>
        <w:t>………………………………</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w:t>
      </w:r>
      <w:r>
        <w:rPr>
          <w:rFonts w:hint="eastAsia" w:ascii="宋体" w:hAnsi="宋体" w:eastAsia="宋体" w:cs="宋体"/>
          <w:bCs/>
          <w:sz w:val="28"/>
          <w:szCs w:val="28"/>
          <w:lang w:eastAsia="zh-CN"/>
        </w:rPr>
        <w:t>（页数）</w:t>
      </w:r>
    </w:p>
    <w:p>
      <w:pPr>
        <w:pageBreakBefore w:val="0"/>
        <w:wordWrap/>
        <w:topLinePunct w:val="0"/>
        <w:bidi w:val="0"/>
        <w:spacing w:line="360" w:lineRule="auto"/>
        <w:rPr>
          <w:rFonts w:hint="eastAsia" w:ascii="宋体" w:hAnsi="宋体" w:eastAsia="宋体" w:cs="宋体"/>
          <w:bCs/>
          <w:sz w:val="28"/>
          <w:szCs w:val="28"/>
        </w:rPr>
      </w:pPr>
      <w:r>
        <w:rPr>
          <w:rFonts w:hint="eastAsia" w:ascii="宋体" w:hAnsi="宋体" w:eastAsia="宋体" w:cs="宋体"/>
          <w:bCs/>
          <w:sz w:val="28"/>
          <w:szCs w:val="28"/>
          <w:lang w:eastAsia="zh-CN"/>
        </w:rPr>
        <w:t>五、</w:t>
      </w:r>
      <w:r>
        <w:rPr>
          <w:rFonts w:hint="eastAsia" w:ascii="宋体" w:hAnsi="宋体" w:eastAsia="宋体" w:cs="宋体"/>
          <w:bCs/>
          <w:sz w:val="28"/>
          <w:szCs w:val="28"/>
        </w:rPr>
        <w:t>采购需求及相关要求响应详情………………</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w:t>
      </w:r>
      <w:r>
        <w:rPr>
          <w:rFonts w:hint="eastAsia" w:ascii="宋体" w:hAnsi="宋体" w:eastAsia="宋体" w:cs="宋体"/>
          <w:bCs/>
          <w:sz w:val="28"/>
          <w:szCs w:val="28"/>
          <w:lang w:eastAsia="zh-CN"/>
        </w:rPr>
        <w:t>（页数）</w:t>
      </w:r>
    </w:p>
    <w:p>
      <w:pPr>
        <w:pageBreakBefore w:val="0"/>
        <w:wordWrap/>
        <w:topLinePunct w:val="0"/>
        <w:bidi w:val="0"/>
        <w:spacing w:line="360" w:lineRule="auto"/>
        <w:rPr>
          <w:rFonts w:hint="eastAsia" w:ascii="宋体" w:hAnsi="宋体" w:eastAsia="宋体" w:cs="宋体"/>
          <w:bCs/>
          <w:sz w:val="28"/>
          <w:szCs w:val="28"/>
        </w:rPr>
      </w:pPr>
      <w:r>
        <w:rPr>
          <w:rFonts w:hint="eastAsia" w:ascii="宋体" w:hAnsi="宋体" w:eastAsia="宋体" w:cs="宋体"/>
          <w:bCs/>
          <w:sz w:val="28"/>
          <w:szCs w:val="28"/>
          <w:lang w:eastAsia="zh-CN"/>
        </w:rPr>
        <w:t>六、</w:t>
      </w:r>
      <w:r>
        <w:rPr>
          <w:rFonts w:hint="eastAsia" w:ascii="宋体" w:hAnsi="宋体" w:eastAsia="宋体" w:cs="宋体"/>
          <w:bCs/>
          <w:sz w:val="28"/>
          <w:szCs w:val="28"/>
        </w:rPr>
        <w:t>资格证明文件………………………………………</w:t>
      </w:r>
      <w:r>
        <w:rPr>
          <w:rFonts w:hint="eastAsia" w:ascii="宋体" w:hAnsi="宋体" w:eastAsia="宋体" w:cs="宋体"/>
          <w:bCs/>
          <w:sz w:val="28"/>
          <w:szCs w:val="28"/>
          <w:lang w:eastAsia="zh-CN"/>
        </w:rPr>
        <w:t>（页数）</w:t>
      </w:r>
    </w:p>
    <w:p>
      <w:pPr>
        <w:pStyle w:val="4"/>
        <w:pageBreakBefore w:val="0"/>
        <w:wordWrap/>
        <w:topLinePunct w:val="0"/>
        <w:bidi w:val="0"/>
        <w:spacing w:line="360" w:lineRule="auto"/>
        <w:rPr>
          <w:rFonts w:hint="eastAsia" w:ascii="宋体" w:hAnsi="宋体" w:eastAsia="宋体" w:cs="宋体"/>
          <w:color w:val="auto"/>
          <w:sz w:val="32"/>
          <w:szCs w:val="32"/>
          <w:highlight w:val="none"/>
          <w:lang w:val="en-US" w:eastAsia="zh-CN"/>
        </w:rPr>
      </w:pPr>
    </w:p>
    <w:p>
      <w:pPr>
        <w:pStyle w:val="4"/>
        <w:pageBreakBefore w:val="0"/>
        <w:wordWrap/>
        <w:topLinePunct w:val="0"/>
        <w:bidi w:val="0"/>
        <w:spacing w:line="360" w:lineRule="auto"/>
        <w:ind w:left="0" w:leftChars="0" w:firstLine="0" w:firstLineChars="0"/>
        <w:rPr>
          <w:rFonts w:hint="eastAsia" w:ascii="宋体" w:hAnsi="宋体" w:eastAsia="宋体" w:cs="宋体"/>
          <w:color w:val="auto"/>
          <w:sz w:val="32"/>
          <w:szCs w:val="32"/>
          <w:highlight w:val="none"/>
          <w:lang w:val="en-US" w:eastAsia="zh-CN"/>
        </w:rPr>
      </w:pPr>
    </w:p>
    <w:p>
      <w:pPr>
        <w:pStyle w:val="4"/>
        <w:pageBreakBefore w:val="0"/>
        <w:wordWrap/>
        <w:topLinePunct w:val="0"/>
        <w:bidi w:val="0"/>
        <w:spacing w:line="360" w:lineRule="auto"/>
        <w:ind w:left="0" w:leftChars="0" w:firstLine="0" w:firstLineChars="0"/>
        <w:rPr>
          <w:rFonts w:hint="eastAsia" w:ascii="宋体" w:hAnsi="宋体" w:eastAsia="宋体" w:cs="宋体"/>
          <w:color w:val="auto"/>
          <w:sz w:val="32"/>
          <w:szCs w:val="32"/>
          <w:highlight w:val="none"/>
          <w:lang w:val="en-US" w:eastAsia="zh-CN"/>
        </w:rPr>
      </w:pPr>
    </w:p>
    <w:p>
      <w:pPr>
        <w:pStyle w:val="4"/>
        <w:pageBreakBefore w:val="0"/>
        <w:wordWrap/>
        <w:topLinePunct w:val="0"/>
        <w:bidi w:val="0"/>
        <w:spacing w:line="360" w:lineRule="auto"/>
        <w:ind w:left="0" w:leftChars="0" w:firstLine="0" w:firstLineChars="0"/>
        <w:rPr>
          <w:rFonts w:hint="eastAsia" w:ascii="宋体" w:hAnsi="宋体" w:eastAsia="宋体" w:cs="宋体"/>
          <w:color w:val="auto"/>
          <w:sz w:val="32"/>
          <w:szCs w:val="32"/>
          <w:highlight w:val="none"/>
          <w:lang w:val="en-US" w:eastAsia="zh-CN"/>
        </w:rPr>
      </w:pPr>
    </w:p>
    <w:p>
      <w:pPr>
        <w:pStyle w:val="4"/>
        <w:pageBreakBefore w:val="0"/>
        <w:wordWrap/>
        <w:topLinePunct w:val="0"/>
        <w:bidi w:val="0"/>
        <w:spacing w:line="360" w:lineRule="auto"/>
        <w:ind w:left="0" w:leftChars="0" w:firstLine="0" w:firstLineChars="0"/>
        <w:rPr>
          <w:rFonts w:hint="eastAsia" w:ascii="宋体" w:hAnsi="宋体" w:eastAsia="宋体" w:cs="宋体"/>
          <w:color w:val="auto"/>
          <w:sz w:val="32"/>
          <w:szCs w:val="32"/>
          <w:highlight w:val="none"/>
          <w:lang w:val="en-US" w:eastAsia="zh-CN"/>
        </w:rPr>
      </w:pPr>
    </w:p>
    <w:p>
      <w:pPr>
        <w:pStyle w:val="4"/>
        <w:pageBreakBefore w:val="0"/>
        <w:wordWrap/>
        <w:topLinePunct w:val="0"/>
        <w:bidi w:val="0"/>
        <w:spacing w:line="360" w:lineRule="auto"/>
        <w:ind w:left="0" w:leftChars="0" w:firstLine="0" w:firstLineChars="0"/>
        <w:rPr>
          <w:rFonts w:hint="eastAsia" w:ascii="宋体" w:hAnsi="宋体" w:eastAsia="宋体" w:cs="宋体"/>
          <w:color w:val="auto"/>
          <w:sz w:val="32"/>
          <w:szCs w:val="32"/>
          <w:highlight w:val="none"/>
          <w:lang w:val="en-US" w:eastAsia="zh-CN"/>
        </w:rPr>
      </w:pPr>
    </w:p>
    <w:p>
      <w:pPr>
        <w:pStyle w:val="4"/>
        <w:pageBreakBefore w:val="0"/>
        <w:wordWrap/>
        <w:topLinePunct w:val="0"/>
        <w:bidi w:val="0"/>
        <w:spacing w:line="360" w:lineRule="auto"/>
        <w:ind w:left="0" w:leftChars="0" w:firstLine="0" w:firstLineChars="0"/>
        <w:rPr>
          <w:rFonts w:hint="eastAsia" w:ascii="宋体" w:hAnsi="宋体" w:eastAsia="宋体" w:cs="宋体"/>
          <w:color w:val="auto"/>
          <w:sz w:val="32"/>
          <w:szCs w:val="32"/>
          <w:highlight w:val="none"/>
          <w:lang w:val="en-US" w:eastAsia="zh-CN"/>
        </w:rPr>
      </w:pPr>
    </w:p>
    <w:p>
      <w:pPr>
        <w:pStyle w:val="4"/>
        <w:pageBreakBefore w:val="0"/>
        <w:wordWrap/>
        <w:topLinePunct w:val="0"/>
        <w:bidi w:val="0"/>
        <w:spacing w:line="360" w:lineRule="auto"/>
        <w:ind w:left="0" w:leftChars="0" w:firstLine="0" w:firstLineChars="0"/>
        <w:rPr>
          <w:rFonts w:hint="eastAsia" w:ascii="宋体" w:hAnsi="宋体" w:eastAsia="宋体" w:cs="宋体"/>
          <w:color w:val="auto"/>
          <w:sz w:val="32"/>
          <w:szCs w:val="32"/>
          <w:highlight w:val="none"/>
          <w:lang w:val="en-US" w:eastAsia="zh-CN"/>
        </w:rPr>
      </w:pPr>
    </w:p>
    <w:p>
      <w:pPr>
        <w:pStyle w:val="4"/>
        <w:pageBreakBefore w:val="0"/>
        <w:wordWrap/>
        <w:topLinePunct w:val="0"/>
        <w:bidi w:val="0"/>
        <w:spacing w:line="360" w:lineRule="auto"/>
        <w:ind w:left="0" w:leftChars="0" w:firstLine="0" w:firstLineChars="0"/>
        <w:rPr>
          <w:rFonts w:hint="eastAsia" w:ascii="宋体" w:hAnsi="宋体" w:eastAsia="宋体" w:cs="宋体"/>
          <w:color w:val="auto"/>
          <w:sz w:val="32"/>
          <w:szCs w:val="32"/>
          <w:highlight w:val="none"/>
          <w:lang w:val="en-US" w:eastAsia="zh-CN"/>
        </w:rPr>
      </w:pPr>
    </w:p>
    <w:p>
      <w:pPr>
        <w:pStyle w:val="4"/>
        <w:pageBreakBefore w:val="0"/>
        <w:wordWrap/>
        <w:topLinePunct w:val="0"/>
        <w:bidi w:val="0"/>
        <w:spacing w:line="360" w:lineRule="auto"/>
        <w:ind w:left="0" w:leftChars="0" w:firstLine="0" w:firstLineChars="0"/>
        <w:rPr>
          <w:rFonts w:hint="eastAsia" w:ascii="宋体" w:hAnsi="宋体" w:eastAsia="宋体" w:cs="宋体"/>
          <w:color w:val="auto"/>
          <w:sz w:val="32"/>
          <w:szCs w:val="32"/>
          <w:highlight w:val="none"/>
          <w:lang w:val="en-US" w:eastAsia="zh-CN"/>
        </w:rPr>
      </w:pPr>
    </w:p>
    <w:p>
      <w:pPr>
        <w:pStyle w:val="4"/>
        <w:pageBreakBefore w:val="0"/>
        <w:wordWrap/>
        <w:topLinePunct w:val="0"/>
        <w:bidi w:val="0"/>
        <w:spacing w:line="360" w:lineRule="auto"/>
        <w:ind w:left="0" w:leftChars="0" w:firstLine="0" w:firstLineChars="0"/>
        <w:rPr>
          <w:rFonts w:hint="eastAsia" w:ascii="宋体" w:hAnsi="宋体" w:eastAsia="宋体" w:cs="宋体"/>
          <w:color w:val="auto"/>
          <w:sz w:val="32"/>
          <w:szCs w:val="32"/>
          <w:highlight w:val="none"/>
          <w:lang w:val="en-US" w:eastAsia="zh-CN"/>
        </w:rPr>
      </w:pPr>
    </w:p>
    <w:p>
      <w:pPr>
        <w:pageBreakBefore w:val="0"/>
        <w:wordWrap/>
        <w:topLinePunct w:val="0"/>
        <w:bidi w:val="0"/>
        <w:spacing w:line="360" w:lineRule="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br w:type="page"/>
      </w:r>
    </w:p>
    <w:p>
      <w:pPr>
        <w:pStyle w:val="3"/>
        <w:pageBreakBefore w:val="0"/>
        <w:wordWrap/>
        <w:topLinePunct w:val="0"/>
        <w:bidi w:val="0"/>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一、响应函</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采购人</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采购代理机构名称）</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sz w:val="24"/>
          <w:szCs w:val="24"/>
        </w:rPr>
      </w:pPr>
      <w:r>
        <w:rPr>
          <w:rFonts w:hint="eastAsia" w:ascii="宋体" w:hAnsi="宋体" w:eastAsia="宋体" w:cs="宋体"/>
          <w:sz w:val="24"/>
          <w:szCs w:val="24"/>
        </w:rPr>
        <w:t>我（单位/本人，以下统称我</w:t>
      </w:r>
      <w:r>
        <w:rPr>
          <w:rFonts w:hint="eastAsia" w:ascii="宋体" w:hAnsi="宋体" w:eastAsia="宋体" w:cs="宋体"/>
          <w:sz w:val="24"/>
          <w:szCs w:val="24"/>
          <w:lang w:eastAsia="zh-CN"/>
        </w:rPr>
        <w:t>方</w:t>
      </w:r>
      <w:r>
        <w:rPr>
          <w:rFonts w:hint="eastAsia" w:ascii="宋体" w:hAnsi="宋体" w:eastAsia="宋体" w:cs="宋体"/>
          <w:sz w:val="24"/>
          <w:szCs w:val="24"/>
        </w:rPr>
        <w:t>）自愿参加</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标段名称</w:t>
      </w:r>
      <w:r>
        <w:rPr>
          <w:rFonts w:hint="eastAsia" w:ascii="宋体" w:hAnsi="宋体" w:eastAsia="宋体" w:cs="宋体"/>
          <w:sz w:val="24"/>
          <w:szCs w:val="24"/>
          <w:u w:val="single"/>
          <w:lang w:eastAsia="zh-CN"/>
        </w:rPr>
        <w:t>）</w:t>
      </w:r>
      <w:r>
        <w:rPr>
          <w:rFonts w:hint="eastAsia" w:ascii="宋体" w:hAnsi="宋体" w:eastAsia="宋体" w:cs="宋体"/>
          <w:sz w:val="24"/>
          <w:szCs w:val="24"/>
        </w:rPr>
        <w:t>,并做出如下承诺：</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en-US" w:eastAsia="zh-CN"/>
        </w:rPr>
        <w:t>一、</w:t>
      </w:r>
      <w:r>
        <w:rPr>
          <w:rFonts w:hint="eastAsia" w:ascii="宋体" w:hAnsi="宋体" w:eastAsia="宋体" w:cs="宋体"/>
          <w:bCs/>
          <w:sz w:val="24"/>
          <w:szCs w:val="24"/>
        </w:rPr>
        <w:t>我</w:t>
      </w:r>
      <w:r>
        <w:rPr>
          <w:rFonts w:hint="eastAsia" w:ascii="宋体" w:hAnsi="宋体" w:eastAsia="宋体" w:cs="宋体"/>
          <w:bCs/>
          <w:sz w:val="24"/>
          <w:szCs w:val="24"/>
          <w:lang w:eastAsia="zh-CN"/>
        </w:rPr>
        <w:t>方</w:t>
      </w:r>
      <w:r>
        <w:rPr>
          <w:rFonts w:hint="eastAsia" w:ascii="宋体" w:hAnsi="宋体" w:eastAsia="宋体" w:cs="宋体"/>
          <w:bCs/>
          <w:sz w:val="24"/>
          <w:szCs w:val="24"/>
        </w:rPr>
        <w:t>授权</w:t>
      </w:r>
      <w:r>
        <w:rPr>
          <w:rFonts w:hint="eastAsia" w:ascii="宋体" w:hAnsi="宋体" w:eastAsia="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(姓名和职务)代表我方</w:t>
      </w:r>
      <w:r>
        <w:rPr>
          <w:rFonts w:hint="eastAsia" w:ascii="宋体" w:hAnsi="宋体" w:eastAsia="宋体" w:cs="宋体"/>
          <w:bCs/>
          <w:sz w:val="24"/>
          <w:szCs w:val="24"/>
          <w:u w:val="single"/>
        </w:rPr>
        <w:t xml:space="preserve">           （投标单位</w:t>
      </w:r>
      <w:r>
        <w:rPr>
          <w:rFonts w:hint="eastAsia" w:ascii="宋体" w:hAnsi="宋体" w:eastAsia="宋体" w:cs="宋体"/>
          <w:bCs/>
          <w:kern w:val="2"/>
          <w:sz w:val="24"/>
          <w:szCs w:val="24"/>
          <w:u w:val="single"/>
          <w:lang w:val="en-US" w:eastAsia="zh-CN" w:bidi="ar-SA"/>
        </w:rPr>
        <w:t>的名称）</w:t>
      </w:r>
      <w:r>
        <w:rPr>
          <w:rFonts w:hint="eastAsia" w:ascii="宋体" w:hAnsi="宋体" w:eastAsia="宋体" w:cs="宋体"/>
          <w:bCs/>
          <w:kern w:val="2"/>
          <w:sz w:val="24"/>
          <w:szCs w:val="24"/>
          <w:lang w:val="en-US" w:eastAsia="zh-CN" w:bidi="ar-SA"/>
        </w:rPr>
        <w:t>全权处理本项目的有关事宜。</w:t>
      </w:r>
    </w:p>
    <w:p>
      <w:pPr>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二、我方愿意按照采购文件规定的各项要求，向采购人提供所需的服务。</w:t>
      </w:r>
    </w:p>
    <w:p>
      <w:pPr>
        <w:pStyle w:val="3"/>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三、我方已详细审查全部采购文件，包括所有补充通知（如有），完全理解并同意放弃对这方面有不明、误解的权利。</w:t>
      </w:r>
    </w:p>
    <w:p>
      <w:pPr>
        <w:pStyle w:val="35"/>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四、我方同意按照采购文件要求缴纳保证金，并承诺自响应截止时间至本项目发</w:t>
      </w:r>
      <w:r>
        <w:rPr>
          <w:rFonts w:hint="eastAsia" w:ascii="宋体" w:hAnsi="宋体" w:eastAsia="宋体" w:cs="宋体"/>
          <w:sz w:val="24"/>
          <w:szCs w:val="24"/>
        </w:rPr>
        <w:t>布</w:t>
      </w:r>
      <w:r>
        <w:rPr>
          <w:rFonts w:hint="eastAsia" w:ascii="宋体" w:hAnsi="宋体" w:eastAsia="宋体" w:cs="宋体"/>
          <w:sz w:val="24"/>
          <w:szCs w:val="24"/>
          <w:lang w:eastAsia="zh-CN"/>
        </w:rPr>
        <w:t>成交</w:t>
      </w:r>
      <w:r>
        <w:rPr>
          <w:rFonts w:hint="eastAsia" w:ascii="宋体" w:hAnsi="宋体" w:eastAsia="宋体" w:cs="宋体"/>
          <w:sz w:val="24"/>
          <w:szCs w:val="24"/>
        </w:rPr>
        <w:t>公告为止，撤销</w:t>
      </w:r>
      <w:r>
        <w:rPr>
          <w:rFonts w:hint="eastAsia" w:ascii="宋体" w:hAnsi="宋体" w:eastAsia="宋体" w:cs="宋体"/>
          <w:sz w:val="24"/>
          <w:szCs w:val="24"/>
          <w:lang w:eastAsia="zh-CN"/>
        </w:rPr>
        <w:t>响应文件的、或者成交</w:t>
      </w:r>
      <w:r>
        <w:rPr>
          <w:rFonts w:hint="eastAsia" w:ascii="宋体" w:hAnsi="宋体" w:eastAsia="宋体" w:cs="宋体"/>
          <w:sz w:val="24"/>
          <w:szCs w:val="24"/>
        </w:rPr>
        <w:t>后不依法与采购人签订合同</w:t>
      </w:r>
      <w:r>
        <w:rPr>
          <w:rFonts w:hint="eastAsia" w:ascii="宋体" w:hAnsi="宋体" w:eastAsia="宋体" w:cs="宋体"/>
          <w:sz w:val="24"/>
          <w:szCs w:val="24"/>
          <w:lang w:eastAsia="zh-CN"/>
        </w:rPr>
        <w:t>、或者成交</w:t>
      </w:r>
      <w:r>
        <w:rPr>
          <w:rFonts w:hint="eastAsia" w:ascii="宋体" w:hAnsi="宋体" w:eastAsia="宋体" w:cs="宋体"/>
          <w:sz w:val="24"/>
          <w:szCs w:val="24"/>
        </w:rPr>
        <w:t>后不按照本</w:t>
      </w:r>
      <w:r>
        <w:rPr>
          <w:rFonts w:hint="eastAsia" w:ascii="宋体" w:hAnsi="宋体" w:eastAsia="宋体" w:cs="宋体"/>
          <w:sz w:val="24"/>
          <w:szCs w:val="24"/>
          <w:lang w:eastAsia="zh-CN"/>
        </w:rPr>
        <w:t>采购</w:t>
      </w:r>
      <w:r>
        <w:rPr>
          <w:rFonts w:hint="eastAsia" w:ascii="宋体" w:hAnsi="宋体" w:eastAsia="宋体" w:cs="宋体"/>
          <w:sz w:val="24"/>
          <w:szCs w:val="24"/>
        </w:rPr>
        <w:t>文件规定缴纳招标代理费</w:t>
      </w:r>
      <w:r>
        <w:rPr>
          <w:rFonts w:hint="eastAsia" w:ascii="宋体" w:hAnsi="宋体" w:eastAsia="宋体" w:cs="宋体"/>
          <w:sz w:val="24"/>
          <w:szCs w:val="24"/>
          <w:lang w:eastAsia="zh-CN"/>
        </w:rPr>
        <w:t>的，</w:t>
      </w:r>
      <w:r>
        <w:rPr>
          <w:rFonts w:hint="eastAsia" w:ascii="宋体" w:hAnsi="宋体" w:eastAsia="宋体" w:cs="宋体"/>
          <w:bCs/>
          <w:sz w:val="24"/>
          <w:szCs w:val="24"/>
        </w:rPr>
        <w:t>我方</w:t>
      </w:r>
      <w:r>
        <w:rPr>
          <w:rFonts w:hint="eastAsia" w:ascii="宋体" w:hAnsi="宋体" w:eastAsia="宋体" w:cs="宋体"/>
          <w:bCs/>
          <w:sz w:val="24"/>
          <w:szCs w:val="24"/>
          <w:lang w:eastAsia="zh-CN"/>
        </w:rPr>
        <w:t>将向采购人、采购代理机构</w:t>
      </w:r>
      <w:r>
        <w:rPr>
          <w:rFonts w:hint="eastAsia" w:ascii="宋体" w:hAnsi="宋体" w:eastAsia="宋体" w:cs="宋体"/>
          <w:sz w:val="24"/>
          <w:szCs w:val="24"/>
        </w:rPr>
        <w:t>支付本</w:t>
      </w:r>
      <w:r>
        <w:rPr>
          <w:rFonts w:hint="eastAsia" w:ascii="宋体" w:hAnsi="宋体" w:eastAsia="宋体" w:cs="宋体"/>
          <w:sz w:val="24"/>
          <w:szCs w:val="24"/>
          <w:lang w:eastAsia="zh-CN"/>
        </w:rPr>
        <w:t>采购</w:t>
      </w:r>
      <w:r>
        <w:rPr>
          <w:rFonts w:hint="eastAsia" w:ascii="宋体" w:hAnsi="宋体" w:eastAsia="宋体" w:cs="宋体"/>
          <w:sz w:val="24"/>
          <w:szCs w:val="24"/>
        </w:rPr>
        <w:t>文件公布的</w:t>
      </w:r>
      <w:r>
        <w:rPr>
          <w:rFonts w:hint="eastAsia" w:ascii="宋体" w:hAnsi="宋体" w:eastAsia="宋体" w:cs="宋体"/>
          <w:sz w:val="24"/>
          <w:szCs w:val="24"/>
          <w:lang w:eastAsia="zh-CN"/>
        </w:rPr>
        <w:t>保证金作为</w:t>
      </w:r>
      <w:r>
        <w:rPr>
          <w:rFonts w:hint="eastAsia" w:ascii="宋体" w:hAnsi="宋体" w:eastAsia="宋体" w:cs="宋体"/>
          <w:sz w:val="24"/>
          <w:szCs w:val="24"/>
        </w:rPr>
        <w:t>违约赔偿金。</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五、</w:t>
      </w:r>
      <w:r>
        <w:rPr>
          <w:rFonts w:hint="eastAsia" w:ascii="宋体" w:hAnsi="宋体" w:eastAsia="宋体" w:cs="宋体"/>
          <w:bCs/>
          <w:sz w:val="24"/>
          <w:szCs w:val="24"/>
        </w:rPr>
        <w:t>我方愿意</w:t>
      </w:r>
      <w:r>
        <w:rPr>
          <w:rFonts w:hint="eastAsia" w:ascii="宋体" w:hAnsi="宋体" w:eastAsia="宋体" w:cs="宋体"/>
          <w:bCs/>
          <w:sz w:val="24"/>
          <w:szCs w:val="24"/>
          <w:lang w:eastAsia="zh-CN"/>
        </w:rPr>
        <w:t>按照采购文件的要求，提供</w:t>
      </w:r>
      <w:r>
        <w:rPr>
          <w:rFonts w:hint="eastAsia" w:ascii="宋体" w:hAnsi="宋体" w:eastAsia="宋体" w:cs="宋体"/>
          <w:bCs/>
          <w:sz w:val="24"/>
          <w:szCs w:val="24"/>
        </w:rPr>
        <w:t>与项目有关的</w:t>
      </w:r>
      <w:r>
        <w:rPr>
          <w:rFonts w:hint="eastAsia" w:ascii="宋体" w:hAnsi="宋体" w:eastAsia="宋体" w:cs="宋体"/>
          <w:bCs/>
          <w:sz w:val="24"/>
          <w:szCs w:val="24"/>
          <w:lang w:eastAsia="zh-CN"/>
        </w:rPr>
        <w:t>所有</w:t>
      </w:r>
      <w:r>
        <w:rPr>
          <w:rFonts w:hint="eastAsia" w:ascii="宋体" w:hAnsi="宋体" w:eastAsia="宋体" w:cs="宋体"/>
          <w:bCs/>
          <w:sz w:val="24"/>
          <w:szCs w:val="24"/>
        </w:rPr>
        <w:t>文件资料，并保证我方</w:t>
      </w:r>
      <w:r>
        <w:rPr>
          <w:rFonts w:hint="eastAsia" w:ascii="宋体" w:hAnsi="宋体" w:eastAsia="宋体" w:cs="宋体"/>
          <w:bCs/>
          <w:sz w:val="24"/>
          <w:szCs w:val="24"/>
          <w:lang w:eastAsia="zh-CN"/>
        </w:rPr>
        <w:t>所有</w:t>
      </w:r>
      <w:r>
        <w:rPr>
          <w:rFonts w:hint="eastAsia" w:ascii="宋体" w:hAnsi="宋体" w:eastAsia="宋体" w:cs="宋体"/>
          <w:bCs/>
          <w:sz w:val="24"/>
          <w:szCs w:val="24"/>
        </w:rPr>
        <w:t>文件</w:t>
      </w:r>
      <w:r>
        <w:rPr>
          <w:rFonts w:hint="eastAsia" w:ascii="宋体" w:hAnsi="宋体" w:eastAsia="宋体" w:cs="宋体"/>
          <w:bCs/>
          <w:sz w:val="24"/>
          <w:szCs w:val="24"/>
          <w:lang w:eastAsia="zh-CN"/>
        </w:rPr>
        <w:t>资料的合法性、</w:t>
      </w:r>
      <w:r>
        <w:rPr>
          <w:rFonts w:hint="eastAsia" w:ascii="宋体" w:hAnsi="宋体" w:eastAsia="宋体" w:cs="宋体"/>
          <w:bCs/>
          <w:sz w:val="24"/>
          <w:szCs w:val="24"/>
        </w:rPr>
        <w:t>真实</w:t>
      </w:r>
      <w:r>
        <w:rPr>
          <w:rFonts w:hint="eastAsia" w:ascii="宋体" w:hAnsi="宋体" w:eastAsia="宋体" w:cs="宋体"/>
          <w:bCs/>
          <w:sz w:val="24"/>
          <w:szCs w:val="24"/>
          <w:lang w:eastAsia="zh-CN"/>
        </w:rPr>
        <w:t>性</w:t>
      </w:r>
      <w:r>
        <w:rPr>
          <w:rFonts w:hint="eastAsia" w:ascii="宋体" w:hAnsi="宋体" w:eastAsia="宋体" w:cs="宋体"/>
          <w:bCs/>
          <w:sz w:val="24"/>
          <w:szCs w:val="24"/>
        </w:rPr>
        <w:t>、</w:t>
      </w:r>
      <w:r>
        <w:rPr>
          <w:rFonts w:hint="eastAsia" w:ascii="宋体" w:hAnsi="宋体" w:eastAsia="宋体" w:cs="宋体"/>
          <w:bCs/>
          <w:sz w:val="24"/>
          <w:szCs w:val="24"/>
          <w:lang w:eastAsia="zh-CN"/>
        </w:rPr>
        <w:t>完整性和</w:t>
      </w:r>
      <w:r>
        <w:rPr>
          <w:rFonts w:hint="eastAsia" w:ascii="宋体" w:hAnsi="宋体" w:eastAsia="宋体" w:cs="宋体"/>
          <w:bCs/>
          <w:sz w:val="24"/>
          <w:szCs w:val="24"/>
        </w:rPr>
        <w:t>准确</w:t>
      </w:r>
      <w:r>
        <w:rPr>
          <w:rFonts w:hint="eastAsia" w:ascii="宋体" w:hAnsi="宋体" w:eastAsia="宋体" w:cs="宋体"/>
          <w:bCs/>
          <w:sz w:val="24"/>
          <w:szCs w:val="24"/>
          <w:lang w:eastAsia="zh-CN"/>
        </w:rPr>
        <w:t>性</w:t>
      </w:r>
      <w:r>
        <w:rPr>
          <w:rFonts w:hint="eastAsia" w:ascii="宋体" w:hAnsi="宋体" w:eastAsia="宋体" w:cs="宋体"/>
          <w:bCs/>
          <w:sz w:val="24"/>
          <w:szCs w:val="24"/>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六、</w:t>
      </w:r>
      <w:r>
        <w:rPr>
          <w:rFonts w:hint="eastAsia" w:ascii="宋体" w:hAnsi="宋体" w:eastAsia="宋体" w:cs="宋体"/>
          <w:bCs/>
          <w:sz w:val="24"/>
          <w:szCs w:val="24"/>
        </w:rPr>
        <w:t>一旦我方被确定为</w:t>
      </w:r>
      <w:r>
        <w:rPr>
          <w:rFonts w:hint="eastAsia" w:ascii="宋体" w:hAnsi="宋体" w:eastAsia="宋体" w:cs="宋体"/>
          <w:bCs/>
          <w:sz w:val="24"/>
          <w:szCs w:val="24"/>
          <w:lang w:eastAsia="zh-CN"/>
        </w:rPr>
        <w:t>成交</w:t>
      </w:r>
      <w:r>
        <w:rPr>
          <w:rFonts w:hint="eastAsia" w:ascii="宋体" w:hAnsi="宋体" w:eastAsia="宋体" w:cs="宋体"/>
          <w:bCs/>
          <w:sz w:val="24"/>
          <w:szCs w:val="24"/>
        </w:rPr>
        <w:t xml:space="preserve">供应商，我方将严格履行合同规定的责任和义务，保证于合同签字生效后按照约定时间完成项目，并交付采购人验收。 </w:t>
      </w:r>
    </w:p>
    <w:p>
      <w:pPr>
        <w:pageBreakBefore w:val="0"/>
        <w:wordWrap/>
        <w:topLinePunct w:val="0"/>
        <w:bidi w:val="0"/>
        <w:spacing w:line="360" w:lineRule="auto"/>
        <w:jc w:val="left"/>
        <w:rPr>
          <w:rFonts w:hint="eastAsia" w:ascii="宋体" w:hAnsi="宋体" w:eastAsia="宋体" w:cs="宋体"/>
          <w:sz w:val="24"/>
          <w:szCs w:val="24"/>
        </w:rPr>
      </w:pPr>
    </w:p>
    <w:p>
      <w:pPr>
        <w:pageBreakBefore w:val="0"/>
        <w:wordWrap/>
        <w:topLinePunct w:val="0"/>
        <w:bidi w:val="0"/>
        <w:spacing w:line="360" w:lineRule="auto"/>
        <w:ind w:left="1604" w:leftChars="273" w:hanging="840" w:hangingChars="35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（盖公章）</w:t>
      </w:r>
    </w:p>
    <w:p>
      <w:pPr>
        <w:pageBreakBefore w:val="0"/>
        <w:wordWrap/>
        <w:topLinePunct w:val="0"/>
        <w:bidi w:val="0"/>
        <w:spacing w:line="360" w:lineRule="auto"/>
        <w:ind w:left="1799" w:leftChars="257" w:hanging="108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ageBreakBefore w:val="0"/>
        <w:wordWrap/>
        <w:topLinePunct w:val="0"/>
        <w:bidi w:val="0"/>
        <w:spacing w:line="360" w:lineRule="auto"/>
        <w:ind w:left="1799" w:leftChars="257" w:hanging="108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传真：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ageBreakBefore w:val="0"/>
        <w:wordWrap/>
        <w:topLinePunct w:val="0"/>
        <w:bidi w:val="0"/>
        <w:spacing w:line="360" w:lineRule="auto"/>
        <w:ind w:left="1799" w:leftChars="257" w:hanging="1080"/>
        <w:rPr>
          <w:rFonts w:hint="eastAsia" w:ascii="宋体" w:hAnsi="宋体" w:eastAsia="宋体" w:cs="宋体"/>
          <w:sz w:val="24"/>
          <w:szCs w:val="24"/>
        </w:rPr>
      </w:pPr>
      <w:r>
        <w:rPr>
          <w:rFonts w:hint="eastAsia" w:ascii="宋体" w:hAnsi="宋体" w:eastAsia="宋体" w:cs="宋体"/>
          <w:sz w:val="24"/>
          <w:szCs w:val="24"/>
        </w:rPr>
        <w:t>电子邮件：</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邮编：</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ageBreakBefore w:val="0"/>
        <w:wordWrap/>
        <w:topLinePunct w:val="0"/>
        <w:bidi w:val="0"/>
        <w:spacing w:line="360" w:lineRule="auto"/>
        <w:ind w:left="1799" w:leftChars="257" w:hanging="1080"/>
        <w:rPr>
          <w:rFonts w:hint="eastAsia" w:ascii="宋体" w:hAnsi="宋体" w:eastAsia="宋体" w:cs="宋体"/>
          <w:sz w:val="24"/>
          <w:szCs w:val="24"/>
        </w:rPr>
      </w:pPr>
      <w:r>
        <w:rPr>
          <w:rFonts w:hint="eastAsia" w:ascii="宋体" w:hAnsi="宋体" w:eastAsia="宋体" w:cs="宋体"/>
          <w:sz w:val="24"/>
          <w:szCs w:val="24"/>
        </w:rPr>
        <w:t>法定代表人或委托代理人(签字或签章)：</w:t>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4"/>
        <w:pageBreakBefore w:val="0"/>
        <w:wordWrap/>
        <w:topLinePunct w:val="0"/>
        <w:bidi w:val="0"/>
        <w:spacing w:line="360" w:lineRule="auto"/>
        <w:ind w:firstLine="840" w:firstLineChars="35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pStyle w:val="4"/>
        <w:pageBreakBefore w:val="0"/>
        <w:wordWrap/>
        <w:topLinePunct w:val="0"/>
        <w:bidi w:val="0"/>
        <w:spacing w:line="360" w:lineRule="auto"/>
        <w:ind w:left="0" w:leftChars="0" w:firstLine="0" w:firstLineChars="0"/>
        <w:outlineLvl w:val="9"/>
        <w:rPr>
          <w:rFonts w:hint="eastAsia" w:ascii="宋体" w:hAnsi="宋体" w:eastAsia="宋体" w:cs="宋体"/>
          <w:color w:val="auto"/>
          <w:sz w:val="24"/>
          <w:szCs w:val="24"/>
          <w:highlight w:val="none"/>
          <w:u w:val="single"/>
        </w:rPr>
      </w:pPr>
    </w:p>
    <w:p>
      <w:pPr>
        <w:pStyle w:val="4"/>
        <w:pageBreakBefore w:val="0"/>
        <w:wordWrap/>
        <w:topLinePunct w:val="0"/>
        <w:bidi w:val="0"/>
        <w:spacing w:line="360" w:lineRule="auto"/>
        <w:ind w:left="0" w:leftChars="0" w:firstLine="0" w:firstLineChars="0"/>
        <w:outlineLvl w:val="9"/>
        <w:rPr>
          <w:rFonts w:hint="eastAsia" w:ascii="宋体" w:hAnsi="宋体" w:eastAsia="宋体" w:cs="宋体"/>
          <w:color w:val="auto"/>
          <w:sz w:val="24"/>
          <w:szCs w:val="24"/>
          <w:highlight w:val="none"/>
          <w:u w:val="single"/>
        </w:rPr>
      </w:pPr>
    </w:p>
    <w:p>
      <w:pPr>
        <w:pStyle w:val="4"/>
        <w:pageBreakBefore w:val="0"/>
        <w:wordWrap/>
        <w:topLinePunct w:val="0"/>
        <w:bidi w:val="0"/>
        <w:spacing w:line="360" w:lineRule="auto"/>
        <w:ind w:left="0" w:leftChars="0" w:firstLine="0" w:firstLineChars="0"/>
        <w:outlineLvl w:val="9"/>
        <w:rPr>
          <w:rFonts w:hint="eastAsia" w:ascii="宋体" w:hAnsi="宋体" w:eastAsia="宋体" w:cs="宋体"/>
          <w:color w:val="auto"/>
          <w:sz w:val="24"/>
          <w:szCs w:val="24"/>
          <w:highlight w:val="none"/>
          <w:u w:val="single"/>
        </w:rPr>
      </w:pPr>
    </w:p>
    <w:p>
      <w:pPr>
        <w:pStyle w:val="4"/>
        <w:pageBreakBefore w:val="0"/>
        <w:wordWrap/>
        <w:topLinePunct w:val="0"/>
        <w:bidi w:val="0"/>
        <w:spacing w:line="360" w:lineRule="auto"/>
        <w:ind w:left="0" w:leftChars="0" w:firstLine="0" w:firstLineChars="0"/>
        <w:outlineLvl w:val="9"/>
        <w:rPr>
          <w:rFonts w:hint="eastAsia" w:ascii="宋体" w:hAnsi="宋体" w:eastAsia="宋体" w:cs="宋体"/>
          <w:color w:val="auto"/>
          <w:sz w:val="24"/>
          <w:szCs w:val="24"/>
          <w:highlight w:val="none"/>
          <w:u w:val="single"/>
        </w:rPr>
      </w:pPr>
    </w:p>
    <w:p>
      <w:pPr>
        <w:pageBreakBefore w:val="0"/>
        <w:wordWrap/>
        <w:topLinePunct w:val="0"/>
        <w:bidi w:val="0"/>
        <w:spacing w:line="360" w:lineRule="auto"/>
        <w:jc w:val="center"/>
        <w:outlineLvl w:val="9"/>
        <w:rPr>
          <w:rFonts w:hint="eastAsia" w:ascii="宋体" w:hAnsi="宋体" w:eastAsia="宋体" w:cs="宋体"/>
          <w:bCs/>
          <w:sz w:val="24"/>
          <w:szCs w:val="24"/>
        </w:rPr>
      </w:pPr>
      <w:r>
        <w:rPr>
          <w:rFonts w:hint="eastAsia" w:ascii="宋体" w:hAnsi="宋体" w:eastAsia="宋体" w:cs="宋体"/>
          <w:b/>
          <w:bCs/>
          <w:sz w:val="32"/>
          <w:szCs w:val="32"/>
          <w:lang w:eastAsia="zh-CN"/>
        </w:rPr>
        <w:t>二、响应</w:t>
      </w:r>
      <w:r>
        <w:rPr>
          <w:rFonts w:hint="eastAsia" w:ascii="宋体" w:hAnsi="宋体" w:eastAsia="宋体" w:cs="宋体"/>
          <w:b/>
          <w:bCs/>
          <w:sz w:val="32"/>
          <w:szCs w:val="32"/>
        </w:rPr>
        <w:t>一览表</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7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231" w:type="dxa"/>
            <w:tcBorders>
              <w:top w:val="double" w:color="auto" w:sz="4" w:space="0"/>
              <w:left w:val="double" w:color="auto" w:sz="4" w:space="0"/>
            </w:tcBorders>
            <w:vAlign w:val="center"/>
          </w:tcPr>
          <w:p>
            <w:pPr>
              <w:pageBreakBefore w:val="0"/>
              <w:wordWrap/>
              <w:topLinePunct w:val="0"/>
              <w:bidi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项目名称</w:t>
            </w:r>
          </w:p>
        </w:tc>
        <w:tc>
          <w:tcPr>
            <w:tcW w:w="7623" w:type="dxa"/>
            <w:tcBorders>
              <w:top w:val="double" w:color="auto" w:sz="4" w:space="0"/>
              <w:right w:val="double" w:color="auto" w:sz="4" w:space="0"/>
            </w:tcBorders>
            <w:vAlign w:val="center"/>
          </w:tcPr>
          <w:p>
            <w:pPr>
              <w:pageBreakBefore w:val="0"/>
              <w:wordWrap/>
              <w:topLinePunct w:val="0"/>
              <w:bidi w:val="0"/>
              <w:spacing w:line="360" w:lineRule="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231" w:type="dxa"/>
            <w:tcBorders>
              <w:top w:val="double" w:color="auto" w:sz="4" w:space="0"/>
              <w:left w:val="double" w:color="auto" w:sz="4" w:space="0"/>
            </w:tcBorders>
            <w:vAlign w:val="center"/>
          </w:tcPr>
          <w:p>
            <w:pPr>
              <w:pageBreakBefore w:val="0"/>
              <w:wordWrap/>
              <w:topLinePunct w:val="0"/>
              <w:bidi w:val="0"/>
              <w:spacing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标段名称</w:t>
            </w:r>
          </w:p>
        </w:tc>
        <w:tc>
          <w:tcPr>
            <w:tcW w:w="7623" w:type="dxa"/>
            <w:tcBorders>
              <w:top w:val="double" w:color="auto" w:sz="4" w:space="0"/>
              <w:right w:val="double" w:color="auto" w:sz="4" w:space="0"/>
            </w:tcBorders>
            <w:vAlign w:val="center"/>
          </w:tcPr>
          <w:p>
            <w:pPr>
              <w:pageBreakBefore w:val="0"/>
              <w:wordWrap/>
              <w:topLinePunct w:val="0"/>
              <w:bidi w:val="0"/>
              <w:spacing w:line="360" w:lineRule="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231" w:type="dxa"/>
            <w:vMerge w:val="restart"/>
            <w:tcBorders>
              <w:left w:val="double" w:color="auto" w:sz="4" w:space="0"/>
            </w:tcBorders>
            <w:vAlign w:val="center"/>
          </w:tcPr>
          <w:p>
            <w:pPr>
              <w:pageBreakBefore w:val="0"/>
              <w:wordWrap/>
              <w:topLinePunct w:val="0"/>
              <w:bidi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lang w:eastAsia="zh-CN"/>
              </w:rPr>
              <w:t>响应</w:t>
            </w:r>
            <w:r>
              <w:rPr>
                <w:rFonts w:hint="eastAsia" w:ascii="宋体" w:hAnsi="宋体" w:eastAsia="宋体" w:cs="宋体"/>
                <w:bCs/>
                <w:sz w:val="24"/>
                <w:szCs w:val="24"/>
              </w:rPr>
              <w:t>价格</w:t>
            </w:r>
          </w:p>
          <w:p>
            <w:pPr>
              <w:pageBreakBefore w:val="0"/>
              <w:wordWrap/>
              <w:topLinePunct w:val="0"/>
              <w:bidi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第一轮</w:t>
            </w:r>
            <w:r>
              <w:rPr>
                <w:rFonts w:hint="eastAsia" w:ascii="宋体" w:hAnsi="宋体" w:eastAsia="宋体" w:cs="宋体"/>
                <w:bCs/>
                <w:sz w:val="24"/>
                <w:szCs w:val="24"/>
                <w:lang w:eastAsia="zh-CN"/>
              </w:rPr>
              <w:t>）</w:t>
            </w:r>
          </w:p>
        </w:tc>
        <w:tc>
          <w:tcPr>
            <w:tcW w:w="7623" w:type="dxa"/>
            <w:tcBorders>
              <w:right w:val="double" w:color="auto" w:sz="4" w:space="0"/>
            </w:tcBorders>
            <w:vAlign w:val="center"/>
          </w:tcPr>
          <w:p>
            <w:pPr>
              <w:pageBreakBefore w:val="0"/>
              <w:wordWrap/>
              <w:topLinePunct w:val="0"/>
              <w:bidi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rPr>
              <w:t>人民币小写(元):</w:t>
            </w:r>
            <w:r>
              <w:rPr>
                <w:rFonts w:hint="eastAsia" w:ascii="宋体" w:hAnsi="宋体" w:eastAsia="宋体" w:cs="宋体"/>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231" w:type="dxa"/>
            <w:vMerge w:val="continue"/>
            <w:tcBorders>
              <w:left w:val="double" w:color="auto" w:sz="4" w:space="0"/>
            </w:tcBorders>
            <w:vAlign w:val="center"/>
          </w:tcPr>
          <w:p>
            <w:pPr>
              <w:pageBreakBefore w:val="0"/>
              <w:wordWrap/>
              <w:topLinePunct w:val="0"/>
              <w:bidi w:val="0"/>
              <w:spacing w:line="360" w:lineRule="auto"/>
              <w:jc w:val="center"/>
              <w:rPr>
                <w:rFonts w:hint="eastAsia" w:ascii="宋体" w:hAnsi="宋体" w:eastAsia="宋体" w:cs="宋体"/>
                <w:bCs/>
                <w:sz w:val="24"/>
                <w:szCs w:val="24"/>
              </w:rPr>
            </w:pPr>
          </w:p>
        </w:tc>
        <w:tc>
          <w:tcPr>
            <w:tcW w:w="7623" w:type="dxa"/>
            <w:tcBorders>
              <w:right w:val="double" w:color="auto" w:sz="4" w:space="0"/>
            </w:tcBorders>
            <w:vAlign w:val="center"/>
          </w:tcPr>
          <w:p>
            <w:pPr>
              <w:pageBreakBefore w:val="0"/>
              <w:wordWrap/>
              <w:topLinePunct w:val="0"/>
              <w:bidi w:val="0"/>
              <w:spacing w:line="360" w:lineRule="auto"/>
              <w:rPr>
                <w:rFonts w:hint="eastAsia" w:ascii="宋体" w:hAnsi="宋体" w:eastAsia="宋体" w:cs="宋体"/>
                <w:bCs/>
                <w:sz w:val="24"/>
                <w:szCs w:val="24"/>
              </w:rPr>
            </w:pPr>
            <w:r>
              <w:rPr>
                <w:rFonts w:hint="eastAsia" w:ascii="宋体" w:hAnsi="宋体" w:eastAsia="宋体" w:cs="宋体"/>
                <w:bCs/>
                <w:sz w:val="24"/>
                <w:szCs w:val="24"/>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231" w:type="dxa"/>
            <w:tcBorders>
              <w:left w:val="double" w:color="auto" w:sz="4" w:space="0"/>
            </w:tcBorders>
            <w:vAlign w:val="center"/>
          </w:tcPr>
          <w:p>
            <w:pPr>
              <w:pageBreakBefore w:val="0"/>
              <w:wordWrap/>
              <w:topLinePunct w:val="0"/>
              <w:bidi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合同履行期限</w:t>
            </w:r>
          </w:p>
        </w:tc>
        <w:tc>
          <w:tcPr>
            <w:tcW w:w="7623" w:type="dxa"/>
            <w:tcBorders>
              <w:right w:val="double" w:color="auto" w:sz="4" w:space="0"/>
            </w:tcBorders>
            <w:vAlign w:val="center"/>
          </w:tcPr>
          <w:p>
            <w:pPr>
              <w:pageBreakBefore w:val="0"/>
              <w:wordWrap/>
              <w:topLinePunct w:val="0"/>
              <w:bidi w:val="0"/>
              <w:spacing w:line="360" w:lineRule="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231" w:type="dxa"/>
            <w:tcBorders>
              <w:left w:val="double" w:color="auto" w:sz="4" w:space="0"/>
            </w:tcBorders>
            <w:vAlign w:val="center"/>
          </w:tcPr>
          <w:p>
            <w:pPr>
              <w:pageBreakBefore w:val="0"/>
              <w:wordWrap/>
              <w:topLinePunct w:val="0"/>
              <w:bidi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质量标注</w:t>
            </w:r>
          </w:p>
        </w:tc>
        <w:tc>
          <w:tcPr>
            <w:tcW w:w="7623" w:type="dxa"/>
            <w:tcBorders>
              <w:right w:val="double" w:color="auto" w:sz="4" w:space="0"/>
            </w:tcBorders>
            <w:vAlign w:val="center"/>
          </w:tcPr>
          <w:p>
            <w:pPr>
              <w:pageBreakBefore w:val="0"/>
              <w:wordWrap/>
              <w:topLinePunct w:val="0"/>
              <w:bidi w:val="0"/>
              <w:spacing w:line="360" w:lineRule="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231" w:type="dxa"/>
            <w:tcBorders>
              <w:left w:val="double" w:color="auto" w:sz="4" w:space="0"/>
            </w:tcBorders>
            <w:vAlign w:val="center"/>
          </w:tcPr>
          <w:p>
            <w:pPr>
              <w:pageBreakBefore w:val="0"/>
              <w:wordWrap/>
              <w:topLinePunct w:val="0"/>
              <w:bidi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项目经理</w:t>
            </w:r>
          </w:p>
        </w:tc>
        <w:tc>
          <w:tcPr>
            <w:tcW w:w="7623" w:type="dxa"/>
            <w:tcBorders>
              <w:right w:val="double" w:color="auto" w:sz="4" w:space="0"/>
            </w:tcBorders>
            <w:vAlign w:val="center"/>
          </w:tcPr>
          <w:p>
            <w:pPr>
              <w:pageBreakBefore w:val="0"/>
              <w:wordWrap/>
              <w:topLinePunct w:val="0"/>
              <w:bidi w:val="0"/>
              <w:spacing w:line="360" w:lineRule="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231" w:type="dxa"/>
            <w:tcBorders>
              <w:left w:val="double" w:color="auto" w:sz="4" w:space="0"/>
              <w:bottom w:val="double" w:color="auto" w:sz="4" w:space="0"/>
            </w:tcBorders>
            <w:vAlign w:val="center"/>
          </w:tcPr>
          <w:p>
            <w:pPr>
              <w:pageBreakBefore w:val="0"/>
              <w:wordWrap/>
              <w:topLinePunct w:val="0"/>
              <w:bidi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备  注</w:t>
            </w:r>
          </w:p>
        </w:tc>
        <w:tc>
          <w:tcPr>
            <w:tcW w:w="7623" w:type="dxa"/>
            <w:tcBorders>
              <w:bottom w:val="double" w:color="auto" w:sz="4" w:space="0"/>
              <w:right w:val="double" w:color="auto" w:sz="4" w:space="0"/>
            </w:tcBorders>
            <w:vAlign w:val="center"/>
          </w:tcPr>
          <w:p>
            <w:pPr>
              <w:pageBreakBefore w:val="0"/>
              <w:wordWrap/>
              <w:topLinePunct w:val="0"/>
              <w:bidi w:val="0"/>
              <w:spacing w:line="360" w:lineRule="auto"/>
              <w:rPr>
                <w:rFonts w:hint="eastAsia" w:ascii="宋体" w:hAnsi="宋体" w:eastAsia="宋体" w:cs="宋体"/>
                <w:bCs/>
                <w:sz w:val="24"/>
                <w:szCs w:val="24"/>
              </w:rPr>
            </w:pPr>
            <w:r>
              <w:rPr>
                <w:rFonts w:hint="eastAsia" w:ascii="宋体" w:hAnsi="宋体" w:eastAsia="宋体" w:cs="宋体"/>
                <w:bCs/>
                <w:sz w:val="24"/>
                <w:szCs w:val="24"/>
                <w:lang w:eastAsia="zh-CN"/>
              </w:rPr>
              <w:t>响应</w:t>
            </w:r>
            <w:r>
              <w:rPr>
                <w:rFonts w:hint="eastAsia" w:ascii="宋体" w:hAnsi="宋体" w:eastAsia="宋体" w:cs="宋体"/>
                <w:bCs/>
                <w:sz w:val="24"/>
                <w:szCs w:val="24"/>
              </w:rPr>
              <w:t>价格为供应商考虑各种因素（含折扣、优惠等）的最终报价。</w:t>
            </w:r>
          </w:p>
        </w:tc>
      </w:tr>
    </w:tbl>
    <w:p>
      <w:pPr>
        <w:pageBreakBefore w:val="0"/>
        <w:wordWrap/>
        <w:topLinePunct w:val="0"/>
        <w:bidi w:val="0"/>
        <w:spacing w:line="360" w:lineRule="auto"/>
        <w:outlineLvl w:val="9"/>
        <w:rPr>
          <w:rFonts w:hint="eastAsia" w:ascii="宋体" w:hAnsi="宋体" w:eastAsia="宋体" w:cs="宋体"/>
          <w:color w:val="auto"/>
          <w:sz w:val="24"/>
          <w:szCs w:val="24"/>
          <w:highlight w:val="none"/>
        </w:rPr>
      </w:pPr>
    </w:p>
    <w:p>
      <w:pPr>
        <w:pageBreakBefore w:val="0"/>
        <w:wordWrap/>
        <w:topLinePunct w:val="0"/>
        <w:bidi w:val="0"/>
        <w:spacing w:line="360" w:lineRule="auto"/>
        <w:ind w:firstLine="3600" w:firstLineChars="15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（盖章）</w:t>
      </w:r>
    </w:p>
    <w:p>
      <w:pPr>
        <w:pageBreakBefore w:val="0"/>
        <w:wordWrap/>
        <w:topLinePunct w:val="0"/>
        <w:bidi w:val="0"/>
        <w:spacing w:line="360" w:lineRule="auto"/>
        <w:ind w:firstLine="4320" w:firstLineChars="18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     月     日</w:t>
      </w:r>
    </w:p>
    <w:p>
      <w:pPr>
        <w:pageBreakBefore w:val="0"/>
        <w:wordWrap/>
        <w:topLinePunct w:val="0"/>
        <w:bidi w:val="0"/>
        <w:spacing w:line="360" w:lineRule="auto"/>
        <w:ind w:firstLine="3600" w:firstLineChars="1500"/>
        <w:outlineLvl w:val="9"/>
        <w:rPr>
          <w:rFonts w:hint="eastAsia" w:ascii="宋体" w:hAnsi="宋体" w:eastAsia="宋体" w:cs="宋体"/>
          <w:bCs/>
          <w:color w:val="auto"/>
          <w:sz w:val="24"/>
          <w:szCs w:val="24"/>
          <w:highlight w:val="none"/>
        </w:rPr>
      </w:pPr>
    </w:p>
    <w:p>
      <w:pPr>
        <w:pStyle w:val="3"/>
        <w:pageBreakBefore w:val="0"/>
        <w:wordWrap/>
        <w:topLinePunct w:val="0"/>
        <w:bidi w:val="0"/>
        <w:spacing w:line="360" w:lineRule="auto"/>
        <w:jc w:val="center"/>
        <w:rPr>
          <w:rFonts w:hint="eastAsia" w:ascii="宋体" w:hAnsi="宋体" w:eastAsia="宋体" w:cs="宋体"/>
          <w:b/>
          <w:bCs/>
          <w:kern w:val="2"/>
          <w:sz w:val="32"/>
          <w:szCs w:val="32"/>
          <w:lang w:val="en-US" w:eastAsia="zh-CN" w:bidi="ar-SA"/>
        </w:rPr>
      </w:pPr>
    </w:p>
    <w:p>
      <w:pPr>
        <w:pStyle w:val="4"/>
        <w:pageBreakBefore w:val="0"/>
        <w:wordWrap/>
        <w:topLinePunct w:val="0"/>
        <w:bidi w:val="0"/>
        <w:spacing w:line="360" w:lineRule="auto"/>
        <w:rPr>
          <w:rFonts w:hint="eastAsia" w:ascii="宋体" w:hAnsi="宋体" w:eastAsia="宋体" w:cs="宋体"/>
          <w:b/>
          <w:bCs/>
          <w:kern w:val="2"/>
          <w:sz w:val="32"/>
          <w:szCs w:val="32"/>
          <w:lang w:val="en-US" w:eastAsia="zh-CN" w:bidi="ar-SA"/>
        </w:rPr>
      </w:pPr>
    </w:p>
    <w:p>
      <w:pPr>
        <w:pStyle w:val="4"/>
        <w:pageBreakBefore w:val="0"/>
        <w:wordWrap/>
        <w:topLinePunct w:val="0"/>
        <w:bidi w:val="0"/>
        <w:spacing w:line="360" w:lineRule="auto"/>
        <w:rPr>
          <w:rFonts w:hint="eastAsia" w:ascii="宋体" w:hAnsi="宋体" w:eastAsia="宋体" w:cs="宋体"/>
          <w:b/>
          <w:bCs/>
          <w:kern w:val="2"/>
          <w:sz w:val="32"/>
          <w:szCs w:val="32"/>
          <w:lang w:val="en-US" w:eastAsia="zh-CN" w:bidi="ar-SA"/>
        </w:rPr>
      </w:pPr>
    </w:p>
    <w:p>
      <w:pPr>
        <w:pStyle w:val="3"/>
        <w:pageBreakBefore w:val="0"/>
        <w:wordWrap/>
        <w:topLinePunct w:val="0"/>
        <w:bidi w:val="0"/>
        <w:spacing w:line="360" w:lineRule="auto"/>
        <w:ind w:firstLine="1920" w:firstLineChars="600"/>
        <w:jc w:val="both"/>
        <w:rPr>
          <w:rFonts w:hint="eastAsia" w:ascii="宋体" w:hAnsi="宋体" w:eastAsia="宋体" w:cs="宋体"/>
          <w:b/>
          <w:bCs/>
          <w:kern w:val="2"/>
          <w:sz w:val="32"/>
          <w:szCs w:val="32"/>
          <w:lang w:val="en-US" w:eastAsia="zh-CN" w:bidi="ar-SA"/>
        </w:rPr>
      </w:pPr>
    </w:p>
    <w:p>
      <w:pPr>
        <w:pStyle w:val="3"/>
        <w:pageBreakBefore w:val="0"/>
        <w:wordWrap/>
        <w:topLinePunct w:val="0"/>
        <w:bidi w:val="0"/>
        <w:spacing w:line="360" w:lineRule="auto"/>
        <w:ind w:firstLine="1920" w:firstLineChars="600"/>
        <w:jc w:val="both"/>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三、已标价的工程量清单及价格明细表</w:t>
      </w:r>
    </w:p>
    <w:p>
      <w:pPr>
        <w:pageBreakBefore w:val="0"/>
        <w:wordWrap/>
        <w:topLinePunct w:val="0"/>
        <w:bidi w:val="0"/>
        <w:spacing w:line="360" w:lineRule="auto"/>
        <w:ind w:firstLine="5899" w:firstLineChars="2107"/>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br w:type="page"/>
      </w:r>
    </w:p>
    <w:p>
      <w:pPr>
        <w:pStyle w:val="3"/>
        <w:pageBreakBefore w:val="0"/>
        <w:wordWrap/>
        <w:topLinePunct w:val="0"/>
        <w:bidi w:val="0"/>
        <w:spacing w:line="360" w:lineRule="auto"/>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四、采购需求响应表（可根据实际情况修改）</w:t>
      </w:r>
    </w:p>
    <w:tbl>
      <w:tblPr>
        <w:tblStyle w:val="26"/>
        <w:tblW w:w="98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17"/>
        <w:gridCol w:w="3853"/>
        <w:gridCol w:w="3041"/>
        <w:gridCol w:w="1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restart"/>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序号</w:t>
            </w:r>
          </w:p>
        </w:tc>
        <w:tc>
          <w:tcPr>
            <w:tcW w:w="1217" w:type="dxa"/>
            <w:vMerge w:val="restart"/>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lang w:eastAsia="zh-CN"/>
              </w:rPr>
              <w:t>工程</w:t>
            </w:r>
            <w:r>
              <w:rPr>
                <w:rFonts w:hint="eastAsia" w:ascii="宋体" w:hAnsi="宋体" w:eastAsia="宋体" w:cs="宋体"/>
                <w:bCs/>
                <w:sz w:val="28"/>
                <w:szCs w:val="28"/>
              </w:rPr>
              <w:t xml:space="preserve"> </w:t>
            </w:r>
          </w:p>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名称</w:t>
            </w:r>
          </w:p>
        </w:tc>
        <w:tc>
          <w:tcPr>
            <w:tcW w:w="3853"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lang w:eastAsia="zh-CN"/>
              </w:rPr>
              <w:t>响应</w:t>
            </w:r>
            <w:r>
              <w:rPr>
                <w:rFonts w:hint="eastAsia" w:ascii="宋体" w:hAnsi="宋体" w:eastAsia="宋体" w:cs="宋体"/>
                <w:bCs/>
                <w:sz w:val="28"/>
                <w:szCs w:val="28"/>
              </w:rPr>
              <w:t>文件规定</w:t>
            </w:r>
          </w:p>
        </w:tc>
        <w:tc>
          <w:tcPr>
            <w:tcW w:w="3041"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lang w:eastAsia="zh-CN"/>
              </w:rPr>
              <w:t>响应</w:t>
            </w:r>
            <w:r>
              <w:rPr>
                <w:rFonts w:hint="eastAsia" w:ascii="宋体" w:hAnsi="宋体" w:eastAsia="宋体" w:cs="宋体"/>
                <w:bCs/>
                <w:sz w:val="28"/>
                <w:szCs w:val="28"/>
              </w:rPr>
              <w:t>文件响应情况</w:t>
            </w:r>
          </w:p>
        </w:tc>
        <w:tc>
          <w:tcPr>
            <w:tcW w:w="1013" w:type="dxa"/>
            <w:vMerge w:val="restart"/>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偏离</w:t>
            </w:r>
          </w:p>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continue"/>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1217" w:type="dxa"/>
            <w:vMerge w:val="continue"/>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3853"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pacing w:val="-6"/>
                <w:sz w:val="28"/>
                <w:szCs w:val="28"/>
              </w:rPr>
            </w:pPr>
            <w:r>
              <w:rPr>
                <w:rFonts w:hint="eastAsia" w:ascii="宋体" w:hAnsi="宋体" w:eastAsia="宋体" w:cs="宋体"/>
                <w:bCs/>
                <w:sz w:val="28"/>
                <w:szCs w:val="28"/>
              </w:rPr>
              <w:t>服务内容</w:t>
            </w:r>
          </w:p>
        </w:tc>
        <w:tc>
          <w:tcPr>
            <w:tcW w:w="3041"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服务内容</w:t>
            </w:r>
          </w:p>
        </w:tc>
        <w:tc>
          <w:tcPr>
            <w:tcW w:w="1013" w:type="dxa"/>
            <w:vMerge w:val="continue"/>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1</w:t>
            </w:r>
          </w:p>
        </w:tc>
        <w:tc>
          <w:tcPr>
            <w:tcW w:w="1217"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3853"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3041"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1013"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2</w:t>
            </w:r>
          </w:p>
        </w:tc>
        <w:tc>
          <w:tcPr>
            <w:tcW w:w="1217"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3853"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3041"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1013"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3</w:t>
            </w:r>
          </w:p>
        </w:tc>
        <w:tc>
          <w:tcPr>
            <w:tcW w:w="1217"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3853"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3041"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1013"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4</w:t>
            </w:r>
          </w:p>
        </w:tc>
        <w:tc>
          <w:tcPr>
            <w:tcW w:w="1217"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3853"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3041"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1013"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5</w:t>
            </w:r>
          </w:p>
        </w:tc>
        <w:tc>
          <w:tcPr>
            <w:tcW w:w="1217"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3853"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3041"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1013" w:type="dxa"/>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tcBorders>
              <w:bottom w:val="double" w:color="auto" w:sz="4" w:space="0"/>
            </w:tcBorders>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w:t>
            </w:r>
          </w:p>
        </w:tc>
        <w:tc>
          <w:tcPr>
            <w:tcW w:w="1217" w:type="dxa"/>
            <w:tcBorders>
              <w:bottom w:val="double" w:color="auto" w:sz="4" w:space="0"/>
            </w:tcBorders>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3853" w:type="dxa"/>
            <w:tcBorders>
              <w:bottom w:val="double" w:color="auto" w:sz="4" w:space="0"/>
            </w:tcBorders>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3041" w:type="dxa"/>
            <w:tcBorders>
              <w:bottom w:val="double" w:color="auto" w:sz="4" w:space="0"/>
            </w:tcBorders>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c>
          <w:tcPr>
            <w:tcW w:w="1013" w:type="dxa"/>
            <w:tcBorders>
              <w:bottom w:val="double" w:color="auto" w:sz="4" w:space="0"/>
            </w:tcBorders>
            <w:vAlign w:val="center"/>
          </w:tcPr>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rPr>
            </w:pPr>
          </w:p>
        </w:tc>
      </w:tr>
    </w:tbl>
    <w:p>
      <w:pPr>
        <w:pageBreakBefore w:val="0"/>
        <w:wordWrap/>
        <w:topLinePunct w:val="0"/>
        <w:bidi w:val="0"/>
        <w:spacing w:line="360" w:lineRule="auto"/>
        <w:outlineLvl w:val="9"/>
        <w:rPr>
          <w:rFonts w:hint="eastAsia" w:ascii="宋体" w:hAnsi="宋体" w:eastAsia="宋体" w:cs="宋体"/>
          <w:b/>
          <w:bCs/>
          <w:color w:val="auto"/>
          <w:sz w:val="28"/>
          <w:szCs w:val="28"/>
          <w:highlight w:val="none"/>
          <w:lang w:val="en-US" w:eastAsia="zh-CN"/>
        </w:rPr>
      </w:pPr>
    </w:p>
    <w:p>
      <w:pPr>
        <w:pageBreakBefore w:val="0"/>
        <w:wordWrap/>
        <w:topLinePunct w:val="0"/>
        <w:bidi w:val="0"/>
        <w:spacing w:line="360" w:lineRule="auto"/>
        <w:jc w:val="center"/>
        <w:outlineLvl w:val="9"/>
        <w:rPr>
          <w:rFonts w:hint="eastAsia" w:ascii="宋体" w:hAnsi="宋体" w:eastAsia="宋体" w:cs="宋体"/>
          <w:b/>
          <w:bCs/>
          <w:color w:val="auto"/>
          <w:sz w:val="28"/>
          <w:szCs w:val="28"/>
          <w:highlight w:val="none"/>
          <w:lang w:val="en-US" w:eastAsia="zh-CN"/>
        </w:rPr>
      </w:pPr>
    </w:p>
    <w:p>
      <w:pPr>
        <w:pageBreakBefore w:val="0"/>
        <w:wordWrap/>
        <w:topLinePunct w:val="0"/>
        <w:bidi w:val="0"/>
        <w:spacing w:line="360" w:lineRule="auto"/>
        <w:jc w:val="center"/>
        <w:outlineLvl w:val="9"/>
        <w:rPr>
          <w:rFonts w:hint="eastAsia" w:ascii="宋体" w:hAnsi="宋体" w:eastAsia="宋体" w:cs="宋体"/>
          <w:b/>
          <w:bCs/>
          <w:color w:val="auto"/>
          <w:sz w:val="28"/>
          <w:szCs w:val="28"/>
          <w:highlight w:val="none"/>
          <w:lang w:val="en-US" w:eastAsia="zh-CN"/>
        </w:rPr>
      </w:pPr>
    </w:p>
    <w:p>
      <w:pPr>
        <w:pageBreakBefore w:val="0"/>
        <w:wordWrap/>
        <w:topLinePunct w:val="0"/>
        <w:bidi w:val="0"/>
        <w:spacing w:line="360" w:lineRule="auto"/>
        <w:jc w:val="center"/>
        <w:outlineLvl w:val="9"/>
        <w:rPr>
          <w:rFonts w:hint="eastAsia" w:ascii="宋体" w:hAnsi="宋体" w:eastAsia="宋体" w:cs="宋体"/>
          <w:b/>
          <w:bCs/>
          <w:color w:val="auto"/>
          <w:sz w:val="28"/>
          <w:szCs w:val="28"/>
          <w:highlight w:val="none"/>
          <w:lang w:val="en-US" w:eastAsia="zh-CN"/>
        </w:rPr>
      </w:pPr>
    </w:p>
    <w:p>
      <w:pPr>
        <w:pageBreakBefore w:val="0"/>
        <w:wordWrap/>
        <w:topLinePunct w:val="0"/>
        <w:bidi w:val="0"/>
        <w:spacing w:line="360" w:lineRule="auto"/>
        <w:jc w:val="center"/>
        <w:outlineLvl w:val="9"/>
        <w:rPr>
          <w:rFonts w:hint="eastAsia" w:ascii="宋体" w:hAnsi="宋体" w:eastAsia="宋体" w:cs="宋体"/>
          <w:b/>
          <w:bCs/>
          <w:color w:val="auto"/>
          <w:sz w:val="28"/>
          <w:szCs w:val="28"/>
          <w:highlight w:val="none"/>
          <w:lang w:val="en-US" w:eastAsia="zh-CN"/>
        </w:rPr>
      </w:pPr>
    </w:p>
    <w:p>
      <w:pPr>
        <w:pageBreakBefore w:val="0"/>
        <w:wordWrap/>
        <w:topLinePunct w:val="0"/>
        <w:bidi w:val="0"/>
        <w:spacing w:line="360" w:lineRule="auto"/>
        <w:jc w:val="center"/>
        <w:outlineLvl w:val="9"/>
        <w:rPr>
          <w:rFonts w:hint="eastAsia" w:ascii="宋体" w:hAnsi="宋体" w:eastAsia="宋体" w:cs="宋体"/>
          <w:b/>
          <w:bCs/>
          <w:color w:val="auto"/>
          <w:sz w:val="28"/>
          <w:szCs w:val="28"/>
          <w:highlight w:val="none"/>
          <w:lang w:val="en-US" w:eastAsia="zh-CN"/>
        </w:rPr>
      </w:pPr>
    </w:p>
    <w:p>
      <w:pPr>
        <w:pageBreakBefore w:val="0"/>
        <w:wordWrap/>
        <w:topLinePunct w:val="0"/>
        <w:bidi w:val="0"/>
        <w:spacing w:line="360" w:lineRule="auto"/>
        <w:jc w:val="center"/>
        <w:outlineLvl w:val="9"/>
        <w:rPr>
          <w:rFonts w:hint="eastAsia" w:ascii="宋体" w:hAnsi="宋体" w:eastAsia="宋体" w:cs="宋体"/>
          <w:b/>
          <w:bCs/>
          <w:color w:val="auto"/>
          <w:sz w:val="28"/>
          <w:szCs w:val="28"/>
          <w:highlight w:val="none"/>
          <w:lang w:val="en-US" w:eastAsia="zh-CN"/>
        </w:rPr>
      </w:pPr>
    </w:p>
    <w:p>
      <w:pPr>
        <w:pageBreakBefore w:val="0"/>
        <w:wordWrap/>
        <w:topLinePunct w:val="0"/>
        <w:bidi w:val="0"/>
        <w:spacing w:line="360" w:lineRule="auto"/>
        <w:jc w:val="center"/>
        <w:outlineLvl w:val="9"/>
        <w:rPr>
          <w:rFonts w:hint="eastAsia" w:ascii="宋体" w:hAnsi="宋体" w:eastAsia="宋体" w:cs="宋体"/>
          <w:b/>
          <w:bCs/>
          <w:color w:val="auto"/>
          <w:sz w:val="28"/>
          <w:szCs w:val="28"/>
          <w:highlight w:val="none"/>
          <w:lang w:val="en-US" w:eastAsia="zh-CN"/>
        </w:rPr>
      </w:pPr>
    </w:p>
    <w:p>
      <w:pPr>
        <w:pageBreakBefore w:val="0"/>
        <w:wordWrap/>
        <w:topLinePunct w:val="0"/>
        <w:bidi w:val="0"/>
        <w:spacing w:line="360" w:lineRule="auto"/>
        <w:jc w:val="center"/>
        <w:outlineLvl w:val="9"/>
        <w:rPr>
          <w:rFonts w:hint="eastAsia" w:ascii="宋体" w:hAnsi="宋体" w:eastAsia="宋体" w:cs="宋体"/>
          <w:b/>
          <w:bCs/>
          <w:color w:val="auto"/>
          <w:sz w:val="28"/>
          <w:szCs w:val="28"/>
          <w:highlight w:val="none"/>
          <w:lang w:val="en-US" w:eastAsia="zh-CN"/>
        </w:rPr>
      </w:pPr>
    </w:p>
    <w:p>
      <w:pPr>
        <w:pageBreakBefore w:val="0"/>
        <w:wordWrap/>
        <w:topLinePunct w:val="0"/>
        <w:bidi w:val="0"/>
        <w:spacing w:line="360" w:lineRule="auto"/>
        <w:jc w:val="center"/>
        <w:outlineLvl w:val="9"/>
        <w:rPr>
          <w:rFonts w:hint="eastAsia" w:ascii="宋体" w:hAnsi="宋体" w:eastAsia="宋体" w:cs="宋体"/>
          <w:b/>
          <w:bCs/>
          <w:color w:val="auto"/>
          <w:sz w:val="28"/>
          <w:szCs w:val="28"/>
          <w:highlight w:val="none"/>
          <w:lang w:val="en-US" w:eastAsia="zh-CN"/>
        </w:rPr>
      </w:pPr>
    </w:p>
    <w:p>
      <w:pPr>
        <w:pageBreakBefore w:val="0"/>
        <w:wordWrap/>
        <w:topLinePunct w:val="0"/>
        <w:bidi w:val="0"/>
        <w:spacing w:line="360" w:lineRule="auto"/>
        <w:jc w:val="center"/>
        <w:outlineLvl w:val="9"/>
        <w:rPr>
          <w:rFonts w:hint="eastAsia" w:ascii="宋体" w:hAnsi="宋体" w:eastAsia="宋体" w:cs="宋体"/>
          <w:b/>
          <w:bCs/>
          <w:color w:val="auto"/>
          <w:sz w:val="28"/>
          <w:szCs w:val="28"/>
          <w:highlight w:val="none"/>
          <w:lang w:val="en-US" w:eastAsia="zh-CN"/>
        </w:rPr>
      </w:pPr>
    </w:p>
    <w:p>
      <w:pPr>
        <w:pageBreakBefore w:val="0"/>
        <w:wordWrap/>
        <w:topLinePunct w:val="0"/>
        <w:bidi w:val="0"/>
        <w:spacing w:line="360" w:lineRule="auto"/>
        <w:jc w:val="center"/>
        <w:outlineLvl w:val="9"/>
        <w:rPr>
          <w:rFonts w:hint="eastAsia" w:ascii="宋体" w:hAnsi="宋体" w:eastAsia="宋体" w:cs="宋体"/>
          <w:b/>
          <w:bCs/>
          <w:color w:val="auto"/>
          <w:sz w:val="28"/>
          <w:szCs w:val="28"/>
          <w:highlight w:val="none"/>
          <w:lang w:val="en-US" w:eastAsia="zh-CN"/>
        </w:rPr>
      </w:pPr>
    </w:p>
    <w:p>
      <w:pPr>
        <w:keepNext/>
        <w:keepLines/>
        <w:pageBreakBefore w:val="0"/>
        <w:numPr>
          <w:ilvl w:val="0"/>
          <w:numId w:val="0"/>
        </w:numPr>
        <w:kinsoku/>
        <w:wordWrap/>
        <w:overflowPunct/>
        <w:topLinePunct w:val="0"/>
        <w:bidi w:val="0"/>
        <w:spacing w:beforeAutospacing="0" w:afterAutospacing="0" w:line="360" w:lineRule="auto"/>
        <w:jc w:val="center"/>
        <w:textAlignment w:val="auto"/>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五、项目管理机构</w:t>
      </w:r>
    </w:p>
    <w:p>
      <w:pPr>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eastAsia="zh-CN"/>
        </w:rPr>
        <w:t>项目管理机构组成表</w:t>
      </w:r>
    </w:p>
    <w:tbl>
      <w:tblPr>
        <w:tblStyle w:val="26"/>
        <w:tblW w:w="94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129"/>
        <w:gridCol w:w="1411"/>
        <w:gridCol w:w="1410"/>
        <w:gridCol w:w="987"/>
        <w:gridCol w:w="987"/>
        <w:gridCol w:w="1284"/>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vAlign w:val="center"/>
          </w:tcPr>
          <w:p>
            <w:pPr>
              <w:pageBreakBefore w:val="0"/>
              <w:wordWrap/>
              <w:topLinePunct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职务</w:t>
            </w:r>
          </w:p>
        </w:tc>
        <w:tc>
          <w:tcPr>
            <w:tcW w:w="1129" w:type="dxa"/>
            <w:vMerge w:val="restart"/>
            <w:vAlign w:val="center"/>
          </w:tcPr>
          <w:p>
            <w:pPr>
              <w:pageBreakBefore w:val="0"/>
              <w:wordWrap/>
              <w:topLinePunct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姓名</w:t>
            </w:r>
          </w:p>
        </w:tc>
        <w:tc>
          <w:tcPr>
            <w:tcW w:w="1411" w:type="dxa"/>
            <w:vMerge w:val="restart"/>
            <w:vAlign w:val="center"/>
          </w:tcPr>
          <w:p>
            <w:pPr>
              <w:pageBreakBefore w:val="0"/>
              <w:wordWrap/>
              <w:topLinePunct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职称</w:t>
            </w:r>
          </w:p>
        </w:tc>
        <w:tc>
          <w:tcPr>
            <w:tcW w:w="4668" w:type="dxa"/>
            <w:gridSpan w:val="4"/>
            <w:vAlign w:val="center"/>
          </w:tcPr>
          <w:p>
            <w:pPr>
              <w:pageBreakBefore w:val="0"/>
              <w:wordWrap/>
              <w:topLinePunct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执业资格</w:t>
            </w:r>
          </w:p>
        </w:tc>
        <w:tc>
          <w:tcPr>
            <w:tcW w:w="1183" w:type="dxa"/>
            <w:vMerge w:val="restart"/>
            <w:vAlign w:val="center"/>
          </w:tcPr>
          <w:p>
            <w:pPr>
              <w:pageBreakBefore w:val="0"/>
              <w:wordWrap/>
              <w:topLinePunct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vAlign w:val="center"/>
          </w:tcPr>
          <w:p>
            <w:pPr>
              <w:pageBreakBefore w:val="0"/>
              <w:wordWrap/>
              <w:topLinePunct w:val="0"/>
              <w:bidi w:val="0"/>
              <w:spacing w:line="360" w:lineRule="auto"/>
              <w:jc w:val="center"/>
              <w:rPr>
                <w:rFonts w:hint="eastAsia" w:ascii="宋体" w:hAnsi="宋体" w:eastAsia="宋体" w:cs="宋体"/>
                <w:sz w:val="28"/>
                <w:szCs w:val="28"/>
              </w:rPr>
            </w:pPr>
          </w:p>
        </w:tc>
        <w:tc>
          <w:tcPr>
            <w:tcW w:w="1129" w:type="dxa"/>
            <w:vMerge w:val="continue"/>
            <w:vAlign w:val="center"/>
          </w:tcPr>
          <w:p>
            <w:pPr>
              <w:pageBreakBefore w:val="0"/>
              <w:wordWrap/>
              <w:topLinePunct w:val="0"/>
              <w:bidi w:val="0"/>
              <w:spacing w:line="360" w:lineRule="auto"/>
              <w:jc w:val="center"/>
              <w:rPr>
                <w:rFonts w:hint="eastAsia" w:ascii="宋体" w:hAnsi="宋体" w:eastAsia="宋体" w:cs="宋体"/>
                <w:sz w:val="28"/>
                <w:szCs w:val="28"/>
              </w:rPr>
            </w:pPr>
          </w:p>
        </w:tc>
        <w:tc>
          <w:tcPr>
            <w:tcW w:w="1411" w:type="dxa"/>
            <w:vMerge w:val="continue"/>
            <w:vAlign w:val="center"/>
          </w:tcPr>
          <w:p>
            <w:pPr>
              <w:pageBreakBefore w:val="0"/>
              <w:wordWrap/>
              <w:topLinePunct w:val="0"/>
              <w:bidi w:val="0"/>
              <w:spacing w:line="360" w:lineRule="auto"/>
              <w:jc w:val="center"/>
              <w:rPr>
                <w:rFonts w:hint="eastAsia" w:ascii="宋体" w:hAnsi="宋体" w:eastAsia="宋体" w:cs="宋体"/>
                <w:sz w:val="28"/>
                <w:szCs w:val="28"/>
              </w:rPr>
            </w:pPr>
          </w:p>
        </w:tc>
        <w:tc>
          <w:tcPr>
            <w:tcW w:w="1410" w:type="dxa"/>
            <w:vAlign w:val="center"/>
          </w:tcPr>
          <w:p>
            <w:pPr>
              <w:pageBreakBefore w:val="0"/>
              <w:wordWrap/>
              <w:topLinePunct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证书名称</w:t>
            </w:r>
          </w:p>
        </w:tc>
        <w:tc>
          <w:tcPr>
            <w:tcW w:w="987" w:type="dxa"/>
            <w:vAlign w:val="center"/>
          </w:tcPr>
          <w:p>
            <w:pPr>
              <w:pageBreakBefore w:val="0"/>
              <w:wordWrap/>
              <w:topLinePunct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级别</w:t>
            </w:r>
          </w:p>
        </w:tc>
        <w:tc>
          <w:tcPr>
            <w:tcW w:w="987" w:type="dxa"/>
            <w:vAlign w:val="center"/>
          </w:tcPr>
          <w:p>
            <w:pPr>
              <w:pageBreakBefore w:val="0"/>
              <w:wordWrap/>
              <w:topLinePunct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证号</w:t>
            </w:r>
          </w:p>
        </w:tc>
        <w:tc>
          <w:tcPr>
            <w:tcW w:w="1284" w:type="dxa"/>
            <w:vAlign w:val="center"/>
          </w:tcPr>
          <w:p>
            <w:pPr>
              <w:pageBreakBefore w:val="0"/>
              <w:wordWrap/>
              <w:topLinePunct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专业</w:t>
            </w:r>
          </w:p>
        </w:tc>
        <w:tc>
          <w:tcPr>
            <w:tcW w:w="1183" w:type="dxa"/>
            <w:vMerge w:val="continue"/>
            <w:vAlign w:val="center"/>
          </w:tcPr>
          <w:p>
            <w:pPr>
              <w:pageBreakBefore w:val="0"/>
              <w:wordWrap/>
              <w:topLinePunct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pageBreakBefore w:val="0"/>
              <w:wordWrap/>
              <w:topLinePunct w:val="0"/>
              <w:bidi w:val="0"/>
              <w:spacing w:line="360" w:lineRule="auto"/>
              <w:jc w:val="center"/>
              <w:rPr>
                <w:rFonts w:hint="eastAsia" w:ascii="宋体" w:hAnsi="宋体" w:eastAsia="宋体" w:cs="宋体"/>
                <w:sz w:val="28"/>
                <w:szCs w:val="28"/>
              </w:rPr>
            </w:pPr>
          </w:p>
        </w:tc>
        <w:tc>
          <w:tcPr>
            <w:tcW w:w="1129" w:type="dxa"/>
            <w:vAlign w:val="center"/>
          </w:tcPr>
          <w:p>
            <w:pPr>
              <w:pageBreakBefore w:val="0"/>
              <w:wordWrap/>
              <w:topLinePunct w:val="0"/>
              <w:bidi w:val="0"/>
              <w:spacing w:line="360" w:lineRule="auto"/>
              <w:jc w:val="center"/>
              <w:rPr>
                <w:rFonts w:hint="eastAsia" w:ascii="宋体" w:hAnsi="宋体" w:eastAsia="宋体" w:cs="宋体"/>
                <w:sz w:val="28"/>
                <w:szCs w:val="28"/>
              </w:rPr>
            </w:pPr>
          </w:p>
        </w:tc>
        <w:tc>
          <w:tcPr>
            <w:tcW w:w="1411" w:type="dxa"/>
            <w:vAlign w:val="center"/>
          </w:tcPr>
          <w:p>
            <w:pPr>
              <w:pageBreakBefore w:val="0"/>
              <w:wordWrap/>
              <w:topLinePunct w:val="0"/>
              <w:bidi w:val="0"/>
              <w:spacing w:line="360" w:lineRule="auto"/>
              <w:jc w:val="center"/>
              <w:rPr>
                <w:rFonts w:hint="eastAsia" w:ascii="宋体" w:hAnsi="宋体" w:eastAsia="宋体" w:cs="宋体"/>
                <w:sz w:val="28"/>
                <w:szCs w:val="28"/>
              </w:rPr>
            </w:pPr>
          </w:p>
        </w:tc>
        <w:tc>
          <w:tcPr>
            <w:tcW w:w="1410" w:type="dxa"/>
            <w:vAlign w:val="center"/>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center"/>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center"/>
          </w:tcPr>
          <w:p>
            <w:pPr>
              <w:pageBreakBefore w:val="0"/>
              <w:wordWrap/>
              <w:topLinePunct w:val="0"/>
              <w:bidi w:val="0"/>
              <w:spacing w:line="360" w:lineRule="auto"/>
              <w:jc w:val="center"/>
              <w:rPr>
                <w:rFonts w:hint="eastAsia" w:ascii="宋体" w:hAnsi="宋体" w:eastAsia="宋体" w:cs="宋体"/>
                <w:sz w:val="28"/>
                <w:szCs w:val="28"/>
              </w:rPr>
            </w:pPr>
          </w:p>
        </w:tc>
        <w:tc>
          <w:tcPr>
            <w:tcW w:w="1284" w:type="dxa"/>
            <w:vAlign w:val="center"/>
          </w:tcPr>
          <w:p>
            <w:pPr>
              <w:pageBreakBefore w:val="0"/>
              <w:wordWrap/>
              <w:topLinePunct w:val="0"/>
              <w:bidi w:val="0"/>
              <w:spacing w:line="360" w:lineRule="auto"/>
              <w:jc w:val="center"/>
              <w:rPr>
                <w:rFonts w:hint="eastAsia" w:ascii="宋体" w:hAnsi="宋体" w:eastAsia="宋体" w:cs="宋体"/>
                <w:sz w:val="28"/>
                <w:szCs w:val="28"/>
              </w:rPr>
            </w:pPr>
          </w:p>
        </w:tc>
        <w:tc>
          <w:tcPr>
            <w:tcW w:w="1183" w:type="dxa"/>
            <w:vAlign w:val="center"/>
          </w:tcPr>
          <w:p>
            <w:pPr>
              <w:pageBreakBefore w:val="0"/>
              <w:wordWrap/>
              <w:topLinePunct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29"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1"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0"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28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83" w:type="dxa"/>
            <w:vAlign w:val="top"/>
          </w:tcPr>
          <w:p>
            <w:pPr>
              <w:pageBreakBefore w:val="0"/>
              <w:wordWrap/>
              <w:topLinePunct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29"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1"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0"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28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83" w:type="dxa"/>
            <w:vAlign w:val="top"/>
          </w:tcPr>
          <w:p>
            <w:pPr>
              <w:pageBreakBefore w:val="0"/>
              <w:wordWrap/>
              <w:topLinePunct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29"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1"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0"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28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83" w:type="dxa"/>
            <w:vAlign w:val="top"/>
          </w:tcPr>
          <w:p>
            <w:pPr>
              <w:pageBreakBefore w:val="0"/>
              <w:wordWrap/>
              <w:topLinePunct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29"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1"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0"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28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83" w:type="dxa"/>
            <w:vAlign w:val="top"/>
          </w:tcPr>
          <w:p>
            <w:pPr>
              <w:pageBreakBefore w:val="0"/>
              <w:wordWrap/>
              <w:topLinePunct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29"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1"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0"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28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83" w:type="dxa"/>
            <w:vAlign w:val="top"/>
          </w:tcPr>
          <w:p>
            <w:pPr>
              <w:pageBreakBefore w:val="0"/>
              <w:wordWrap/>
              <w:topLinePunct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29"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1"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0"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28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83" w:type="dxa"/>
            <w:vAlign w:val="top"/>
          </w:tcPr>
          <w:p>
            <w:pPr>
              <w:pageBreakBefore w:val="0"/>
              <w:wordWrap/>
              <w:topLinePunct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29"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1"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0"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28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83" w:type="dxa"/>
            <w:vAlign w:val="top"/>
          </w:tcPr>
          <w:p>
            <w:pPr>
              <w:pageBreakBefore w:val="0"/>
              <w:wordWrap/>
              <w:topLinePunct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29"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1"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410"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987"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284" w:type="dxa"/>
            <w:vAlign w:val="top"/>
          </w:tcPr>
          <w:p>
            <w:pPr>
              <w:pageBreakBefore w:val="0"/>
              <w:wordWrap/>
              <w:topLinePunct w:val="0"/>
              <w:bidi w:val="0"/>
              <w:spacing w:line="360" w:lineRule="auto"/>
              <w:jc w:val="center"/>
              <w:rPr>
                <w:rFonts w:hint="eastAsia" w:ascii="宋体" w:hAnsi="宋体" w:eastAsia="宋体" w:cs="宋体"/>
                <w:sz w:val="28"/>
                <w:szCs w:val="28"/>
              </w:rPr>
            </w:pPr>
          </w:p>
        </w:tc>
        <w:tc>
          <w:tcPr>
            <w:tcW w:w="1183" w:type="dxa"/>
            <w:vAlign w:val="top"/>
          </w:tcPr>
          <w:p>
            <w:pPr>
              <w:pageBreakBefore w:val="0"/>
              <w:wordWrap/>
              <w:topLinePunct w:val="0"/>
              <w:bidi w:val="0"/>
              <w:spacing w:line="360" w:lineRule="auto"/>
              <w:jc w:val="center"/>
              <w:rPr>
                <w:rFonts w:hint="eastAsia" w:ascii="宋体" w:hAnsi="宋体" w:eastAsia="宋体" w:cs="宋体"/>
                <w:sz w:val="28"/>
                <w:szCs w:val="28"/>
              </w:rPr>
            </w:pPr>
          </w:p>
        </w:tc>
      </w:tr>
    </w:tbl>
    <w:p>
      <w:pPr>
        <w:pageBreakBefore w:val="0"/>
        <w:wordWrap/>
        <w:topLinePunct w:val="0"/>
        <w:bidi w:val="0"/>
        <w:spacing w:line="360" w:lineRule="auto"/>
        <w:rPr>
          <w:rFonts w:hint="eastAsia" w:ascii="宋体" w:hAnsi="宋体" w:eastAsia="宋体" w:cs="宋体"/>
          <w:sz w:val="28"/>
          <w:szCs w:val="28"/>
        </w:rPr>
      </w:pPr>
    </w:p>
    <w:p>
      <w:pPr>
        <w:pageBreakBefore w:val="0"/>
        <w:wordWrap/>
        <w:topLinePunct w:val="0"/>
        <w:bidi w:val="0"/>
        <w:spacing w:line="360" w:lineRule="auto"/>
        <w:rPr>
          <w:rFonts w:hint="eastAsia" w:ascii="宋体" w:hAnsi="宋体" w:eastAsia="宋体" w:cs="宋体"/>
          <w:sz w:val="28"/>
          <w:szCs w:val="28"/>
        </w:rPr>
      </w:pPr>
    </w:p>
    <w:p>
      <w:pPr>
        <w:pageBreakBefore w:val="0"/>
        <w:wordWrap/>
        <w:topLinePunct w:val="0"/>
        <w:bidi w:val="0"/>
        <w:spacing w:line="360" w:lineRule="auto"/>
        <w:rPr>
          <w:rFonts w:hint="eastAsia" w:ascii="宋体" w:hAnsi="宋体" w:eastAsia="宋体" w:cs="宋体"/>
          <w:sz w:val="28"/>
          <w:szCs w:val="28"/>
        </w:rPr>
      </w:pPr>
    </w:p>
    <w:p>
      <w:pPr>
        <w:pageBreakBefore w:val="0"/>
        <w:wordWrap/>
        <w:topLinePunct w:val="0"/>
        <w:bidi w:val="0"/>
        <w:spacing w:line="360" w:lineRule="auto"/>
        <w:ind w:firstLine="4800"/>
        <w:rPr>
          <w:rFonts w:hint="eastAsia" w:ascii="宋体" w:hAnsi="宋体" w:eastAsia="宋体" w:cs="宋体"/>
          <w:bCs/>
          <w:sz w:val="28"/>
          <w:szCs w:val="28"/>
        </w:rPr>
      </w:pPr>
    </w:p>
    <w:p>
      <w:pPr>
        <w:pageBreakBefore w:val="0"/>
        <w:wordWrap/>
        <w:topLinePunct w:val="0"/>
        <w:bidi w:val="0"/>
        <w:spacing w:line="360" w:lineRule="auto"/>
        <w:ind w:firstLine="4800"/>
        <w:rPr>
          <w:rFonts w:hint="eastAsia" w:ascii="宋体" w:hAnsi="宋体" w:eastAsia="宋体" w:cs="宋体"/>
          <w:bCs/>
          <w:sz w:val="28"/>
          <w:szCs w:val="28"/>
        </w:rPr>
      </w:pPr>
    </w:p>
    <w:p>
      <w:pPr>
        <w:pageBreakBefore w:val="0"/>
        <w:kinsoku/>
        <w:wordWrap/>
        <w:overflowPunct/>
        <w:topLinePunct w:val="0"/>
        <w:bidi w:val="0"/>
        <w:spacing w:beforeAutospacing="0" w:afterAutospacing="0" w:line="360" w:lineRule="auto"/>
        <w:ind w:firstLine="3360" w:firstLineChars="1200"/>
        <w:textAlignment w:val="auto"/>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eastAsia="zh-CN"/>
        </w:rPr>
        <w:t>供应商</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（盖章）</w:t>
      </w:r>
    </w:p>
    <w:p>
      <w:pPr>
        <w:pageBreakBefore w:val="0"/>
        <w:kinsoku/>
        <w:wordWrap/>
        <w:overflowPunct/>
        <w:topLinePunct w:val="0"/>
        <w:bidi w:val="0"/>
        <w:spacing w:beforeAutospacing="0" w:afterAutospacing="0" w:line="360" w:lineRule="auto"/>
        <w:ind w:firstLine="5040" w:firstLineChars="1800"/>
        <w:textAlignment w:val="auto"/>
        <w:rPr>
          <w:rFonts w:hint="eastAsia" w:ascii="宋体" w:hAnsi="宋体" w:eastAsia="宋体" w:cs="宋体"/>
          <w:bCs/>
          <w:sz w:val="28"/>
          <w:szCs w:val="28"/>
        </w:rPr>
      </w:pPr>
      <w:r>
        <w:rPr>
          <w:rFonts w:hint="eastAsia" w:ascii="宋体" w:hAnsi="宋体" w:eastAsia="宋体" w:cs="宋体"/>
          <w:bCs/>
          <w:sz w:val="28"/>
          <w:szCs w:val="28"/>
        </w:rPr>
        <w:t>年     月     日</w:t>
      </w:r>
    </w:p>
    <w:p>
      <w:pPr>
        <w:pageBreakBefore w:val="0"/>
        <w:wordWrap/>
        <w:topLinePunct w:val="0"/>
        <w:bidi w:val="0"/>
        <w:spacing w:line="360" w:lineRule="auto"/>
        <w:ind w:firstLine="6319" w:firstLineChars="2257"/>
        <w:rPr>
          <w:rFonts w:hint="eastAsia" w:ascii="宋体" w:hAnsi="宋体" w:eastAsia="宋体" w:cs="宋体"/>
          <w:bCs/>
          <w:sz w:val="28"/>
          <w:szCs w:val="28"/>
        </w:rPr>
      </w:pPr>
    </w:p>
    <w:p>
      <w:pPr>
        <w:pageBreakBefore w:val="0"/>
        <w:kinsoku/>
        <w:wordWrap/>
        <w:overflowPunct/>
        <w:topLinePunct w:val="0"/>
        <w:bidi w:val="0"/>
        <w:spacing w:beforeAutospacing="0" w:afterAutospacing="0" w:line="360" w:lineRule="auto"/>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pPr>
        <w:keepNext/>
        <w:keepLines/>
        <w:pageBreakBefore w:val="0"/>
        <w:numPr>
          <w:ilvl w:val="0"/>
          <w:numId w:val="0"/>
        </w:numPr>
        <w:kinsoku/>
        <w:wordWrap/>
        <w:overflowPunct/>
        <w:topLinePunct w:val="0"/>
        <w:bidi w:val="0"/>
        <w:spacing w:beforeAutospacing="0" w:afterAutospacing="0" w:line="360" w:lineRule="auto"/>
        <w:jc w:val="center"/>
        <w:textAlignment w:val="auto"/>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项目组人员配备情况表</w:t>
      </w:r>
    </w:p>
    <w:p>
      <w:pPr>
        <w:pageBreakBefore w:val="0"/>
        <w:wordWrap/>
        <w:topLinePunct w:val="0"/>
        <w:autoSpaceDE w:val="0"/>
        <w:autoSpaceDN w:val="0"/>
        <w:bidi w:val="0"/>
        <w:spacing w:line="360" w:lineRule="auto"/>
        <w:rPr>
          <w:rFonts w:hint="eastAsia" w:ascii="宋体" w:hAnsi="宋体" w:eastAsia="宋体" w:cs="宋体"/>
          <w:sz w:val="28"/>
          <w:szCs w:val="28"/>
        </w:rPr>
      </w:pPr>
      <w:r>
        <w:rPr>
          <w:rFonts w:hint="eastAsia" w:ascii="宋体" w:hAnsi="宋体" w:eastAsia="宋体" w:cs="宋体"/>
          <w:sz w:val="28"/>
          <w:szCs w:val="28"/>
        </w:rPr>
        <w:t>采购项目编号:</w:t>
      </w:r>
      <w:r>
        <w:rPr>
          <w:rFonts w:hint="eastAsia" w:ascii="宋体" w:hAnsi="宋体" w:eastAsia="宋体" w:cs="宋体"/>
          <w:sz w:val="28"/>
          <w:szCs w:val="28"/>
          <w:u w:val="single"/>
        </w:rPr>
        <w:t xml:space="preserve">                 </w:t>
      </w:r>
    </w:p>
    <w:p>
      <w:pPr>
        <w:pageBreakBefore w:val="0"/>
        <w:wordWrap/>
        <w:topLinePunct w:val="0"/>
        <w:autoSpaceDE w:val="0"/>
        <w:autoSpaceDN w:val="0"/>
        <w:bidi w:val="0"/>
        <w:spacing w:line="360" w:lineRule="auto"/>
        <w:rPr>
          <w:rFonts w:hint="eastAsia" w:ascii="宋体" w:hAnsi="宋体" w:eastAsia="宋体" w:cs="宋体"/>
          <w:sz w:val="28"/>
          <w:szCs w:val="28"/>
          <w:u w:val="single"/>
        </w:rPr>
      </w:pPr>
      <w:r>
        <w:rPr>
          <w:rFonts w:hint="eastAsia" w:ascii="宋体" w:hAnsi="宋体" w:eastAsia="宋体" w:cs="宋体"/>
          <w:sz w:val="28"/>
          <w:szCs w:val="28"/>
        </w:rPr>
        <w:t>采购项目名称:</w:t>
      </w:r>
      <w:r>
        <w:rPr>
          <w:rFonts w:hint="eastAsia" w:ascii="宋体" w:hAnsi="宋体" w:eastAsia="宋体" w:cs="宋体"/>
          <w:sz w:val="28"/>
          <w:szCs w:val="28"/>
          <w:u w:val="single"/>
        </w:rPr>
        <w:t xml:space="preserve">                 </w:t>
      </w:r>
    </w:p>
    <w:tbl>
      <w:tblPr>
        <w:tblStyle w:val="26"/>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50"/>
        <w:gridCol w:w="851"/>
        <w:gridCol w:w="1255"/>
        <w:gridCol w:w="948"/>
        <w:gridCol w:w="948"/>
        <w:gridCol w:w="818"/>
        <w:gridCol w:w="1078"/>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Merge w:val="restart"/>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p>
            <w:pPr>
              <w:pageBreakBefore w:val="0"/>
              <w:wordWrap/>
              <w:topLinePunct w:val="0"/>
              <w:autoSpaceDE w:val="0"/>
              <w:autoSpaceDN w:val="0"/>
              <w:bidi w:val="0"/>
              <w:spacing w:line="360" w:lineRule="auto"/>
              <w:rPr>
                <w:rFonts w:hint="eastAsia" w:ascii="宋体" w:hAnsi="宋体" w:eastAsia="宋体" w:cs="宋体"/>
                <w:sz w:val="28"/>
                <w:szCs w:val="28"/>
              </w:rPr>
            </w:pPr>
            <w:r>
              <w:rPr>
                <w:rFonts w:hint="eastAsia" w:ascii="宋体" w:hAnsi="宋体" w:eastAsia="宋体" w:cs="宋体"/>
                <w:sz w:val="28"/>
                <w:szCs w:val="28"/>
              </w:rPr>
              <w:t>职务</w:t>
            </w:r>
          </w:p>
        </w:tc>
        <w:tc>
          <w:tcPr>
            <w:tcW w:w="850" w:type="dxa"/>
            <w:vMerge w:val="restart"/>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p>
            <w:pPr>
              <w:pageBreakBefore w:val="0"/>
              <w:wordWrap/>
              <w:topLinePunct w:val="0"/>
              <w:autoSpaceDE w:val="0"/>
              <w:autoSpaceDN w:val="0"/>
              <w:bidi w:val="0"/>
              <w:spacing w:line="360" w:lineRule="auto"/>
              <w:rPr>
                <w:rFonts w:hint="eastAsia" w:ascii="宋体" w:hAnsi="宋体" w:eastAsia="宋体" w:cs="宋体"/>
                <w:sz w:val="28"/>
                <w:szCs w:val="28"/>
              </w:rPr>
            </w:pPr>
            <w:r>
              <w:rPr>
                <w:rFonts w:hint="eastAsia" w:ascii="宋体" w:hAnsi="宋体" w:eastAsia="宋体" w:cs="宋体"/>
                <w:sz w:val="28"/>
                <w:szCs w:val="28"/>
              </w:rPr>
              <w:t>姓名</w:t>
            </w:r>
          </w:p>
        </w:tc>
        <w:tc>
          <w:tcPr>
            <w:tcW w:w="851" w:type="dxa"/>
            <w:vMerge w:val="restart"/>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p>
            <w:pPr>
              <w:pageBreakBefore w:val="0"/>
              <w:wordWrap/>
              <w:topLinePunct w:val="0"/>
              <w:autoSpaceDE w:val="0"/>
              <w:autoSpaceDN w:val="0"/>
              <w:bidi w:val="0"/>
              <w:spacing w:line="360" w:lineRule="auto"/>
              <w:rPr>
                <w:rFonts w:hint="eastAsia" w:ascii="宋体" w:hAnsi="宋体" w:eastAsia="宋体" w:cs="宋体"/>
                <w:sz w:val="28"/>
                <w:szCs w:val="28"/>
              </w:rPr>
            </w:pPr>
            <w:r>
              <w:rPr>
                <w:rFonts w:hint="eastAsia" w:ascii="宋体" w:hAnsi="宋体" w:eastAsia="宋体" w:cs="宋体"/>
                <w:sz w:val="28"/>
                <w:szCs w:val="28"/>
              </w:rPr>
              <w:t>职称</w:t>
            </w:r>
          </w:p>
        </w:tc>
        <w:tc>
          <w:tcPr>
            <w:tcW w:w="3969" w:type="dxa"/>
            <w:gridSpan w:val="4"/>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执业或职业资格证明</w:t>
            </w:r>
          </w:p>
        </w:tc>
        <w:tc>
          <w:tcPr>
            <w:tcW w:w="2906" w:type="dxa"/>
            <w:gridSpan w:val="2"/>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r>
              <w:rPr>
                <w:rFonts w:hint="eastAsia" w:ascii="宋体" w:hAnsi="宋体" w:eastAsia="宋体" w:cs="宋体"/>
                <w:sz w:val="28"/>
                <w:szCs w:val="28"/>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Merge w:val="continue"/>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0" w:type="dxa"/>
            <w:vMerge w:val="continue"/>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1" w:type="dxa"/>
            <w:vMerge w:val="continue"/>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255"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证书</w:t>
            </w:r>
          </w:p>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名称</w:t>
            </w: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r>
              <w:rPr>
                <w:rFonts w:hint="eastAsia" w:ascii="宋体" w:hAnsi="宋体" w:eastAsia="宋体" w:cs="宋体"/>
                <w:sz w:val="28"/>
                <w:szCs w:val="28"/>
              </w:rPr>
              <w:t>级别</w:t>
            </w: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r>
              <w:rPr>
                <w:rFonts w:hint="eastAsia" w:ascii="宋体" w:hAnsi="宋体" w:eastAsia="宋体" w:cs="宋体"/>
                <w:sz w:val="28"/>
                <w:szCs w:val="28"/>
              </w:rPr>
              <w:t>证号</w:t>
            </w:r>
          </w:p>
        </w:tc>
        <w:tc>
          <w:tcPr>
            <w:tcW w:w="81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r>
              <w:rPr>
                <w:rFonts w:hint="eastAsia" w:ascii="宋体" w:hAnsi="宋体" w:eastAsia="宋体" w:cs="宋体"/>
                <w:sz w:val="28"/>
                <w:szCs w:val="28"/>
              </w:rPr>
              <w:t>专业</w:t>
            </w:r>
          </w:p>
        </w:tc>
        <w:tc>
          <w:tcPr>
            <w:tcW w:w="1078"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项目</w:t>
            </w:r>
          </w:p>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数</w:t>
            </w:r>
          </w:p>
        </w:tc>
        <w:tc>
          <w:tcPr>
            <w:tcW w:w="1828"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主要项目</w:t>
            </w:r>
          </w:p>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0"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1"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255"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1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07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82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2"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0"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1"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255"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1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07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82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0"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1"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255"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1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07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82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0"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1"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255"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1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07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82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0"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1"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255"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1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07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82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2"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0"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1"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255"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1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07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82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0"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1"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255"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1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07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82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0"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51"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255"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94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81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07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828"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08" w:type="dxa"/>
            <w:gridSpan w:val="9"/>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r>
              <w:rPr>
                <w:rFonts w:hint="eastAsia" w:ascii="宋体" w:hAnsi="宋体" w:eastAsia="宋体" w:cs="宋体"/>
                <w:sz w:val="28"/>
                <w:szCs w:val="28"/>
              </w:rPr>
              <w:t>一旦我单位中标，将实行项目经理负责制，并配备上述项目管理机构。我方保证上述填了内容真实，若不真实，愿按有关规定接受处理。项目管理班子</w:t>
            </w:r>
          </w:p>
          <w:p>
            <w:pPr>
              <w:pageBreakBefore w:val="0"/>
              <w:wordWrap/>
              <w:topLinePunct w:val="0"/>
              <w:autoSpaceDE w:val="0"/>
              <w:autoSpaceDN w:val="0"/>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机构设置、职责分工等情况另附资料说明</w:t>
            </w:r>
            <w:r>
              <w:rPr>
                <w:rFonts w:hint="eastAsia" w:ascii="宋体" w:hAnsi="宋体" w:eastAsia="宋体" w:cs="宋体"/>
                <w:sz w:val="28"/>
                <w:szCs w:val="28"/>
                <w:lang w:eastAsia="zh-CN"/>
              </w:rPr>
              <w:t>。</w:t>
            </w:r>
          </w:p>
        </w:tc>
      </w:tr>
    </w:tbl>
    <w:p>
      <w:pPr>
        <w:pageBreakBefore w:val="0"/>
        <w:wordWrap/>
        <w:topLinePunct w:val="0"/>
        <w:autoSpaceDE w:val="0"/>
        <w:autoSpaceDN w:val="0"/>
        <w:bidi w:val="0"/>
        <w:spacing w:line="360" w:lineRule="auto"/>
        <w:rPr>
          <w:rFonts w:hint="eastAsia" w:ascii="宋体" w:hAnsi="宋体" w:eastAsia="宋体" w:cs="宋体"/>
          <w:sz w:val="28"/>
          <w:szCs w:val="28"/>
        </w:rPr>
      </w:pPr>
      <w:r>
        <w:rPr>
          <w:rFonts w:hint="eastAsia" w:ascii="宋体" w:hAnsi="宋体" w:eastAsia="宋体" w:cs="宋体"/>
          <w:sz w:val="28"/>
          <w:szCs w:val="28"/>
        </w:rPr>
        <w:t>说明：要求持证上岗的专业技术人员需提供资格证书清晰扫描件。</w:t>
      </w:r>
    </w:p>
    <w:p>
      <w:pPr>
        <w:pageBreakBefore w:val="0"/>
        <w:wordWrap/>
        <w:topLinePunct w:val="0"/>
        <w:autoSpaceDE w:val="0"/>
        <w:autoSpaceDN w:val="0"/>
        <w:bidi w:val="0"/>
        <w:spacing w:line="360" w:lineRule="auto"/>
        <w:rPr>
          <w:rFonts w:hint="eastAsia" w:ascii="宋体" w:hAnsi="宋体" w:eastAsia="宋体" w:cs="宋体"/>
          <w:sz w:val="28"/>
          <w:szCs w:val="28"/>
        </w:rPr>
      </w:pPr>
    </w:p>
    <w:p>
      <w:pPr>
        <w:pageBreakBefore w:val="0"/>
        <w:kinsoku/>
        <w:wordWrap/>
        <w:overflowPunct/>
        <w:topLinePunct w:val="0"/>
        <w:bidi w:val="0"/>
        <w:spacing w:beforeAutospacing="0" w:afterAutospacing="0" w:line="360" w:lineRule="auto"/>
        <w:ind w:firstLine="3360" w:firstLineChars="1200"/>
        <w:textAlignment w:val="auto"/>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eastAsia="zh-CN"/>
        </w:rPr>
        <w:t>供应商</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（盖章）</w:t>
      </w:r>
    </w:p>
    <w:p>
      <w:pPr>
        <w:pageBreakBefore w:val="0"/>
        <w:kinsoku/>
        <w:wordWrap/>
        <w:overflowPunct/>
        <w:topLinePunct w:val="0"/>
        <w:bidi w:val="0"/>
        <w:spacing w:beforeAutospacing="0" w:afterAutospacing="0" w:line="360" w:lineRule="auto"/>
        <w:ind w:firstLine="4200" w:firstLineChars="1500"/>
        <w:textAlignment w:val="auto"/>
        <w:rPr>
          <w:rFonts w:hint="eastAsia" w:ascii="宋体" w:hAnsi="宋体" w:eastAsia="宋体" w:cs="宋体"/>
          <w:bCs/>
          <w:sz w:val="28"/>
          <w:szCs w:val="28"/>
        </w:rPr>
      </w:pPr>
      <w:r>
        <w:rPr>
          <w:rFonts w:hint="eastAsia" w:ascii="宋体" w:hAnsi="宋体" w:eastAsia="宋体" w:cs="宋体"/>
          <w:bCs/>
          <w:sz w:val="28"/>
          <w:szCs w:val="28"/>
        </w:rPr>
        <w:t>年     月     日</w:t>
      </w:r>
    </w:p>
    <w:p>
      <w:pPr>
        <w:pageBreakBefore w:val="0"/>
        <w:wordWrap/>
        <w:topLinePunct w:val="0"/>
        <w:bidi w:val="0"/>
        <w:spacing w:line="360" w:lineRule="auto"/>
        <w:rPr>
          <w:rFonts w:hint="eastAsia" w:ascii="宋体" w:hAnsi="宋体" w:eastAsia="宋体" w:cs="宋体"/>
          <w:sz w:val="28"/>
          <w:szCs w:val="28"/>
        </w:rPr>
      </w:pPr>
    </w:p>
    <w:p>
      <w:pPr>
        <w:pageBreakBefore w:val="0"/>
        <w:wordWrap/>
        <w:topLinePunct w:val="0"/>
        <w:bidi w:val="0"/>
        <w:spacing w:line="360" w:lineRule="auto"/>
        <w:rPr>
          <w:rFonts w:hint="eastAsia" w:ascii="宋体" w:hAnsi="宋体" w:eastAsia="宋体" w:cs="宋体"/>
          <w:b/>
          <w:sz w:val="28"/>
          <w:szCs w:val="28"/>
        </w:rPr>
      </w:pPr>
      <w:r>
        <w:rPr>
          <w:rFonts w:hint="eastAsia" w:ascii="宋体" w:hAnsi="宋体" w:eastAsia="宋体" w:cs="宋体"/>
          <w:b/>
          <w:sz w:val="28"/>
          <w:szCs w:val="28"/>
        </w:rPr>
        <w:br w:type="page"/>
      </w:r>
    </w:p>
    <w:p>
      <w:pPr>
        <w:keepNext/>
        <w:keepLines/>
        <w:pageBreakBefore w:val="0"/>
        <w:numPr>
          <w:ilvl w:val="0"/>
          <w:numId w:val="0"/>
        </w:numPr>
        <w:kinsoku/>
        <w:wordWrap/>
        <w:overflowPunct/>
        <w:topLinePunct w:val="0"/>
        <w:bidi w:val="0"/>
        <w:spacing w:beforeAutospacing="0" w:afterAutospacing="0" w:line="360" w:lineRule="auto"/>
        <w:jc w:val="center"/>
        <w:textAlignment w:val="auto"/>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项目负责人简历表</w:t>
      </w:r>
    </w:p>
    <w:p>
      <w:pPr>
        <w:pageBreakBefore w:val="0"/>
        <w:wordWrap/>
        <w:topLinePunct w:val="0"/>
        <w:autoSpaceDE w:val="0"/>
        <w:autoSpaceDN w:val="0"/>
        <w:bidi w:val="0"/>
        <w:spacing w:line="360" w:lineRule="auto"/>
        <w:rPr>
          <w:rFonts w:hint="eastAsia" w:ascii="宋体" w:hAnsi="宋体" w:eastAsia="宋体" w:cs="宋体"/>
          <w:sz w:val="28"/>
          <w:szCs w:val="28"/>
        </w:rPr>
      </w:pPr>
      <w:r>
        <w:rPr>
          <w:rFonts w:hint="eastAsia" w:ascii="宋体" w:hAnsi="宋体" w:eastAsia="宋体" w:cs="宋体"/>
          <w:sz w:val="28"/>
          <w:szCs w:val="28"/>
        </w:rPr>
        <w:t>采购项目编号:</w:t>
      </w:r>
      <w:r>
        <w:rPr>
          <w:rFonts w:hint="eastAsia" w:ascii="宋体" w:hAnsi="宋体" w:eastAsia="宋体" w:cs="宋体"/>
          <w:sz w:val="28"/>
          <w:szCs w:val="28"/>
          <w:u w:val="single"/>
        </w:rPr>
        <w:t xml:space="preserve">                 </w:t>
      </w:r>
    </w:p>
    <w:p>
      <w:pPr>
        <w:pageBreakBefore w:val="0"/>
        <w:wordWrap/>
        <w:topLinePunct w:val="0"/>
        <w:autoSpaceDE w:val="0"/>
        <w:autoSpaceDN w:val="0"/>
        <w:bidi w:val="0"/>
        <w:spacing w:line="360" w:lineRule="auto"/>
        <w:rPr>
          <w:rFonts w:hint="eastAsia" w:ascii="宋体" w:hAnsi="宋体" w:eastAsia="宋体" w:cs="宋体"/>
          <w:sz w:val="28"/>
          <w:szCs w:val="28"/>
          <w:u w:val="single"/>
        </w:rPr>
      </w:pPr>
      <w:r>
        <w:rPr>
          <w:rFonts w:hint="eastAsia" w:ascii="宋体" w:hAnsi="宋体" w:eastAsia="宋体" w:cs="宋体"/>
          <w:sz w:val="28"/>
          <w:szCs w:val="28"/>
        </w:rPr>
        <w:t>采购项目名称:</w:t>
      </w:r>
      <w:r>
        <w:rPr>
          <w:rFonts w:hint="eastAsia" w:ascii="宋体" w:hAnsi="宋体" w:eastAsia="宋体" w:cs="宋体"/>
          <w:sz w:val="28"/>
          <w:szCs w:val="28"/>
          <w:u w:val="single"/>
        </w:rPr>
        <w:t xml:space="preserve">                 </w:t>
      </w: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10"/>
        <w:gridCol w:w="711"/>
        <w:gridCol w:w="1422"/>
        <w:gridCol w:w="1421"/>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姓名</w:t>
            </w:r>
          </w:p>
        </w:tc>
        <w:tc>
          <w:tcPr>
            <w:tcW w:w="1421" w:type="dxa"/>
            <w:gridSpan w:val="2"/>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性别</w:t>
            </w:r>
          </w:p>
        </w:tc>
        <w:tc>
          <w:tcPr>
            <w:tcW w:w="1421"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年龄</w:t>
            </w:r>
          </w:p>
        </w:tc>
        <w:tc>
          <w:tcPr>
            <w:tcW w:w="1422"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职务</w:t>
            </w:r>
          </w:p>
        </w:tc>
        <w:tc>
          <w:tcPr>
            <w:tcW w:w="1421" w:type="dxa"/>
            <w:gridSpan w:val="2"/>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职称</w:t>
            </w:r>
          </w:p>
        </w:tc>
        <w:tc>
          <w:tcPr>
            <w:tcW w:w="1421"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学历</w:t>
            </w:r>
          </w:p>
        </w:tc>
        <w:tc>
          <w:tcPr>
            <w:tcW w:w="1422"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参加工作时间</w:t>
            </w:r>
          </w:p>
        </w:tc>
        <w:tc>
          <w:tcPr>
            <w:tcW w:w="2133"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2843"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担任项目经理年限</w:t>
            </w:r>
          </w:p>
        </w:tc>
        <w:tc>
          <w:tcPr>
            <w:tcW w:w="1422" w:type="dxa"/>
            <w:shd w:val="clear" w:color="auto" w:fill="auto"/>
            <w:vAlign w:val="top"/>
          </w:tcPr>
          <w:p>
            <w:pPr>
              <w:pageBreakBefore w:val="0"/>
              <w:wordWrap/>
              <w:topLinePunct w:val="0"/>
              <w:autoSpaceDE w:val="0"/>
              <w:autoSpaceDN w:val="0"/>
              <w:bidi w:val="0"/>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8" w:type="dxa"/>
            <w:gridSpan w:val="7"/>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建设单位</w:t>
            </w:r>
          </w:p>
        </w:tc>
        <w:tc>
          <w:tcPr>
            <w:tcW w:w="1421"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建设规模</w:t>
            </w:r>
          </w:p>
        </w:tc>
        <w:tc>
          <w:tcPr>
            <w:tcW w:w="1421"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开、竣工日期</w:t>
            </w: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在建或</w:t>
            </w:r>
          </w:p>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已完</w:t>
            </w: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gridSpan w:val="2"/>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1"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c>
          <w:tcPr>
            <w:tcW w:w="1422" w:type="dxa"/>
            <w:shd w:val="clear" w:color="auto" w:fill="auto"/>
            <w:vAlign w:val="top"/>
          </w:tcPr>
          <w:p>
            <w:pPr>
              <w:pageBreakBefore w:val="0"/>
              <w:wordWrap/>
              <w:topLinePunct w:val="0"/>
              <w:autoSpaceDE w:val="0"/>
              <w:autoSpaceDN w:val="0"/>
              <w:bidi w:val="0"/>
              <w:spacing w:line="360" w:lineRule="auto"/>
              <w:jc w:val="center"/>
              <w:rPr>
                <w:rFonts w:hint="eastAsia" w:ascii="宋体" w:hAnsi="宋体" w:eastAsia="宋体" w:cs="宋体"/>
                <w:sz w:val="28"/>
                <w:szCs w:val="28"/>
              </w:rPr>
            </w:pPr>
          </w:p>
        </w:tc>
      </w:tr>
    </w:tbl>
    <w:p>
      <w:pPr>
        <w:pageBreakBefore w:val="0"/>
        <w:wordWrap/>
        <w:topLinePunct w:val="0"/>
        <w:autoSpaceDE w:val="0"/>
        <w:autoSpaceDN w:val="0"/>
        <w:bidi w:val="0"/>
        <w:spacing w:line="360" w:lineRule="auto"/>
        <w:jc w:val="left"/>
        <w:rPr>
          <w:rFonts w:hint="eastAsia" w:ascii="宋体" w:hAnsi="宋体" w:eastAsia="宋体" w:cs="宋体"/>
          <w:sz w:val="28"/>
          <w:szCs w:val="28"/>
        </w:rPr>
      </w:pPr>
      <w:r>
        <w:rPr>
          <w:rFonts w:hint="eastAsia" w:ascii="宋体" w:hAnsi="宋体" w:eastAsia="宋体" w:cs="宋体"/>
          <w:sz w:val="28"/>
          <w:szCs w:val="28"/>
        </w:rPr>
        <w:t>注：表后应附有关证明材料。</w:t>
      </w:r>
    </w:p>
    <w:p>
      <w:pPr>
        <w:keepNext/>
        <w:keepLines/>
        <w:pageBreakBefore w:val="0"/>
        <w:numPr>
          <w:ilvl w:val="0"/>
          <w:numId w:val="0"/>
        </w:numPr>
        <w:kinsoku/>
        <w:wordWrap/>
        <w:overflowPunct/>
        <w:topLinePunct w:val="0"/>
        <w:bidi w:val="0"/>
        <w:spacing w:beforeAutospacing="0" w:afterAutospacing="0" w:line="360" w:lineRule="auto"/>
        <w:jc w:val="center"/>
        <w:textAlignment w:val="auto"/>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项目管理机构配备情况辅助说明资料</w:t>
      </w:r>
    </w:p>
    <w:p>
      <w:pPr>
        <w:pageBreakBefore w:val="0"/>
        <w:wordWrap/>
        <w:topLinePunct w:val="0"/>
        <w:autoSpaceDE w:val="0"/>
        <w:autoSpaceDN w:val="0"/>
        <w:bidi w:val="0"/>
        <w:spacing w:line="360" w:lineRule="auto"/>
        <w:rPr>
          <w:rFonts w:hint="eastAsia" w:ascii="宋体" w:hAnsi="宋体" w:eastAsia="宋体" w:cs="宋体"/>
          <w:sz w:val="28"/>
          <w:szCs w:val="28"/>
        </w:rPr>
      </w:pPr>
      <w:r>
        <w:rPr>
          <w:rFonts w:hint="eastAsia" w:ascii="宋体" w:hAnsi="宋体" w:eastAsia="宋体" w:cs="宋体"/>
          <w:sz w:val="28"/>
          <w:szCs w:val="28"/>
        </w:rPr>
        <w:t>采购项目编号:</w:t>
      </w:r>
      <w:r>
        <w:rPr>
          <w:rFonts w:hint="eastAsia" w:ascii="宋体" w:hAnsi="宋体" w:eastAsia="宋体" w:cs="宋体"/>
          <w:sz w:val="28"/>
          <w:szCs w:val="28"/>
          <w:u w:val="single"/>
        </w:rPr>
        <w:t xml:space="preserve">                 </w:t>
      </w:r>
    </w:p>
    <w:p>
      <w:pPr>
        <w:pageBreakBefore w:val="0"/>
        <w:wordWrap/>
        <w:topLinePunct w:val="0"/>
        <w:autoSpaceDE w:val="0"/>
        <w:autoSpaceDN w:val="0"/>
        <w:bidi w:val="0"/>
        <w:spacing w:line="360" w:lineRule="auto"/>
        <w:rPr>
          <w:rFonts w:hint="eastAsia" w:ascii="宋体" w:hAnsi="宋体" w:eastAsia="宋体" w:cs="宋体"/>
          <w:sz w:val="28"/>
          <w:szCs w:val="28"/>
          <w:u w:val="single"/>
        </w:rPr>
      </w:pPr>
      <w:r>
        <w:rPr>
          <w:rFonts w:hint="eastAsia" w:ascii="宋体" w:hAnsi="宋体" w:eastAsia="宋体" w:cs="宋体"/>
          <w:sz w:val="28"/>
          <w:szCs w:val="28"/>
        </w:rPr>
        <w:t>采购项目名称:</w:t>
      </w:r>
      <w:r>
        <w:rPr>
          <w:rFonts w:hint="eastAsia" w:ascii="宋体" w:hAnsi="宋体" w:eastAsia="宋体" w:cs="宋体"/>
          <w:sz w:val="28"/>
          <w:szCs w:val="28"/>
          <w:u w:val="single"/>
        </w:rPr>
        <w:t xml:space="preserve">                 </w:t>
      </w:r>
    </w:p>
    <w:tbl>
      <w:tblPr>
        <w:tblStyle w:val="2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8" w:hRule="atLeast"/>
        </w:trPr>
        <w:tc>
          <w:tcPr>
            <w:tcW w:w="8528" w:type="dxa"/>
            <w:shd w:val="clear" w:color="auto" w:fill="auto"/>
            <w:vAlign w:val="top"/>
          </w:tcPr>
          <w:p>
            <w:pPr>
              <w:pageBreakBefore w:val="0"/>
              <w:wordWrap/>
              <w:topLinePunct w:val="0"/>
              <w:bidi w:val="0"/>
              <w:adjustRightInd w:val="0"/>
              <w:snapToGrid w:val="0"/>
              <w:spacing w:line="360" w:lineRule="auto"/>
              <w:rPr>
                <w:rFonts w:hint="eastAsia" w:ascii="宋体" w:hAnsi="宋体" w:eastAsia="宋体" w:cs="宋体"/>
                <w:sz w:val="28"/>
                <w:szCs w:val="28"/>
              </w:rPr>
            </w:pPr>
          </w:p>
        </w:tc>
      </w:tr>
    </w:tbl>
    <w:p>
      <w:pPr>
        <w:pageBreakBefore w:val="0"/>
        <w:wordWrap/>
        <w:topLinePunct w:val="0"/>
        <w:bidi w:val="0"/>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注：1、辅助说明资料主要包括管理机构的机构析机构设置、职责分工、有关复印证明资料以及供应商认为有必要提供的资料。辅助说明资料格式不做统一规定，由供应商自行设计。 </w:t>
      </w:r>
    </w:p>
    <w:p>
      <w:pPr>
        <w:pageBreakBefore w:val="0"/>
        <w:wordWrap/>
        <w:topLinePunct w:val="0"/>
        <w:bidi w:val="0"/>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2、项目管理班子配备情况辅助说明资料可另附（与本响应文件一起装订）。</w:t>
      </w:r>
    </w:p>
    <w:p>
      <w:pPr>
        <w:pageBreakBefore w:val="0"/>
        <w:kinsoku/>
        <w:wordWrap/>
        <w:overflowPunct/>
        <w:topLinePunct w:val="0"/>
        <w:bidi w:val="0"/>
        <w:spacing w:before="0" w:beforeLines="0" w:beforeAutospacing="0" w:after="0" w:afterLines="0" w:afterAutospacing="0" w:line="360" w:lineRule="auto"/>
        <w:ind w:firstLine="3200" w:firstLineChars="1000"/>
        <w:textAlignment w:val="auto"/>
        <w:outlineLvl w:val="9"/>
        <w:rPr>
          <w:rFonts w:hint="eastAsia" w:ascii="宋体" w:hAnsi="宋体" w:eastAsia="宋体" w:cs="宋体"/>
          <w:b/>
          <w:bCs/>
          <w:color w:val="auto"/>
          <w:sz w:val="32"/>
          <w:szCs w:val="32"/>
          <w:highlight w:val="none"/>
          <w:lang w:val="en-US" w:eastAsia="zh-CN"/>
        </w:rPr>
      </w:pPr>
    </w:p>
    <w:p>
      <w:pPr>
        <w:pageBreakBefore w:val="0"/>
        <w:kinsoku/>
        <w:wordWrap/>
        <w:overflowPunct/>
        <w:topLinePunct w:val="0"/>
        <w:bidi w:val="0"/>
        <w:spacing w:before="0" w:beforeLines="0" w:beforeAutospacing="0" w:after="0" w:afterLines="0" w:afterAutospacing="0" w:line="360" w:lineRule="auto"/>
        <w:ind w:firstLine="3200" w:firstLineChars="1000"/>
        <w:textAlignment w:val="auto"/>
        <w:outlineLvl w:val="9"/>
        <w:rPr>
          <w:rFonts w:hint="eastAsia" w:ascii="宋体" w:hAnsi="宋体" w:eastAsia="宋体" w:cs="宋体"/>
          <w:b/>
          <w:bCs/>
          <w:color w:val="auto"/>
          <w:sz w:val="32"/>
          <w:szCs w:val="32"/>
          <w:highlight w:val="none"/>
          <w:lang w:val="en-US" w:eastAsia="zh-CN"/>
        </w:rPr>
      </w:pPr>
    </w:p>
    <w:p>
      <w:pPr>
        <w:pageBreakBefore w:val="0"/>
        <w:kinsoku/>
        <w:wordWrap/>
        <w:overflowPunct/>
        <w:topLinePunct w:val="0"/>
        <w:bidi w:val="0"/>
        <w:spacing w:before="0" w:beforeLines="0" w:beforeAutospacing="0" w:after="0" w:afterLines="0" w:afterAutospacing="0" w:line="360" w:lineRule="auto"/>
        <w:ind w:firstLine="3200" w:firstLineChars="1000"/>
        <w:textAlignment w:val="auto"/>
        <w:outlineLvl w:val="9"/>
        <w:rPr>
          <w:rFonts w:hint="eastAsia" w:ascii="宋体" w:hAnsi="宋体" w:eastAsia="宋体" w:cs="宋体"/>
          <w:b/>
          <w:bCs/>
          <w:color w:val="auto"/>
          <w:sz w:val="32"/>
          <w:szCs w:val="32"/>
          <w:highlight w:val="none"/>
          <w:lang w:val="en-US" w:eastAsia="zh-CN"/>
        </w:rPr>
      </w:pPr>
    </w:p>
    <w:p>
      <w:pPr>
        <w:pageBreakBefore w:val="0"/>
        <w:kinsoku/>
        <w:wordWrap/>
        <w:overflowPunct/>
        <w:topLinePunct w:val="0"/>
        <w:bidi w:val="0"/>
        <w:spacing w:before="0" w:beforeLines="0" w:beforeAutospacing="0" w:after="0" w:afterLines="0" w:afterAutospacing="0" w:line="360" w:lineRule="auto"/>
        <w:ind w:firstLine="3200" w:firstLineChars="1000"/>
        <w:textAlignment w:val="auto"/>
        <w:outlineLvl w:val="9"/>
        <w:rPr>
          <w:rFonts w:hint="eastAsia" w:ascii="宋体" w:hAnsi="宋体" w:eastAsia="宋体" w:cs="宋体"/>
          <w:b/>
          <w:bCs/>
          <w:color w:val="auto"/>
          <w:sz w:val="32"/>
          <w:szCs w:val="32"/>
          <w:highlight w:val="none"/>
          <w:lang w:val="en-US" w:eastAsia="zh-CN"/>
        </w:rPr>
      </w:pPr>
    </w:p>
    <w:p>
      <w:pPr>
        <w:pageBreakBefore w:val="0"/>
        <w:kinsoku/>
        <w:wordWrap/>
        <w:overflowPunct/>
        <w:topLinePunct w:val="0"/>
        <w:bidi w:val="0"/>
        <w:spacing w:before="0" w:beforeLines="0" w:beforeAutospacing="0" w:after="0" w:afterLines="0" w:afterAutospacing="0" w:line="360" w:lineRule="auto"/>
        <w:ind w:firstLine="3200" w:firstLineChars="1000"/>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资格证明文件</w:t>
      </w:r>
    </w:p>
    <w:p>
      <w:pPr>
        <w:pageBreakBefore w:val="0"/>
        <w:kinsoku/>
        <w:wordWrap/>
        <w:overflowPunct/>
        <w:topLinePunct w:val="0"/>
        <w:bidi w:val="0"/>
        <w:spacing w:before="0" w:beforeLines="0" w:beforeAutospacing="0" w:after="0" w:afterLines="0" w:afterAutospacing="0" w:line="360" w:lineRule="auto"/>
        <w:ind w:firstLine="480" w:firstLineChars="200"/>
        <w:textAlignment w:val="auto"/>
        <w:outlineLvl w:val="9"/>
        <w:rPr>
          <w:rFonts w:hint="eastAsia" w:ascii="宋体" w:hAnsi="宋体" w:eastAsia="宋体" w:cs="宋体"/>
          <w:color w:val="auto"/>
          <w:sz w:val="24"/>
          <w:szCs w:val="24"/>
          <w:highlight w:val="none"/>
        </w:rPr>
      </w:pPr>
      <w:bookmarkStart w:id="1213" w:name="_Toc515647805"/>
      <w:bookmarkStart w:id="1214" w:name="_Toc29899"/>
      <w:bookmarkStart w:id="1215" w:name="_Toc17577"/>
      <w:bookmarkStart w:id="1216" w:name="_Toc2582310"/>
      <w:bookmarkStart w:id="1217" w:name="_Toc532473496"/>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法人或者非法人组织的营业执照等证明文件</w:t>
      </w:r>
      <w:bookmarkEnd w:id="1213"/>
      <w:bookmarkStart w:id="1218" w:name="_Toc515647806"/>
      <w:r>
        <w:rPr>
          <w:rFonts w:hint="eastAsia" w:ascii="宋体" w:hAnsi="宋体" w:eastAsia="宋体" w:cs="宋体"/>
          <w:color w:val="auto"/>
          <w:sz w:val="24"/>
          <w:szCs w:val="24"/>
          <w:highlight w:val="none"/>
        </w:rPr>
        <w:t>或自然人的身份证明</w:t>
      </w:r>
      <w:bookmarkEnd w:id="1214"/>
      <w:bookmarkEnd w:id="1215"/>
      <w:bookmarkEnd w:id="1216"/>
      <w:bookmarkEnd w:id="1217"/>
      <w:bookmarkEnd w:id="1218"/>
    </w:p>
    <w:p>
      <w:pPr>
        <w:pStyle w:val="13"/>
        <w:pageBreakBefore w:val="0"/>
        <w:tabs>
          <w:tab w:val="left" w:pos="5580"/>
        </w:tabs>
        <w:kinsoku/>
        <w:wordWrap/>
        <w:overflowPunct/>
        <w:topLinePunct w:val="0"/>
        <w:bidi w:val="0"/>
        <w:spacing w:beforeAutospacing="0" w:afterAutospacing="0" w:line="360" w:lineRule="auto"/>
        <w:ind w:left="1259" w:leftChars="257" w:hanging="540"/>
        <w:jc w:val="center"/>
        <w:textAlignment w:val="auto"/>
        <w:outlineLvl w:val="9"/>
        <w:rPr>
          <w:rFonts w:hint="eastAsia" w:ascii="宋体" w:hAnsi="宋体" w:eastAsia="宋体" w:cs="宋体"/>
          <w:b/>
          <w:color w:val="auto"/>
          <w:sz w:val="24"/>
          <w:szCs w:val="24"/>
          <w:highlight w:val="none"/>
          <w:lang w:eastAsia="zh-CN"/>
        </w:rPr>
      </w:pPr>
    </w:p>
    <w:p>
      <w:pPr>
        <w:pStyle w:val="13"/>
        <w:pageBreakBefore w:val="0"/>
        <w:tabs>
          <w:tab w:val="left" w:pos="5580"/>
        </w:tabs>
        <w:kinsoku/>
        <w:wordWrap/>
        <w:overflowPunct/>
        <w:topLinePunct w:val="0"/>
        <w:bidi w:val="0"/>
        <w:spacing w:beforeAutospacing="0" w:afterAutospacing="0" w:line="360" w:lineRule="auto"/>
        <w:ind w:left="1259" w:leftChars="257" w:hanging="540"/>
        <w:textAlignment w:val="auto"/>
        <w:outlineLvl w:val="9"/>
        <w:rPr>
          <w:rFonts w:hint="eastAsia" w:ascii="宋体" w:hAnsi="宋体" w:eastAsia="宋体" w:cs="宋体"/>
          <w:b/>
          <w:color w:val="auto"/>
          <w:sz w:val="24"/>
          <w:szCs w:val="24"/>
          <w:highlight w:val="none"/>
          <w:lang w:eastAsia="zh-CN"/>
        </w:rPr>
      </w:pPr>
    </w:p>
    <w:p>
      <w:pPr>
        <w:pStyle w:val="13"/>
        <w:pageBreakBefore w:val="0"/>
        <w:tabs>
          <w:tab w:val="left" w:pos="5580"/>
        </w:tabs>
        <w:kinsoku/>
        <w:wordWrap/>
        <w:overflowPunct/>
        <w:topLinePunct w:val="0"/>
        <w:bidi w:val="0"/>
        <w:spacing w:beforeAutospacing="0" w:afterAutospacing="0" w:line="360" w:lineRule="auto"/>
        <w:ind w:left="1259" w:leftChars="257" w:hanging="540"/>
        <w:textAlignment w:val="auto"/>
        <w:outlineLvl w:val="9"/>
        <w:rPr>
          <w:rFonts w:hint="eastAsia" w:ascii="宋体" w:hAnsi="宋体" w:eastAsia="宋体" w:cs="宋体"/>
          <w:b/>
          <w:color w:val="auto"/>
          <w:sz w:val="24"/>
          <w:szCs w:val="24"/>
          <w:highlight w:val="none"/>
          <w:lang w:eastAsia="zh-CN"/>
        </w:rPr>
      </w:pPr>
    </w:p>
    <w:p>
      <w:pPr>
        <w:pStyle w:val="13"/>
        <w:pageBreakBefore w:val="0"/>
        <w:tabs>
          <w:tab w:val="left" w:pos="5580"/>
        </w:tabs>
        <w:kinsoku/>
        <w:wordWrap/>
        <w:overflowPunct/>
        <w:topLinePunct w:val="0"/>
        <w:bidi w:val="0"/>
        <w:spacing w:beforeAutospacing="0" w:afterAutospacing="0" w:line="360" w:lineRule="auto"/>
        <w:textAlignment w:val="auto"/>
        <w:outlineLvl w:val="9"/>
        <w:rPr>
          <w:rFonts w:hint="eastAsia" w:ascii="宋体" w:hAnsi="宋体" w:eastAsia="宋体" w:cs="宋体"/>
          <w:color w:val="auto"/>
          <w:sz w:val="24"/>
          <w:szCs w:val="24"/>
          <w:highlight w:val="none"/>
          <w:lang w:eastAsia="zh-CN"/>
        </w:rPr>
      </w:pPr>
    </w:p>
    <w:p>
      <w:pPr>
        <w:pStyle w:val="13"/>
        <w:pageBreakBefore w:val="0"/>
        <w:tabs>
          <w:tab w:val="left" w:pos="5580"/>
        </w:tabs>
        <w:kinsoku/>
        <w:wordWrap/>
        <w:overflowPunct/>
        <w:topLinePunct w:val="0"/>
        <w:bidi w:val="0"/>
        <w:spacing w:beforeAutospacing="0" w:afterAutospacing="0" w:line="360" w:lineRule="auto"/>
        <w:textAlignment w:val="auto"/>
        <w:outlineLvl w:val="9"/>
        <w:rPr>
          <w:rFonts w:hint="eastAsia" w:ascii="宋体" w:hAnsi="宋体" w:eastAsia="宋体" w:cs="宋体"/>
          <w:color w:val="auto"/>
          <w:sz w:val="24"/>
          <w:szCs w:val="24"/>
          <w:highlight w:val="none"/>
          <w:lang w:eastAsia="zh-CN"/>
        </w:rPr>
      </w:pPr>
    </w:p>
    <w:p>
      <w:pPr>
        <w:pStyle w:val="13"/>
        <w:pageBreakBefore w:val="0"/>
        <w:tabs>
          <w:tab w:val="left" w:pos="5580"/>
        </w:tabs>
        <w:kinsoku/>
        <w:wordWrap/>
        <w:overflowPunct/>
        <w:topLinePunct w:val="0"/>
        <w:bidi w:val="0"/>
        <w:spacing w:beforeAutospacing="0" w:afterAutospacing="0" w:line="360" w:lineRule="auto"/>
        <w:textAlignment w:val="auto"/>
        <w:outlineLvl w:val="9"/>
        <w:rPr>
          <w:rFonts w:hint="eastAsia" w:ascii="宋体" w:hAnsi="宋体" w:eastAsia="宋体" w:cs="宋体"/>
          <w:color w:val="auto"/>
          <w:sz w:val="24"/>
          <w:szCs w:val="24"/>
          <w:highlight w:val="none"/>
          <w:lang w:eastAsia="zh-CN"/>
        </w:rPr>
      </w:pPr>
    </w:p>
    <w:p>
      <w:pPr>
        <w:pStyle w:val="13"/>
        <w:pageBreakBefore w:val="0"/>
        <w:tabs>
          <w:tab w:val="left" w:pos="5580"/>
        </w:tabs>
        <w:kinsoku/>
        <w:wordWrap/>
        <w:overflowPunct/>
        <w:topLinePunct w:val="0"/>
        <w:bidi w:val="0"/>
        <w:spacing w:beforeAutospacing="0" w:afterAutospacing="0" w:line="360" w:lineRule="auto"/>
        <w:textAlignment w:val="auto"/>
        <w:outlineLvl w:val="9"/>
        <w:rPr>
          <w:rFonts w:hint="eastAsia" w:ascii="宋体" w:hAnsi="宋体" w:eastAsia="宋体" w:cs="宋体"/>
          <w:color w:val="auto"/>
          <w:sz w:val="24"/>
          <w:szCs w:val="24"/>
          <w:highlight w:val="none"/>
          <w:lang w:eastAsia="zh-CN"/>
        </w:rPr>
      </w:pPr>
    </w:p>
    <w:p>
      <w:pPr>
        <w:pStyle w:val="13"/>
        <w:pageBreakBefore w:val="0"/>
        <w:tabs>
          <w:tab w:val="left" w:pos="5580"/>
        </w:tabs>
        <w:kinsoku/>
        <w:wordWrap/>
        <w:overflowPunct/>
        <w:topLinePunct w:val="0"/>
        <w:bidi w:val="0"/>
        <w:spacing w:beforeAutospacing="0" w:afterAutospacing="0" w:line="360" w:lineRule="auto"/>
        <w:textAlignment w:val="auto"/>
        <w:outlineLvl w:val="9"/>
        <w:rPr>
          <w:rFonts w:hint="eastAsia" w:ascii="宋体" w:hAnsi="宋体" w:eastAsia="宋体" w:cs="宋体"/>
          <w:color w:val="auto"/>
          <w:sz w:val="24"/>
          <w:szCs w:val="24"/>
          <w:highlight w:val="none"/>
          <w:lang w:eastAsia="zh-CN"/>
        </w:rPr>
      </w:pPr>
    </w:p>
    <w:p>
      <w:pPr>
        <w:pStyle w:val="13"/>
        <w:pageBreakBefore w:val="0"/>
        <w:tabs>
          <w:tab w:val="left" w:pos="5580"/>
        </w:tabs>
        <w:kinsoku/>
        <w:wordWrap/>
        <w:overflowPunct/>
        <w:topLinePunct w:val="0"/>
        <w:bidi w:val="0"/>
        <w:spacing w:beforeAutospacing="0" w:afterAutospacing="0" w:line="360" w:lineRule="auto"/>
        <w:textAlignment w:val="auto"/>
        <w:outlineLvl w:val="9"/>
        <w:rPr>
          <w:rFonts w:hint="eastAsia" w:ascii="宋体" w:hAnsi="宋体" w:eastAsia="宋体" w:cs="宋体"/>
          <w:color w:val="auto"/>
          <w:sz w:val="24"/>
          <w:szCs w:val="24"/>
          <w:highlight w:val="none"/>
          <w:lang w:eastAsia="zh-CN"/>
        </w:rPr>
      </w:pPr>
    </w:p>
    <w:p>
      <w:pPr>
        <w:pStyle w:val="13"/>
        <w:pageBreakBefore w:val="0"/>
        <w:tabs>
          <w:tab w:val="left" w:pos="5580"/>
        </w:tabs>
        <w:kinsoku/>
        <w:wordWrap/>
        <w:overflowPunct/>
        <w:topLinePunct w:val="0"/>
        <w:bidi w:val="0"/>
        <w:spacing w:beforeAutospacing="0" w:afterAutospacing="0" w:line="360" w:lineRule="auto"/>
        <w:textAlignment w:val="auto"/>
        <w:outlineLvl w:val="9"/>
        <w:rPr>
          <w:rFonts w:hint="eastAsia" w:ascii="宋体" w:hAnsi="宋体" w:eastAsia="宋体" w:cs="宋体"/>
          <w:color w:val="auto"/>
          <w:sz w:val="24"/>
          <w:szCs w:val="24"/>
          <w:highlight w:val="none"/>
          <w:lang w:eastAsia="zh-CN"/>
        </w:rPr>
      </w:pPr>
    </w:p>
    <w:p>
      <w:pPr>
        <w:pageBreakBefore w:val="0"/>
        <w:kinsoku/>
        <w:wordWrap/>
        <w:overflowPunct/>
        <w:topLinePunct w:val="0"/>
        <w:bidi w:val="0"/>
        <w:spacing w:beforeAutospacing="0" w:afterAutospacing="0"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pPr>
        <w:pStyle w:val="17"/>
        <w:pageBreakBefore w:val="0"/>
        <w:kinsoku/>
        <w:wordWrap/>
        <w:overflowPunct/>
        <w:topLinePunct w:val="0"/>
        <w:bidi w:val="0"/>
        <w:spacing w:before="0" w:beforeLines="0" w:beforeAutospacing="0" w:after="0" w:afterLines="0" w:afterAutospacing="0" w:line="360"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法人</w:t>
      </w:r>
      <w:r>
        <w:rPr>
          <w:rFonts w:hint="eastAsia" w:ascii="宋体" w:hAnsi="宋体" w:eastAsia="宋体" w:cs="宋体"/>
          <w:color w:val="auto"/>
          <w:sz w:val="24"/>
          <w:szCs w:val="24"/>
          <w:highlight w:val="none"/>
          <w:lang w:eastAsia="zh-CN"/>
        </w:rPr>
        <w:t>代表人</w:t>
      </w:r>
      <w:r>
        <w:rPr>
          <w:rFonts w:hint="eastAsia" w:ascii="宋体" w:hAnsi="宋体" w:eastAsia="宋体" w:cs="宋体"/>
          <w:color w:val="auto"/>
          <w:sz w:val="24"/>
          <w:szCs w:val="24"/>
          <w:highlight w:val="none"/>
        </w:rPr>
        <w:t>授权委托书</w:t>
      </w:r>
    </w:p>
    <w:p>
      <w:pPr>
        <w:pageBreakBefore w:val="0"/>
        <w:kinsoku/>
        <w:wordWrap/>
        <w:overflowPunct/>
        <w:topLinePunct w:val="0"/>
        <w:bidi w:val="0"/>
        <w:spacing w:beforeAutospacing="0" w:afterAutospacing="0" w:line="360" w:lineRule="auto"/>
        <w:textAlignment w:val="auto"/>
        <w:outlineLvl w:val="9"/>
        <w:rPr>
          <w:rFonts w:hint="eastAsia" w:ascii="宋体" w:hAnsi="宋体" w:eastAsia="宋体" w:cs="宋体"/>
          <w:b/>
          <w:color w:val="auto"/>
          <w:sz w:val="24"/>
          <w:szCs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采购人</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采购代理机构名称）</w:t>
      </w:r>
    </w:p>
    <w:p>
      <w:pPr>
        <w:pageBreakBefore w:val="0"/>
        <w:kinsoku/>
        <w:wordWrap/>
        <w:overflowPunct/>
        <w:topLinePunct w:val="0"/>
        <w:bidi w:val="0"/>
        <w:spacing w:beforeAutospacing="0" w:afterAutospacing="0" w:line="360" w:lineRule="auto"/>
        <w:ind w:firstLine="64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本授权书声明：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（供应商名称）的</w:t>
      </w:r>
      <w:r>
        <w:rPr>
          <w:rFonts w:hint="eastAsia" w:ascii="宋体" w:hAnsi="宋体" w:eastAsia="宋体" w:cs="宋体"/>
          <w:bCs/>
          <w:color w:val="auto"/>
          <w:sz w:val="24"/>
          <w:szCs w:val="24"/>
          <w:highlight w:val="none"/>
          <w:u w:val="single"/>
        </w:rPr>
        <w:t xml:space="preserve">       （法人代表姓名、职务）</w:t>
      </w:r>
      <w:r>
        <w:rPr>
          <w:rFonts w:hint="eastAsia" w:ascii="宋体" w:hAnsi="宋体" w:eastAsia="宋体" w:cs="宋体"/>
          <w:bCs/>
          <w:color w:val="auto"/>
          <w:sz w:val="24"/>
          <w:szCs w:val="24"/>
          <w:highlight w:val="none"/>
        </w:rPr>
        <w:t>授权</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rPr>
        <w:t>被授权人的姓名、职务）为我方就</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（采购项目名称）</w:t>
      </w:r>
      <w:r>
        <w:rPr>
          <w:rFonts w:hint="eastAsia" w:ascii="宋体" w:hAnsi="宋体" w:eastAsia="宋体" w:cs="宋体"/>
          <w:bCs/>
          <w:color w:val="auto"/>
          <w:sz w:val="24"/>
          <w:szCs w:val="24"/>
          <w:highlight w:val="none"/>
        </w:rPr>
        <w:t>购项目的合法代理人，以我方名义全权处理与该项目有关的一切事务。</w:t>
      </w:r>
    </w:p>
    <w:p>
      <w:pPr>
        <w:pageBreakBefore w:val="0"/>
        <w:kinsoku/>
        <w:wordWrap/>
        <w:overflowPunct/>
        <w:topLinePunct w:val="0"/>
        <w:bidi w:val="0"/>
        <w:spacing w:beforeAutospacing="0" w:afterAutospacing="0" w:line="360" w:lineRule="auto"/>
        <w:ind w:firstLine="64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本授权书于</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日签字生效,特此声明。</w:t>
      </w:r>
    </w:p>
    <w:p>
      <w:pPr>
        <w:pageBreakBefore w:val="0"/>
        <w:kinsoku/>
        <w:wordWrap/>
        <w:overflowPunct/>
        <w:topLinePunct w:val="0"/>
        <w:bidi w:val="0"/>
        <w:spacing w:beforeAutospacing="0" w:afterAutospacing="0" w:line="360" w:lineRule="auto"/>
        <w:ind w:firstLine="645"/>
        <w:textAlignment w:val="auto"/>
        <w:outlineLvl w:val="9"/>
        <w:rPr>
          <w:rFonts w:hint="eastAsia" w:ascii="宋体" w:hAnsi="宋体" w:eastAsia="宋体" w:cs="宋体"/>
          <w:bCs/>
          <w:color w:val="auto"/>
          <w:sz w:val="24"/>
          <w:szCs w:val="24"/>
          <w:highlight w:val="none"/>
        </w:rPr>
      </w:pPr>
    </w:p>
    <w:p>
      <w:pPr>
        <w:pStyle w:val="13"/>
        <w:pageBreakBefore w:val="0"/>
        <w:tabs>
          <w:tab w:val="left" w:pos="5580"/>
        </w:tabs>
        <w:kinsoku/>
        <w:wordWrap/>
        <w:overflowPunct/>
        <w:topLinePunct w:val="0"/>
        <w:bidi w:val="0"/>
        <w:spacing w:beforeAutospacing="0" w:afterAutospacing="0" w:line="360" w:lineRule="auto"/>
        <w:ind w:firstLine="480" w:firstLineChars="200"/>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供应商（盖公章）：</w:t>
      </w:r>
      <w:r>
        <w:rPr>
          <w:rFonts w:hint="eastAsia" w:ascii="宋体" w:hAnsi="宋体" w:eastAsia="宋体" w:cs="宋体"/>
          <w:color w:val="auto"/>
          <w:sz w:val="24"/>
          <w:szCs w:val="24"/>
          <w:highlight w:val="none"/>
          <w:u w:val="single"/>
          <w:lang w:eastAsia="zh-CN"/>
        </w:rPr>
        <w:t xml:space="preserve">                              </w:t>
      </w:r>
    </w:p>
    <w:p>
      <w:pPr>
        <w:pStyle w:val="13"/>
        <w:pageBreakBefore w:val="0"/>
        <w:tabs>
          <w:tab w:val="left" w:pos="5580"/>
        </w:tabs>
        <w:kinsoku/>
        <w:wordWrap/>
        <w:overflowPunct/>
        <w:topLinePunct w:val="0"/>
        <w:bidi w:val="0"/>
        <w:spacing w:beforeAutospacing="0" w:afterAutospacing="0"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color="FFFFFF"/>
          <w:lang w:eastAsia="zh-CN"/>
        </w:rPr>
        <w:t>法定代表人（签字或签章）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pPr>
        <w:pStyle w:val="13"/>
        <w:pageBreakBefore w:val="0"/>
        <w:tabs>
          <w:tab w:val="left" w:pos="5580"/>
        </w:tabs>
        <w:kinsoku/>
        <w:wordWrap/>
        <w:overflowPunct/>
        <w:topLinePunct w:val="0"/>
        <w:bidi w:val="0"/>
        <w:spacing w:beforeAutospacing="0" w:afterAutospacing="0" w:line="360" w:lineRule="auto"/>
        <w:ind w:firstLine="480" w:firstLineChars="200"/>
        <w:textAlignment w:val="auto"/>
        <w:outlineLvl w:val="9"/>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color="EEECE1"/>
          <w:lang w:eastAsia="zh-CN"/>
        </w:rPr>
        <w:t>身份证号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pPr>
        <w:pStyle w:val="13"/>
        <w:pageBreakBefore w:val="0"/>
        <w:tabs>
          <w:tab w:val="left" w:pos="5580"/>
        </w:tabs>
        <w:kinsoku/>
        <w:wordWrap/>
        <w:overflowPunct/>
        <w:topLinePunct w:val="0"/>
        <w:bidi w:val="0"/>
        <w:spacing w:beforeAutospacing="0" w:afterAutospacing="0" w:line="360" w:lineRule="auto"/>
        <w:ind w:firstLine="480" w:firstLineChars="200"/>
        <w:textAlignment w:val="auto"/>
        <w:outlineLvl w:val="9"/>
        <w:rPr>
          <w:rFonts w:hint="eastAsia" w:ascii="宋体" w:hAnsi="宋体" w:eastAsia="宋体" w:cs="宋体"/>
          <w:color w:val="auto"/>
          <w:sz w:val="24"/>
          <w:szCs w:val="24"/>
          <w:highlight w:val="none"/>
          <w:u w:val="single" w:color="FFFFFF"/>
          <w:lang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p>
      <w:pPr>
        <w:pStyle w:val="13"/>
        <w:pageBreakBefore w:val="0"/>
        <w:tabs>
          <w:tab w:val="left" w:pos="5580"/>
        </w:tabs>
        <w:kinsoku/>
        <w:wordWrap/>
        <w:overflowPunct/>
        <w:topLinePunct w:val="0"/>
        <w:bidi w:val="0"/>
        <w:spacing w:beforeAutospacing="0" w:afterAutospacing="0"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u w:val="single" w:color="FFFFFF"/>
          <w:lang w:eastAsia="zh-CN"/>
        </w:rPr>
        <w:t>（签字或签章）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pPr>
        <w:pStyle w:val="13"/>
        <w:pageBreakBefore w:val="0"/>
        <w:tabs>
          <w:tab w:val="left" w:pos="5580"/>
        </w:tabs>
        <w:kinsoku/>
        <w:wordWrap/>
        <w:overflowPunct/>
        <w:topLinePunct w:val="0"/>
        <w:bidi w:val="0"/>
        <w:spacing w:beforeAutospacing="0" w:afterAutospacing="0"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身份证号：</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p>
      <w:pPr>
        <w:pStyle w:val="13"/>
        <w:pageBreakBefore w:val="0"/>
        <w:tabs>
          <w:tab w:val="left" w:pos="5580"/>
        </w:tabs>
        <w:kinsoku/>
        <w:wordWrap/>
        <w:overflowPunct/>
        <w:topLinePunct w:val="0"/>
        <w:bidi w:val="0"/>
        <w:spacing w:beforeAutospacing="0" w:afterAutospacing="0" w:line="360" w:lineRule="auto"/>
        <w:ind w:firstLine="480" w:firstLineChars="200"/>
        <w:textAlignment w:val="auto"/>
        <w:outlineLvl w:val="9"/>
        <w:rPr>
          <w:rFonts w:hint="eastAsia" w:ascii="宋体" w:hAnsi="宋体" w:eastAsia="宋体" w:cs="宋体"/>
          <w:color w:val="auto"/>
          <w:sz w:val="24"/>
          <w:szCs w:val="24"/>
          <w:highlight w:val="none"/>
          <w:u w:val="single" w:color="FFFFFF"/>
          <w:lang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p>
      <w:pPr>
        <w:pStyle w:val="13"/>
        <w:pageBreakBefore w:val="0"/>
        <w:tabs>
          <w:tab w:val="left" w:pos="5580"/>
        </w:tabs>
        <w:kinsoku/>
        <w:wordWrap/>
        <w:overflowPunct/>
        <w:topLinePunct w:val="0"/>
        <w:bidi w:val="0"/>
        <w:spacing w:beforeAutospacing="0" w:afterAutospacing="0"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color="FFFFFF"/>
          <w:lang w:eastAsia="zh-CN"/>
        </w:rPr>
        <w:t>详细通讯地址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pPr>
        <w:pStyle w:val="13"/>
        <w:pageBreakBefore w:val="0"/>
        <w:tabs>
          <w:tab w:val="left" w:pos="5580"/>
        </w:tabs>
        <w:kinsoku/>
        <w:wordWrap/>
        <w:overflowPunct/>
        <w:topLinePunct w:val="0"/>
        <w:bidi w:val="0"/>
        <w:spacing w:beforeAutospacing="0" w:afterAutospacing="0"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color="FFFFFF"/>
          <w:lang w:eastAsia="zh-CN"/>
        </w:rPr>
        <w:t xml:space="preserve">邮 政 编 码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pPr>
        <w:pStyle w:val="13"/>
        <w:pageBreakBefore w:val="0"/>
        <w:tabs>
          <w:tab w:val="left" w:pos="5580"/>
        </w:tabs>
        <w:kinsoku/>
        <w:wordWrap/>
        <w:overflowPunct/>
        <w:topLinePunct w:val="0"/>
        <w:bidi w:val="0"/>
        <w:spacing w:beforeAutospacing="0" w:afterAutospacing="0"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color="FFFFFF"/>
          <w:lang w:eastAsia="zh-CN"/>
        </w:rPr>
        <w:t>传真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p>
      <w:pPr>
        <w:pStyle w:val="13"/>
        <w:pageBreakBefore w:val="0"/>
        <w:tabs>
          <w:tab w:val="left" w:pos="5580"/>
        </w:tabs>
        <w:kinsoku/>
        <w:wordWrap/>
        <w:overflowPunct/>
        <w:topLinePunct w:val="0"/>
        <w:bidi w:val="0"/>
        <w:spacing w:beforeAutospacing="0" w:afterAutospacing="0" w:line="360" w:lineRule="auto"/>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u w:val="single" w:color="FFFFFF"/>
          <w:lang w:eastAsia="zh-CN"/>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p>
      <w:pPr>
        <w:pageBreakBefore w:val="0"/>
        <w:kinsoku/>
        <w:wordWrap/>
        <w:overflowPunct/>
        <w:topLinePunct w:val="0"/>
        <w:bidi w:val="0"/>
        <w:adjustRightInd w:val="0"/>
        <w:snapToGrid w:val="0"/>
        <w:spacing w:beforeAutospacing="0" w:afterAutospacing="0" w:line="360" w:lineRule="auto"/>
        <w:ind w:firstLine="460" w:firstLineChars="192"/>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（附法人及代理人身份证复印件） </w:t>
      </w:r>
    </w:p>
    <w:p>
      <w:pPr>
        <w:pageBreakBefore w:val="0"/>
        <w:kinsoku/>
        <w:wordWrap/>
        <w:overflowPunct/>
        <w:topLinePunct w:val="0"/>
        <w:bidi w:val="0"/>
        <w:adjustRightInd w:val="0"/>
        <w:snapToGrid w:val="0"/>
        <w:spacing w:beforeAutospacing="0" w:afterAutospacing="0" w:line="360" w:lineRule="auto"/>
        <w:ind w:firstLine="460" w:firstLineChars="19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注：自然人投标的或法定代表人投标的无需提供</w:t>
      </w:r>
    </w:p>
    <w:p>
      <w:pPr>
        <w:pStyle w:val="13"/>
        <w:pageBreakBefore w:val="0"/>
        <w:tabs>
          <w:tab w:val="left" w:pos="5580"/>
        </w:tabs>
        <w:kinsoku/>
        <w:wordWrap/>
        <w:overflowPunct/>
        <w:topLinePunct w:val="0"/>
        <w:bidi w:val="0"/>
        <w:spacing w:beforeAutospacing="0" w:afterAutospacing="0" w:line="360" w:lineRule="auto"/>
        <w:textAlignment w:val="auto"/>
        <w:outlineLvl w:val="9"/>
        <w:rPr>
          <w:rFonts w:hint="eastAsia" w:ascii="宋体" w:hAnsi="宋体" w:eastAsia="宋体" w:cs="宋体"/>
          <w:color w:val="auto"/>
          <w:sz w:val="24"/>
          <w:szCs w:val="24"/>
          <w:highlight w:val="none"/>
          <w:lang w:eastAsia="zh-CN"/>
        </w:rPr>
      </w:pPr>
    </w:p>
    <w:p>
      <w:pPr>
        <w:pageBreakBefore w:val="0"/>
        <w:wordWrap/>
        <w:topLinePunct w:val="0"/>
        <w:bidi w:val="0"/>
        <w:spacing w:before="0" w:line="360" w:lineRule="auto"/>
        <w:outlineLvl w:val="9"/>
        <w:rPr>
          <w:rFonts w:hint="eastAsia" w:ascii="宋体" w:hAnsi="宋体" w:eastAsia="宋体" w:cs="宋体"/>
          <w:color w:val="auto"/>
          <w:sz w:val="24"/>
          <w:szCs w:val="24"/>
          <w:highlight w:val="none"/>
          <w:lang w:eastAsia="zh-CN"/>
        </w:rPr>
      </w:pPr>
      <w:bookmarkStart w:id="1219" w:name="_Toc2582314"/>
    </w:p>
    <w:p>
      <w:pPr>
        <w:pageBreakBefore w:val="0"/>
        <w:wordWrap/>
        <w:topLinePunct w:val="0"/>
        <w:bidi w:val="0"/>
        <w:spacing w:before="0" w:line="360" w:lineRule="auto"/>
        <w:outlineLvl w:val="9"/>
        <w:rPr>
          <w:rFonts w:hint="eastAsia" w:ascii="宋体" w:hAnsi="宋体" w:eastAsia="宋体" w:cs="宋体"/>
          <w:color w:val="auto"/>
          <w:sz w:val="24"/>
          <w:szCs w:val="24"/>
          <w:highlight w:val="none"/>
          <w:lang w:eastAsia="zh-CN"/>
        </w:rPr>
      </w:pPr>
    </w:p>
    <w:p>
      <w:pPr>
        <w:pageBreakBefore w:val="0"/>
        <w:wordWrap/>
        <w:topLinePunct w:val="0"/>
        <w:bidi w:val="0"/>
        <w:spacing w:before="0" w:line="360" w:lineRule="auto"/>
        <w:outlineLvl w:val="9"/>
        <w:rPr>
          <w:rFonts w:hint="eastAsia" w:ascii="宋体" w:hAnsi="宋体" w:eastAsia="宋体" w:cs="宋体"/>
          <w:color w:val="auto"/>
          <w:sz w:val="24"/>
          <w:szCs w:val="24"/>
          <w:highlight w:val="none"/>
          <w:lang w:eastAsia="zh-CN"/>
        </w:rPr>
      </w:pPr>
    </w:p>
    <w:p>
      <w:pPr>
        <w:pageBreakBefore w:val="0"/>
        <w:wordWrap/>
        <w:topLinePunct w:val="0"/>
        <w:bidi w:val="0"/>
        <w:spacing w:before="0" w:line="360" w:lineRule="auto"/>
        <w:outlineLvl w:val="9"/>
        <w:rPr>
          <w:rFonts w:hint="eastAsia" w:ascii="宋体" w:hAnsi="宋体" w:eastAsia="宋体" w:cs="宋体"/>
          <w:color w:val="auto"/>
          <w:sz w:val="24"/>
          <w:szCs w:val="24"/>
          <w:highlight w:val="none"/>
          <w:lang w:eastAsia="zh-CN"/>
        </w:rPr>
      </w:pPr>
    </w:p>
    <w:p>
      <w:pPr>
        <w:pageBreakBefore w:val="0"/>
        <w:wordWrap/>
        <w:topLinePunct w:val="0"/>
        <w:bidi w:val="0"/>
        <w:spacing w:before="0" w:line="360" w:lineRule="auto"/>
        <w:outlineLvl w:val="9"/>
        <w:rPr>
          <w:rFonts w:hint="eastAsia" w:ascii="宋体" w:hAnsi="宋体" w:eastAsia="宋体" w:cs="宋体"/>
          <w:color w:val="auto"/>
          <w:sz w:val="24"/>
          <w:szCs w:val="24"/>
          <w:highlight w:val="none"/>
          <w:lang w:eastAsia="zh-CN"/>
        </w:rPr>
      </w:pPr>
    </w:p>
    <w:p>
      <w:pPr>
        <w:pageBreakBefore w:val="0"/>
        <w:wordWrap/>
        <w:topLinePunct w:val="0"/>
        <w:bidi w:val="0"/>
        <w:spacing w:before="0" w:line="360" w:lineRule="auto"/>
        <w:outlineLvl w:val="9"/>
        <w:rPr>
          <w:rFonts w:hint="eastAsia" w:ascii="宋体" w:hAnsi="宋体" w:eastAsia="宋体" w:cs="宋体"/>
          <w:color w:val="auto"/>
          <w:sz w:val="24"/>
          <w:szCs w:val="24"/>
          <w:highlight w:val="none"/>
          <w:lang w:eastAsia="zh-CN"/>
        </w:rPr>
      </w:pPr>
    </w:p>
    <w:p>
      <w:pPr>
        <w:pageBreakBefore w:val="0"/>
        <w:wordWrap/>
        <w:topLinePunct w:val="0"/>
        <w:bidi w:val="0"/>
        <w:spacing w:before="0" w:line="360" w:lineRule="auto"/>
        <w:outlineLvl w:val="9"/>
        <w:rPr>
          <w:rFonts w:hint="eastAsia" w:ascii="宋体" w:hAnsi="宋体" w:eastAsia="宋体" w:cs="宋体"/>
          <w:color w:val="auto"/>
          <w:sz w:val="24"/>
          <w:szCs w:val="24"/>
          <w:highlight w:val="none"/>
          <w:lang w:eastAsia="zh-CN"/>
        </w:rPr>
      </w:pPr>
    </w:p>
    <w:p>
      <w:pPr>
        <w:pageBreakBefore w:val="0"/>
        <w:wordWrap/>
        <w:topLinePunct w:val="0"/>
        <w:bidi w:val="0"/>
        <w:spacing w:before="0" w:line="36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具有良好的商业信誉和健全的财务会计制度承诺书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u w:val="single"/>
          <w:lang w:eastAsia="zh-CN"/>
        </w:rPr>
        <w:t>（采购人、采购代理机构）</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我单位参与</w:t>
      </w:r>
      <w:r>
        <w:rPr>
          <w:rFonts w:hint="eastAsia" w:ascii="宋体" w:hAnsi="宋体" w:eastAsia="宋体" w:cs="宋体"/>
          <w:color w:val="auto"/>
          <w:sz w:val="24"/>
          <w:szCs w:val="24"/>
          <w:highlight w:val="none"/>
          <w:u w:val="single"/>
          <w:lang w:val="en-US" w:eastAsia="zh-CN"/>
        </w:rPr>
        <w:t>（项目名称）（项目编号：         ）</w:t>
      </w:r>
      <w:r>
        <w:rPr>
          <w:rFonts w:hint="eastAsia" w:ascii="宋体" w:hAnsi="宋体" w:eastAsia="宋体" w:cs="宋体"/>
          <w:color w:val="auto"/>
          <w:sz w:val="24"/>
          <w:szCs w:val="24"/>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我单位具有符合《中华人民共和国政府采购法》《中华人民共和国政府采购法实施条例》及采购文件资格要求规定的良好的商业信誉和健全的财务会计制度。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47" w:firstLineChars="603"/>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承诺供应商（全称并加盖公章）：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7" w:firstLineChars="603"/>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单位负责人或授权代表（签字）：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7" w:firstLineChars="603"/>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pageBreakBefore w:val="0"/>
        <w:tabs>
          <w:tab w:val="left" w:pos="5580"/>
        </w:tabs>
        <w:wordWrap/>
        <w:topLinePunct w:val="0"/>
        <w:bidi w:val="0"/>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承诺良好的商业信誉和健全的财务会计制度</w:t>
      </w:r>
      <w:r>
        <w:rPr>
          <w:rFonts w:hint="eastAsia" w:ascii="宋体" w:hAnsi="宋体" w:eastAsia="宋体" w:cs="宋体"/>
          <w:color w:val="auto"/>
          <w:sz w:val="24"/>
          <w:szCs w:val="24"/>
          <w:highlight w:val="none"/>
          <w:lang w:eastAsia="zh-CN"/>
        </w:rPr>
        <w:t>；若为</w:t>
      </w:r>
      <w:r>
        <w:rPr>
          <w:rFonts w:hint="eastAsia" w:ascii="宋体" w:hAnsi="宋体" w:eastAsia="宋体" w:cs="宋体"/>
          <w:color w:val="auto"/>
          <w:sz w:val="24"/>
          <w:szCs w:val="24"/>
          <w:highlight w:val="none"/>
        </w:rPr>
        <w:t>联合体投标，联合体各方均需提供承诺书</w:t>
      </w:r>
      <w:r>
        <w:rPr>
          <w:rFonts w:hint="eastAsia" w:ascii="宋体" w:hAnsi="宋体" w:eastAsia="宋体" w:cs="宋体"/>
          <w:color w:val="auto"/>
          <w:sz w:val="24"/>
          <w:szCs w:val="24"/>
          <w:highlight w:val="none"/>
          <w:lang w:eastAsia="zh-CN"/>
        </w:rPr>
        <w:t>）</w:t>
      </w:r>
    </w:p>
    <w:p>
      <w:pPr>
        <w:pageBreakBefore w:val="0"/>
        <w:wordWrap/>
        <w:topLinePunct w:val="0"/>
        <w:bidi w:val="0"/>
        <w:spacing w:before="0" w:line="360" w:lineRule="auto"/>
        <w:ind w:left="1259" w:leftChars="257" w:hanging="540"/>
        <w:outlineLvl w:val="9"/>
        <w:rPr>
          <w:rFonts w:hint="eastAsia" w:ascii="宋体" w:hAnsi="宋体" w:eastAsia="宋体" w:cs="宋体"/>
          <w:color w:val="auto"/>
          <w:sz w:val="24"/>
          <w:szCs w:val="24"/>
          <w:highlight w:val="none"/>
        </w:rPr>
        <w:sectPr>
          <w:footerReference r:id="rId10" w:type="default"/>
          <w:pgSz w:w="11906" w:h="16838"/>
          <w:pgMar w:top="1440" w:right="1247" w:bottom="1440" w:left="1247" w:header="851" w:footer="992" w:gutter="0"/>
          <w:pgNumType w:fmt="decimal"/>
          <w:cols w:space="720" w:num="1"/>
          <w:docGrid w:type="linesAndChars" w:linePitch="312" w:charSpace="0"/>
        </w:sectPr>
      </w:pPr>
    </w:p>
    <w:p>
      <w:pPr>
        <w:pageBreakBefore w:val="0"/>
        <w:wordWrap/>
        <w:topLinePunct w:val="0"/>
        <w:bidi w:val="0"/>
        <w:spacing w:before="0"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依法缴纳社会保障资金的缴纳记录和税收的承诺书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u w:val="single"/>
          <w:lang w:eastAsia="zh-CN"/>
        </w:rPr>
        <w:t>（采购人、采购代理机构）</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我单位参与</w:t>
      </w:r>
      <w:r>
        <w:rPr>
          <w:rFonts w:hint="eastAsia" w:ascii="宋体" w:hAnsi="宋体" w:eastAsia="宋体" w:cs="宋体"/>
          <w:color w:val="auto"/>
          <w:sz w:val="24"/>
          <w:szCs w:val="24"/>
          <w:highlight w:val="none"/>
          <w:u w:val="single"/>
          <w:lang w:val="en-US" w:eastAsia="zh-CN"/>
        </w:rPr>
        <w:t>（项目名称）（项目编号：         ）</w:t>
      </w:r>
      <w:r>
        <w:rPr>
          <w:rFonts w:hint="eastAsia" w:ascii="宋体" w:hAnsi="宋体" w:eastAsia="宋体" w:cs="宋体"/>
          <w:color w:val="auto"/>
          <w:sz w:val="24"/>
          <w:szCs w:val="24"/>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我单位符合《中华人民共和国政府采购法》《中华人民共和国政府采购法实施条例》及采购文件资格要求规定的依法缴纳税收和社会保障资金。</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47" w:firstLineChars="603"/>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承诺供应商（全称并加盖公章）：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7" w:firstLineChars="603"/>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单位负责人或授权代表（签字）：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7" w:firstLineChars="603"/>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宋体" w:hAnsi="宋体" w:eastAsia="宋体" w:cs="宋体"/>
          <w:color w:val="auto"/>
          <w:sz w:val="24"/>
          <w:szCs w:val="24"/>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pageBreakBefore w:val="0"/>
        <w:tabs>
          <w:tab w:val="left" w:pos="5580"/>
        </w:tabs>
        <w:wordWrap/>
        <w:topLinePunct w:val="0"/>
        <w:bidi w:val="0"/>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承诺依法缴纳社会保障资金和税收</w:t>
      </w:r>
      <w:r>
        <w:rPr>
          <w:rFonts w:hint="eastAsia" w:ascii="宋体" w:hAnsi="宋体" w:eastAsia="宋体" w:cs="宋体"/>
          <w:color w:val="auto"/>
          <w:sz w:val="24"/>
          <w:szCs w:val="24"/>
          <w:highlight w:val="none"/>
          <w:lang w:eastAsia="zh-CN"/>
        </w:rPr>
        <w:t>；若为</w:t>
      </w:r>
      <w:r>
        <w:rPr>
          <w:rFonts w:hint="eastAsia" w:ascii="宋体" w:hAnsi="宋体" w:eastAsia="宋体" w:cs="宋体"/>
          <w:color w:val="auto"/>
          <w:sz w:val="24"/>
          <w:szCs w:val="24"/>
          <w:highlight w:val="none"/>
        </w:rPr>
        <w:t>联合体投标，联合体各方均需提供承诺书</w:t>
      </w:r>
      <w:r>
        <w:rPr>
          <w:rFonts w:hint="eastAsia" w:ascii="宋体" w:hAnsi="宋体" w:eastAsia="宋体" w:cs="宋体"/>
          <w:color w:val="auto"/>
          <w:sz w:val="24"/>
          <w:szCs w:val="24"/>
          <w:highlight w:val="none"/>
          <w:lang w:eastAsia="zh-CN"/>
        </w:rPr>
        <w:t>）</w:t>
      </w:r>
    </w:p>
    <w:p>
      <w:pPr>
        <w:pageBreakBefore w:val="0"/>
        <w:wordWrap/>
        <w:topLinePunct w:val="0"/>
        <w:bidi w:val="0"/>
        <w:spacing w:line="360" w:lineRule="auto"/>
        <w:ind w:firstLine="0"/>
        <w:outlineLvl w:val="9"/>
        <w:rPr>
          <w:rFonts w:hint="eastAsia" w:ascii="宋体" w:hAnsi="宋体" w:eastAsia="宋体" w:cs="宋体"/>
          <w:b/>
          <w:color w:val="auto"/>
          <w:spacing w:val="6"/>
          <w:sz w:val="24"/>
          <w:szCs w:val="24"/>
          <w:highlight w:val="none"/>
          <w:lang w:eastAsia="zh-CN"/>
        </w:rPr>
      </w:pPr>
      <w:r>
        <w:rPr>
          <w:rFonts w:hint="eastAsia" w:ascii="宋体" w:hAnsi="宋体" w:eastAsia="宋体" w:cs="宋体"/>
          <w:b/>
          <w:color w:val="auto"/>
          <w:spacing w:val="6"/>
          <w:sz w:val="24"/>
          <w:szCs w:val="24"/>
          <w:highlight w:val="none"/>
          <w:lang w:eastAsia="zh-CN"/>
        </w:rPr>
        <w:br w:type="page"/>
      </w:r>
    </w:p>
    <w:p>
      <w:pPr>
        <w:pStyle w:val="3"/>
        <w:pageBreakBefore w:val="0"/>
        <w:wordWrap/>
        <w:topLinePunct w:val="0"/>
        <w:bidi w:val="0"/>
        <w:spacing w:before="0"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（五）参加政府采购活动前3年内在经营活动中没有重大违法记录的承诺书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资格承诺函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致：</w:t>
      </w:r>
      <w:r>
        <w:rPr>
          <w:rFonts w:hint="eastAsia" w:ascii="宋体" w:hAnsi="宋体" w:eastAsia="宋体" w:cs="宋体"/>
          <w:sz w:val="24"/>
          <w:szCs w:val="24"/>
          <w:u w:val="single"/>
          <w:lang w:eastAsia="zh-CN"/>
        </w:rPr>
        <w:t>（采购人、采购代理机构）</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我单位参与</w:t>
      </w:r>
      <w:r>
        <w:rPr>
          <w:rFonts w:hint="eastAsia" w:ascii="宋体" w:hAnsi="宋体" w:eastAsia="宋体" w:cs="宋体"/>
          <w:sz w:val="24"/>
          <w:szCs w:val="24"/>
          <w:u w:val="single"/>
          <w:lang w:val="en-US" w:eastAsia="zh-CN"/>
        </w:rPr>
        <w:t>（项目名称）（项目编号：         ）</w:t>
      </w:r>
      <w:r>
        <w:rPr>
          <w:rFonts w:hint="eastAsia" w:ascii="宋体" w:hAnsi="宋体" w:eastAsia="宋体" w:cs="宋体"/>
          <w:sz w:val="24"/>
          <w:szCs w:val="24"/>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我单位符合《中华人民共和国政府采购法》《中华人民共和国政府采购法实施条例》及采购文件资格要求规定的参加政府采购活动前三年内，在经营活动中没有重大违法记录。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47" w:firstLineChars="603"/>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承诺供应商（全称并加盖公章）：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7" w:firstLineChars="603"/>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单位负责人或授权代表（签字）：</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7" w:firstLineChars="603"/>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日期：</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pageBreakBefore w:val="0"/>
        <w:numPr>
          <w:ilvl w:val="0"/>
          <w:numId w:val="0"/>
        </w:numPr>
        <w:wordWrap/>
        <w:topLinePunct w:val="0"/>
        <w:bidi w:val="0"/>
        <w:spacing w:before="0" w:line="360" w:lineRule="auto"/>
        <w:outlineLvl w:val="9"/>
        <w:rPr>
          <w:rFonts w:hint="eastAsia" w:ascii="宋体" w:hAnsi="宋体" w:eastAsia="宋体" w:cs="宋体"/>
          <w:lang w:eastAsia="zh-CN"/>
        </w:rPr>
      </w:pPr>
      <w:r>
        <w:rPr>
          <w:rFonts w:hint="eastAsia" w:ascii="宋体" w:hAnsi="宋体" w:eastAsia="宋体" w:cs="宋体"/>
          <w:sz w:val="24"/>
          <w:szCs w:val="24"/>
          <w:lang w:eastAsia="zh-CN"/>
        </w:rPr>
        <w:t>（申请</w:t>
      </w:r>
      <w:r>
        <w:rPr>
          <w:rFonts w:hint="eastAsia" w:ascii="宋体" w:hAnsi="宋体" w:eastAsia="宋体" w:cs="宋体"/>
          <w:sz w:val="24"/>
          <w:szCs w:val="24"/>
        </w:rPr>
        <w:t>人承诺参加政府采购活动前3年内在经营活动中没有重大违法记录</w:t>
      </w:r>
      <w:r>
        <w:rPr>
          <w:rFonts w:hint="eastAsia" w:ascii="宋体" w:hAnsi="宋体" w:eastAsia="宋体" w:cs="宋体"/>
          <w:sz w:val="24"/>
          <w:szCs w:val="24"/>
          <w:lang w:eastAsia="zh-CN"/>
        </w:rPr>
        <w:t>；若为</w:t>
      </w:r>
      <w:r>
        <w:rPr>
          <w:rFonts w:hint="eastAsia" w:ascii="宋体" w:hAnsi="宋体" w:eastAsia="宋体" w:cs="宋体"/>
          <w:sz w:val="24"/>
          <w:szCs w:val="24"/>
        </w:rPr>
        <w:t>联合体投标，联合体各方均需提供承诺书</w:t>
      </w:r>
      <w:r>
        <w:rPr>
          <w:rFonts w:hint="eastAsia" w:ascii="宋体" w:hAnsi="宋体" w:eastAsia="宋体" w:cs="宋体"/>
          <w:sz w:val="24"/>
          <w:szCs w:val="24"/>
          <w:lang w:eastAsia="zh-CN"/>
        </w:rPr>
        <w:t>）</w:t>
      </w:r>
      <w:r>
        <w:rPr>
          <w:rFonts w:hint="eastAsia" w:ascii="宋体" w:hAnsi="宋体" w:eastAsia="宋体" w:cs="宋体"/>
          <w:b/>
          <w:spacing w:val="6"/>
          <w:sz w:val="24"/>
          <w:szCs w:val="24"/>
          <w:lang w:eastAsia="zh-CN"/>
        </w:rPr>
        <w:br w:type="page"/>
      </w:r>
    </w:p>
    <w:p>
      <w:pPr>
        <w:pageBreakBefore w:val="0"/>
        <w:numPr>
          <w:ilvl w:val="0"/>
          <w:numId w:val="4"/>
        </w:numPr>
        <w:wordWrap/>
        <w:topLinePunct w:val="0"/>
        <w:bidi w:val="0"/>
        <w:spacing w:line="360" w:lineRule="auto"/>
        <w:ind w:leftChars="0"/>
        <w:jc w:val="both"/>
        <w:outlineLvl w:val="9"/>
        <w:rPr>
          <w:rFonts w:hint="eastAsia" w:ascii="宋体" w:hAnsi="宋体" w:eastAsia="宋体" w:cs="宋体"/>
          <w:b/>
          <w:color w:val="auto"/>
          <w:spacing w:val="6"/>
          <w:sz w:val="24"/>
          <w:szCs w:val="24"/>
          <w:highlight w:val="none"/>
          <w:lang w:eastAsia="zh-CN"/>
        </w:rPr>
      </w:pPr>
      <w:r>
        <w:rPr>
          <w:rFonts w:hint="eastAsia" w:ascii="宋体" w:hAnsi="宋体" w:eastAsia="宋体" w:cs="宋体"/>
          <w:b/>
          <w:color w:val="auto"/>
          <w:spacing w:val="6"/>
          <w:sz w:val="24"/>
          <w:szCs w:val="24"/>
          <w:highlight w:val="none"/>
          <w:lang w:eastAsia="zh-CN"/>
        </w:rPr>
        <w:t>落实政府采购政策要求的资格证明文件</w:t>
      </w:r>
    </w:p>
    <w:p>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t>中小企业声明函（工程、服务）</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本公司（联合体）郑重声明，根据《政府采购促进中小企业发展管理办法》（财库〔2020〕46号）的规定，本公司（联合体）参加</w:t>
      </w:r>
      <w:r>
        <w:rPr>
          <w:rFonts w:hint="eastAsia" w:ascii="宋体" w:hAnsi="宋体" w:eastAsia="宋体" w:cs="宋体"/>
          <w:i/>
          <w:iCs/>
          <w:sz w:val="24"/>
          <w:szCs w:val="24"/>
          <w:highlight w:val="none"/>
          <w:u w:val="single"/>
          <w:lang w:val="en-US" w:eastAsia="zh-CN"/>
        </w:rPr>
        <w:t>（单位名称）</w:t>
      </w:r>
      <w:r>
        <w:rPr>
          <w:rFonts w:hint="eastAsia" w:ascii="宋体" w:hAnsi="宋体" w:eastAsia="宋体" w:cs="宋体"/>
          <w:sz w:val="24"/>
          <w:szCs w:val="24"/>
          <w:highlight w:val="none"/>
          <w:lang w:val="en-US" w:eastAsia="zh-CN"/>
        </w:rPr>
        <w:t>的</w:t>
      </w:r>
      <w:r>
        <w:rPr>
          <w:rFonts w:hint="eastAsia" w:ascii="宋体" w:hAnsi="宋体" w:eastAsia="宋体" w:cs="宋体"/>
          <w:i/>
          <w:iCs/>
          <w:sz w:val="24"/>
          <w:szCs w:val="24"/>
          <w:highlight w:val="none"/>
          <w:u w:val="single"/>
          <w:lang w:val="en-US" w:eastAsia="zh-CN"/>
        </w:rPr>
        <w:t>（项目名称）</w:t>
      </w:r>
      <w:r>
        <w:rPr>
          <w:rFonts w:hint="eastAsia" w:ascii="宋体" w:hAnsi="宋体" w:eastAsia="宋体" w:cs="宋体"/>
          <w:sz w:val="24"/>
          <w:szCs w:val="24"/>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i/>
          <w:iCs/>
          <w:sz w:val="24"/>
          <w:szCs w:val="24"/>
          <w:highlight w:val="none"/>
          <w:u w:val="single"/>
          <w:lang w:val="en-US" w:eastAsia="zh-CN"/>
        </w:rPr>
        <w:t>（标的名称）</w:t>
      </w:r>
      <w:r>
        <w:rPr>
          <w:rStyle w:val="33"/>
          <w:rFonts w:hint="eastAsia" w:ascii="宋体" w:hAnsi="宋体" w:eastAsia="宋体" w:cs="宋体"/>
          <w:i/>
          <w:iCs/>
          <w:sz w:val="24"/>
          <w:szCs w:val="24"/>
          <w:highlight w:val="none"/>
          <w:u w:val="single"/>
          <w:lang w:val="en-US" w:eastAsia="zh-CN"/>
        </w:rPr>
        <w:footnoteReference w:id="0"/>
      </w:r>
      <w:r>
        <w:rPr>
          <w:rFonts w:hint="eastAsia" w:ascii="宋体" w:hAnsi="宋体" w:eastAsia="宋体" w:cs="宋体"/>
          <w:sz w:val="24"/>
          <w:szCs w:val="24"/>
          <w:highlight w:val="none"/>
          <w:lang w:val="en-US" w:eastAsia="zh-CN"/>
        </w:rPr>
        <w:t>，属于</w:t>
      </w:r>
      <w:r>
        <w:rPr>
          <w:rFonts w:hint="eastAsia" w:ascii="宋体" w:hAnsi="宋体" w:eastAsia="宋体" w:cs="宋体"/>
          <w:i/>
          <w:iCs/>
          <w:sz w:val="24"/>
          <w:szCs w:val="24"/>
          <w:highlight w:val="none"/>
          <w:u w:val="single"/>
          <w:lang w:val="en-US" w:eastAsia="zh-CN"/>
        </w:rPr>
        <w:t>（采购文件中明确的所属行业）</w:t>
      </w:r>
      <w:r>
        <w:rPr>
          <w:rFonts w:hint="eastAsia" w:ascii="宋体" w:hAnsi="宋体" w:eastAsia="宋体" w:cs="宋体"/>
          <w:sz w:val="24"/>
          <w:szCs w:val="24"/>
          <w:highlight w:val="none"/>
          <w:lang w:val="en-US" w:eastAsia="zh-CN"/>
        </w:rPr>
        <w:t>；承建（承接）企业为</w:t>
      </w:r>
      <w:r>
        <w:rPr>
          <w:rFonts w:hint="eastAsia" w:ascii="宋体" w:hAnsi="宋体" w:eastAsia="宋体" w:cs="宋体"/>
          <w:i/>
          <w:iCs/>
          <w:sz w:val="24"/>
          <w:szCs w:val="24"/>
          <w:highlight w:val="none"/>
          <w:u w:val="single"/>
          <w:lang w:val="en-US" w:eastAsia="zh-CN"/>
        </w:rPr>
        <w:t>（企业名称）</w:t>
      </w:r>
      <w:r>
        <w:rPr>
          <w:rFonts w:hint="eastAsia" w:ascii="宋体" w:hAnsi="宋体" w:eastAsia="宋体" w:cs="宋体"/>
          <w:sz w:val="24"/>
          <w:szCs w:val="24"/>
          <w:highlight w:val="none"/>
          <w:lang w:val="en-US" w:eastAsia="zh-CN"/>
        </w:rPr>
        <w:t>，从业人员</w:t>
      </w:r>
      <w:r>
        <w:rPr>
          <w:rFonts w:hint="eastAsia" w:ascii="宋体" w:hAnsi="宋体" w:eastAsia="宋体" w:cs="宋体"/>
          <w:i w:val="0"/>
          <w:iCs w:val="0"/>
          <w:sz w:val="24"/>
          <w:szCs w:val="24"/>
          <w:highlight w:val="none"/>
          <w:u w:val="single"/>
          <w:lang w:val="en-US" w:eastAsia="zh-CN"/>
        </w:rPr>
        <w:t>（    ）</w:t>
      </w:r>
      <w:r>
        <w:rPr>
          <w:rFonts w:hint="eastAsia" w:ascii="宋体" w:hAnsi="宋体" w:eastAsia="宋体" w:cs="宋体"/>
          <w:sz w:val="24"/>
          <w:szCs w:val="24"/>
          <w:highlight w:val="none"/>
          <w:lang w:val="en-US" w:eastAsia="zh-CN"/>
        </w:rPr>
        <w:t>人，营业收入为</w:t>
      </w:r>
      <w:r>
        <w:rPr>
          <w:rFonts w:hint="eastAsia" w:ascii="宋体" w:hAnsi="宋体" w:eastAsia="宋体" w:cs="宋体"/>
          <w:sz w:val="24"/>
          <w:szCs w:val="24"/>
          <w:highlight w:val="none"/>
          <w:u w:val="single"/>
          <w:lang w:val="en-US" w:eastAsia="zh-CN"/>
        </w:rPr>
        <w:t>（    ）</w:t>
      </w:r>
      <w:r>
        <w:rPr>
          <w:rFonts w:hint="eastAsia" w:ascii="宋体" w:hAnsi="宋体" w:eastAsia="宋体" w:cs="宋体"/>
          <w:sz w:val="24"/>
          <w:szCs w:val="24"/>
          <w:highlight w:val="none"/>
          <w:lang w:val="en-US" w:eastAsia="zh-CN"/>
        </w:rPr>
        <w:t>万元，资产总额为</w:t>
      </w:r>
      <w:r>
        <w:rPr>
          <w:rFonts w:hint="eastAsia" w:ascii="宋体" w:hAnsi="宋体" w:eastAsia="宋体" w:cs="宋体"/>
          <w:sz w:val="24"/>
          <w:szCs w:val="24"/>
          <w:highlight w:val="none"/>
          <w:u w:val="single"/>
          <w:lang w:val="en-US" w:eastAsia="zh-CN"/>
        </w:rPr>
        <w:t>（    ）</w:t>
      </w:r>
      <w:r>
        <w:rPr>
          <w:rFonts w:hint="eastAsia" w:ascii="宋体" w:hAnsi="宋体" w:eastAsia="宋体" w:cs="宋体"/>
          <w:sz w:val="24"/>
          <w:szCs w:val="24"/>
          <w:highlight w:val="none"/>
          <w:lang w:val="en-US" w:eastAsia="zh-CN"/>
        </w:rPr>
        <w:t>万元</w:t>
      </w:r>
      <w:r>
        <w:rPr>
          <w:rStyle w:val="33"/>
          <w:rFonts w:hint="eastAsia" w:ascii="宋体" w:hAnsi="宋体" w:eastAsia="宋体" w:cs="宋体"/>
          <w:sz w:val="24"/>
          <w:szCs w:val="24"/>
          <w:highlight w:val="none"/>
          <w:lang w:val="en-US" w:eastAsia="zh-CN"/>
        </w:rPr>
        <w:footnoteReference w:id="1"/>
      </w:r>
      <w:r>
        <w:rPr>
          <w:rFonts w:hint="eastAsia" w:ascii="宋体" w:hAnsi="宋体" w:eastAsia="宋体" w:cs="宋体"/>
          <w:sz w:val="24"/>
          <w:szCs w:val="24"/>
          <w:highlight w:val="none"/>
          <w:lang w:val="en-US" w:eastAsia="zh-CN"/>
        </w:rPr>
        <w:t>，属于</w:t>
      </w:r>
      <w:r>
        <w:rPr>
          <w:rFonts w:hint="eastAsia" w:ascii="宋体" w:hAnsi="宋体" w:eastAsia="宋体" w:cs="宋体"/>
          <w:i/>
          <w:iCs/>
          <w:sz w:val="24"/>
          <w:szCs w:val="24"/>
          <w:highlight w:val="none"/>
          <w:u w:val="single"/>
          <w:lang w:val="en-US" w:eastAsia="zh-CN"/>
        </w:rPr>
        <w:t>（中型企业、小型企业、微型企业）</w:t>
      </w:r>
      <w:r>
        <w:rPr>
          <w:rFonts w:hint="eastAsia" w:ascii="宋体" w:hAnsi="宋体" w:eastAsia="宋体" w:cs="宋体"/>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i/>
          <w:iCs/>
          <w:sz w:val="24"/>
          <w:szCs w:val="24"/>
          <w:highlight w:val="none"/>
          <w:u w:val="single"/>
          <w:lang w:val="en-US" w:eastAsia="zh-CN"/>
        </w:rPr>
        <w:t>（标的名称）</w:t>
      </w:r>
      <w:r>
        <w:rPr>
          <w:rFonts w:hint="eastAsia" w:ascii="宋体" w:hAnsi="宋体" w:eastAsia="宋体" w:cs="宋体"/>
          <w:sz w:val="24"/>
          <w:szCs w:val="24"/>
          <w:highlight w:val="none"/>
          <w:lang w:val="en-US" w:eastAsia="zh-CN"/>
        </w:rPr>
        <w:t>，属于</w:t>
      </w:r>
      <w:r>
        <w:rPr>
          <w:rFonts w:hint="eastAsia" w:ascii="宋体" w:hAnsi="宋体" w:eastAsia="宋体" w:cs="宋体"/>
          <w:i/>
          <w:iCs/>
          <w:sz w:val="24"/>
          <w:szCs w:val="24"/>
          <w:highlight w:val="none"/>
          <w:u w:val="single"/>
          <w:lang w:val="en-US" w:eastAsia="zh-CN"/>
        </w:rPr>
        <w:t>（采购文件中明确的所属行业）</w:t>
      </w:r>
      <w:r>
        <w:rPr>
          <w:rFonts w:hint="eastAsia" w:ascii="宋体" w:hAnsi="宋体" w:eastAsia="宋体" w:cs="宋体"/>
          <w:sz w:val="24"/>
          <w:szCs w:val="24"/>
          <w:highlight w:val="none"/>
          <w:lang w:val="en-US" w:eastAsia="zh-CN"/>
        </w:rPr>
        <w:t>；承建（承接）企业为</w:t>
      </w:r>
      <w:r>
        <w:rPr>
          <w:rFonts w:hint="eastAsia" w:ascii="宋体" w:hAnsi="宋体" w:eastAsia="宋体" w:cs="宋体"/>
          <w:i/>
          <w:iCs/>
          <w:sz w:val="24"/>
          <w:szCs w:val="24"/>
          <w:highlight w:val="none"/>
          <w:u w:val="single"/>
          <w:lang w:val="en-US" w:eastAsia="zh-CN"/>
        </w:rPr>
        <w:t>（企业名称）</w:t>
      </w:r>
      <w:r>
        <w:rPr>
          <w:rFonts w:hint="eastAsia" w:ascii="宋体" w:hAnsi="宋体" w:eastAsia="宋体" w:cs="宋体"/>
          <w:sz w:val="24"/>
          <w:szCs w:val="24"/>
          <w:highlight w:val="none"/>
          <w:lang w:val="en-US" w:eastAsia="zh-CN"/>
        </w:rPr>
        <w:t>，从业人员</w:t>
      </w:r>
      <w:r>
        <w:rPr>
          <w:rFonts w:hint="eastAsia" w:ascii="宋体" w:hAnsi="宋体" w:eastAsia="宋体" w:cs="宋体"/>
          <w:i w:val="0"/>
          <w:iCs w:val="0"/>
          <w:sz w:val="24"/>
          <w:szCs w:val="24"/>
          <w:highlight w:val="none"/>
          <w:u w:val="single"/>
          <w:lang w:val="en-US" w:eastAsia="zh-CN"/>
        </w:rPr>
        <w:t>（    ）</w:t>
      </w:r>
      <w:r>
        <w:rPr>
          <w:rFonts w:hint="eastAsia" w:ascii="宋体" w:hAnsi="宋体" w:eastAsia="宋体" w:cs="宋体"/>
          <w:sz w:val="24"/>
          <w:szCs w:val="24"/>
          <w:highlight w:val="none"/>
          <w:lang w:val="en-US" w:eastAsia="zh-CN"/>
        </w:rPr>
        <w:t>人，营业收入为</w:t>
      </w:r>
      <w:r>
        <w:rPr>
          <w:rFonts w:hint="eastAsia" w:ascii="宋体" w:hAnsi="宋体" w:eastAsia="宋体" w:cs="宋体"/>
          <w:sz w:val="24"/>
          <w:szCs w:val="24"/>
          <w:highlight w:val="none"/>
          <w:u w:val="single"/>
          <w:lang w:val="en-US" w:eastAsia="zh-CN"/>
        </w:rPr>
        <w:t>（    ）</w:t>
      </w:r>
      <w:r>
        <w:rPr>
          <w:rFonts w:hint="eastAsia" w:ascii="宋体" w:hAnsi="宋体" w:eastAsia="宋体" w:cs="宋体"/>
          <w:sz w:val="24"/>
          <w:szCs w:val="24"/>
          <w:highlight w:val="none"/>
          <w:lang w:val="en-US" w:eastAsia="zh-CN"/>
        </w:rPr>
        <w:t>万元，资产总额为</w:t>
      </w:r>
      <w:r>
        <w:rPr>
          <w:rFonts w:hint="eastAsia" w:ascii="宋体" w:hAnsi="宋体" w:eastAsia="宋体" w:cs="宋体"/>
          <w:sz w:val="24"/>
          <w:szCs w:val="24"/>
          <w:highlight w:val="none"/>
          <w:u w:val="single"/>
          <w:lang w:val="en-US" w:eastAsia="zh-CN"/>
        </w:rPr>
        <w:t>（    ）</w:t>
      </w:r>
      <w:r>
        <w:rPr>
          <w:rFonts w:hint="eastAsia" w:ascii="宋体" w:hAnsi="宋体" w:eastAsia="宋体" w:cs="宋体"/>
          <w:sz w:val="24"/>
          <w:szCs w:val="24"/>
          <w:highlight w:val="none"/>
          <w:lang w:val="en-US" w:eastAsia="zh-CN"/>
        </w:rPr>
        <w:t>万元，属于</w:t>
      </w:r>
      <w:r>
        <w:rPr>
          <w:rFonts w:hint="eastAsia" w:ascii="宋体" w:hAnsi="宋体" w:eastAsia="宋体" w:cs="宋体"/>
          <w:i/>
          <w:iCs/>
          <w:sz w:val="24"/>
          <w:szCs w:val="24"/>
          <w:highlight w:val="none"/>
          <w:u w:val="single"/>
          <w:lang w:val="en-US" w:eastAsia="zh-CN"/>
        </w:rPr>
        <w:t>（中型企业、小型企业、微型企业）</w:t>
      </w:r>
      <w:r>
        <w:rPr>
          <w:rFonts w:hint="eastAsia" w:ascii="宋体" w:hAnsi="宋体" w:eastAsia="宋体" w:cs="宋体"/>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本企业对上述声明内容的真实性负责。如有虚假，将依法承担相应责任。</w:t>
      </w:r>
    </w:p>
    <w:p>
      <w:pPr>
        <w:keepNext w:val="0"/>
        <w:keepLines w:val="0"/>
        <w:pageBreakBefore w:val="0"/>
        <w:kinsoku/>
        <w:wordWrap/>
        <w:overflowPunct/>
        <w:topLinePunct w:val="0"/>
        <w:autoSpaceDE/>
        <w:autoSpaceDN/>
        <w:bidi w:val="0"/>
        <w:spacing w:line="360" w:lineRule="auto"/>
        <w:ind w:left="0" w:leftChars="0" w:right="0" w:rightChars="0" w:firstLine="2640" w:firstLineChars="11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企业名称（盖章）：</w:t>
      </w:r>
    </w:p>
    <w:p>
      <w:pPr>
        <w:keepNext w:val="0"/>
        <w:keepLines w:val="0"/>
        <w:pageBreakBefore w:val="0"/>
        <w:kinsoku/>
        <w:wordWrap/>
        <w:overflowPunct/>
        <w:topLinePunct w:val="0"/>
        <w:autoSpaceDE/>
        <w:autoSpaceDN/>
        <w:bidi w:val="0"/>
        <w:spacing w:line="360" w:lineRule="auto"/>
        <w:ind w:left="0" w:leftChars="0" w:right="0" w:rightChars="0" w:firstLine="2640" w:firstLineChars="11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日期：</w:t>
      </w:r>
    </w:p>
    <w:p>
      <w:pPr>
        <w:pageBreakBefore w:val="0"/>
        <w:wordWrap/>
        <w:topLinePunct w:val="0"/>
        <w:bidi w:val="0"/>
        <w:spacing w:line="360" w:lineRule="auto"/>
        <w:ind w:firstLine="504" w:firstLineChars="200"/>
        <w:outlineLvl w:val="9"/>
        <w:rPr>
          <w:rFonts w:hint="eastAsia" w:ascii="宋体" w:hAnsi="宋体" w:eastAsia="宋体" w:cs="宋体"/>
          <w:color w:val="auto"/>
          <w:spacing w:val="6"/>
          <w:sz w:val="24"/>
          <w:szCs w:val="24"/>
          <w:highlight w:val="none"/>
        </w:rPr>
      </w:pPr>
    </w:p>
    <w:p>
      <w:pPr>
        <w:pageBreakBefore w:val="0"/>
        <w:wordWrap/>
        <w:topLinePunct w:val="0"/>
        <w:bidi w:val="0"/>
        <w:spacing w:line="360" w:lineRule="auto"/>
        <w:jc w:val="center"/>
        <w:outlineLvl w:val="9"/>
        <w:rPr>
          <w:rFonts w:hint="eastAsia" w:ascii="宋体" w:hAnsi="宋体" w:eastAsia="宋体" w:cs="宋体"/>
          <w:b/>
          <w:color w:val="auto"/>
          <w:spacing w:val="6"/>
          <w:sz w:val="24"/>
          <w:szCs w:val="24"/>
          <w:highlight w:val="none"/>
        </w:rPr>
      </w:pPr>
    </w:p>
    <w:p>
      <w:pPr>
        <w:pStyle w:val="3"/>
        <w:pageBreakBefore w:val="0"/>
        <w:wordWrap/>
        <w:topLinePunct w:val="0"/>
        <w:bidi w:val="0"/>
        <w:spacing w:line="360" w:lineRule="auto"/>
        <w:rPr>
          <w:rFonts w:hint="eastAsia" w:ascii="宋体" w:hAnsi="宋体" w:eastAsia="宋体" w:cs="宋体"/>
        </w:rPr>
      </w:pPr>
    </w:p>
    <w:p>
      <w:pPr>
        <w:pStyle w:val="4"/>
        <w:pageBreakBefore w:val="0"/>
        <w:wordWrap/>
        <w:topLinePunct w:val="0"/>
        <w:bidi w:val="0"/>
        <w:spacing w:line="360" w:lineRule="auto"/>
        <w:rPr>
          <w:rFonts w:hint="eastAsia" w:ascii="宋体" w:hAnsi="宋体" w:eastAsia="宋体" w:cs="宋体"/>
        </w:rPr>
      </w:pPr>
    </w:p>
    <w:p>
      <w:pPr>
        <w:pStyle w:val="4"/>
        <w:pageBreakBefore w:val="0"/>
        <w:wordWrap/>
        <w:topLinePunct w:val="0"/>
        <w:bidi w:val="0"/>
        <w:spacing w:line="360" w:lineRule="auto"/>
        <w:rPr>
          <w:rFonts w:hint="eastAsia" w:ascii="宋体" w:hAnsi="宋体" w:eastAsia="宋体" w:cs="宋体"/>
        </w:rPr>
      </w:pPr>
    </w:p>
    <w:p>
      <w:pPr>
        <w:pStyle w:val="4"/>
        <w:pageBreakBefore w:val="0"/>
        <w:wordWrap/>
        <w:topLinePunct w:val="0"/>
        <w:bidi w:val="0"/>
        <w:spacing w:line="360" w:lineRule="auto"/>
        <w:rPr>
          <w:rFonts w:hint="eastAsia" w:ascii="宋体" w:hAnsi="宋体" w:eastAsia="宋体" w:cs="宋体"/>
        </w:rPr>
      </w:pPr>
    </w:p>
    <w:p>
      <w:pPr>
        <w:pStyle w:val="4"/>
        <w:pageBreakBefore w:val="0"/>
        <w:wordWrap/>
        <w:topLinePunct w:val="0"/>
        <w:bidi w:val="0"/>
        <w:spacing w:line="360" w:lineRule="auto"/>
        <w:rPr>
          <w:rFonts w:hint="eastAsia" w:ascii="宋体" w:hAnsi="宋体" w:eastAsia="宋体" w:cs="宋体"/>
        </w:rPr>
      </w:pPr>
    </w:p>
    <w:p>
      <w:pPr>
        <w:pStyle w:val="4"/>
        <w:pageBreakBefore w:val="0"/>
        <w:wordWrap/>
        <w:topLinePunct w:val="0"/>
        <w:bidi w:val="0"/>
        <w:spacing w:line="360" w:lineRule="auto"/>
        <w:rPr>
          <w:rFonts w:hint="eastAsia" w:ascii="宋体" w:hAnsi="宋体" w:eastAsia="宋体" w:cs="宋体"/>
        </w:rPr>
      </w:pPr>
    </w:p>
    <w:p>
      <w:pPr>
        <w:pStyle w:val="4"/>
        <w:pageBreakBefore w:val="0"/>
        <w:wordWrap/>
        <w:topLinePunct w:val="0"/>
        <w:bidi w:val="0"/>
        <w:spacing w:line="360" w:lineRule="auto"/>
        <w:rPr>
          <w:rFonts w:hint="eastAsia" w:ascii="宋体" w:hAnsi="宋体" w:eastAsia="宋体" w:cs="宋体"/>
        </w:rPr>
      </w:pPr>
    </w:p>
    <w:p>
      <w:pPr>
        <w:pStyle w:val="4"/>
        <w:pageBreakBefore w:val="0"/>
        <w:wordWrap/>
        <w:topLinePunct w:val="0"/>
        <w:bidi w:val="0"/>
        <w:spacing w:line="360" w:lineRule="auto"/>
        <w:rPr>
          <w:rFonts w:hint="eastAsia" w:ascii="宋体" w:hAnsi="宋体" w:eastAsia="宋体" w:cs="宋体"/>
        </w:rPr>
      </w:pPr>
    </w:p>
    <w:p>
      <w:pPr>
        <w:pStyle w:val="4"/>
        <w:pageBreakBefore w:val="0"/>
        <w:wordWrap/>
        <w:topLinePunct w:val="0"/>
        <w:bidi w:val="0"/>
        <w:spacing w:line="360" w:lineRule="auto"/>
        <w:rPr>
          <w:rFonts w:hint="eastAsia" w:ascii="宋体" w:hAnsi="宋体" w:eastAsia="宋体" w:cs="宋体"/>
        </w:rPr>
      </w:pPr>
    </w:p>
    <w:p>
      <w:pPr>
        <w:pageBreakBefore w:val="0"/>
        <w:wordWrap/>
        <w:topLinePunct w:val="0"/>
        <w:bidi w:val="0"/>
        <w:spacing w:line="360" w:lineRule="auto"/>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残疾人福利性单位声明函</w:t>
      </w:r>
    </w:p>
    <w:p>
      <w:pPr>
        <w:pageBreakBefore w:val="0"/>
        <w:wordWrap/>
        <w:topLinePunct w:val="0"/>
        <w:bidi w:val="0"/>
        <w:spacing w:line="360" w:lineRule="auto"/>
        <w:jc w:val="center"/>
        <w:rPr>
          <w:rFonts w:hint="eastAsia" w:ascii="宋体" w:hAnsi="宋体" w:eastAsia="宋体" w:cs="宋体"/>
          <w:b/>
          <w:spacing w:val="6"/>
          <w:sz w:val="32"/>
          <w:szCs w:val="32"/>
        </w:rPr>
      </w:pPr>
    </w:p>
    <w:p>
      <w:pPr>
        <w:pageBreakBefore w:val="0"/>
        <w:wordWrap/>
        <w:topLinePunct w:val="0"/>
        <w:bidi w:val="0"/>
        <w:spacing w:line="360" w:lineRule="auto"/>
        <w:ind w:firstLine="504" w:firstLineChars="20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wordWrap/>
        <w:topLinePunct w:val="0"/>
        <w:bidi w:val="0"/>
        <w:spacing w:line="360" w:lineRule="auto"/>
        <w:ind w:firstLine="504" w:firstLineChars="20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pageBreakBefore w:val="0"/>
        <w:wordWrap/>
        <w:topLinePunct w:val="0"/>
        <w:bidi w:val="0"/>
        <w:spacing w:line="360" w:lineRule="auto"/>
        <w:ind w:firstLine="504" w:firstLineChars="200"/>
        <w:outlineLvl w:val="9"/>
        <w:rPr>
          <w:rFonts w:hint="eastAsia" w:ascii="宋体" w:hAnsi="宋体" w:eastAsia="宋体" w:cs="宋体"/>
          <w:color w:val="auto"/>
          <w:spacing w:val="6"/>
          <w:sz w:val="24"/>
          <w:szCs w:val="24"/>
          <w:highlight w:val="none"/>
        </w:rPr>
      </w:pPr>
    </w:p>
    <w:p>
      <w:pPr>
        <w:pageBreakBefore w:val="0"/>
        <w:wordWrap/>
        <w:topLinePunct w:val="0"/>
        <w:bidi w:val="0"/>
        <w:spacing w:line="360" w:lineRule="auto"/>
        <w:ind w:firstLine="504" w:firstLineChars="200"/>
        <w:outlineLvl w:val="9"/>
        <w:rPr>
          <w:rFonts w:hint="eastAsia" w:ascii="宋体" w:hAnsi="宋体" w:eastAsia="宋体" w:cs="宋体"/>
          <w:color w:val="auto"/>
          <w:spacing w:val="6"/>
          <w:sz w:val="24"/>
          <w:szCs w:val="24"/>
          <w:highlight w:val="none"/>
        </w:rPr>
      </w:pPr>
    </w:p>
    <w:p>
      <w:pPr>
        <w:pageBreakBefore w:val="0"/>
        <w:wordWrap/>
        <w:topLinePunct w:val="0"/>
        <w:bidi w:val="0"/>
        <w:spacing w:line="360" w:lineRule="auto"/>
        <w:ind w:firstLine="504" w:firstLineChars="20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供应商名称：                       （盖公章）</w:t>
      </w:r>
    </w:p>
    <w:p>
      <w:pPr>
        <w:pageBreakBefore w:val="0"/>
        <w:wordWrap/>
        <w:topLinePunct w:val="0"/>
        <w:bidi w:val="0"/>
        <w:spacing w:line="360" w:lineRule="auto"/>
        <w:ind w:firstLine="504" w:firstLineChars="20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法定代表人或授权代表签字：                     </w:t>
      </w:r>
    </w:p>
    <w:p>
      <w:pPr>
        <w:pageBreakBefore w:val="0"/>
        <w:wordWrap/>
        <w:topLinePunct w:val="0"/>
        <w:bidi w:val="0"/>
        <w:spacing w:line="360" w:lineRule="auto"/>
        <w:ind w:firstLine="504" w:firstLineChars="20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年      月     日</w:t>
      </w:r>
    </w:p>
    <w:p>
      <w:pPr>
        <w:pageBreakBefore w:val="0"/>
        <w:wordWrap/>
        <w:topLinePunct w:val="0"/>
        <w:bidi w:val="0"/>
        <w:spacing w:line="360" w:lineRule="auto"/>
        <w:rPr>
          <w:rFonts w:hint="eastAsia" w:ascii="宋体" w:hAnsi="宋体" w:eastAsia="宋体" w:cs="宋体"/>
        </w:rPr>
      </w:pPr>
    </w:p>
    <w:p>
      <w:pPr>
        <w:pageBreakBefore w:val="0"/>
        <w:wordWrap/>
        <w:topLinePunct w:val="0"/>
        <w:bidi w:val="0"/>
        <w:spacing w:line="360" w:lineRule="auto"/>
        <w:outlineLvl w:val="9"/>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eastAsia" w:ascii="宋体" w:hAnsi="宋体" w:eastAsia="宋体" w:cs="宋体"/>
          <w:color w:val="auto"/>
          <w:sz w:val="24"/>
          <w:szCs w:val="24"/>
          <w:highlight w:val="none"/>
        </w:rPr>
      </w:pPr>
    </w:p>
    <w:p>
      <w:pPr>
        <w:pStyle w:val="23"/>
        <w:pageBreakBefore w:val="0"/>
        <w:wordWrap/>
        <w:topLinePunct w:val="0"/>
        <w:bidi w:val="0"/>
        <w:spacing w:line="360" w:lineRule="auto"/>
        <w:rPr>
          <w:rFonts w:hint="eastAsia" w:ascii="宋体" w:hAnsi="宋体" w:eastAsia="宋体" w:cs="宋体"/>
          <w:color w:val="auto"/>
          <w:sz w:val="24"/>
          <w:szCs w:val="24"/>
          <w:highlight w:val="none"/>
        </w:rPr>
      </w:pPr>
    </w:p>
    <w:p>
      <w:pPr>
        <w:pageBreakBefore w:val="0"/>
        <w:wordWrap/>
        <w:topLinePunct w:val="0"/>
        <w:bidi w:val="0"/>
        <w:spacing w:line="360" w:lineRule="auto"/>
        <w:rPr>
          <w:rFonts w:hint="eastAsia" w:ascii="宋体" w:hAnsi="宋体" w:eastAsia="宋体" w:cs="宋体"/>
          <w:color w:val="auto"/>
          <w:sz w:val="24"/>
          <w:szCs w:val="24"/>
          <w:highlight w:val="none"/>
        </w:rPr>
      </w:pPr>
    </w:p>
    <w:p>
      <w:pPr>
        <w:pStyle w:val="23"/>
        <w:pageBreakBefore w:val="0"/>
        <w:wordWrap/>
        <w:topLinePunct w:val="0"/>
        <w:bidi w:val="0"/>
        <w:spacing w:line="360" w:lineRule="auto"/>
        <w:rPr>
          <w:rFonts w:hint="eastAsia" w:ascii="宋体" w:hAnsi="宋体" w:eastAsia="宋体" w:cs="宋体"/>
          <w:color w:val="auto"/>
          <w:sz w:val="24"/>
          <w:szCs w:val="24"/>
          <w:highlight w:val="none"/>
        </w:rPr>
      </w:pPr>
    </w:p>
    <w:p>
      <w:pPr>
        <w:pageBreakBefore w:val="0"/>
        <w:wordWrap/>
        <w:topLinePunct w:val="0"/>
        <w:bidi w:val="0"/>
        <w:spacing w:line="360" w:lineRule="auto"/>
        <w:rPr>
          <w:rFonts w:hint="eastAsia" w:ascii="宋体" w:hAnsi="宋体" w:eastAsia="宋体" w:cs="宋体"/>
          <w:color w:val="auto"/>
          <w:sz w:val="24"/>
          <w:szCs w:val="24"/>
          <w:highlight w:val="none"/>
        </w:rPr>
      </w:pPr>
    </w:p>
    <w:p>
      <w:pPr>
        <w:pStyle w:val="23"/>
        <w:pageBreakBefore w:val="0"/>
        <w:wordWrap/>
        <w:topLinePunct w:val="0"/>
        <w:bidi w:val="0"/>
        <w:spacing w:line="360" w:lineRule="auto"/>
        <w:rPr>
          <w:rFonts w:hint="eastAsia" w:ascii="宋体" w:hAnsi="宋体" w:eastAsia="宋体" w:cs="宋体"/>
          <w:color w:val="auto"/>
          <w:sz w:val="24"/>
          <w:szCs w:val="24"/>
          <w:highlight w:val="none"/>
        </w:rPr>
      </w:pPr>
    </w:p>
    <w:p>
      <w:pPr>
        <w:pageBreakBefore w:val="0"/>
        <w:wordWrap/>
        <w:topLinePunct w:val="0"/>
        <w:bidi w:val="0"/>
        <w:spacing w:line="360" w:lineRule="auto"/>
        <w:rPr>
          <w:rFonts w:hint="eastAsia" w:ascii="宋体" w:hAnsi="宋体" w:eastAsia="宋体" w:cs="宋体"/>
          <w:color w:val="auto"/>
          <w:sz w:val="24"/>
          <w:szCs w:val="24"/>
          <w:highlight w:val="none"/>
        </w:rPr>
      </w:pPr>
    </w:p>
    <w:p>
      <w:pPr>
        <w:pStyle w:val="23"/>
        <w:pageBreakBefore w:val="0"/>
        <w:wordWrap/>
        <w:topLinePunct w:val="0"/>
        <w:bidi w:val="0"/>
        <w:spacing w:line="360" w:lineRule="auto"/>
        <w:rPr>
          <w:rFonts w:hint="eastAsia" w:ascii="宋体" w:hAnsi="宋体" w:eastAsia="宋体" w:cs="宋体"/>
          <w:color w:val="auto"/>
          <w:sz w:val="24"/>
          <w:szCs w:val="24"/>
          <w:highlight w:val="none"/>
        </w:rPr>
      </w:pPr>
    </w:p>
    <w:p>
      <w:pPr>
        <w:pageBreakBefore w:val="0"/>
        <w:wordWrap/>
        <w:topLinePunct w:val="0"/>
        <w:bidi w:val="0"/>
        <w:spacing w:line="360" w:lineRule="auto"/>
        <w:rPr>
          <w:rFonts w:hint="eastAsia" w:ascii="宋体" w:hAnsi="宋体" w:eastAsia="宋体" w:cs="宋体"/>
          <w:color w:val="auto"/>
          <w:sz w:val="24"/>
          <w:szCs w:val="24"/>
          <w:highlight w:val="none"/>
        </w:rPr>
      </w:pPr>
    </w:p>
    <w:p>
      <w:pPr>
        <w:pStyle w:val="23"/>
        <w:pageBreakBefore w:val="0"/>
        <w:wordWrap/>
        <w:topLinePunct w:val="0"/>
        <w:bidi w:val="0"/>
        <w:spacing w:line="360" w:lineRule="auto"/>
        <w:rPr>
          <w:rFonts w:hint="eastAsia" w:ascii="宋体" w:hAnsi="宋体" w:eastAsia="宋体" w:cs="宋体"/>
        </w:rPr>
      </w:pPr>
    </w:p>
    <w:p>
      <w:pPr>
        <w:pageBreakBefore w:val="0"/>
        <w:wordWrap/>
        <w:topLinePunct w:val="0"/>
        <w:bidi w:val="0"/>
        <w:spacing w:line="360" w:lineRule="auto"/>
        <w:jc w:val="center"/>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磋商评标办法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1" w:firstLineChars="200"/>
        <w:jc w:val="left"/>
        <w:textAlignment w:val="auto"/>
        <w:rPr>
          <w:rFonts w:hint="eastAsia" w:ascii="宋体" w:hAnsi="宋体" w:eastAsia="宋体" w:cs="宋体"/>
          <w:sz w:val="24"/>
          <w:szCs w:val="22"/>
        </w:rPr>
      </w:pPr>
      <w:r>
        <w:rPr>
          <w:rFonts w:hint="eastAsia" w:ascii="宋体" w:hAnsi="宋体" w:eastAsia="宋体" w:cs="宋体"/>
          <w:b/>
          <w:bCs/>
          <w:color w:val="000000"/>
          <w:kern w:val="0"/>
          <w:sz w:val="24"/>
          <w:szCs w:val="24"/>
          <w:lang w:val="en-US" w:eastAsia="zh-CN" w:bidi="ar"/>
        </w:rPr>
        <w:t xml:space="preserve">一、磋商评审原则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根据《中华人民共和国政府采购法》、《中华人民共和国政府采购法实施条例》及相关的法律法规，以及本竞争性磋商文件载明的磋商办法和标准，坚持公正、公平和科学合理的原则，反对不正当竞争。评审方式采用综合评分法（百分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1" w:firstLineChars="200"/>
        <w:jc w:val="left"/>
        <w:textAlignment w:val="auto"/>
        <w:rPr>
          <w:rFonts w:hint="eastAsia" w:ascii="宋体" w:hAnsi="宋体" w:eastAsia="宋体" w:cs="宋体"/>
          <w:sz w:val="24"/>
          <w:szCs w:val="22"/>
        </w:rPr>
      </w:pPr>
      <w:r>
        <w:rPr>
          <w:rFonts w:hint="eastAsia" w:ascii="宋体" w:hAnsi="宋体" w:eastAsia="宋体" w:cs="宋体"/>
          <w:b/>
          <w:bCs/>
          <w:color w:val="000000"/>
          <w:kern w:val="0"/>
          <w:sz w:val="24"/>
          <w:szCs w:val="24"/>
          <w:lang w:val="en-US" w:eastAsia="zh-CN" w:bidi="ar"/>
        </w:rPr>
        <w:t xml:space="preserve">二、磋商组织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评审由采购人依法组建的磋商小组负责，磋商小组由按其规定抽取的评审专家组成，成员人数为5人。磋商小组通过民主方式推选一名磋商小组负责人，磋商小组负责人对评审活动担负组织领导工作，并具有同等的评审权利。磋商小组成员应当客观、公正地履行职责，遵守职业道德，对所提出的评审意见承担个人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1、磋商小组成员不得与任何供应商或者与成交结果有利害关系的人进行私下接触，不得收受供应商、中介人、其他利害关系人的财物或者其他好处。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2、磋商小组应当根据竞争性磋商文件规定的磋商标准和办法，对采购响应文件进行系统地评审和比较。竞争性磋商文件中没有规定的办法和标准不得作为评审的依据。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3、在评审过程中，磋商小组发现供应商以他人的名义、串通、以行贿手段谋取成交结果或者以其他弄虚作假方式成交的，该供应商的成交结果应作响应文件无效处理。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4、有下列情形之一的，不得担任磋商小组成员：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①．供应商或者供应商主要负责人的近亲属；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②．项目主管部门或者行政监督部门的人员；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③．与供应商有经济利益关系，可能影响对磋商公正评审的；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磋商小组成员有前款规定情形之一的，应当主动提出回避。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1" w:firstLineChars="200"/>
        <w:jc w:val="left"/>
        <w:textAlignment w:val="auto"/>
        <w:rPr>
          <w:rFonts w:hint="eastAsia" w:ascii="宋体" w:hAnsi="宋体" w:eastAsia="宋体" w:cs="宋体"/>
          <w:sz w:val="24"/>
          <w:szCs w:val="22"/>
        </w:rPr>
      </w:pPr>
      <w:r>
        <w:rPr>
          <w:rFonts w:hint="eastAsia" w:ascii="宋体" w:hAnsi="宋体" w:eastAsia="宋体" w:cs="宋体"/>
          <w:b/>
          <w:bCs/>
          <w:color w:val="000000"/>
          <w:kern w:val="0"/>
          <w:sz w:val="24"/>
          <w:szCs w:val="24"/>
          <w:lang w:val="en-US" w:eastAsia="zh-CN" w:bidi="ar"/>
        </w:rPr>
        <w:t xml:space="preserve">三、评审内容与方法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（一）资格后审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磋商小组首先按照竞争性磋商文件要求对各供应商的资格进行审查，通过资格审查的供应商可进入下一步评审。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（二）初步评审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1、在详细评审前磋商小组根据竞争性磋商文件，按照初步评审表的形式，对所有采购响应文件进行审查并逐项列出每一份采购响应文件的全部偏差，审定每份采购响应文件是否响应竞争性磋商文件的实质性要求和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2、不响应竞争性磋商文件的实质性要求和条件的采购响应文件将被拒绝，并且不允许相关供应商通过修正或撤消其不符合要求的差异或保留而使其成为实质上响应性。初步评审被拒绝的采购响应文件，不再参与任何后续评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2.1 响应文件未按竞争性磋商文件要求签署及盖章；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2.2 响应文件载明的事宜超过竞争性磋商文件规定的且不能被采购人接受；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2.3 供应商不参加开标仪式及询标事宜；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2.4 供应商提供虚假材料的；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2.5 不符合竞争性磋商文件中规定的其他实质性要求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（三）技术部分评审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磋商小组根据竞争性磋商文件中的要求及供应商递交的采购响应文件对技术部分进行评审，并按技术部分评审表设定的评审内容进行评审打分。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（四）商务部分评审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对经初步评审合格采购响应文件中的商务部分进行以下评审：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1、磋商小组将对经初步评审合格的采购响应文件中的磋商报价进行校核，并对算术上或累加运算上的错误予以修正。算术性错误分析和修正的原则如下：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（1）用数字表示的数额与用文字表示的数额不一致时，以文字数额为准；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（2）单价与工程量的乘积与总价之间不一致时，以单价为准。若单价有明显的小数点错位，应以总价为准，并修改单价；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（3）当标出的分项乘积累计得出的合价与标出的合价不一致时，以标出的分项乘积合价为准，并修改标出的合价；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（4）算术性错误修正仅是出于评审需要，不得改变供应商在磋商函中标明的磋商价格。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2、商务部分评审过程中，如果磋商小组认为必要，可以根据情况需要个别地要求供应商澄清其采购响应文件的某些细节，以及对其磋商报价依据说明，澄清、说明应以书面方式进行，并不得超出采购响应文件的范围或者改变采购响应文件的实质性内容。如果磋商小组对供应商提交的澄清、说明依然存在疑问，磋商小组可以进一步质疑。供应商对这种进一步质疑应相应地进一步澄清、说明，直至磋商小组认为全部质疑都得到澄清、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3、在磋商过程中，磋商小组可以根据磋商文件和磋商情况实质性变动采购需求中的技术、服务要求以及合同草案条款，但不得变动磋商文件中的其他内容。实质性变动的内容，须经采购人代表确认。磋商过程中可能实质性变动的内容，供应商须在磋商小组澄清文件发出时间后两小时内，在原磋商地点提交响应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（五）最终磋商书面报价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 xml:space="preserve">1、磋商小组与评议合格的供应商作技术和商务磋商。对评议通过的采购响应文件，由磋商小组与供应商作进一步的技术和商务磋商。在磋商中，磋商的任何一方不得透露与磋商有关的其他供应商的技术资料、价格和其他信息。竞争性磋商文件有实质性变动的，磋商小组应当以书面形式通知所有参加磋商的供应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color w:val="000000"/>
          <w:kern w:val="0"/>
          <w:sz w:val="24"/>
          <w:szCs w:val="24"/>
          <w:lang w:val="en-US" w:eastAsia="zh-CN" w:bidi="ar"/>
        </w:rPr>
        <w:t>2、磋商小组应当按照竞争性磋商文件约定的程序（仅一轮）分别与单一供应商进行技术和商务磋商。磋商小组将对采购响应文件中有关问题分别向供应商进行询问，并要求各供应商予以答复。重要或复杂问题澄清后，需补充以书面形式，并经法定代表人或其被授权代表签署。澄清文件将作为采购响应文件的组成部分。磋商小组在与单一供应商磋商结束时，由该供应商出具经法定代表人或其被授权代表签署的最终磋商书面报价，确认售后服务承诺等（须经法定代表人或其被授权代表签署）。最终磋商书面报价的新报价不得高于采购响应文件中的磋商报价，否则将导致响应文件无效，最终磋商书面报价为最终报价，并作为计分依据。</w:t>
      </w:r>
    </w:p>
    <w:p>
      <w:pPr>
        <w:pStyle w:val="3"/>
        <w:pageBreakBefore w:val="0"/>
        <w:wordWrap/>
        <w:topLinePunct w:val="0"/>
        <w:bidi w:val="0"/>
        <w:spacing w:line="360" w:lineRule="auto"/>
        <w:rPr>
          <w:rFonts w:hint="eastAsia" w:ascii="宋体" w:hAnsi="宋体" w:eastAsia="宋体" w:cs="宋体"/>
        </w:rPr>
        <w:sectPr>
          <w:pgSz w:w="11911" w:h="16838"/>
          <w:pgMar w:top="1701" w:right="1134" w:bottom="743" w:left="1134" w:header="720" w:footer="720" w:gutter="0"/>
          <w:pgNumType w:fmt="decimal"/>
          <w:cols w:space="0" w:num="1"/>
          <w:rtlGutter w:val="0"/>
          <w:docGrid w:linePitch="0" w:charSpace="0"/>
        </w:sectPr>
      </w:pPr>
    </w:p>
    <w:p>
      <w:pPr>
        <w:pStyle w:val="4"/>
        <w:pageBreakBefore w:val="0"/>
        <w:wordWrap/>
        <w:topLinePunct w:val="0"/>
        <w:bidi w:val="0"/>
        <w:spacing w:line="360" w:lineRule="auto"/>
        <w:ind w:left="0" w:leftChars="0" w:firstLine="0" w:firstLineChars="0"/>
        <w:rPr>
          <w:rFonts w:hint="eastAsia" w:ascii="宋体" w:hAnsi="宋体" w:eastAsia="宋体" w:cs="宋体"/>
        </w:rPr>
      </w:pPr>
    </w:p>
    <w:p>
      <w:pPr>
        <w:pStyle w:val="5"/>
        <w:keepNext w:val="0"/>
        <w:keepLines w:val="0"/>
        <w:pageBreakBefore w:val="0"/>
        <w:widowControl w:val="0"/>
        <w:numPr>
          <w:ilvl w:val="2"/>
          <w:numId w:val="0"/>
        </w:numPr>
        <w:kinsoku w:val="0"/>
        <w:wordWrap/>
        <w:overflowPunct w:val="0"/>
        <w:topLinePunct w:val="0"/>
        <w:autoSpaceDE w:val="0"/>
        <w:autoSpaceDN w:val="0"/>
        <w:bidi w:val="0"/>
        <w:spacing w:before="55" w:line="360" w:lineRule="auto"/>
        <w:rPr>
          <w:rFonts w:hint="eastAsia" w:ascii="宋体" w:hAnsi="宋体" w:eastAsia="宋体" w:cs="宋体"/>
          <w:highlight w:val="yellow"/>
          <w:u w:val="none"/>
        </w:rPr>
      </w:pPr>
      <w:r>
        <w:rPr>
          <w:rFonts w:hint="eastAsia" w:ascii="宋体" w:hAnsi="宋体" w:eastAsia="宋体" w:cs="宋体"/>
          <w:u w:val="none"/>
          <w:lang w:eastAsia="zh-CN"/>
        </w:rPr>
        <w:t>附件</w:t>
      </w:r>
      <w:r>
        <w:rPr>
          <w:rFonts w:hint="eastAsia" w:ascii="宋体" w:hAnsi="宋体" w:eastAsia="宋体" w:cs="宋体"/>
          <w:u w:val="none"/>
          <w:lang w:val="en-US" w:eastAsia="zh-CN"/>
        </w:rPr>
        <w:t>1：</w:t>
      </w:r>
      <w:r>
        <w:rPr>
          <w:rFonts w:hint="eastAsia" w:ascii="宋体" w:hAnsi="宋体" w:eastAsia="宋体" w:cs="宋体"/>
          <w:highlight w:val="none"/>
          <w:u w:val="none"/>
        </w:rPr>
        <w:t>资格审查表</w:t>
      </w:r>
    </w:p>
    <w:tbl>
      <w:tblPr>
        <w:tblStyle w:val="26"/>
        <w:tblpPr w:leftFromText="180" w:rightFromText="180" w:vertAnchor="text" w:horzAnchor="page" w:tblpX="930" w:tblpY="451"/>
        <w:tblOverlap w:val="never"/>
        <w:tblW w:w="152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1578"/>
        <w:gridCol w:w="1100"/>
        <w:gridCol w:w="1012"/>
        <w:gridCol w:w="788"/>
        <w:gridCol w:w="1125"/>
        <w:gridCol w:w="1237"/>
        <w:gridCol w:w="2600"/>
        <w:gridCol w:w="1450"/>
        <w:gridCol w:w="2137"/>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0" w:hRule="atLeast"/>
        </w:trPr>
        <w:tc>
          <w:tcPr>
            <w:tcW w:w="1344" w:type="dxa"/>
            <w:vAlign w:val="center"/>
          </w:tcPr>
          <w:p>
            <w:pPr>
              <w:pStyle w:val="41"/>
              <w:keepNext w:val="0"/>
              <w:keepLines w:val="0"/>
              <w:pageBreakBefore w:val="0"/>
              <w:widowControl w:val="0"/>
              <w:kinsoku w:val="0"/>
              <w:wordWrap/>
              <w:overflowPunct w:val="0"/>
              <w:topLinePunct w:val="0"/>
              <w:autoSpaceDE w:val="0"/>
              <w:autoSpaceDN w:val="0"/>
              <w:bidi w:val="0"/>
              <w:spacing w:line="360" w:lineRule="auto"/>
              <w:ind w:right="143"/>
              <w:jc w:val="both"/>
              <w:rPr>
                <w:rFonts w:hint="eastAsia" w:ascii="宋体" w:hAnsi="宋体" w:eastAsia="宋体" w:cs="宋体"/>
                <w:sz w:val="20"/>
                <w:szCs w:val="18"/>
                <w:lang w:val="en-US" w:eastAsia="zh-CN"/>
              </w:rPr>
            </w:pPr>
          </w:p>
          <w:p>
            <w:pPr>
              <w:pStyle w:val="41"/>
              <w:keepNext w:val="0"/>
              <w:keepLines w:val="0"/>
              <w:pageBreakBefore w:val="0"/>
              <w:widowControl w:val="0"/>
              <w:kinsoku w:val="0"/>
              <w:wordWrap/>
              <w:overflowPunct w:val="0"/>
              <w:topLinePunct w:val="0"/>
              <w:autoSpaceDE w:val="0"/>
              <w:autoSpaceDN w:val="0"/>
              <w:bidi w:val="0"/>
              <w:spacing w:line="360" w:lineRule="auto"/>
              <w:ind w:left="153" w:right="143"/>
              <w:jc w:val="center"/>
              <w:rPr>
                <w:rFonts w:hint="eastAsia" w:ascii="宋体" w:hAnsi="宋体" w:eastAsia="宋体" w:cs="宋体"/>
                <w:sz w:val="20"/>
                <w:szCs w:val="18"/>
                <w:lang w:val="en-US" w:eastAsia="zh-CN"/>
              </w:rPr>
            </w:pPr>
            <w:r>
              <w:rPr>
                <w:rStyle w:val="29"/>
                <w:rFonts w:hint="eastAsia" w:ascii="宋体" w:hAnsi="宋体" w:eastAsia="宋体" w:cs="宋体"/>
                <w:b w:val="0"/>
                <w:bCs/>
                <w:color w:val="auto"/>
                <w:sz w:val="18"/>
                <w:szCs w:val="18"/>
                <w:highlight w:val="none"/>
                <w:lang w:val="en-US" w:eastAsia="zh-CN"/>
              </w:rPr>
              <w:t>投标人名称</w:t>
            </w:r>
          </w:p>
        </w:tc>
        <w:tc>
          <w:tcPr>
            <w:tcW w:w="1578" w:type="dxa"/>
            <w:vAlign w:val="center"/>
          </w:tcPr>
          <w:p>
            <w:pPr>
              <w:pStyle w:val="41"/>
              <w:keepNext w:val="0"/>
              <w:keepLines w:val="0"/>
              <w:pageBreakBefore w:val="0"/>
              <w:widowControl w:val="0"/>
              <w:kinsoku w:val="0"/>
              <w:wordWrap/>
              <w:overflowPunct w:val="0"/>
              <w:topLinePunct w:val="0"/>
              <w:autoSpaceDE w:val="0"/>
              <w:autoSpaceDN w:val="0"/>
              <w:bidi w:val="0"/>
              <w:spacing w:line="360" w:lineRule="auto"/>
              <w:ind w:left="153" w:right="143"/>
              <w:jc w:val="center"/>
              <w:rPr>
                <w:rFonts w:hint="eastAsia" w:ascii="宋体" w:hAnsi="宋体" w:eastAsia="宋体" w:cs="宋体"/>
                <w:sz w:val="20"/>
                <w:szCs w:val="18"/>
                <w:lang w:eastAsia="zh-CN"/>
              </w:rPr>
            </w:pPr>
            <w:r>
              <w:rPr>
                <w:rStyle w:val="29"/>
                <w:rFonts w:hint="eastAsia" w:ascii="宋体" w:hAnsi="宋体" w:eastAsia="宋体" w:cs="宋体"/>
                <w:b w:val="0"/>
                <w:bCs/>
                <w:color w:val="auto"/>
                <w:kern w:val="2"/>
                <w:sz w:val="18"/>
                <w:szCs w:val="18"/>
                <w:highlight w:val="none"/>
                <w:lang w:val="en-US" w:eastAsia="zh-CN" w:bidi="ar-SA"/>
              </w:rPr>
              <w:t>提供在中华人民共和国境内注册的法人或者其他组织的营业执照复印件；如供应商是事业单位，应提供有效的“事业单位法人证书或社会团体法人登记证书”扫描件；如供应商为自然人的需提供自然人身份证明复印件；</w:t>
            </w:r>
          </w:p>
        </w:tc>
        <w:tc>
          <w:tcPr>
            <w:tcW w:w="1100" w:type="dxa"/>
            <w:vAlign w:val="center"/>
          </w:tcPr>
          <w:p>
            <w:pPr>
              <w:pStyle w:val="41"/>
              <w:keepNext w:val="0"/>
              <w:keepLines w:val="0"/>
              <w:pageBreakBefore w:val="0"/>
              <w:widowControl w:val="0"/>
              <w:kinsoku w:val="0"/>
              <w:wordWrap/>
              <w:overflowPunct w:val="0"/>
              <w:topLinePunct w:val="0"/>
              <w:autoSpaceDE w:val="0"/>
              <w:autoSpaceDN w:val="0"/>
              <w:bidi w:val="0"/>
              <w:spacing w:before="1" w:line="360" w:lineRule="auto"/>
              <w:ind w:left="188" w:right="174"/>
              <w:jc w:val="center"/>
              <w:rPr>
                <w:rFonts w:hint="eastAsia" w:ascii="宋体" w:hAnsi="宋体" w:eastAsia="宋体" w:cs="宋体"/>
                <w:sz w:val="20"/>
                <w:szCs w:val="18"/>
                <w:lang w:val="en-US" w:eastAsia="zh-CN"/>
              </w:rPr>
            </w:pPr>
            <w:r>
              <w:rPr>
                <w:rStyle w:val="29"/>
                <w:rFonts w:hint="eastAsia" w:ascii="宋体" w:hAnsi="宋体" w:eastAsia="宋体" w:cs="宋体"/>
                <w:b w:val="0"/>
                <w:bCs/>
                <w:color w:val="auto"/>
                <w:kern w:val="2"/>
                <w:sz w:val="18"/>
                <w:szCs w:val="18"/>
                <w:highlight w:val="none"/>
                <w:lang w:val="en-US" w:eastAsia="zh-CN" w:bidi="ar-SA"/>
              </w:rPr>
              <w:t>法人授权委托书、法人及被授权人身份证扫描件(法定代表人直接投标可不提供，但须提供法定代表人身份证扫描件)；</w:t>
            </w:r>
          </w:p>
        </w:tc>
        <w:tc>
          <w:tcPr>
            <w:tcW w:w="1012" w:type="dxa"/>
            <w:vAlign w:val="center"/>
          </w:tcPr>
          <w:p>
            <w:pPr>
              <w:pStyle w:val="41"/>
              <w:keepNext w:val="0"/>
              <w:keepLines w:val="0"/>
              <w:pageBreakBefore w:val="0"/>
              <w:widowControl w:val="0"/>
              <w:kinsoku w:val="0"/>
              <w:wordWrap/>
              <w:overflowPunct w:val="0"/>
              <w:topLinePunct w:val="0"/>
              <w:autoSpaceDE w:val="0"/>
              <w:autoSpaceDN w:val="0"/>
              <w:bidi w:val="0"/>
              <w:spacing w:before="188" w:line="360" w:lineRule="auto"/>
              <w:ind w:left="176" w:right="166"/>
              <w:jc w:val="center"/>
              <w:rPr>
                <w:rFonts w:hint="eastAsia" w:ascii="宋体" w:hAnsi="宋体" w:eastAsia="宋体" w:cs="宋体"/>
                <w:sz w:val="20"/>
                <w:szCs w:val="18"/>
                <w:lang w:eastAsia="zh-CN"/>
              </w:rPr>
            </w:pPr>
            <w:r>
              <w:rPr>
                <w:rStyle w:val="29"/>
                <w:rFonts w:hint="eastAsia" w:ascii="宋体" w:hAnsi="宋体" w:eastAsia="宋体" w:cs="宋体"/>
                <w:b w:val="0"/>
                <w:bCs/>
                <w:color w:val="auto"/>
                <w:kern w:val="2"/>
                <w:sz w:val="18"/>
                <w:szCs w:val="18"/>
                <w:highlight w:val="none"/>
                <w:lang w:val="en-US" w:eastAsia="zh-CN" w:bidi="ar-SA"/>
              </w:rPr>
              <w:t>提供具有良好商业信誉和健全的财务会计制度的承诺函或证明材料；</w:t>
            </w:r>
          </w:p>
        </w:tc>
        <w:tc>
          <w:tcPr>
            <w:tcW w:w="788" w:type="dxa"/>
            <w:vAlign w:val="center"/>
          </w:tcPr>
          <w:p>
            <w:pPr>
              <w:pStyle w:val="41"/>
              <w:keepNext w:val="0"/>
              <w:keepLines w:val="0"/>
              <w:pageBreakBefore w:val="0"/>
              <w:widowControl w:val="0"/>
              <w:kinsoku w:val="0"/>
              <w:wordWrap/>
              <w:overflowPunct w:val="0"/>
              <w:topLinePunct w:val="0"/>
              <w:autoSpaceDE w:val="0"/>
              <w:autoSpaceDN w:val="0"/>
              <w:bidi w:val="0"/>
              <w:spacing w:before="7" w:line="360" w:lineRule="auto"/>
              <w:ind w:left="185" w:right="174" w:hanging="1"/>
              <w:jc w:val="center"/>
              <w:rPr>
                <w:rFonts w:hint="eastAsia" w:ascii="宋体" w:hAnsi="宋体" w:eastAsia="宋体" w:cs="宋体"/>
                <w:sz w:val="20"/>
                <w:szCs w:val="18"/>
                <w:lang w:val="en-US" w:eastAsia="zh-CN"/>
              </w:rPr>
            </w:pPr>
            <w:r>
              <w:rPr>
                <w:rStyle w:val="29"/>
                <w:rFonts w:hint="eastAsia" w:ascii="宋体" w:hAnsi="宋体" w:eastAsia="宋体" w:cs="宋体"/>
                <w:b w:val="0"/>
                <w:bCs/>
                <w:color w:val="auto"/>
                <w:kern w:val="2"/>
                <w:sz w:val="18"/>
                <w:szCs w:val="18"/>
                <w:highlight w:val="none"/>
                <w:lang w:val="en-US" w:eastAsia="zh-CN" w:bidi="ar-SA"/>
              </w:rPr>
              <w:t>提供履行合同所必需的设备和专业技术能力的承诺函或证明材料；</w:t>
            </w:r>
          </w:p>
        </w:tc>
        <w:tc>
          <w:tcPr>
            <w:tcW w:w="1125" w:type="dxa"/>
            <w:vAlign w:val="center"/>
          </w:tcPr>
          <w:p>
            <w:pPr>
              <w:pStyle w:val="41"/>
              <w:keepNext w:val="0"/>
              <w:keepLines w:val="0"/>
              <w:pageBreakBefore w:val="0"/>
              <w:widowControl w:val="0"/>
              <w:kinsoku w:val="0"/>
              <w:wordWrap/>
              <w:overflowPunct w:val="0"/>
              <w:topLinePunct w:val="0"/>
              <w:autoSpaceDE w:val="0"/>
              <w:autoSpaceDN w:val="0"/>
              <w:bidi w:val="0"/>
              <w:spacing w:before="7" w:line="360" w:lineRule="auto"/>
              <w:ind w:right="174"/>
              <w:jc w:val="both"/>
              <w:rPr>
                <w:rFonts w:hint="eastAsia" w:ascii="宋体" w:hAnsi="宋体" w:eastAsia="宋体" w:cs="宋体"/>
                <w:sz w:val="20"/>
                <w:szCs w:val="18"/>
                <w:lang w:val="en-US" w:eastAsia="zh-CN"/>
              </w:rPr>
            </w:pPr>
            <w:r>
              <w:rPr>
                <w:rStyle w:val="29"/>
                <w:rFonts w:hint="eastAsia" w:ascii="宋体" w:hAnsi="宋体" w:eastAsia="宋体" w:cs="宋体"/>
                <w:b w:val="0"/>
                <w:bCs/>
                <w:color w:val="auto"/>
                <w:kern w:val="2"/>
                <w:sz w:val="18"/>
                <w:szCs w:val="18"/>
                <w:highlight w:val="none"/>
                <w:lang w:val="en-US" w:eastAsia="zh-CN" w:bidi="ar-SA"/>
              </w:rPr>
              <w:t>具有依法缴纳税收和社会保障资金的良好记录的承诺函或证明材料；</w:t>
            </w:r>
          </w:p>
        </w:tc>
        <w:tc>
          <w:tcPr>
            <w:tcW w:w="1237" w:type="dxa"/>
            <w:vAlign w:val="center"/>
          </w:tcPr>
          <w:p>
            <w:pPr>
              <w:pStyle w:val="41"/>
              <w:keepNext w:val="0"/>
              <w:keepLines w:val="0"/>
              <w:pageBreakBefore w:val="0"/>
              <w:widowControl w:val="0"/>
              <w:kinsoku w:val="0"/>
              <w:wordWrap/>
              <w:overflowPunct w:val="0"/>
              <w:topLinePunct w:val="0"/>
              <w:autoSpaceDE w:val="0"/>
              <w:autoSpaceDN w:val="0"/>
              <w:bidi w:val="0"/>
              <w:spacing w:before="7" w:line="360" w:lineRule="auto"/>
              <w:ind w:left="185" w:right="174" w:hanging="1"/>
              <w:jc w:val="center"/>
              <w:rPr>
                <w:rFonts w:hint="eastAsia" w:ascii="宋体" w:hAnsi="宋体" w:eastAsia="宋体" w:cs="宋体"/>
                <w:sz w:val="20"/>
                <w:szCs w:val="18"/>
                <w:lang w:val="en-US" w:eastAsia="zh-CN"/>
              </w:rPr>
            </w:pPr>
            <w:r>
              <w:rPr>
                <w:rStyle w:val="29"/>
                <w:rFonts w:hint="eastAsia" w:ascii="宋体" w:hAnsi="宋体" w:eastAsia="宋体" w:cs="宋体"/>
                <w:b w:val="0"/>
                <w:bCs/>
                <w:color w:val="auto"/>
                <w:kern w:val="2"/>
                <w:sz w:val="18"/>
                <w:szCs w:val="18"/>
                <w:highlight w:val="none"/>
                <w:lang w:val="en-US" w:eastAsia="zh-CN" w:bidi="ar-SA"/>
              </w:rPr>
              <w:t>提供参加采购活动前三年内在经营活动中没有重大违法记录的书面声明。</w:t>
            </w:r>
          </w:p>
        </w:tc>
        <w:tc>
          <w:tcPr>
            <w:tcW w:w="2600" w:type="dxa"/>
            <w:vAlign w:val="center"/>
          </w:tcPr>
          <w:p>
            <w:pPr>
              <w:pStyle w:val="41"/>
              <w:keepNext w:val="0"/>
              <w:keepLines w:val="0"/>
              <w:pageBreakBefore w:val="0"/>
              <w:widowControl w:val="0"/>
              <w:kinsoku w:val="0"/>
              <w:wordWrap/>
              <w:overflowPunct w:val="0"/>
              <w:topLinePunct w:val="0"/>
              <w:autoSpaceDE w:val="0"/>
              <w:autoSpaceDN w:val="0"/>
              <w:bidi w:val="0"/>
              <w:spacing w:before="188" w:line="360" w:lineRule="auto"/>
              <w:ind w:left="176" w:leftChars="0" w:right="166" w:rightChars="0"/>
              <w:jc w:val="center"/>
              <w:rPr>
                <w:rFonts w:hint="eastAsia" w:ascii="宋体" w:hAnsi="宋体" w:eastAsia="宋体" w:cs="宋体"/>
                <w:sz w:val="20"/>
                <w:szCs w:val="18"/>
                <w:lang w:val="en-US" w:eastAsia="zh-CN"/>
              </w:rPr>
            </w:pPr>
            <w:r>
              <w:rPr>
                <w:rStyle w:val="29"/>
                <w:rFonts w:hint="eastAsia" w:ascii="宋体" w:hAnsi="宋体" w:eastAsia="宋体" w:cs="宋体"/>
                <w:b w:val="0"/>
                <w:bCs/>
                <w:color w:val="auto"/>
                <w:kern w:val="2"/>
                <w:sz w:val="18"/>
                <w:szCs w:val="18"/>
                <w:highlight w:val="none"/>
                <w:lang w:val="en-US" w:eastAsia="zh-CN" w:bidi="ar-SA"/>
              </w:rPr>
              <w:t>供应商在“中国政府采购网”未被列入政府采购严重违法失信行为记录名单，在“信用中国”网站未被列入失信被执行人、重大税收违法案件当事人名单(实际查询结果以采购人或代理机构于递交响应文件截止日网查结果为准。无法查询的行政事业单位或自然人本项目专门面向中小微企业，提供《中小企业声明函》。等须提供书面无不良信用记录承诺书)。</w:t>
            </w:r>
          </w:p>
        </w:tc>
        <w:tc>
          <w:tcPr>
            <w:tcW w:w="1450" w:type="dxa"/>
            <w:vAlign w:val="center"/>
          </w:tcPr>
          <w:p>
            <w:pPr>
              <w:pStyle w:val="41"/>
              <w:keepNext w:val="0"/>
              <w:keepLines w:val="0"/>
              <w:pageBreakBefore w:val="0"/>
              <w:widowControl w:val="0"/>
              <w:kinsoku w:val="0"/>
              <w:wordWrap/>
              <w:overflowPunct w:val="0"/>
              <w:topLinePunct w:val="0"/>
              <w:autoSpaceDE w:val="0"/>
              <w:autoSpaceDN w:val="0"/>
              <w:bidi w:val="0"/>
              <w:spacing w:before="7" w:line="360" w:lineRule="auto"/>
              <w:ind w:left="185" w:leftChars="0" w:right="174" w:rightChars="0" w:hanging="1" w:firstLineChars="0"/>
              <w:jc w:val="center"/>
              <w:rPr>
                <w:rFonts w:hint="eastAsia" w:ascii="宋体" w:hAnsi="宋体" w:eastAsia="宋体" w:cs="宋体"/>
                <w:sz w:val="20"/>
                <w:szCs w:val="18"/>
              </w:rPr>
            </w:pPr>
            <w:r>
              <w:rPr>
                <w:rStyle w:val="29"/>
                <w:rFonts w:hint="eastAsia" w:ascii="宋体" w:hAnsi="宋体" w:eastAsia="宋体" w:cs="宋体"/>
                <w:b w:val="0"/>
                <w:bCs/>
                <w:color w:val="auto"/>
                <w:kern w:val="2"/>
                <w:sz w:val="18"/>
                <w:szCs w:val="18"/>
                <w:highlight w:val="none"/>
                <w:lang w:val="en-US" w:eastAsia="zh-CN" w:bidi="ar-SA"/>
              </w:rPr>
              <w:t>本项目专门面向中小微企业，提供《中小企业声明函》。</w:t>
            </w:r>
          </w:p>
        </w:tc>
        <w:tc>
          <w:tcPr>
            <w:tcW w:w="2137" w:type="dxa"/>
            <w:vAlign w:val="center"/>
          </w:tcPr>
          <w:p>
            <w:pPr>
              <w:pStyle w:val="41"/>
              <w:keepNext w:val="0"/>
              <w:keepLines w:val="0"/>
              <w:pageBreakBefore w:val="0"/>
              <w:widowControl w:val="0"/>
              <w:kinsoku w:val="0"/>
              <w:wordWrap/>
              <w:overflowPunct w:val="0"/>
              <w:topLinePunct w:val="0"/>
              <w:autoSpaceDE w:val="0"/>
              <w:autoSpaceDN w:val="0"/>
              <w:bidi w:val="0"/>
              <w:spacing w:before="192" w:line="360" w:lineRule="auto"/>
              <w:jc w:val="center"/>
              <w:rPr>
                <w:rFonts w:hint="eastAsia" w:ascii="宋体" w:hAnsi="宋体" w:eastAsia="宋体" w:cs="宋体"/>
                <w:sz w:val="20"/>
                <w:szCs w:val="18"/>
                <w:lang w:eastAsia="zh-CN"/>
              </w:rPr>
            </w:pPr>
            <w:r>
              <w:rPr>
                <w:rStyle w:val="29"/>
                <w:rFonts w:hint="eastAsia" w:ascii="宋体" w:hAnsi="宋体" w:eastAsia="宋体" w:cs="宋体"/>
                <w:b w:val="0"/>
                <w:bCs/>
                <w:color w:val="auto"/>
                <w:kern w:val="2"/>
                <w:sz w:val="18"/>
                <w:szCs w:val="18"/>
                <w:highlight w:val="none"/>
                <w:lang w:val="en-US" w:eastAsia="zh-CN" w:bidi="ar-SA"/>
              </w:rPr>
              <w:t>投标人须具备建设行政主管部门颁发的建筑装修装饰工程专业承包贰级(含贰级)以上资质，所委派的项目经理需具备建筑业二级及以上注册证书，具备并在人员、设备、资金等方面具有相应的施工能力。</w:t>
            </w:r>
          </w:p>
        </w:tc>
        <w:tc>
          <w:tcPr>
            <w:tcW w:w="901" w:type="dxa"/>
            <w:vAlign w:val="center"/>
          </w:tcPr>
          <w:p>
            <w:pPr>
              <w:pStyle w:val="41"/>
              <w:keepNext w:val="0"/>
              <w:keepLines w:val="0"/>
              <w:pageBreakBefore w:val="0"/>
              <w:widowControl w:val="0"/>
              <w:kinsoku w:val="0"/>
              <w:wordWrap/>
              <w:overflowPunct w:val="0"/>
              <w:topLinePunct w:val="0"/>
              <w:autoSpaceDE w:val="0"/>
              <w:autoSpaceDN w:val="0"/>
              <w:bidi w:val="0"/>
              <w:spacing w:before="192" w:line="360" w:lineRule="auto"/>
              <w:ind w:left="152" w:leftChars="0"/>
              <w:jc w:val="center"/>
              <w:rPr>
                <w:rFonts w:hint="eastAsia" w:ascii="宋体" w:hAnsi="宋体" w:eastAsia="宋体" w:cs="宋体"/>
                <w:sz w:val="20"/>
                <w:szCs w:val="18"/>
              </w:rPr>
            </w:pPr>
            <w:r>
              <w:rPr>
                <w:rFonts w:hint="eastAsia" w:ascii="宋体" w:hAnsi="宋体" w:eastAsia="宋体" w:cs="宋体"/>
                <w:sz w:val="20"/>
                <w:szCs w:val="18"/>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344"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578"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100"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012"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788"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125"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237"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2600"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450"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2137"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901"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344"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578"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100"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012"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788"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125"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237"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2600"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450"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2137"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901"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44"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578"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100"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012"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788"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125"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237"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2600"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1450"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2137"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c>
          <w:tcPr>
            <w:tcW w:w="901" w:type="dxa"/>
          </w:tcPr>
          <w:p>
            <w:pPr>
              <w:pStyle w:val="41"/>
              <w:keepNext w:val="0"/>
              <w:keepLines w:val="0"/>
              <w:pageBreakBefore w:val="0"/>
              <w:widowControl w:val="0"/>
              <w:kinsoku w:val="0"/>
              <w:wordWrap/>
              <w:overflowPunct w:val="0"/>
              <w:topLinePunct w:val="0"/>
              <w:autoSpaceDE w:val="0"/>
              <w:autoSpaceDN w:val="0"/>
              <w:bidi w:val="0"/>
              <w:spacing w:line="360" w:lineRule="auto"/>
              <w:rPr>
                <w:rFonts w:hint="eastAsia" w:ascii="宋体" w:hAnsi="宋体" w:eastAsia="宋体" w:cs="宋体"/>
                <w:sz w:val="20"/>
                <w:szCs w:val="18"/>
              </w:rPr>
            </w:pPr>
          </w:p>
        </w:tc>
      </w:tr>
    </w:tbl>
    <w:p>
      <w:pPr>
        <w:pStyle w:val="4"/>
        <w:pageBreakBefore w:val="0"/>
        <w:wordWrap/>
        <w:topLinePunct w:val="0"/>
        <w:bidi w:val="0"/>
        <w:spacing w:line="360" w:lineRule="auto"/>
        <w:rPr>
          <w:rFonts w:hint="eastAsia" w:ascii="宋体" w:hAnsi="宋体" w:eastAsia="宋体" w:cs="宋体"/>
        </w:rPr>
        <w:sectPr>
          <w:pgSz w:w="16838" w:h="11911" w:orient="landscape"/>
          <w:pgMar w:top="1134" w:right="1701" w:bottom="1134" w:left="743" w:header="720" w:footer="720" w:gutter="0"/>
          <w:pgNumType w:fmt="decimal"/>
          <w:cols w:space="0" w:num="1"/>
          <w:rtlGutter w:val="0"/>
          <w:docGrid w:linePitch="0" w:charSpace="0"/>
        </w:sectPr>
      </w:pPr>
    </w:p>
    <w:p>
      <w:pPr>
        <w:pStyle w:val="4"/>
        <w:pageBreakBefore w:val="0"/>
        <w:wordWrap/>
        <w:topLinePunct w:val="0"/>
        <w:bidi w:val="0"/>
        <w:spacing w:line="360" w:lineRule="auto"/>
        <w:rPr>
          <w:rFonts w:hint="eastAsia" w:ascii="宋体" w:hAnsi="宋体" w:eastAsia="宋体" w:cs="宋体"/>
        </w:rPr>
      </w:pPr>
    </w:p>
    <w:p>
      <w:pPr>
        <w:pStyle w:val="5"/>
        <w:keepNext w:val="0"/>
        <w:keepLines w:val="0"/>
        <w:pageBreakBefore w:val="0"/>
        <w:widowControl w:val="0"/>
        <w:numPr>
          <w:ilvl w:val="2"/>
          <w:numId w:val="0"/>
        </w:numPr>
        <w:kinsoku w:val="0"/>
        <w:wordWrap/>
        <w:overflowPunct w:val="0"/>
        <w:topLinePunct w:val="0"/>
        <w:autoSpaceDE w:val="0"/>
        <w:autoSpaceDN w:val="0"/>
        <w:bidi w:val="0"/>
        <w:spacing w:before="30" w:line="360" w:lineRule="auto"/>
        <w:ind w:leftChars="0"/>
        <w:jc w:val="left"/>
        <w:rPr>
          <w:rFonts w:hint="eastAsia" w:ascii="宋体" w:hAnsi="宋体" w:eastAsia="宋体" w:cs="宋体"/>
          <w:u w:val="none"/>
        </w:rPr>
      </w:pPr>
      <w:r>
        <w:rPr>
          <w:rFonts w:hint="eastAsia" w:ascii="宋体" w:hAnsi="宋体" w:eastAsia="宋体" w:cs="宋体"/>
          <w:u w:val="none"/>
        </w:rPr>
        <w:t>七、符合性审查表</w:t>
      </w:r>
    </w:p>
    <w:tbl>
      <w:tblPr>
        <w:tblStyle w:val="26"/>
        <w:tblpPr w:leftFromText="180" w:rightFromText="180" w:vertAnchor="text" w:horzAnchor="page" w:tblpX="1612" w:tblpY="3"/>
        <w:tblOverlap w:val="never"/>
        <w:tblW w:w="8667" w:type="dxa"/>
        <w:tblInd w:w="0" w:type="dxa"/>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Layout w:type="fixed"/>
        <w:tblCellMar>
          <w:top w:w="0" w:type="dxa"/>
          <w:left w:w="10" w:type="dxa"/>
          <w:bottom w:w="0" w:type="dxa"/>
          <w:right w:w="10" w:type="dxa"/>
        </w:tblCellMar>
      </w:tblPr>
      <w:tblGrid>
        <w:gridCol w:w="531"/>
        <w:gridCol w:w="2354"/>
        <w:gridCol w:w="3873"/>
        <w:gridCol w:w="1171"/>
        <w:gridCol w:w="738"/>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54" w:hRule="exact"/>
        </w:trPr>
        <w:tc>
          <w:tcPr>
            <w:tcW w:w="531"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b/>
                <w:bCs/>
                <w:color w:val="000000"/>
                <w:spacing w:val="0"/>
                <w:w w:val="100"/>
                <w:kern w:val="2"/>
                <w:position w:val="0"/>
                <w:sz w:val="24"/>
                <w:szCs w:val="24"/>
              </w:rPr>
            </w:pPr>
            <w:r>
              <w:rPr>
                <w:rFonts w:hint="eastAsia" w:ascii="宋体" w:hAnsi="宋体" w:eastAsia="宋体" w:cs="宋体"/>
                <w:b/>
                <w:bCs/>
                <w:color w:val="000000"/>
                <w:spacing w:val="0"/>
                <w:w w:val="100"/>
                <w:kern w:val="2"/>
                <w:position w:val="0"/>
                <w:sz w:val="24"/>
                <w:szCs w:val="24"/>
              </w:rPr>
              <w:t>序号</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b/>
                <w:bCs/>
                <w:color w:val="000000"/>
                <w:spacing w:val="0"/>
                <w:w w:val="100"/>
                <w:kern w:val="2"/>
                <w:position w:val="0"/>
                <w:sz w:val="24"/>
                <w:szCs w:val="24"/>
              </w:rPr>
            </w:pPr>
          </w:p>
        </w:tc>
        <w:tc>
          <w:tcPr>
            <w:tcW w:w="2354"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b/>
                <w:bCs/>
                <w:color w:val="000000"/>
                <w:spacing w:val="0"/>
                <w:w w:val="100"/>
                <w:kern w:val="2"/>
                <w:position w:val="0"/>
                <w:sz w:val="24"/>
                <w:szCs w:val="24"/>
              </w:rPr>
            </w:pPr>
            <w:r>
              <w:rPr>
                <w:rFonts w:hint="eastAsia" w:ascii="宋体" w:hAnsi="宋体" w:eastAsia="宋体" w:cs="宋体"/>
                <w:b/>
                <w:bCs/>
                <w:color w:val="000000"/>
                <w:spacing w:val="0"/>
                <w:w w:val="100"/>
                <w:kern w:val="2"/>
                <w:position w:val="0"/>
                <w:sz w:val="24"/>
                <w:szCs w:val="24"/>
              </w:rPr>
              <w:t>审查项目</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b/>
                <w:bCs/>
                <w:color w:val="000000"/>
                <w:spacing w:val="0"/>
                <w:w w:val="100"/>
                <w:kern w:val="2"/>
                <w:position w:val="0"/>
                <w:sz w:val="24"/>
                <w:szCs w:val="24"/>
              </w:rPr>
            </w:pPr>
          </w:p>
        </w:tc>
        <w:tc>
          <w:tcPr>
            <w:tcW w:w="3873"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b/>
                <w:bCs/>
                <w:color w:val="000000"/>
                <w:spacing w:val="0"/>
                <w:w w:val="100"/>
                <w:kern w:val="2"/>
                <w:position w:val="0"/>
                <w:sz w:val="24"/>
                <w:szCs w:val="24"/>
              </w:rPr>
            </w:pPr>
            <w:r>
              <w:rPr>
                <w:rFonts w:hint="eastAsia" w:ascii="宋体" w:hAnsi="宋体" w:eastAsia="宋体" w:cs="宋体"/>
                <w:b/>
                <w:bCs/>
                <w:color w:val="000000"/>
                <w:spacing w:val="0"/>
                <w:w w:val="100"/>
                <w:kern w:val="2"/>
                <w:position w:val="0"/>
                <w:sz w:val="24"/>
                <w:szCs w:val="24"/>
              </w:rPr>
              <w:t>审查内容</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b/>
                <w:bCs/>
                <w:color w:val="000000"/>
                <w:spacing w:val="0"/>
                <w:w w:val="100"/>
                <w:kern w:val="2"/>
                <w:position w:val="0"/>
                <w:sz w:val="24"/>
                <w:szCs w:val="24"/>
              </w:rPr>
            </w:pPr>
          </w:p>
        </w:tc>
        <w:tc>
          <w:tcPr>
            <w:tcW w:w="1171"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b/>
                <w:bCs/>
                <w:color w:val="000000"/>
                <w:spacing w:val="0"/>
                <w:w w:val="100"/>
                <w:kern w:val="2"/>
                <w:position w:val="0"/>
                <w:sz w:val="24"/>
                <w:szCs w:val="24"/>
              </w:rPr>
            </w:pPr>
            <w:r>
              <w:rPr>
                <w:rFonts w:hint="eastAsia" w:ascii="宋体" w:hAnsi="宋体" w:eastAsia="宋体" w:cs="宋体"/>
                <w:b/>
                <w:bCs/>
                <w:color w:val="000000"/>
                <w:spacing w:val="0"/>
                <w:w w:val="100"/>
                <w:kern w:val="2"/>
                <w:position w:val="0"/>
                <w:sz w:val="24"/>
                <w:szCs w:val="24"/>
              </w:rPr>
              <w:t>投标单位1</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b/>
                <w:bCs/>
                <w:color w:val="000000"/>
                <w:spacing w:val="0"/>
                <w:w w:val="100"/>
                <w:kern w:val="2"/>
                <w:position w:val="0"/>
                <w:sz w:val="24"/>
                <w:szCs w:val="24"/>
              </w:rPr>
            </w:pPr>
          </w:p>
        </w:tc>
        <w:tc>
          <w:tcPr>
            <w:tcW w:w="738"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15" w:hRule="exact"/>
        </w:trPr>
        <w:tc>
          <w:tcPr>
            <w:tcW w:w="531"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r>
              <w:rPr>
                <w:rFonts w:hint="eastAsia" w:ascii="宋体" w:hAnsi="宋体" w:eastAsia="宋体" w:cs="宋体"/>
                <w:color w:val="000000"/>
                <w:spacing w:val="0"/>
                <w:w w:val="100"/>
                <w:kern w:val="2"/>
                <w:position w:val="0"/>
                <w:sz w:val="24"/>
                <w:szCs w:val="24"/>
              </w:rPr>
              <w:t>1</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p>
        </w:tc>
        <w:tc>
          <w:tcPr>
            <w:tcW w:w="2354"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r>
              <w:rPr>
                <w:rFonts w:hint="eastAsia" w:ascii="宋体" w:hAnsi="宋体" w:eastAsia="宋体" w:cs="宋体"/>
                <w:color w:val="000000"/>
                <w:spacing w:val="0"/>
                <w:w w:val="100"/>
                <w:kern w:val="2"/>
                <w:position w:val="0"/>
                <w:sz w:val="24"/>
                <w:szCs w:val="24"/>
              </w:rPr>
              <w:t>投标报价</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p>
        </w:tc>
        <w:tc>
          <w:tcPr>
            <w:tcW w:w="3873"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kern w:val="2"/>
                <w:sz w:val="24"/>
                <w:szCs w:val="24"/>
              </w:rPr>
            </w:pPr>
            <w:r>
              <w:rPr>
                <w:rFonts w:hint="eastAsia" w:ascii="宋体" w:hAnsi="宋体" w:eastAsia="宋体" w:cs="宋体"/>
                <w:color w:val="000000"/>
                <w:spacing w:val="0"/>
                <w:w w:val="100"/>
                <w:kern w:val="2"/>
                <w:position w:val="0"/>
                <w:sz w:val="24"/>
                <w:szCs w:val="24"/>
              </w:rPr>
              <w:t>不得超过采购预算（最高限价）</w:t>
            </w:r>
          </w:p>
        </w:tc>
        <w:tc>
          <w:tcPr>
            <w:tcW w:w="1171" w:type="dxa"/>
            <w:tcBorders>
              <w:top w:val="single" w:color="auto" w:sz="4" w:space="0"/>
              <w:left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c>
          <w:tcPr>
            <w:tcW w:w="738" w:type="dxa"/>
            <w:tcBorders>
              <w:top w:val="single" w:color="auto" w:sz="4" w:space="0"/>
              <w:left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18" w:hRule="exact"/>
        </w:trPr>
        <w:tc>
          <w:tcPr>
            <w:tcW w:w="531"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r>
              <w:rPr>
                <w:rFonts w:hint="eastAsia" w:ascii="宋体" w:hAnsi="宋体" w:eastAsia="宋体" w:cs="宋体"/>
                <w:color w:val="000000"/>
                <w:spacing w:val="0"/>
                <w:w w:val="100"/>
                <w:kern w:val="2"/>
                <w:position w:val="0"/>
                <w:sz w:val="24"/>
                <w:szCs w:val="24"/>
              </w:rPr>
              <w:t>2</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p>
        </w:tc>
        <w:tc>
          <w:tcPr>
            <w:tcW w:w="2354"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r>
              <w:rPr>
                <w:rFonts w:hint="eastAsia" w:ascii="宋体" w:hAnsi="宋体" w:eastAsia="宋体" w:cs="宋体"/>
                <w:color w:val="000000"/>
                <w:spacing w:val="0"/>
                <w:w w:val="100"/>
                <w:kern w:val="2"/>
                <w:position w:val="0"/>
                <w:sz w:val="24"/>
                <w:szCs w:val="24"/>
              </w:rPr>
              <w:t>报价的唯一性</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p>
        </w:tc>
        <w:tc>
          <w:tcPr>
            <w:tcW w:w="3873"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kern w:val="2"/>
                <w:sz w:val="24"/>
                <w:szCs w:val="24"/>
              </w:rPr>
            </w:pPr>
            <w:r>
              <w:rPr>
                <w:rFonts w:hint="eastAsia" w:ascii="宋体" w:hAnsi="宋体" w:eastAsia="宋体" w:cs="宋体"/>
                <w:color w:val="000000"/>
                <w:spacing w:val="0"/>
                <w:w w:val="100"/>
                <w:kern w:val="2"/>
                <w:position w:val="0"/>
                <w:sz w:val="24"/>
                <w:szCs w:val="24"/>
              </w:rPr>
              <w:t>只允许有一个有效报价</w:t>
            </w:r>
          </w:p>
        </w:tc>
        <w:tc>
          <w:tcPr>
            <w:tcW w:w="1171" w:type="dxa"/>
            <w:tcBorders>
              <w:top w:val="single" w:color="auto" w:sz="4" w:space="0"/>
              <w:left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c>
          <w:tcPr>
            <w:tcW w:w="738" w:type="dxa"/>
            <w:tcBorders>
              <w:top w:val="single" w:color="auto" w:sz="4" w:space="0"/>
              <w:left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889" w:hRule="exact"/>
        </w:trPr>
        <w:tc>
          <w:tcPr>
            <w:tcW w:w="531"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r>
              <w:rPr>
                <w:rFonts w:hint="eastAsia" w:ascii="宋体" w:hAnsi="宋体" w:eastAsia="宋体" w:cs="宋体"/>
                <w:color w:val="000000"/>
                <w:spacing w:val="0"/>
                <w:w w:val="100"/>
                <w:kern w:val="2"/>
                <w:position w:val="0"/>
                <w:sz w:val="24"/>
                <w:szCs w:val="24"/>
              </w:rPr>
              <w:t>3</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p>
        </w:tc>
        <w:tc>
          <w:tcPr>
            <w:tcW w:w="2354"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r>
              <w:rPr>
                <w:rFonts w:hint="eastAsia" w:ascii="宋体" w:hAnsi="宋体" w:eastAsia="宋体" w:cs="宋体"/>
                <w:color w:val="000000"/>
                <w:spacing w:val="0"/>
                <w:w w:val="100"/>
                <w:kern w:val="2"/>
                <w:position w:val="0"/>
                <w:sz w:val="24"/>
                <w:szCs w:val="24"/>
              </w:rPr>
              <w:t>投标报价的完整性及有效性</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p>
        </w:tc>
        <w:tc>
          <w:tcPr>
            <w:tcW w:w="3873" w:type="dxa"/>
            <w:tcBorders>
              <w:top w:val="single" w:color="auto" w:sz="4" w:space="0"/>
              <w:left w:val="single" w:color="auto" w:sz="4" w:space="0"/>
            </w:tcBorders>
            <w:shd w:val="clear" w:color="auto" w:fill="auto"/>
            <w:noWrap w:val="0"/>
            <w:vAlign w:val="top"/>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kern w:val="2"/>
                <w:sz w:val="24"/>
                <w:szCs w:val="24"/>
              </w:rPr>
            </w:pPr>
            <w:r>
              <w:rPr>
                <w:rFonts w:hint="eastAsia" w:ascii="宋体" w:hAnsi="宋体" w:eastAsia="宋体" w:cs="宋体"/>
                <w:color w:val="000000"/>
                <w:spacing w:val="0"/>
                <w:w w:val="100"/>
                <w:kern w:val="2"/>
                <w:position w:val="0"/>
                <w:sz w:val="24"/>
                <w:szCs w:val="24"/>
              </w:rPr>
              <w:t>针对招标文件内容进行全面响应，未存在 漏报、错报等的情形</w:t>
            </w:r>
          </w:p>
        </w:tc>
        <w:tc>
          <w:tcPr>
            <w:tcW w:w="1171" w:type="dxa"/>
            <w:tcBorders>
              <w:top w:val="single" w:color="auto" w:sz="4" w:space="0"/>
              <w:left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c>
          <w:tcPr>
            <w:tcW w:w="738" w:type="dxa"/>
            <w:tcBorders>
              <w:top w:val="single" w:color="auto" w:sz="4" w:space="0"/>
              <w:left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918" w:hRule="exact"/>
        </w:trPr>
        <w:tc>
          <w:tcPr>
            <w:tcW w:w="531"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r>
              <w:rPr>
                <w:rFonts w:hint="eastAsia" w:ascii="宋体" w:hAnsi="宋体" w:eastAsia="宋体" w:cs="宋体"/>
                <w:color w:val="000000"/>
                <w:spacing w:val="0"/>
                <w:w w:val="100"/>
                <w:kern w:val="2"/>
                <w:position w:val="0"/>
                <w:sz w:val="24"/>
                <w:szCs w:val="24"/>
              </w:rPr>
              <w:t>4</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p>
        </w:tc>
        <w:tc>
          <w:tcPr>
            <w:tcW w:w="2354"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r>
              <w:rPr>
                <w:rFonts w:hint="eastAsia" w:ascii="宋体" w:hAnsi="宋体" w:eastAsia="宋体" w:cs="宋体"/>
                <w:color w:val="000000"/>
                <w:spacing w:val="0"/>
                <w:w w:val="100"/>
                <w:kern w:val="2"/>
                <w:position w:val="0"/>
                <w:sz w:val="24"/>
                <w:szCs w:val="24"/>
              </w:rPr>
              <w:t>投标有效期</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p>
        </w:tc>
        <w:tc>
          <w:tcPr>
            <w:tcW w:w="3873" w:type="dxa"/>
            <w:tcBorders>
              <w:top w:val="single" w:color="auto" w:sz="4" w:space="0"/>
              <w:left w:val="single" w:color="auto" w:sz="4" w:space="0"/>
            </w:tcBorders>
            <w:shd w:val="clear" w:color="auto" w:fill="auto"/>
            <w:noWrap w:val="0"/>
            <w:vAlign w:val="top"/>
          </w:tcPr>
          <w:p>
            <w:pPr>
              <w:pStyle w:val="43"/>
              <w:keepNext w:val="0"/>
              <w:keepLines w:val="0"/>
              <w:pageBreakBefore w:val="0"/>
              <w:widowControl w:val="0"/>
              <w:suppressLineNumbers w:val="0"/>
              <w:shd w:val="clear" w:color="auto" w:fill="auto"/>
              <w:wordWrap/>
              <w:topLinePunct w:val="0"/>
              <w:bidi w:val="0"/>
              <w:spacing w:before="0" w:beforeAutospacing="0" w:after="14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r>
              <w:rPr>
                <w:rFonts w:hint="eastAsia" w:ascii="宋体" w:hAnsi="宋体" w:eastAsia="宋体" w:cs="宋体"/>
                <w:color w:val="000000"/>
                <w:spacing w:val="0"/>
                <w:w w:val="100"/>
                <w:kern w:val="2"/>
                <w:position w:val="0"/>
                <w:sz w:val="24"/>
                <w:szCs w:val="24"/>
              </w:rPr>
              <w:t>提交投标文件截止之日起不少于</w:t>
            </w:r>
            <w:r>
              <w:rPr>
                <w:rFonts w:hint="eastAsia" w:ascii="宋体" w:hAnsi="宋体" w:eastAsia="宋体" w:cs="宋体"/>
                <w:color w:val="000000"/>
                <w:spacing w:val="0"/>
                <w:w w:val="100"/>
                <w:kern w:val="2"/>
                <w:position w:val="0"/>
                <w:sz w:val="24"/>
                <w:szCs w:val="24"/>
                <w:lang w:val="en-US" w:eastAsia="zh-CN"/>
              </w:rPr>
              <w:t>60</w:t>
            </w:r>
            <w:r>
              <w:rPr>
                <w:rFonts w:hint="eastAsia" w:ascii="宋体" w:hAnsi="宋体" w:eastAsia="宋体" w:cs="宋体"/>
                <w:color w:val="000000"/>
                <w:spacing w:val="0"/>
                <w:w w:val="100"/>
                <w:kern w:val="2"/>
                <w:position w:val="0"/>
                <w:sz w:val="24"/>
                <w:szCs w:val="24"/>
              </w:rPr>
              <w:t>自然</w:t>
            </w:r>
          </w:p>
          <w:p>
            <w:pPr>
              <w:pStyle w:val="43"/>
              <w:keepNext w:val="0"/>
              <w:keepLines w:val="0"/>
              <w:pageBreakBefore w:val="0"/>
              <w:widowControl w:val="0"/>
              <w:suppressLineNumbers w:val="0"/>
              <w:shd w:val="clear" w:color="auto" w:fill="auto"/>
              <w:wordWrap/>
              <w:topLinePunct w:val="0"/>
              <w:bidi w:val="0"/>
              <w:spacing w:before="0" w:beforeAutospacing="0" w:after="14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kern w:val="2"/>
                <w:sz w:val="24"/>
                <w:szCs w:val="24"/>
              </w:rPr>
            </w:pPr>
            <w:r>
              <w:rPr>
                <w:rFonts w:hint="eastAsia" w:ascii="宋体" w:hAnsi="宋体" w:eastAsia="宋体" w:cs="宋体"/>
                <w:color w:val="000000"/>
                <w:spacing w:val="0"/>
                <w:w w:val="100"/>
                <w:kern w:val="2"/>
                <w:position w:val="0"/>
                <w:sz w:val="24"/>
                <w:szCs w:val="24"/>
              </w:rPr>
              <w:t>日（日历日）</w:t>
            </w:r>
          </w:p>
        </w:tc>
        <w:tc>
          <w:tcPr>
            <w:tcW w:w="1171" w:type="dxa"/>
            <w:tcBorders>
              <w:top w:val="single" w:color="auto" w:sz="4" w:space="0"/>
              <w:left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c>
          <w:tcPr>
            <w:tcW w:w="738" w:type="dxa"/>
            <w:tcBorders>
              <w:top w:val="single" w:color="auto" w:sz="4" w:space="0"/>
              <w:left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10" w:hRule="exact"/>
        </w:trPr>
        <w:tc>
          <w:tcPr>
            <w:tcW w:w="531"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r>
              <w:rPr>
                <w:rFonts w:hint="eastAsia" w:ascii="宋体" w:hAnsi="宋体" w:eastAsia="宋体" w:cs="宋体"/>
                <w:color w:val="000000"/>
                <w:spacing w:val="0"/>
                <w:w w:val="100"/>
                <w:kern w:val="2"/>
                <w:position w:val="0"/>
                <w:sz w:val="24"/>
                <w:szCs w:val="24"/>
              </w:rPr>
              <w:t>5</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p>
        </w:tc>
        <w:tc>
          <w:tcPr>
            <w:tcW w:w="2354"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r>
              <w:rPr>
                <w:rFonts w:hint="eastAsia" w:ascii="宋体" w:hAnsi="宋体" w:eastAsia="宋体" w:cs="宋体"/>
                <w:color w:val="000000"/>
                <w:spacing w:val="0"/>
                <w:w w:val="100"/>
                <w:kern w:val="2"/>
                <w:position w:val="0"/>
                <w:sz w:val="24"/>
                <w:szCs w:val="24"/>
                <w:lang w:eastAsia="zh-CN"/>
              </w:rPr>
              <w:t>合同履行期限</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p>
        </w:tc>
        <w:tc>
          <w:tcPr>
            <w:tcW w:w="3873"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kern w:val="2"/>
                <w:sz w:val="24"/>
                <w:szCs w:val="24"/>
              </w:rPr>
            </w:pPr>
            <w:r>
              <w:rPr>
                <w:rFonts w:hint="eastAsia" w:ascii="宋体" w:hAnsi="宋体" w:eastAsia="宋体" w:cs="宋体"/>
                <w:color w:val="000000"/>
                <w:spacing w:val="0"/>
                <w:w w:val="100"/>
                <w:kern w:val="2"/>
                <w:position w:val="0"/>
                <w:sz w:val="24"/>
                <w:szCs w:val="24"/>
              </w:rPr>
              <w:t>响应招标文件要求</w:t>
            </w:r>
          </w:p>
        </w:tc>
        <w:tc>
          <w:tcPr>
            <w:tcW w:w="1171" w:type="dxa"/>
            <w:tcBorders>
              <w:top w:val="single" w:color="auto" w:sz="4" w:space="0"/>
              <w:left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c>
          <w:tcPr>
            <w:tcW w:w="738" w:type="dxa"/>
            <w:tcBorders>
              <w:top w:val="single" w:color="auto" w:sz="4" w:space="0"/>
              <w:left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18" w:hRule="exact"/>
        </w:trPr>
        <w:tc>
          <w:tcPr>
            <w:tcW w:w="531"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r>
              <w:rPr>
                <w:rFonts w:hint="eastAsia" w:ascii="宋体" w:hAnsi="宋体" w:eastAsia="宋体" w:cs="宋体"/>
                <w:color w:val="000000"/>
                <w:spacing w:val="0"/>
                <w:w w:val="100"/>
                <w:kern w:val="2"/>
                <w:position w:val="0"/>
                <w:sz w:val="24"/>
                <w:szCs w:val="24"/>
              </w:rPr>
              <w:t>6</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rPr>
            </w:pPr>
          </w:p>
        </w:tc>
        <w:tc>
          <w:tcPr>
            <w:tcW w:w="2354"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lang w:val="en-US" w:eastAsia="zh-CN"/>
              </w:rPr>
            </w:pPr>
            <w:r>
              <w:rPr>
                <w:rFonts w:hint="eastAsia" w:ascii="宋体" w:hAnsi="宋体" w:eastAsia="宋体" w:cs="宋体"/>
                <w:color w:val="000000"/>
                <w:spacing w:val="0"/>
                <w:w w:val="100"/>
                <w:kern w:val="2"/>
                <w:position w:val="0"/>
                <w:sz w:val="24"/>
                <w:szCs w:val="24"/>
                <w:lang w:eastAsia="zh-CN"/>
              </w:rPr>
              <w:t>质量标准</w:t>
            </w:r>
          </w:p>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color w:val="000000"/>
                <w:spacing w:val="0"/>
                <w:w w:val="100"/>
                <w:kern w:val="2"/>
                <w:position w:val="0"/>
                <w:sz w:val="24"/>
                <w:szCs w:val="24"/>
                <w:lang w:eastAsia="zh-CN"/>
              </w:rPr>
            </w:pPr>
          </w:p>
        </w:tc>
        <w:tc>
          <w:tcPr>
            <w:tcW w:w="3873" w:type="dxa"/>
            <w:tcBorders>
              <w:top w:val="single" w:color="auto" w:sz="4" w:space="0"/>
              <w:left w:val="single" w:color="auto" w:sz="4" w:space="0"/>
            </w:tcBorders>
            <w:shd w:val="clear" w:color="auto" w:fill="auto"/>
            <w:noWrap w:val="0"/>
            <w:vAlign w:val="center"/>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kern w:val="2"/>
                <w:sz w:val="24"/>
                <w:szCs w:val="24"/>
              </w:rPr>
            </w:pPr>
            <w:r>
              <w:rPr>
                <w:rFonts w:hint="eastAsia" w:ascii="宋体" w:hAnsi="宋体" w:eastAsia="宋体" w:cs="宋体"/>
                <w:color w:val="000000"/>
                <w:spacing w:val="0"/>
                <w:w w:val="100"/>
                <w:kern w:val="2"/>
                <w:position w:val="0"/>
                <w:sz w:val="24"/>
                <w:szCs w:val="24"/>
              </w:rPr>
              <w:t>响应招标文件要求</w:t>
            </w:r>
          </w:p>
        </w:tc>
        <w:tc>
          <w:tcPr>
            <w:tcW w:w="1171" w:type="dxa"/>
            <w:tcBorders>
              <w:top w:val="single" w:color="auto" w:sz="4" w:space="0"/>
              <w:left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c>
          <w:tcPr>
            <w:tcW w:w="738" w:type="dxa"/>
            <w:tcBorders>
              <w:top w:val="single" w:color="auto" w:sz="4" w:space="0"/>
              <w:left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2" w:hRule="exact"/>
        </w:trPr>
        <w:tc>
          <w:tcPr>
            <w:tcW w:w="6758" w:type="dxa"/>
            <w:gridSpan w:val="3"/>
            <w:tcBorders>
              <w:top w:val="single" w:color="auto" w:sz="4" w:space="0"/>
              <w:left w:val="single" w:color="auto" w:sz="4" w:space="0"/>
              <w:bottom w:val="single" w:color="auto" w:sz="4" w:space="0"/>
            </w:tcBorders>
            <w:shd w:val="clear" w:color="auto" w:fill="auto"/>
            <w:noWrap w:val="0"/>
            <w:vAlign w:val="top"/>
          </w:tcPr>
          <w:p>
            <w:pPr>
              <w:pStyle w:val="43"/>
              <w:keepNext w:val="0"/>
              <w:keepLines w:val="0"/>
              <w:pageBreakBefore w:val="0"/>
              <w:widowControl w:val="0"/>
              <w:suppressLineNumbers w:val="0"/>
              <w:shd w:val="clear" w:color="auto" w:fill="auto"/>
              <w:wordWrap/>
              <w:topLinePunct w:val="0"/>
              <w:bidi w:val="0"/>
              <w:spacing w:before="0" w:beforeAutospacing="0" w:after="0" w:afterAutospacing="0" w:line="360" w:lineRule="auto"/>
              <w:ind w:left="0" w:right="0" w:firstLine="0" w:firstLineChars="0"/>
              <w:jc w:val="left"/>
              <w:rPr>
                <w:rFonts w:hint="eastAsia" w:ascii="宋体" w:hAnsi="宋体" w:eastAsia="宋体" w:cs="宋体"/>
                <w:kern w:val="2"/>
                <w:sz w:val="24"/>
                <w:szCs w:val="24"/>
              </w:rPr>
            </w:pPr>
            <w:r>
              <w:rPr>
                <w:rFonts w:hint="eastAsia" w:ascii="宋体" w:hAnsi="宋体" w:eastAsia="宋体" w:cs="宋体"/>
                <w:b/>
                <w:bCs/>
                <w:color w:val="000000"/>
                <w:spacing w:val="0"/>
                <w:w w:val="100"/>
                <w:kern w:val="2"/>
                <w:position w:val="0"/>
                <w:sz w:val="24"/>
                <w:szCs w:val="24"/>
              </w:rPr>
              <w:t>结论</w:t>
            </w:r>
            <w:r>
              <w:rPr>
                <w:rFonts w:hint="eastAsia" w:ascii="宋体" w:hAnsi="宋体" w:eastAsia="宋体" w:cs="宋体"/>
                <w:b/>
                <w:bCs/>
                <w:color w:val="000000"/>
                <w:spacing w:val="0"/>
                <w:w w:val="100"/>
                <w:kern w:val="2"/>
                <w:position w:val="0"/>
                <w:sz w:val="24"/>
                <w:szCs w:val="24"/>
                <w:lang w:val="zh-CN" w:eastAsia="zh-CN" w:bidi="zh-CN"/>
              </w:rPr>
              <w:t>（“合</w:t>
            </w:r>
            <w:r>
              <w:rPr>
                <w:rFonts w:hint="eastAsia" w:ascii="宋体" w:hAnsi="宋体" w:eastAsia="宋体" w:cs="宋体"/>
                <w:b/>
                <w:bCs/>
                <w:color w:val="000000"/>
                <w:spacing w:val="0"/>
                <w:w w:val="100"/>
                <w:kern w:val="2"/>
                <w:position w:val="0"/>
                <w:sz w:val="24"/>
                <w:szCs w:val="24"/>
              </w:rPr>
              <w:t xml:space="preserve">格"/ </w:t>
            </w:r>
            <w:r>
              <w:rPr>
                <w:rFonts w:hint="eastAsia" w:ascii="宋体" w:hAnsi="宋体" w:eastAsia="宋体" w:cs="宋体"/>
                <w:b/>
                <w:bCs/>
                <w:color w:val="000000"/>
                <w:spacing w:val="0"/>
                <w:w w:val="100"/>
                <w:kern w:val="2"/>
                <w:position w:val="0"/>
                <w:sz w:val="24"/>
                <w:szCs w:val="24"/>
                <w:lang w:val="zh-CN" w:eastAsia="zh-CN" w:bidi="zh-CN"/>
              </w:rPr>
              <w:t>“不</w:t>
            </w:r>
            <w:r>
              <w:rPr>
                <w:rFonts w:hint="eastAsia" w:ascii="宋体" w:hAnsi="宋体" w:eastAsia="宋体" w:cs="宋体"/>
                <w:b/>
                <w:bCs/>
                <w:color w:val="000000"/>
                <w:spacing w:val="0"/>
                <w:w w:val="100"/>
                <w:kern w:val="2"/>
                <w:position w:val="0"/>
                <w:sz w:val="24"/>
                <w:szCs w:val="24"/>
              </w:rPr>
              <w:t>合格</w:t>
            </w:r>
            <w:r>
              <w:rPr>
                <w:rFonts w:hint="eastAsia" w:ascii="宋体" w:hAnsi="宋体" w:eastAsia="宋体" w:cs="宋体"/>
                <w:b/>
                <w:bCs/>
                <w:color w:val="000000"/>
                <w:spacing w:val="0"/>
                <w:w w:val="100"/>
                <w:kern w:val="2"/>
                <w:position w:val="0"/>
                <w:sz w:val="24"/>
                <w:szCs w:val="24"/>
                <w:lang w:val="en-US" w:eastAsia="en-US" w:bidi="en-US"/>
              </w:rPr>
              <w:t>"）</w:t>
            </w:r>
          </w:p>
        </w:tc>
        <w:tc>
          <w:tcPr>
            <w:tcW w:w="1171" w:type="dxa"/>
            <w:tcBorders>
              <w:top w:val="single" w:color="auto" w:sz="4" w:space="0"/>
              <w:left w:val="single" w:color="auto" w:sz="4" w:space="0"/>
              <w:bottom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c>
          <w:tcPr>
            <w:tcW w:w="738" w:type="dxa"/>
            <w:tcBorders>
              <w:top w:val="single" w:color="auto" w:sz="4" w:space="0"/>
              <w:left w:val="single" w:color="auto" w:sz="4" w:space="0"/>
              <w:bottom w:val="single" w:color="auto" w:sz="4" w:space="0"/>
            </w:tcBorders>
            <w:shd w:val="clear" w:color="auto" w:fill="auto"/>
            <w:noWrap w:val="0"/>
            <w:vAlign w:val="top"/>
          </w:tcPr>
          <w:p>
            <w:pPr>
              <w:keepNext w:val="0"/>
              <w:keepLines w:val="0"/>
              <w:pageBreakBefore w:val="0"/>
              <w:widowControl w:val="0"/>
              <w:suppressLineNumbers w:val="0"/>
              <w:wordWrap/>
              <w:topLinePunct w:val="0"/>
              <w:bidi w:val="0"/>
              <w:spacing w:beforeAutospacing="0" w:afterAutospacing="0" w:line="360" w:lineRule="auto"/>
              <w:ind w:firstLine="0" w:firstLineChars="0"/>
              <w:rPr>
                <w:rFonts w:hint="eastAsia" w:ascii="宋体" w:hAnsi="宋体" w:eastAsia="宋体" w:cs="宋体"/>
                <w:kern w:val="2"/>
                <w:sz w:val="10"/>
                <w:szCs w:val="10"/>
              </w:rPr>
            </w:pPr>
          </w:p>
        </w:tc>
      </w:tr>
    </w:tbl>
    <w:p>
      <w:pPr>
        <w:pStyle w:val="51"/>
        <w:keepNext w:val="0"/>
        <w:keepLines w:val="0"/>
        <w:pageBreakBefore w:val="0"/>
        <w:widowControl w:val="0"/>
        <w:shd w:val="clear" w:color="auto" w:fill="auto"/>
        <w:wordWrap/>
        <w:topLinePunct w:val="0"/>
        <w:bidi w:val="0"/>
        <w:spacing w:before="0" w:after="180" w:line="360" w:lineRule="auto"/>
        <w:ind w:left="1360" w:right="0" w:firstLine="0" w:firstLineChars="0"/>
        <w:jc w:val="left"/>
        <w:rPr>
          <w:rFonts w:hint="eastAsia" w:ascii="宋体" w:hAnsi="宋体" w:eastAsia="宋体" w:cs="宋体"/>
          <w:color w:val="000000"/>
          <w:spacing w:val="0"/>
          <w:w w:val="100"/>
          <w:position w:val="0"/>
          <w:sz w:val="28"/>
          <w:szCs w:val="28"/>
        </w:rPr>
      </w:pPr>
    </w:p>
    <w:p>
      <w:pPr>
        <w:pStyle w:val="9"/>
        <w:keepNext w:val="0"/>
        <w:keepLines w:val="0"/>
        <w:pageBreakBefore w:val="0"/>
        <w:widowControl w:val="0"/>
        <w:kinsoku w:val="0"/>
        <w:wordWrap/>
        <w:overflowPunct w:val="0"/>
        <w:topLinePunct w:val="0"/>
        <w:autoSpaceDE w:val="0"/>
        <w:autoSpaceDN w:val="0"/>
        <w:bidi w:val="0"/>
        <w:spacing w:before="3" w:line="360" w:lineRule="auto"/>
        <w:ind w:firstLine="481" w:firstLineChars="200"/>
        <w:rPr>
          <w:rFonts w:hint="eastAsia" w:ascii="宋体" w:hAnsi="宋体" w:eastAsia="宋体" w:cs="宋体"/>
          <w:b/>
          <w:sz w:val="8"/>
        </w:rPr>
      </w:pPr>
      <w:r>
        <w:rPr>
          <w:rFonts w:hint="eastAsia" w:ascii="宋体" w:hAnsi="宋体" w:eastAsia="宋体" w:cs="宋体"/>
          <w:b/>
          <w:bCs/>
          <w:color w:val="000000"/>
          <w:spacing w:val="0"/>
          <w:w w:val="100"/>
          <w:position w:val="0"/>
          <w:sz w:val="24"/>
          <w:szCs w:val="24"/>
        </w:rPr>
        <w:t>审查项目有一项不满足则结论为不通过</w:t>
      </w:r>
    </w:p>
    <w:p>
      <w:pPr>
        <w:keepNext w:val="0"/>
        <w:keepLines w:val="0"/>
        <w:pageBreakBefore w:val="0"/>
        <w:widowControl w:val="0"/>
        <w:tabs>
          <w:tab w:val="left" w:pos="5066"/>
        </w:tabs>
        <w:kinsoku w:val="0"/>
        <w:wordWrap/>
        <w:overflowPunct w:val="0"/>
        <w:topLinePunct w:val="0"/>
        <w:autoSpaceDE w:val="0"/>
        <w:autoSpaceDN w:val="0"/>
        <w:bidi w:val="0"/>
        <w:spacing w:before="132" w:line="360" w:lineRule="auto"/>
        <w:ind w:left="795" w:right="0" w:firstLine="0"/>
        <w:jc w:val="left"/>
        <w:rPr>
          <w:rFonts w:hint="eastAsia" w:ascii="宋体" w:hAnsi="宋体" w:eastAsia="宋体" w:cs="宋体"/>
          <w:kern w:val="2"/>
          <w:sz w:val="28"/>
          <w:lang w:val="zh-CN" w:eastAsia="zh-CN" w:bidi="zh-CN"/>
        </w:rPr>
      </w:pPr>
    </w:p>
    <w:p>
      <w:pPr>
        <w:keepNext w:val="0"/>
        <w:keepLines w:val="0"/>
        <w:pageBreakBefore w:val="0"/>
        <w:widowControl/>
        <w:suppressLineNumbers w:val="0"/>
        <w:wordWrap/>
        <w:topLinePunct w:val="0"/>
        <w:bidi w:val="0"/>
        <w:spacing w:line="360" w:lineRule="auto"/>
        <w:jc w:val="center"/>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wordWrap/>
        <w:topLinePunct w:val="0"/>
        <w:bidi w:val="0"/>
        <w:spacing w:line="360" w:lineRule="auto"/>
        <w:jc w:val="center"/>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wordWrap/>
        <w:topLinePunct w:val="0"/>
        <w:bidi w:val="0"/>
        <w:spacing w:line="360" w:lineRule="auto"/>
        <w:jc w:val="center"/>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wordWrap/>
        <w:topLinePunct w:val="0"/>
        <w:bidi w:val="0"/>
        <w:spacing w:line="360" w:lineRule="auto"/>
        <w:jc w:val="center"/>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wordWrap/>
        <w:topLinePunct w:val="0"/>
        <w:bidi w:val="0"/>
        <w:spacing w:line="360" w:lineRule="auto"/>
        <w:jc w:val="center"/>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wordWrap/>
        <w:topLinePunct w:val="0"/>
        <w:bidi w:val="0"/>
        <w:spacing w:line="360" w:lineRule="auto"/>
        <w:jc w:val="center"/>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wordWrap/>
        <w:topLinePunct w:val="0"/>
        <w:bidi w:val="0"/>
        <w:spacing w:line="360" w:lineRule="auto"/>
        <w:jc w:val="center"/>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wordWrap/>
        <w:topLinePunct w:val="0"/>
        <w:bidi w:val="0"/>
        <w:spacing w:line="360" w:lineRule="auto"/>
        <w:jc w:val="center"/>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wordWrap/>
        <w:topLinePunct w:val="0"/>
        <w:bidi w:val="0"/>
        <w:spacing w:line="360" w:lineRule="auto"/>
        <w:jc w:val="center"/>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wordWrap/>
        <w:topLinePunct w:val="0"/>
        <w:bidi w:val="0"/>
        <w:spacing w:line="360" w:lineRule="auto"/>
        <w:jc w:val="center"/>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wordWrap/>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000000"/>
          <w:kern w:val="0"/>
          <w:sz w:val="28"/>
          <w:szCs w:val="28"/>
          <w:lang w:val="en-US" w:eastAsia="zh-CN" w:bidi="ar"/>
        </w:rPr>
        <w:t>评分标准</w:t>
      </w:r>
    </w:p>
    <w:bookmarkEnd w:id="1219"/>
    <w:tbl>
      <w:tblPr>
        <w:tblStyle w:val="26"/>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370"/>
        <w:gridCol w:w="1269"/>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01" w:type="dxa"/>
            <w:noWrap w:val="0"/>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序号</w:t>
            </w:r>
          </w:p>
        </w:tc>
        <w:tc>
          <w:tcPr>
            <w:tcW w:w="1370" w:type="dxa"/>
            <w:noWrap w:val="0"/>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评分</w:t>
            </w:r>
          </w:p>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项目</w:t>
            </w: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标准分</w:t>
            </w:r>
          </w:p>
        </w:tc>
        <w:tc>
          <w:tcPr>
            <w:tcW w:w="6440" w:type="dxa"/>
            <w:noWrap w:val="0"/>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801" w:type="dxa"/>
            <w:noWrap w:val="0"/>
            <w:vAlign w:val="center"/>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w:t>
            </w:r>
          </w:p>
        </w:tc>
        <w:tc>
          <w:tcPr>
            <w:tcW w:w="1370" w:type="dxa"/>
            <w:noWrap w:val="0"/>
            <w:vAlign w:val="center"/>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投标</w:t>
            </w:r>
          </w:p>
          <w:p>
            <w:pPr>
              <w:keepNext w:val="0"/>
              <w:keepLines w:val="0"/>
              <w:pageBreakBefore w:val="0"/>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rPr>
              <w:t>报价</w:t>
            </w: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10</w:t>
            </w:r>
            <w:r>
              <w:rPr>
                <w:rFonts w:hint="eastAsia" w:asciiTheme="minorEastAsia" w:hAnsiTheme="minorEastAsia" w:eastAsiaTheme="minorEastAsia" w:cstheme="minorEastAsia"/>
                <w:color w:val="auto"/>
                <w:kern w:val="0"/>
                <w:sz w:val="28"/>
                <w:szCs w:val="28"/>
                <w:highlight w:val="none"/>
              </w:rPr>
              <w:t>分</w:t>
            </w:r>
          </w:p>
        </w:tc>
        <w:tc>
          <w:tcPr>
            <w:tcW w:w="64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投标单位的价格分统一按下列公式计算：</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投标报价得分＝（评标基准价/投标报价）×</w:t>
            </w:r>
            <w:r>
              <w:rPr>
                <w:rFonts w:hint="eastAsia" w:asciiTheme="minorEastAsia" w:hAnsiTheme="minorEastAsia" w:eastAsiaTheme="minorEastAsia" w:cstheme="minorEastAsia"/>
                <w:b/>
                <w:bCs/>
                <w:color w:val="auto"/>
                <w:sz w:val="28"/>
                <w:szCs w:val="28"/>
                <w:highlight w:val="none"/>
                <w:lang w:val="en-US" w:eastAsia="zh-CN"/>
              </w:rPr>
              <w:t>10</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color w:val="auto"/>
                <w:sz w:val="28"/>
                <w:szCs w:val="28"/>
                <w:highlight w:val="none"/>
              </w:rPr>
              <w:t>评标基准价是指满足</w:t>
            </w:r>
            <w:r>
              <w:rPr>
                <w:rFonts w:hint="eastAsia" w:asciiTheme="minorEastAsia" w:hAnsiTheme="minorEastAsia" w:eastAsiaTheme="minorEastAsia" w:cstheme="minorEastAsia"/>
                <w:color w:val="auto"/>
                <w:sz w:val="28"/>
                <w:szCs w:val="28"/>
                <w:highlight w:val="none"/>
                <w:lang w:eastAsia="zh-CN"/>
              </w:rPr>
              <w:t>招标文件</w:t>
            </w:r>
            <w:r>
              <w:rPr>
                <w:rFonts w:hint="eastAsia" w:asciiTheme="minorEastAsia" w:hAnsiTheme="minorEastAsia" w:eastAsiaTheme="minorEastAsia" w:cstheme="minorEastAsia"/>
                <w:color w:val="auto"/>
                <w:sz w:val="28"/>
                <w:szCs w:val="28"/>
                <w:highlight w:val="none"/>
              </w:rPr>
              <w:t>要求且投标价格最低的投标报价。除低于成本价的投标报价被拒绝外，最低报价得</w:t>
            </w:r>
            <w:r>
              <w:rPr>
                <w:rFonts w:hint="eastAsia" w:asciiTheme="minorEastAsia" w:hAnsiTheme="minorEastAsia" w:eastAsia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分，得分结果由高分到低分依次排列为各自最终得分。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lang w:val="en-US" w:eastAsia="zh-CN"/>
              </w:rPr>
              <w:t>注：本标段专门面向中小企业采购，不再执行价格评审优惠的扶持政策，残疾人企业、监狱企业视同为中小微企业。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2</w:t>
            </w:r>
          </w:p>
        </w:tc>
        <w:tc>
          <w:tcPr>
            <w:tcW w:w="1370" w:type="dxa"/>
            <w:noWrap w:val="0"/>
            <w:vAlign w:val="center"/>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lang w:eastAsia="zh-CN"/>
              </w:rPr>
              <w:t>类似</w:t>
            </w:r>
          </w:p>
          <w:p>
            <w:pPr>
              <w:keepNext w:val="0"/>
              <w:keepLines w:val="0"/>
              <w:pageBreakBefore w:val="0"/>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eastAsia="zh-CN"/>
              </w:rPr>
              <w:t>业绩</w:t>
            </w: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5分</w:t>
            </w:r>
          </w:p>
        </w:tc>
        <w:tc>
          <w:tcPr>
            <w:tcW w:w="6440" w:type="dxa"/>
            <w:noWrap w:val="0"/>
            <w:vAlign w:val="center"/>
          </w:tcPr>
          <w:p>
            <w:pPr>
              <w:keepNext w:val="0"/>
              <w:keepLines w:val="0"/>
              <w:pageBreakBefore w:val="0"/>
              <w:wordWrap/>
              <w:overflowPunct/>
              <w:autoSpaceDE w:val="0"/>
              <w:bidi w:val="0"/>
              <w:spacing w:line="360" w:lineRule="auto"/>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投标人须提供近三年（2021年01月至今）类似项目业绩，每有一项得1分，加至满分为止。</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sz w:val="28"/>
                <w:szCs w:val="28"/>
                <w:lang w:val="zh-CN" w:eastAsia="zh-CN"/>
              </w:rPr>
            </w:pPr>
            <w:r>
              <w:rPr>
                <w:rFonts w:hint="eastAsia" w:asciiTheme="minorEastAsia" w:hAnsiTheme="minorEastAsia" w:eastAsiaTheme="minorEastAsia" w:cstheme="minorEastAsia"/>
                <w:b/>
                <w:bCs/>
                <w:color w:val="auto"/>
                <w:sz w:val="28"/>
                <w:szCs w:val="28"/>
                <w:lang w:val="en-US" w:eastAsia="zh-CN"/>
              </w:rPr>
              <w:t>注：提供业绩的中标（成交）通知书或合同扫描件加盖公章，否则不得分。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1" w:type="dxa"/>
            <w:noWrap w:val="0"/>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rPr>
              <w:t>5</w:t>
            </w:r>
          </w:p>
        </w:tc>
        <w:tc>
          <w:tcPr>
            <w:tcW w:w="1370" w:type="dxa"/>
            <w:noWrap w:val="0"/>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项目管理机构组成</w:t>
            </w:r>
          </w:p>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8"/>
                <w:szCs w:val="28"/>
                <w:lang w:val="en-US" w:eastAsia="zh-CN" w:bidi="ar-SA"/>
              </w:rPr>
            </w:pPr>
            <w:r>
              <w:rPr>
                <w:rFonts w:hint="eastAsia" w:asciiTheme="minorEastAsia" w:hAnsiTheme="minorEastAsia" w:eastAsiaTheme="minorEastAsia" w:cstheme="minorEastAsia"/>
                <w:bCs/>
                <w:color w:val="auto"/>
                <w:sz w:val="28"/>
                <w:szCs w:val="28"/>
                <w:lang w:val="en-US" w:eastAsia="zh-CN"/>
              </w:rPr>
              <w:t>（5分）</w:t>
            </w: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8"/>
                <w:szCs w:val="28"/>
                <w:lang w:val="en-US" w:eastAsia="zh-CN" w:bidi="ar-SA"/>
              </w:rPr>
            </w:pPr>
            <w:r>
              <w:rPr>
                <w:rFonts w:hint="eastAsia" w:asciiTheme="minorEastAsia" w:hAnsiTheme="minorEastAsia" w:eastAsiaTheme="minorEastAsia" w:cstheme="minorEastAsia"/>
                <w:bCs/>
                <w:color w:val="auto"/>
                <w:sz w:val="28"/>
                <w:szCs w:val="28"/>
                <w:lang w:val="en-US" w:eastAsia="zh-CN"/>
              </w:rPr>
              <w:t>5分</w:t>
            </w:r>
          </w:p>
        </w:tc>
        <w:tc>
          <w:tcPr>
            <w:tcW w:w="6440" w:type="dxa"/>
            <w:noWrap w:val="0"/>
            <w:vAlign w:val="center"/>
          </w:tcPr>
          <w:p>
            <w:pPr>
              <w:keepNext w:val="0"/>
              <w:keepLines w:val="0"/>
              <w:pageBreakBefore w:val="0"/>
              <w:widowControl/>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设置项目负责人和技术负责人各1名，具有建筑工程专业中级及以上职称的得每有一人得2.5分，满分5分。</w:t>
            </w:r>
          </w:p>
          <w:p>
            <w:pPr>
              <w:keepNext w:val="0"/>
              <w:keepLines w:val="0"/>
              <w:pageBreakBefore w:val="0"/>
              <w:widowControl/>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bCs/>
                <w:color w:val="auto"/>
                <w:kern w:val="2"/>
                <w:sz w:val="28"/>
                <w:szCs w:val="28"/>
                <w:lang w:val="en-US" w:eastAsia="zh-CN" w:bidi="ar-SA"/>
              </w:rPr>
            </w:pPr>
            <w:r>
              <w:rPr>
                <w:rFonts w:hint="eastAsia" w:asciiTheme="minorEastAsia" w:hAnsiTheme="minorEastAsia" w:eastAsiaTheme="minorEastAsia" w:cstheme="minorEastAsia"/>
                <w:b/>
                <w:bCs w:val="0"/>
                <w:color w:val="auto"/>
                <w:sz w:val="28"/>
                <w:szCs w:val="28"/>
                <w:lang w:val="en-US" w:eastAsia="zh-CN"/>
              </w:rPr>
              <w:t>注：将上述人员相关证件资料及开标当月前6个月内（不含开标当月）任意3个月所缴纳的社保证明扫描件放入投标文件中相应位置。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Merge w:val="restart"/>
            <w:noWrap w:val="0"/>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lang w:val="en-US" w:eastAsia="zh-CN"/>
              </w:rPr>
              <w:t>6</w:t>
            </w:r>
          </w:p>
        </w:tc>
        <w:tc>
          <w:tcPr>
            <w:tcW w:w="1370" w:type="dxa"/>
            <w:vMerge w:val="restart"/>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施工</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方案</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（74分）</w:t>
            </w: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施工方案与技术措施（10分）</w:t>
            </w:r>
          </w:p>
        </w:tc>
        <w:tc>
          <w:tcPr>
            <w:tcW w:w="6440" w:type="dxa"/>
            <w:noWrap w:val="0"/>
            <w:vAlign w:val="top"/>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根据需求有相应的施工方案及技术措施进行综合评分：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施工方案及措施详尽具体，内容完整、表述清楚、针对性强、科学合理、目标明确且有亮点，完全满足项目需求的得10分；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施工方案及措施完整可行，实施细则明确，有可操作性，能够满足项目需求的得7分；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施工方案及技术措施相对完整、实施细则不够详细，总体不影响项目施工的得4分；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施工方案及技术措施简单、措施不够合理，缺乏可操作性的得1分；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没有此方案或内容与本项目完全不相符的不得分。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8"/>
                <w:szCs w:val="28"/>
                <w:lang w:val="en-US" w:eastAsia="zh-CN"/>
              </w:rPr>
            </w:pPr>
          </w:p>
        </w:tc>
        <w:tc>
          <w:tcPr>
            <w:tcW w:w="1370"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default"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文物保护措施（10分）</w:t>
            </w:r>
          </w:p>
        </w:tc>
        <w:tc>
          <w:tcPr>
            <w:tcW w:w="6440" w:type="dxa"/>
            <w:noWrap w:val="0"/>
            <w:vAlign w:val="top"/>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根据两馆中的文物包装、保护、搬运、还原陈列等需求提供相应措施进行综合评分：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文物保护方案及措施详尽具体，内容完整、表述清楚、针对性强、科学合理、目标明确且有亮点，完全满足项目需求的得10分；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文物保护方案及措施完整可行，实施细则明确，有可操作性，能够满足项目需求的得7分；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文物保护方案及措施相对完整、实施细则不够详细，总体不影响项目施工的得4分；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文物保护方案及措施简单、措施不够合理，缺乏可操作性的得1分；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没有此方案或内容与本项目完全不相符的不得分。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01"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p>
        </w:tc>
        <w:tc>
          <w:tcPr>
            <w:tcW w:w="1370"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质量管理体系与措施（10分）</w:t>
            </w:r>
          </w:p>
        </w:tc>
        <w:tc>
          <w:tcPr>
            <w:tcW w:w="6440" w:type="dxa"/>
            <w:noWrap w:val="0"/>
            <w:vAlign w:val="top"/>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有完善的质量管理体系，措施详尽具体，内容完整、表述清楚、针对性强、科学合理、经济可行、目标明确且有亮点，完全满足项目需求的得10分；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体系与措施完整可行，体系与措施内容清晰，符合项目实际情况，有可操作性，能够满足项目需求的得7分；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体系与措施措施相对完整、实施细则不够详细，总体不影响项目施工的得4分；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体系简单、措施不够合理，缺乏可操作性的得1分；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没有此方案或内容与本项目完全不相符的不得分。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p>
        </w:tc>
        <w:tc>
          <w:tcPr>
            <w:tcW w:w="1370"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安全管理体系与措施（8分）</w:t>
            </w:r>
          </w:p>
        </w:tc>
        <w:tc>
          <w:tcPr>
            <w:tcW w:w="6440" w:type="dxa"/>
            <w:noWrap w:val="0"/>
            <w:vAlign w:val="top"/>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施工期间有合理的安全管理体系及措施，内容详尽具体、表述清晰、针对性强、科学合理、经济可行、目标明确且有亮点，完全满足项目需求的得8分；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安全管理体系及措施完整可行，内容清晰，符合项目实际情况，有可操作性，能够满足项目需求的得6分；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安全管理体系及措施相对完整、实施细则不够详细，总体不影响项目施工的得4分；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安全管理体系及措施简单、不够合理，缺乏操作性的得1分；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没有此方案或内容与本项目完全不相符的不得分。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1"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p>
        </w:tc>
        <w:tc>
          <w:tcPr>
            <w:tcW w:w="1370"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环境保护管理体系与措施</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（7分）</w:t>
            </w:r>
          </w:p>
        </w:tc>
        <w:tc>
          <w:tcPr>
            <w:tcW w:w="6440" w:type="dxa"/>
            <w:noWrap w:val="0"/>
            <w:vAlign w:val="top"/>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环境保护管理体系与措施详尽具体，内容完整、表述清楚、针对性强、科学合理、经济可行、目标明确且有亮点，完全满足项目需求的得7分；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环境保护管理体系与措施完整可行，内容清晰，环境节能环保政策执行到位、符合项目实际情况，有可操作性，能够满足项目需求的得5分；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环境保护管理体系与措施相对完整、实施细则不够详细，总体不影响项目施工的得3分；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环境保护管理体系不完整、措施简单、不够合理，缺乏操作性的得1分；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没有此方案或内容与本项目完全不相符的不得分。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1"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p>
        </w:tc>
        <w:tc>
          <w:tcPr>
            <w:tcW w:w="1370"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工程进度计划与保证措施</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（8分）</w:t>
            </w:r>
          </w:p>
        </w:tc>
        <w:tc>
          <w:tcPr>
            <w:tcW w:w="6440" w:type="dxa"/>
            <w:noWrap w:val="0"/>
            <w:vAlign w:val="top"/>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工程进度计划安排得当、紧密合理、逻辑清晰，进度计划详细、明了、感官性强，工作部署、科学得当，保证措施有很强的针对性，完全满足工作要求的得8分；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各阶段工程进度计划安排合理准确、进度计划、各阶段施工流程可行、工作部署合理有效，有可操作性，能够满足项目需求的得6分；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各阶段工程进度计划安排不够紧密或不够清晰、进度计划不够科学合理、保证措施缺乏可行性的得4分；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各阶段工程进度计划安排混乱不完整、不切合项目实际情况的得1分；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没有此方案或内容与本项目完全不相符的不得分。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01"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p>
        </w:tc>
        <w:tc>
          <w:tcPr>
            <w:tcW w:w="1370"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重点难点技术保障措施</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（8分）</w:t>
            </w:r>
          </w:p>
        </w:tc>
        <w:tc>
          <w:tcPr>
            <w:tcW w:w="6440" w:type="dxa"/>
            <w:noWrap w:val="0"/>
            <w:vAlign w:val="top"/>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对项目重点难点的理解和分析、解决措施、保障措施等详尽具体，表述清楚、针对性强、科学合理、经济可行、目标明确且有亮点，完全满足项目需求的得8分；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以上措施内容完整、可行、有操作性，符合项目实际情况，能够满足项目需求的得6分；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以上措施欠缺具体实施细节、欠缺有效清晰度，可以满足项目需求的得4分；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以上措施不完整、措施简单、不够合理，缺乏操作性的得1分；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没有此方案或内容与本项目完全不相符的不得分。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01"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p>
        </w:tc>
        <w:tc>
          <w:tcPr>
            <w:tcW w:w="1370"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农民工工资保障措施</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（6分）</w:t>
            </w:r>
          </w:p>
        </w:tc>
        <w:tc>
          <w:tcPr>
            <w:tcW w:w="6440" w:type="dxa"/>
            <w:noWrap w:val="0"/>
            <w:vAlign w:val="top"/>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农民工工资保障措施详尽具体，内容完整、表述清楚、针对性强、科学合理、经济可行、目标明确且有亮点，有具体的农民工工资保障经济处罚措施的，完全满足项目需求的得6分；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以上措施内容完整、可行、有操作性，符合项目实际情况，有明确合理的农民工工资保障经济处罚措施的，能够满足项目需求的得4分；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措施欠缺具体实施细节、欠缺有效清晰度，农民工工资保障经济处罚措施不合理不详细的得2分；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以上措施不完整、措施简单、不够合理，缺乏操作性的得1分；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没有此方案或内容与本项目完全不相符的不得分。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p>
        </w:tc>
        <w:tc>
          <w:tcPr>
            <w:tcW w:w="1370" w:type="dxa"/>
            <w:vMerge w:val="continue"/>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新工艺、新技术、新材料的使用及效果</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（7分）</w:t>
            </w:r>
          </w:p>
        </w:tc>
        <w:tc>
          <w:tcPr>
            <w:tcW w:w="6440" w:type="dxa"/>
            <w:noWrap w:val="0"/>
            <w:vAlign w:val="top"/>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制定的新工艺、新技术、新材料的使用及效果方案详尽具体、表述清楚、针对性强、科学合理、经济可行、目标明确且有亮点，完全满足项目需求的得7分；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以上方案内容完整、可行、有操作性，符合项目实际情况，能够满足项目需求的得5分；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以上方案欠缺具体实施细节、欠缺有效性、不够清晰的得3分；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以上方案不完整、措施简单、不够合理，缺乏操作性的得1分；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没有此方案或内容与本项目完全不相符的不得分。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0"/>
            <w:vAlign w:val="center"/>
          </w:tcPr>
          <w:p>
            <w:pPr>
              <w:keepNext w:val="0"/>
              <w:keepLines w:val="0"/>
              <w:pageBreakBefore w:val="0"/>
              <w:widowControl/>
              <w:suppressLineNumbers w:val="0"/>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7</w:t>
            </w:r>
          </w:p>
        </w:tc>
        <w:tc>
          <w:tcPr>
            <w:tcW w:w="1370" w:type="dxa"/>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应急预案</w:t>
            </w:r>
          </w:p>
        </w:tc>
        <w:tc>
          <w:tcPr>
            <w:tcW w:w="1269" w:type="dxa"/>
            <w:noWrap w:val="0"/>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6分</w:t>
            </w:r>
          </w:p>
        </w:tc>
        <w:tc>
          <w:tcPr>
            <w:tcW w:w="6440" w:type="dxa"/>
            <w:noWrap w:val="0"/>
            <w:vAlign w:val="top"/>
          </w:tcPr>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投标供应商需结合本项目实施现场有可能出现的各类安全因素来制定应急方案：内容包含但不限于事前、事中、事后突发事件的应急预案及措施（如意外伤害、电器事故、漏电触电、坠落、火灾、疫情、空气及材料污染等）的故障应急解决方案、并有明确的经济处罚措施。</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根据对该项目的理解所提供的应急预案科学合理、涉及范围全面、故障预防与应急措施详细、内容详细具体、重点突出、有很强的针对性、能有效的应对突发事件，完全满足项目需求的得6分；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所提供的应急预案科学合理、涉及面符合项目实际情况、故障预防与应急切实可行、响应迅速、能够及时应对与本项目相关的一切突发事件，能够满足项目需求的得4分；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提供的应急措施内容相对完整、涉及范围不够全面细致、故障预防与应急细节不到位、对突发事件的应对把握不够精准的得2分；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以上措施内容不够贴合项目实际情况，内容不够完善，突发事件应对不符合实际情况的得1分；</w:t>
            </w:r>
          </w:p>
          <w:p>
            <w:pPr>
              <w:keepNext w:val="0"/>
              <w:keepLines w:val="0"/>
              <w:pageBreakBefore w:val="0"/>
              <w:widowControl/>
              <w:kinsoku/>
              <w:wordWrap/>
              <w:overflowPunct/>
              <w:topLinePunct w:val="0"/>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不提供方案的不得分。</w:t>
            </w:r>
          </w:p>
        </w:tc>
      </w:tr>
    </w:tbl>
    <w:p>
      <w:pPr>
        <w:pageBreakBefore w:val="0"/>
        <w:wordWrap/>
        <w:topLinePunct w:val="0"/>
        <w:bidi w:val="0"/>
        <w:spacing w:line="360" w:lineRule="auto"/>
        <w:rPr>
          <w:rFonts w:hint="eastAsia" w:ascii="宋体" w:hAnsi="宋体" w:eastAsia="宋体" w:cs="宋体"/>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幼圆">
    <w:altName w:val="华文中宋"/>
    <w:panose1 w:val="0201050906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imes New Roman" w:hAnsi="Times New Roman"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7</w:t>
                          </w:r>
                          <w:r>
                            <w:rPr>
                              <w:rFonts w:ascii="Times New Roman" w:hAnsi="Times New Roman" w:eastAsia="仿宋_GB2312"/>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15"/>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7</w:t>
                    </w:r>
                    <w:r>
                      <w:rPr>
                        <w:rFonts w:ascii="Times New Roman" w:hAnsi="Times New Roman" w:eastAsia="仿宋_GB2312"/>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21"/>
        <w:tab w:val="clear" w:pos="4153"/>
      </w:tabs>
      <w:rPr>
        <w:rFonts w:hint="eastAsia" w:eastAsia="宋体"/>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0"/>
        <w:snapToGrid w:val="0"/>
      </w:pPr>
      <w:r>
        <w:rPr>
          <w:rStyle w:val="33"/>
        </w:rPr>
        <w:footnoteRef/>
      </w:r>
      <w:r>
        <w:t xml:space="preserve"> </w:t>
      </w:r>
      <w:r>
        <w:rPr>
          <w:rFonts w:hint="eastAsia"/>
          <w:lang w:eastAsia="zh-CN"/>
        </w:rPr>
        <w:t>供应商需按提供的服务或工程标的分别填写，未按规定填写的，视为未提供《中小企业声明函》。</w:t>
      </w:r>
    </w:p>
  </w:footnote>
  <w:footnote w:id="1">
    <w:p>
      <w:pPr>
        <w:pStyle w:val="20"/>
        <w:snapToGrid w:val="0"/>
      </w:pPr>
      <w:r>
        <w:rPr>
          <w:rStyle w:val="33"/>
        </w:rPr>
        <w:footnoteRef/>
      </w:r>
      <w:r>
        <w:t xml:space="preserve"> </w:t>
      </w:r>
      <w:r>
        <w:rPr>
          <w:rFonts w:hint="eastAsia"/>
          <w:lang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75C29"/>
    <w:multiLevelType w:val="singleLevel"/>
    <w:tmpl w:val="B1F75C29"/>
    <w:lvl w:ilvl="0" w:tentative="0">
      <w:start w:val="7"/>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1CCB73DC"/>
    <w:multiLevelType w:val="singleLevel"/>
    <w:tmpl w:val="1CCB73DC"/>
    <w:lvl w:ilvl="0" w:tentative="0">
      <w:start w:val="6"/>
      <w:numFmt w:val="chineseCounting"/>
      <w:suff w:val="nothing"/>
      <w:lvlText w:val="（%1）"/>
      <w:lvlJc w:val="left"/>
      <w:rPr>
        <w:rFonts w:hint="eastAsia"/>
      </w:rPr>
    </w:lvl>
  </w:abstractNum>
  <w:abstractNum w:abstractNumId="3">
    <w:nsid w:val="58FB853C"/>
    <w:multiLevelType w:val="singleLevel"/>
    <w:tmpl w:val="58FB853C"/>
    <w:lvl w:ilvl="0" w:tentative="0">
      <w:start w:val="27"/>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NTg5ZjQyZTJhNTdkY2VlM2FjMDk4NjdhYzZiZTQifQ=="/>
  </w:docVars>
  <w:rsids>
    <w:rsidRoot w:val="00000000"/>
    <w:rsid w:val="000876B3"/>
    <w:rsid w:val="001C048E"/>
    <w:rsid w:val="003D18B3"/>
    <w:rsid w:val="007E4CA5"/>
    <w:rsid w:val="00A40483"/>
    <w:rsid w:val="00B736EC"/>
    <w:rsid w:val="01011432"/>
    <w:rsid w:val="0147153B"/>
    <w:rsid w:val="0183453D"/>
    <w:rsid w:val="01C27C15"/>
    <w:rsid w:val="01EF3980"/>
    <w:rsid w:val="021150AD"/>
    <w:rsid w:val="027D71DE"/>
    <w:rsid w:val="027F2F56"/>
    <w:rsid w:val="02901EA7"/>
    <w:rsid w:val="029307AF"/>
    <w:rsid w:val="02F34D48"/>
    <w:rsid w:val="03157416"/>
    <w:rsid w:val="038C2723"/>
    <w:rsid w:val="03B34746"/>
    <w:rsid w:val="03C20EA4"/>
    <w:rsid w:val="03C77524"/>
    <w:rsid w:val="03CC65BF"/>
    <w:rsid w:val="0428379D"/>
    <w:rsid w:val="04641D69"/>
    <w:rsid w:val="04934A97"/>
    <w:rsid w:val="04BF588C"/>
    <w:rsid w:val="04C307C7"/>
    <w:rsid w:val="04D74A36"/>
    <w:rsid w:val="04FC6AE0"/>
    <w:rsid w:val="05211CDE"/>
    <w:rsid w:val="05397915"/>
    <w:rsid w:val="054F6C10"/>
    <w:rsid w:val="055108BB"/>
    <w:rsid w:val="056F0A41"/>
    <w:rsid w:val="05810D93"/>
    <w:rsid w:val="05A54454"/>
    <w:rsid w:val="05C25634"/>
    <w:rsid w:val="05F477B7"/>
    <w:rsid w:val="05F6197E"/>
    <w:rsid w:val="05FA7FEB"/>
    <w:rsid w:val="06043E9E"/>
    <w:rsid w:val="06132C51"/>
    <w:rsid w:val="06163BD1"/>
    <w:rsid w:val="06232D2F"/>
    <w:rsid w:val="06255A88"/>
    <w:rsid w:val="06442CF0"/>
    <w:rsid w:val="064E336B"/>
    <w:rsid w:val="066421C7"/>
    <w:rsid w:val="06823015"/>
    <w:rsid w:val="06830401"/>
    <w:rsid w:val="07091040"/>
    <w:rsid w:val="071023CF"/>
    <w:rsid w:val="07195727"/>
    <w:rsid w:val="07671ACA"/>
    <w:rsid w:val="07862691"/>
    <w:rsid w:val="079052BE"/>
    <w:rsid w:val="079B438E"/>
    <w:rsid w:val="07C82CA9"/>
    <w:rsid w:val="07F43A9E"/>
    <w:rsid w:val="08087562"/>
    <w:rsid w:val="08486399"/>
    <w:rsid w:val="08762705"/>
    <w:rsid w:val="08810F75"/>
    <w:rsid w:val="08AC24CE"/>
    <w:rsid w:val="08B5322E"/>
    <w:rsid w:val="08C74561"/>
    <w:rsid w:val="08D215AD"/>
    <w:rsid w:val="08DC4C5E"/>
    <w:rsid w:val="08DC7725"/>
    <w:rsid w:val="08EE7BC3"/>
    <w:rsid w:val="0902043D"/>
    <w:rsid w:val="091C2116"/>
    <w:rsid w:val="093700E7"/>
    <w:rsid w:val="098B5F85"/>
    <w:rsid w:val="09CC2196"/>
    <w:rsid w:val="09E3201C"/>
    <w:rsid w:val="09E638BB"/>
    <w:rsid w:val="09ED3831"/>
    <w:rsid w:val="0A043E59"/>
    <w:rsid w:val="0A12645E"/>
    <w:rsid w:val="0A216BB3"/>
    <w:rsid w:val="0A2A1F97"/>
    <w:rsid w:val="0A5F652B"/>
    <w:rsid w:val="0A6C3DC0"/>
    <w:rsid w:val="0ACC485F"/>
    <w:rsid w:val="0AD41965"/>
    <w:rsid w:val="0AF12517"/>
    <w:rsid w:val="0B2E3C3F"/>
    <w:rsid w:val="0B3F3C9B"/>
    <w:rsid w:val="0B7D28B5"/>
    <w:rsid w:val="0B867103"/>
    <w:rsid w:val="0B8909A2"/>
    <w:rsid w:val="0B8D04FF"/>
    <w:rsid w:val="0BA94BA0"/>
    <w:rsid w:val="0BD40F69"/>
    <w:rsid w:val="0C562ACA"/>
    <w:rsid w:val="0C5E7DD3"/>
    <w:rsid w:val="0C686809"/>
    <w:rsid w:val="0C6F7B97"/>
    <w:rsid w:val="0C746EAB"/>
    <w:rsid w:val="0CA60ED7"/>
    <w:rsid w:val="0CAA3876"/>
    <w:rsid w:val="0CBB3049"/>
    <w:rsid w:val="0CCD5339"/>
    <w:rsid w:val="0CF27383"/>
    <w:rsid w:val="0D077DD0"/>
    <w:rsid w:val="0D5B7E8B"/>
    <w:rsid w:val="0D6129EF"/>
    <w:rsid w:val="0D801806"/>
    <w:rsid w:val="0D891B8E"/>
    <w:rsid w:val="0DAD0533"/>
    <w:rsid w:val="0DB00467"/>
    <w:rsid w:val="0DBA3094"/>
    <w:rsid w:val="0DF5231E"/>
    <w:rsid w:val="0DFB44E0"/>
    <w:rsid w:val="0E17735E"/>
    <w:rsid w:val="0E223278"/>
    <w:rsid w:val="0E250C3C"/>
    <w:rsid w:val="0E2844A2"/>
    <w:rsid w:val="0EAE5EBE"/>
    <w:rsid w:val="0EE52393"/>
    <w:rsid w:val="0F0D5446"/>
    <w:rsid w:val="0F10340E"/>
    <w:rsid w:val="0F165F92"/>
    <w:rsid w:val="0F227143"/>
    <w:rsid w:val="0F2F360E"/>
    <w:rsid w:val="0F360E40"/>
    <w:rsid w:val="0F381F8E"/>
    <w:rsid w:val="0F827BE2"/>
    <w:rsid w:val="0F872F52"/>
    <w:rsid w:val="0FEB1C2B"/>
    <w:rsid w:val="106612B1"/>
    <w:rsid w:val="10A43CE3"/>
    <w:rsid w:val="10BE2E9B"/>
    <w:rsid w:val="10BE733F"/>
    <w:rsid w:val="10C56AD7"/>
    <w:rsid w:val="10CA5CE4"/>
    <w:rsid w:val="11074842"/>
    <w:rsid w:val="113151D5"/>
    <w:rsid w:val="1177706D"/>
    <w:rsid w:val="118539B9"/>
    <w:rsid w:val="118916FB"/>
    <w:rsid w:val="118C4D48"/>
    <w:rsid w:val="11DC5CCF"/>
    <w:rsid w:val="120C0F58"/>
    <w:rsid w:val="12503FC7"/>
    <w:rsid w:val="12687563"/>
    <w:rsid w:val="12971BF6"/>
    <w:rsid w:val="12A62454"/>
    <w:rsid w:val="12AF5192"/>
    <w:rsid w:val="12CF6BDF"/>
    <w:rsid w:val="12D44BF8"/>
    <w:rsid w:val="12F928B1"/>
    <w:rsid w:val="13051003"/>
    <w:rsid w:val="131657E8"/>
    <w:rsid w:val="131B2F58"/>
    <w:rsid w:val="134F24D1"/>
    <w:rsid w:val="1360023A"/>
    <w:rsid w:val="139525D9"/>
    <w:rsid w:val="13A75E69"/>
    <w:rsid w:val="13B509D0"/>
    <w:rsid w:val="1425602A"/>
    <w:rsid w:val="147246C9"/>
    <w:rsid w:val="14B7657F"/>
    <w:rsid w:val="14C447F8"/>
    <w:rsid w:val="14C5659D"/>
    <w:rsid w:val="14D26F15"/>
    <w:rsid w:val="14DB226E"/>
    <w:rsid w:val="14F83D1D"/>
    <w:rsid w:val="15115BBA"/>
    <w:rsid w:val="154047C7"/>
    <w:rsid w:val="159B19FD"/>
    <w:rsid w:val="15B900D5"/>
    <w:rsid w:val="15D171CD"/>
    <w:rsid w:val="15F24D42"/>
    <w:rsid w:val="16214CD6"/>
    <w:rsid w:val="163E2706"/>
    <w:rsid w:val="169D71E8"/>
    <w:rsid w:val="177249E0"/>
    <w:rsid w:val="17CE7E68"/>
    <w:rsid w:val="17FA6D4D"/>
    <w:rsid w:val="181635BD"/>
    <w:rsid w:val="184719C8"/>
    <w:rsid w:val="184847F4"/>
    <w:rsid w:val="185425C2"/>
    <w:rsid w:val="1884428E"/>
    <w:rsid w:val="189F6908"/>
    <w:rsid w:val="18AB01A9"/>
    <w:rsid w:val="18CC77BD"/>
    <w:rsid w:val="18DB0CE0"/>
    <w:rsid w:val="18DF7E53"/>
    <w:rsid w:val="191D2361"/>
    <w:rsid w:val="193E2DCB"/>
    <w:rsid w:val="19630A84"/>
    <w:rsid w:val="197B1F90"/>
    <w:rsid w:val="19A83945"/>
    <w:rsid w:val="19CF7EC7"/>
    <w:rsid w:val="19D07767"/>
    <w:rsid w:val="19DB686C"/>
    <w:rsid w:val="1A3F6DFB"/>
    <w:rsid w:val="1A646862"/>
    <w:rsid w:val="1A7010E8"/>
    <w:rsid w:val="1A897A1B"/>
    <w:rsid w:val="1AB377E9"/>
    <w:rsid w:val="1AFF4560"/>
    <w:rsid w:val="1B1C713C"/>
    <w:rsid w:val="1B3853CA"/>
    <w:rsid w:val="1B3977EC"/>
    <w:rsid w:val="1B4B178A"/>
    <w:rsid w:val="1B9413C8"/>
    <w:rsid w:val="1BAC39AB"/>
    <w:rsid w:val="1BC821E1"/>
    <w:rsid w:val="1BC928A8"/>
    <w:rsid w:val="1BFE4A94"/>
    <w:rsid w:val="1C1C325F"/>
    <w:rsid w:val="1C525489"/>
    <w:rsid w:val="1C6C40F3"/>
    <w:rsid w:val="1CA23671"/>
    <w:rsid w:val="1CAA41DA"/>
    <w:rsid w:val="1CE65A14"/>
    <w:rsid w:val="1CE81A14"/>
    <w:rsid w:val="1D0D0CEA"/>
    <w:rsid w:val="1D322C47"/>
    <w:rsid w:val="1D4D7A81"/>
    <w:rsid w:val="1DB233BA"/>
    <w:rsid w:val="1DBB7F27"/>
    <w:rsid w:val="1E3C6CD1"/>
    <w:rsid w:val="1E5F67A8"/>
    <w:rsid w:val="1E650DFA"/>
    <w:rsid w:val="1E807798"/>
    <w:rsid w:val="1E936F05"/>
    <w:rsid w:val="1E9F014A"/>
    <w:rsid w:val="1EF1171F"/>
    <w:rsid w:val="1F220A99"/>
    <w:rsid w:val="1F3B62FE"/>
    <w:rsid w:val="1F3D58D3"/>
    <w:rsid w:val="1F5B716E"/>
    <w:rsid w:val="1F5F4E35"/>
    <w:rsid w:val="201C0253"/>
    <w:rsid w:val="205259AA"/>
    <w:rsid w:val="20A91472"/>
    <w:rsid w:val="20B41BC5"/>
    <w:rsid w:val="20D52267"/>
    <w:rsid w:val="20DF30E6"/>
    <w:rsid w:val="210B3804"/>
    <w:rsid w:val="213571AA"/>
    <w:rsid w:val="21466CC1"/>
    <w:rsid w:val="21562C7C"/>
    <w:rsid w:val="218A3568"/>
    <w:rsid w:val="21AE4866"/>
    <w:rsid w:val="21BF4048"/>
    <w:rsid w:val="21D02A2F"/>
    <w:rsid w:val="21DA38AD"/>
    <w:rsid w:val="220402FD"/>
    <w:rsid w:val="22904C40"/>
    <w:rsid w:val="22AA3280"/>
    <w:rsid w:val="22B20386"/>
    <w:rsid w:val="22F55C75"/>
    <w:rsid w:val="23362D65"/>
    <w:rsid w:val="23664A1C"/>
    <w:rsid w:val="23865A9B"/>
    <w:rsid w:val="23DA5DE6"/>
    <w:rsid w:val="23FC6C77"/>
    <w:rsid w:val="24390D5F"/>
    <w:rsid w:val="24501641"/>
    <w:rsid w:val="245C180F"/>
    <w:rsid w:val="24D80578"/>
    <w:rsid w:val="24F53213"/>
    <w:rsid w:val="251D452B"/>
    <w:rsid w:val="254E433C"/>
    <w:rsid w:val="25616BF7"/>
    <w:rsid w:val="257A4606"/>
    <w:rsid w:val="257C14AD"/>
    <w:rsid w:val="259C15A5"/>
    <w:rsid w:val="25AB76BA"/>
    <w:rsid w:val="25BD32CA"/>
    <w:rsid w:val="25D6438C"/>
    <w:rsid w:val="25F07D6A"/>
    <w:rsid w:val="25F56F08"/>
    <w:rsid w:val="26105AEF"/>
    <w:rsid w:val="26154EB4"/>
    <w:rsid w:val="261E645E"/>
    <w:rsid w:val="262670C1"/>
    <w:rsid w:val="265359DC"/>
    <w:rsid w:val="266A3452"/>
    <w:rsid w:val="266D6A9E"/>
    <w:rsid w:val="267C3185"/>
    <w:rsid w:val="268256FF"/>
    <w:rsid w:val="268E4359"/>
    <w:rsid w:val="27301857"/>
    <w:rsid w:val="2740202B"/>
    <w:rsid w:val="274912B9"/>
    <w:rsid w:val="27C333B3"/>
    <w:rsid w:val="27DB5705"/>
    <w:rsid w:val="27EA37A1"/>
    <w:rsid w:val="27FF3927"/>
    <w:rsid w:val="282B6C11"/>
    <w:rsid w:val="285D0B15"/>
    <w:rsid w:val="287405B8"/>
    <w:rsid w:val="28B01215"/>
    <w:rsid w:val="28B5297E"/>
    <w:rsid w:val="28BE1833"/>
    <w:rsid w:val="28D472A8"/>
    <w:rsid w:val="28E976B6"/>
    <w:rsid w:val="28F504EF"/>
    <w:rsid w:val="29015BC3"/>
    <w:rsid w:val="292E4C0A"/>
    <w:rsid w:val="297665B1"/>
    <w:rsid w:val="298C7B83"/>
    <w:rsid w:val="29F319B0"/>
    <w:rsid w:val="2A1831C5"/>
    <w:rsid w:val="2A465F84"/>
    <w:rsid w:val="2A4D10C0"/>
    <w:rsid w:val="2A5D0EE9"/>
    <w:rsid w:val="2A645E00"/>
    <w:rsid w:val="2A683FD1"/>
    <w:rsid w:val="2A8B5941"/>
    <w:rsid w:val="2AD6555A"/>
    <w:rsid w:val="2ADF33CC"/>
    <w:rsid w:val="2AE56F95"/>
    <w:rsid w:val="2B134F5B"/>
    <w:rsid w:val="2BA70CA4"/>
    <w:rsid w:val="2C9B7909"/>
    <w:rsid w:val="2CAE7B1F"/>
    <w:rsid w:val="2CE1675E"/>
    <w:rsid w:val="2CED7B71"/>
    <w:rsid w:val="2D621327"/>
    <w:rsid w:val="2DE24215"/>
    <w:rsid w:val="2DF87595"/>
    <w:rsid w:val="2DFB52D7"/>
    <w:rsid w:val="2DFB5A17"/>
    <w:rsid w:val="2E2359BD"/>
    <w:rsid w:val="2E755089"/>
    <w:rsid w:val="2E772BB0"/>
    <w:rsid w:val="2E786928"/>
    <w:rsid w:val="2E840E29"/>
    <w:rsid w:val="2E8421CD"/>
    <w:rsid w:val="2E8B665B"/>
    <w:rsid w:val="2EB84F76"/>
    <w:rsid w:val="2EC90F31"/>
    <w:rsid w:val="2EDA71A8"/>
    <w:rsid w:val="2F3960B7"/>
    <w:rsid w:val="2F4D56BE"/>
    <w:rsid w:val="2F4E3708"/>
    <w:rsid w:val="2F4E62C1"/>
    <w:rsid w:val="2F8F3F29"/>
    <w:rsid w:val="30085A89"/>
    <w:rsid w:val="300C37CC"/>
    <w:rsid w:val="301D32E3"/>
    <w:rsid w:val="30330D58"/>
    <w:rsid w:val="303A20E7"/>
    <w:rsid w:val="305105E8"/>
    <w:rsid w:val="30656A38"/>
    <w:rsid w:val="308C66BA"/>
    <w:rsid w:val="30980BBB"/>
    <w:rsid w:val="30C61BCC"/>
    <w:rsid w:val="30E3277E"/>
    <w:rsid w:val="315840B2"/>
    <w:rsid w:val="31764F04"/>
    <w:rsid w:val="318F1FBE"/>
    <w:rsid w:val="31994BEB"/>
    <w:rsid w:val="31C3435E"/>
    <w:rsid w:val="31C83722"/>
    <w:rsid w:val="31DD0513"/>
    <w:rsid w:val="31E00548"/>
    <w:rsid w:val="31EF5B1F"/>
    <w:rsid w:val="3204466B"/>
    <w:rsid w:val="32470AEB"/>
    <w:rsid w:val="325D20BC"/>
    <w:rsid w:val="32827D75"/>
    <w:rsid w:val="32AC094E"/>
    <w:rsid w:val="32AC3044"/>
    <w:rsid w:val="32B92FFE"/>
    <w:rsid w:val="32D16607"/>
    <w:rsid w:val="32EE0F67"/>
    <w:rsid w:val="32F83B93"/>
    <w:rsid w:val="3307027A"/>
    <w:rsid w:val="33323549"/>
    <w:rsid w:val="33370B5F"/>
    <w:rsid w:val="33464251"/>
    <w:rsid w:val="334A6C92"/>
    <w:rsid w:val="33703ECD"/>
    <w:rsid w:val="33B977C6"/>
    <w:rsid w:val="33D44600"/>
    <w:rsid w:val="33E34B07"/>
    <w:rsid w:val="342C7F98"/>
    <w:rsid w:val="34381F52"/>
    <w:rsid w:val="34515C51"/>
    <w:rsid w:val="346239BA"/>
    <w:rsid w:val="346C4839"/>
    <w:rsid w:val="347F3DDB"/>
    <w:rsid w:val="34B7330C"/>
    <w:rsid w:val="34C446EB"/>
    <w:rsid w:val="34C46423"/>
    <w:rsid w:val="34C957E7"/>
    <w:rsid w:val="34FF56AD"/>
    <w:rsid w:val="35357321"/>
    <w:rsid w:val="356F7390"/>
    <w:rsid w:val="358B5193"/>
    <w:rsid w:val="35D42696"/>
    <w:rsid w:val="35EF74CF"/>
    <w:rsid w:val="35F2645F"/>
    <w:rsid w:val="360F7B72"/>
    <w:rsid w:val="361671B3"/>
    <w:rsid w:val="362A5FE2"/>
    <w:rsid w:val="36322408"/>
    <w:rsid w:val="363A3135"/>
    <w:rsid w:val="367F68C3"/>
    <w:rsid w:val="36AE3D2D"/>
    <w:rsid w:val="375F2433"/>
    <w:rsid w:val="37627C24"/>
    <w:rsid w:val="37774BB9"/>
    <w:rsid w:val="378402F8"/>
    <w:rsid w:val="379034EE"/>
    <w:rsid w:val="37B22EAA"/>
    <w:rsid w:val="37FE39FA"/>
    <w:rsid w:val="38651CCB"/>
    <w:rsid w:val="38797524"/>
    <w:rsid w:val="38860F6F"/>
    <w:rsid w:val="38A071A7"/>
    <w:rsid w:val="390E4110"/>
    <w:rsid w:val="39167469"/>
    <w:rsid w:val="391C5545"/>
    <w:rsid w:val="391D4903"/>
    <w:rsid w:val="394C6378"/>
    <w:rsid w:val="3962605C"/>
    <w:rsid w:val="39736610"/>
    <w:rsid w:val="39847535"/>
    <w:rsid w:val="39BF540B"/>
    <w:rsid w:val="39FF291E"/>
    <w:rsid w:val="3A0857AD"/>
    <w:rsid w:val="3A3F654C"/>
    <w:rsid w:val="3A4678DA"/>
    <w:rsid w:val="3A4F678F"/>
    <w:rsid w:val="3A804B9A"/>
    <w:rsid w:val="3A8C23C1"/>
    <w:rsid w:val="3B082DE1"/>
    <w:rsid w:val="3B106ED1"/>
    <w:rsid w:val="3B136D3B"/>
    <w:rsid w:val="3B2160B6"/>
    <w:rsid w:val="3B2A7371"/>
    <w:rsid w:val="3B455DE4"/>
    <w:rsid w:val="3B7A5A8D"/>
    <w:rsid w:val="3B8C756F"/>
    <w:rsid w:val="3B9A4038"/>
    <w:rsid w:val="3BCE07F5"/>
    <w:rsid w:val="3BE60F73"/>
    <w:rsid w:val="3BF90915"/>
    <w:rsid w:val="3C261771"/>
    <w:rsid w:val="3C2E6878"/>
    <w:rsid w:val="3C4E2A76"/>
    <w:rsid w:val="3C6109FB"/>
    <w:rsid w:val="3C812E4B"/>
    <w:rsid w:val="3D0C0967"/>
    <w:rsid w:val="3D204412"/>
    <w:rsid w:val="3D485717"/>
    <w:rsid w:val="3D7B33B6"/>
    <w:rsid w:val="3DAA5DD4"/>
    <w:rsid w:val="3DBF1E7D"/>
    <w:rsid w:val="3DBF44D4"/>
    <w:rsid w:val="3DE93535"/>
    <w:rsid w:val="3DFA2393"/>
    <w:rsid w:val="3E350391"/>
    <w:rsid w:val="3E622809"/>
    <w:rsid w:val="3E6447D3"/>
    <w:rsid w:val="3E8971C7"/>
    <w:rsid w:val="3EC51715"/>
    <w:rsid w:val="3ED40905"/>
    <w:rsid w:val="3EE96395"/>
    <w:rsid w:val="3F397A0D"/>
    <w:rsid w:val="3F461D99"/>
    <w:rsid w:val="3F8134A1"/>
    <w:rsid w:val="3FB47094"/>
    <w:rsid w:val="3FC6535B"/>
    <w:rsid w:val="3FCC262F"/>
    <w:rsid w:val="3FCC6AD3"/>
    <w:rsid w:val="3FE22789"/>
    <w:rsid w:val="401069C0"/>
    <w:rsid w:val="403817F8"/>
    <w:rsid w:val="403C175B"/>
    <w:rsid w:val="403C77B5"/>
    <w:rsid w:val="409046C1"/>
    <w:rsid w:val="40B027E9"/>
    <w:rsid w:val="40D12ACA"/>
    <w:rsid w:val="40E5311C"/>
    <w:rsid w:val="41270465"/>
    <w:rsid w:val="415648A7"/>
    <w:rsid w:val="416C3E2A"/>
    <w:rsid w:val="41A15A5D"/>
    <w:rsid w:val="41C00631"/>
    <w:rsid w:val="41E04D23"/>
    <w:rsid w:val="4214206C"/>
    <w:rsid w:val="423B584A"/>
    <w:rsid w:val="429016E0"/>
    <w:rsid w:val="42B0448A"/>
    <w:rsid w:val="42D77C69"/>
    <w:rsid w:val="430869F4"/>
    <w:rsid w:val="43326C4D"/>
    <w:rsid w:val="435661B0"/>
    <w:rsid w:val="43574906"/>
    <w:rsid w:val="436F0044"/>
    <w:rsid w:val="437F08BF"/>
    <w:rsid w:val="43812E53"/>
    <w:rsid w:val="438C0A54"/>
    <w:rsid w:val="43AC6A00"/>
    <w:rsid w:val="43F416BA"/>
    <w:rsid w:val="440E1469"/>
    <w:rsid w:val="4416305A"/>
    <w:rsid w:val="44231A85"/>
    <w:rsid w:val="442B22DF"/>
    <w:rsid w:val="444035EC"/>
    <w:rsid w:val="444D24EA"/>
    <w:rsid w:val="449F6565"/>
    <w:rsid w:val="44DC0ADE"/>
    <w:rsid w:val="44F7014F"/>
    <w:rsid w:val="45060392"/>
    <w:rsid w:val="452318C1"/>
    <w:rsid w:val="45625E7E"/>
    <w:rsid w:val="45637592"/>
    <w:rsid w:val="4570263D"/>
    <w:rsid w:val="45765517"/>
    <w:rsid w:val="45C44248"/>
    <w:rsid w:val="45D3296A"/>
    <w:rsid w:val="45D64019"/>
    <w:rsid w:val="45E23B5A"/>
    <w:rsid w:val="4618488A"/>
    <w:rsid w:val="463D6035"/>
    <w:rsid w:val="464F5D68"/>
    <w:rsid w:val="466877B6"/>
    <w:rsid w:val="46A6433F"/>
    <w:rsid w:val="46C16B67"/>
    <w:rsid w:val="46C54024"/>
    <w:rsid w:val="46CA0BA7"/>
    <w:rsid w:val="47071AC8"/>
    <w:rsid w:val="475F3D89"/>
    <w:rsid w:val="47606608"/>
    <w:rsid w:val="476D0CA0"/>
    <w:rsid w:val="47727F60"/>
    <w:rsid w:val="47805554"/>
    <w:rsid w:val="47A923AE"/>
    <w:rsid w:val="47B95DF9"/>
    <w:rsid w:val="47C47B5E"/>
    <w:rsid w:val="47C562E2"/>
    <w:rsid w:val="47DE602A"/>
    <w:rsid w:val="47F837F7"/>
    <w:rsid w:val="48474F49"/>
    <w:rsid w:val="484F02A2"/>
    <w:rsid w:val="488123A7"/>
    <w:rsid w:val="4892430A"/>
    <w:rsid w:val="489C0BC1"/>
    <w:rsid w:val="48D9218A"/>
    <w:rsid w:val="49025314"/>
    <w:rsid w:val="4972249A"/>
    <w:rsid w:val="498B5309"/>
    <w:rsid w:val="49E52C6C"/>
    <w:rsid w:val="49FB6308"/>
    <w:rsid w:val="4A1D2B68"/>
    <w:rsid w:val="4A2319E6"/>
    <w:rsid w:val="4A7B35D0"/>
    <w:rsid w:val="4AE253FD"/>
    <w:rsid w:val="4AF34F14"/>
    <w:rsid w:val="4AF43992"/>
    <w:rsid w:val="4B1834B6"/>
    <w:rsid w:val="4B29678D"/>
    <w:rsid w:val="4B2E0F3D"/>
    <w:rsid w:val="4B6776B0"/>
    <w:rsid w:val="4B7F49FA"/>
    <w:rsid w:val="4B8976B2"/>
    <w:rsid w:val="4BC8031C"/>
    <w:rsid w:val="4BE77467"/>
    <w:rsid w:val="4BE9687B"/>
    <w:rsid w:val="4BEB02E1"/>
    <w:rsid w:val="4C0B2731"/>
    <w:rsid w:val="4C8A7AFA"/>
    <w:rsid w:val="4C9264EE"/>
    <w:rsid w:val="4CA56D21"/>
    <w:rsid w:val="4CAB763C"/>
    <w:rsid w:val="4CAF212E"/>
    <w:rsid w:val="4CC0351C"/>
    <w:rsid w:val="4D0179BF"/>
    <w:rsid w:val="4D090A1F"/>
    <w:rsid w:val="4D2515D1"/>
    <w:rsid w:val="4D616B71"/>
    <w:rsid w:val="4D6C7200"/>
    <w:rsid w:val="4DA42E3E"/>
    <w:rsid w:val="4DAA281B"/>
    <w:rsid w:val="4DC62DB4"/>
    <w:rsid w:val="4E0561D7"/>
    <w:rsid w:val="4E1A6C5C"/>
    <w:rsid w:val="4E31544E"/>
    <w:rsid w:val="4E406D94"/>
    <w:rsid w:val="4E571C5E"/>
    <w:rsid w:val="4E816CDB"/>
    <w:rsid w:val="4E9627AF"/>
    <w:rsid w:val="4EA70460"/>
    <w:rsid w:val="4EC15329"/>
    <w:rsid w:val="4ECD188D"/>
    <w:rsid w:val="4EE57E01"/>
    <w:rsid w:val="4EF15C0F"/>
    <w:rsid w:val="4F32143B"/>
    <w:rsid w:val="4F6F50DC"/>
    <w:rsid w:val="4F7747F2"/>
    <w:rsid w:val="4F83543A"/>
    <w:rsid w:val="4F965379"/>
    <w:rsid w:val="4F987C34"/>
    <w:rsid w:val="4FB355BA"/>
    <w:rsid w:val="4FBD2726"/>
    <w:rsid w:val="4FDA6DA9"/>
    <w:rsid w:val="501C6CBB"/>
    <w:rsid w:val="503F29AA"/>
    <w:rsid w:val="50604C68"/>
    <w:rsid w:val="50697A27"/>
    <w:rsid w:val="506F328F"/>
    <w:rsid w:val="507E7976"/>
    <w:rsid w:val="509E5922"/>
    <w:rsid w:val="50CF2CB5"/>
    <w:rsid w:val="50F6750C"/>
    <w:rsid w:val="50F9524E"/>
    <w:rsid w:val="50FE0903"/>
    <w:rsid w:val="511E6A63"/>
    <w:rsid w:val="51A21442"/>
    <w:rsid w:val="51A72EFC"/>
    <w:rsid w:val="51A73BDA"/>
    <w:rsid w:val="51BA7767"/>
    <w:rsid w:val="51E14D3C"/>
    <w:rsid w:val="51FE0D6E"/>
    <w:rsid w:val="51FF4AE6"/>
    <w:rsid w:val="5217598C"/>
    <w:rsid w:val="524424F9"/>
    <w:rsid w:val="533662E6"/>
    <w:rsid w:val="533C1422"/>
    <w:rsid w:val="53456529"/>
    <w:rsid w:val="53650979"/>
    <w:rsid w:val="53B71D7A"/>
    <w:rsid w:val="540168F4"/>
    <w:rsid w:val="542425E2"/>
    <w:rsid w:val="54426089"/>
    <w:rsid w:val="547846DC"/>
    <w:rsid w:val="549D01C5"/>
    <w:rsid w:val="54A148D9"/>
    <w:rsid w:val="54A445F5"/>
    <w:rsid w:val="54EA5B2D"/>
    <w:rsid w:val="54F16968"/>
    <w:rsid w:val="553B1D25"/>
    <w:rsid w:val="553C395C"/>
    <w:rsid w:val="55441154"/>
    <w:rsid w:val="557405D2"/>
    <w:rsid w:val="55C73392"/>
    <w:rsid w:val="55DB3175"/>
    <w:rsid w:val="561D572E"/>
    <w:rsid w:val="56292132"/>
    <w:rsid w:val="562F7523"/>
    <w:rsid w:val="569C1BD0"/>
    <w:rsid w:val="56A91FD0"/>
    <w:rsid w:val="56BA0FDC"/>
    <w:rsid w:val="56D24578"/>
    <w:rsid w:val="56D93FE2"/>
    <w:rsid w:val="56E322E1"/>
    <w:rsid w:val="56E61DD1"/>
    <w:rsid w:val="56E90F5B"/>
    <w:rsid w:val="56F55413"/>
    <w:rsid w:val="5708766D"/>
    <w:rsid w:val="57380526"/>
    <w:rsid w:val="573B211D"/>
    <w:rsid w:val="575B2B7B"/>
    <w:rsid w:val="575B6A87"/>
    <w:rsid w:val="58390C8D"/>
    <w:rsid w:val="58417C07"/>
    <w:rsid w:val="585D56B2"/>
    <w:rsid w:val="586B07E0"/>
    <w:rsid w:val="5886243F"/>
    <w:rsid w:val="588F4582"/>
    <w:rsid w:val="58B32187"/>
    <w:rsid w:val="58B57CAD"/>
    <w:rsid w:val="58BD390A"/>
    <w:rsid w:val="58BE646C"/>
    <w:rsid w:val="58D869D2"/>
    <w:rsid w:val="590E560F"/>
    <w:rsid w:val="591B0458"/>
    <w:rsid w:val="59527BF2"/>
    <w:rsid w:val="597E2795"/>
    <w:rsid w:val="59936587"/>
    <w:rsid w:val="59D275CB"/>
    <w:rsid w:val="59EC3EFC"/>
    <w:rsid w:val="5A19111B"/>
    <w:rsid w:val="5A225816"/>
    <w:rsid w:val="5A443BC9"/>
    <w:rsid w:val="5A5A0B0C"/>
    <w:rsid w:val="5A697A30"/>
    <w:rsid w:val="5A723E1D"/>
    <w:rsid w:val="5A813F6F"/>
    <w:rsid w:val="5AA54216"/>
    <w:rsid w:val="5AAB75B9"/>
    <w:rsid w:val="5AAF6492"/>
    <w:rsid w:val="5AC02181"/>
    <w:rsid w:val="5AE12FDB"/>
    <w:rsid w:val="5B0726A8"/>
    <w:rsid w:val="5B5F1393"/>
    <w:rsid w:val="5B627A1F"/>
    <w:rsid w:val="5BEF74B4"/>
    <w:rsid w:val="5BFB5AB4"/>
    <w:rsid w:val="5C164F06"/>
    <w:rsid w:val="5C6E742D"/>
    <w:rsid w:val="5C9017D1"/>
    <w:rsid w:val="5C9B540C"/>
    <w:rsid w:val="5D3946F0"/>
    <w:rsid w:val="5D4B44AF"/>
    <w:rsid w:val="5D4F60A9"/>
    <w:rsid w:val="5D5201C0"/>
    <w:rsid w:val="5D662241"/>
    <w:rsid w:val="5D7D61D4"/>
    <w:rsid w:val="5D8A795A"/>
    <w:rsid w:val="5D957D0C"/>
    <w:rsid w:val="5D9C58DF"/>
    <w:rsid w:val="5DD40427"/>
    <w:rsid w:val="5DEA05A2"/>
    <w:rsid w:val="5E021BE6"/>
    <w:rsid w:val="5E3D443F"/>
    <w:rsid w:val="5E4135CD"/>
    <w:rsid w:val="5E565A8E"/>
    <w:rsid w:val="5E6E159B"/>
    <w:rsid w:val="5E835738"/>
    <w:rsid w:val="5EB427B5"/>
    <w:rsid w:val="5F04373C"/>
    <w:rsid w:val="5F776541"/>
    <w:rsid w:val="5F903222"/>
    <w:rsid w:val="5FFE018B"/>
    <w:rsid w:val="60193217"/>
    <w:rsid w:val="6023254D"/>
    <w:rsid w:val="60251BBC"/>
    <w:rsid w:val="60275934"/>
    <w:rsid w:val="602D0A71"/>
    <w:rsid w:val="60495118"/>
    <w:rsid w:val="60B10A9B"/>
    <w:rsid w:val="60C51A2C"/>
    <w:rsid w:val="60CE7B5E"/>
    <w:rsid w:val="613167C1"/>
    <w:rsid w:val="61351AF7"/>
    <w:rsid w:val="61461DEA"/>
    <w:rsid w:val="6171237D"/>
    <w:rsid w:val="61BA27D8"/>
    <w:rsid w:val="61C55405"/>
    <w:rsid w:val="61C91735"/>
    <w:rsid w:val="62040C85"/>
    <w:rsid w:val="62516C98"/>
    <w:rsid w:val="629847DA"/>
    <w:rsid w:val="629B7F14"/>
    <w:rsid w:val="62E47B0C"/>
    <w:rsid w:val="62F86B25"/>
    <w:rsid w:val="63063677"/>
    <w:rsid w:val="63177C8E"/>
    <w:rsid w:val="632443AD"/>
    <w:rsid w:val="63287830"/>
    <w:rsid w:val="634514F9"/>
    <w:rsid w:val="638F4C55"/>
    <w:rsid w:val="639222C2"/>
    <w:rsid w:val="63CC4A99"/>
    <w:rsid w:val="644D16E1"/>
    <w:rsid w:val="64737361"/>
    <w:rsid w:val="64D63485"/>
    <w:rsid w:val="64DC1324"/>
    <w:rsid w:val="64DD4813"/>
    <w:rsid w:val="64E5191A"/>
    <w:rsid w:val="651F307E"/>
    <w:rsid w:val="652A335A"/>
    <w:rsid w:val="65404B80"/>
    <w:rsid w:val="655568CF"/>
    <w:rsid w:val="655D7702"/>
    <w:rsid w:val="65670581"/>
    <w:rsid w:val="65830503"/>
    <w:rsid w:val="659C46CE"/>
    <w:rsid w:val="65CC4888"/>
    <w:rsid w:val="65FC516D"/>
    <w:rsid w:val="66065981"/>
    <w:rsid w:val="662621EA"/>
    <w:rsid w:val="66344907"/>
    <w:rsid w:val="663743F7"/>
    <w:rsid w:val="664D3E84"/>
    <w:rsid w:val="66540B05"/>
    <w:rsid w:val="66705A4E"/>
    <w:rsid w:val="66910D2B"/>
    <w:rsid w:val="669435F8"/>
    <w:rsid w:val="669B2BD8"/>
    <w:rsid w:val="66D17D0C"/>
    <w:rsid w:val="670326E7"/>
    <w:rsid w:val="670C5884"/>
    <w:rsid w:val="67352217"/>
    <w:rsid w:val="67454C49"/>
    <w:rsid w:val="67461E7C"/>
    <w:rsid w:val="674C3ED2"/>
    <w:rsid w:val="67876CB8"/>
    <w:rsid w:val="679413D5"/>
    <w:rsid w:val="67AC4971"/>
    <w:rsid w:val="67B13D35"/>
    <w:rsid w:val="67D068B1"/>
    <w:rsid w:val="67D60943"/>
    <w:rsid w:val="67DA14DE"/>
    <w:rsid w:val="67F87BB6"/>
    <w:rsid w:val="68014CBD"/>
    <w:rsid w:val="68294213"/>
    <w:rsid w:val="68354966"/>
    <w:rsid w:val="68917132"/>
    <w:rsid w:val="689F47DA"/>
    <w:rsid w:val="68C55CEA"/>
    <w:rsid w:val="68E82B1D"/>
    <w:rsid w:val="68E87C2B"/>
    <w:rsid w:val="69771617"/>
    <w:rsid w:val="69BB0E9B"/>
    <w:rsid w:val="6A002D52"/>
    <w:rsid w:val="6A6D6D7D"/>
    <w:rsid w:val="6ABF49BB"/>
    <w:rsid w:val="6AF93C50"/>
    <w:rsid w:val="6B0A7CDD"/>
    <w:rsid w:val="6B2036AC"/>
    <w:rsid w:val="6B3E7FD6"/>
    <w:rsid w:val="6B413622"/>
    <w:rsid w:val="6BA53BB1"/>
    <w:rsid w:val="6BB82A0C"/>
    <w:rsid w:val="6BF3491C"/>
    <w:rsid w:val="6C045086"/>
    <w:rsid w:val="6C2471CC"/>
    <w:rsid w:val="6C320541"/>
    <w:rsid w:val="6C386BE2"/>
    <w:rsid w:val="6C674B5D"/>
    <w:rsid w:val="6C8B2DA7"/>
    <w:rsid w:val="6CDC3B28"/>
    <w:rsid w:val="6CEE3336"/>
    <w:rsid w:val="6CF4694D"/>
    <w:rsid w:val="6CF622E4"/>
    <w:rsid w:val="6D1C66E8"/>
    <w:rsid w:val="6D3A645A"/>
    <w:rsid w:val="6D5238C5"/>
    <w:rsid w:val="6D7E7FDF"/>
    <w:rsid w:val="6DB93296"/>
    <w:rsid w:val="6DBD4F33"/>
    <w:rsid w:val="6DE41568"/>
    <w:rsid w:val="6DFE3378"/>
    <w:rsid w:val="6E6C6E8D"/>
    <w:rsid w:val="6E8E4DD0"/>
    <w:rsid w:val="6EFC61DE"/>
    <w:rsid w:val="6F0D3F47"/>
    <w:rsid w:val="6F374EF2"/>
    <w:rsid w:val="6F681D0C"/>
    <w:rsid w:val="6F683873"/>
    <w:rsid w:val="6F7C5620"/>
    <w:rsid w:val="6FCC2352"/>
    <w:rsid w:val="7000707A"/>
    <w:rsid w:val="701A152C"/>
    <w:rsid w:val="70704A34"/>
    <w:rsid w:val="70AD3C34"/>
    <w:rsid w:val="70D146FF"/>
    <w:rsid w:val="713F488B"/>
    <w:rsid w:val="719C7804"/>
    <w:rsid w:val="71F413EE"/>
    <w:rsid w:val="72005FE5"/>
    <w:rsid w:val="72121874"/>
    <w:rsid w:val="721675B7"/>
    <w:rsid w:val="721750DD"/>
    <w:rsid w:val="72451C4A"/>
    <w:rsid w:val="726613A4"/>
    <w:rsid w:val="73133AD7"/>
    <w:rsid w:val="731E721E"/>
    <w:rsid w:val="73320420"/>
    <w:rsid w:val="735C724B"/>
    <w:rsid w:val="736F0320"/>
    <w:rsid w:val="739237E2"/>
    <w:rsid w:val="74037C1E"/>
    <w:rsid w:val="741B0EB4"/>
    <w:rsid w:val="74247931"/>
    <w:rsid w:val="744A1799"/>
    <w:rsid w:val="74890514"/>
    <w:rsid w:val="74963DF7"/>
    <w:rsid w:val="74EA0887"/>
    <w:rsid w:val="7515148C"/>
    <w:rsid w:val="75501031"/>
    <w:rsid w:val="756574BC"/>
    <w:rsid w:val="75693EA1"/>
    <w:rsid w:val="75F714AD"/>
    <w:rsid w:val="76164029"/>
    <w:rsid w:val="765661D4"/>
    <w:rsid w:val="76725582"/>
    <w:rsid w:val="76944474"/>
    <w:rsid w:val="76AF3B36"/>
    <w:rsid w:val="76DA00D8"/>
    <w:rsid w:val="76DB0DCF"/>
    <w:rsid w:val="76ED6BA2"/>
    <w:rsid w:val="76FA1255"/>
    <w:rsid w:val="77046714"/>
    <w:rsid w:val="775C4D4A"/>
    <w:rsid w:val="778917EC"/>
    <w:rsid w:val="77C41687"/>
    <w:rsid w:val="77D777E8"/>
    <w:rsid w:val="77E67A2B"/>
    <w:rsid w:val="780568E7"/>
    <w:rsid w:val="78856BD7"/>
    <w:rsid w:val="78CF226D"/>
    <w:rsid w:val="78EE0E61"/>
    <w:rsid w:val="78F9378E"/>
    <w:rsid w:val="79600FC2"/>
    <w:rsid w:val="796706F8"/>
    <w:rsid w:val="79E104AA"/>
    <w:rsid w:val="7A013EC0"/>
    <w:rsid w:val="7A4717C1"/>
    <w:rsid w:val="7A611D04"/>
    <w:rsid w:val="7A7E254E"/>
    <w:rsid w:val="7AAB2866"/>
    <w:rsid w:val="7AF41C4A"/>
    <w:rsid w:val="7B0546E5"/>
    <w:rsid w:val="7B7B048A"/>
    <w:rsid w:val="7B7F481D"/>
    <w:rsid w:val="7BBF72D7"/>
    <w:rsid w:val="7BC02341"/>
    <w:rsid w:val="7BD06A28"/>
    <w:rsid w:val="7BE90779"/>
    <w:rsid w:val="7C442F72"/>
    <w:rsid w:val="7C541407"/>
    <w:rsid w:val="7C6A0F66"/>
    <w:rsid w:val="7C776A7F"/>
    <w:rsid w:val="7C834B97"/>
    <w:rsid w:val="7C952077"/>
    <w:rsid w:val="7CD9190C"/>
    <w:rsid w:val="7D127334"/>
    <w:rsid w:val="7D3E79C1"/>
    <w:rsid w:val="7D52198F"/>
    <w:rsid w:val="7D9B4E14"/>
    <w:rsid w:val="7DCC7DEE"/>
    <w:rsid w:val="7E12157A"/>
    <w:rsid w:val="7E160E13"/>
    <w:rsid w:val="7E1E66FC"/>
    <w:rsid w:val="7E2748F9"/>
    <w:rsid w:val="7E2D0B08"/>
    <w:rsid w:val="7E8D4577"/>
    <w:rsid w:val="7ED00AED"/>
    <w:rsid w:val="7EFE565A"/>
    <w:rsid w:val="7F2A46A1"/>
    <w:rsid w:val="7F3B240A"/>
    <w:rsid w:val="7F4B54CE"/>
    <w:rsid w:val="7F590AE3"/>
    <w:rsid w:val="7F631961"/>
    <w:rsid w:val="7F72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9"/>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4"/>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8">
    <w:name w:val="annotation text"/>
    <w:basedOn w:val="1"/>
    <w:qFormat/>
    <w:uiPriority w:val="0"/>
    <w:pPr>
      <w:jc w:val="left"/>
    </w:p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ind w:firstLine="645"/>
    </w:pPr>
    <w:rPr>
      <w:rFonts w:ascii="Arial" w:hAnsi="Arial" w:eastAsia="仿宋_GB2312"/>
      <w:sz w:val="28"/>
    </w:rPr>
  </w:style>
  <w:style w:type="paragraph" w:styleId="11">
    <w:name w:val="toc 5"/>
    <w:basedOn w:val="1"/>
    <w:next w:val="1"/>
    <w:qFormat/>
    <w:uiPriority w:val="0"/>
    <w:pPr>
      <w:tabs>
        <w:tab w:val="right" w:leader="dot" w:pos="8296"/>
      </w:tabs>
      <w:ind w:left="1050" w:leftChars="500"/>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0"/>
    </w:rPr>
  </w:style>
  <w:style w:type="paragraph" w:styleId="14">
    <w:name w:val="Body Text Indent 2"/>
    <w:basedOn w:val="1"/>
    <w:qFormat/>
    <w:uiPriority w:val="0"/>
    <w:pPr>
      <w:ind w:left="905" w:hanging="905" w:hangingChars="300"/>
    </w:pPr>
    <w:rPr>
      <w:sz w:val="32"/>
    </w:rPr>
  </w:style>
  <w:style w:type="paragraph" w:styleId="1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8"/>
    <w:next w:val="1"/>
    <w:qFormat/>
    <w:uiPriority w:val="0"/>
    <w:pPr>
      <w:spacing w:before="120" w:beforeLines="0" w:after="120" w:afterLines="0"/>
    </w:pPr>
    <w:rPr>
      <w:rFonts w:eastAsia="宋体"/>
      <w:bCs/>
      <w:caps/>
      <w:sz w:val="30"/>
      <w:szCs w:val="30"/>
    </w:rPr>
  </w:style>
  <w:style w:type="paragraph" w:styleId="18">
    <w:name w:val="index 1"/>
    <w:basedOn w:val="1"/>
    <w:next w:val="1"/>
    <w:qFormat/>
    <w:uiPriority w:val="0"/>
    <w:rPr>
      <w:rFonts w:eastAsia="仿宋_GB2312"/>
      <w:b/>
      <w:sz w:val="24"/>
    </w:rPr>
  </w:style>
  <w:style w:type="paragraph" w:styleId="19">
    <w:name w:val="toc 4"/>
    <w:basedOn w:val="1"/>
    <w:next w:val="1"/>
    <w:qFormat/>
    <w:uiPriority w:val="0"/>
    <w:pPr>
      <w:tabs>
        <w:tab w:val="left" w:pos="1890"/>
        <w:tab w:val="right" w:leader="dot" w:pos="8296"/>
      </w:tabs>
      <w:ind w:left="630" w:leftChars="300"/>
    </w:pPr>
  </w:style>
  <w:style w:type="paragraph" w:styleId="20">
    <w:name w:val="footnote text"/>
    <w:basedOn w:val="1"/>
    <w:qFormat/>
    <w:uiPriority w:val="0"/>
    <w:pPr>
      <w:snapToGrid w:val="0"/>
      <w:jc w:val="left"/>
    </w:pPr>
    <w:rPr>
      <w:sz w:val="18"/>
    </w:rPr>
  </w:style>
  <w:style w:type="paragraph" w:styleId="21">
    <w:name w:val="Body Text 2"/>
    <w:basedOn w:val="1"/>
    <w:next w:val="1"/>
    <w:qFormat/>
    <w:uiPriority w:val="0"/>
    <w:pPr>
      <w:spacing w:line="360" w:lineRule="auto"/>
    </w:pPr>
    <w:rPr>
      <w:rFonts w:ascii="幼圆" w:eastAsia="幼圆"/>
      <w:sz w:val="24"/>
      <w:u w:val="single"/>
    </w:rPr>
  </w:style>
  <w:style w:type="paragraph" w:styleId="22">
    <w:name w:val="Normal (Web)"/>
    <w:basedOn w:val="1"/>
    <w:qFormat/>
    <w:uiPriority w:val="0"/>
    <w:pPr>
      <w:widowControl/>
      <w:spacing w:before="100" w:beforeLines="0" w:beforeAutospacing="1" w:after="100" w:afterLines="0" w:afterAutospacing="1"/>
      <w:jc w:val="left"/>
    </w:pPr>
    <w:rPr>
      <w:rFonts w:hint="default" w:ascii="宋体" w:hAnsi="宋体" w:cs="宋体"/>
      <w:kern w:val="0"/>
      <w:sz w:val="24"/>
      <w:szCs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paragraph" w:styleId="24">
    <w:name w:val="Body Text First Indent"/>
    <w:basedOn w:val="9"/>
    <w:qFormat/>
    <w:uiPriority w:val="0"/>
    <w:pPr>
      <w:spacing w:line="312" w:lineRule="auto"/>
      <w:ind w:firstLine="420"/>
    </w:pPr>
  </w:style>
  <w:style w:type="paragraph" w:styleId="25">
    <w:name w:val="Body Text First Indent 2"/>
    <w:basedOn w:val="10"/>
    <w:next w:val="1"/>
    <w:qFormat/>
    <w:uiPriority w:val="0"/>
    <w:pPr>
      <w:tabs>
        <w:tab w:val="left" w:pos="567"/>
      </w:tabs>
      <w:spacing w:after="120"/>
      <w:ind w:left="420" w:leftChars="200" w:firstLine="420" w:firstLineChars="200"/>
    </w:pPr>
    <w:rPr>
      <w:rFonts w:ascii="宋体" w:hAnsi="宋体"/>
    </w:rPr>
  </w:style>
  <w:style w:type="table" w:styleId="27">
    <w:name w:val="Table Grid"/>
    <w:basedOn w:val="26"/>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22"/>
    <w:rPr>
      <w:b/>
    </w:rPr>
  </w:style>
  <w:style w:type="character" w:styleId="30">
    <w:name w:val="page number"/>
    <w:basedOn w:val="28"/>
    <w:qFormat/>
    <w:uiPriority w:val="0"/>
  </w:style>
  <w:style w:type="character" w:styleId="31">
    <w:name w:val="Hyperlink"/>
    <w:qFormat/>
    <w:uiPriority w:val="0"/>
    <w:rPr>
      <w:rFonts w:cs="Times New Roman"/>
      <w:color w:val="0000FF"/>
      <w:u w:val="single"/>
    </w:rPr>
  </w:style>
  <w:style w:type="character" w:styleId="32">
    <w:name w:val="annotation reference"/>
    <w:qFormat/>
    <w:uiPriority w:val="0"/>
    <w:rPr>
      <w:rFonts w:cs="Times New Roman"/>
      <w:sz w:val="21"/>
      <w:szCs w:val="21"/>
    </w:rPr>
  </w:style>
  <w:style w:type="character" w:styleId="33">
    <w:name w:val="footnote reference"/>
    <w:basedOn w:val="28"/>
    <w:qFormat/>
    <w:uiPriority w:val="0"/>
    <w:rPr>
      <w:vertAlign w:val="superscript"/>
    </w:rPr>
  </w:style>
  <w:style w:type="paragraph" w:customStyle="1" w:styleId="34">
    <w:name w:val="Char"/>
    <w:basedOn w:val="1"/>
    <w:qFormat/>
    <w:uiPriority w:val="0"/>
    <w:rPr>
      <w:rFonts w:ascii="Arial" w:hAnsi="Arial" w:cs="Arial"/>
    </w:rPr>
  </w:style>
  <w:style w:type="paragraph" w:customStyle="1" w:styleId="35">
    <w:name w:val="List Paragraph"/>
    <w:basedOn w:val="1"/>
    <w:qFormat/>
    <w:uiPriority w:val="34"/>
    <w:pPr>
      <w:ind w:firstLine="420" w:firstLineChars="200"/>
    </w:pPr>
    <w:rPr>
      <w:rFonts w:ascii="Calibri" w:hAnsi="Calibri"/>
      <w:szCs w:val="22"/>
    </w:rPr>
  </w:style>
  <w:style w:type="paragraph" w:customStyle="1" w:styleId="36">
    <w:name w:val="正文_6"/>
    <w:qFormat/>
    <w:uiPriority w:val="0"/>
    <w:rPr>
      <w:rFonts w:ascii="Times New Roman" w:hAnsi="Times New Roman" w:eastAsia="宋体" w:cs="Times New Roman"/>
      <w:sz w:val="24"/>
      <w:szCs w:val="24"/>
      <w:lang w:val="en-US" w:eastAsia="zh-CN" w:bidi="ar-SA"/>
    </w:rPr>
  </w:style>
  <w:style w:type="paragraph" w:customStyle="1" w:styleId="37">
    <w:name w:val="样式 样式 行距: 1.5 倍行距 + 首行缩进:  2 字符"/>
    <w:basedOn w:val="1"/>
    <w:qFormat/>
    <w:uiPriority w:val="0"/>
    <w:rPr>
      <w:rFonts w:cs="宋体"/>
      <w:sz w:val="24"/>
    </w:rPr>
  </w:style>
  <w:style w:type="paragraph" w:customStyle="1" w:styleId="38">
    <w:name w:val="BodyText"/>
    <w:basedOn w:val="1"/>
    <w:next w:val="1"/>
    <w:qFormat/>
    <w:uiPriority w:val="0"/>
    <w:pPr>
      <w:jc w:val="left"/>
      <w:textAlignment w:val="baseline"/>
    </w:pPr>
    <w:rPr>
      <w:rFonts w:ascii="Arial" w:hAnsi="Arial" w:eastAsia="黑体"/>
      <w:b/>
      <w:kern w:val="0"/>
      <w:sz w:val="32"/>
      <w:szCs w:val="22"/>
      <w:lang w:val="en-US" w:eastAsia="zh-CN" w:bidi="ar-SA"/>
    </w:rPr>
  </w:style>
  <w:style w:type="character" w:customStyle="1" w:styleId="39">
    <w:name w:val="NormalCharacter"/>
    <w:link w:val="1"/>
    <w:qFormat/>
    <w:uiPriority w:val="0"/>
    <w:rPr>
      <w:rFonts w:ascii="Times New Roman" w:hAnsi="Times New Roman" w:eastAsia="宋体" w:cs="Times New Roman"/>
      <w:kern w:val="2"/>
      <w:sz w:val="28"/>
      <w:szCs w:val="24"/>
      <w:lang w:val="en-US" w:eastAsia="zh-CN" w:bidi="ar-SA"/>
    </w:rPr>
  </w:style>
  <w:style w:type="paragraph" w:customStyle="1" w:styleId="40">
    <w:name w:val="列出段落1"/>
    <w:basedOn w:val="1"/>
    <w:qFormat/>
    <w:uiPriority w:val="34"/>
    <w:pPr>
      <w:ind w:firstLine="420"/>
    </w:pPr>
    <w:rPr>
      <w:rFonts w:ascii="宋体" w:hAnsi="宋体"/>
      <w:szCs w:val="24"/>
      <w:lang w:val="zh-CN"/>
    </w:rPr>
  </w:style>
  <w:style w:type="paragraph" w:customStyle="1" w:styleId="41">
    <w:name w:val="Table Paragraph"/>
    <w:basedOn w:val="1"/>
    <w:qFormat/>
    <w:uiPriority w:val="1"/>
    <w:rPr>
      <w:rFonts w:ascii="宋体" w:hAnsi="宋体" w:eastAsia="宋体" w:cs="宋体"/>
      <w:lang w:val="zh-CN" w:bidi="zh-CN"/>
    </w:rPr>
  </w:style>
  <w:style w:type="paragraph" w:customStyle="1" w:styleId="42">
    <w:name w:val="Body text|1"/>
    <w:basedOn w:val="1"/>
    <w:qFormat/>
    <w:uiPriority w:val="0"/>
    <w:pPr>
      <w:widowControl w:val="0"/>
      <w:shd w:val="clear" w:color="auto" w:fill="auto"/>
      <w:spacing w:line="480" w:lineRule="auto"/>
      <w:ind w:firstLine="400"/>
    </w:pPr>
    <w:rPr>
      <w:rFonts w:ascii="宋体" w:hAnsi="宋体" w:eastAsia="宋体" w:cs="宋体"/>
      <w:color w:val="1F11D7"/>
      <w:sz w:val="22"/>
      <w:szCs w:val="22"/>
      <w:u w:val="none"/>
      <w:shd w:val="clear" w:color="auto" w:fill="auto"/>
      <w:lang w:val="zh-TW" w:eastAsia="zh-TW" w:bidi="zh-TW"/>
    </w:rPr>
  </w:style>
  <w:style w:type="paragraph" w:customStyle="1" w:styleId="43">
    <w:name w:val="Other|1"/>
    <w:basedOn w:val="1"/>
    <w:qFormat/>
    <w:uiPriority w:val="0"/>
    <w:pPr>
      <w:widowControl w:val="0"/>
      <w:shd w:val="clear" w:color="auto" w:fill="auto"/>
      <w:spacing w:line="480" w:lineRule="auto"/>
      <w:ind w:firstLine="400"/>
    </w:pPr>
    <w:rPr>
      <w:rFonts w:ascii="宋体" w:hAnsi="宋体" w:eastAsia="宋体" w:cs="宋体"/>
      <w:color w:val="1F11D7"/>
      <w:sz w:val="22"/>
      <w:szCs w:val="22"/>
      <w:u w:val="none"/>
      <w:shd w:val="clear" w:color="auto" w:fill="auto"/>
      <w:lang w:val="zh-TW" w:eastAsia="zh-TW" w:bidi="zh-TW"/>
    </w:rPr>
  </w:style>
  <w:style w:type="character" w:customStyle="1" w:styleId="44">
    <w:name w:val="font31"/>
    <w:basedOn w:val="28"/>
    <w:qFormat/>
    <w:uiPriority w:val="0"/>
    <w:rPr>
      <w:rFonts w:hint="eastAsia" w:ascii="宋体" w:hAnsi="宋体" w:eastAsia="宋体" w:cs="宋体"/>
      <w:color w:val="000000"/>
      <w:sz w:val="22"/>
      <w:szCs w:val="22"/>
      <w:u w:val="none"/>
      <w:vertAlign w:val="superscript"/>
    </w:rPr>
  </w:style>
  <w:style w:type="paragraph" w:customStyle="1" w:styleId="45">
    <w:name w:val="_Style 5"/>
    <w:basedOn w:val="2"/>
    <w:next w:val="1"/>
    <w:qFormat/>
    <w:uiPriority w:val="0"/>
    <w:pPr>
      <w:outlineLvl w:val="9"/>
    </w:pPr>
  </w:style>
  <w:style w:type="paragraph" w:customStyle="1" w:styleId="46">
    <w:name w:val="_Style 4"/>
    <w:basedOn w:val="2"/>
    <w:next w:val="1"/>
    <w:qFormat/>
    <w:uiPriority w:val="0"/>
    <w:pPr>
      <w:outlineLvl w:val="9"/>
    </w:pPr>
  </w:style>
  <w:style w:type="character" w:customStyle="1" w:styleId="47">
    <w:name w:val="font41"/>
    <w:basedOn w:val="28"/>
    <w:qFormat/>
    <w:uiPriority w:val="0"/>
    <w:rPr>
      <w:rFonts w:hint="eastAsia" w:ascii="宋体" w:hAnsi="宋体" w:eastAsia="宋体" w:cs="宋体"/>
      <w:color w:val="000000"/>
      <w:sz w:val="22"/>
      <w:szCs w:val="22"/>
      <w:u w:val="none"/>
      <w:vertAlign w:val="superscript"/>
    </w:rPr>
  </w:style>
  <w:style w:type="character" w:customStyle="1" w:styleId="48">
    <w:name w:val="font11"/>
    <w:basedOn w:val="28"/>
    <w:qFormat/>
    <w:uiPriority w:val="0"/>
    <w:rPr>
      <w:rFonts w:hint="eastAsia" w:ascii="宋体" w:hAnsi="宋体" w:eastAsia="宋体" w:cs="宋体"/>
      <w:color w:val="000000"/>
      <w:sz w:val="24"/>
      <w:szCs w:val="24"/>
      <w:u w:val="none"/>
    </w:rPr>
  </w:style>
  <w:style w:type="character" w:customStyle="1" w:styleId="49">
    <w:name w:val="font51"/>
    <w:basedOn w:val="28"/>
    <w:qFormat/>
    <w:uiPriority w:val="0"/>
    <w:rPr>
      <w:rFonts w:hint="eastAsia" w:ascii="宋体" w:hAnsi="宋体" w:eastAsia="宋体" w:cs="宋体"/>
      <w:color w:val="000000"/>
      <w:sz w:val="24"/>
      <w:szCs w:val="24"/>
      <w:u w:val="none"/>
      <w:vertAlign w:val="superscript"/>
    </w:rPr>
  </w:style>
  <w:style w:type="character" w:customStyle="1" w:styleId="50">
    <w:name w:val="font01"/>
    <w:basedOn w:val="28"/>
    <w:qFormat/>
    <w:uiPriority w:val="0"/>
    <w:rPr>
      <w:rFonts w:hint="eastAsia" w:ascii="宋体" w:hAnsi="宋体" w:eastAsia="宋体" w:cs="宋体"/>
      <w:color w:val="000000"/>
      <w:sz w:val="24"/>
      <w:szCs w:val="24"/>
      <w:u w:val="none"/>
    </w:rPr>
  </w:style>
  <w:style w:type="paragraph" w:customStyle="1" w:styleId="51">
    <w:name w:val="Body text|2"/>
    <w:basedOn w:val="1"/>
    <w:qFormat/>
    <w:uiPriority w:val="0"/>
    <w:pPr>
      <w:widowControl w:val="0"/>
      <w:shd w:val="clear" w:color="auto" w:fill="auto"/>
      <w:spacing w:line="618" w:lineRule="exact"/>
      <w:ind w:left="1080" w:firstLine="600"/>
    </w:pPr>
    <w:rPr>
      <w:rFonts w:ascii="宋体" w:hAnsi="宋体" w:eastAsia="宋体" w:cs="宋体"/>
      <w:sz w:val="30"/>
      <w:szCs w:val="30"/>
      <w:u w:val="none"/>
      <w:shd w:val="clear" w:color="auto" w:fill="auto"/>
      <w:lang w:val="zh-TW" w:eastAsia="zh-TW" w:bidi="zh-TW"/>
    </w:rPr>
  </w:style>
  <w:style w:type="paragraph" w:customStyle="1" w:styleId="52">
    <w:name w:val="Table caption|1"/>
    <w:basedOn w:val="1"/>
    <w:qFormat/>
    <w:uiPriority w:val="0"/>
    <w:pPr>
      <w:widowControl w:val="0"/>
      <w:shd w:val="clear" w:color="auto" w:fill="auto"/>
      <w:spacing w:line="562" w:lineRule="exact"/>
      <w:ind w:firstLine="42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81915</Words>
  <Characters>86050</Characters>
  <Lines>0</Lines>
  <Paragraphs>0</Paragraphs>
  <TotalTime>0</TotalTime>
  <ScaleCrop>false</ScaleCrop>
  <LinksUpToDate>false</LinksUpToDate>
  <CharactersWithSpaces>94887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2021-04-29T17:01:00Z</dcterms:created>
  <dc:creator>lenovo</dc:creator>
  <cp:lastModifiedBy>admin</cp:lastModifiedBy>
  <cp:lastPrinted>2021-12-01T15:56:00Z</cp:lastPrinted>
  <dcterms:modified xsi:type="dcterms:W3CDTF">2024-09-12T10:06:08Z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59988705046A453AA958E78F3DB46367</vt:lpwstr>
  </property>
  <property fmtid="{D5CDD505-2E9C-101B-9397-08002B2CF9AE}" pid="4" name="KSOSaveFontToCloudKey">
    <vt:lpwstr>260772819_embed</vt:lpwstr>
  </property>
</Properties>
</file>