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199" w:leftChars="-95" w:right="-168" w:rightChars="-80"/>
        <w:jc w:val="center"/>
        <w:rPr>
          <w:rFonts w:asciiTheme="minorEastAsia" w:hAnsiTheme="minorEastAsia" w:cstheme="minorEastAsia"/>
          <w:b/>
          <w:bCs/>
          <w:kern w:val="0"/>
          <w:sz w:val="36"/>
          <w:szCs w:val="36"/>
          <w:lang w:bidi="ar"/>
        </w:rPr>
      </w:pPr>
      <w:r>
        <w:rPr>
          <w:rFonts w:hint="eastAsia" w:asciiTheme="minorEastAsia" w:hAnsiTheme="minorEastAsia" w:cstheme="minorEastAsia"/>
          <w:b/>
          <w:bCs/>
          <w:kern w:val="0"/>
          <w:sz w:val="36"/>
          <w:szCs w:val="36"/>
          <w:lang w:eastAsia="zh-CN" w:bidi="ar"/>
        </w:rPr>
        <w:t>宁夏公路管理中心银川分中心S103线K1+300-K17+949（银川南绕城高速-永宁县旺泉村）段计16.649km路面提升及公路安全生命防护提升工程全过程造价咨询服务及竣工财务决算审计</w:t>
      </w:r>
      <w:r>
        <w:rPr>
          <w:rFonts w:hint="eastAsia" w:asciiTheme="minorEastAsia" w:hAnsiTheme="minorEastAsia" w:cstheme="minorEastAsia"/>
          <w:b/>
          <w:bCs/>
          <w:kern w:val="0"/>
          <w:sz w:val="36"/>
          <w:szCs w:val="36"/>
          <w:lang w:bidi="ar"/>
        </w:rPr>
        <w:t>关键内容</w:t>
      </w:r>
    </w:p>
    <w:p>
      <w:pPr>
        <w:widowControl/>
        <w:spacing w:line="600" w:lineRule="exact"/>
        <w:ind w:left="-199" w:leftChars="-95" w:right="-168" w:rightChars="-80"/>
        <w:outlineLvl w:val="0"/>
        <w:rPr>
          <w:rFonts w:ascii="宋体" w:hAnsi="宋体" w:eastAsia="宋体" w:cs="宋体"/>
          <w:b/>
          <w:bCs/>
          <w:kern w:val="0"/>
          <w:sz w:val="32"/>
          <w:szCs w:val="32"/>
          <w:lang w:bidi="ar"/>
        </w:rPr>
      </w:pP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一、项目概况</w:t>
      </w:r>
    </w:p>
    <w:p>
      <w:pPr>
        <w:spacing w:line="48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宁夏公路管理中心银川分中心S103线K1+300-K17+949（银川南绕城高速-永宁县旺泉村）段计16.649km路面提升及公路安全生命防护提升工程，</w:t>
      </w:r>
      <w:r>
        <w:rPr>
          <w:rFonts w:hint="eastAsia" w:asciiTheme="minorEastAsia" w:hAnsiTheme="minorEastAsia" w:eastAsiaTheme="minorEastAsia" w:cstheme="minorEastAsia"/>
          <w:sz w:val="24"/>
          <w:lang w:val="en-US" w:eastAsia="zh-CN"/>
        </w:rPr>
        <w:t>计划投资金额10500万元。</w:t>
      </w:r>
      <w:r>
        <w:rPr>
          <w:rFonts w:hint="eastAsia" w:asciiTheme="minorEastAsia" w:hAnsiTheme="minorEastAsia" w:eastAsiaTheme="minorEastAsia" w:cstheme="minorEastAsia"/>
          <w:sz w:val="24"/>
        </w:rPr>
        <w:t>路线全长16.649km，公路等级为双向四车道一级公路，实施的主要工程内容为铣刨原旧路面层，对旧路基层进行病害处治后加铺4cmAC-13C细粒式SBS改性沥青混凝土上面层+6cmAC-20C粗粒式改性厂拌热再生下面层，并同步增设护栏、标志及标线等交通安全设施</w:t>
      </w:r>
      <w:r>
        <w:rPr>
          <w:rFonts w:hint="eastAsia" w:asciiTheme="minorEastAsia" w:hAnsiTheme="minorEastAsia" w:eastAsiaTheme="minorEastAsia" w:cstheme="minorEastAsia"/>
          <w:sz w:val="24"/>
          <w:lang w:eastAsia="zh-CN"/>
        </w:rPr>
        <w:t>。</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 xml:space="preserve">二、对投标人的全部资格条件要求 </w:t>
      </w:r>
    </w:p>
    <w:p>
      <w:pPr>
        <w:widowControl/>
        <w:kinsoku w:val="0"/>
        <w:autoSpaceDE w:val="0"/>
        <w:autoSpaceDN w:val="0"/>
        <w:adjustRightInd w:val="0"/>
        <w:snapToGrid w:val="0"/>
        <w:spacing w:line="600" w:lineRule="exact"/>
        <w:ind w:firstLine="480" w:firstLineChars="200"/>
        <w:textAlignment w:val="baseline"/>
        <w:rPr>
          <w:rFonts w:ascii="宋体" w:hAnsi="宋体" w:eastAsia="宋体" w:cs="宋体"/>
          <w:sz w:val="24"/>
        </w:rPr>
      </w:pPr>
      <w:r>
        <w:rPr>
          <w:rFonts w:hint="eastAsia" w:ascii="宋体" w:hAnsi="宋体" w:eastAsia="宋体" w:cs="宋体"/>
          <w:sz w:val="24"/>
        </w:rPr>
        <w:t xml:space="preserve">详见招标公告。 </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三、资格审查办法</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一标段：</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1资格条件</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1）提供在中华人民共和国境内注册的法人或其他组织的营业执照（或事业单位法人证书，或社会团体法人登记证书），如投标供应商为自然人的需提供自然人身份证明；营业执照经营范围必须有工程造价咨询等内容。</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（2）法人授权委托书、法定代表人及被授权人身份证复印件（法定代表人直接响应可不提供，但须提供法定代表人身份证复印件）；</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3）未被列入“信用中国”网站、中国政府采购网违法、失信记录的投标企业。对列入失信被执行人、重大税收违法案件当事人名单、政府采购严重违法失信行为纪律名单的，将会被拒绝参加此项目投标（投标时间截止前半小时至资格审查工作结束前，由采购人或采购代理机构现场统一查询的信息为准）；</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（4）提供具有良好商业信誉和健全的财务会计制度的承诺函；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（5）提供依法缴纳税收和社会保障资金的良好记录的承诺函；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（6）参加政府采购活动前三年内，在经营活动中没有重大违法记录承诺函；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（7）提供履行合同所必须的设备和专业技术能力承诺函；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注：（4）-（7）条款响应供应商可自行选择是否提供承诺函，若不提供承诺函，应按《中华人民共和国政府采购法》《中华人民共和国政府采购法实施条例》及采购文件资格要求提供相应的证明材料。</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2主要人员</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造价负责人：具有工程类专业中级及以上职称，具备交通运输部甲级造价工程师或住建部一级注册造价工程师，且证书在有效期内。</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二标段：</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1资格条件</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1）提供在中华人民共和国境内注册的法人或其他组织的营业执照（或事业单位法人证书，或社会团体法人登记证书），如投标供应商为自然人的需提供自然人身份证明；须具备财政部门颁发的会计师事务所执业证书。</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（2）法人授权委托书、法定代表人及被授权人身份证复印件（法定代表人直接响应可不提供，但须提供法定代表人身份证复印件）；</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3）未被列入“信用中国”网站、中国政府采购网违法、失信记录的投标企业。对列入失信被执行人、重大税收违法案件当事人名单、政府采购严重违法失信行为纪律名单的，将会被拒绝参加此项目投标（投标时间截止前半小时至资格审查工作结束前，由采购人或采购代理机构现场统一查询的信息为准）；</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（4）提供具有良好商业信誉和健全的财务会计制度的承诺函；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（5）提供依法缴纳税收和社会保障资金的良好记录的承诺函；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（6）参加政府采购活动前三年内，在经营活动中没有重大违法记录承诺函；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（7）提供履行合同所必须的设备和专业技术能力承诺函；</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注：（4）-（7）条款响应供应商可自行选择是否提供承诺函，若不提供承诺函，应按《中华人民共和国政府采购法》《中华人民共和国政府采购法实施条例》及采购文件资格要求提供相应的证明材料。</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2主要人员</w:t>
      </w:r>
    </w:p>
    <w:p>
      <w:pPr>
        <w:adjustRightInd w:val="0"/>
        <w:snapToGrid w:val="0"/>
        <w:spacing w:line="560" w:lineRule="exact"/>
        <w:ind w:firstLine="480" w:firstLineChars="200"/>
        <w:rPr>
          <w:rStyle w:val="12"/>
          <w:rFonts w:asciiTheme="minorEastAsia" w:hAnsiTheme="minorEastAsia" w:eastAsiaTheme="minorEastAsia" w:cstheme="minorEastAsia"/>
          <w:b w:val="0"/>
          <w:bCs/>
          <w:sz w:val="24"/>
        </w:rPr>
      </w:pPr>
      <w:r>
        <w:rPr>
          <w:rStyle w:val="12"/>
          <w:rFonts w:hint="eastAsia" w:asciiTheme="minorEastAsia" w:hAnsiTheme="minorEastAsia" w:eastAsiaTheme="minorEastAsia" w:cstheme="minorEastAsia"/>
          <w:b w:val="0"/>
          <w:bCs/>
          <w:sz w:val="24"/>
        </w:rPr>
        <w:t>审计负责人：具有工程或经济类专业中级及以上职称，具备注册会计师执业资格证书，且证书在有效期内。</w:t>
      </w:r>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bookmarkStart w:id="0" w:name="_GoBack"/>
      <w:bookmarkEnd w:id="0"/>
      <w:r>
        <w:rPr>
          <w:rFonts w:hint="eastAsia" w:ascii="黑体" w:hAnsi="黑体" w:eastAsia="黑体" w:cs="黑体"/>
          <w:kern w:val="0"/>
          <w:sz w:val="32"/>
          <w:szCs w:val="32"/>
          <w:lang w:bidi="ar"/>
        </w:rPr>
        <w:t>四、评标办法全文</w:t>
      </w:r>
    </w:p>
    <w:p>
      <w:pPr>
        <w:widowControl/>
        <w:spacing w:line="576" w:lineRule="exact"/>
        <w:jc w:val="center"/>
        <w:rPr>
          <w:rFonts w:asciiTheme="minorEastAsia" w:hAnsiTheme="minorEastAsia" w:cstheme="minorEastAsia"/>
          <w:sz w:val="24"/>
        </w:rPr>
      </w:pPr>
      <w:r>
        <w:rPr>
          <w:rFonts w:hint="eastAsia" w:asciiTheme="minorEastAsia" w:hAnsiTheme="minorEastAsia" w:cstheme="minorEastAsia"/>
          <w:b/>
          <w:bCs/>
          <w:kern w:val="0"/>
          <w:sz w:val="24"/>
          <w:lang w:bidi="ar"/>
        </w:rPr>
        <w:t>评审方法和标准</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磋商小组将按照本项目招标文件进行评审工作，采购人或者采购代理机构负责评审的组织工作。工作程序如下：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一、评审准备工作，由采购人或者采购代理机构负责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1.核对评审专家身份和采购人代表授权函；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2.宣布评审纪律，集中保管通讯工具；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3.公布投标人名单，告知评审专家应当回避的情形；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4.组织磋商小组推选组长，采购人代表不得担任组长；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5.根据磋商小组的要求介绍政府采购相关政策法律、磋商文件。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二、符合性审查工作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磋商小组开展符合性审查。符合性审查是指依据招标文件的规定，从商务和技术角度对投标文件的有效性和完整性进行审查，以确定是否对磋商文件的实质性要求做出响应。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1.要求供应商对响应文件有关事项作出澄清或者说明（如有）；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2.依照磋商文件规定的评审程序、方法和标准进行独立评审； </w:t>
      </w:r>
    </w:p>
    <w:p>
      <w:pPr>
        <w:widowControl/>
        <w:spacing w:line="576"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kern w:val="0"/>
          <w:sz w:val="24"/>
          <w:lang w:bidi="ar"/>
        </w:rPr>
        <w:t>本项目评审方法为综合评分法</w:t>
      </w:r>
      <w:r>
        <w:rPr>
          <w:rFonts w:hint="eastAsia" w:asciiTheme="minorEastAsia" w:hAnsiTheme="minorEastAsia" w:cstheme="minorEastAsia"/>
          <w:kern w:val="0"/>
          <w:sz w:val="24"/>
          <w:lang w:bidi="ar"/>
        </w:rPr>
        <w:t xml:space="preserve">，磋商小组对满足磋商文件全部实质性要求的响应文件，按照磋商文件规定的评审因素的量化指标进行评审打分，以评审得分从高到低顺序确定成交候选人。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磋商小组每位成员独立对每个有效供应商的响应文件进行评价、打分；然后汇总每个供应商的得分，计算得分平均值，以平均值由高到低进行排序，按排序顺序推荐成交候选人。分值计算保留小数点后两位，第三位四舍五入。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三、采购人或者采购代理机构核对评审结果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四、确定成交候选人名单，或者根据采购人委托直接确定成交供应商 </w:t>
      </w:r>
    </w:p>
    <w:p>
      <w:pPr>
        <w:widowControl/>
        <w:spacing w:line="576"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lang w:bidi="ar"/>
        </w:rPr>
        <w:t xml:space="preserve">五、评审标准中应考虑下列因素 </w:t>
      </w:r>
    </w:p>
    <w:p>
      <w:pPr>
        <w:widowControl/>
        <w:spacing w:line="576" w:lineRule="exact"/>
        <w:ind w:firstLine="482" w:firstLineChars="200"/>
        <w:jc w:val="left"/>
        <w:rPr>
          <w:rFonts w:asciiTheme="minorEastAsia" w:hAnsiTheme="minorEastAsia" w:cstheme="minorEastAsia"/>
          <w:sz w:val="24"/>
        </w:rPr>
      </w:pPr>
      <w:r>
        <w:rPr>
          <w:rFonts w:hint="eastAsia" w:asciiTheme="minorEastAsia" w:hAnsiTheme="minorEastAsia" w:cstheme="minorEastAsia"/>
          <w:b/>
          <w:bCs/>
          <w:kern w:val="0"/>
          <w:sz w:val="24"/>
          <w:lang w:bidi="ar"/>
        </w:rPr>
        <w:t xml:space="preserve">1.政府采购政策要求 </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中小微企业参加宁夏政府采购活动，依据《政府采购促进中小企业发展管理办法》(财库〔2020〕46号）、《宁夏回族自治区政府采购促进中小企业发展管理办法实施细则》（宁财规发〔2021〕2号）和《宁夏回族自治区财政厅 发展和改革委员会 工业和信息化厅 住房和城乡建设厅 交通运输厅 水利厅 公共资源交易管理局 中国人民银行银川中心支行关于落实政府采购促进中小企业发展有关措施的通知》(宁财（采）发〔2022〕275号），小型和微型企业应提供《中小企业声明函》，对报价给予10%扣除，用扣除后的价格参与评审；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（2）根据《政府采购支持监狱企业发展有关问题的通知》（财库〔2014〕68号），监狱企业视同为小型、微型企业，监狱企业应提供证明文件,对报价给予10%的扣除，用扣除后的价格参与评审；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10%的扣除，用扣除后的价格参与评审；</w:t>
      </w:r>
    </w:p>
    <w:p>
      <w:pPr>
        <w:widowControl/>
        <w:spacing w:line="576" w:lineRule="exact"/>
        <w:ind w:firstLine="480" w:firstLineChars="200"/>
        <w:jc w:val="left"/>
        <w:rPr>
          <w:rFonts w:asciiTheme="minorEastAsia" w:hAnsiTheme="minorEastAsia" w:cstheme="minorEastAsia"/>
          <w:kern w:val="0"/>
          <w:sz w:val="24"/>
          <w:lang w:bidi="ar"/>
        </w:rPr>
      </w:pPr>
      <w:r>
        <w:rPr>
          <w:rFonts w:hint="eastAsia" w:asciiTheme="minorEastAsia" w:hAnsiTheme="minorEastAsia" w:cstheme="minorEastAsia"/>
          <w:kern w:val="0"/>
          <w:sz w:val="24"/>
          <w:lang w:bidi="ar"/>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Pr>
        <w:pStyle w:val="15"/>
        <w:ind w:left="0" w:leftChars="0"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一标段：综合评分法分值构成</w:t>
      </w:r>
    </w:p>
    <w:tbl>
      <w:tblPr>
        <w:tblStyle w:val="10"/>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82"/>
        <w:gridCol w:w="706"/>
        <w:gridCol w:w="7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3" w:hRule="atLeast"/>
          <w:jc w:val="center"/>
        </w:trPr>
        <w:tc>
          <w:tcPr>
            <w:tcW w:w="2403" w:type="dxa"/>
            <w:gridSpan w:val="3"/>
            <w:vAlign w:val="center"/>
          </w:tcPr>
          <w:p>
            <w:pPr>
              <w:spacing w:line="360" w:lineRule="auto"/>
              <w:jc w:val="center"/>
              <w:rPr>
                <w:rFonts w:ascii="宋体" w:hAnsi="宋体" w:cs="宋体"/>
                <w:sz w:val="24"/>
              </w:rPr>
            </w:pPr>
            <w:r>
              <w:rPr>
                <w:rFonts w:hint="eastAsia" w:ascii="宋体" w:hAnsi="宋体" w:cs="宋体"/>
                <w:sz w:val="24"/>
              </w:rPr>
              <w:t>分值构成</w:t>
            </w:r>
          </w:p>
        </w:tc>
        <w:tc>
          <w:tcPr>
            <w:tcW w:w="7235" w:type="dxa"/>
            <w:vAlign w:val="center"/>
          </w:tcPr>
          <w:p>
            <w:pPr>
              <w:spacing w:line="360" w:lineRule="auto"/>
              <w:rPr>
                <w:rFonts w:ascii="宋体" w:hAnsi="宋体" w:cs="宋体"/>
                <w:sz w:val="24"/>
              </w:rPr>
            </w:pPr>
            <w:r>
              <w:rPr>
                <w:rFonts w:hint="eastAsia" w:ascii="宋体" w:hAnsi="宋体" w:cs="宋体"/>
                <w:sz w:val="24"/>
              </w:rPr>
              <w:t>总分100分，其中：</w:t>
            </w:r>
          </w:p>
          <w:p>
            <w:pPr>
              <w:spacing w:line="360" w:lineRule="auto"/>
              <w:rPr>
                <w:rFonts w:ascii="宋体" w:hAnsi="宋体" w:cs="宋体"/>
                <w:sz w:val="24"/>
              </w:rPr>
            </w:pPr>
            <w:r>
              <w:rPr>
                <w:rFonts w:hint="eastAsia" w:ascii="宋体" w:hAnsi="宋体" w:cs="宋体"/>
                <w:sz w:val="24"/>
              </w:rPr>
              <w:t>投标报价：20分</w:t>
            </w:r>
          </w:p>
          <w:p>
            <w:pPr>
              <w:spacing w:line="360" w:lineRule="auto"/>
              <w:rPr>
                <w:rFonts w:ascii="宋体" w:hAnsi="宋体" w:cs="宋体"/>
                <w:sz w:val="24"/>
              </w:rPr>
            </w:pPr>
            <w:r>
              <w:rPr>
                <w:rFonts w:hint="eastAsia" w:ascii="宋体" w:hAnsi="宋体" w:cs="宋体"/>
                <w:sz w:val="24"/>
              </w:rPr>
              <w:t>企业业绩：15分</w:t>
            </w:r>
          </w:p>
          <w:p>
            <w:pPr>
              <w:spacing w:line="360" w:lineRule="auto"/>
              <w:rPr>
                <w:rFonts w:ascii="宋体" w:hAnsi="宋体" w:cs="宋体"/>
                <w:sz w:val="24"/>
              </w:rPr>
            </w:pPr>
            <w:r>
              <w:rPr>
                <w:rFonts w:hint="eastAsia" w:ascii="宋体" w:hAnsi="宋体" w:cs="宋体"/>
                <w:sz w:val="24"/>
              </w:rPr>
              <w:t xml:space="preserve">主要人员：20分 </w:t>
            </w:r>
          </w:p>
          <w:p>
            <w:pPr>
              <w:spacing w:line="360" w:lineRule="auto"/>
              <w:rPr>
                <w:rFonts w:ascii="宋体" w:hAnsi="宋体" w:cs="宋体"/>
                <w:sz w:val="24"/>
              </w:rPr>
            </w:pPr>
            <w:r>
              <w:rPr>
                <w:rFonts w:hint="eastAsia" w:ascii="宋体" w:hAnsi="宋体" w:cs="宋体"/>
                <w:sz w:val="24"/>
              </w:rPr>
              <w:t>技术建议书：45分</w:t>
            </w:r>
          </w:p>
          <w:p>
            <w:pPr>
              <w:spacing w:line="360" w:lineRule="auto"/>
              <w:rPr>
                <w:rFonts w:ascii="宋体" w:hAnsi="宋体" w:cs="宋体"/>
                <w:sz w:val="24"/>
              </w:rPr>
            </w:pPr>
            <w:r>
              <w:rPr>
                <w:rFonts w:hint="eastAsia" w:ascii="宋体" w:hAnsi="宋体" w:cs="宋体"/>
                <w:sz w:val="24"/>
              </w:rPr>
              <w:t>（1）对本项目理解及服务方案：20分</w:t>
            </w:r>
          </w:p>
          <w:p>
            <w:pPr>
              <w:spacing w:line="360" w:lineRule="auto"/>
              <w:rPr>
                <w:rFonts w:ascii="宋体" w:hAnsi="宋体" w:cs="宋体"/>
                <w:sz w:val="24"/>
              </w:rPr>
            </w:pPr>
            <w:r>
              <w:rPr>
                <w:rFonts w:hint="eastAsia" w:ascii="宋体" w:hAnsi="宋体" w:cs="宋体"/>
                <w:sz w:val="24"/>
              </w:rPr>
              <w:t>（2）重点、难点分析及应对措施：10分</w:t>
            </w:r>
          </w:p>
          <w:p>
            <w:pPr>
              <w:spacing w:line="360" w:lineRule="auto"/>
              <w:rPr>
                <w:rFonts w:ascii="宋体" w:hAnsi="宋体" w:cs="宋体"/>
                <w:sz w:val="24"/>
              </w:rPr>
            </w:pPr>
            <w:r>
              <w:rPr>
                <w:rFonts w:hint="eastAsia" w:ascii="宋体" w:hAnsi="宋体" w:cs="宋体"/>
                <w:sz w:val="24"/>
              </w:rPr>
              <w:t>（3）后续服务安排及保证措施：10分</w:t>
            </w:r>
          </w:p>
          <w:p>
            <w:pPr>
              <w:spacing w:line="360" w:lineRule="auto"/>
              <w:rPr>
                <w:rFonts w:ascii="宋体" w:hAnsi="宋体" w:cs="宋体"/>
                <w:sz w:val="24"/>
              </w:rPr>
            </w:pPr>
            <w:r>
              <w:rPr>
                <w:rFonts w:hint="eastAsia" w:ascii="宋体" w:hAnsi="宋体" w:cs="宋体"/>
                <w:sz w:val="24"/>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082" w:type="dxa"/>
            <w:vAlign w:val="center"/>
          </w:tcPr>
          <w:p>
            <w:pPr>
              <w:spacing w:line="360" w:lineRule="auto"/>
              <w:jc w:val="center"/>
              <w:rPr>
                <w:rFonts w:ascii="宋体" w:hAnsi="宋体" w:cs="宋体"/>
                <w:sz w:val="24"/>
              </w:rPr>
            </w:pPr>
            <w:r>
              <w:rPr>
                <w:rFonts w:hint="eastAsia" w:ascii="宋体" w:hAnsi="宋体" w:cs="宋体"/>
                <w:sz w:val="24"/>
              </w:rPr>
              <w:t>评分项目</w:t>
            </w:r>
          </w:p>
        </w:tc>
        <w:tc>
          <w:tcPr>
            <w:tcW w:w="706" w:type="dxa"/>
            <w:vAlign w:val="center"/>
          </w:tcPr>
          <w:p>
            <w:pPr>
              <w:spacing w:line="360" w:lineRule="auto"/>
              <w:jc w:val="center"/>
              <w:rPr>
                <w:rFonts w:ascii="宋体" w:hAnsi="宋体" w:cs="宋体"/>
                <w:sz w:val="24"/>
              </w:rPr>
            </w:pPr>
            <w:r>
              <w:rPr>
                <w:rFonts w:hint="eastAsia" w:ascii="宋体" w:hAnsi="宋体" w:cs="宋体"/>
                <w:sz w:val="24"/>
              </w:rPr>
              <w:t>分值</w:t>
            </w:r>
          </w:p>
        </w:tc>
        <w:tc>
          <w:tcPr>
            <w:tcW w:w="7235" w:type="dxa"/>
            <w:vAlign w:val="center"/>
          </w:tcPr>
          <w:p>
            <w:pPr>
              <w:spacing w:line="360" w:lineRule="auto"/>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1</w:t>
            </w:r>
          </w:p>
        </w:tc>
        <w:tc>
          <w:tcPr>
            <w:tcW w:w="1082"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706" w:type="dxa"/>
            <w:vAlign w:val="center"/>
          </w:tcPr>
          <w:p>
            <w:pPr>
              <w:spacing w:line="360" w:lineRule="auto"/>
              <w:jc w:val="center"/>
              <w:rPr>
                <w:rFonts w:ascii="宋体" w:hAnsi="宋体" w:cs="宋体"/>
                <w:sz w:val="24"/>
              </w:rPr>
            </w:pPr>
            <w:r>
              <w:rPr>
                <w:rFonts w:hint="eastAsia" w:ascii="宋体" w:hAnsi="宋体" w:cs="宋体"/>
                <w:sz w:val="24"/>
              </w:rPr>
              <w:t>20分</w:t>
            </w:r>
          </w:p>
        </w:tc>
        <w:tc>
          <w:tcPr>
            <w:tcW w:w="7235" w:type="dxa"/>
            <w:vAlign w:val="center"/>
          </w:tcPr>
          <w:p>
            <w:pPr>
              <w:spacing w:line="360" w:lineRule="auto"/>
              <w:rPr>
                <w:rFonts w:hint="eastAsia" w:ascii="宋体" w:hAnsi="宋体" w:cs="宋体"/>
                <w:sz w:val="24"/>
                <w:szCs w:val="28"/>
              </w:rPr>
            </w:pPr>
            <w:r>
              <w:rPr>
                <w:rFonts w:hint="eastAsia" w:ascii="宋体" w:hAnsi="宋体" w:cs="宋体"/>
                <w:sz w:val="24"/>
                <w:szCs w:val="28"/>
              </w:rPr>
              <w:t>磋商报价得分＝（磋商基准价/最后磋商报价）×20（保留两位小数）。</w:t>
            </w:r>
          </w:p>
          <w:p>
            <w:pPr>
              <w:spacing w:line="360" w:lineRule="auto"/>
              <w:rPr>
                <w:rFonts w:hint="eastAsia" w:ascii="宋体" w:hAnsi="宋体" w:cs="宋体"/>
                <w:sz w:val="24"/>
                <w:szCs w:val="28"/>
              </w:rPr>
            </w:pPr>
            <w:r>
              <w:rPr>
                <w:rFonts w:hint="eastAsia" w:ascii="宋体" w:hAnsi="宋体" w:cs="宋体"/>
                <w:sz w:val="24"/>
                <w:szCs w:val="28"/>
              </w:rPr>
              <w:t>磋商基准价：满足招标文件要求且最后磋商价格最低的磋商报价。</w:t>
            </w:r>
          </w:p>
          <w:p>
            <w:pPr>
              <w:spacing w:line="360" w:lineRule="auto"/>
              <w:rPr>
                <w:rFonts w:hint="eastAsia" w:ascii="宋体" w:hAnsi="宋体" w:cs="宋体"/>
                <w:sz w:val="24"/>
                <w:szCs w:val="28"/>
              </w:rPr>
            </w:pPr>
            <w:r>
              <w:rPr>
                <w:rFonts w:hint="eastAsia" w:ascii="宋体" w:hAnsi="宋体" w:cs="宋体"/>
                <w:sz w:val="24"/>
                <w:szCs w:val="28"/>
              </w:rPr>
              <w:t>备注：磋商报价以</w:t>
            </w:r>
            <w:r>
              <w:rPr>
                <w:rFonts w:hint="eastAsia" w:ascii="宋体" w:hAnsi="宋体" w:cs="宋体"/>
                <w:sz w:val="24"/>
                <w:szCs w:val="28"/>
                <w:lang w:eastAsia="zh-CN"/>
              </w:rPr>
              <w:t>折扣系数</w:t>
            </w:r>
            <w:r>
              <w:rPr>
                <w:rFonts w:hint="eastAsia" w:ascii="宋体" w:hAnsi="宋体" w:cs="宋体"/>
                <w:sz w:val="24"/>
                <w:szCs w:val="28"/>
              </w:rPr>
              <w:t>进行报价，项目评审过程中，不得去掉报价中的最高报价和最低报价。</w:t>
            </w:r>
          </w:p>
          <w:p>
            <w:pPr>
              <w:spacing w:line="360" w:lineRule="auto"/>
              <w:rPr>
                <w:rFonts w:hint="default" w:eastAsia="宋体"/>
                <w:lang w:val="en-US" w:eastAsia="zh-CN"/>
              </w:rPr>
            </w:pPr>
            <w:r>
              <w:rPr>
                <w:rFonts w:hint="eastAsia" w:ascii="宋体" w:hAnsi="宋体" w:cs="宋体"/>
                <w:sz w:val="24"/>
                <w:szCs w:val="28"/>
                <w:lang w:eastAsia="zh-CN"/>
              </w:rPr>
              <w:t>注：</w:t>
            </w:r>
            <w:r>
              <w:rPr>
                <w:rFonts w:hint="eastAsia" w:ascii="宋体" w:hAnsi="宋体" w:cs="宋体"/>
                <w:sz w:val="24"/>
                <w:szCs w:val="28"/>
              </w:rPr>
              <w:t>全过程造价咨询</w:t>
            </w:r>
            <w:r>
              <w:rPr>
                <w:rFonts w:hint="eastAsia" w:ascii="宋体" w:hAnsi="宋体" w:cs="宋体"/>
                <w:sz w:val="24"/>
                <w:szCs w:val="28"/>
                <w:lang w:eastAsia="zh-CN"/>
              </w:rPr>
              <w:t>折扣系数</w:t>
            </w:r>
            <w:r>
              <w:rPr>
                <w:rFonts w:hint="eastAsia" w:ascii="宋体" w:hAnsi="宋体" w:cs="宋体"/>
                <w:sz w:val="24"/>
                <w:szCs w:val="28"/>
              </w:rPr>
              <w:t>报价区间0-0.</w:t>
            </w:r>
            <w:r>
              <w:rPr>
                <w:rFonts w:hint="eastAsia" w:ascii="宋体" w:hAnsi="宋体" w:cs="宋体"/>
                <w:sz w:val="24"/>
                <w:szCs w:val="28"/>
                <w:lang w:val="en-US" w:eastAsia="zh-CN"/>
              </w:rPr>
              <w:t>6</w:t>
            </w:r>
            <w:r>
              <w:rPr>
                <w:rFonts w:hint="eastAsia" w:ascii="宋体" w:hAnsi="宋体" w:cs="宋体"/>
                <w:sz w:val="24"/>
                <w:szCs w:val="28"/>
              </w:rPr>
              <w:t>，</w:t>
            </w:r>
            <w:r>
              <w:rPr>
                <w:rFonts w:hint="eastAsia" w:ascii="宋体" w:hAnsi="宋体" w:cs="宋体"/>
                <w:sz w:val="24"/>
                <w:szCs w:val="28"/>
                <w:lang w:eastAsia="zh-CN"/>
              </w:rPr>
              <w:t>折扣系数</w:t>
            </w:r>
            <w:r>
              <w:rPr>
                <w:rFonts w:hint="eastAsia" w:ascii="宋体" w:hAnsi="宋体" w:cs="宋体"/>
                <w:sz w:val="24"/>
                <w:szCs w:val="28"/>
              </w:rPr>
              <w:t>小数点保留两位</w:t>
            </w:r>
            <w:r>
              <w:rPr>
                <w:rFonts w:hint="eastAsia" w:ascii="宋体" w:hAnsi="宋体" w:cs="宋体"/>
                <w:sz w:val="24"/>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2</w:t>
            </w:r>
          </w:p>
        </w:tc>
        <w:tc>
          <w:tcPr>
            <w:tcW w:w="1082" w:type="dxa"/>
            <w:vAlign w:val="center"/>
          </w:tcPr>
          <w:p>
            <w:pPr>
              <w:spacing w:line="360" w:lineRule="auto"/>
              <w:jc w:val="center"/>
              <w:rPr>
                <w:rFonts w:ascii="宋体" w:hAnsi="宋体" w:cs="宋体"/>
                <w:sz w:val="24"/>
              </w:rPr>
            </w:pPr>
            <w:r>
              <w:rPr>
                <w:rFonts w:hint="eastAsia" w:ascii="宋体" w:hAnsi="宋体" w:cs="宋体"/>
                <w:sz w:val="24"/>
              </w:rPr>
              <w:t>企业业绩</w:t>
            </w:r>
          </w:p>
        </w:tc>
        <w:tc>
          <w:tcPr>
            <w:tcW w:w="706" w:type="dxa"/>
            <w:vAlign w:val="center"/>
          </w:tcPr>
          <w:p>
            <w:pPr>
              <w:spacing w:line="360" w:lineRule="auto"/>
              <w:jc w:val="center"/>
              <w:rPr>
                <w:rFonts w:ascii="宋体" w:hAnsi="宋体" w:cs="宋体"/>
                <w:sz w:val="24"/>
              </w:rPr>
            </w:pPr>
            <w:r>
              <w:rPr>
                <w:rFonts w:hint="eastAsia" w:ascii="宋体" w:hAnsi="宋体" w:cs="宋体"/>
                <w:sz w:val="24"/>
              </w:rPr>
              <w:t>15分</w:t>
            </w:r>
          </w:p>
        </w:tc>
        <w:tc>
          <w:tcPr>
            <w:tcW w:w="7235" w:type="dxa"/>
            <w:vAlign w:val="center"/>
          </w:tcPr>
          <w:p>
            <w:pPr>
              <w:spacing w:line="360" w:lineRule="auto"/>
              <w:rPr>
                <w:rFonts w:ascii="宋体" w:hAnsi="宋体" w:cs="宋体"/>
                <w:sz w:val="24"/>
                <w:szCs w:val="28"/>
              </w:rPr>
            </w:pPr>
            <w:r>
              <w:rPr>
                <w:rFonts w:hint="eastAsia" w:ascii="宋体" w:hAnsi="宋体" w:cs="宋体"/>
                <w:sz w:val="24"/>
                <w:szCs w:val="28"/>
              </w:rPr>
              <w:t>投标人近5年（自2018年</w:t>
            </w:r>
            <w:r>
              <w:rPr>
                <w:rFonts w:hint="eastAsia" w:ascii="宋体" w:hAnsi="宋体" w:cs="宋体"/>
                <w:sz w:val="24"/>
                <w:szCs w:val="28"/>
                <w:lang w:val="en-US" w:eastAsia="zh-CN"/>
              </w:rPr>
              <w:t>11</w:t>
            </w:r>
            <w:r>
              <w:rPr>
                <w:rFonts w:hint="eastAsia" w:ascii="宋体" w:hAnsi="宋体" w:cs="宋体"/>
                <w:sz w:val="24"/>
                <w:szCs w:val="28"/>
              </w:rPr>
              <w:t>月</w:t>
            </w:r>
            <w:r>
              <w:rPr>
                <w:rFonts w:hint="eastAsia" w:ascii="宋体" w:hAnsi="宋体" w:cs="宋体"/>
                <w:sz w:val="24"/>
                <w:szCs w:val="28"/>
                <w:lang w:val="en-US" w:eastAsia="zh-CN"/>
              </w:rPr>
              <w:t>23</w:t>
            </w:r>
            <w:r>
              <w:rPr>
                <w:rFonts w:hint="eastAsia" w:ascii="宋体" w:hAnsi="宋体" w:cs="宋体"/>
                <w:sz w:val="24"/>
                <w:szCs w:val="28"/>
              </w:rPr>
              <w:t>日至磋商文件递交截止之日）内，完成过1个公路工程全过程造价咨询服务业绩（以合同签订时间为准）得9分，在此基础上，每增加1个近五年（自2018年</w:t>
            </w:r>
            <w:r>
              <w:rPr>
                <w:rFonts w:hint="eastAsia" w:ascii="宋体" w:hAnsi="宋体" w:cs="宋体"/>
                <w:sz w:val="24"/>
                <w:szCs w:val="28"/>
                <w:lang w:val="en-US" w:eastAsia="zh-CN"/>
              </w:rPr>
              <w:t>11</w:t>
            </w:r>
            <w:r>
              <w:rPr>
                <w:rFonts w:hint="eastAsia" w:ascii="宋体" w:hAnsi="宋体" w:cs="宋体"/>
                <w:sz w:val="24"/>
                <w:szCs w:val="28"/>
              </w:rPr>
              <w:t>月</w:t>
            </w:r>
            <w:r>
              <w:rPr>
                <w:rFonts w:hint="eastAsia" w:ascii="宋体" w:hAnsi="宋体" w:cs="宋体"/>
                <w:sz w:val="24"/>
                <w:szCs w:val="28"/>
                <w:lang w:val="en-US" w:eastAsia="zh-CN"/>
              </w:rPr>
              <w:t>23</w:t>
            </w:r>
            <w:r>
              <w:rPr>
                <w:rFonts w:hint="eastAsia" w:ascii="宋体" w:hAnsi="宋体" w:cs="宋体"/>
                <w:sz w:val="24"/>
                <w:szCs w:val="28"/>
              </w:rPr>
              <w:t xml:space="preserve">日至磋商文件递交截止之日）的公路工程全过程造价咨询服务业绩（以合同签订时间为准）加3分，此项最高加6分。 </w:t>
            </w:r>
          </w:p>
          <w:p>
            <w:pPr>
              <w:spacing w:line="360" w:lineRule="auto"/>
              <w:rPr>
                <w:rFonts w:ascii="宋体" w:hAnsi="宋体" w:cs="宋体"/>
                <w:sz w:val="24"/>
                <w:szCs w:val="28"/>
              </w:rPr>
            </w:pPr>
            <w:r>
              <w:rPr>
                <w:rFonts w:hint="eastAsia" w:ascii="宋体" w:hAnsi="宋体" w:cs="宋体"/>
                <w:sz w:val="24"/>
                <w:szCs w:val="28"/>
              </w:rPr>
              <w:t>注：（提供合同协议书复印件并加盖投标单位公章，否则不得分）。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615" w:type="dxa"/>
            <w:vAlign w:val="center"/>
          </w:tcPr>
          <w:p>
            <w:pPr>
              <w:spacing w:line="360" w:lineRule="auto"/>
              <w:jc w:val="center"/>
              <w:rPr>
                <w:rFonts w:ascii="宋体" w:hAnsi="宋体" w:cs="宋体"/>
                <w:sz w:val="24"/>
                <w:szCs w:val="28"/>
              </w:rPr>
            </w:pPr>
            <w:r>
              <w:rPr>
                <w:rFonts w:hint="eastAsia" w:ascii="宋体" w:hAnsi="宋体" w:cs="宋体"/>
                <w:sz w:val="24"/>
                <w:szCs w:val="28"/>
              </w:rPr>
              <w:t>3</w:t>
            </w:r>
          </w:p>
        </w:tc>
        <w:tc>
          <w:tcPr>
            <w:tcW w:w="1082" w:type="dxa"/>
            <w:vAlign w:val="center"/>
          </w:tcPr>
          <w:p>
            <w:pPr>
              <w:spacing w:line="360" w:lineRule="auto"/>
              <w:jc w:val="center"/>
              <w:rPr>
                <w:rFonts w:ascii="宋体" w:hAnsi="宋体" w:cs="宋体"/>
                <w:sz w:val="24"/>
                <w:szCs w:val="28"/>
              </w:rPr>
            </w:pPr>
            <w:r>
              <w:rPr>
                <w:rFonts w:hint="eastAsia" w:ascii="宋体" w:hAnsi="宋体" w:cs="宋体"/>
                <w:sz w:val="24"/>
                <w:szCs w:val="28"/>
              </w:rPr>
              <w:t>主要人员</w:t>
            </w:r>
          </w:p>
        </w:tc>
        <w:tc>
          <w:tcPr>
            <w:tcW w:w="706" w:type="dxa"/>
            <w:vAlign w:val="center"/>
          </w:tcPr>
          <w:p>
            <w:pPr>
              <w:spacing w:line="360" w:lineRule="auto"/>
              <w:jc w:val="center"/>
              <w:rPr>
                <w:rFonts w:ascii="宋体" w:hAnsi="宋体" w:cs="宋体"/>
                <w:sz w:val="24"/>
                <w:szCs w:val="28"/>
              </w:rPr>
            </w:pPr>
            <w:r>
              <w:rPr>
                <w:rFonts w:hint="eastAsia" w:ascii="宋体" w:hAnsi="宋体" w:cs="宋体"/>
                <w:sz w:val="24"/>
                <w:szCs w:val="28"/>
              </w:rPr>
              <w:t>20分</w:t>
            </w:r>
          </w:p>
        </w:tc>
        <w:tc>
          <w:tcPr>
            <w:tcW w:w="7235" w:type="dxa"/>
            <w:vAlign w:val="center"/>
          </w:tcPr>
          <w:p>
            <w:pPr>
              <w:spacing w:line="360" w:lineRule="auto"/>
              <w:rPr>
                <w:rFonts w:ascii="宋体" w:hAnsi="宋体" w:cs="宋体"/>
                <w:sz w:val="24"/>
                <w:szCs w:val="28"/>
              </w:rPr>
            </w:pPr>
            <w:r>
              <w:rPr>
                <w:rFonts w:hint="eastAsia" w:ascii="宋体" w:hAnsi="宋体" w:cs="宋体"/>
                <w:sz w:val="24"/>
                <w:szCs w:val="28"/>
              </w:rPr>
              <w:t>造价负责人</w:t>
            </w:r>
            <w:r>
              <w:rPr>
                <w:rFonts w:hint="eastAsia" w:ascii="宋体" w:hAnsi="宋体" w:cs="宋体"/>
                <w:sz w:val="24"/>
                <w:szCs w:val="28"/>
                <w:lang w:val="zh-CN"/>
              </w:rPr>
              <w:t>近</w:t>
            </w:r>
            <w:r>
              <w:rPr>
                <w:rFonts w:hint="eastAsia" w:ascii="宋体" w:hAnsi="宋体" w:cs="宋体"/>
                <w:sz w:val="24"/>
                <w:szCs w:val="28"/>
              </w:rPr>
              <w:t>5</w:t>
            </w:r>
            <w:r>
              <w:rPr>
                <w:rFonts w:hint="eastAsia" w:ascii="宋体" w:hAnsi="宋体" w:cs="宋体"/>
                <w:sz w:val="24"/>
                <w:szCs w:val="28"/>
                <w:lang w:val="zh-CN"/>
              </w:rPr>
              <w:t>年（自20</w:t>
            </w:r>
            <w:r>
              <w:rPr>
                <w:rFonts w:hint="eastAsia" w:ascii="宋体" w:hAnsi="宋体" w:cs="宋体"/>
                <w:sz w:val="24"/>
                <w:szCs w:val="28"/>
              </w:rPr>
              <w:t>18</w:t>
            </w:r>
            <w:r>
              <w:rPr>
                <w:rFonts w:hint="eastAsia" w:ascii="宋体" w:hAnsi="宋体" w:cs="宋体"/>
                <w:sz w:val="24"/>
                <w:szCs w:val="28"/>
                <w:lang w:val="zh-CN"/>
              </w:rPr>
              <w:t>年</w:t>
            </w:r>
            <w:r>
              <w:rPr>
                <w:rFonts w:hint="eastAsia" w:ascii="宋体" w:hAnsi="宋体" w:cs="宋体"/>
                <w:sz w:val="24"/>
                <w:szCs w:val="28"/>
                <w:lang w:val="en-US" w:eastAsia="zh-CN"/>
              </w:rPr>
              <w:t>11</w:t>
            </w:r>
            <w:r>
              <w:rPr>
                <w:rFonts w:hint="eastAsia" w:ascii="宋体" w:hAnsi="宋体" w:cs="宋体"/>
                <w:sz w:val="24"/>
                <w:szCs w:val="28"/>
                <w:lang w:val="zh-CN"/>
              </w:rPr>
              <w:t>月</w:t>
            </w:r>
            <w:r>
              <w:rPr>
                <w:rFonts w:hint="eastAsia" w:ascii="宋体" w:hAnsi="宋体" w:cs="宋体"/>
                <w:sz w:val="24"/>
                <w:szCs w:val="28"/>
                <w:lang w:val="en-US" w:eastAsia="zh-CN"/>
              </w:rPr>
              <w:t>23</w:t>
            </w:r>
            <w:r>
              <w:rPr>
                <w:rFonts w:hint="eastAsia" w:ascii="宋体" w:hAnsi="宋体" w:cs="宋体"/>
                <w:sz w:val="24"/>
                <w:szCs w:val="28"/>
                <w:lang w:val="zh-CN"/>
              </w:rPr>
              <w:t>日至磋商文件递交截止之日）内，</w:t>
            </w:r>
            <w:r>
              <w:rPr>
                <w:rFonts w:hint="eastAsia" w:ascii="宋体" w:hAnsi="宋体" w:cs="宋体"/>
                <w:sz w:val="24"/>
                <w:szCs w:val="28"/>
              </w:rPr>
              <w:t>完成过1个公路工程全过程造价咨询服务业绩（以合同签订时间为准）</w:t>
            </w:r>
            <w:r>
              <w:rPr>
                <w:rFonts w:hint="eastAsia" w:ascii="宋体" w:hAnsi="宋体" w:cs="宋体"/>
                <w:sz w:val="24"/>
                <w:szCs w:val="28"/>
                <w:lang w:val="zh-CN"/>
              </w:rPr>
              <w:t>得1</w:t>
            </w:r>
            <w:r>
              <w:rPr>
                <w:rFonts w:hint="eastAsia" w:ascii="宋体" w:hAnsi="宋体" w:cs="宋体"/>
                <w:sz w:val="24"/>
                <w:szCs w:val="28"/>
              </w:rPr>
              <w:t>2</w:t>
            </w:r>
            <w:r>
              <w:rPr>
                <w:rFonts w:hint="eastAsia" w:ascii="宋体" w:hAnsi="宋体" w:cs="宋体"/>
                <w:sz w:val="24"/>
                <w:szCs w:val="28"/>
                <w:lang w:val="zh-CN"/>
              </w:rPr>
              <w:t>分，在此基础上，每增加1个近五年（自2018年</w:t>
            </w:r>
            <w:r>
              <w:rPr>
                <w:rFonts w:hint="eastAsia" w:ascii="宋体" w:hAnsi="宋体" w:cs="宋体"/>
                <w:sz w:val="24"/>
                <w:szCs w:val="28"/>
                <w:lang w:val="en-US" w:eastAsia="zh-CN"/>
              </w:rPr>
              <w:t>11</w:t>
            </w:r>
            <w:r>
              <w:rPr>
                <w:rFonts w:hint="eastAsia" w:ascii="宋体" w:hAnsi="宋体" w:cs="宋体"/>
                <w:sz w:val="24"/>
                <w:szCs w:val="28"/>
                <w:lang w:val="zh-CN"/>
              </w:rPr>
              <w:t>月2</w:t>
            </w:r>
            <w:r>
              <w:rPr>
                <w:rFonts w:hint="eastAsia" w:ascii="宋体" w:hAnsi="宋体" w:cs="宋体"/>
                <w:sz w:val="24"/>
                <w:szCs w:val="28"/>
                <w:lang w:val="en-US" w:eastAsia="zh-CN"/>
              </w:rPr>
              <w:t>3</w:t>
            </w:r>
            <w:r>
              <w:rPr>
                <w:rFonts w:hint="eastAsia" w:ascii="宋体" w:hAnsi="宋体" w:cs="宋体"/>
                <w:sz w:val="24"/>
                <w:szCs w:val="28"/>
                <w:lang w:val="zh-CN"/>
              </w:rPr>
              <w:t>日至磋商文件递交截止之日）的公路工程全过程造价咨询服务业绩（以合同签订时间为准）业绩加</w:t>
            </w:r>
            <w:r>
              <w:rPr>
                <w:rFonts w:hint="eastAsia" w:ascii="宋体" w:hAnsi="宋体" w:cs="宋体"/>
                <w:sz w:val="24"/>
                <w:szCs w:val="28"/>
              </w:rPr>
              <w:t>4</w:t>
            </w:r>
            <w:r>
              <w:rPr>
                <w:rFonts w:hint="eastAsia" w:ascii="宋体" w:hAnsi="宋体" w:cs="宋体"/>
                <w:sz w:val="24"/>
                <w:szCs w:val="28"/>
                <w:lang w:val="zh-CN"/>
              </w:rPr>
              <w:t>分，</w:t>
            </w:r>
            <w:r>
              <w:rPr>
                <w:rFonts w:hint="eastAsia" w:ascii="宋体" w:hAnsi="宋体" w:cs="宋体"/>
                <w:sz w:val="24"/>
                <w:szCs w:val="28"/>
              </w:rPr>
              <w:t>此项最多得8分。</w:t>
            </w:r>
          </w:p>
          <w:p>
            <w:pPr>
              <w:spacing w:line="360" w:lineRule="auto"/>
              <w:rPr>
                <w:rFonts w:ascii="宋体" w:hAnsi="宋体" w:cs="宋体"/>
                <w:sz w:val="24"/>
                <w:szCs w:val="28"/>
              </w:rPr>
            </w:pPr>
            <w:r>
              <w:rPr>
                <w:rFonts w:hint="eastAsia" w:ascii="宋体" w:hAnsi="宋体" w:cs="宋体"/>
                <w:sz w:val="24"/>
                <w:szCs w:val="28"/>
              </w:rPr>
              <w:t>注：（提供中标通知书或者合同协议书或者业主证明材料复印件，且以上证明材料须体现项目负责人担任的职务，并加盖投标单位公章，否则不得分）。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jc w:val="center"/>
        </w:trPr>
        <w:tc>
          <w:tcPr>
            <w:tcW w:w="615" w:type="dxa"/>
            <w:vMerge w:val="restart"/>
            <w:vAlign w:val="center"/>
          </w:tcPr>
          <w:p>
            <w:pPr>
              <w:spacing w:line="360" w:lineRule="auto"/>
              <w:jc w:val="center"/>
              <w:rPr>
                <w:rFonts w:ascii="宋体" w:hAnsi="宋体" w:cs="宋体"/>
                <w:sz w:val="24"/>
              </w:rPr>
            </w:pPr>
            <w:r>
              <w:rPr>
                <w:rFonts w:hint="eastAsia" w:ascii="宋体" w:hAnsi="宋体" w:cs="宋体"/>
                <w:sz w:val="24"/>
              </w:rPr>
              <w:t>4</w:t>
            </w:r>
          </w:p>
        </w:tc>
        <w:tc>
          <w:tcPr>
            <w:tcW w:w="1082" w:type="dxa"/>
            <w:vMerge w:val="restart"/>
            <w:vAlign w:val="center"/>
          </w:tcPr>
          <w:p>
            <w:pPr>
              <w:spacing w:line="360" w:lineRule="auto"/>
              <w:jc w:val="center"/>
              <w:rPr>
                <w:rFonts w:ascii="宋体" w:hAnsi="宋体" w:cs="宋体"/>
                <w:sz w:val="24"/>
              </w:rPr>
            </w:pPr>
            <w:r>
              <w:rPr>
                <w:rFonts w:hint="eastAsia"/>
                <w:sz w:val="24"/>
              </w:rPr>
              <w:t>技术建议书</w:t>
            </w:r>
          </w:p>
        </w:tc>
        <w:tc>
          <w:tcPr>
            <w:tcW w:w="706" w:type="dxa"/>
            <w:vMerge w:val="restart"/>
            <w:vAlign w:val="center"/>
          </w:tcPr>
          <w:p>
            <w:pPr>
              <w:spacing w:line="360" w:lineRule="auto"/>
              <w:jc w:val="center"/>
              <w:rPr>
                <w:rFonts w:ascii="宋体" w:hAnsi="宋体" w:cs="宋体"/>
                <w:sz w:val="24"/>
              </w:rPr>
            </w:pPr>
            <w:r>
              <w:rPr>
                <w:rFonts w:hint="eastAsia"/>
                <w:sz w:val="24"/>
              </w:rPr>
              <w:t>45</w:t>
            </w:r>
            <w:r>
              <w:rPr>
                <w:sz w:val="24"/>
              </w:rPr>
              <w:t>分</w:t>
            </w:r>
          </w:p>
        </w:tc>
        <w:tc>
          <w:tcPr>
            <w:tcW w:w="7235" w:type="dxa"/>
          </w:tcPr>
          <w:p>
            <w:pPr>
              <w:spacing w:line="360" w:lineRule="auto"/>
              <w:rPr>
                <w:rFonts w:ascii="宋体" w:hAnsi="宋体" w:cs="宋体"/>
                <w:sz w:val="24"/>
                <w:szCs w:val="28"/>
              </w:rPr>
            </w:pPr>
            <w:r>
              <w:rPr>
                <w:rFonts w:hint="eastAsia" w:ascii="宋体" w:hAnsi="宋体" w:cs="宋体"/>
                <w:sz w:val="24"/>
                <w:szCs w:val="28"/>
              </w:rPr>
              <w:t>1、对本项目理解及服务方案（20分）</w:t>
            </w:r>
          </w:p>
          <w:p>
            <w:pPr>
              <w:spacing w:line="360" w:lineRule="auto"/>
              <w:rPr>
                <w:rFonts w:ascii="宋体" w:hAnsi="宋体" w:cs="宋体"/>
                <w:sz w:val="24"/>
                <w:szCs w:val="28"/>
              </w:rPr>
            </w:pPr>
            <w:r>
              <w:rPr>
                <w:rFonts w:hint="eastAsia" w:ascii="宋体" w:hAnsi="宋体" w:cs="宋体"/>
                <w:sz w:val="24"/>
                <w:szCs w:val="28"/>
              </w:rPr>
              <w:t>对全过程造价咨询服务的理解及服务方案内容的全面性、详细程度等进行评审。</w:t>
            </w:r>
          </w:p>
          <w:p>
            <w:pPr>
              <w:spacing w:line="360" w:lineRule="auto"/>
              <w:rPr>
                <w:rFonts w:ascii="宋体" w:hAnsi="宋体" w:cs="宋体"/>
                <w:sz w:val="24"/>
                <w:szCs w:val="28"/>
              </w:rPr>
            </w:pPr>
            <w:r>
              <w:rPr>
                <w:rFonts w:hint="eastAsia" w:ascii="宋体" w:hAnsi="宋体" w:cs="宋体"/>
                <w:sz w:val="24"/>
                <w:szCs w:val="28"/>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2、重点、难点分析及应对措施（10分）</w:t>
            </w:r>
          </w:p>
          <w:p>
            <w:pPr>
              <w:spacing w:line="360" w:lineRule="auto"/>
              <w:rPr>
                <w:rFonts w:ascii="宋体" w:hAnsi="宋体" w:cs="宋体"/>
                <w:sz w:val="24"/>
                <w:szCs w:val="28"/>
              </w:rPr>
            </w:pPr>
            <w:r>
              <w:rPr>
                <w:rFonts w:hint="eastAsia" w:ascii="宋体" w:hAnsi="宋体" w:cs="宋体"/>
                <w:sz w:val="24"/>
                <w:szCs w:val="28"/>
              </w:rPr>
              <w:t>对全过程造价咨询服务的重点、难点的分析及应对措施阐述的针对性、完善程度、合理情况等进行评审。</w:t>
            </w:r>
          </w:p>
          <w:p>
            <w:pPr>
              <w:spacing w:line="360" w:lineRule="auto"/>
              <w:rPr>
                <w:rFonts w:ascii="宋体" w:hAnsi="宋体" w:cs="宋体"/>
                <w:sz w:val="24"/>
                <w:szCs w:val="28"/>
              </w:rPr>
            </w:pPr>
            <w:r>
              <w:rPr>
                <w:rFonts w:hint="eastAsia" w:ascii="宋体" w:hAnsi="宋体" w:cs="宋体"/>
                <w:sz w:val="24"/>
                <w:szCs w:val="28"/>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3、后续服务安排及保证措施（10分）</w:t>
            </w:r>
          </w:p>
          <w:p>
            <w:pPr>
              <w:spacing w:line="360" w:lineRule="auto"/>
              <w:rPr>
                <w:rFonts w:ascii="宋体" w:hAnsi="宋体" w:cs="宋体"/>
                <w:sz w:val="24"/>
                <w:szCs w:val="28"/>
              </w:rPr>
            </w:pPr>
            <w:r>
              <w:rPr>
                <w:rFonts w:hint="eastAsia" w:ascii="宋体" w:hAnsi="宋体" w:cs="宋体"/>
                <w:sz w:val="24"/>
                <w:szCs w:val="28"/>
              </w:rPr>
              <w:t>对全过程造价咨询服务的后续服务的安排及保证措施阐述的合理性、完善性等进行评审。</w:t>
            </w:r>
          </w:p>
          <w:p>
            <w:pPr>
              <w:spacing w:line="360" w:lineRule="auto"/>
              <w:rPr>
                <w:rFonts w:ascii="宋体" w:hAnsi="宋体" w:cs="宋体"/>
                <w:sz w:val="24"/>
                <w:szCs w:val="28"/>
              </w:rPr>
            </w:pPr>
            <w:r>
              <w:rPr>
                <w:rFonts w:hint="eastAsia" w:ascii="宋体" w:hAnsi="宋体" w:cs="宋体"/>
                <w:sz w:val="24"/>
                <w:szCs w:val="28"/>
              </w:rPr>
              <w:t>供应商安排合理、措施完善的得8-10分；安排比较合理、措施比较完善的得6-8分；安排一般合理、措施不够完善的得6分。不提供不得分。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4、服务承诺（5分）</w:t>
            </w:r>
          </w:p>
          <w:p>
            <w:pPr>
              <w:spacing w:line="360" w:lineRule="auto"/>
              <w:rPr>
                <w:rFonts w:ascii="宋体" w:hAnsi="宋体" w:cs="宋体"/>
                <w:sz w:val="24"/>
                <w:szCs w:val="28"/>
              </w:rPr>
            </w:pPr>
            <w:r>
              <w:rPr>
                <w:rFonts w:hint="eastAsia" w:ascii="宋体" w:hAnsi="宋体" w:cs="宋体"/>
                <w:sz w:val="24"/>
                <w:szCs w:val="28"/>
              </w:rPr>
              <w:t>对全过程造价咨询服务的服务承诺进行评审。</w:t>
            </w:r>
          </w:p>
          <w:p>
            <w:pPr>
              <w:spacing w:line="360" w:lineRule="auto"/>
              <w:rPr>
                <w:rFonts w:ascii="宋体" w:hAnsi="宋体" w:cs="宋体"/>
                <w:sz w:val="24"/>
                <w:szCs w:val="28"/>
              </w:rPr>
            </w:pPr>
            <w:r>
              <w:rPr>
                <w:rFonts w:hint="eastAsia" w:ascii="宋体" w:hAnsi="宋体" w:cs="宋体"/>
                <w:sz w:val="24"/>
                <w:szCs w:val="28"/>
              </w:rPr>
              <w:t>服务承诺详细、合理的得4-5分；服务承诺较详细、较合理的得3-4分；服务承诺一般、基本合理的得3分。</w:t>
            </w:r>
          </w:p>
        </w:tc>
      </w:tr>
    </w:tbl>
    <w:p>
      <w:pPr>
        <w:pStyle w:val="4"/>
      </w:pPr>
    </w:p>
    <w:p>
      <w:pPr>
        <w:pStyle w:val="15"/>
        <w:ind w:left="0" w:leftChars="0"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二标段：综合评分法分值构成</w:t>
      </w:r>
    </w:p>
    <w:tbl>
      <w:tblPr>
        <w:tblStyle w:val="10"/>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82"/>
        <w:gridCol w:w="706"/>
        <w:gridCol w:w="7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03" w:type="dxa"/>
            <w:gridSpan w:val="3"/>
            <w:vAlign w:val="center"/>
          </w:tcPr>
          <w:p>
            <w:pPr>
              <w:spacing w:line="360" w:lineRule="auto"/>
              <w:jc w:val="center"/>
              <w:rPr>
                <w:rFonts w:ascii="宋体" w:hAnsi="宋体" w:cs="宋体"/>
                <w:sz w:val="24"/>
              </w:rPr>
            </w:pPr>
            <w:r>
              <w:rPr>
                <w:rFonts w:hint="eastAsia" w:ascii="宋体" w:hAnsi="宋体" w:cs="宋体"/>
                <w:sz w:val="24"/>
              </w:rPr>
              <w:t>分值构成</w:t>
            </w:r>
          </w:p>
        </w:tc>
        <w:tc>
          <w:tcPr>
            <w:tcW w:w="7235" w:type="dxa"/>
            <w:vAlign w:val="center"/>
          </w:tcPr>
          <w:p>
            <w:pPr>
              <w:spacing w:line="360" w:lineRule="auto"/>
              <w:rPr>
                <w:rFonts w:ascii="宋体" w:hAnsi="宋体" w:cs="宋体"/>
                <w:sz w:val="24"/>
              </w:rPr>
            </w:pPr>
            <w:r>
              <w:rPr>
                <w:rFonts w:hint="eastAsia" w:ascii="宋体" w:hAnsi="宋体" w:cs="宋体"/>
                <w:sz w:val="24"/>
              </w:rPr>
              <w:t>总分100分，其中：</w:t>
            </w:r>
          </w:p>
          <w:p>
            <w:pPr>
              <w:spacing w:line="360" w:lineRule="auto"/>
              <w:rPr>
                <w:rFonts w:ascii="宋体" w:hAnsi="宋体" w:cs="宋体"/>
                <w:sz w:val="24"/>
              </w:rPr>
            </w:pPr>
            <w:r>
              <w:rPr>
                <w:rFonts w:hint="eastAsia" w:ascii="宋体" w:hAnsi="宋体" w:cs="宋体"/>
                <w:sz w:val="24"/>
              </w:rPr>
              <w:t>投标报价：20分</w:t>
            </w:r>
          </w:p>
          <w:p>
            <w:pPr>
              <w:spacing w:line="360" w:lineRule="auto"/>
              <w:rPr>
                <w:rFonts w:ascii="宋体" w:hAnsi="宋体" w:cs="宋体"/>
                <w:sz w:val="24"/>
              </w:rPr>
            </w:pPr>
            <w:r>
              <w:rPr>
                <w:rFonts w:hint="eastAsia" w:ascii="宋体" w:hAnsi="宋体" w:cs="宋体"/>
                <w:sz w:val="24"/>
              </w:rPr>
              <w:t>企业业绩：15分</w:t>
            </w:r>
          </w:p>
          <w:p>
            <w:pPr>
              <w:spacing w:line="360" w:lineRule="auto"/>
              <w:rPr>
                <w:rFonts w:ascii="宋体" w:hAnsi="宋体" w:cs="宋体"/>
                <w:sz w:val="24"/>
              </w:rPr>
            </w:pPr>
            <w:r>
              <w:rPr>
                <w:rFonts w:hint="eastAsia" w:ascii="宋体" w:hAnsi="宋体" w:cs="宋体"/>
                <w:sz w:val="24"/>
              </w:rPr>
              <w:t xml:space="preserve">主要人员：20分 </w:t>
            </w:r>
          </w:p>
          <w:p>
            <w:pPr>
              <w:spacing w:line="360" w:lineRule="auto"/>
              <w:rPr>
                <w:rFonts w:ascii="宋体" w:hAnsi="宋体" w:cs="宋体"/>
                <w:sz w:val="24"/>
              </w:rPr>
            </w:pPr>
            <w:r>
              <w:rPr>
                <w:rFonts w:hint="eastAsia" w:ascii="宋体" w:hAnsi="宋体" w:cs="宋体"/>
                <w:sz w:val="24"/>
              </w:rPr>
              <w:t>技术建议书：45分</w:t>
            </w:r>
          </w:p>
          <w:p>
            <w:pPr>
              <w:spacing w:line="360" w:lineRule="auto"/>
              <w:rPr>
                <w:rFonts w:ascii="宋体" w:hAnsi="宋体" w:cs="宋体"/>
                <w:sz w:val="24"/>
              </w:rPr>
            </w:pPr>
            <w:r>
              <w:rPr>
                <w:rFonts w:hint="eastAsia" w:ascii="宋体" w:hAnsi="宋体" w:cs="宋体"/>
                <w:sz w:val="24"/>
              </w:rPr>
              <w:t>（1）对本项目理解及服务方案：20分</w:t>
            </w:r>
          </w:p>
          <w:p>
            <w:pPr>
              <w:spacing w:line="360" w:lineRule="auto"/>
              <w:rPr>
                <w:rFonts w:ascii="宋体" w:hAnsi="宋体" w:cs="宋体"/>
                <w:sz w:val="24"/>
              </w:rPr>
            </w:pPr>
            <w:r>
              <w:rPr>
                <w:rFonts w:hint="eastAsia" w:ascii="宋体" w:hAnsi="宋体" w:cs="宋体"/>
                <w:sz w:val="24"/>
              </w:rPr>
              <w:t>（2）重点、难点分析及应对措施：10分</w:t>
            </w:r>
          </w:p>
          <w:p>
            <w:pPr>
              <w:spacing w:line="360" w:lineRule="auto"/>
              <w:rPr>
                <w:rFonts w:ascii="宋体" w:hAnsi="宋体" w:cs="宋体"/>
                <w:sz w:val="24"/>
              </w:rPr>
            </w:pPr>
            <w:r>
              <w:rPr>
                <w:rFonts w:hint="eastAsia" w:ascii="宋体" w:hAnsi="宋体" w:cs="宋体"/>
                <w:sz w:val="24"/>
              </w:rPr>
              <w:t>（3）后续服务安排及保证措施：10分</w:t>
            </w:r>
          </w:p>
          <w:p>
            <w:pPr>
              <w:spacing w:line="360" w:lineRule="auto"/>
              <w:rPr>
                <w:rFonts w:ascii="宋体" w:hAnsi="宋体" w:cs="宋体"/>
                <w:sz w:val="24"/>
              </w:rPr>
            </w:pPr>
            <w:r>
              <w:rPr>
                <w:rFonts w:hint="eastAsia" w:ascii="宋体" w:hAnsi="宋体" w:cs="宋体"/>
                <w:sz w:val="24"/>
              </w:rPr>
              <w:t>（4）服务承诺：5分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082" w:type="dxa"/>
            <w:vAlign w:val="center"/>
          </w:tcPr>
          <w:p>
            <w:pPr>
              <w:spacing w:line="360" w:lineRule="auto"/>
              <w:jc w:val="center"/>
              <w:rPr>
                <w:rFonts w:ascii="宋体" w:hAnsi="宋体" w:cs="宋体"/>
                <w:sz w:val="24"/>
              </w:rPr>
            </w:pPr>
            <w:r>
              <w:rPr>
                <w:rFonts w:hint="eastAsia" w:ascii="宋体" w:hAnsi="宋体" w:cs="宋体"/>
                <w:sz w:val="24"/>
              </w:rPr>
              <w:t>评分项目</w:t>
            </w:r>
          </w:p>
        </w:tc>
        <w:tc>
          <w:tcPr>
            <w:tcW w:w="706" w:type="dxa"/>
            <w:vAlign w:val="center"/>
          </w:tcPr>
          <w:p>
            <w:pPr>
              <w:spacing w:line="360" w:lineRule="auto"/>
              <w:jc w:val="center"/>
              <w:rPr>
                <w:rFonts w:ascii="宋体" w:hAnsi="宋体" w:cs="宋体"/>
                <w:sz w:val="24"/>
              </w:rPr>
            </w:pPr>
            <w:r>
              <w:rPr>
                <w:rFonts w:hint="eastAsia" w:ascii="宋体" w:hAnsi="宋体" w:cs="宋体"/>
                <w:sz w:val="24"/>
              </w:rPr>
              <w:t>分值</w:t>
            </w:r>
          </w:p>
        </w:tc>
        <w:tc>
          <w:tcPr>
            <w:tcW w:w="7235" w:type="dxa"/>
            <w:vAlign w:val="center"/>
          </w:tcPr>
          <w:p>
            <w:pPr>
              <w:spacing w:line="360" w:lineRule="auto"/>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1</w:t>
            </w:r>
          </w:p>
        </w:tc>
        <w:tc>
          <w:tcPr>
            <w:tcW w:w="1082"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706" w:type="dxa"/>
            <w:vAlign w:val="center"/>
          </w:tcPr>
          <w:p>
            <w:pPr>
              <w:spacing w:line="360" w:lineRule="auto"/>
              <w:jc w:val="center"/>
              <w:rPr>
                <w:rFonts w:ascii="宋体" w:hAnsi="宋体" w:cs="宋体"/>
                <w:sz w:val="24"/>
              </w:rPr>
            </w:pPr>
            <w:r>
              <w:rPr>
                <w:rFonts w:hint="eastAsia" w:ascii="宋体" w:hAnsi="宋体" w:cs="宋体"/>
                <w:sz w:val="24"/>
              </w:rPr>
              <w:t>20分</w:t>
            </w:r>
          </w:p>
        </w:tc>
        <w:tc>
          <w:tcPr>
            <w:tcW w:w="7235" w:type="dxa"/>
            <w:vAlign w:val="center"/>
          </w:tcPr>
          <w:p>
            <w:pPr>
              <w:spacing w:line="360" w:lineRule="auto"/>
              <w:rPr>
                <w:rFonts w:ascii="宋体" w:hAnsi="宋体" w:cs="宋体"/>
                <w:sz w:val="24"/>
                <w:szCs w:val="28"/>
              </w:rPr>
            </w:pPr>
            <w:r>
              <w:rPr>
                <w:rFonts w:hint="eastAsia" w:ascii="宋体" w:hAnsi="宋体" w:cs="宋体"/>
                <w:sz w:val="24"/>
                <w:szCs w:val="28"/>
              </w:rPr>
              <w:t>磋商报价得分＝（磋商基准价/最后磋商报价）×20（保留两位小数）。</w:t>
            </w:r>
          </w:p>
          <w:p>
            <w:pPr>
              <w:spacing w:line="360" w:lineRule="auto"/>
              <w:rPr>
                <w:rFonts w:ascii="宋体" w:hAnsi="宋体" w:cs="宋体"/>
                <w:sz w:val="24"/>
                <w:szCs w:val="28"/>
              </w:rPr>
            </w:pPr>
            <w:r>
              <w:rPr>
                <w:rFonts w:hint="eastAsia" w:ascii="宋体" w:hAnsi="宋体" w:cs="宋体"/>
                <w:sz w:val="24"/>
                <w:szCs w:val="28"/>
              </w:rPr>
              <w:t>磋商基准价：满足招标文件要求且最后磋商价格最低的磋商报价。</w:t>
            </w:r>
          </w:p>
          <w:p>
            <w:pPr>
              <w:spacing w:line="360" w:lineRule="auto"/>
              <w:rPr>
                <w:rFonts w:ascii="宋体" w:hAnsi="宋体" w:cs="宋体"/>
                <w:sz w:val="24"/>
                <w:szCs w:val="28"/>
              </w:rPr>
            </w:pPr>
            <w:r>
              <w:rPr>
                <w:rFonts w:hint="eastAsia" w:ascii="宋体" w:hAnsi="宋体" w:cs="宋体"/>
                <w:sz w:val="24"/>
                <w:szCs w:val="28"/>
              </w:rPr>
              <w:t>备注：磋商报价以</w:t>
            </w:r>
            <w:r>
              <w:rPr>
                <w:rFonts w:hint="eastAsia" w:ascii="宋体" w:hAnsi="宋体" w:cs="宋体"/>
                <w:sz w:val="24"/>
                <w:szCs w:val="28"/>
                <w:lang w:eastAsia="zh-CN"/>
              </w:rPr>
              <w:t>折扣系数</w:t>
            </w:r>
            <w:r>
              <w:rPr>
                <w:rFonts w:hint="eastAsia" w:ascii="宋体" w:hAnsi="宋体" w:cs="宋体"/>
                <w:sz w:val="24"/>
                <w:szCs w:val="28"/>
              </w:rPr>
              <w:t>进行报价，项目评审过程中，不得去掉报价中的最高报价和最低报价。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5" w:type="dxa"/>
            <w:vAlign w:val="center"/>
          </w:tcPr>
          <w:p>
            <w:pPr>
              <w:spacing w:line="360" w:lineRule="auto"/>
              <w:jc w:val="center"/>
              <w:rPr>
                <w:rFonts w:ascii="宋体" w:hAnsi="宋体" w:cs="宋体"/>
                <w:sz w:val="24"/>
              </w:rPr>
            </w:pPr>
            <w:r>
              <w:rPr>
                <w:rFonts w:hint="eastAsia" w:ascii="宋体" w:hAnsi="宋体" w:cs="宋体"/>
                <w:sz w:val="24"/>
              </w:rPr>
              <w:t>2</w:t>
            </w:r>
          </w:p>
        </w:tc>
        <w:tc>
          <w:tcPr>
            <w:tcW w:w="1082" w:type="dxa"/>
            <w:vAlign w:val="center"/>
          </w:tcPr>
          <w:p>
            <w:pPr>
              <w:spacing w:line="360" w:lineRule="auto"/>
              <w:jc w:val="center"/>
              <w:rPr>
                <w:rFonts w:ascii="宋体" w:hAnsi="宋体" w:cs="宋体"/>
                <w:sz w:val="24"/>
              </w:rPr>
            </w:pPr>
            <w:r>
              <w:rPr>
                <w:rFonts w:hint="eastAsia" w:ascii="宋体" w:hAnsi="宋体" w:cs="宋体"/>
                <w:sz w:val="24"/>
              </w:rPr>
              <w:t>企业业绩</w:t>
            </w:r>
          </w:p>
        </w:tc>
        <w:tc>
          <w:tcPr>
            <w:tcW w:w="706" w:type="dxa"/>
            <w:vAlign w:val="center"/>
          </w:tcPr>
          <w:p>
            <w:pPr>
              <w:spacing w:line="360" w:lineRule="auto"/>
              <w:jc w:val="center"/>
              <w:rPr>
                <w:rFonts w:ascii="宋体" w:hAnsi="宋体" w:cs="宋体"/>
                <w:sz w:val="24"/>
              </w:rPr>
            </w:pPr>
            <w:r>
              <w:rPr>
                <w:rFonts w:hint="eastAsia" w:ascii="宋体" w:hAnsi="宋体" w:cs="宋体"/>
                <w:sz w:val="24"/>
              </w:rPr>
              <w:t>15分</w:t>
            </w:r>
          </w:p>
        </w:tc>
        <w:tc>
          <w:tcPr>
            <w:tcW w:w="7235" w:type="dxa"/>
            <w:vAlign w:val="center"/>
          </w:tcPr>
          <w:p>
            <w:pPr>
              <w:spacing w:line="360" w:lineRule="auto"/>
              <w:rPr>
                <w:rFonts w:ascii="宋体" w:hAnsi="宋体" w:cs="宋体"/>
                <w:sz w:val="24"/>
                <w:szCs w:val="28"/>
              </w:rPr>
            </w:pPr>
            <w:r>
              <w:rPr>
                <w:rFonts w:hint="eastAsia" w:ascii="宋体" w:hAnsi="宋体" w:cs="宋体"/>
                <w:sz w:val="24"/>
                <w:szCs w:val="28"/>
              </w:rPr>
              <w:t>投标人近5年（自2018年</w:t>
            </w:r>
            <w:r>
              <w:rPr>
                <w:rFonts w:hint="eastAsia" w:ascii="宋体" w:hAnsi="宋体" w:cs="宋体"/>
                <w:sz w:val="24"/>
                <w:szCs w:val="28"/>
                <w:lang w:val="en-US" w:eastAsia="zh-CN"/>
              </w:rPr>
              <w:t>11</w:t>
            </w:r>
            <w:r>
              <w:rPr>
                <w:rFonts w:hint="eastAsia" w:ascii="宋体" w:hAnsi="宋体" w:cs="宋体"/>
                <w:sz w:val="24"/>
                <w:szCs w:val="28"/>
              </w:rPr>
              <w:t>月2</w:t>
            </w:r>
            <w:r>
              <w:rPr>
                <w:rFonts w:hint="eastAsia" w:ascii="宋体" w:hAnsi="宋体" w:cs="宋体"/>
                <w:sz w:val="24"/>
                <w:szCs w:val="28"/>
                <w:lang w:val="en-US" w:eastAsia="zh-CN"/>
              </w:rPr>
              <w:t>3</w:t>
            </w:r>
            <w:r>
              <w:rPr>
                <w:rFonts w:hint="eastAsia" w:ascii="宋体" w:hAnsi="宋体" w:cs="宋体"/>
                <w:sz w:val="24"/>
                <w:szCs w:val="28"/>
              </w:rPr>
              <w:t>日至磋商文件递交截止之日）内，完成过1个公路工程竣工财务决算审计业绩（以合同签订时间为准）得9分，在此基础上，每增加1个近五年（自2018年</w:t>
            </w:r>
            <w:r>
              <w:rPr>
                <w:rFonts w:hint="eastAsia" w:ascii="宋体" w:hAnsi="宋体" w:cs="宋体"/>
                <w:sz w:val="24"/>
                <w:szCs w:val="28"/>
                <w:lang w:val="en-US" w:eastAsia="zh-CN"/>
              </w:rPr>
              <w:t>11</w:t>
            </w:r>
            <w:r>
              <w:rPr>
                <w:rFonts w:hint="eastAsia" w:ascii="宋体" w:hAnsi="宋体" w:cs="宋体"/>
                <w:sz w:val="24"/>
                <w:szCs w:val="28"/>
              </w:rPr>
              <w:t>月</w:t>
            </w:r>
            <w:r>
              <w:rPr>
                <w:rFonts w:hint="eastAsia" w:ascii="宋体" w:hAnsi="宋体" w:cs="宋体"/>
                <w:sz w:val="24"/>
                <w:szCs w:val="28"/>
                <w:lang w:val="en-US" w:eastAsia="zh-CN"/>
              </w:rPr>
              <w:t>23</w:t>
            </w:r>
            <w:r>
              <w:rPr>
                <w:rFonts w:hint="eastAsia" w:ascii="宋体" w:hAnsi="宋体" w:cs="宋体"/>
                <w:sz w:val="24"/>
                <w:szCs w:val="28"/>
              </w:rPr>
              <w:t xml:space="preserve">日至磋商文件递交截止之日）公路工程竣工财务决算审计业绩（以合同签订时间为准）加3分，此项最高加6分。 </w:t>
            </w:r>
          </w:p>
          <w:p>
            <w:pPr>
              <w:spacing w:line="360" w:lineRule="auto"/>
              <w:rPr>
                <w:rFonts w:ascii="宋体" w:hAnsi="宋体" w:cs="宋体"/>
                <w:sz w:val="24"/>
                <w:szCs w:val="28"/>
              </w:rPr>
            </w:pPr>
            <w:r>
              <w:rPr>
                <w:rFonts w:hint="eastAsia" w:ascii="宋体" w:hAnsi="宋体" w:cs="宋体"/>
                <w:sz w:val="24"/>
                <w:szCs w:val="28"/>
              </w:rPr>
              <w:t>注：（提供合同协议书复印件并加盖投标单位公章，否则不得分）。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615" w:type="dxa"/>
            <w:vAlign w:val="center"/>
          </w:tcPr>
          <w:p>
            <w:pPr>
              <w:spacing w:line="360" w:lineRule="auto"/>
              <w:jc w:val="center"/>
              <w:rPr>
                <w:rFonts w:ascii="宋体" w:hAnsi="宋体" w:cs="宋体"/>
                <w:sz w:val="24"/>
                <w:szCs w:val="28"/>
              </w:rPr>
            </w:pPr>
            <w:r>
              <w:rPr>
                <w:rFonts w:hint="eastAsia" w:ascii="宋体" w:hAnsi="宋体" w:cs="宋体"/>
                <w:sz w:val="24"/>
                <w:szCs w:val="28"/>
              </w:rPr>
              <w:t>3</w:t>
            </w:r>
          </w:p>
        </w:tc>
        <w:tc>
          <w:tcPr>
            <w:tcW w:w="1082" w:type="dxa"/>
            <w:vAlign w:val="center"/>
          </w:tcPr>
          <w:p>
            <w:pPr>
              <w:spacing w:line="360" w:lineRule="auto"/>
              <w:jc w:val="center"/>
              <w:rPr>
                <w:rFonts w:ascii="宋体" w:hAnsi="宋体" w:cs="宋体"/>
                <w:sz w:val="24"/>
                <w:szCs w:val="28"/>
              </w:rPr>
            </w:pPr>
            <w:r>
              <w:rPr>
                <w:rFonts w:hint="eastAsia" w:ascii="宋体" w:hAnsi="宋体" w:cs="宋体"/>
                <w:sz w:val="24"/>
                <w:szCs w:val="28"/>
              </w:rPr>
              <w:t>主要人员</w:t>
            </w:r>
          </w:p>
        </w:tc>
        <w:tc>
          <w:tcPr>
            <w:tcW w:w="706" w:type="dxa"/>
            <w:vAlign w:val="center"/>
          </w:tcPr>
          <w:p>
            <w:pPr>
              <w:spacing w:line="360" w:lineRule="auto"/>
              <w:jc w:val="center"/>
              <w:rPr>
                <w:rFonts w:ascii="宋体" w:hAnsi="宋体" w:cs="宋体"/>
                <w:sz w:val="24"/>
                <w:szCs w:val="28"/>
              </w:rPr>
            </w:pPr>
            <w:r>
              <w:rPr>
                <w:rFonts w:hint="eastAsia" w:ascii="宋体" w:hAnsi="宋体" w:cs="宋体"/>
                <w:sz w:val="24"/>
                <w:szCs w:val="28"/>
              </w:rPr>
              <w:t>20分</w:t>
            </w:r>
          </w:p>
        </w:tc>
        <w:tc>
          <w:tcPr>
            <w:tcW w:w="7235" w:type="dxa"/>
            <w:vAlign w:val="center"/>
          </w:tcPr>
          <w:p>
            <w:pPr>
              <w:spacing w:line="360" w:lineRule="auto"/>
              <w:rPr>
                <w:rFonts w:ascii="宋体" w:hAnsi="宋体" w:cs="宋体"/>
                <w:sz w:val="24"/>
                <w:szCs w:val="28"/>
              </w:rPr>
            </w:pPr>
            <w:r>
              <w:rPr>
                <w:rFonts w:hint="eastAsia" w:ascii="宋体" w:hAnsi="宋体" w:cs="宋体"/>
                <w:sz w:val="24"/>
                <w:szCs w:val="28"/>
              </w:rPr>
              <w:t>造价负责人</w:t>
            </w:r>
            <w:r>
              <w:rPr>
                <w:rFonts w:hint="eastAsia" w:ascii="宋体" w:hAnsi="宋体" w:cs="宋体"/>
                <w:sz w:val="24"/>
                <w:szCs w:val="28"/>
                <w:lang w:val="zh-CN"/>
              </w:rPr>
              <w:t>近</w:t>
            </w:r>
            <w:r>
              <w:rPr>
                <w:rFonts w:hint="eastAsia" w:ascii="宋体" w:hAnsi="宋体" w:cs="宋体"/>
                <w:sz w:val="24"/>
                <w:szCs w:val="28"/>
              </w:rPr>
              <w:t>5</w:t>
            </w:r>
            <w:r>
              <w:rPr>
                <w:rFonts w:hint="eastAsia" w:ascii="宋体" w:hAnsi="宋体" w:cs="宋体"/>
                <w:sz w:val="24"/>
                <w:szCs w:val="28"/>
                <w:lang w:val="zh-CN"/>
              </w:rPr>
              <w:t>年（自20</w:t>
            </w:r>
            <w:r>
              <w:rPr>
                <w:rFonts w:hint="eastAsia" w:ascii="宋体" w:hAnsi="宋体" w:cs="宋体"/>
                <w:sz w:val="24"/>
                <w:szCs w:val="28"/>
              </w:rPr>
              <w:t>18</w:t>
            </w:r>
            <w:r>
              <w:rPr>
                <w:rFonts w:hint="eastAsia" w:ascii="宋体" w:hAnsi="宋体" w:cs="宋体"/>
                <w:sz w:val="24"/>
                <w:szCs w:val="28"/>
                <w:lang w:val="zh-CN"/>
              </w:rPr>
              <w:t>年</w:t>
            </w:r>
            <w:r>
              <w:rPr>
                <w:rFonts w:hint="eastAsia" w:ascii="宋体" w:hAnsi="宋体" w:cs="宋体"/>
                <w:sz w:val="24"/>
                <w:szCs w:val="28"/>
                <w:lang w:val="en-US" w:eastAsia="zh-CN"/>
              </w:rPr>
              <w:t>11</w:t>
            </w:r>
            <w:r>
              <w:rPr>
                <w:rFonts w:hint="eastAsia" w:ascii="宋体" w:hAnsi="宋体" w:cs="宋体"/>
                <w:sz w:val="24"/>
                <w:szCs w:val="28"/>
                <w:lang w:val="zh-CN"/>
              </w:rPr>
              <w:t>月</w:t>
            </w:r>
            <w:r>
              <w:rPr>
                <w:rFonts w:hint="eastAsia" w:ascii="宋体" w:hAnsi="宋体" w:cs="宋体"/>
                <w:sz w:val="24"/>
                <w:szCs w:val="28"/>
                <w:lang w:val="en-US" w:eastAsia="zh-CN"/>
              </w:rPr>
              <w:t>23</w:t>
            </w:r>
            <w:r>
              <w:rPr>
                <w:rFonts w:hint="eastAsia" w:ascii="宋体" w:hAnsi="宋体" w:cs="宋体"/>
                <w:sz w:val="24"/>
                <w:szCs w:val="28"/>
                <w:lang w:val="zh-CN"/>
              </w:rPr>
              <w:t>日至磋商文件递交截止之日）内，</w:t>
            </w:r>
            <w:r>
              <w:rPr>
                <w:rFonts w:hint="eastAsia" w:ascii="宋体" w:hAnsi="宋体" w:cs="宋体"/>
                <w:sz w:val="24"/>
                <w:szCs w:val="28"/>
              </w:rPr>
              <w:t>完成过1个公路工程竣工财务决算审计业绩（以合同签订时间为准）得</w:t>
            </w:r>
            <w:r>
              <w:rPr>
                <w:rFonts w:hint="eastAsia" w:ascii="宋体" w:hAnsi="宋体" w:cs="宋体"/>
                <w:sz w:val="24"/>
                <w:szCs w:val="28"/>
                <w:lang w:val="zh-CN"/>
              </w:rPr>
              <w:t>1</w:t>
            </w:r>
            <w:r>
              <w:rPr>
                <w:rFonts w:hint="eastAsia" w:ascii="宋体" w:hAnsi="宋体" w:cs="宋体"/>
                <w:sz w:val="24"/>
                <w:szCs w:val="28"/>
              </w:rPr>
              <w:t>2</w:t>
            </w:r>
            <w:r>
              <w:rPr>
                <w:rFonts w:hint="eastAsia" w:ascii="宋体" w:hAnsi="宋体" w:cs="宋体"/>
                <w:sz w:val="24"/>
                <w:szCs w:val="28"/>
                <w:lang w:val="zh-CN"/>
              </w:rPr>
              <w:t>分，在此基础上，每增加1个近五年（自2018年</w:t>
            </w:r>
            <w:r>
              <w:rPr>
                <w:rFonts w:hint="eastAsia" w:ascii="宋体" w:hAnsi="宋体" w:cs="宋体"/>
                <w:sz w:val="24"/>
                <w:szCs w:val="28"/>
                <w:lang w:val="en-US" w:eastAsia="zh-CN"/>
              </w:rPr>
              <w:t>11</w:t>
            </w:r>
            <w:r>
              <w:rPr>
                <w:rFonts w:hint="eastAsia" w:ascii="宋体" w:hAnsi="宋体" w:cs="宋体"/>
                <w:sz w:val="24"/>
                <w:szCs w:val="28"/>
                <w:lang w:val="zh-CN"/>
              </w:rPr>
              <w:t>月</w:t>
            </w:r>
            <w:r>
              <w:rPr>
                <w:rFonts w:hint="eastAsia" w:ascii="宋体" w:hAnsi="宋体" w:cs="宋体"/>
                <w:sz w:val="24"/>
                <w:szCs w:val="28"/>
                <w:lang w:val="en-US" w:eastAsia="zh-CN"/>
              </w:rPr>
              <w:t>23</w:t>
            </w:r>
            <w:r>
              <w:rPr>
                <w:rFonts w:hint="eastAsia" w:ascii="宋体" w:hAnsi="宋体" w:cs="宋体"/>
                <w:sz w:val="24"/>
                <w:szCs w:val="28"/>
                <w:lang w:val="zh-CN"/>
              </w:rPr>
              <w:t>日至磋商文件递交截止之日）公路工程竣工财务决算审计业绩（以合同签订时间为准）加</w:t>
            </w:r>
            <w:r>
              <w:rPr>
                <w:rFonts w:hint="eastAsia" w:ascii="宋体" w:hAnsi="宋体" w:cs="宋体"/>
                <w:sz w:val="24"/>
                <w:szCs w:val="28"/>
              </w:rPr>
              <w:t>4</w:t>
            </w:r>
            <w:r>
              <w:rPr>
                <w:rFonts w:hint="eastAsia" w:ascii="宋体" w:hAnsi="宋体" w:cs="宋体"/>
                <w:sz w:val="24"/>
                <w:szCs w:val="28"/>
                <w:lang w:val="zh-CN"/>
              </w:rPr>
              <w:t>分，</w:t>
            </w:r>
            <w:r>
              <w:rPr>
                <w:rFonts w:hint="eastAsia" w:ascii="宋体" w:hAnsi="宋体" w:cs="宋体"/>
                <w:sz w:val="24"/>
                <w:szCs w:val="28"/>
              </w:rPr>
              <w:t>此项最多得8分。</w:t>
            </w:r>
          </w:p>
          <w:p>
            <w:pPr>
              <w:spacing w:line="360" w:lineRule="auto"/>
              <w:rPr>
                <w:rFonts w:ascii="宋体" w:hAnsi="宋体" w:cs="宋体"/>
                <w:sz w:val="24"/>
                <w:szCs w:val="28"/>
              </w:rPr>
            </w:pPr>
            <w:r>
              <w:rPr>
                <w:rFonts w:hint="eastAsia" w:ascii="宋体" w:hAnsi="宋体" w:cs="宋体"/>
                <w:sz w:val="24"/>
                <w:szCs w:val="28"/>
              </w:rPr>
              <w:t>注：（提供中标通知书或者合同协议书或者业主证明材料复印件，且以上证明材料须体现项目负责人担任的职务，并加盖投标单位公章，否则不得分）。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jc w:val="center"/>
        </w:trPr>
        <w:tc>
          <w:tcPr>
            <w:tcW w:w="615" w:type="dxa"/>
            <w:vMerge w:val="restart"/>
            <w:vAlign w:val="center"/>
          </w:tcPr>
          <w:p>
            <w:pPr>
              <w:spacing w:line="360" w:lineRule="auto"/>
              <w:jc w:val="center"/>
              <w:rPr>
                <w:rFonts w:ascii="宋体" w:hAnsi="宋体" w:cs="宋体"/>
                <w:sz w:val="24"/>
              </w:rPr>
            </w:pPr>
            <w:r>
              <w:rPr>
                <w:rFonts w:hint="eastAsia" w:ascii="宋体" w:hAnsi="宋体" w:cs="宋体"/>
                <w:sz w:val="24"/>
              </w:rPr>
              <w:t>4</w:t>
            </w:r>
          </w:p>
        </w:tc>
        <w:tc>
          <w:tcPr>
            <w:tcW w:w="1082" w:type="dxa"/>
            <w:vMerge w:val="restart"/>
            <w:vAlign w:val="center"/>
          </w:tcPr>
          <w:p>
            <w:pPr>
              <w:spacing w:line="360" w:lineRule="auto"/>
              <w:jc w:val="center"/>
              <w:rPr>
                <w:rFonts w:ascii="宋体" w:hAnsi="宋体" w:cs="宋体"/>
                <w:sz w:val="24"/>
              </w:rPr>
            </w:pPr>
            <w:r>
              <w:rPr>
                <w:rFonts w:hint="eastAsia"/>
                <w:sz w:val="24"/>
              </w:rPr>
              <w:t>技术建议书</w:t>
            </w:r>
          </w:p>
        </w:tc>
        <w:tc>
          <w:tcPr>
            <w:tcW w:w="706" w:type="dxa"/>
            <w:vMerge w:val="restart"/>
            <w:vAlign w:val="center"/>
          </w:tcPr>
          <w:p>
            <w:pPr>
              <w:spacing w:line="360" w:lineRule="auto"/>
              <w:jc w:val="center"/>
              <w:rPr>
                <w:rFonts w:ascii="宋体" w:hAnsi="宋体" w:cs="宋体"/>
                <w:sz w:val="24"/>
              </w:rPr>
            </w:pPr>
            <w:r>
              <w:rPr>
                <w:rFonts w:hint="eastAsia"/>
                <w:sz w:val="24"/>
              </w:rPr>
              <w:t>45</w:t>
            </w:r>
            <w:r>
              <w:rPr>
                <w:sz w:val="24"/>
              </w:rPr>
              <w:t>分</w:t>
            </w:r>
          </w:p>
        </w:tc>
        <w:tc>
          <w:tcPr>
            <w:tcW w:w="7235" w:type="dxa"/>
          </w:tcPr>
          <w:p>
            <w:pPr>
              <w:spacing w:line="360" w:lineRule="auto"/>
              <w:rPr>
                <w:rFonts w:ascii="宋体" w:hAnsi="宋体" w:cs="宋体"/>
                <w:sz w:val="24"/>
                <w:szCs w:val="28"/>
              </w:rPr>
            </w:pPr>
            <w:r>
              <w:rPr>
                <w:rFonts w:hint="eastAsia" w:ascii="宋体" w:hAnsi="宋体" w:cs="宋体"/>
                <w:sz w:val="24"/>
                <w:szCs w:val="28"/>
              </w:rPr>
              <w:t>1、对本项目理解及服务方案（20分）</w:t>
            </w:r>
          </w:p>
          <w:p>
            <w:pPr>
              <w:spacing w:line="360" w:lineRule="auto"/>
              <w:rPr>
                <w:rFonts w:ascii="宋体" w:hAnsi="宋体" w:cs="宋体"/>
                <w:sz w:val="24"/>
                <w:szCs w:val="28"/>
              </w:rPr>
            </w:pPr>
            <w:r>
              <w:rPr>
                <w:rFonts w:hint="eastAsia" w:ascii="宋体" w:hAnsi="宋体" w:cs="宋体"/>
                <w:sz w:val="24"/>
                <w:szCs w:val="28"/>
              </w:rPr>
              <w:t>对工程竣工财务决算审计的理解及服务方案内容的全面性、详细程度等进行评审。</w:t>
            </w:r>
          </w:p>
          <w:p>
            <w:pPr>
              <w:spacing w:line="360" w:lineRule="auto"/>
              <w:rPr>
                <w:rFonts w:ascii="宋体" w:hAnsi="宋体" w:cs="宋体"/>
                <w:sz w:val="24"/>
                <w:szCs w:val="28"/>
              </w:rPr>
            </w:pPr>
            <w:r>
              <w:rPr>
                <w:rFonts w:hint="eastAsia" w:ascii="宋体" w:hAnsi="宋体" w:cs="宋体"/>
                <w:sz w:val="24"/>
                <w:szCs w:val="28"/>
              </w:rPr>
              <w:t>供应商理解透彻、方案内容完善、合理、操作性强的得16-20分；理解较透彻、方案内容较完善、合理、操作性较强的得12-16分；理解基本合理、方案内容基本完善、合理、操作性一般的得12分。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2、重点、难点分析及应对措施（10分）</w:t>
            </w:r>
          </w:p>
          <w:p>
            <w:pPr>
              <w:spacing w:line="360" w:lineRule="auto"/>
              <w:rPr>
                <w:rFonts w:ascii="宋体" w:hAnsi="宋体" w:cs="宋体"/>
                <w:sz w:val="24"/>
                <w:szCs w:val="28"/>
              </w:rPr>
            </w:pPr>
            <w:r>
              <w:rPr>
                <w:rFonts w:hint="eastAsia" w:ascii="宋体" w:hAnsi="宋体" w:cs="宋体"/>
                <w:sz w:val="24"/>
                <w:szCs w:val="28"/>
              </w:rPr>
              <w:t>对工程竣工财务决算审计的重点、难点的分析及应对措施阐述的针对性、完善程度、合理情况等进行评审。</w:t>
            </w:r>
          </w:p>
          <w:p>
            <w:pPr>
              <w:spacing w:line="360" w:lineRule="auto"/>
              <w:rPr>
                <w:rFonts w:ascii="宋体" w:hAnsi="宋体" w:cs="宋体"/>
                <w:sz w:val="24"/>
                <w:szCs w:val="28"/>
              </w:rPr>
            </w:pPr>
            <w:r>
              <w:rPr>
                <w:rFonts w:hint="eastAsia" w:ascii="宋体" w:hAnsi="宋体" w:cs="宋体"/>
                <w:sz w:val="24"/>
                <w:szCs w:val="28"/>
              </w:rPr>
              <w:t>供应商分析合理、完善、措施得当的得8-10分；分析较合理、完善、措施较得当的得6-8分；分析基本合理、措施基本得当的得6分。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3、后续服务安排及保证措施（10分）</w:t>
            </w:r>
          </w:p>
          <w:p>
            <w:pPr>
              <w:spacing w:line="360" w:lineRule="auto"/>
              <w:rPr>
                <w:rFonts w:ascii="宋体" w:hAnsi="宋体" w:cs="宋体"/>
                <w:sz w:val="24"/>
                <w:szCs w:val="28"/>
              </w:rPr>
            </w:pPr>
            <w:r>
              <w:rPr>
                <w:rFonts w:hint="eastAsia" w:ascii="宋体" w:hAnsi="宋体" w:cs="宋体"/>
                <w:sz w:val="24"/>
                <w:szCs w:val="28"/>
              </w:rPr>
              <w:t>对工程竣工财务决算审计的后续服务的安排及保证措施阐述的合理性、完善性等进行评审。</w:t>
            </w:r>
          </w:p>
          <w:p>
            <w:pPr>
              <w:spacing w:line="360" w:lineRule="auto"/>
              <w:rPr>
                <w:rFonts w:ascii="宋体" w:hAnsi="宋体" w:cs="宋体"/>
                <w:sz w:val="24"/>
                <w:szCs w:val="28"/>
              </w:rPr>
            </w:pPr>
            <w:r>
              <w:rPr>
                <w:rFonts w:hint="eastAsia" w:ascii="宋体" w:hAnsi="宋体" w:cs="宋体"/>
                <w:sz w:val="24"/>
                <w:szCs w:val="28"/>
              </w:rPr>
              <w:t>供应商安排合理、措施完善的得8-10分；安排比较合理、措施比较完善的得6-8分；安排一般合理、措施不够完善的得6分。不提供不得分。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jc w:val="center"/>
        </w:trPr>
        <w:tc>
          <w:tcPr>
            <w:tcW w:w="615" w:type="dxa"/>
            <w:vMerge w:val="continue"/>
            <w:vAlign w:val="center"/>
          </w:tcPr>
          <w:p>
            <w:pPr>
              <w:spacing w:line="360" w:lineRule="auto"/>
              <w:jc w:val="center"/>
              <w:rPr>
                <w:rFonts w:ascii="宋体" w:hAnsi="宋体" w:cs="宋体"/>
                <w:sz w:val="24"/>
              </w:rPr>
            </w:pPr>
          </w:p>
        </w:tc>
        <w:tc>
          <w:tcPr>
            <w:tcW w:w="1082" w:type="dxa"/>
            <w:vMerge w:val="continue"/>
            <w:vAlign w:val="center"/>
          </w:tcPr>
          <w:p>
            <w:pPr>
              <w:spacing w:line="360" w:lineRule="auto"/>
              <w:jc w:val="center"/>
              <w:rPr>
                <w:rFonts w:ascii="宋体" w:hAnsi="宋体" w:cs="宋体"/>
                <w:sz w:val="24"/>
              </w:rPr>
            </w:pPr>
          </w:p>
        </w:tc>
        <w:tc>
          <w:tcPr>
            <w:tcW w:w="706" w:type="dxa"/>
            <w:vMerge w:val="continue"/>
            <w:vAlign w:val="center"/>
          </w:tcPr>
          <w:p>
            <w:pPr>
              <w:spacing w:line="360" w:lineRule="auto"/>
              <w:jc w:val="center"/>
              <w:rPr>
                <w:rFonts w:ascii="宋体" w:hAnsi="宋体" w:cs="宋体"/>
                <w:sz w:val="24"/>
              </w:rPr>
            </w:pPr>
          </w:p>
        </w:tc>
        <w:tc>
          <w:tcPr>
            <w:tcW w:w="7235" w:type="dxa"/>
          </w:tcPr>
          <w:p>
            <w:pPr>
              <w:spacing w:line="360" w:lineRule="auto"/>
              <w:rPr>
                <w:rFonts w:ascii="宋体" w:hAnsi="宋体" w:cs="宋体"/>
                <w:sz w:val="24"/>
                <w:szCs w:val="28"/>
              </w:rPr>
            </w:pPr>
            <w:r>
              <w:rPr>
                <w:rFonts w:hint="eastAsia" w:ascii="宋体" w:hAnsi="宋体" w:cs="宋体"/>
                <w:sz w:val="24"/>
                <w:szCs w:val="28"/>
              </w:rPr>
              <w:t>4、服务承诺（5分）</w:t>
            </w:r>
          </w:p>
          <w:p>
            <w:pPr>
              <w:spacing w:line="360" w:lineRule="auto"/>
              <w:rPr>
                <w:rFonts w:ascii="宋体" w:hAnsi="宋体" w:cs="宋体"/>
                <w:sz w:val="24"/>
                <w:szCs w:val="28"/>
              </w:rPr>
            </w:pPr>
            <w:r>
              <w:rPr>
                <w:rFonts w:hint="eastAsia" w:ascii="宋体" w:hAnsi="宋体" w:cs="宋体"/>
                <w:sz w:val="24"/>
                <w:szCs w:val="28"/>
              </w:rPr>
              <w:t>对工程竣工财务决算审计的服务承诺进行评审。</w:t>
            </w:r>
          </w:p>
          <w:p>
            <w:pPr>
              <w:spacing w:line="360" w:lineRule="auto"/>
              <w:rPr>
                <w:rFonts w:ascii="宋体" w:hAnsi="宋体" w:cs="宋体"/>
                <w:sz w:val="24"/>
                <w:szCs w:val="28"/>
              </w:rPr>
            </w:pPr>
            <w:r>
              <w:rPr>
                <w:rFonts w:hint="eastAsia" w:ascii="宋体" w:hAnsi="宋体" w:cs="宋体"/>
                <w:sz w:val="24"/>
                <w:szCs w:val="28"/>
              </w:rPr>
              <w:t>服务承诺详细、合理的得4-5分；服务承诺较详细、较合理的得3-4分；服务承诺一般、基本合理的得3分。</w:t>
            </w:r>
          </w:p>
        </w:tc>
      </w:tr>
    </w:tbl>
    <w:p/>
    <w:p>
      <w:pPr>
        <w:widowControl/>
        <w:spacing w:line="600" w:lineRule="exact"/>
        <w:ind w:left="-199" w:leftChars="-95" w:right="-168" w:rightChars="-80" w:firstLine="640" w:firstLineChars="200"/>
        <w:outlineLvl w:val="0"/>
        <w:rPr>
          <w:rFonts w:ascii="黑体" w:hAnsi="黑体" w:eastAsia="黑体" w:cs="黑体"/>
          <w:kern w:val="0"/>
          <w:sz w:val="32"/>
          <w:szCs w:val="32"/>
          <w:lang w:bidi="ar"/>
        </w:rPr>
      </w:pPr>
      <w:r>
        <w:rPr>
          <w:rFonts w:hint="eastAsia" w:ascii="黑体" w:hAnsi="黑体" w:eastAsia="黑体" w:cs="黑体"/>
          <w:kern w:val="0"/>
          <w:sz w:val="32"/>
          <w:szCs w:val="32"/>
          <w:lang w:bidi="ar"/>
        </w:rPr>
        <w:t>五、招标人联系方式</w:t>
      </w:r>
    </w:p>
    <w:p>
      <w:pPr>
        <w:widowControl/>
        <w:kinsoku w:val="0"/>
        <w:autoSpaceDE w:val="0"/>
        <w:autoSpaceDN w:val="0"/>
        <w:adjustRightInd w:val="0"/>
        <w:snapToGrid w:val="0"/>
        <w:spacing w:line="600" w:lineRule="exact"/>
        <w:ind w:right="-382" w:rightChars="-182" w:firstLine="480" w:firstLineChars="200"/>
        <w:textAlignment w:val="baseline"/>
        <w:rPr>
          <w:rFonts w:ascii="宋体" w:hAnsi="宋体" w:eastAsia="宋体" w:cs="宋体"/>
          <w:sz w:val="24"/>
        </w:rPr>
      </w:pPr>
      <w:r>
        <w:rPr>
          <w:rFonts w:hint="eastAsia" w:ascii="宋体" w:hAnsi="宋体" w:eastAsia="宋体" w:cs="宋体"/>
          <w:sz w:val="24"/>
        </w:rPr>
        <w:t>招标人：宁夏公路管理中心银川分中心</w:t>
      </w:r>
      <w:r>
        <w:rPr>
          <w:rFonts w:hint="eastAsia" w:ascii="宋体" w:hAnsi="宋体" w:eastAsia="宋体" w:cs="宋体"/>
          <w:spacing w:val="-11"/>
          <w:sz w:val="24"/>
        </w:rPr>
        <w:t xml:space="preserve">     </w:t>
      </w:r>
      <w:r>
        <w:rPr>
          <w:rFonts w:hint="eastAsia" w:ascii="宋体" w:hAnsi="宋体" w:eastAsia="宋体" w:cs="宋体"/>
          <w:sz w:val="24"/>
        </w:rPr>
        <w:t xml:space="preserve"> </w:t>
      </w:r>
    </w:p>
    <w:p>
      <w:pPr>
        <w:widowControl/>
        <w:kinsoku w:val="0"/>
        <w:autoSpaceDE w:val="0"/>
        <w:autoSpaceDN w:val="0"/>
        <w:adjustRightInd w:val="0"/>
        <w:snapToGrid w:val="0"/>
        <w:spacing w:line="600" w:lineRule="exact"/>
        <w:ind w:right="-1004" w:rightChars="-478" w:firstLine="480" w:firstLineChars="200"/>
        <w:textAlignment w:val="baseline"/>
        <w:rPr>
          <w:rFonts w:ascii="宋体" w:hAnsi="宋体" w:eastAsia="宋体" w:cs="宋体"/>
          <w:snapToGrid w:val="0"/>
          <w:kern w:val="0"/>
          <w:sz w:val="24"/>
        </w:rPr>
      </w:pPr>
      <w:r>
        <w:rPr>
          <w:rFonts w:hint="eastAsia" w:ascii="宋体" w:hAnsi="宋体" w:eastAsia="宋体" w:cs="宋体"/>
          <w:sz w:val="24"/>
        </w:rPr>
        <w:t>地址：银川市兴庆区青银高速公路银川</w:t>
      </w:r>
      <w:r>
        <w:rPr>
          <w:rFonts w:hint="eastAsia" w:ascii="宋体" w:hAnsi="宋体" w:eastAsia="宋体" w:cs="宋体"/>
          <w:snapToGrid w:val="0"/>
          <w:kern w:val="0"/>
          <w:sz w:val="24"/>
        </w:rPr>
        <w:t>东收费站北侧大楼</w:t>
      </w:r>
    </w:p>
    <w:p>
      <w:pPr>
        <w:pStyle w:val="9"/>
        <w:widowControl/>
        <w:kinsoku w:val="0"/>
        <w:autoSpaceDE w:val="0"/>
        <w:autoSpaceDN w:val="0"/>
        <w:adjustRightInd w:val="0"/>
        <w:snapToGrid w:val="0"/>
        <w:spacing w:line="600" w:lineRule="exact"/>
        <w:ind w:firstLine="480"/>
        <w:textAlignment w:val="baseline"/>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联系人：李文渊                         </w:t>
      </w:r>
    </w:p>
    <w:p>
      <w:pPr>
        <w:spacing w:line="6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电话：0951-6153310</w:t>
      </w:r>
    </w:p>
    <w:p/>
    <w:sectPr>
      <w:headerReference r:id="rId3" w:type="default"/>
      <w:footerReference r:id="rId4" w:type="default"/>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DgyZGY4MGQzYTFjZDkxODc2OGVmYTg3ZTNhNjgifQ=="/>
  </w:docVars>
  <w:rsids>
    <w:rsidRoot w:val="646E122D"/>
    <w:rsid w:val="000E1A4D"/>
    <w:rsid w:val="00226652"/>
    <w:rsid w:val="00FB7383"/>
    <w:rsid w:val="03C40F10"/>
    <w:rsid w:val="04E1301F"/>
    <w:rsid w:val="07D061A4"/>
    <w:rsid w:val="16CE661D"/>
    <w:rsid w:val="220E5F73"/>
    <w:rsid w:val="33093FF2"/>
    <w:rsid w:val="33BF3A1F"/>
    <w:rsid w:val="34DA4C04"/>
    <w:rsid w:val="37393473"/>
    <w:rsid w:val="47E90D2E"/>
    <w:rsid w:val="4B876D8A"/>
    <w:rsid w:val="4F2B646D"/>
    <w:rsid w:val="4FDD6317"/>
    <w:rsid w:val="59F33F64"/>
    <w:rsid w:val="5D30382E"/>
    <w:rsid w:val="5D9E1CDF"/>
    <w:rsid w:val="5DC639AC"/>
    <w:rsid w:val="646E122D"/>
    <w:rsid w:val="68E6522A"/>
    <w:rsid w:val="6FBE4E91"/>
    <w:rsid w:val="71B83C0D"/>
    <w:rsid w:val="75647F88"/>
    <w:rsid w:val="763C7922"/>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next w:val="1"/>
    <w:qFormat/>
    <w:uiPriority w:val="0"/>
    <w:pPr>
      <w:widowControl w:val="0"/>
      <w:jc w:val="both"/>
    </w:pPr>
    <w:rPr>
      <w:rFonts w:ascii="Times New Roman" w:hAnsi="Times New Roman" w:eastAsia="宋体" w:cs="Times New Roman"/>
      <w:sz w:val="21"/>
      <w:lang w:val="en-US" w:eastAsia="zh-CN" w:bidi="ar-SA"/>
    </w:rPr>
  </w:style>
  <w:style w:type="paragraph" w:styleId="4">
    <w:name w:val="Normal Indent"/>
    <w:basedOn w:val="1"/>
    <w:qFormat/>
    <w:uiPriority w:val="0"/>
    <w:pPr>
      <w:ind w:firstLine="420"/>
    </w:pPr>
    <w:rPr>
      <w:kern w:val="0"/>
      <w:sz w:val="20"/>
    </w:rPr>
  </w:style>
  <w:style w:type="paragraph" w:styleId="5">
    <w:name w:val="Body Text"/>
    <w:basedOn w:val="1"/>
    <w:next w:val="1"/>
    <w:qFormat/>
    <w:uiPriority w:val="1"/>
    <w:pPr>
      <w:ind w:left="836"/>
    </w:pPr>
    <w:rPr>
      <w:rFonts w:ascii="宋体" w:hAnsi="宋体" w:eastAsia="宋体" w:cs="宋体"/>
      <w:szCs w:val="21"/>
      <w:lang w:val="zh-CN" w:bidi="zh-CN"/>
    </w:rPr>
  </w:style>
  <w:style w:type="paragraph" w:styleId="6">
    <w:name w:val="Body Text Indent"/>
    <w:basedOn w:val="1"/>
    <w:qFormat/>
    <w:uiPriority w:val="0"/>
    <w:pPr>
      <w:ind w:firstLine="648"/>
    </w:pPr>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ind w:firstLine="420" w:firstLineChars="200"/>
    </w:pPr>
  </w:style>
  <w:style w:type="character" w:styleId="12">
    <w:name w:val="Strong"/>
    <w:qFormat/>
    <w:uiPriority w:val="22"/>
    <w:rPr>
      <w:b/>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Times New Roman" w:hAnsi="Times New Roman"/>
    </w:rPr>
  </w:style>
  <w:style w:type="paragraph" w:customStyle="1" w:styleId="15">
    <w:name w:val="首行缩进"/>
    <w:basedOn w:val="1"/>
    <w:qFormat/>
    <w:uiPriority w:val="0"/>
    <w:pPr>
      <w:spacing w:line="360" w:lineRule="auto"/>
      <w:ind w:left="210" w:leftChars="100" w:firstLine="420" w:firstLineChars="20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6255</Words>
  <Characters>1088</Characters>
  <Lines>9</Lines>
  <Paragraphs>14</Paragraphs>
  <TotalTime>1</TotalTime>
  <ScaleCrop>false</ScaleCrop>
  <LinksUpToDate>false</LinksUpToDate>
  <CharactersWithSpaces>7329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刪蒢记憶</cp:lastModifiedBy>
  <cp:lastPrinted>2023-04-28T04:16:00Z</cp:lastPrinted>
  <dcterms:modified xsi:type="dcterms:W3CDTF">2023-11-23T01:39:57Z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4380DE4A9E5B419397AED476C5CABEAF</vt:lpwstr>
  </property>
</Properties>
</file>