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jc w:val="center"/>
        <w:rPr>
          <w:rFonts w:hint="eastAsia" w:ascii="黑体" w:hAnsi="黑体" w:eastAsia="黑体" w:cs="Arial Unicode MS"/>
          <w:color w:val="000000" w:themeColor="text1"/>
          <w:sz w:val="44"/>
          <w:szCs w:val="44"/>
          <w:lang w:eastAsia="zh-CN"/>
          <w14:textFill>
            <w14:solidFill>
              <w14:schemeClr w14:val="tx1"/>
            </w14:solidFill>
          </w14:textFill>
        </w:rPr>
      </w:pPr>
      <w:bookmarkStart w:id="0" w:name="_Hlk129192395"/>
      <w:r>
        <w:rPr>
          <w:rFonts w:hint="eastAsia" w:ascii="黑体" w:hAnsi="黑体" w:eastAsia="黑体" w:cs="Arial Unicode MS"/>
          <w:color w:val="000000" w:themeColor="text1"/>
          <w:sz w:val="44"/>
          <w:szCs w:val="44"/>
          <w:lang w:eastAsia="zh-CN"/>
          <w14:textFill>
            <w14:solidFill>
              <w14:schemeClr w14:val="tx1"/>
            </w14:solidFill>
          </w14:textFill>
        </w:rPr>
        <w:t>宁夏公路管理中心银川分中心S103线K1+300-K17+949（银川南绕城高速-永宁县旺泉村）段计16.649km路面提升及公路安全生命防护提升工程施工监理、业主试验室、交工检测服务项目</w:t>
      </w:r>
    </w:p>
    <w:p>
      <w:pPr>
        <w:pStyle w:val="8"/>
        <w:ind w:left="0" w:leftChars="0" w:firstLine="0" w:firstLineChars="0"/>
        <w:jc w:val="center"/>
        <w:rPr>
          <w:rFonts w:hint="eastAsia" w:eastAsia="黑体"/>
          <w:color w:val="000000" w:themeColor="text1"/>
          <w:sz w:val="40"/>
          <w:szCs w:val="22"/>
          <w:lang w:val="en-US" w:eastAsia="zh-CN"/>
          <w14:textFill>
            <w14:solidFill>
              <w14:schemeClr w14:val="tx1"/>
            </w14:solidFill>
          </w14:textFill>
        </w:rPr>
      </w:pPr>
      <w:r>
        <w:rPr>
          <w:rFonts w:hint="eastAsia" w:eastAsia="黑体"/>
          <w:color w:val="000000" w:themeColor="text1"/>
          <w:sz w:val="40"/>
          <w:szCs w:val="22"/>
          <w:lang w:val="en-US" w:eastAsia="zh-CN"/>
          <w14:textFill>
            <w14:solidFill>
              <w14:schemeClr w14:val="tx1"/>
            </w14:solidFill>
          </w14:textFill>
        </w:rPr>
        <w:t>关键内容</w:t>
      </w:r>
      <w:bookmarkStart w:id="3" w:name="_GoBack"/>
      <w:bookmarkEnd w:id="3"/>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cs="宋体"/>
          <w:b/>
          <w:bCs/>
          <w:color w:val="000000" w:themeColor="text1"/>
          <w:sz w:val="30"/>
          <w:szCs w:val="30"/>
          <w:highlight w:val="none"/>
          <w:lang w:eastAsia="zh-CN"/>
          <w14:textFill>
            <w14:solidFill>
              <w14:schemeClr w14:val="tx1"/>
            </w14:solidFill>
          </w14:textFill>
        </w:rPr>
        <w:t>一、项目</w:t>
      </w:r>
      <w:r>
        <w:rPr>
          <w:rFonts w:hint="eastAsia" w:ascii="宋体" w:hAnsi="宋体" w:eastAsia="宋体" w:cs="宋体"/>
          <w:b/>
          <w:bCs/>
          <w:color w:val="000000" w:themeColor="text1"/>
          <w:sz w:val="30"/>
          <w:szCs w:val="30"/>
          <w:highlight w:val="none"/>
          <w14:textFill>
            <w14:solidFill>
              <w14:schemeClr w14:val="tx1"/>
            </w14:solidFill>
          </w14:textFill>
        </w:rPr>
        <w:t>概况</w:t>
      </w:r>
    </w:p>
    <w:p>
      <w:pPr>
        <w:keepNext w:val="0"/>
        <w:keepLines w:val="0"/>
        <w:pageBreakBefore w:val="0"/>
        <w:widowControl w:val="0"/>
        <w:numPr>
          <w:ilvl w:val="0"/>
          <w:numId w:val="0"/>
        </w:numPr>
        <w:tabs>
          <w:tab w:val="left" w:pos="1197"/>
        </w:tabs>
        <w:kinsoku/>
        <w:wordWrap/>
        <w:overflowPunct/>
        <w:topLinePunct w:val="0"/>
        <w:autoSpaceDE w:val="0"/>
        <w:autoSpaceDN w:val="0"/>
        <w:bidi w:val="0"/>
        <w:adjustRightInd/>
        <w:snapToGrid/>
        <w:spacing w:line="400" w:lineRule="exact"/>
        <w:ind w:right="0" w:firstLine="480" w:firstLineChars="200"/>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宁夏公路管理中心银川分中心S103线K1+300-K17+949（银川南绕城高速-永宁县旺泉村）段计16.649km路面提升及公路安全生命防护提升工程施工监理、业主试验室、交工检测服务项目（以下简称“本项目”）已由宁夏回族自治区交通运输厅以《自治区交通运输厅关于宁夏公路管理中心7项公路安全生命防护提升工程纳入2023年公路养护工程计划的批复》（宁交函〔2023）245号)文件批准建设，施工图设计已由宁夏回族自治区交通运输厅以《自治区交通运输厅关于宁夏公路管理中心S103线银川南绕城高速至永宁县旺泉村段路面提升及公路安全生命防护提升工程施工图设计文件的批复》（宁交函〔2023）320号)批准，建设资金来源为财政资金，招标人为宁夏公路管理中心银川分中心，招标代理为宁夏世翔荣建设工程管理有限公司。项目已具备招标条件，现对该项目的施工监理、业主试验室、交工检测服务进行公开招标。</w:t>
      </w: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rPr>
          <w:rFonts w:hint="eastAsia"/>
          <w:color w:val="000000" w:themeColor="text1"/>
          <w:lang w:val="en-US" w:eastAsia="zh-CN"/>
          <w14:textFill>
            <w14:solidFill>
              <w14:schemeClr w14:val="tx1"/>
            </w14:solidFill>
          </w14:textFill>
        </w:rPr>
      </w:pPr>
    </w:p>
    <w:bookmarkEnd w:id="0"/>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rFonts w:hint="eastAsia" w:ascii="宋体" w:hAnsi="宋体" w:eastAsia="宋体" w:cs="宋体"/>
          <w:b/>
          <w:bCs/>
          <w:color w:val="000000" w:themeColor="text1"/>
          <w:kern w:val="0"/>
          <w:sz w:val="30"/>
          <w:szCs w:val="30"/>
          <w:lang w:val="en-US" w:eastAsia="zh-CN" w:bidi="ar"/>
          <w14:textFill>
            <w14:solidFill>
              <w14:schemeClr w14:val="tx1"/>
            </w14:solidFill>
          </w14:textFill>
        </w:rPr>
        <w:t>二、对投标人的全部资格条件要求</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详见招标公告。</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jc w:val="left"/>
        <w:textAlignment w:val="auto"/>
        <w:rPr>
          <w:color w:val="000000" w:themeColor="text1"/>
          <w14:textFill>
            <w14:solidFill>
              <w14:schemeClr w14:val="tx1"/>
            </w14:solidFill>
          </w14:textFill>
        </w:rPr>
      </w:pPr>
      <w:r>
        <w:rPr>
          <w:rFonts w:hint="eastAsia" w:ascii="宋体" w:hAnsi="宋体" w:eastAsia="宋体" w:cs="宋体"/>
          <w:b/>
          <w:bCs/>
          <w:color w:val="000000" w:themeColor="text1"/>
          <w:kern w:val="0"/>
          <w:sz w:val="30"/>
          <w:szCs w:val="30"/>
          <w:lang w:val="en-US" w:eastAsia="zh-CN" w:bidi="ar"/>
          <w14:textFill>
            <w14:solidFill>
              <w14:schemeClr w14:val="tx1"/>
            </w14:solidFill>
          </w14:textFill>
        </w:rPr>
        <w:t>三、招标人联系方式</w:t>
      </w:r>
    </w:p>
    <w:p>
      <w:pPr>
        <w:pStyle w:val="8"/>
        <w:keepNext w:val="0"/>
        <w:keepLines w:val="0"/>
        <w:pageBreakBefore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招标人：宁夏公路管理中心银川分中心</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址：银川市兴庆区青银高速公路银川东收费站北侧大楼</w:t>
      </w:r>
    </w:p>
    <w:p>
      <w:pPr>
        <w:pStyle w:val="8"/>
        <w:keepNext w:val="0"/>
        <w:keepLines w:val="0"/>
        <w:pageBreakBefore w:val="0"/>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bookmarkStart w:id="1" w:name="EB9044a0055a56427993b0a720754af836"/>
      <w:r>
        <w:rPr>
          <w:rFonts w:hint="eastAsia" w:ascii="宋体" w:hAnsi="宋体" w:eastAsia="宋体" w:cs="宋体"/>
          <w:color w:val="000000" w:themeColor="text1"/>
          <w:sz w:val="24"/>
          <w:szCs w:val="24"/>
          <w:highlight w:val="none"/>
          <w14:textFill>
            <w14:solidFill>
              <w14:schemeClr w14:val="tx1"/>
            </w14:solidFill>
          </w14:textFill>
        </w:rPr>
        <w:t>751300</w:t>
      </w:r>
      <w:bookmarkEnd w:id="1"/>
    </w:p>
    <w:p>
      <w:pPr>
        <w:pStyle w:val="8"/>
        <w:keepNext w:val="0"/>
        <w:keepLines w:val="0"/>
        <w:pageBreakBefore w:val="0"/>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eastAsia="zh-CN"/>
          <w14:textFill>
            <w14:solidFill>
              <w14:schemeClr w14:val="tx1"/>
            </w14:solidFill>
          </w14:textFill>
        </w:rPr>
        <w:t>米</w:t>
      </w:r>
      <w:r>
        <w:rPr>
          <w:rFonts w:hint="eastAsia" w:ascii="宋体" w:hAnsi="宋体" w:eastAsia="宋体" w:cs="宋体"/>
          <w:color w:val="000000" w:themeColor="text1"/>
          <w:sz w:val="24"/>
          <w:szCs w:val="24"/>
          <w:highlight w:val="none"/>
          <w14:textFill>
            <w14:solidFill>
              <w14:schemeClr w14:val="tx1"/>
            </w14:solidFill>
          </w14:textFill>
        </w:rPr>
        <w:t>先生</w:t>
      </w:r>
    </w:p>
    <w:p>
      <w:pPr>
        <w:pStyle w:val="8"/>
        <w:keepNext w:val="0"/>
        <w:keepLines w:val="0"/>
        <w:pageBreakBefore w:val="0"/>
        <w:kinsoku/>
        <w:wordWrap/>
        <w:overflowPunct/>
        <w:topLinePunct w:val="0"/>
        <w:autoSpaceDE w:val="0"/>
        <w:autoSpaceDN w:val="0"/>
        <w:bidi w:val="0"/>
        <w:adjustRightInd/>
        <w:snapToGrid/>
        <w:spacing w:line="360" w:lineRule="auto"/>
        <w:ind w:left="0" w:leftChars="0" w:firstLine="48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lang w:eastAsia="zh-CN"/>
          <w14:textFill>
            <w14:solidFill>
              <w14:schemeClr w14:val="tx1"/>
            </w14:solidFill>
          </w14:textFill>
        </w:rPr>
        <w:t>0951-8597161</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lang w:val="en-US" w:eastAsia="zh-CN" w:bidi="ar"/>
          <w14:textFill>
            <w14:solidFill>
              <w14:schemeClr w14:val="tx1"/>
            </w14:solidFill>
          </w14:textFill>
        </w:rPr>
        <w:t>四、资格审查办法</w:t>
      </w:r>
    </w:p>
    <w:p>
      <w:pPr>
        <w:jc w:val="center"/>
        <w:rPr>
          <w:rFonts w:hint="eastAsia" w:ascii="宋体" w:hAnsi="宋体" w:eastAsia="宋体" w:cs="宋体"/>
          <w:b/>
          <w:bCs/>
          <w:color w:val="000000" w:themeColor="text1"/>
          <w:sz w:val="30"/>
          <w:szCs w:val="30"/>
          <w:highlight w:val="none"/>
          <w:lang w:val="en-US" w:eastAsia="zh-CN" w:bidi="ar-SA"/>
          <w14:textFill>
            <w14:solidFill>
              <w14:schemeClr w14:val="tx1"/>
            </w14:solidFill>
          </w14:textFill>
        </w:rPr>
      </w:pPr>
    </w:p>
    <w:p>
      <w:pPr>
        <w:jc w:val="cente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pPr>
    </w:p>
    <w:p>
      <w:pPr>
        <w:jc w:val="cente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pPr>
    </w:p>
    <w:p>
      <w:pPr>
        <w:jc w:val="cente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pPr>
    </w:p>
    <w:p>
      <w:pPr>
        <w:jc w:val="cente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pPr>
    </w:p>
    <w:p>
      <w:pPr>
        <w:jc w:val="cente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pPr>
    </w:p>
    <w:p>
      <w:pPr>
        <w:jc w:val="cente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pPr>
    </w:p>
    <w:p>
      <w:pPr>
        <w:jc w:val="cente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pPr>
    </w:p>
    <w:p>
      <w:pPr>
        <w:jc w:val="cente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pPr>
    </w:p>
    <w:p>
      <w:pPr>
        <w:jc w:val="cente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pPr>
    </w:p>
    <w:p>
      <w:pPr>
        <w:jc w:val="center"/>
        <w:rPr>
          <w:rFonts w:hint="default" w:ascii="宋体" w:hAnsi="宋体" w:eastAsia="宋体" w:cs="宋体"/>
          <w:b/>
          <w:bCs/>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t>一标段施工监理</w:t>
      </w:r>
    </w:p>
    <w:p>
      <w:pPr>
        <w:pStyle w:val="2"/>
        <w:spacing w:before="3"/>
        <w:rPr>
          <w:rFonts w:asciiTheme="minorEastAsia" w:hAnsiTheme="minorEastAsia" w:eastAsiaTheme="minorEastAsia"/>
          <w:color w:val="auto"/>
          <w:sz w:val="17"/>
          <w:highlight w:val="none"/>
        </w:rPr>
      </w:pPr>
    </w:p>
    <w:p>
      <w:pPr>
        <w:pStyle w:val="15"/>
        <w:spacing w:before="62"/>
        <w:ind w:right="36"/>
        <w:jc w:val="center"/>
        <w:rPr>
          <w:rFonts w:asciiTheme="minorEastAsia" w:hAnsiTheme="minorEastAsia" w:eastAsiaTheme="minorEastAsia"/>
          <w:b/>
          <w:bCs/>
          <w:color w:val="auto"/>
          <w:highlight w:val="none"/>
          <w:vertAlign w:val="baseline"/>
        </w:rPr>
      </w:pPr>
      <w:r>
        <w:rPr>
          <w:rFonts w:hint="eastAsia" w:asciiTheme="minorEastAsia" w:hAnsiTheme="minorEastAsia" w:eastAsiaTheme="minorEastAsia"/>
          <w:b/>
          <w:bCs/>
          <w:color w:val="auto"/>
          <w:spacing w:val="-23"/>
          <w:highlight w:val="none"/>
        </w:rPr>
        <w:t>附录</w:t>
      </w:r>
      <w:r>
        <w:rPr>
          <w:rFonts w:asciiTheme="minorEastAsia" w:hAnsiTheme="minorEastAsia" w:eastAsiaTheme="minorEastAsia"/>
          <w:b/>
          <w:bCs/>
          <w:color w:val="auto"/>
          <w:highlight w:val="none"/>
        </w:rPr>
        <w:t>1</w:t>
      </w:r>
      <w:r>
        <w:rPr>
          <w:rFonts w:hint="eastAsia" w:asciiTheme="minorEastAsia" w:hAnsiTheme="minorEastAsia" w:eastAsiaTheme="minorEastAsia"/>
          <w:b/>
          <w:bCs/>
          <w:color w:val="auto"/>
          <w:highlight w:val="none"/>
          <w:lang w:val="en-US" w:eastAsia="zh-CN"/>
        </w:rPr>
        <w:t xml:space="preserve">  </w:t>
      </w:r>
      <w:r>
        <w:rPr>
          <w:rFonts w:hint="eastAsia" w:asciiTheme="minorEastAsia" w:hAnsiTheme="minorEastAsia" w:eastAsiaTheme="minorEastAsia"/>
          <w:b/>
          <w:bCs/>
          <w:color w:val="auto"/>
          <w:spacing w:val="19"/>
          <w:highlight w:val="none"/>
        </w:rPr>
        <w:t>资格审查条件</w:t>
      </w:r>
      <w:r>
        <w:rPr>
          <w:rFonts w:hint="eastAsia" w:asciiTheme="minorEastAsia" w:hAnsiTheme="minorEastAsia" w:eastAsiaTheme="minorEastAsia"/>
          <w:b/>
          <w:bCs/>
          <w:color w:val="auto"/>
          <w:highlight w:val="none"/>
        </w:rPr>
        <w:t>（资质最低要求）</w:t>
      </w:r>
    </w:p>
    <w:tbl>
      <w:tblPr>
        <w:tblStyle w:val="10"/>
        <w:tblW w:w="990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909" w:type="dxa"/>
            <w:vAlign w:val="center"/>
          </w:tcPr>
          <w:p>
            <w:pPr>
              <w:ind w:left="1222" w:right="805"/>
              <w:jc w:val="center"/>
              <w:rPr>
                <w:rFonts w:asciiTheme="minorEastAsia" w:hAnsiTheme="minorEastAsia" w:eastAsiaTheme="minorEastAsia"/>
                <w:b/>
                <w:bCs/>
                <w:color w:val="auto"/>
                <w:highlight w:val="none"/>
                <w:vertAlign w:val="baseline"/>
              </w:rPr>
            </w:pPr>
            <w:r>
              <w:rPr>
                <w:rFonts w:hint="eastAsia" w:ascii="宋体" w:hAnsi="宋体" w:eastAsia="宋体" w:cs="宋体"/>
                <w:color w:val="auto"/>
                <w:sz w:val="21"/>
                <w:szCs w:val="22"/>
                <w:highlight w:val="none"/>
                <w:lang w:val="en-US" w:eastAsia="zh-CN" w:bidi="ar-SA"/>
              </w:rPr>
              <w:t>监理企业资质等级要求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9909" w:type="dxa"/>
          </w:tcPr>
          <w:p>
            <w:pPr>
              <w:keepNext w:val="0"/>
              <w:keepLines w:val="0"/>
              <w:pageBreakBefore w:val="0"/>
              <w:widowControl w:val="0"/>
              <w:numPr>
                <w:ilvl w:val="0"/>
                <w:numId w:val="0"/>
              </w:numPr>
              <w:tabs>
                <w:tab w:val="left" w:pos="743"/>
              </w:tabs>
              <w:kinsoku/>
              <w:wordWrap/>
              <w:overflowPunct/>
              <w:topLinePunct w:val="0"/>
              <w:autoSpaceDE w:val="0"/>
              <w:autoSpaceDN w:val="0"/>
              <w:bidi w:val="0"/>
              <w:adjustRightInd/>
              <w:snapToGrid/>
              <w:spacing w:line="400" w:lineRule="exact"/>
              <w:ind w:right="0" w:rightChars="0" w:firstLine="420" w:firstLineChars="200"/>
              <w:jc w:val="both"/>
              <w:textAlignment w:val="auto"/>
              <w:rPr>
                <w:rFonts w:hint="eastAsia" w:cs="宋体" w:asciiTheme="minorEastAsia" w:hAnsiTheme="minorEastAsia" w:eastAsiaTheme="minorEastAsia"/>
                <w:color w:val="auto"/>
                <w:sz w:val="21"/>
                <w:highlight w:val="none"/>
                <w:lang w:val="en-US" w:eastAsia="zh-CN"/>
              </w:rPr>
            </w:pPr>
            <w:r>
              <w:rPr>
                <w:rFonts w:hint="eastAsia" w:cs="宋体" w:asciiTheme="minorEastAsia" w:hAnsiTheme="minorEastAsia" w:eastAsiaTheme="minorEastAsia"/>
                <w:color w:val="auto"/>
                <w:sz w:val="21"/>
                <w:highlight w:val="none"/>
                <w:lang w:val="en-US" w:eastAsia="zh-CN"/>
              </w:rPr>
              <w:t>1.投标人具有法人或其他组织资格；持有工商行政管理部门核发的有效企业营业执照或事业单位法人证书或社会团体法人登记证书，具备公路工程乙级及以上监理资质证书且在有效期内，并在人员、设备、资金等方面具有相应的监理能力。</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400" w:lineRule="exact"/>
              <w:ind w:right="0" w:firstLine="420" w:firstLineChars="200"/>
              <w:jc w:val="both"/>
              <w:textAlignment w:val="auto"/>
              <w:rPr>
                <w:rFonts w:asciiTheme="minorEastAsia" w:hAnsiTheme="minorEastAsia" w:eastAsiaTheme="minorEastAsia"/>
                <w:b/>
                <w:bCs/>
                <w:color w:val="auto"/>
                <w:highlight w:val="none"/>
                <w:vertAlign w:val="baseline"/>
              </w:rPr>
            </w:pPr>
            <w:r>
              <w:rPr>
                <w:rFonts w:hint="eastAsia" w:cs="宋体" w:asciiTheme="minorEastAsia" w:hAnsiTheme="minorEastAsia" w:eastAsiaTheme="minorEastAsia"/>
                <w:color w:val="auto"/>
                <w:sz w:val="21"/>
                <w:highlight w:val="none"/>
                <w:lang w:val="en-US" w:eastAsia="zh-CN"/>
              </w:rPr>
              <w:t>2.投标人应进入交通运输部“全国公路建设市场信用信息管理系统”中的公路工程施工监理资质企业名录，且投标人名称和资质与该名录中的相应企业名称和资质完全一致。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3" w:hRule="atLeast"/>
        </w:trPr>
        <w:tc>
          <w:tcPr>
            <w:tcW w:w="9909" w:type="dxa"/>
          </w:tcPr>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修正投标人须知正文3.5.1</w:t>
            </w:r>
            <w:r>
              <w:rPr>
                <w:rFonts w:hint="eastAsia" w:ascii="宋体" w:hAnsi="宋体" w:eastAsia="宋体" w:cs="宋体"/>
                <w:color w:val="auto"/>
                <w:sz w:val="21"/>
                <w:highlight w:val="none"/>
                <w:lang w:eastAsia="zh-CN"/>
              </w:rPr>
              <w:t>项</w:t>
            </w:r>
            <w:r>
              <w:rPr>
                <w:rFonts w:hint="eastAsia" w:ascii="宋体" w:hAnsi="宋体" w:eastAsia="宋体" w:cs="宋体"/>
                <w:color w:val="auto"/>
                <w:sz w:val="21"/>
                <w:highlight w:val="none"/>
              </w:rPr>
              <w:t>为：</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投标人基本情况表”应附营业执照副本或事业单位法人证书或社会团体法人登记证书、监理资质证书副本、基本账户开户银行提供的开户或账户信息证明的彩色扫描件，投标人在交通运输部“全国公路建设市场信用信息管理系统”公路工程施工监理资质企业名录中的网页截图。</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企业营业执照副本或事业单位法人证书或社会团体法人登记证书、监理资质证书副本、基本账户开户银行提供的开户或账户信息证明的彩色扫描件应提供全本（证书封面、封底、空白页除外），应包括投标人名称、投标人其他相关信息、颁发机构名称、投标人信息变更情况等关键页在内。</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211" w:firstLineChars="100"/>
              <w:jc w:val="both"/>
              <w:textAlignment w:val="auto"/>
              <w:rPr>
                <w:rFonts w:asciiTheme="minorEastAsia" w:hAnsiTheme="minorEastAsia" w:eastAsiaTheme="minorEastAsia"/>
                <w:b/>
                <w:bCs/>
                <w:color w:val="auto"/>
                <w:highlight w:val="none"/>
                <w:vertAlign w:val="baseline"/>
              </w:rPr>
            </w:pPr>
            <w:r>
              <w:rPr>
                <w:rFonts w:hint="eastAsia" w:asciiTheme="minorEastAsia" w:hAnsiTheme="minorEastAsia" w:eastAsiaTheme="minorEastAsia"/>
                <w:b/>
                <w:bCs/>
                <w:color w:val="auto"/>
                <w:sz w:val="21"/>
                <w:highlight w:val="none"/>
                <w:lang w:eastAsia="zh-CN"/>
              </w:rPr>
              <w:t>（</w:t>
            </w:r>
            <w:r>
              <w:rPr>
                <w:rFonts w:hint="eastAsia" w:asciiTheme="minorEastAsia" w:hAnsiTheme="minorEastAsia" w:eastAsiaTheme="minorEastAsia"/>
                <w:b/>
                <w:bCs/>
                <w:color w:val="auto"/>
                <w:sz w:val="21"/>
                <w:highlight w:val="none"/>
                <w:lang w:val="en-US" w:eastAsia="zh-CN"/>
              </w:rPr>
              <w:t>4</w:t>
            </w:r>
            <w:r>
              <w:rPr>
                <w:rFonts w:hint="eastAsia" w:asciiTheme="minorEastAsia" w:hAnsiTheme="minorEastAsia" w:eastAsiaTheme="minorEastAsia"/>
                <w:b/>
                <w:bCs/>
                <w:color w:val="auto"/>
                <w:sz w:val="21"/>
                <w:highlight w:val="none"/>
                <w:lang w:eastAsia="zh-CN"/>
              </w:rPr>
              <w:t>）招标文件其他地方与此处不一致时，以此处为准。</w:t>
            </w:r>
          </w:p>
        </w:tc>
      </w:tr>
    </w:tbl>
    <w:p>
      <w:pPr>
        <w:pStyle w:val="15"/>
        <w:spacing w:before="62"/>
        <w:ind w:right="36"/>
        <w:jc w:val="center"/>
        <w:rPr>
          <w:rFonts w:asciiTheme="minorEastAsia" w:hAnsiTheme="minorEastAsia" w:eastAsiaTheme="minorEastAsia"/>
          <w:b/>
          <w:bCs/>
          <w:color w:val="auto"/>
          <w:highlight w:val="none"/>
        </w:rPr>
      </w:pPr>
    </w:p>
    <w:p>
      <w:pPr>
        <w:spacing w:line="269" w:lineRule="exact"/>
        <w:ind w:left="659"/>
        <w:rPr>
          <w:rFonts w:asciiTheme="minorEastAsia" w:hAnsiTheme="minorEastAsia" w:eastAsiaTheme="minorEastAsia"/>
          <w:color w:val="auto"/>
          <w:sz w:val="21"/>
          <w:highlight w:val="none"/>
        </w:rPr>
      </w:pPr>
    </w:p>
    <w:p>
      <w:pPr>
        <w:spacing w:line="269" w:lineRule="exact"/>
        <w:rPr>
          <w:rFonts w:asciiTheme="minorEastAsia" w:hAnsiTheme="minorEastAsia" w:eastAsiaTheme="minorEastAsia"/>
          <w:color w:val="auto"/>
          <w:sz w:val="21"/>
          <w:highlight w:val="none"/>
        </w:rPr>
        <w:sectPr>
          <w:pgSz w:w="11910" w:h="16850"/>
          <w:pgMar w:top="1600" w:right="880" w:bottom="1060" w:left="980" w:header="0" w:footer="792" w:gutter="0"/>
          <w:cols w:space="720" w:num="1"/>
        </w:sectPr>
      </w:pPr>
    </w:p>
    <w:p>
      <w:pPr>
        <w:spacing w:line="321" w:lineRule="exact"/>
        <w:ind w:left="20"/>
        <w:jc w:val="center"/>
        <w:rPr>
          <w:b/>
          <w:bCs/>
          <w:color w:val="auto"/>
          <w:sz w:val="28"/>
          <w:highlight w:val="none"/>
        </w:rPr>
      </w:pPr>
      <w:r>
        <w:rPr>
          <w:b/>
          <w:bCs/>
          <w:color w:val="auto"/>
          <w:spacing w:val="-22"/>
          <w:sz w:val="28"/>
          <w:highlight w:val="none"/>
        </w:rPr>
        <w:t>附录</w:t>
      </w:r>
      <w:r>
        <w:rPr>
          <w:b/>
          <w:bCs/>
          <w:color w:val="auto"/>
          <w:sz w:val="28"/>
          <w:highlight w:val="none"/>
        </w:rPr>
        <w:t>2</w:t>
      </w:r>
      <w:r>
        <w:rPr>
          <w:rFonts w:hint="eastAsia"/>
          <w:b/>
          <w:bCs/>
          <w:color w:val="auto"/>
          <w:sz w:val="28"/>
          <w:highlight w:val="none"/>
          <w:lang w:val="en-US" w:eastAsia="zh-CN"/>
        </w:rPr>
        <w:t xml:space="preserve">  </w:t>
      </w:r>
      <w:r>
        <w:rPr>
          <w:b/>
          <w:bCs/>
          <w:color w:val="auto"/>
          <w:sz w:val="28"/>
          <w:highlight w:val="none"/>
        </w:rPr>
        <w:t>资格审查条件（业绩最低要求）</w:t>
      </w:r>
    </w:p>
    <w:tbl>
      <w:tblPr>
        <w:tblStyle w:val="10"/>
        <w:tblW w:w="990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909" w:type="dxa"/>
            <w:vAlign w:val="center"/>
          </w:tcPr>
          <w:p>
            <w:pPr>
              <w:spacing w:before="70"/>
              <w:ind w:left="1222" w:right="805"/>
              <w:jc w:val="center"/>
              <w:rPr>
                <w:rFonts w:asciiTheme="minorEastAsia" w:hAnsiTheme="minorEastAsia" w:eastAsiaTheme="minorEastAsia"/>
                <w:b/>
                <w:bCs/>
                <w:color w:val="auto"/>
                <w:highlight w:val="none"/>
                <w:vertAlign w:val="baseline"/>
              </w:rPr>
            </w:pPr>
            <w:r>
              <w:rPr>
                <w:rFonts w:hint="eastAsia" w:asciiTheme="minorEastAsia" w:hAnsiTheme="minorEastAsia" w:eastAsiaTheme="minorEastAsia"/>
                <w:color w:val="auto"/>
                <w:spacing w:val="-1"/>
                <w:sz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909" w:type="dxa"/>
            <w:vAlign w:val="center"/>
          </w:tcPr>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center"/>
              <w:textAlignment w:val="auto"/>
              <w:rPr>
                <w:rFonts w:asciiTheme="minorEastAsia" w:hAnsiTheme="minorEastAsia" w:eastAsiaTheme="minorEastAsia"/>
                <w:b/>
                <w:bCs/>
                <w:color w:val="auto"/>
                <w:highlight w:val="none"/>
                <w:vertAlign w:val="baseline"/>
              </w:rPr>
            </w:pPr>
            <w:r>
              <w:rPr>
                <w:rFonts w:hint="eastAsia" w:ascii="宋体" w:hAnsi="宋体" w:eastAsia="宋体" w:cs="宋体"/>
                <w:color w:val="auto"/>
                <w:sz w:val="21"/>
                <w:highlight w:val="none"/>
              </w:rPr>
              <w:t>投标人至少完成过1个一级及以上等级公路工程（新建或改扩建或养护工程）的施工监理业绩。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0" w:hRule="atLeast"/>
        </w:trPr>
        <w:tc>
          <w:tcPr>
            <w:tcW w:w="9909" w:type="dxa"/>
          </w:tcPr>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注：修正投标人须知正文3.5.</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项为</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投标人应按资格审查资料（三）近年完成的类似项目情况表填写所提供的业绩，且提供的每个业绩均应填写，在填写完（三）近年完成的类似项目情况表后按要求附相关证明材料；</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“近年完成的类似项目”应是已列入交通运输主管部门“公路建设市场信用信息管理系统”并公开的业绩，项目状态显示为已交（竣）工，否则不予认可。</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“近年完成的类似项目情况表”后应附在交通运输部“全国公路建设市场信用信息管理系统”</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中查询到的</w:t>
            </w:r>
            <w:r>
              <w:rPr>
                <w:rFonts w:hint="eastAsia" w:cs="宋体"/>
                <w:color w:val="auto"/>
                <w:sz w:val="21"/>
                <w:highlight w:val="none"/>
                <w:lang w:val="en-US" w:eastAsia="zh-CN"/>
              </w:rPr>
              <w:t>项目所在</w:t>
            </w:r>
            <w:r>
              <w:rPr>
                <w:rFonts w:hint="eastAsia" w:ascii="宋体" w:hAnsi="宋体" w:eastAsia="宋体" w:cs="宋体"/>
                <w:color w:val="auto"/>
                <w:sz w:val="21"/>
                <w:highlight w:val="none"/>
              </w:rPr>
              <w:t>“业绩信息”相关项目网页截图。在交通运输部“全国公路建设市场信用信息管理系统”中无法查询的，但可在</w:t>
            </w:r>
            <w:r>
              <w:rPr>
                <w:rFonts w:hint="eastAsia" w:cs="宋体"/>
                <w:color w:val="auto"/>
                <w:sz w:val="21"/>
                <w:highlight w:val="none"/>
                <w:lang w:val="en-US" w:eastAsia="zh-CN"/>
              </w:rPr>
              <w:t>项目所在地</w:t>
            </w:r>
            <w:r>
              <w:rPr>
                <w:rFonts w:hint="eastAsia" w:ascii="宋体" w:hAnsi="宋体" w:eastAsia="宋体" w:cs="宋体"/>
                <w:color w:val="auto"/>
                <w:sz w:val="21"/>
                <w:highlight w:val="none"/>
              </w:rPr>
              <w:t>省级交通运输主管部门“公路建设市场信用信息管理系统”中查询的，应附</w:t>
            </w:r>
            <w:r>
              <w:rPr>
                <w:rFonts w:hint="eastAsia" w:cs="宋体"/>
                <w:color w:val="auto"/>
                <w:sz w:val="21"/>
                <w:highlight w:val="none"/>
                <w:lang w:val="en-US" w:eastAsia="zh-CN"/>
              </w:rPr>
              <w:t>项目所在地</w:t>
            </w:r>
            <w:r>
              <w:rPr>
                <w:rFonts w:hint="eastAsia" w:ascii="宋体" w:hAnsi="宋体" w:eastAsia="宋体" w:cs="宋体"/>
                <w:color w:val="auto"/>
                <w:sz w:val="21"/>
                <w:highlight w:val="none"/>
              </w:rPr>
              <w:t>省级交通运输主管部门“公路建设市场信用信息管理系统”中查询到的网页截图并注明查询路径。除网页截图外，投标人无须再提供任何业绩证明资料。若投标人未提供相关项目网页截图，或相关项目网页截图中的信息无法证实投标人满足招标文件规定的业绩最低要求（如交工时间、规模、公路等级、项目类型、金额等），则该项目业绩不予认定。</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等的投诉，招标人一经查实将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监理招标文件》(2018年版)。</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（5）提供的业绩为分包业绩视为不满足招标的业绩要求，这样的业绩在资格审查中不予认可。</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（6）施工监理业绩时间认定以交工验收日期为准。</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（7）如近年来，投标人法人机构发生合法变更或重组或法人名称变更时，应提供相关部门的合法批件或其他相关证明材料来证明其所附业绩的继承性。</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9" w:firstLineChars="66"/>
              <w:jc w:val="both"/>
              <w:textAlignment w:val="auto"/>
              <w:rPr>
                <w:rFonts w:asciiTheme="minorEastAsia" w:hAnsiTheme="minorEastAsia" w:eastAsiaTheme="minorEastAsia"/>
                <w:b/>
                <w:bCs/>
                <w:color w:val="auto"/>
                <w:highlight w:val="none"/>
                <w:vertAlign w:val="baseline"/>
              </w:rPr>
            </w:pPr>
            <w:r>
              <w:rPr>
                <w:rFonts w:hint="eastAsia" w:ascii="宋体" w:hAnsi="宋体" w:eastAsia="宋体" w:cs="宋体"/>
                <w:b/>
                <w:bCs/>
                <w:color w:val="auto"/>
                <w:sz w:val="21"/>
                <w:highlight w:val="none"/>
                <w:lang w:val="en-US" w:eastAsia="zh-CN"/>
              </w:rPr>
              <w:t>（8）招标文件中其他地方与此处不一致时，以此处为准。</w:t>
            </w:r>
          </w:p>
        </w:tc>
      </w:tr>
    </w:tbl>
    <w:p>
      <w:pPr>
        <w:pStyle w:val="2"/>
        <w:rPr>
          <w:rFonts w:asciiTheme="minorEastAsia" w:hAnsiTheme="minorEastAsia" w:eastAsiaTheme="minorEastAsia"/>
          <w:color w:val="auto"/>
          <w:sz w:val="20"/>
          <w:highlight w:val="none"/>
        </w:rPr>
      </w:pPr>
    </w:p>
    <w:p>
      <w:pPr>
        <w:rPr>
          <w:rFonts w:asciiTheme="minorEastAsia" w:hAnsiTheme="minorEastAsia" w:eastAsiaTheme="minorEastAsia"/>
          <w:color w:val="auto"/>
          <w:sz w:val="15"/>
          <w:highlight w:val="none"/>
        </w:rPr>
        <w:sectPr>
          <w:headerReference r:id="rId3" w:type="default"/>
          <w:footerReference r:id="rId4" w:type="default"/>
          <w:pgSz w:w="11910" w:h="16850"/>
          <w:pgMar w:top="1780" w:right="880" w:bottom="1060" w:left="980" w:header="1502" w:footer="872" w:gutter="0"/>
          <w:cols w:space="720" w:num="1"/>
        </w:sectPr>
      </w:pPr>
    </w:p>
    <w:p>
      <w:pPr>
        <w:spacing w:line="321" w:lineRule="exact"/>
        <w:ind w:left="20"/>
        <w:jc w:val="center"/>
        <w:rPr>
          <w:color w:val="auto"/>
          <w:sz w:val="28"/>
          <w:highlight w:val="none"/>
        </w:rPr>
      </w:pPr>
      <w:r>
        <w:rPr>
          <w:rFonts w:hint="eastAsia"/>
          <w:b/>
          <w:bCs/>
          <w:color w:val="auto"/>
          <w:sz w:val="28"/>
          <w:highlight w:val="none"/>
          <w:lang w:eastAsia="zh-CN"/>
        </w:rPr>
        <w:t>附录</w:t>
      </w:r>
      <w:r>
        <w:rPr>
          <w:rFonts w:hint="eastAsia"/>
          <w:b/>
          <w:bCs/>
          <w:color w:val="auto"/>
          <w:sz w:val="28"/>
          <w:highlight w:val="none"/>
          <w:lang w:val="en-US" w:eastAsia="zh-CN"/>
        </w:rPr>
        <w:t xml:space="preserve">3  </w:t>
      </w:r>
      <w:r>
        <w:rPr>
          <w:b/>
          <w:bCs/>
          <w:color w:val="auto"/>
          <w:sz w:val="28"/>
          <w:highlight w:val="none"/>
        </w:rPr>
        <w:t>资格审查条件（信誉最低要求）</w:t>
      </w:r>
    </w:p>
    <w:p>
      <w:pPr>
        <w:pStyle w:val="2"/>
        <w:rPr>
          <w:rFonts w:asciiTheme="minorEastAsia" w:hAnsiTheme="minorEastAsia" w:eastAsiaTheme="minorEastAsia"/>
          <w:color w:val="auto"/>
          <w:sz w:val="20"/>
          <w:highlight w:val="none"/>
        </w:rPr>
      </w:pPr>
    </w:p>
    <w:tbl>
      <w:tblPr>
        <w:tblStyle w:val="10"/>
        <w:tblW w:w="990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909" w:type="dxa"/>
            <w:vAlign w:val="center"/>
          </w:tcPr>
          <w:p>
            <w:pPr>
              <w:spacing w:before="70"/>
              <w:ind w:left="270" w:right="304"/>
              <w:jc w:val="center"/>
              <w:rPr>
                <w:rFonts w:asciiTheme="minorEastAsia" w:hAnsiTheme="minorEastAsia" w:eastAsiaTheme="minorEastAsia"/>
                <w:b/>
                <w:bCs/>
                <w:color w:val="auto"/>
                <w:highlight w:val="none"/>
                <w:vertAlign w:val="baseline"/>
              </w:rPr>
            </w:pPr>
            <w:r>
              <w:rPr>
                <w:rFonts w:hint="eastAsia" w:asciiTheme="minorEastAsia" w:hAnsiTheme="minorEastAsia" w:eastAsiaTheme="minorEastAsia"/>
                <w:color w:val="auto"/>
                <w:spacing w:val="-1"/>
                <w:sz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9" w:type="dxa"/>
          </w:tcPr>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（1）未被省级及以上交通运输主管部门取消招标项目所在地的投标资格且处于有效期内；</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（2）未被责令停业，暂扣或吊销执照，或吊销资质证书；</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（3）未进入清算程序，或被宣告破产，或其他丧失履约能力的情形；</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（4）在国家企业信用信息公示系统（http://www.gsxt.gov.cn/）中未被列入严重违法失信企业名单；</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（5） 在 “ 信 用 中 国 ” 网 站 （http://www.creditchina.gov.cn） 和 “ 信 用 宁 夏 ” 网 站（http://credit.nx.gov.cn/）中未被列入失信被执行人、企业经营异常名录、重大税收违法案件当事人名单；</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（6）在“中国执行信息公开网”网站未被列入失信被执行人名单</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（7）未以他人名义投标、串通投标的情形且正处于处罚期内；</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（8）投标人及其法定代表人、拟委任的</w:t>
            </w:r>
            <w:r>
              <w:rPr>
                <w:rFonts w:hint="eastAsia" w:asciiTheme="minorEastAsia" w:hAnsiTheme="minorEastAsia" w:eastAsiaTheme="minorEastAsia"/>
                <w:color w:val="auto"/>
                <w:sz w:val="21"/>
                <w:highlight w:val="none"/>
                <w:lang w:val="en-US" w:eastAsia="zh-CN"/>
              </w:rPr>
              <w:t>总监理工程师</w:t>
            </w:r>
            <w:r>
              <w:rPr>
                <w:rFonts w:hint="eastAsia" w:asciiTheme="minorEastAsia" w:hAnsiTheme="minorEastAsia" w:eastAsiaTheme="minorEastAsia"/>
                <w:b/>
                <w:bCs/>
                <w:color w:val="000000" w:themeColor="text1"/>
                <w:sz w:val="21"/>
                <w:highlight w:val="none"/>
                <w14:textFill>
                  <w14:solidFill>
                    <w14:schemeClr w14:val="tx1"/>
                  </w14:solidFill>
                </w14:textFill>
              </w:rPr>
              <w:t>2020年</w:t>
            </w:r>
            <w:r>
              <w:rPr>
                <w:rFonts w:hint="eastAsia" w:asciiTheme="minorEastAsia" w:hAnsiTheme="minorEastAsia" w:eastAsiaTheme="minorEastAsia"/>
                <w:b/>
                <w:bCs/>
                <w:color w:val="000000" w:themeColor="text1"/>
                <w:sz w:val="21"/>
                <w:highlight w:val="none"/>
                <w:lang w:val="en-US" w:eastAsia="zh-CN"/>
                <w14:textFill>
                  <w14:solidFill>
                    <w14:schemeClr w14:val="tx1"/>
                  </w14:solidFill>
                </w14:textFill>
              </w:rPr>
              <w:t>11</w:t>
            </w:r>
            <w:r>
              <w:rPr>
                <w:rFonts w:hint="eastAsia" w:asciiTheme="minorEastAsia" w:hAnsiTheme="minorEastAsia" w:eastAsiaTheme="minorEastAsia"/>
                <w:b/>
                <w:bCs/>
                <w:color w:val="000000" w:themeColor="text1"/>
                <w:sz w:val="21"/>
                <w:highlight w:val="none"/>
                <w14:textFill>
                  <w14:solidFill>
                    <w14:schemeClr w14:val="tx1"/>
                  </w14:solidFill>
                </w14:textFill>
              </w:rPr>
              <w:t>月</w:t>
            </w:r>
            <w:r>
              <w:rPr>
                <w:rFonts w:hint="eastAsia" w:asciiTheme="minorEastAsia" w:hAnsiTheme="minorEastAsia" w:eastAsiaTheme="minorEastAsia"/>
                <w:b/>
                <w:bCs/>
                <w:color w:val="000000" w:themeColor="text1"/>
                <w:sz w:val="21"/>
                <w:highlight w:val="none"/>
                <w:lang w:val="en-US" w:eastAsia="zh-CN"/>
                <w14:textFill>
                  <w14:solidFill>
                    <w14:schemeClr w14:val="tx1"/>
                  </w14:solidFill>
                </w14:textFill>
              </w:rPr>
              <w:t>22</w:t>
            </w:r>
            <w:r>
              <w:rPr>
                <w:rFonts w:hint="eastAsia" w:asciiTheme="minorEastAsia" w:hAnsiTheme="minorEastAsia" w:eastAsiaTheme="minorEastAsia"/>
                <w:b/>
                <w:bCs/>
                <w:color w:val="000000" w:themeColor="text1"/>
                <w:sz w:val="21"/>
                <w:highlight w:val="none"/>
                <w14:textFill>
                  <w14:solidFill>
                    <w14:schemeClr w14:val="tx1"/>
                  </w14:solidFill>
                </w14:textFill>
              </w:rPr>
              <w:t>日</w:t>
            </w:r>
            <w:r>
              <w:rPr>
                <w:rFonts w:hint="eastAsia" w:asciiTheme="minorEastAsia" w:hAnsiTheme="minorEastAsia" w:eastAsiaTheme="minorEastAsia"/>
                <w:color w:val="auto"/>
                <w:sz w:val="21"/>
                <w:highlight w:val="none"/>
              </w:rPr>
              <w:t>以来没有行贿犯罪行为的承诺函；</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asciiTheme="minorEastAsia" w:hAnsiTheme="minorEastAsia" w:eastAsiaTheme="minorEastAsia"/>
                <w:b/>
                <w:bCs/>
                <w:color w:val="auto"/>
                <w:highlight w:val="none"/>
                <w:vertAlign w:val="baseline"/>
              </w:rPr>
            </w:pPr>
            <w:r>
              <w:rPr>
                <w:rFonts w:hint="eastAsia" w:asciiTheme="minorEastAsia" w:hAnsiTheme="minorEastAsia" w:eastAsiaTheme="minorEastAsia"/>
                <w:color w:val="auto"/>
                <w:sz w:val="21"/>
                <w:highlight w:val="none"/>
              </w:rPr>
              <w:t>（9）法律法规或投标人须知前附表规定的其他情形。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9" w:type="dxa"/>
          </w:tcPr>
          <w:p>
            <w:pPr>
              <w:pStyle w:val="12"/>
              <w:tabs>
                <w:tab w:val="left" w:pos="743"/>
              </w:tabs>
              <w:spacing w:line="364" w:lineRule="auto"/>
              <w:ind w:left="295" w:leftChars="134" w:right="88" w:firstLine="138" w:firstLineChars="66"/>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注：</w:t>
            </w:r>
          </w:p>
          <w:p>
            <w:pPr>
              <w:pStyle w:val="12"/>
              <w:tabs>
                <w:tab w:val="left" w:pos="743"/>
              </w:tabs>
              <w:spacing w:line="364" w:lineRule="auto"/>
              <w:ind w:right="88" w:firstLine="420" w:firstLineChars="20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1.以上信誉要求为合并投标人须知正文第1.4.4项及第3.5.3 项的内容，投标人提供“投标人信誉情况表”时，按照以上内容及投标文件要求进行提供证明资料.</w:t>
            </w:r>
          </w:p>
          <w:p>
            <w:pPr>
              <w:pStyle w:val="12"/>
              <w:tabs>
                <w:tab w:val="left" w:pos="743"/>
              </w:tabs>
              <w:spacing w:line="364" w:lineRule="auto"/>
              <w:ind w:left="295" w:leftChars="134" w:right="88" w:firstLine="139" w:firstLineChars="66"/>
              <w:jc w:val="both"/>
              <w:rPr>
                <w:rFonts w:asciiTheme="minorEastAsia" w:hAnsiTheme="minorEastAsia" w:eastAsiaTheme="minorEastAsia"/>
                <w:b/>
                <w:bCs/>
                <w:color w:val="auto"/>
                <w:highlight w:val="none"/>
                <w:vertAlign w:val="baseline"/>
              </w:rPr>
            </w:pPr>
            <w:r>
              <w:rPr>
                <w:rFonts w:hint="eastAsia" w:ascii="宋体" w:hAnsi="宋体" w:eastAsia="宋体" w:cs="宋体"/>
                <w:b/>
                <w:bCs/>
                <w:color w:val="auto"/>
                <w:sz w:val="21"/>
                <w:highlight w:val="none"/>
              </w:rPr>
              <w:t>招标文件中其他地方与此处不一致时，以此处为准</w:t>
            </w:r>
            <w:r>
              <w:rPr>
                <w:rFonts w:hint="eastAsia" w:asciiTheme="minorEastAsia" w:hAnsiTheme="minorEastAsia" w:eastAsiaTheme="minorEastAsia"/>
                <w:b/>
                <w:bCs/>
                <w:color w:val="auto"/>
                <w:sz w:val="21"/>
                <w:highlight w:val="none"/>
              </w:rPr>
              <w:t>。</w:t>
            </w:r>
          </w:p>
        </w:tc>
      </w:tr>
    </w:tbl>
    <w:p>
      <w:pPr>
        <w:pStyle w:val="2"/>
        <w:rPr>
          <w:rFonts w:asciiTheme="minorEastAsia" w:hAnsiTheme="minorEastAsia" w:eastAsiaTheme="minorEastAsia"/>
          <w:color w:val="auto"/>
          <w:sz w:val="28"/>
          <w:highlight w:val="none"/>
        </w:rPr>
      </w:pPr>
    </w:p>
    <w:p>
      <w:pPr>
        <w:rPr>
          <w:rFonts w:asciiTheme="minorEastAsia" w:hAnsiTheme="minorEastAsia" w:eastAsiaTheme="minorEastAsia"/>
          <w:color w:val="auto"/>
          <w:sz w:val="28"/>
          <w:highlight w:val="none"/>
        </w:rPr>
        <w:sectPr>
          <w:headerReference r:id="rId5" w:type="default"/>
          <w:footerReference r:id="rId6" w:type="default"/>
          <w:pgSz w:w="11910" w:h="16850"/>
          <w:pgMar w:top="1900" w:right="880" w:bottom="1060" w:left="980" w:header="1632" w:footer="872" w:gutter="0"/>
          <w:cols w:space="720" w:num="1"/>
        </w:sectPr>
      </w:pPr>
    </w:p>
    <w:p>
      <w:pPr>
        <w:pStyle w:val="2"/>
        <w:spacing w:before="2" w:after="1"/>
        <w:jc w:val="center"/>
        <w:rPr>
          <w:rFonts w:asciiTheme="minorEastAsia" w:hAnsiTheme="minorEastAsia" w:eastAsiaTheme="minorEastAsia"/>
          <w:color w:val="auto"/>
          <w:sz w:val="29"/>
          <w:highlight w:val="none"/>
        </w:rPr>
      </w:pPr>
      <w:r>
        <w:rPr>
          <w:rFonts w:hint="eastAsia" w:asciiTheme="minorEastAsia" w:hAnsiTheme="minorEastAsia" w:eastAsiaTheme="minorEastAsia"/>
          <w:b/>
          <w:bCs/>
          <w:color w:val="auto"/>
          <w:sz w:val="29"/>
          <w:highlight w:val="none"/>
          <w:lang w:eastAsia="zh-CN"/>
        </w:rPr>
        <w:t>附录</w:t>
      </w:r>
      <w:r>
        <w:rPr>
          <w:rFonts w:hint="eastAsia" w:asciiTheme="minorEastAsia" w:hAnsiTheme="minorEastAsia" w:eastAsiaTheme="minorEastAsia"/>
          <w:b/>
          <w:bCs/>
          <w:color w:val="auto"/>
          <w:sz w:val="29"/>
          <w:highlight w:val="none"/>
          <w:lang w:val="en-US" w:eastAsia="zh-CN"/>
        </w:rPr>
        <w:t xml:space="preserve">4  </w:t>
      </w:r>
      <w:r>
        <w:rPr>
          <w:rFonts w:hint="eastAsia" w:asciiTheme="minorEastAsia" w:hAnsiTheme="minorEastAsia" w:eastAsiaTheme="minorEastAsia"/>
          <w:b/>
          <w:bCs/>
          <w:color w:val="auto"/>
          <w:sz w:val="29"/>
          <w:highlight w:val="none"/>
        </w:rPr>
        <w:t>资格审查条件（总监理工程师或驻地监理工程师最低要求）</w:t>
      </w:r>
    </w:p>
    <w:tbl>
      <w:tblPr>
        <w:tblStyle w:val="14"/>
        <w:tblW w:w="95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9"/>
        <w:gridCol w:w="774"/>
        <w:gridCol w:w="6591"/>
        <w:gridCol w:w="1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969" w:type="dxa"/>
          </w:tcPr>
          <w:p>
            <w:pPr>
              <w:pStyle w:val="12"/>
              <w:spacing w:before="12"/>
              <w:rPr>
                <w:rFonts w:asciiTheme="minorEastAsia" w:hAnsiTheme="minorEastAsia" w:eastAsiaTheme="minorEastAsia"/>
                <w:color w:val="auto"/>
                <w:sz w:val="20"/>
                <w:highlight w:val="none"/>
              </w:rPr>
            </w:pPr>
          </w:p>
          <w:p>
            <w:pPr>
              <w:pStyle w:val="12"/>
              <w:ind w:left="179"/>
              <w:rPr>
                <w:rFonts w:asciiTheme="minorEastAsia" w:hAnsiTheme="minorEastAsia" w:eastAsiaTheme="minorEastAsia"/>
                <w:color w:val="auto"/>
                <w:sz w:val="21"/>
                <w:highlight w:val="none"/>
              </w:rPr>
            </w:pPr>
            <w:r>
              <w:rPr>
                <w:rFonts w:hint="eastAsia" w:asciiTheme="minorEastAsia" w:hAnsiTheme="minorEastAsia" w:eastAsiaTheme="minorEastAsia"/>
                <w:color w:val="auto"/>
                <w:spacing w:val="35"/>
                <w:sz w:val="21"/>
                <w:highlight w:val="none"/>
              </w:rPr>
              <w:t>人员</w:t>
            </w:r>
          </w:p>
        </w:tc>
        <w:tc>
          <w:tcPr>
            <w:tcW w:w="774" w:type="dxa"/>
          </w:tcPr>
          <w:p>
            <w:pPr>
              <w:pStyle w:val="12"/>
              <w:spacing w:before="12"/>
              <w:rPr>
                <w:rFonts w:asciiTheme="minorEastAsia" w:hAnsiTheme="minorEastAsia" w:eastAsiaTheme="minorEastAsia"/>
                <w:color w:val="auto"/>
                <w:sz w:val="20"/>
                <w:highlight w:val="none"/>
              </w:rPr>
            </w:pPr>
          </w:p>
          <w:p>
            <w:pPr>
              <w:pStyle w:val="12"/>
              <w:ind w:right="218"/>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val="en-US" w:eastAsia="zh-CN"/>
              </w:rPr>
              <w:t xml:space="preserve"> </w:t>
            </w:r>
            <w:r>
              <w:rPr>
                <w:rFonts w:hint="eastAsia" w:asciiTheme="minorEastAsia" w:hAnsiTheme="minorEastAsia" w:eastAsiaTheme="minorEastAsia"/>
                <w:color w:val="auto"/>
                <w:sz w:val="21"/>
                <w:highlight w:val="none"/>
              </w:rPr>
              <w:t>数量</w:t>
            </w:r>
          </w:p>
        </w:tc>
        <w:tc>
          <w:tcPr>
            <w:tcW w:w="6591" w:type="dxa"/>
          </w:tcPr>
          <w:p>
            <w:pPr>
              <w:pStyle w:val="12"/>
              <w:spacing w:before="12"/>
              <w:rPr>
                <w:rFonts w:asciiTheme="minorEastAsia" w:hAnsiTheme="minorEastAsia" w:eastAsiaTheme="minorEastAsia"/>
                <w:color w:val="auto"/>
                <w:sz w:val="20"/>
                <w:highlight w:val="none"/>
              </w:rPr>
            </w:pPr>
          </w:p>
          <w:p>
            <w:pPr>
              <w:pStyle w:val="12"/>
              <w:ind w:left="2467" w:right="2458"/>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pacing w:val="-1"/>
                <w:sz w:val="21"/>
                <w:highlight w:val="none"/>
              </w:rPr>
              <w:t>资格要求</w:t>
            </w:r>
          </w:p>
        </w:tc>
        <w:tc>
          <w:tcPr>
            <w:tcW w:w="1201" w:type="dxa"/>
            <w:vAlign w:val="top"/>
          </w:tcPr>
          <w:p>
            <w:pPr>
              <w:pStyle w:val="12"/>
              <w:keepNext w:val="0"/>
              <w:keepLines w:val="0"/>
              <w:pageBreakBefore w:val="0"/>
              <w:widowControl w:val="0"/>
              <w:kinsoku/>
              <w:wordWrap/>
              <w:overflowPunct/>
              <w:topLinePunct w:val="0"/>
              <w:autoSpaceDE w:val="0"/>
              <w:autoSpaceDN w:val="0"/>
              <w:bidi w:val="0"/>
              <w:adjustRightInd/>
              <w:snapToGrid/>
              <w:ind w:left="0" w:right="0"/>
              <w:textAlignment w:val="auto"/>
              <w:rPr>
                <w:rFonts w:asciiTheme="minorEastAsia" w:hAnsiTheme="minorEastAsia" w:eastAsiaTheme="minorEastAsia"/>
                <w:color w:val="auto"/>
                <w:sz w:val="20"/>
                <w:highlight w:val="none"/>
              </w:rPr>
            </w:pPr>
          </w:p>
          <w:p>
            <w:pPr>
              <w:pStyle w:val="1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在岗要求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69" w:type="dxa"/>
            <w:vAlign w:val="center"/>
          </w:tcPr>
          <w:p>
            <w:pPr>
              <w:pStyle w:val="12"/>
              <w:tabs>
                <w:tab w:val="left" w:pos="743"/>
              </w:tabs>
              <w:spacing w:line="364" w:lineRule="auto"/>
              <w:ind w:right="8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总监理工程师</w:t>
            </w:r>
          </w:p>
        </w:tc>
        <w:tc>
          <w:tcPr>
            <w:tcW w:w="774" w:type="dxa"/>
            <w:vAlign w:val="center"/>
          </w:tcPr>
          <w:p>
            <w:pPr>
              <w:pStyle w:val="12"/>
              <w:tabs>
                <w:tab w:val="left" w:pos="743"/>
              </w:tabs>
              <w:spacing w:line="364" w:lineRule="auto"/>
              <w:ind w:right="8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p>
        </w:tc>
        <w:tc>
          <w:tcPr>
            <w:tcW w:w="6591" w:type="dxa"/>
          </w:tcPr>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4" w:lineRule="auto"/>
              <w:ind w:left="0" w:leftChars="0" w:right="0" w:firstLine="420" w:firstLineChars="200"/>
              <w:textAlignment w:val="auto"/>
              <w:rPr>
                <w:rFonts w:hint="eastAsia" w:ascii="宋体" w:hAnsi="宋体" w:eastAsia="宋体" w:cs="宋体"/>
                <w:color w:val="auto"/>
                <w:sz w:val="21"/>
                <w:highlight w:val="none"/>
              </w:rPr>
            </w:pPr>
            <w:r>
              <w:rPr>
                <w:rFonts w:hint="eastAsia" w:cs="宋体" w:asciiTheme="minorEastAsia" w:hAnsiTheme="minorEastAsia" w:eastAsiaTheme="minorEastAsia"/>
                <w:color w:val="auto"/>
                <w:sz w:val="21"/>
                <w:szCs w:val="22"/>
                <w:highlight w:val="none"/>
                <w:lang w:val="en-US" w:eastAsia="zh-CN" w:bidi="ar-SA"/>
              </w:rPr>
              <w:t>具有公路工程相关专业中级及以上技术职称，并持有交通运输部颁发的监理工程师证书或道路与桥梁专业监理工程师证书（持有其他专业监理工程师证书的不予认可）或人社部颁发的交通运输工程监理工程师证书；至少担任过1个一级及以上等级公路工程（新建或改扩建或养护工程）施工监理的总监理工程师（或驻地监理工程师）职务；或至少担任过2个一级及以上等级公路工程（新建或改扩建或养护工程）施工监理的副总监理工程师（或总监代表）职务，目前未在其他项目上任职，或虽在其他项目上任职但本项目中标后能够从该项目撤离。</w:t>
            </w:r>
          </w:p>
        </w:tc>
        <w:tc>
          <w:tcPr>
            <w:tcW w:w="1201"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280" w:lineRule="auto"/>
              <w:ind w:left="0" w:right="0"/>
              <w:jc w:val="both"/>
              <w:textAlignment w:val="auto"/>
              <w:rPr>
                <w:rFonts w:asciiTheme="minorEastAsia" w:hAnsiTheme="minorEastAsia" w:eastAsiaTheme="minorEastAsia"/>
                <w:color w:val="auto"/>
                <w:sz w:val="21"/>
                <w:highlight w:val="none"/>
              </w:rPr>
            </w:pPr>
            <w:r>
              <w:rPr>
                <w:rFonts w:hint="eastAsia" w:asciiTheme="minorEastAsia" w:hAnsiTheme="minorEastAsia" w:eastAsiaTheme="minorEastAsia"/>
                <w:color w:val="auto"/>
                <w:spacing w:val="-12"/>
                <w:sz w:val="21"/>
                <w:highlight w:val="none"/>
              </w:rPr>
              <w:t>无在岗</w:t>
            </w:r>
            <w:r>
              <w:rPr>
                <w:rFonts w:hint="eastAsia" w:asciiTheme="minorEastAsia" w:hAnsiTheme="minorEastAsia" w:eastAsiaTheme="minorEastAsia"/>
                <w:color w:val="auto"/>
                <w:sz w:val="21"/>
                <w:highlight w:val="none"/>
              </w:rPr>
              <w:t>项目（指目前未在其他项目上任职，或虽在其他项目</w:t>
            </w:r>
            <w:r>
              <w:rPr>
                <w:rFonts w:hint="eastAsia" w:asciiTheme="minorEastAsia" w:hAnsiTheme="minorEastAsia" w:eastAsiaTheme="minorEastAsia"/>
                <w:color w:val="auto"/>
                <w:spacing w:val="3"/>
                <w:sz w:val="21"/>
                <w:highlight w:val="none"/>
              </w:rPr>
              <w:t>上任职但本项目中标后能够</w:t>
            </w:r>
            <w:r>
              <w:rPr>
                <w:rFonts w:hint="eastAsia" w:asciiTheme="minorEastAsia" w:hAnsiTheme="minorEastAsia" w:eastAsiaTheme="minorEastAsia"/>
                <w:color w:val="auto"/>
                <w:sz w:val="21"/>
                <w:highlight w:val="none"/>
              </w:rPr>
              <w:t>从该项目撤离）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0" w:hRule="atLeast"/>
          <w:jc w:val="center"/>
        </w:trPr>
        <w:tc>
          <w:tcPr>
            <w:tcW w:w="9535" w:type="dxa"/>
            <w:gridSpan w:val="4"/>
            <w:vAlign w:val="center"/>
          </w:tcPr>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5" w:lineRule="auto"/>
              <w:ind w:left="0" w:leftChars="0" w:right="0" w:firstLine="138" w:firstLineChars="66"/>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备注：修改补充投标人须知正文第 3.5.4 项：</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5" w:lineRule="auto"/>
              <w:ind w:right="0"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应按投标文件格式资格审查资料（五）拟委任的总监理工程师资历表的格式要求填写总监理工程师的资历。</w:t>
            </w:r>
          </w:p>
          <w:p>
            <w:pPr>
              <w:pStyle w:val="12"/>
              <w:keepNext w:val="0"/>
              <w:keepLines w:val="0"/>
              <w:pageBreakBefore w:val="0"/>
              <w:widowControl w:val="0"/>
              <w:numPr>
                <w:ilvl w:val="0"/>
                <w:numId w:val="0"/>
              </w:numPr>
              <w:tabs>
                <w:tab w:val="left" w:pos="743"/>
              </w:tabs>
              <w:kinsoku/>
              <w:wordWrap/>
              <w:overflowPunct/>
              <w:topLinePunct w:val="0"/>
              <w:autoSpaceDE w:val="0"/>
              <w:autoSpaceDN w:val="0"/>
              <w:bidi w:val="0"/>
              <w:adjustRightInd/>
              <w:snapToGrid/>
              <w:spacing w:line="365" w:lineRule="auto"/>
              <w:ind w:right="0" w:rightChars="0"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公路工程相关专业职称包括：公路工程、桥梁工程、公路与桥梁工程、交通土建工程、隧道（地下结构）工程、交通工程等专业职称。</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5" w:lineRule="auto"/>
              <w:ind w:right="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“拟委任的总监理工程师资历表”后应附总监理工程师的身份证、职称资格证书以及公路工程监理工程师证书彩色扫描件，以及投标人所属社保机构出具的</w:t>
            </w:r>
            <w:r>
              <w:rPr>
                <w:rFonts w:hint="eastAsia" w:ascii="宋体" w:hAnsi="宋体" w:eastAsia="宋体" w:cs="宋体"/>
                <w:b/>
                <w:bCs/>
                <w:color w:val="000000" w:themeColor="text1"/>
                <w:sz w:val="21"/>
                <w:highlight w:val="none"/>
                <w14:textFill>
                  <w14:solidFill>
                    <w14:schemeClr w14:val="tx1"/>
                  </w14:solidFill>
                </w14:textFill>
              </w:rPr>
              <w:t>202</w:t>
            </w:r>
            <w:r>
              <w:rPr>
                <w:rFonts w:hint="eastAsia" w:cs="宋体"/>
                <w:b/>
                <w:bCs/>
                <w:color w:val="000000" w:themeColor="text1"/>
                <w:sz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highlight w:val="none"/>
                <w14:textFill>
                  <w14:solidFill>
                    <w14:schemeClr w14:val="tx1"/>
                  </w14:solidFill>
                </w14:textFill>
              </w:rPr>
              <w:t>年</w:t>
            </w:r>
            <w:r>
              <w:rPr>
                <w:rFonts w:hint="eastAsia" w:cs="宋体"/>
                <w:b/>
                <w:bCs/>
                <w:color w:val="000000" w:themeColor="text1"/>
                <w:sz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highlight w:val="none"/>
                <w14:textFill>
                  <w14:solidFill>
                    <w14:schemeClr w14:val="tx1"/>
                  </w14:solidFill>
                </w14:textFill>
              </w:rPr>
              <w:t>月</w:t>
            </w:r>
            <w:r>
              <w:rPr>
                <w:rFonts w:hint="eastAsia" w:ascii="宋体" w:hAnsi="宋体" w:eastAsia="宋体" w:cs="宋体"/>
                <w:color w:val="000000" w:themeColor="text1"/>
                <w:sz w:val="21"/>
                <w:highlight w:val="none"/>
                <w14:textFill>
                  <w14:solidFill>
                    <w14:schemeClr w14:val="tx1"/>
                  </w14:solidFill>
                </w14:textFill>
              </w:rPr>
              <w:t>以来连续某3个月</w:t>
            </w:r>
            <w:r>
              <w:rPr>
                <w:rFonts w:hint="eastAsia" w:ascii="宋体" w:hAnsi="宋体" w:eastAsia="宋体" w:cs="宋体"/>
                <w:color w:val="auto"/>
                <w:sz w:val="21"/>
                <w:highlight w:val="none"/>
              </w:rPr>
              <w:t>社保缴费证明或其他能够证明参加社保的有效证明材料的彩色扫描件</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否则资格审查不予通过</w:t>
            </w:r>
            <w:r>
              <w:rPr>
                <w:rFonts w:hint="eastAsia" w:ascii="宋体" w:hAnsi="宋体" w:eastAsia="宋体" w:cs="宋体"/>
                <w:color w:val="auto"/>
                <w:sz w:val="21"/>
                <w:highlight w:val="none"/>
                <w:lang w:eastAsia="zh-CN"/>
              </w:rPr>
              <w:t>。</w:t>
            </w:r>
          </w:p>
          <w:p>
            <w:pPr>
              <w:pStyle w:val="12"/>
              <w:keepNext w:val="0"/>
              <w:keepLines w:val="0"/>
              <w:pageBreakBefore w:val="0"/>
              <w:widowControl w:val="0"/>
              <w:tabs>
                <w:tab w:val="left" w:pos="743"/>
              </w:tabs>
              <w:kinsoku/>
              <w:wordWrap/>
              <w:overflowPunct/>
              <w:topLinePunct w:val="0"/>
              <w:autoSpaceDE w:val="0"/>
              <w:autoSpaceDN w:val="0"/>
              <w:bidi w:val="0"/>
              <w:adjustRightInd w:val="0"/>
              <w:snapToGrid w:val="0"/>
              <w:spacing w:line="365" w:lineRule="auto"/>
              <w:ind w:right="0"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拟委任的总监理工程师资历表”还应附交通运输部“全国公路建设市场信用信息管理系统”中载明的、能够证明总监理工程师具有相关业绩的网页截图。在交通运输部“全国公路建设市场信用信息管理系统”中无法查询，但可在</w:t>
            </w:r>
            <w:r>
              <w:rPr>
                <w:rFonts w:hint="eastAsia" w:cs="宋体"/>
                <w:color w:val="auto"/>
                <w:sz w:val="21"/>
                <w:highlight w:val="none"/>
                <w:lang w:val="en-US" w:eastAsia="zh-CN"/>
              </w:rPr>
              <w:t>项目所在地</w:t>
            </w:r>
            <w:r>
              <w:rPr>
                <w:rFonts w:hint="eastAsia" w:ascii="宋体" w:hAnsi="宋体" w:eastAsia="宋体" w:cs="宋体"/>
                <w:color w:val="auto"/>
                <w:sz w:val="21"/>
                <w:highlight w:val="none"/>
              </w:rPr>
              <w:t>省级交通运输主管部门“公路建设市场信用信息管理系统”中查询的，应附</w:t>
            </w:r>
            <w:r>
              <w:rPr>
                <w:rFonts w:hint="eastAsia" w:cs="宋体"/>
                <w:color w:val="auto"/>
                <w:sz w:val="21"/>
                <w:highlight w:val="none"/>
                <w:lang w:val="en-US" w:eastAsia="zh-CN"/>
              </w:rPr>
              <w:t>项目所在地</w:t>
            </w:r>
            <w:r>
              <w:rPr>
                <w:rFonts w:hint="eastAsia" w:ascii="宋体" w:hAnsi="宋体" w:eastAsia="宋体" w:cs="宋体"/>
                <w:color w:val="auto"/>
                <w:sz w:val="21"/>
                <w:highlight w:val="none"/>
              </w:rPr>
              <w:t>省级交通运输主管部门“公路建设市场信用信息管理系统”中查询到的网页截图。除网页截图外，投标人无须再提供任何业绩证明资料。如投标人未提供相关业绩网页截图或相关业绩网页截图中的信息无法证实投标人满足招标文件规定的资格审查条件（总监理工程师最低要求），则该项目业绩不予认定。</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4" w:lineRule="auto"/>
              <w:ind w:right="0" w:firstLine="420" w:firstLineChars="200"/>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如总监理工程师目前仍在其他项目上任职，则投标人应提供在岗撤离承诺书（如需、格式自拟）</w:t>
            </w:r>
            <w:r>
              <w:rPr>
                <w:rFonts w:hint="eastAsia" w:ascii="宋体" w:hAnsi="宋体" w:eastAsia="宋体" w:cs="宋体"/>
                <w:color w:val="auto"/>
                <w:sz w:val="21"/>
                <w:highlight w:val="none"/>
                <w:lang w:eastAsia="zh-CN"/>
              </w:rPr>
              <w:t>。如总监理工程师目前仍在其他项目上任职，但不提供在岗撤离承诺书，其资格审查不通过或取消中标资格。</w:t>
            </w:r>
          </w:p>
          <w:p>
            <w:pPr>
              <w:pStyle w:val="12"/>
              <w:keepNext w:val="0"/>
              <w:keepLines w:val="0"/>
              <w:pageBreakBefore w:val="0"/>
              <w:widowControl w:val="0"/>
              <w:tabs>
                <w:tab w:val="left" w:pos="743"/>
              </w:tabs>
              <w:kinsoku/>
              <w:wordWrap/>
              <w:overflowPunct/>
              <w:topLinePunct w:val="0"/>
              <w:autoSpaceDE w:val="0"/>
              <w:autoSpaceDN w:val="0"/>
              <w:bidi w:val="0"/>
              <w:adjustRightInd/>
              <w:snapToGrid/>
              <w:spacing w:line="364" w:lineRule="auto"/>
              <w:ind w:right="0"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总监理工程师业绩时间认定以交工验收日期为准。</w:t>
            </w:r>
          </w:p>
          <w:p>
            <w:pPr>
              <w:pStyle w:val="12"/>
              <w:spacing w:line="278" w:lineRule="auto"/>
              <w:ind w:right="157" w:firstLine="422" w:firstLineChars="200"/>
              <w:jc w:val="both"/>
              <w:rPr>
                <w:rFonts w:hint="eastAsia" w:asciiTheme="minorEastAsia" w:hAnsiTheme="minorEastAsia" w:eastAsiaTheme="minorEastAsia"/>
                <w:color w:val="auto"/>
                <w:sz w:val="21"/>
                <w:highlight w:val="none"/>
              </w:rPr>
            </w:pPr>
            <w:r>
              <w:rPr>
                <w:rFonts w:hint="eastAsia" w:ascii="宋体" w:hAnsi="宋体" w:eastAsia="宋体" w:cs="宋体"/>
                <w:b/>
                <w:bCs/>
                <w:color w:val="auto"/>
                <w:sz w:val="21"/>
                <w:highlight w:val="none"/>
                <w:lang w:eastAsia="zh-CN"/>
              </w:rPr>
              <w:t>（</w:t>
            </w:r>
            <w:r>
              <w:rPr>
                <w:rFonts w:hint="eastAsia" w:ascii="宋体" w:hAnsi="宋体" w:eastAsia="宋体" w:cs="宋体"/>
                <w:b/>
                <w:bCs/>
                <w:color w:val="auto"/>
                <w:sz w:val="21"/>
                <w:highlight w:val="none"/>
                <w:lang w:val="en-US" w:eastAsia="zh-CN"/>
              </w:rPr>
              <w:t>7</w:t>
            </w:r>
            <w:r>
              <w:rPr>
                <w:rFonts w:hint="eastAsia" w:ascii="宋体" w:hAnsi="宋体" w:eastAsia="宋体" w:cs="宋体"/>
                <w:b/>
                <w:bCs/>
                <w:color w:val="auto"/>
                <w:sz w:val="21"/>
                <w:highlight w:val="none"/>
                <w:lang w:eastAsia="zh-CN"/>
              </w:rPr>
              <w:t>）</w:t>
            </w:r>
            <w:r>
              <w:rPr>
                <w:rFonts w:hint="eastAsia" w:ascii="宋体" w:hAnsi="宋体" w:eastAsia="宋体" w:cs="宋体"/>
                <w:b/>
                <w:bCs/>
                <w:color w:val="auto"/>
                <w:sz w:val="21"/>
                <w:highlight w:val="none"/>
              </w:rPr>
              <w:t>招标文件中其他地方与此处不一致时，以此处为准。</w:t>
            </w:r>
          </w:p>
        </w:tc>
      </w:tr>
    </w:tbl>
    <w:p>
      <w:pPr>
        <w:pStyle w:val="13"/>
        <w:tabs>
          <w:tab w:val="left" w:pos="873"/>
        </w:tabs>
        <w:spacing w:before="139"/>
        <w:ind w:left="872" w:firstLine="0"/>
        <w:jc w:val="center"/>
        <w:rPr>
          <w:b/>
          <w:bCs/>
          <w:color w:val="000000" w:themeColor="text1"/>
          <w:sz w:val="28"/>
          <w14:textFill>
            <w14:solidFill>
              <w14:schemeClr w14:val="tx1"/>
            </w14:solidFill>
          </w14:textFill>
        </w:rPr>
      </w:pPr>
    </w:p>
    <w:p>
      <w:pPr>
        <w:pStyle w:val="2"/>
        <w:rPr>
          <w:rFonts w:asciiTheme="minorEastAsia" w:hAnsiTheme="minorEastAsia" w:eastAsiaTheme="minorEastAsia"/>
          <w:color w:val="000000" w:themeColor="text1"/>
          <w:sz w:val="20"/>
          <w14:textFill>
            <w14:solidFill>
              <w14:schemeClr w14:val="tx1"/>
            </w14:solidFill>
          </w14:textFill>
        </w:rPr>
      </w:pPr>
    </w:p>
    <w:p>
      <w:pPr>
        <w:jc w:val="center"/>
        <w:rPr>
          <w:rFonts w:hint="default" w:ascii="宋体" w:hAnsi="宋体" w:eastAsia="宋体" w:cs="宋体"/>
          <w:b/>
          <w:bCs/>
          <w:color w:val="000000" w:themeColor="text1"/>
          <w:sz w:val="28"/>
          <w:szCs w:val="28"/>
          <w:highlight w:val="none"/>
          <w:lang w:val="en-US" w:eastAsia="zh-CN" w:bidi="ar-SA"/>
          <w14:textFill>
            <w14:solidFill>
              <w14:schemeClr w14:val="tx1"/>
            </w14:solidFill>
          </w14:textFill>
        </w:rPr>
      </w:pPr>
      <w:r>
        <w:rPr>
          <w:rFonts w:hint="eastAsia" w:cs="宋体"/>
          <w:b/>
          <w:bCs/>
          <w:color w:val="000000" w:themeColor="text1"/>
          <w:sz w:val="28"/>
          <w:szCs w:val="28"/>
          <w:highlight w:val="none"/>
          <w:lang w:val="en-US" w:eastAsia="zh-CN" w:bidi="ar-SA"/>
          <w14:textFill>
            <w14:solidFill>
              <w14:schemeClr w14:val="tx1"/>
            </w14:solidFill>
          </w14:textFill>
        </w:rPr>
        <w:t>二</w:t>
      </w:r>
      <w: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t>标段</w:t>
      </w:r>
      <w:r>
        <w:rPr>
          <w:rFonts w:hint="eastAsia" w:cs="宋体"/>
          <w:b/>
          <w:bCs/>
          <w:color w:val="000000" w:themeColor="text1"/>
          <w:sz w:val="28"/>
          <w:szCs w:val="28"/>
          <w:highlight w:val="none"/>
          <w:lang w:val="en-US" w:eastAsia="zh-CN" w:bidi="ar-SA"/>
          <w14:textFill>
            <w14:solidFill>
              <w14:schemeClr w14:val="tx1"/>
            </w14:solidFill>
          </w14:textFill>
        </w:rPr>
        <w:t>业主试验室检测、</w:t>
      </w:r>
      <w:r>
        <w:rPr>
          <w:rFonts w:hint="eastAsia" w:cs="宋体"/>
          <w:b/>
          <w:bCs/>
          <w:color w:val="000000"/>
          <w:sz w:val="32"/>
          <w:szCs w:val="32"/>
          <w:highlight w:val="none"/>
          <w:lang w:val="en-US" w:eastAsia="zh-CN"/>
        </w:rPr>
        <w:t>三标段交工检测</w:t>
      </w:r>
    </w:p>
    <w:p>
      <w:pPr>
        <w:spacing w:line="321" w:lineRule="exact"/>
        <w:ind w:left="20"/>
        <w:jc w:val="center"/>
        <w:rPr>
          <w:color w:val="000000" w:themeColor="text1"/>
          <w:sz w:val="28"/>
          <w:highlight w:val="none"/>
          <w14:textFill>
            <w14:solidFill>
              <w14:schemeClr w14:val="tx1"/>
            </w14:solidFill>
          </w14:textFill>
        </w:rPr>
      </w:pPr>
    </w:p>
    <w:p>
      <w:pPr>
        <w:spacing w:line="321" w:lineRule="exact"/>
        <w:ind w:left="2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附录1</w:t>
      </w:r>
      <w:r>
        <w:rPr>
          <w:rFonts w:hint="eastAsia"/>
          <w:color w:val="000000" w:themeColor="text1"/>
          <w:sz w:val="28"/>
          <w:highlight w:val="none"/>
          <w:lang w:val="en-US" w:eastAsia="zh-CN"/>
          <w14:textFill>
            <w14:solidFill>
              <w14:schemeClr w14:val="tx1"/>
            </w14:solidFill>
          </w14:textFill>
        </w:rPr>
        <w:t xml:space="preserve">  </w:t>
      </w:r>
      <w:r>
        <w:rPr>
          <w:color w:val="000000" w:themeColor="text1"/>
          <w:sz w:val="28"/>
          <w:highlight w:val="none"/>
          <w14:textFill>
            <w14:solidFill>
              <w14:schemeClr w14:val="tx1"/>
            </w14:solidFill>
          </w14:textFill>
        </w:rPr>
        <w:t>资格审查条件（资质最低要求）</w:t>
      </w:r>
    </w:p>
    <w:p>
      <w:pPr>
        <w:spacing w:line="321" w:lineRule="exact"/>
        <w:rPr>
          <w:color w:val="000000" w:themeColor="text1"/>
          <w:sz w:val="28"/>
          <w:highlight w:val="none"/>
          <w14:textFill>
            <w14:solidFill>
              <w14:schemeClr w14:val="tx1"/>
            </w14:solidFill>
          </w14:textFill>
        </w:rPr>
      </w:pPr>
    </w:p>
    <w:p>
      <w:pPr>
        <w:pStyle w:val="2"/>
        <w:spacing w:before="10"/>
        <w:rPr>
          <w:color w:val="000000" w:themeColor="text1"/>
          <w:sz w:val="11"/>
          <w:highlight w:val="none"/>
          <w14:textFill>
            <w14:solidFill>
              <w14:schemeClr w14:val="tx1"/>
            </w14:solidFill>
          </w14:textFill>
        </w:rPr>
      </w:pPr>
    </w:p>
    <w:tbl>
      <w:tblPr>
        <w:tblStyle w:val="14"/>
        <w:tblW w:w="10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0188" w:type="dxa"/>
          </w:tcPr>
          <w:p>
            <w:pPr>
              <w:pStyle w:val="12"/>
              <w:spacing w:before="163"/>
              <w:ind w:left="3224" w:right="3218"/>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检测企业资质等级要求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jc w:val="center"/>
        </w:trPr>
        <w:tc>
          <w:tcPr>
            <w:tcW w:w="10188" w:type="dxa"/>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jc w:val="both"/>
              <w:textAlignment w:val="auto"/>
              <w:rPr>
                <w:color w:val="000000" w:themeColor="text1"/>
                <w:sz w:val="21"/>
                <w:highlight w:val="none"/>
                <w14:textFill>
                  <w14:solidFill>
                    <w14:schemeClr w14:val="tx1"/>
                  </w14:solidFill>
                </w14:textFill>
              </w:rPr>
            </w:pPr>
            <w:r>
              <w:rPr>
                <w:rFonts w:hint="eastAsia" w:cs="宋体" w:asciiTheme="minorEastAsia" w:hAnsiTheme="minorEastAsia" w:eastAsiaTheme="minorEastAsia"/>
                <w:color w:val="auto"/>
                <w:sz w:val="21"/>
                <w:highlight w:val="none"/>
                <w:lang w:val="en-US" w:eastAsia="zh-CN"/>
              </w:rPr>
              <w:t>投标人具有法人或其他组织资格；持有工商行政管理部门核发的有效企业营业执照或事业单位法人证书或社会团体法人登记证书，投标人应具备交通运输主管部门颁发的</w:t>
            </w:r>
            <w:r>
              <w:rPr>
                <w:rFonts w:hint="eastAsia" w:cs="宋体" w:asciiTheme="minorEastAsia" w:hAnsiTheme="minorEastAsia" w:eastAsiaTheme="minorEastAsia"/>
                <w:b/>
                <w:bCs/>
                <w:color w:val="auto"/>
                <w:sz w:val="21"/>
                <w:highlight w:val="none"/>
                <w:lang w:val="en-US" w:eastAsia="zh-CN"/>
              </w:rPr>
              <w:t>公路工程综合乙级</w:t>
            </w:r>
            <w:r>
              <w:rPr>
                <w:rFonts w:hint="eastAsia" w:cs="宋体" w:asciiTheme="minorEastAsia" w:hAnsiTheme="minorEastAsia" w:eastAsiaTheme="minorEastAsia"/>
                <w:color w:val="auto"/>
                <w:sz w:val="21"/>
                <w:highlight w:val="none"/>
                <w:lang w:val="en-US" w:eastAsia="zh-CN"/>
              </w:rPr>
              <w:t>及以上等级试验检测资质且在有效期内，同时具备质量技术监督部门颁发的计量认证证书（CMA）且在有效期内，并在人员设备方面具有相应的试验检测能力。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4" w:hRule="atLeast"/>
          <w:jc w:val="center"/>
        </w:trPr>
        <w:tc>
          <w:tcPr>
            <w:tcW w:w="10188" w:type="dxa"/>
          </w:tcPr>
          <w:p>
            <w:pPr>
              <w:pStyle w:val="12"/>
              <w:spacing w:line="364" w:lineRule="auto"/>
              <w:ind w:left="106" w:right="96" w:firstLine="420"/>
              <w:jc w:val="both"/>
              <w:rPr>
                <w:rFonts w:hint="eastAsia"/>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注：</w:t>
            </w:r>
          </w:p>
          <w:p>
            <w:pPr>
              <w:pStyle w:val="12"/>
              <w:spacing w:line="364" w:lineRule="auto"/>
              <w:ind w:left="106" w:right="96" w:firstLine="420"/>
              <w:jc w:val="both"/>
              <w:rPr>
                <w:rFonts w:hint="eastAsia"/>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1</w:t>
            </w: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14:textFill>
                  <w14:solidFill>
                    <w14:schemeClr w14:val="tx1"/>
                  </w14:solidFill>
                </w14:textFill>
              </w:rPr>
              <w:t>“投标人基本情况表”应附营业执照副本或事业单位法人证书或社会团体法人登记证书、公路工程试验检测资质证书副本、CMA计量认证证书、基本账户开户银行提供的开户或账户信息证明的彩色扫描件。</w:t>
            </w:r>
          </w:p>
          <w:p>
            <w:pPr>
              <w:pStyle w:val="12"/>
              <w:spacing w:line="364" w:lineRule="auto"/>
              <w:ind w:left="106" w:right="96" w:firstLine="420"/>
              <w:jc w:val="both"/>
              <w:rPr>
                <w:rFonts w:hint="eastAsia"/>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2</w:t>
            </w: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14:textFill>
                  <w14:solidFill>
                    <w14:schemeClr w14:val="tx1"/>
                  </w14:solidFill>
                </w14:textFill>
              </w:rPr>
              <w:t>企业营业执照副本或事业单位法人证书或社会团体法人登记证书、公路工程试验检测资质证书副本、CMA计量认证证书、基本账户开户银行提供的开户或账户信息证明的复印件应提供全本（证书封面、封底、空白页除外），应包括投标人名称、投标人其他相关信息、颁发机构名称、投标人信息变更情况等关键页在内。</w:t>
            </w:r>
          </w:p>
          <w:p>
            <w:pPr>
              <w:pStyle w:val="12"/>
              <w:spacing w:line="364" w:lineRule="auto"/>
              <w:ind w:left="106" w:right="96" w:firstLine="420"/>
              <w:jc w:val="both"/>
              <w:rPr>
                <w:rFonts w:hint="eastAsia"/>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3</w:t>
            </w: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14:textFill>
                  <w14:solidFill>
                    <w14:schemeClr w14:val="tx1"/>
                  </w14:solidFill>
                </w14:textFill>
              </w:rPr>
              <w:t>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复印件。</w:t>
            </w:r>
          </w:p>
          <w:p>
            <w:pPr>
              <w:pStyle w:val="12"/>
              <w:spacing w:line="364" w:lineRule="auto"/>
              <w:ind w:left="106" w:right="96" w:firstLine="420"/>
              <w:jc w:val="both"/>
              <w:rPr>
                <w:color w:val="000000" w:themeColor="text1"/>
                <w:sz w:val="21"/>
                <w:highlight w:val="none"/>
                <w14:textFill>
                  <w14:solidFill>
                    <w14:schemeClr w14:val="tx1"/>
                  </w14:solidFill>
                </w14:textFill>
              </w:rPr>
            </w:pPr>
            <w:r>
              <w:rPr>
                <w:rFonts w:hint="eastAsia"/>
                <w:b/>
                <w:bCs/>
                <w:color w:val="000000" w:themeColor="text1"/>
                <w:sz w:val="21"/>
                <w:highlight w:val="none"/>
                <w:lang w:eastAsia="zh-CN"/>
                <w14:textFill>
                  <w14:solidFill>
                    <w14:schemeClr w14:val="tx1"/>
                  </w14:solidFill>
                </w14:textFill>
              </w:rPr>
              <w:t>（</w:t>
            </w:r>
            <w:r>
              <w:rPr>
                <w:rFonts w:hint="eastAsia"/>
                <w:b/>
                <w:bCs/>
                <w:color w:val="000000" w:themeColor="text1"/>
                <w:sz w:val="21"/>
                <w:highlight w:val="none"/>
                <w:lang w:val="en-US" w:eastAsia="zh-CN"/>
                <w14:textFill>
                  <w14:solidFill>
                    <w14:schemeClr w14:val="tx1"/>
                  </w14:solidFill>
                </w14:textFill>
              </w:rPr>
              <w:t>4</w:t>
            </w:r>
            <w:r>
              <w:rPr>
                <w:rFonts w:hint="eastAsia"/>
                <w:b/>
                <w:bCs/>
                <w:color w:val="000000" w:themeColor="text1"/>
                <w:sz w:val="21"/>
                <w:highlight w:val="none"/>
                <w:lang w:eastAsia="zh-CN"/>
                <w14:textFill>
                  <w14:solidFill>
                    <w14:schemeClr w14:val="tx1"/>
                  </w14:solidFill>
                </w14:textFill>
              </w:rPr>
              <w:t>）</w:t>
            </w:r>
            <w:r>
              <w:rPr>
                <w:rFonts w:hint="eastAsia"/>
                <w:b/>
                <w:bCs/>
                <w:color w:val="000000" w:themeColor="text1"/>
                <w:sz w:val="21"/>
                <w:highlight w:val="none"/>
                <w14:textFill>
                  <w14:solidFill>
                    <w14:schemeClr w14:val="tx1"/>
                  </w14:solidFill>
                </w14:textFill>
              </w:rPr>
              <w:t>招标文件与以上修正内容不一致处，全部以此处为准。</w:t>
            </w:r>
          </w:p>
        </w:tc>
      </w:tr>
    </w:tbl>
    <w:p>
      <w:pPr>
        <w:spacing w:line="266" w:lineRule="exact"/>
        <w:rPr>
          <w:color w:val="000000" w:themeColor="text1"/>
          <w:sz w:val="21"/>
          <w:highlight w:val="none"/>
          <w14:textFill>
            <w14:solidFill>
              <w14:schemeClr w14:val="tx1"/>
            </w14:solidFill>
          </w14:textFill>
        </w:rPr>
        <w:sectPr>
          <w:headerReference r:id="rId7" w:type="default"/>
          <w:footerReference r:id="rId8" w:type="default"/>
          <w:pgSz w:w="11920" w:h="16850"/>
          <w:pgMar w:top="1760" w:right="620" w:bottom="1200" w:left="620" w:header="1480" w:footer="1008" w:gutter="0"/>
          <w:pgNumType w:fmt="decimal"/>
          <w:cols w:space="720" w:num="1"/>
        </w:sectPr>
      </w:pPr>
    </w:p>
    <w:p>
      <w:pPr>
        <w:spacing w:line="321" w:lineRule="exact"/>
        <w:ind w:left="20"/>
        <w:jc w:val="center"/>
        <w:rPr>
          <w:rFonts w:hint="eastAsia" w:eastAsia="宋体"/>
          <w:color w:val="000000" w:themeColor="text1"/>
          <w:sz w:val="28"/>
          <w:highlight w:val="none"/>
          <w:lang w:eastAsia="zh-CN"/>
          <w14:textFill>
            <w14:solidFill>
              <w14:schemeClr w14:val="tx1"/>
            </w14:solidFill>
          </w14:textFill>
        </w:rPr>
      </w:pPr>
      <w:r>
        <w:rPr>
          <w:color w:val="000000" w:themeColor="text1"/>
          <w:sz w:val="28"/>
          <w:highlight w:val="none"/>
          <w14:textFill>
            <w14:solidFill>
              <w14:schemeClr w14:val="tx1"/>
            </w14:solidFill>
          </w14:textFill>
        </w:rPr>
        <w:t>附录2</w:t>
      </w:r>
      <w:r>
        <w:rPr>
          <w:rFonts w:hint="eastAsia"/>
          <w:color w:val="000000" w:themeColor="text1"/>
          <w:sz w:val="28"/>
          <w:highlight w:val="none"/>
          <w:lang w:val="en-US" w:eastAsia="zh-CN"/>
          <w14:textFill>
            <w14:solidFill>
              <w14:schemeClr w14:val="tx1"/>
            </w14:solidFill>
          </w14:textFill>
        </w:rPr>
        <w:t xml:space="preserve">  </w:t>
      </w:r>
      <w:r>
        <w:rPr>
          <w:color w:val="000000" w:themeColor="text1"/>
          <w:sz w:val="28"/>
          <w:highlight w:val="none"/>
          <w14:textFill>
            <w14:solidFill>
              <w14:schemeClr w14:val="tx1"/>
            </w14:solidFill>
          </w14:textFill>
        </w:rPr>
        <w:t>资格审查条件（业绩最低要求</w:t>
      </w:r>
      <w:r>
        <w:rPr>
          <w:rFonts w:hint="eastAsia"/>
          <w:color w:val="000000" w:themeColor="text1"/>
          <w:sz w:val="28"/>
          <w:highlight w:val="none"/>
          <w:lang w:eastAsia="zh-CN"/>
          <w14:textFill>
            <w14:solidFill>
              <w14:schemeClr w14:val="tx1"/>
            </w14:solidFill>
          </w14:textFill>
        </w:rPr>
        <w:t>）</w:t>
      </w:r>
    </w:p>
    <w:p>
      <w:pPr>
        <w:pStyle w:val="2"/>
        <w:spacing w:before="6"/>
        <w:rPr>
          <w:color w:val="000000" w:themeColor="text1"/>
          <w:sz w:val="7"/>
          <w:highlight w:val="none"/>
          <w14:textFill>
            <w14:solidFill>
              <w14:schemeClr w14:val="tx1"/>
            </w14:solidFill>
          </w14:textFill>
        </w:rPr>
      </w:pPr>
    </w:p>
    <w:tbl>
      <w:tblPr>
        <w:tblStyle w:val="14"/>
        <w:tblpPr w:leftFromText="180" w:rightFromText="180" w:vertAnchor="text" w:horzAnchor="page" w:tblpX="852" w:tblpY="407"/>
        <w:tblOverlap w:val="never"/>
        <w:tblW w:w="102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0274" w:type="dxa"/>
            <w:vAlign w:val="center"/>
          </w:tcPr>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业 绩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10274" w:type="dxa"/>
          </w:tcPr>
          <w:p>
            <w:pPr>
              <w:pStyle w:val="12"/>
              <w:spacing w:before="11" w:line="400" w:lineRule="atLeast"/>
              <w:ind w:left="106" w:right="98" w:firstLine="420"/>
              <w:rPr>
                <w:color w:val="000000" w:themeColor="text1"/>
                <w:sz w:val="21"/>
                <w:highlight w:val="none"/>
                <w14:textFill>
                  <w14:solidFill>
                    <w14:schemeClr w14:val="tx1"/>
                  </w14:solidFill>
                </w14:textFill>
              </w:rPr>
            </w:pPr>
            <w:r>
              <w:rPr>
                <w:rFonts w:hint="eastAsia" w:cs="宋体" w:asciiTheme="minorEastAsia" w:hAnsiTheme="minorEastAsia" w:eastAsiaTheme="minorEastAsia"/>
                <w:color w:val="auto"/>
                <w:sz w:val="21"/>
                <w:highlight w:val="none"/>
                <w:lang w:val="en-US" w:eastAsia="zh-CN"/>
              </w:rPr>
              <w:t>投标人至少完成过1个一级及以上等级公路工程（新建或改扩建或养护工程）的中心试验室检测或第三方试验检测或交（竣）工验收检测或业主试验室检测业绩。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6" w:hRule="atLeast"/>
        </w:trPr>
        <w:tc>
          <w:tcPr>
            <w:tcW w:w="10274" w:type="dxa"/>
          </w:tcPr>
          <w:p>
            <w:pPr>
              <w:pStyle w:val="12"/>
              <w:spacing w:before="3"/>
              <w:ind w:left="52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注：</w:t>
            </w:r>
          </w:p>
          <w:p>
            <w:pPr>
              <w:pStyle w:val="12"/>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1</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投标人应按资格审查资料“近年完成的类似项目情况表”填写所提供的业绩，且提供的每个业绩均应填写，并附相关业绩证明材料。</w:t>
            </w:r>
          </w:p>
          <w:p>
            <w:pPr>
              <w:pStyle w:val="12"/>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2</w:t>
            </w: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14:textFill>
                  <w14:solidFill>
                    <w14:schemeClr w14:val="tx1"/>
                  </w14:solidFill>
                </w14:textFill>
              </w:rPr>
              <w:t>“近年完成的类似项目”应是“交通运输”或“住房和城细建设”或“发展与改革”或“招投标监督管理”或“公共资源交易”等政府主管部门官方网站中已经登记的并审核通过或已公示并公开的</w:t>
            </w:r>
            <w:r>
              <w:rPr>
                <w:color w:val="000000" w:themeColor="text1"/>
                <w:sz w:val="21"/>
                <w:highlight w:val="none"/>
                <w14:textFill>
                  <w14:solidFill>
                    <w14:schemeClr w14:val="tx1"/>
                  </w14:solidFill>
                </w14:textFill>
              </w:rPr>
              <w:t>业绩，</w:t>
            </w:r>
            <w:r>
              <w:rPr>
                <w:rFonts w:hint="eastAsia"/>
                <w:color w:val="000000" w:themeColor="text1"/>
                <w:sz w:val="21"/>
                <w:highlight w:val="none"/>
                <w14:textFill>
                  <w14:solidFill>
                    <w14:schemeClr w14:val="tx1"/>
                  </w14:solidFill>
                </w14:textFill>
              </w:rPr>
              <w:t>否则不予认可。</w:t>
            </w:r>
          </w:p>
          <w:p>
            <w:pPr>
              <w:pStyle w:val="12"/>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rightChars="0" w:firstLine="420" w:firstLineChars="200"/>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3</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“近年完成的类似项目情况表”后应附“交通运输”或“住</w:t>
            </w:r>
            <w:r>
              <w:rPr>
                <w:rFonts w:hint="eastAsia"/>
                <w:color w:val="000000" w:themeColor="text1"/>
                <w:sz w:val="21"/>
                <w:highlight w:val="none"/>
                <w14:textFill>
                  <w14:solidFill>
                    <w14:schemeClr w14:val="tx1"/>
                  </w14:solidFill>
                </w14:textFill>
              </w:rPr>
              <w:t>定的资格审查条</w:t>
            </w:r>
            <w:r>
              <w:rPr>
                <w:color w:val="000000" w:themeColor="text1"/>
                <w:sz w:val="21"/>
                <w:highlight w:val="none"/>
                <w14:textFill>
                  <w14:solidFill>
                    <w14:schemeClr w14:val="tx1"/>
                  </w14:solidFill>
                </w14:textFill>
              </w:rPr>
              <w:t xml:space="preserve"> 房和城乡建设”或“发展与改革”或“招投标监督管理”等政府主管</w:t>
            </w:r>
            <w:r>
              <w:rPr>
                <w:rFonts w:hint="eastAsia"/>
                <w:color w:val="000000" w:themeColor="text1"/>
                <w:sz w:val="21"/>
                <w:highlight w:val="none"/>
                <w14:textFill>
                  <w14:solidFill>
                    <w14:schemeClr w14:val="tx1"/>
                  </w14:solidFill>
                </w14:textFill>
              </w:rPr>
              <w:t>部门官方网站中已经登记的并审核通过的业绩网页截图或公示页的网</w:t>
            </w:r>
            <w:r>
              <w:rPr>
                <w:color w:val="000000" w:themeColor="text1"/>
                <w:sz w:val="21"/>
                <w:highlight w:val="none"/>
                <w14:textFill>
                  <w14:solidFill>
                    <w14:schemeClr w14:val="tx1"/>
                  </w14:solidFill>
                </w14:textFill>
              </w:rPr>
              <w:t>页截图并注明查询路径，同时还必须提供:</w:t>
            </w:r>
            <w:r>
              <w:rPr>
                <w:b/>
                <w:bCs/>
                <w:color w:val="000000" w:themeColor="text1"/>
                <w:sz w:val="21"/>
                <w:highlight w:val="none"/>
                <w14:textFill>
                  <w14:solidFill>
                    <w14:schemeClr w14:val="tx1"/>
                  </w14:solidFill>
                </w14:textFill>
              </w:rPr>
              <w:t>合同协议书和交(竣)工验收证书(或业主开具的已交(竣)工业绩证明材料)</w:t>
            </w:r>
            <w:r>
              <w:rPr>
                <w:rFonts w:hint="eastAsia"/>
                <w:b/>
                <w:bCs/>
                <w:color w:val="000000" w:themeColor="text1"/>
                <w:sz w:val="21"/>
                <w:highlight w:val="none"/>
                <w:lang w:val="en-US" w:eastAsia="zh-CN"/>
                <w14:textFill>
                  <w14:solidFill>
                    <w14:schemeClr w14:val="tx1"/>
                  </w14:solidFill>
                </w14:textFill>
              </w:rPr>
              <w:t>彩色扫描件</w:t>
            </w:r>
            <w:r>
              <w:rPr>
                <w:color w:val="000000" w:themeColor="text1"/>
                <w:sz w:val="21"/>
                <w:highlight w:val="none"/>
                <w14:textFill>
                  <w14:solidFill>
                    <w14:schemeClr w14:val="tx1"/>
                  </w14:solidFill>
                </w14:textFill>
              </w:rPr>
              <w:t>。业绩证明材料中须体现项目交(竣)工时间、规模、项目类型、金额等，如投标人未按要求提供企业业绩证明材料或企业业绩证明材料中的信息无法证实投标人满足招标文件的资格审查条件（业绩最低要求），则该项目业绩不予认定。</w:t>
            </w:r>
          </w:p>
          <w:p>
            <w:pPr>
              <w:pStyle w:val="12"/>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rightChars="0" w:firstLine="420" w:firstLineChars="200"/>
              <w:jc w:val="both"/>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4</w:t>
            </w: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14:textFill>
                  <w14:solidFill>
                    <w14:schemeClr w14:val="tx1"/>
                  </w14:solidFill>
                </w14:textFill>
              </w:rPr>
              <w:t>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等的投诉，招标人一经查实将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w:t>
            </w:r>
            <w:r>
              <w:rPr>
                <w:rFonts w:hint="eastAsia"/>
                <w:color w:val="000000" w:themeColor="text1"/>
                <w:sz w:val="21"/>
                <w:highlight w:val="none"/>
                <w:lang w:eastAsia="zh-CN"/>
                <w14:textFill>
                  <w14:solidFill>
                    <w14:schemeClr w14:val="tx1"/>
                  </w14:solidFill>
                </w14:textFill>
              </w:rPr>
              <w:t>参照</w:t>
            </w:r>
            <w:r>
              <w:rPr>
                <w:rFonts w:hint="eastAsia"/>
                <w:color w:val="000000" w:themeColor="text1"/>
                <w:sz w:val="21"/>
                <w:highlight w:val="none"/>
                <w14:textFill>
                  <w14:solidFill>
                    <w14:schemeClr w14:val="tx1"/>
                  </w14:solidFill>
                </w14:textFill>
              </w:rPr>
              <w:t>《公路工程标准施工</w:t>
            </w:r>
            <w:r>
              <w:rPr>
                <w:rFonts w:hint="eastAsia"/>
                <w:color w:val="000000" w:themeColor="text1"/>
                <w:sz w:val="21"/>
                <w:highlight w:val="none"/>
                <w:lang w:eastAsia="zh-CN"/>
                <w14:textFill>
                  <w14:solidFill>
                    <w14:schemeClr w14:val="tx1"/>
                  </w14:solidFill>
                </w14:textFill>
              </w:rPr>
              <w:t>监理</w:t>
            </w:r>
            <w:r>
              <w:rPr>
                <w:rFonts w:hint="eastAsia"/>
                <w:color w:val="000000" w:themeColor="text1"/>
                <w:sz w:val="21"/>
                <w:highlight w:val="none"/>
                <w14:textFill>
                  <w14:solidFill>
                    <w14:schemeClr w14:val="tx1"/>
                  </w14:solidFill>
                </w14:textFill>
              </w:rPr>
              <w:t>招标文件》(2018年版)。</w:t>
            </w:r>
          </w:p>
          <w:p>
            <w:pPr>
              <w:pStyle w:val="12"/>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firstLine="420" w:firstLineChars="200"/>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5</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业绩时间认定</w:t>
            </w:r>
            <w:r>
              <w:rPr>
                <w:rFonts w:hint="eastAsia"/>
                <w:color w:val="000000" w:themeColor="text1"/>
                <w:sz w:val="21"/>
                <w:highlight w:val="none"/>
                <w:lang w:val="en-US" w:eastAsia="zh-CN"/>
                <w14:textFill>
                  <w14:solidFill>
                    <w14:schemeClr w14:val="tx1"/>
                  </w14:solidFill>
                </w14:textFill>
              </w:rPr>
              <w:t>以</w:t>
            </w:r>
            <w:r>
              <w:rPr>
                <w:color w:val="000000" w:themeColor="text1"/>
                <w:sz w:val="21"/>
                <w:highlight w:val="none"/>
                <w14:textFill>
                  <w14:solidFill>
                    <w14:schemeClr w14:val="tx1"/>
                  </w14:solidFill>
                </w14:textFill>
              </w:rPr>
              <w:t>交工验收时间为准。</w:t>
            </w:r>
          </w:p>
          <w:p>
            <w:pPr>
              <w:pStyle w:val="12"/>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firstLine="420" w:firstLineChars="200"/>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6</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提供的业绩为分包业绩均视为不满足招标的业绩要求，这样的业绩在审查中均不予认可；</w:t>
            </w:r>
          </w:p>
          <w:p>
            <w:pPr>
              <w:pStyle w:val="12"/>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rightChars="0" w:firstLine="420" w:firstLineChars="200"/>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7</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如近年来，投标人法人机构发生合法变更或重组或法人名称变更时，应提供相关部门的合法批件或其他相关证明材料来证明其所附业绩的继承性。</w:t>
            </w:r>
          </w:p>
          <w:p>
            <w:pPr>
              <w:pStyle w:val="12"/>
              <w:keepNext w:val="0"/>
              <w:keepLines w:val="0"/>
              <w:pageBreakBefore w:val="0"/>
              <w:widowControl w:val="0"/>
              <w:kinsoku/>
              <w:wordWrap/>
              <w:overflowPunct/>
              <w:topLinePunct w:val="0"/>
              <w:autoSpaceDE w:val="0"/>
              <w:autoSpaceDN w:val="0"/>
              <w:bidi w:val="0"/>
              <w:adjustRightInd/>
              <w:snapToGrid/>
              <w:spacing w:line="360" w:lineRule="auto"/>
              <w:ind w:right="0" w:firstLine="422" w:firstLineChars="200"/>
              <w:textAlignment w:val="auto"/>
              <w:rPr>
                <w:color w:val="000000" w:themeColor="text1"/>
                <w:sz w:val="21"/>
                <w:highlight w:val="none"/>
                <w14:textFill>
                  <w14:solidFill>
                    <w14:schemeClr w14:val="tx1"/>
                  </w14:solidFill>
                </w14:textFill>
              </w:rPr>
            </w:pPr>
            <w:r>
              <w:rPr>
                <w:rFonts w:hint="eastAsia"/>
                <w:b/>
                <w:bCs/>
                <w:color w:val="000000" w:themeColor="text1"/>
                <w:sz w:val="21"/>
                <w:highlight w:val="none"/>
                <w:lang w:eastAsia="zh-CN"/>
                <w14:textFill>
                  <w14:solidFill>
                    <w14:schemeClr w14:val="tx1"/>
                  </w14:solidFill>
                </w14:textFill>
              </w:rPr>
              <w:t>（</w:t>
            </w:r>
            <w:r>
              <w:rPr>
                <w:rFonts w:hint="eastAsia"/>
                <w:b/>
                <w:bCs/>
                <w:color w:val="000000" w:themeColor="text1"/>
                <w:sz w:val="21"/>
                <w:highlight w:val="none"/>
                <w:lang w:val="en-US" w:eastAsia="zh-CN"/>
                <w14:textFill>
                  <w14:solidFill>
                    <w14:schemeClr w14:val="tx1"/>
                  </w14:solidFill>
                </w14:textFill>
              </w:rPr>
              <w:t>8</w:t>
            </w:r>
            <w:r>
              <w:rPr>
                <w:rFonts w:hint="eastAsia"/>
                <w:b/>
                <w:bCs/>
                <w:color w:val="000000" w:themeColor="text1"/>
                <w:sz w:val="21"/>
                <w:highlight w:val="none"/>
                <w:lang w:eastAsia="zh-CN"/>
                <w14:textFill>
                  <w14:solidFill>
                    <w14:schemeClr w14:val="tx1"/>
                  </w14:solidFill>
                </w14:textFill>
              </w:rPr>
              <w:t>）</w:t>
            </w:r>
            <w:r>
              <w:rPr>
                <w:b/>
                <w:bCs/>
                <w:color w:val="000000" w:themeColor="text1"/>
                <w:sz w:val="21"/>
                <w:highlight w:val="none"/>
                <w14:textFill>
                  <w14:solidFill>
                    <w14:schemeClr w14:val="tx1"/>
                  </w14:solidFill>
                </w14:textFill>
              </w:rPr>
              <w:t>招标文件与以上修正内容不一致处，全部以此处为准。</w:t>
            </w:r>
          </w:p>
        </w:tc>
      </w:tr>
    </w:tbl>
    <w:p>
      <w:pPr>
        <w:spacing w:line="251" w:lineRule="exact"/>
        <w:rPr>
          <w:color w:val="000000" w:themeColor="text1"/>
          <w:sz w:val="21"/>
          <w:highlight w:val="none"/>
          <w14:textFill>
            <w14:solidFill>
              <w14:schemeClr w14:val="tx1"/>
            </w14:solidFill>
          </w14:textFill>
        </w:rPr>
        <w:sectPr>
          <w:headerReference r:id="rId9" w:type="default"/>
          <w:footerReference r:id="rId10" w:type="default"/>
          <w:pgSz w:w="11920" w:h="16850"/>
          <w:pgMar w:top="1760" w:right="620" w:bottom="1280" w:left="620" w:header="1485" w:footer="1088" w:gutter="0"/>
          <w:pgNumType w:fmt="decimal"/>
          <w:cols w:space="720" w:num="1"/>
        </w:sectPr>
      </w:pPr>
    </w:p>
    <w:p>
      <w:pPr>
        <w:spacing w:before="42" w:after="57"/>
        <w:ind w:left="244" w:right="28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附录3</w:t>
      </w:r>
      <w:r>
        <w:rPr>
          <w:rFonts w:hint="eastAsia"/>
          <w:color w:val="000000" w:themeColor="text1"/>
          <w:sz w:val="28"/>
          <w:highlight w:val="none"/>
          <w:lang w:val="en-US" w:eastAsia="zh-CN"/>
          <w14:textFill>
            <w14:solidFill>
              <w14:schemeClr w14:val="tx1"/>
            </w14:solidFill>
          </w14:textFill>
        </w:rPr>
        <w:t xml:space="preserve"> </w:t>
      </w:r>
      <w:r>
        <w:rPr>
          <w:color w:val="000000" w:themeColor="text1"/>
          <w:spacing w:val="29"/>
          <w:sz w:val="28"/>
          <w:highlight w:val="none"/>
          <w14:textFill>
            <w14:solidFill>
              <w14:schemeClr w14:val="tx1"/>
            </w14:solidFill>
          </w14:textFill>
        </w:rPr>
        <w:t xml:space="preserve"> 资格审查条件</w:t>
      </w:r>
      <w:r>
        <w:rPr>
          <w:color w:val="000000" w:themeColor="text1"/>
          <w:sz w:val="28"/>
          <w:highlight w:val="none"/>
          <w14:textFill>
            <w14:solidFill>
              <w14:schemeClr w14:val="tx1"/>
            </w14:solidFill>
          </w14:textFill>
        </w:rPr>
        <w:t>（信誉最低要求）</w:t>
      </w:r>
    </w:p>
    <w:tbl>
      <w:tblPr>
        <w:tblStyle w:val="14"/>
        <w:tblpPr w:leftFromText="180" w:rightFromText="180" w:vertAnchor="text" w:horzAnchor="page" w:tblpX="1071" w:tblpY="544"/>
        <w:tblOverlap w:val="never"/>
        <w:tblW w:w="9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46" w:type="dxa"/>
            <w:tcBorders>
              <w:bottom w:val="single" w:color="auto" w:sz="4" w:space="0"/>
            </w:tcBorders>
          </w:tcPr>
          <w:p>
            <w:pPr>
              <w:pStyle w:val="12"/>
              <w:spacing w:before="76"/>
              <w:ind w:left="4085" w:right="411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信 誉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4" w:hRule="atLeast"/>
        </w:trPr>
        <w:tc>
          <w:tcPr>
            <w:tcW w:w="9946"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numPr>
                <w:ilvl w:val="0"/>
                <w:numId w:val="0"/>
              </w:numPr>
              <w:tabs>
                <w:tab w:val="left" w:pos="948"/>
              </w:tabs>
              <w:kinsoku/>
              <w:wordWrap/>
              <w:overflowPunct/>
              <w:topLinePunct w:val="0"/>
              <w:autoSpaceDE w:val="0"/>
              <w:autoSpaceDN w:val="0"/>
              <w:bidi w:val="0"/>
              <w:adjustRightInd w:val="0"/>
              <w:snapToGrid w:val="0"/>
              <w:spacing w:line="360" w:lineRule="auto"/>
              <w:ind w:leftChars="0" w:right="0" w:firstLine="0" w:firstLineChars="0"/>
              <w:jc w:val="left"/>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1</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未被省级及以上交通运输主管部门取消招标项目所在地的投标资格且处于有效期内；</w:t>
            </w:r>
          </w:p>
          <w:p>
            <w:pPr>
              <w:pStyle w:val="12"/>
              <w:keepNext w:val="0"/>
              <w:keepLines w:val="0"/>
              <w:pageBreakBefore w:val="0"/>
              <w:widowControl w:val="0"/>
              <w:numPr>
                <w:ilvl w:val="0"/>
                <w:numId w:val="0"/>
              </w:numPr>
              <w:tabs>
                <w:tab w:val="left" w:pos="948"/>
              </w:tabs>
              <w:kinsoku/>
              <w:wordWrap/>
              <w:overflowPunct/>
              <w:topLinePunct w:val="0"/>
              <w:autoSpaceDE w:val="0"/>
              <w:autoSpaceDN w:val="0"/>
              <w:bidi w:val="0"/>
              <w:adjustRightInd w:val="0"/>
              <w:snapToGrid w:val="0"/>
              <w:spacing w:line="360" w:lineRule="auto"/>
              <w:ind w:leftChars="0" w:right="0" w:firstLine="0" w:firstLineChars="0"/>
              <w:jc w:val="left"/>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2</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未被责令停业，暂扣或吊销执照，或吊销资质证书；</w:t>
            </w:r>
          </w:p>
          <w:p>
            <w:pPr>
              <w:pStyle w:val="12"/>
              <w:keepNext w:val="0"/>
              <w:keepLines w:val="0"/>
              <w:pageBreakBefore w:val="0"/>
              <w:widowControl w:val="0"/>
              <w:numPr>
                <w:ilvl w:val="0"/>
                <w:numId w:val="0"/>
              </w:numPr>
              <w:tabs>
                <w:tab w:val="left" w:pos="948"/>
              </w:tabs>
              <w:kinsoku/>
              <w:wordWrap/>
              <w:overflowPunct/>
              <w:topLinePunct w:val="0"/>
              <w:autoSpaceDE w:val="0"/>
              <w:autoSpaceDN w:val="0"/>
              <w:bidi w:val="0"/>
              <w:adjustRightInd w:val="0"/>
              <w:snapToGrid w:val="0"/>
              <w:spacing w:line="360" w:lineRule="auto"/>
              <w:ind w:leftChars="0" w:right="0" w:firstLine="0" w:firstLineChars="0"/>
              <w:jc w:val="left"/>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3</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未进入清算程序，或被宣告破产，或其他丧失履约能力的情形；</w:t>
            </w:r>
          </w:p>
          <w:p>
            <w:pPr>
              <w:pStyle w:val="12"/>
              <w:keepNext w:val="0"/>
              <w:keepLines w:val="0"/>
              <w:pageBreakBefore w:val="0"/>
              <w:widowControl w:val="0"/>
              <w:numPr>
                <w:ilvl w:val="0"/>
                <w:numId w:val="0"/>
              </w:numPr>
              <w:tabs>
                <w:tab w:val="left" w:pos="948"/>
              </w:tabs>
              <w:kinsoku/>
              <w:wordWrap/>
              <w:overflowPunct/>
              <w:topLinePunct w:val="0"/>
              <w:autoSpaceDE w:val="0"/>
              <w:autoSpaceDN w:val="0"/>
              <w:bidi w:val="0"/>
              <w:adjustRightInd w:val="0"/>
              <w:snapToGrid w:val="0"/>
              <w:spacing w:line="360" w:lineRule="auto"/>
              <w:ind w:leftChars="0" w:right="0" w:rightChars="0" w:firstLine="0" w:firstLineChars="0"/>
              <w:jc w:val="left"/>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4</w:t>
            </w: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在</w:t>
            </w:r>
            <w:r>
              <w:rPr>
                <w:color w:val="000000" w:themeColor="text1"/>
                <w:sz w:val="21"/>
                <w:highlight w:val="none"/>
                <w14:textFill>
                  <w14:solidFill>
                    <w14:schemeClr w14:val="tx1"/>
                  </w14:solidFill>
                </w14:textFill>
              </w:rPr>
              <w:t>国家企业信用信息公示系统（</w:t>
            </w:r>
            <w:r>
              <w:rPr>
                <w:color w:val="000000" w:themeColor="text1"/>
                <w:sz w:val="21"/>
                <w:highlight w:val="none"/>
                <w14:textFill>
                  <w14:solidFill>
                    <w14:schemeClr w14:val="tx1"/>
                  </w14:solidFill>
                </w14:textFill>
              </w:rPr>
              <w:fldChar w:fldCharType="begin"/>
            </w:r>
            <w:r>
              <w:rPr>
                <w:color w:val="000000" w:themeColor="text1"/>
                <w:sz w:val="21"/>
                <w:highlight w:val="none"/>
                <w14:textFill>
                  <w14:solidFill>
                    <w14:schemeClr w14:val="tx1"/>
                  </w14:solidFill>
                </w14:textFill>
              </w:rPr>
              <w:instrText xml:space="preserve"> HYPERLINK "http://www.gsxt.gov.cn/" \h </w:instrText>
            </w:r>
            <w:r>
              <w:rPr>
                <w:color w:val="000000" w:themeColor="text1"/>
                <w:sz w:val="21"/>
                <w:highlight w:val="none"/>
                <w14:textFill>
                  <w14:solidFill>
                    <w14:schemeClr w14:val="tx1"/>
                  </w14:solidFill>
                </w14:textFill>
              </w:rPr>
              <w:fldChar w:fldCharType="separate"/>
            </w:r>
            <w:r>
              <w:rPr>
                <w:color w:val="000000" w:themeColor="text1"/>
                <w:sz w:val="21"/>
                <w:highlight w:val="none"/>
                <w14:textFill>
                  <w14:solidFill>
                    <w14:schemeClr w14:val="tx1"/>
                  </w14:solidFill>
                </w14:textFill>
              </w:rPr>
              <w:t>http://www.gsxt.gov.cn/</w:t>
            </w:r>
            <w:r>
              <w:rPr>
                <w:color w:val="000000" w:themeColor="text1"/>
                <w:sz w:val="21"/>
                <w:highlight w:val="none"/>
                <w14:textFill>
                  <w14:solidFill>
                    <w14:schemeClr w14:val="tx1"/>
                  </w14:solidFill>
                </w14:textFill>
              </w:rPr>
              <w:fldChar w:fldCharType="end"/>
            </w:r>
            <w:r>
              <w:rPr>
                <w:color w:val="000000" w:themeColor="text1"/>
                <w:sz w:val="21"/>
                <w:highlight w:val="none"/>
                <w14:textFill>
                  <w14:solidFill>
                    <w14:schemeClr w14:val="tx1"/>
                  </w14:solidFill>
                </w14:textFill>
              </w:rPr>
              <w:t>）中未被列入严重违法失信企业名单</w:t>
            </w:r>
            <w:r>
              <w:rPr>
                <w:color w:val="000000" w:themeColor="text1"/>
                <w:w w:val="95"/>
                <w:sz w:val="21"/>
                <w:highlight w:val="none"/>
                <w14:textFill>
                  <w14:solidFill>
                    <w14:schemeClr w14:val="tx1"/>
                  </w14:solidFill>
                </w14:textFill>
              </w:rPr>
              <w:t>；</w:t>
            </w:r>
          </w:p>
          <w:p>
            <w:pPr>
              <w:pStyle w:val="12"/>
              <w:keepNext w:val="0"/>
              <w:keepLines w:val="0"/>
              <w:pageBreakBefore w:val="0"/>
              <w:widowControl w:val="0"/>
              <w:numPr>
                <w:ilvl w:val="0"/>
                <w:numId w:val="0"/>
              </w:numPr>
              <w:tabs>
                <w:tab w:val="left" w:pos="948"/>
              </w:tabs>
              <w:kinsoku/>
              <w:wordWrap/>
              <w:overflowPunct/>
              <w:topLinePunct w:val="0"/>
              <w:autoSpaceDE w:val="0"/>
              <w:autoSpaceDN w:val="0"/>
              <w:bidi w:val="0"/>
              <w:adjustRightInd w:val="0"/>
              <w:snapToGrid w:val="0"/>
              <w:spacing w:line="360" w:lineRule="auto"/>
              <w:ind w:right="0" w:firstLine="0" w:firstLineChars="0"/>
              <w:jc w:val="left"/>
              <w:textAlignment w:val="auto"/>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（5）</w:t>
            </w:r>
            <w:r>
              <w:rPr>
                <w:color w:val="000000" w:themeColor="text1"/>
                <w:sz w:val="21"/>
                <w:highlight w:val="none"/>
                <w14:textFill>
                  <w14:solidFill>
                    <w14:schemeClr w14:val="tx1"/>
                  </w14:solidFill>
                </w14:textFill>
              </w:rPr>
              <w:t xml:space="preserve"> 在 “ 信 用 中 国 ” 网 站 （</w:t>
            </w:r>
            <w:r>
              <w:rPr>
                <w:color w:val="000000" w:themeColor="text1"/>
                <w:sz w:val="21"/>
                <w:highlight w:val="none"/>
                <w14:textFill>
                  <w14:solidFill>
                    <w14:schemeClr w14:val="tx1"/>
                  </w14:solidFill>
                </w14:textFill>
              </w:rPr>
              <w:fldChar w:fldCharType="begin"/>
            </w:r>
            <w:r>
              <w:rPr>
                <w:color w:val="000000" w:themeColor="text1"/>
                <w:sz w:val="21"/>
                <w:highlight w:val="none"/>
                <w14:textFill>
                  <w14:solidFill>
                    <w14:schemeClr w14:val="tx1"/>
                  </w14:solidFill>
                </w14:textFill>
              </w:rPr>
              <w:instrText xml:space="preserve"> HYPERLINK "http://www.creditchina.gov.cn/" \h </w:instrText>
            </w:r>
            <w:r>
              <w:rPr>
                <w:color w:val="000000" w:themeColor="text1"/>
                <w:sz w:val="21"/>
                <w:highlight w:val="none"/>
                <w14:textFill>
                  <w14:solidFill>
                    <w14:schemeClr w14:val="tx1"/>
                  </w14:solidFill>
                </w14:textFill>
              </w:rPr>
              <w:fldChar w:fldCharType="separate"/>
            </w:r>
            <w:r>
              <w:rPr>
                <w:color w:val="000000" w:themeColor="text1"/>
                <w:sz w:val="21"/>
                <w:highlight w:val="none"/>
                <w14:textFill>
                  <w14:solidFill>
                    <w14:schemeClr w14:val="tx1"/>
                  </w14:solidFill>
                </w14:textFill>
              </w:rPr>
              <w:t>http://www.creditchina.gov.cn</w:t>
            </w:r>
            <w:r>
              <w:rPr>
                <w:color w:val="000000" w:themeColor="text1"/>
                <w:sz w:val="21"/>
                <w:highlight w:val="none"/>
                <w14:textFill>
                  <w14:solidFill>
                    <w14:schemeClr w14:val="tx1"/>
                  </w14:solidFill>
                </w14:textFill>
              </w:rPr>
              <w:fldChar w:fldCharType="end"/>
            </w:r>
            <w:r>
              <w:rPr>
                <w:color w:val="000000" w:themeColor="text1"/>
                <w:sz w:val="21"/>
                <w:highlight w:val="none"/>
                <w14:textFill>
                  <w14:solidFill>
                    <w14:schemeClr w14:val="tx1"/>
                  </w14:solidFill>
                </w14:textFill>
              </w:rPr>
              <w:t>） 和 “ 信 用 宁 夏 ” 网 站（</w:t>
            </w:r>
            <w:r>
              <w:rPr>
                <w:color w:val="000000" w:themeColor="text1"/>
                <w:sz w:val="21"/>
                <w:highlight w:val="none"/>
                <w14:textFill>
                  <w14:solidFill>
                    <w14:schemeClr w14:val="tx1"/>
                  </w14:solidFill>
                </w14:textFill>
              </w:rPr>
              <w:fldChar w:fldCharType="begin"/>
            </w:r>
            <w:r>
              <w:rPr>
                <w:color w:val="000000" w:themeColor="text1"/>
                <w:sz w:val="21"/>
                <w:highlight w:val="none"/>
                <w14:textFill>
                  <w14:solidFill>
                    <w14:schemeClr w14:val="tx1"/>
                  </w14:solidFill>
                </w14:textFill>
              </w:rPr>
              <w:instrText xml:space="preserve"> HYPERLINK "http://credit.nx.gov.cn/" \h </w:instrText>
            </w:r>
            <w:r>
              <w:rPr>
                <w:color w:val="000000" w:themeColor="text1"/>
                <w:sz w:val="21"/>
                <w:highlight w:val="none"/>
                <w14:textFill>
                  <w14:solidFill>
                    <w14:schemeClr w14:val="tx1"/>
                  </w14:solidFill>
                </w14:textFill>
              </w:rPr>
              <w:fldChar w:fldCharType="separate"/>
            </w:r>
            <w:r>
              <w:rPr>
                <w:color w:val="000000" w:themeColor="text1"/>
                <w:sz w:val="21"/>
                <w:highlight w:val="none"/>
                <w14:textFill>
                  <w14:solidFill>
                    <w14:schemeClr w14:val="tx1"/>
                  </w14:solidFill>
                </w14:textFill>
              </w:rPr>
              <w:t>http://credit.nx.gov.cn/</w:t>
            </w:r>
            <w:r>
              <w:rPr>
                <w:color w:val="000000" w:themeColor="text1"/>
                <w:sz w:val="21"/>
                <w:highlight w:val="none"/>
                <w14:textFill>
                  <w14:solidFill>
                    <w14:schemeClr w14:val="tx1"/>
                  </w14:solidFill>
                </w14:textFill>
              </w:rPr>
              <w:fldChar w:fldCharType="end"/>
            </w:r>
            <w:r>
              <w:rPr>
                <w:color w:val="000000" w:themeColor="text1"/>
                <w:sz w:val="21"/>
                <w:highlight w:val="none"/>
                <w14:textFill>
                  <w14:solidFill>
                    <w14:schemeClr w14:val="tx1"/>
                  </w14:solidFill>
                </w14:textFill>
              </w:rPr>
              <w:t>）中未被列入失信被执行人、企业经营异常名录、重大税收违法案件当事人名单；</w:t>
            </w:r>
          </w:p>
          <w:p>
            <w:pPr>
              <w:pStyle w:val="12"/>
              <w:keepNext w:val="0"/>
              <w:keepLines w:val="0"/>
              <w:pageBreakBefore w:val="0"/>
              <w:widowControl w:val="0"/>
              <w:numPr>
                <w:ilvl w:val="0"/>
                <w:numId w:val="0"/>
              </w:numPr>
              <w:tabs>
                <w:tab w:val="left" w:pos="948"/>
              </w:tabs>
              <w:kinsoku/>
              <w:wordWrap/>
              <w:overflowPunct/>
              <w:topLinePunct w:val="0"/>
              <w:autoSpaceDE w:val="0"/>
              <w:autoSpaceDN w:val="0"/>
              <w:bidi w:val="0"/>
              <w:adjustRightInd w:val="0"/>
              <w:snapToGrid w:val="0"/>
              <w:spacing w:line="360" w:lineRule="auto"/>
              <w:ind w:right="0" w:firstLine="0" w:firstLineChars="0"/>
              <w:jc w:val="left"/>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6</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在“中国执行信息公开网”网站未被列入失信被执行人名单</w:t>
            </w:r>
          </w:p>
          <w:p>
            <w:pPr>
              <w:pStyle w:val="12"/>
              <w:keepNext w:val="0"/>
              <w:keepLines w:val="0"/>
              <w:pageBreakBefore w:val="0"/>
              <w:widowControl w:val="0"/>
              <w:numPr>
                <w:ilvl w:val="0"/>
                <w:numId w:val="0"/>
              </w:numPr>
              <w:tabs>
                <w:tab w:val="left" w:pos="948"/>
              </w:tabs>
              <w:kinsoku/>
              <w:wordWrap/>
              <w:overflowPunct/>
              <w:topLinePunct w:val="0"/>
              <w:autoSpaceDE w:val="0"/>
              <w:autoSpaceDN w:val="0"/>
              <w:bidi w:val="0"/>
              <w:adjustRightInd w:val="0"/>
              <w:snapToGrid w:val="0"/>
              <w:spacing w:line="360" w:lineRule="auto"/>
              <w:ind w:right="0" w:firstLine="0" w:firstLineChars="0"/>
              <w:jc w:val="left"/>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7</w:t>
            </w:r>
            <w:r>
              <w:rPr>
                <w:rFonts w:hint="eastAsia"/>
                <w:color w:val="000000" w:themeColor="text1"/>
                <w:sz w:val="21"/>
                <w:highlight w:val="none"/>
                <w:lang w:eastAsia="zh-CN"/>
                <w14:textFill>
                  <w14:solidFill>
                    <w14:schemeClr w14:val="tx1"/>
                  </w14:solidFill>
                </w14:textFill>
              </w:rPr>
              <w:t>）未</w:t>
            </w:r>
            <w:r>
              <w:rPr>
                <w:color w:val="000000" w:themeColor="text1"/>
                <w:sz w:val="21"/>
                <w:highlight w:val="none"/>
                <w14:textFill>
                  <w14:solidFill>
                    <w14:schemeClr w14:val="tx1"/>
                  </w14:solidFill>
                </w14:textFill>
              </w:rPr>
              <w:t>以他人名义投标、串通投标的情形且正处于处罚期内；</w:t>
            </w:r>
          </w:p>
          <w:p>
            <w:pPr>
              <w:pStyle w:val="12"/>
              <w:keepNext w:val="0"/>
              <w:keepLines w:val="0"/>
              <w:pageBreakBefore w:val="0"/>
              <w:widowControl w:val="0"/>
              <w:numPr>
                <w:ilvl w:val="0"/>
                <w:numId w:val="0"/>
              </w:numPr>
              <w:tabs>
                <w:tab w:val="left" w:pos="948"/>
              </w:tabs>
              <w:kinsoku/>
              <w:wordWrap/>
              <w:overflowPunct/>
              <w:topLinePunct w:val="0"/>
              <w:autoSpaceDE w:val="0"/>
              <w:autoSpaceDN w:val="0"/>
              <w:bidi w:val="0"/>
              <w:adjustRightInd w:val="0"/>
              <w:snapToGrid w:val="0"/>
              <w:spacing w:line="360" w:lineRule="auto"/>
              <w:ind w:right="0" w:rightChars="0" w:firstLine="0" w:firstLineChars="0"/>
              <w:jc w:val="left"/>
              <w:textAlignment w:val="auto"/>
              <w:rPr>
                <w:color w:val="000000" w:themeColor="text1"/>
                <w:sz w:val="21"/>
                <w:highlight w:val="none"/>
                <w14:textFill>
                  <w14:solidFill>
                    <w14:schemeClr w14:val="tx1"/>
                  </w14:solidFill>
                </w14:textFill>
              </w:rPr>
            </w:pPr>
            <w:r>
              <w:rPr>
                <w:rFonts w:hint="eastAsia"/>
                <w:color w:val="000000" w:themeColor="text1"/>
                <w:w w:val="95"/>
                <w:sz w:val="21"/>
                <w:highlight w:val="none"/>
                <w:lang w:eastAsia="zh-CN"/>
                <w14:textFill>
                  <w14:solidFill>
                    <w14:schemeClr w14:val="tx1"/>
                  </w14:solidFill>
                </w14:textFill>
              </w:rPr>
              <w:t>（</w:t>
            </w:r>
            <w:r>
              <w:rPr>
                <w:rFonts w:hint="eastAsia"/>
                <w:color w:val="000000" w:themeColor="text1"/>
                <w:w w:val="95"/>
                <w:sz w:val="21"/>
                <w:highlight w:val="none"/>
                <w:lang w:val="en-US" w:eastAsia="zh-CN"/>
                <w14:textFill>
                  <w14:solidFill>
                    <w14:schemeClr w14:val="tx1"/>
                  </w14:solidFill>
                </w14:textFill>
              </w:rPr>
              <w:t>8</w:t>
            </w:r>
            <w:r>
              <w:rPr>
                <w:rFonts w:hint="eastAsia"/>
                <w:color w:val="000000" w:themeColor="text1"/>
                <w:w w:val="95"/>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投标人及其法定代表人、拟委任的试验检测负责人</w:t>
            </w:r>
            <w:r>
              <w:rPr>
                <w:rFonts w:hint="eastAsia" w:asciiTheme="minorEastAsia" w:hAnsiTheme="minorEastAsia" w:eastAsiaTheme="minorEastAsia"/>
                <w:b/>
                <w:bCs/>
                <w:color w:val="000000" w:themeColor="text1"/>
                <w:sz w:val="21"/>
                <w:highlight w:val="none"/>
                <w14:textFill>
                  <w14:solidFill>
                    <w14:schemeClr w14:val="tx1"/>
                  </w14:solidFill>
                </w14:textFill>
              </w:rPr>
              <w:t>2020年</w:t>
            </w:r>
            <w:r>
              <w:rPr>
                <w:rFonts w:hint="eastAsia" w:asciiTheme="minorEastAsia" w:hAnsiTheme="minorEastAsia" w:eastAsiaTheme="minorEastAsia"/>
                <w:b/>
                <w:bCs/>
                <w:color w:val="000000" w:themeColor="text1"/>
                <w:sz w:val="21"/>
                <w:highlight w:val="none"/>
                <w:lang w:val="en-US" w:eastAsia="zh-CN"/>
                <w14:textFill>
                  <w14:solidFill>
                    <w14:schemeClr w14:val="tx1"/>
                  </w14:solidFill>
                </w14:textFill>
              </w:rPr>
              <w:t>11</w:t>
            </w:r>
            <w:r>
              <w:rPr>
                <w:rFonts w:hint="eastAsia" w:asciiTheme="minorEastAsia" w:hAnsiTheme="minorEastAsia" w:eastAsiaTheme="minorEastAsia"/>
                <w:b/>
                <w:bCs/>
                <w:color w:val="000000" w:themeColor="text1"/>
                <w:sz w:val="21"/>
                <w:highlight w:val="none"/>
                <w14:textFill>
                  <w14:solidFill>
                    <w14:schemeClr w14:val="tx1"/>
                  </w14:solidFill>
                </w14:textFill>
              </w:rPr>
              <w:t>月</w:t>
            </w:r>
            <w:r>
              <w:rPr>
                <w:rFonts w:hint="eastAsia" w:asciiTheme="minorEastAsia" w:hAnsiTheme="minorEastAsia" w:eastAsiaTheme="minorEastAsia"/>
                <w:b/>
                <w:bCs/>
                <w:color w:val="000000" w:themeColor="text1"/>
                <w:sz w:val="21"/>
                <w:highlight w:val="none"/>
                <w:lang w:val="en-US" w:eastAsia="zh-CN"/>
                <w14:textFill>
                  <w14:solidFill>
                    <w14:schemeClr w14:val="tx1"/>
                  </w14:solidFill>
                </w14:textFill>
              </w:rPr>
              <w:t>22</w:t>
            </w:r>
            <w:r>
              <w:rPr>
                <w:rFonts w:hint="eastAsia" w:asciiTheme="minorEastAsia" w:hAnsiTheme="minorEastAsia" w:eastAsiaTheme="minorEastAsia"/>
                <w:b/>
                <w:bCs/>
                <w:color w:val="000000" w:themeColor="text1"/>
                <w:sz w:val="21"/>
                <w:highlight w:val="none"/>
                <w14:textFill>
                  <w14:solidFill>
                    <w14:schemeClr w14:val="tx1"/>
                  </w14:solidFill>
                </w14:textFill>
              </w:rPr>
              <w:t>日</w:t>
            </w:r>
            <w:r>
              <w:rPr>
                <w:color w:val="000000" w:themeColor="text1"/>
                <w:sz w:val="21"/>
                <w:highlight w:val="none"/>
                <w14:textFill>
                  <w14:solidFill>
                    <w14:schemeClr w14:val="tx1"/>
                  </w14:solidFill>
                </w14:textFill>
              </w:rPr>
              <w:t>以来没有行贿犯罪行为的承诺函；</w:t>
            </w:r>
          </w:p>
          <w:p>
            <w:pPr>
              <w:pStyle w:val="12"/>
              <w:keepNext w:val="0"/>
              <w:keepLines w:val="0"/>
              <w:pageBreakBefore w:val="0"/>
              <w:widowControl w:val="0"/>
              <w:numPr>
                <w:ilvl w:val="0"/>
                <w:numId w:val="0"/>
              </w:numPr>
              <w:tabs>
                <w:tab w:val="left" w:pos="1054"/>
              </w:tabs>
              <w:kinsoku/>
              <w:wordWrap/>
              <w:overflowPunct/>
              <w:topLinePunct w:val="0"/>
              <w:autoSpaceDE w:val="0"/>
              <w:autoSpaceDN w:val="0"/>
              <w:bidi w:val="0"/>
              <w:adjustRightInd w:val="0"/>
              <w:snapToGrid w:val="0"/>
              <w:spacing w:line="360" w:lineRule="auto"/>
              <w:ind w:right="0" w:rightChars="0" w:firstLine="0" w:firstLineChars="0"/>
              <w:jc w:val="left"/>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9</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法律法规或投标人须知前附表规定的其他情形。</w:t>
            </w:r>
          </w:p>
          <w:p>
            <w:pPr>
              <w:pStyle w:val="12"/>
              <w:keepNext w:val="0"/>
              <w:keepLines w:val="0"/>
              <w:pageBreakBefore w:val="0"/>
              <w:widowControl w:val="0"/>
              <w:numPr>
                <w:ilvl w:val="0"/>
                <w:numId w:val="0"/>
              </w:numPr>
              <w:tabs>
                <w:tab w:val="left" w:pos="1054"/>
              </w:tabs>
              <w:kinsoku/>
              <w:wordWrap/>
              <w:overflowPunct/>
              <w:topLinePunct w:val="0"/>
              <w:autoSpaceDE w:val="0"/>
              <w:autoSpaceDN w:val="0"/>
              <w:bidi w:val="0"/>
              <w:adjustRightInd w:val="0"/>
              <w:snapToGrid w:val="0"/>
              <w:spacing w:line="360" w:lineRule="auto"/>
              <w:ind w:left="0" w:leftChars="0" w:right="0" w:firstLine="0" w:firstLineChars="0"/>
              <w:jc w:val="left"/>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注：</w:t>
            </w:r>
          </w:p>
          <w:p>
            <w:pPr>
              <w:pStyle w:val="12"/>
              <w:keepNext w:val="0"/>
              <w:keepLines w:val="0"/>
              <w:pageBreakBefore w:val="0"/>
              <w:widowControl w:val="0"/>
              <w:numPr>
                <w:ilvl w:val="0"/>
                <w:numId w:val="0"/>
              </w:numPr>
              <w:tabs>
                <w:tab w:val="left" w:pos="1054"/>
              </w:tabs>
              <w:kinsoku/>
              <w:wordWrap/>
              <w:overflowPunct/>
              <w:topLinePunct w:val="0"/>
              <w:autoSpaceDE w:val="0"/>
              <w:autoSpaceDN w:val="0"/>
              <w:bidi w:val="0"/>
              <w:adjustRightInd w:val="0"/>
              <w:snapToGrid w:val="0"/>
              <w:spacing w:line="360" w:lineRule="auto"/>
              <w:ind w:left="0" w:leftChars="0" w:right="0" w:firstLine="420" w:firstLineChars="200"/>
              <w:jc w:val="left"/>
              <w:textAlignment w:val="auto"/>
              <w:rPr>
                <w:rFonts w:hint="eastAsia" w:eastAsia="宋体"/>
                <w:color w:val="000000" w:themeColor="text1"/>
                <w:sz w:val="21"/>
                <w:highlight w:val="none"/>
                <w:lang w:eastAsia="zh-CN"/>
                <w14:textFill>
                  <w14:solidFill>
                    <w14:schemeClr w14:val="tx1"/>
                  </w14:solidFill>
                </w14:textFill>
              </w:rPr>
            </w:pPr>
            <w:r>
              <w:rPr>
                <w:rFonts w:hint="eastAsia"/>
                <w:color w:val="000000" w:themeColor="text1"/>
                <w:sz w:val="21"/>
                <w:highlight w:val="none"/>
                <w14:textFill>
                  <w14:solidFill>
                    <w14:schemeClr w14:val="tx1"/>
                  </w14:solidFill>
                </w14:textFill>
              </w:rPr>
              <w:t>1. 以上信誉要求为合并投标人须知正文第1.4.4项及第3.5.3 项的内容，投标人提供“投标人信誉情况表”时，按照以上内容及投标文件要求进行提供证明资料</w:t>
            </w:r>
            <w:r>
              <w:rPr>
                <w:rFonts w:hint="eastAsia"/>
                <w:color w:val="000000" w:themeColor="text1"/>
                <w:sz w:val="21"/>
                <w:highlight w:val="none"/>
                <w:lang w:eastAsia="zh-CN"/>
                <w14:textFill>
                  <w14:solidFill>
                    <w14:schemeClr w14:val="tx1"/>
                  </w14:solidFill>
                </w14:textFill>
              </w:rPr>
              <w:t>。</w:t>
            </w:r>
          </w:p>
          <w:p>
            <w:pPr>
              <w:pStyle w:val="12"/>
              <w:keepNext w:val="0"/>
              <w:keepLines w:val="0"/>
              <w:pageBreakBefore w:val="0"/>
              <w:widowControl w:val="0"/>
              <w:numPr>
                <w:ilvl w:val="0"/>
                <w:numId w:val="0"/>
              </w:numPr>
              <w:tabs>
                <w:tab w:val="left" w:pos="1054"/>
              </w:tabs>
              <w:kinsoku/>
              <w:wordWrap/>
              <w:overflowPunct/>
              <w:topLinePunct w:val="0"/>
              <w:autoSpaceDE w:val="0"/>
              <w:autoSpaceDN w:val="0"/>
              <w:bidi w:val="0"/>
              <w:adjustRightInd w:val="0"/>
              <w:snapToGrid w:val="0"/>
              <w:spacing w:line="360" w:lineRule="auto"/>
              <w:ind w:right="0" w:firstLine="420" w:firstLineChars="200"/>
              <w:jc w:val="left"/>
              <w:textAlignment w:val="auto"/>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2.招标文件中其他地方与此处不一致时，以此处为准。</w:t>
            </w:r>
          </w:p>
        </w:tc>
      </w:tr>
    </w:tbl>
    <w:p>
      <w:pPr>
        <w:spacing w:line="267" w:lineRule="exact"/>
        <w:rPr>
          <w:color w:val="000000" w:themeColor="text1"/>
          <w:sz w:val="21"/>
          <w:highlight w:val="none"/>
          <w14:textFill>
            <w14:solidFill>
              <w14:schemeClr w14:val="tx1"/>
            </w14:solidFill>
          </w14:textFill>
        </w:rPr>
        <w:sectPr>
          <w:headerReference r:id="rId11" w:type="default"/>
          <w:footerReference r:id="rId12" w:type="default"/>
          <w:pgSz w:w="11920" w:h="16850"/>
          <w:pgMar w:top="1520" w:right="620" w:bottom="1200" w:left="620" w:header="0" w:footer="1008" w:gutter="0"/>
          <w:pgNumType w:fmt="decimal"/>
          <w:cols w:space="720" w:num="1"/>
        </w:sectPr>
      </w:pPr>
    </w:p>
    <w:p>
      <w:pPr>
        <w:pStyle w:val="4"/>
        <w:spacing w:before="33"/>
        <w:ind w:left="789" w:right="2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附录4</w:t>
      </w:r>
      <w:r>
        <w:rPr>
          <w:color w:val="000000" w:themeColor="text1"/>
          <w:spacing w:val="30"/>
          <w:highlight w:val="none"/>
          <w14:textFill>
            <w14:solidFill>
              <w14:schemeClr w14:val="tx1"/>
            </w14:solidFill>
          </w14:textFill>
        </w:rPr>
        <w:t xml:space="preserve"> </w:t>
      </w:r>
      <w:r>
        <w:rPr>
          <w:rFonts w:hint="eastAsia"/>
          <w:color w:val="000000" w:themeColor="text1"/>
          <w:spacing w:val="30"/>
          <w:highlight w:val="none"/>
          <w:lang w:val="en-US" w:eastAsia="zh-CN"/>
          <w14:textFill>
            <w14:solidFill>
              <w14:schemeClr w14:val="tx1"/>
            </w14:solidFill>
          </w14:textFill>
        </w:rPr>
        <w:t xml:space="preserve"> </w:t>
      </w:r>
      <w:r>
        <w:rPr>
          <w:color w:val="000000" w:themeColor="text1"/>
          <w:spacing w:val="30"/>
          <w:highlight w:val="none"/>
          <w14:textFill>
            <w14:solidFill>
              <w14:schemeClr w14:val="tx1"/>
            </w14:solidFill>
          </w14:textFill>
        </w:rPr>
        <w:t>资格审查条件</w:t>
      </w:r>
      <w:r>
        <w:rPr>
          <w:color w:val="000000" w:themeColor="text1"/>
          <w:highlight w:val="none"/>
          <w14:textFill>
            <w14:solidFill>
              <w14:schemeClr w14:val="tx1"/>
            </w14:solidFill>
          </w14:textFill>
        </w:rPr>
        <w:t>（检测负责人要求）</w:t>
      </w:r>
    </w:p>
    <w:p>
      <w:pPr>
        <w:pStyle w:val="4"/>
        <w:spacing w:before="33"/>
        <w:ind w:right="280"/>
        <w:jc w:val="both"/>
        <w:rPr>
          <w:color w:val="000000" w:themeColor="text1"/>
          <w:highlight w:val="none"/>
          <w14:textFill>
            <w14:solidFill>
              <w14:schemeClr w14:val="tx1"/>
            </w14:solidFill>
          </w14:textFill>
        </w:rPr>
      </w:pPr>
    </w:p>
    <w:tbl>
      <w:tblPr>
        <w:tblStyle w:val="14"/>
        <w:tblpPr w:leftFromText="180" w:rightFromText="180" w:vertAnchor="text" w:horzAnchor="page" w:tblpX="823" w:tblpY="273"/>
        <w:tblOverlap w:val="never"/>
        <w:tblW w:w="102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6"/>
        <w:gridCol w:w="913"/>
        <w:gridCol w:w="6872"/>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146" w:type="dxa"/>
            <w:vAlign w:val="center"/>
          </w:tcPr>
          <w:p>
            <w:pPr>
              <w:ind w:left="179"/>
              <w:jc w:val="center"/>
              <w:rPr>
                <w:rFonts w:asciiTheme="minorEastAsia" w:hAnsiTheme="minorEastAsia" w:eastAsiaTheme="minorEastAsia"/>
                <w:color w:val="000000" w:themeColor="text1"/>
                <w:sz w:val="21"/>
                <w:highlight w:val="none"/>
                <w14:textFill>
                  <w14:solidFill>
                    <w14:schemeClr w14:val="tx1"/>
                  </w14:solidFill>
                </w14:textFill>
              </w:rPr>
            </w:pPr>
            <w:r>
              <w:rPr>
                <w:rFonts w:hint="eastAsia" w:asciiTheme="minorEastAsia" w:hAnsiTheme="minorEastAsia" w:eastAsiaTheme="minorEastAsia"/>
                <w:color w:val="000000" w:themeColor="text1"/>
                <w:spacing w:val="35"/>
                <w:sz w:val="21"/>
                <w:highlight w:val="none"/>
                <w14:textFill>
                  <w14:solidFill>
                    <w14:schemeClr w14:val="tx1"/>
                  </w14:solidFill>
                </w14:textFill>
              </w:rPr>
              <w:t>人员</w:t>
            </w:r>
          </w:p>
        </w:tc>
        <w:tc>
          <w:tcPr>
            <w:tcW w:w="913" w:type="dxa"/>
            <w:vAlign w:val="center"/>
          </w:tcPr>
          <w:p>
            <w:pPr>
              <w:ind w:left="225" w:right="218"/>
              <w:jc w:val="center"/>
              <w:rPr>
                <w:rFonts w:asciiTheme="minorEastAsia" w:hAnsiTheme="minorEastAsia" w:eastAsiaTheme="minorEastAsia"/>
                <w:color w:val="000000" w:themeColor="text1"/>
                <w:sz w:val="21"/>
                <w:highlight w:val="none"/>
                <w14:textFill>
                  <w14:solidFill>
                    <w14:schemeClr w14:val="tx1"/>
                  </w14:solidFill>
                </w14:textFill>
              </w:rPr>
            </w:pPr>
            <w:r>
              <w:rPr>
                <w:rFonts w:hint="eastAsia" w:asciiTheme="minorEastAsia" w:hAnsiTheme="minorEastAsia" w:eastAsiaTheme="minorEastAsia"/>
                <w:color w:val="000000" w:themeColor="text1"/>
                <w:sz w:val="21"/>
                <w:highlight w:val="none"/>
                <w14:textFill>
                  <w14:solidFill>
                    <w14:schemeClr w14:val="tx1"/>
                  </w14:solidFill>
                </w14:textFill>
              </w:rPr>
              <w:t>数量</w:t>
            </w:r>
          </w:p>
        </w:tc>
        <w:tc>
          <w:tcPr>
            <w:tcW w:w="6872" w:type="dxa"/>
            <w:vAlign w:val="center"/>
          </w:tcPr>
          <w:p>
            <w:pPr>
              <w:ind w:left="2467" w:right="2458"/>
              <w:jc w:val="center"/>
              <w:rPr>
                <w:rFonts w:asciiTheme="minorEastAsia" w:hAnsiTheme="minorEastAsia" w:eastAsiaTheme="minorEastAsia"/>
                <w:color w:val="000000" w:themeColor="text1"/>
                <w:sz w:val="21"/>
                <w:highlight w:val="none"/>
                <w14:textFill>
                  <w14:solidFill>
                    <w14:schemeClr w14:val="tx1"/>
                  </w14:solidFill>
                </w14:textFill>
              </w:rPr>
            </w:pPr>
            <w:r>
              <w:rPr>
                <w:rFonts w:hint="eastAsia" w:asciiTheme="minorEastAsia" w:hAnsiTheme="minorEastAsia" w:eastAsiaTheme="minorEastAsia"/>
                <w:color w:val="000000" w:themeColor="text1"/>
                <w:spacing w:val="-1"/>
                <w:sz w:val="21"/>
                <w:highlight w:val="none"/>
                <w14:textFill>
                  <w14:solidFill>
                    <w14:schemeClr w14:val="tx1"/>
                  </w14:solidFill>
                </w14:textFill>
              </w:rPr>
              <w:t>资格要求</w:t>
            </w:r>
          </w:p>
        </w:tc>
        <w:tc>
          <w:tcPr>
            <w:tcW w:w="1336" w:type="dxa"/>
            <w:vAlign w:val="center"/>
          </w:tcPr>
          <w:p>
            <w:pPr>
              <w:ind w:left="49"/>
              <w:jc w:val="center"/>
              <w:rPr>
                <w:rFonts w:asciiTheme="minorEastAsia" w:hAnsiTheme="minorEastAsia" w:eastAsiaTheme="minorEastAsia"/>
                <w:color w:val="000000" w:themeColor="text1"/>
                <w:sz w:val="21"/>
                <w:highlight w:val="none"/>
                <w14:textFill>
                  <w14:solidFill>
                    <w14:schemeClr w14:val="tx1"/>
                  </w14:solidFill>
                </w14:textFill>
              </w:rPr>
            </w:pPr>
            <w:r>
              <w:rPr>
                <w:rFonts w:hint="eastAsia" w:asciiTheme="minorEastAsia" w:hAnsiTheme="minorEastAsia" w:eastAsiaTheme="minorEastAsia"/>
                <w:color w:val="000000" w:themeColor="text1"/>
                <w:sz w:val="21"/>
                <w:highlight w:val="none"/>
                <w14:textFill>
                  <w14:solidFill>
                    <w14:schemeClr w14:val="tx1"/>
                  </w14:solidFill>
                </w14:textFill>
              </w:rPr>
              <w:t>在岗要求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0" w:hRule="atLeast"/>
        </w:trPr>
        <w:tc>
          <w:tcPr>
            <w:tcW w:w="1146" w:type="dxa"/>
            <w:vAlign w:val="center"/>
          </w:tcPr>
          <w:p>
            <w:pPr>
              <w:spacing w:before="11"/>
              <w:jc w:val="center"/>
              <w:rPr>
                <w:rFonts w:asciiTheme="minorEastAsia" w:hAnsiTheme="minorEastAsia" w:eastAsiaTheme="minorEastAsia"/>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t>检测负责人</w:t>
            </w:r>
          </w:p>
        </w:tc>
        <w:tc>
          <w:tcPr>
            <w:tcW w:w="913" w:type="dxa"/>
            <w:vAlign w:val="center"/>
          </w:tcPr>
          <w:p>
            <w:pPr>
              <w:ind w:left="6"/>
              <w:jc w:val="center"/>
              <w:rPr>
                <w:rFonts w:asciiTheme="minorEastAsia" w:hAnsiTheme="minorEastAsia" w:eastAsiaTheme="minorEastAsia"/>
                <w:color w:val="000000" w:themeColor="text1"/>
                <w:sz w:val="21"/>
                <w:highlight w:val="none"/>
                <w14:textFill>
                  <w14:solidFill>
                    <w14:schemeClr w14:val="tx1"/>
                  </w14:solidFill>
                </w14:textFill>
              </w:rPr>
            </w:pPr>
            <w:r>
              <w:rPr>
                <w:rFonts w:asciiTheme="minorEastAsia" w:hAnsiTheme="minorEastAsia" w:eastAsiaTheme="minorEastAsia"/>
                <w:color w:val="000000" w:themeColor="text1"/>
                <w:w w:val="99"/>
                <w:sz w:val="21"/>
                <w:highlight w:val="none"/>
                <w14:textFill>
                  <w14:solidFill>
                    <w14:schemeClr w14:val="tx1"/>
                  </w14:solidFill>
                </w14:textFill>
              </w:rPr>
              <w:t>1</w:t>
            </w:r>
          </w:p>
        </w:tc>
        <w:tc>
          <w:tcPr>
            <w:tcW w:w="6872"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210" w:firstLineChars="100"/>
              <w:jc w:val="both"/>
              <w:textAlignment w:val="auto"/>
              <w:rPr>
                <w:rFonts w:asciiTheme="minorEastAsia" w:hAnsiTheme="minorEastAsia" w:eastAsiaTheme="minorEastAsia"/>
                <w:color w:val="000000" w:themeColor="text1"/>
                <w:sz w:val="21"/>
                <w:highlight w:val="none"/>
                <w14:textFill>
                  <w14:solidFill>
                    <w14:schemeClr w14:val="tx1"/>
                  </w14:solidFill>
                </w14:textFill>
              </w:rPr>
            </w:pPr>
            <w:r>
              <w:rPr>
                <w:rFonts w:hint="eastAsia" w:cs="宋体" w:asciiTheme="minorEastAsia" w:hAnsiTheme="minorEastAsia" w:eastAsiaTheme="minorEastAsia"/>
                <w:color w:val="auto"/>
                <w:sz w:val="21"/>
                <w:highlight w:val="none"/>
                <w:lang w:val="en-US" w:eastAsia="zh-CN"/>
              </w:rPr>
              <w:t>检测负责人</w:t>
            </w:r>
            <w:r>
              <w:rPr>
                <w:rFonts w:hint="eastAsia" w:cs="宋体" w:asciiTheme="minorEastAsia" w:hAnsiTheme="minorEastAsia" w:eastAsiaTheme="minorEastAsia"/>
                <w:color w:val="auto"/>
                <w:sz w:val="21"/>
                <w:szCs w:val="22"/>
                <w:highlight w:val="none"/>
                <w:lang w:val="en-US" w:eastAsia="zh-CN" w:bidi="ar-SA"/>
              </w:rPr>
              <w:t>具有公路工程相关专业中级及以上技术职称，并持有交通运输部颁发的试验检测工程师资格证书或公路水运工程试验检测师证书；至少担任过1个一级及以上等级公路工程（新建或改扩建或养护工程）的中心试验室主任或第三方试验检测负责人或交（竣）工验收检测负责人或业主试验室主任；目前未在其他项目上任职或虽在其他项目上任职但本项目中标后能够从该项目撤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210" w:firstLineChars="100"/>
              <w:jc w:val="both"/>
              <w:textAlignment w:val="auto"/>
              <w:rPr>
                <w:rFonts w:asciiTheme="minorEastAsia" w:hAnsiTheme="minorEastAsia" w:eastAsiaTheme="minorEastAsia"/>
                <w:color w:val="000000" w:themeColor="text1"/>
                <w:sz w:val="21"/>
                <w:highlight w:val="none"/>
                <w14:textFill>
                  <w14:solidFill>
                    <w14:schemeClr w14:val="tx1"/>
                  </w14:solidFill>
                </w14:textFill>
              </w:rPr>
            </w:pPr>
            <w:r>
              <w:rPr>
                <w:rFonts w:asciiTheme="minorEastAsia" w:hAnsiTheme="minorEastAsia" w:eastAsiaTheme="minorEastAsia"/>
                <w:color w:val="000000" w:themeColor="text1"/>
                <w:sz w:val="21"/>
                <w:highlight w:val="none"/>
                <w14:textFill>
                  <w14:solidFill>
                    <w14:schemeClr w14:val="tx1"/>
                  </w14:solidFill>
                </w14:textFill>
              </w:rPr>
              <w:t>备注：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asciiTheme="minorEastAsia" w:hAnsiTheme="minorEastAsia" w:eastAsiaTheme="minorEastAsia"/>
                <w:color w:val="000000" w:themeColor="text1"/>
                <w:sz w:val="21"/>
                <w:highlight w:val="none"/>
                <w14:textFill>
                  <w14:solidFill>
                    <w14:schemeClr w14:val="tx1"/>
                  </w14:solidFill>
                </w14:textFill>
              </w:rPr>
            </w:pPr>
            <w:r>
              <w:rPr>
                <w:rFonts w:hint="eastAsia" w:asciiTheme="minorEastAsia" w:hAnsiTheme="minorEastAsia" w:eastAsiaTheme="minorEastAsia"/>
                <w:color w:val="000000" w:themeColor="text1"/>
                <w:sz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1"/>
                <w:highlight w:val="none"/>
                <w:lang w:eastAsia="zh-CN"/>
                <w14:textFill>
                  <w14:solidFill>
                    <w14:schemeClr w14:val="tx1"/>
                  </w14:solidFill>
                </w14:textFill>
              </w:rPr>
              <w:t>）</w:t>
            </w:r>
            <w:r>
              <w:rPr>
                <w:rFonts w:asciiTheme="minorEastAsia" w:hAnsiTheme="minorEastAsia" w:eastAsiaTheme="minorEastAsia"/>
                <w:color w:val="000000" w:themeColor="text1"/>
                <w:sz w:val="21"/>
                <w:highlight w:val="none"/>
                <w14:textFill>
                  <w14:solidFill>
                    <w14:schemeClr w14:val="tx1"/>
                  </w14:solidFill>
                </w14:textFill>
              </w:rPr>
              <w:t>试验检测负责人在简历表后应附身份证、职称证、试验检测工程师或试验检测师资格证书、</w:t>
            </w:r>
            <w:r>
              <w:rPr>
                <w:rFonts w:hint="eastAsia" w:asciiTheme="minorEastAsia" w:hAnsiTheme="minorEastAsia" w:eastAsiaTheme="minorEastAsia"/>
                <w:b/>
                <w:bCs/>
                <w:color w:val="000000" w:themeColor="text1"/>
                <w:sz w:val="21"/>
                <w:highlight w:val="none"/>
                <w14:textFill>
                  <w14:solidFill>
                    <w14:schemeClr w14:val="tx1"/>
                  </w14:solidFill>
                </w14:textFill>
              </w:rPr>
              <w:t>202</w:t>
            </w:r>
            <w:r>
              <w:rPr>
                <w:rFonts w:hint="eastAsia" w:asciiTheme="minorEastAsia" w:hAnsiTheme="minorEastAsia" w:eastAsiaTheme="minorEastAsia"/>
                <w:b/>
                <w:bCs/>
                <w:color w:val="000000" w:themeColor="text1"/>
                <w:sz w:val="21"/>
                <w:highlight w:val="none"/>
                <w:lang w:val="en-US" w:eastAsia="zh-CN"/>
                <w14:textFill>
                  <w14:solidFill>
                    <w14:schemeClr w14:val="tx1"/>
                  </w14:solidFill>
                </w14:textFill>
              </w:rPr>
              <w:t>3</w:t>
            </w:r>
            <w:r>
              <w:rPr>
                <w:rFonts w:hint="eastAsia" w:asciiTheme="minorEastAsia" w:hAnsiTheme="minorEastAsia" w:eastAsiaTheme="minorEastAsia"/>
                <w:b/>
                <w:bCs/>
                <w:color w:val="000000" w:themeColor="text1"/>
                <w:sz w:val="21"/>
                <w:highlight w:val="none"/>
                <w14:textFill>
                  <w14:solidFill>
                    <w14:schemeClr w14:val="tx1"/>
                  </w14:solidFill>
                </w14:textFill>
              </w:rPr>
              <w:t>年</w:t>
            </w:r>
            <w:r>
              <w:rPr>
                <w:rFonts w:hint="eastAsia" w:asciiTheme="minorEastAsia" w:hAnsiTheme="minorEastAsia" w:eastAsiaTheme="minorEastAsia"/>
                <w:b/>
                <w:bCs/>
                <w:color w:val="000000" w:themeColor="text1"/>
                <w:sz w:val="21"/>
                <w:highlight w:val="none"/>
                <w:lang w:val="en-US" w:eastAsia="zh-CN"/>
                <w14:textFill>
                  <w14:solidFill>
                    <w14:schemeClr w14:val="tx1"/>
                  </w14:solidFill>
                </w14:textFill>
              </w:rPr>
              <w:t>5</w:t>
            </w:r>
            <w:r>
              <w:rPr>
                <w:rFonts w:hint="eastAsia" w:asciiTheme="minorEastAsia" w:hAnsiTheme="minorEastAsia" w:eastAsiaTheme="minorEastAsia"/>
                <w:b/>
                <w:bCs/>
                <w:color w:val="000000" w:themeColor="text1"/>
                <w:sz w:val="21"/>
                <w:highlight w:val="none"/>
                <w14:textFill>
                  <w14:solidFill>
                    <w14:schemeClr w14:val="tx1"/>
                  </w14:solidFill>
                </w14:textFill>
              </w:rPr>
              <w:t>月</w:t>
            </w:r>
            <w:r>
              <w:rPr>
                <w:rFonts w:asciiTheme="minorEastAsia" w:hAnsiTheme="minorEastAsia" w:eastAsiaTheme="minorEastAsia"/>
                <w:b w:val="0"/>
                <w:bCs w:val="0"/>
                <w:color w:val="000000" w:themeColor="text1"/>
                <w:sz w:val="21"/>
                <w:highlight w:val="none"/>
                <w14:textFill>
                  <w14:solidFill>
                    <w14:schemeClr w14:val="tx1"/>
                  </w14:solidFill>
                </w14:textFill>
              </w:rPr>
              <w:t>以</w:t>
            </w:r>
            <w:r>
              <w:rPr>
                <w:rFonts w:asciiTheme="minorEastAsia" w:hAnsiTheme="minorEastAsia" w:eastAsiaTheme="minorEastAsia"/>
                <w:color w:val="000000" w:themeColor="text1"/>
                <w:sz w:val="21"/>
                <w:highlight w:val="none"/>
                <w14:textFill>
                  <w14:solidFill>
                    <w14:schemeClr w14:val="tx1"/>
                  </w14:solidFill>
                </w14:textFill>
              </w:rPr>
              <w:t>来连续3个月社保缴费证明或其他能够证明参加社保的有效证明材料。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asciiTheme="minorEastAsia" w:hAnsiTheme="minorEastAsia" w:eastAsiaTheme="minorEastAsia"/>
                <w:color w:val="000000" w:themeColor="text1"/>
                <w:sz w:val="21"/>
                <w:highlight w:val="none"/>
                <w14:textFill>
                  <w14:solidFill>
                    <w14:schemeClr w14:val="tx1"/>
                  </w14:solidFill>
                </w14:textFill>
              </w:rPr>
            </w:pPr>
            <w:r>
              <w:rPr>
                <w:rFonts w:hint="eastAsia" w:asciiTheme="minorEastAsia" w:hAnsiTheme="minorEastAsia" w:eastAsiaTheme="minorEastAsia"/>
                <w:color w:val="000000" w:themeColor="text1"/>
                <w:sz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highlight w:val="none"/>
                <w14:textFill>
                  <w14:solidFill>
                    <w14:schemeClr w14:val="tx1"/>
                  </w14:solidFill>
                </w14:textFill>
              </w:rPr>
              <w:t>公路工程相关专业职称包括：公路工程、桥梁工程、公路与桥梁工程、交通土建工程、隧道（地下结构）工程、交通工程等专业职称。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asciiTheme="minorEastAsia" w:hAnsiTheme="minorEastAsia" w:eastAsiaTheme="minorEastAsia"/>
                <w:color w:val="000000" w:themeColor="text1"/>
                <w:sz w:val="21"/>
                <w:highlight w:val="none"/>
                <w14:textFill>
                  <w14:solidFill>
                    <w14:schemeClr w14:val="tx1"/>
                  </w14:solidFill>
                </w14:textFill>
              </w:rPr>
            </w:pPr>
            <w:r>
              <w:rPr>
                <w:rFonts w:hint="eastAsia" w:asciiTheme="minorEastAsia" w:hAnsiTheme="minorEastAsia" w:eastAsiaTheme="minorEastAsia"/>
                <w:color w:val="000000" w:themeColor="text1"/>
                <w:sz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highlight w:val="none"/>
                <w:lang w:eastAsia="zh-CN"/>
                <w14:textFill>
                  <w14:solidFill>
                    <w14:schemeClr w14:val="tx1"/>
                  </w14:solidFill>
                </w14:textFill>
              </w:rPr>
              <w:t>）</w:t>
            </w:r>
            <w:r>
              <w:rPr>
                <w:rFonts w:asciiTheme="minorEastAsia" w:hAnsiTheme="minorEastAsia" w:eastAsiaTheme="minorEastAsia"/>
                <w:color w:val="000000" w:themeColor="text1"/>
                <w:sz w:val="21"/>
                <w:highlight w:val="none"/>
                <w14:textFill>
                  <w14:solidFill>
                    <w14:schemeClr w14:val="tx1"/>
                  </w14:solidFill>
                </w14:textFill>
              </w:rPr>
              <w:t>“拟委任的检测负责人资历表”还应提供合同协议书、交工验收证书（或业主开具的试验检测业绩证明书）彩色扫描件，提供的业绩证明中须有拟委派的</w:t>
            </w:r>
            <w:r>
              <w:rPr>
                <w:rFonts w:hint="eastAsia" w:asciiTheme="minorEastAsia" w:hAnsiTheme="minorEastAsia" w:eastAsiaTheme="minorEastAsia"/>
                <w:color w:val="000000" w:themeColor="text1"/>
                <w:sz w:val="21"/>
                <w:highlight w:val="none"/>
                <w:lang w:val="en-US" w:eastAsia="zh-CN"/>
                <w14:textFill>
                  <w14:solidFill>
                    <w14:schemeClr w14:val="tx1"/>
                  </w14:solidFill>
                </w14:textFill>
              </w:rPr>
              <w:t>检测负责</w:t>
            </w:r>
            <w:r>
              <w:rPr>
                <w:rFonts w:asciiTheme="minorEastAsia" w:hAnsiTheme="minorEastAsia" w:eastAsiaTheme="minorEastAsia"/>
                <w:color w:val="000000" w:themeColor="text1"/>
                <w:sz w:val="21"/>
                <w:highlight w:val="none"/>
                <w14:textFill>
                  <w14:solidFill>
                    <w14:schemeClr w14:val="tx1"/>
                  </w14:solidFill>
                </w14:textFill>
              </w:rPr>
              <w:t>人姓名及对应满足上述要求的职务。未提供相应证件或</w:t>
            </w:r>
            <w:r>
              <w:rPr>
                <w:rFonts w:hint="eastAsia" w:asciiTheme="minorEastAsia" w:hAnsiTheme="minorEastAsia" w:eastAsiaTheme="minorEastAsia"/>
                <w:color w:val="000000" w:themeColor="text1"/>
                <w:sz w:val="21"/>
                <w:highlight w:val="none"/>
                <w:lang w:val="en-US" w:eastAsia="zh-CN"/>
                <w14:textFill>
                  <w14:solidFill>
                    <w14:schemeClr w14:val="tx1"/>
                  </w14:solidFill>
                </w14:textFill>
              </w:rPr>
              <w:t>业绩</w:t>
            </w:r>
            <w:r>
              <w:rPr>
                <w:rFonts w:asciiTheme="minorEastAsia" w:hAnsiTheme="minorEastAsia" w:eastAsiaTheme="minorEastAsia"/>
                <w:color w:val="000000" w:themeColor="text1"/>
                <w:sz w:val="21"/>
                <w:highlight w:val="none"/>
                <w14:textFill>
                  <w14:solidFill>
                    <w14:schemeClr w14:val="tx1"/>
                  </w14:solidFill>
                </w14:textFill>
              </w:rPr>
              <w:t>证明材料的，其资格审查不通过。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asciiTheme="minorEastAsia" w:hAnsiTheme="minorEastAsia" w:eastAsiaTheme="minorEastAsia"/>
                <w:color w:val="000000" w:themeColor="text1"/>
                <w:sz w:val="21"/>
                <w:highlight w:val="none"/>
                <w14:textFill>
                  <w14:solidFill>
                    <w14:schemeClr w14:val="tx1"/>
                  </w14:solidFill>
                </w14:textFill>
              </w:rPr>
            </w:pPr>
            <w:r>
              <w:rPr>
                <w:rFonts w:hint="eastAsia" w:asciiTheme="minorEastAsia" w:hAnsiTheme="minorEastAsia" w:eastAsiaTheme="minorEastAsia"/>
                <w:color w:val="000000" w:themeColor="text1"/>
                <w:sz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highlight w:val="none"/>
                <w:lang w:eastAsia="zh-CN"/>
                <w14:textFill>
                  <w14:solidFill>
                    <w14:schemeClr w14:val="tx1"/>
                  </w14:solidFill>
                </w14:textFill>
              </w:rPr>
              <w:t>）</w:t>
            </w:r>
            <w:r>
              <w:rPr>
                <w:rFonts w:asciiTheme="minorEastAsia" w:hAnsiTheme="minorEastAsia" w:eastAsiaTheme="minorEastAsia"/>
                <w:color w:val="000000" w:themeColor="text1"/>
                <w:sz w:val="21"/>
                <w:highlight w:val="none"/>
                <w14:textFill>
                  <w14:solidFill>
                    <w14:schemeClr w14:val="tx1"/>
                  </w14:solidFill>
                </w14:textFill>
              </w:rPr>
              <w:t>业绩时间认定为交工验收时间为准。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Theme="minorEastAsia" w:hAnsiTheme="minorEastAsia" w:eastAsiaTheme="minorEastAsia"/>
                <w:color w:val="000000" w:themeColor="text1"/>
                <w:sz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1"/>
                <w:highlight w:val="none"/>
                <w:lang w:eastAsia="zh-CN"/>
                <w14:textFill>
                  <w14:solidFill>
                    <w14:schemeClr w14:val="tx1"/>
                  </w14:solidFill>
                </w14:textFill>
              </w:rPr>
              <w:t>）</w:t>
            </w:r>
            <w:r>
              <w:rPr>
                <w:rFonts w:asciiTheme="minorEastAsia" w:hAnsiTheme="minorEastAsia" w:eastAsiaTheme="minorEastAsia"/>
                <w:color w:val="000000" w:themeColor="text1"/>
                <w:sz w:val="21"/>
                <w:highlight w:val="none"/>
                <w14:textFill>
                  <w14:solidFill>
                    <w14:schemeClr w14:val="tx1"/>
                  </w14:solidFill>
                </w14:textFill>
              </w:rPr>
              <w:t>如检测负责人目前仍在其他项目上任职，则投标人应提供在岗撤离承诺书（如需、格式自拟）。</w:t>
            </w:r>
            <w:r>
              <w:rPr>
                <w:rFonts w:hint="eastAsia" w:asciiTheme="minorEastAsia" w:hAnsiTheme="minorEastAsia" w:eastAsiaTheme="minorEastAsia"/>
                <w:color w:val="000000" w:themeColor="text1"/>
                <w:sz w:val="21"/>
                <w:highlight w:val="none"/>
                <w14:textFill>
                  <w14:solidFill>
                    <w14:schemeClr w14:val="tx1"/>
                  </w14:solidFill>
                </w14:textFill>
              </w:rPr>
              <w:t>如</w:t>
            </w:r>
            <w:r>
              <w:rPr>
                <w:rFonts w:hint="eastAsia" w:asciiTheme="minorEastAsia" w:hAnsiTheme="minorEastAsia" w:eastAsiaTheme="minorEastAsia"/>
                <w:color w:val="000000" w:themeColor="text1"/>
                <w:sz w:val="21"/>
                <w:highlight w:val="none"/>
                <w:lang w:eastAsia="zh-CN"/>
                <w14:textFill>
                  <w14:solidFill>
                    <w14:schemeClr w14:val="tx1"/>
                  </w14:solidFill>
                </w14:textFill>
              </w:rPr>
              <w:t>检测负责人</w:t>
            </w:r>
            <w:r>
              <w:rPr>
                <w:rFonts w:hint="eastAsia" w:asciiTheme="minorEastAsia" w:hAnsiTheme="minorEastAsia" w:eastAsiaTheme="minorEastAsia"/>
                <w:color w:val="000000" w:themeColor="text1"/>
                <w:sz w:val="21"/>
                <w:highlight w:val="none"/>
                <w14:textFill>
                  <w14:solidFill>
                    <w14:schemeClr w14:val="tx1"/>
                  </w14:solidFill>
                </w14:textFill>
              </w:rPr>
              <w:t>目前仍在其他项目上任职，但不提供在岗撤离承诺书，其资格审查不通过或取消中标资格</w:t>
            </w:r>
            <w:r>
              <w:rPr>
                <w:rFonts w:hint="eastAsia" w:asciiTheme="minorEastAsia" w:hAnsiTheme="minorEastAsia" w:eastAsiaTheme="minorEastAsia"/>
                <w:color w:val="000000" w:themeColor="text1"/>
                <w:sz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asciiTheme="minorEastAsia" w:hAnsiTheme="minorEastAsia" w:eastAsiaTheme="minorEastAsia"/>
                <w:color w:val="000000" w:themeColor="text1"/>
                <w:sz w:val="21"/>
                <w:highlight w:val="none"/>
                <w14:textFill>
                  <w14:solidFill>
                    <w14:schemeClr w14:val="tx1"/>
                  </w14:solidFill>
                </w14:textFill>
              </w:rPr>
            </w:pPr>
            <w:r>
              <w:rPr>
                <w:rFonts w:hint="eastAsia" w:asciiTheme="minorEastAsia" w:hAnsiTheme="minorEastAsia" w:eastAsiaTheme="minorEastAsia"/>
                <w:color w:val="000000" w:themeColor="text1"/>
                <w:sz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highlight w:val="none"/>
                <w:lang w:eastAsia="zh-CN"/>
                <w14:textFill>
                  <w14:solidFill>
                    <w14:schemeClr w14:val="tx1"/>
                  </w14:solidFill>
                </w14:textFill>
              </w:rPr>
              <w:t>）</w:t>
            </w:r>
            <w:r>
              <w:rPr>
                <w:rFonts w:asciiTheme="minorEastAsia" w:hAnsiTheme="minorEastAsia" w:eastAsiaTheme="minorEastAsia"/>
                <w:color w:val="000000" w:themeColor="text1"/>
                <w:sz w:val="21"/>
                <w:highlight w:val="none"/>
                <w14:textFill>
                  <w14:solidFill>
                    <w14:schemeClr w14:val="tx1"/>
                  </w14:solidFill>
                </w14:textFill>
              </w:rPr>
              <w:t>试验检测负责人应按投标文件格式资格审查资料（五）拟委任的检测负责人资历表的格式要求分别填写检测负责人的资历，并注明在本项目中所要担任检测负责人。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105" w:firstLineChars="50"/>
              <w:jc w:val="both"/>
              <w:textAlignment w:val="auto"/>
              <w:rPr>
                <w:rFonts w:asciiTheme="minorEastAsia" w:hAnsiTheme="minorEastAsia" w:eastAsiaTheme="minorEastAsia"/>
                <w:color w:val="000000" w:themeColor="text1"/>
                <w:sz w:val="21"/>
                <w:highlight w:val="none"/>
                <w14:textFill>
                  <w14:solidFill>
                    <w14:schemeClr w14:val="tx1"/>
                  </w14:solidFill>
                </w14:textFill>
              </w:rPr>
            </w:pPr>
            <w:r>
              <w:rPr>
                <w:rFonts w:hint="eastAsia" w:asciiTheme="minorEastAsia" w:hAnsiTheme="minorEastAsia" w:eastAsiaTheme="minorEastAsia"/>
                <w:b/>
                <w:bCs/>
                <w:color w:val="000000" w:themeColor="text1"/>
                <w:sz w:val="21"/>
                <w:highlight w:val="none"/>
                <w:lang w:eastAsia="zh-CN"/>
                <w14:textFill>
                  <w14:solidFill>
                    <w14:schemeClr w14:val="tx1"/>
                  </w14:solidFill>
                </w14:textFill>
              </w:rPr>
              <w:t>（</w:t>
            </w:r>
            <w:r>
              <w:rPr>
                <w:rFonts w:hint="eastAsia" w:asciiTheme="minorEastAsia" w:hAnsiTheme="minorEastAsia" w:eastAsiaTheme="minorEastAsia"/>
                <w:b/>
                <w:bCs/>
                <w:color w:val="000000" w:themeColor="text1"/>
                <w:sz w:val="21"/>
                <w:highlight w:val="none"/>
                <w:lang w:val="en-US" w:eastAsia="zh-CN"/>
                <w14:textFill>
                  <w14:solidFill>
                    <w14:schemeClr w14:val="tx1"/>
                  </w14:solidFill>
                </w14:textFill>
              </w:rPr>
              <w:t>7</w:t>
            </w:r>
            <w:r>
              <w:rPr>
                <w:rFonts w:hint="eastAsia" w:asciiTheme="minorEastAsia" w:hAnsiTheme="minorEastAsia" w:eastAsiaTheme="minorEastAsia"/>
                <w:b/>
                <w:bCs/>
                <w:color w:val="000000" w:themeColor="text1"/>
                <w:sz w:val="21"/>
                <w:highlight w:val="none"/>
                <w:lang w:eastAsia="zh-CN"/>
                <w14:textFill>
                  <w14:solidFill>
                    <w14:schemeClr w14:val="tx1"/>
                  </w14:solidFill>
                </w14:textFill>
              </w:rPr>
              <w:t>）</w:t>
            </w:r>
            <w:r>
              <w:rPr>
                <w:rFonts w:asciiTheme="minorEastAsia" w:hAnsiTheme="minorEastAsia" w:eastAsiaTheme="minorEastAsia"/>
                <w:b/>
                <w:bCs/>
                <w:color w:val="000000" w:themeColor="text1"/>
                <w:sz w:val="21"/>
                <w:highlight w:val="none"/>
                <w14:textFill>
                  <w14:solidFill>
                    <w14:schemeClr w14:val="tx1"/>
                  </w14:solidFill>
                </w14:textFill>
              </w:rPr>
              <w:t>招标文件与以上修正内容不一致处，全部以此处为准</w:t>
            </w:r>
            <w:r>
              <w:rPr>
                <w:rFonts w:asciiTheme="minorEastAsia" w:hAnsiTheme="minorEastAsia" w:eastAsiaTheme="minorEastAsia"/>
                <w:color w:val="000000" w:themeColor="text1"/>
                <w:sz w:val="21"/>
                <w:highlight w:val="none"/>
                <w14:textFill>
                  <w14:solidFill>
                    <w14:schemeClr w14:val="tx1"/>
                  </w14:solidFill>
                </w14:textFill>
              </w:rPr>
              <w:t>。</w:t>
            </w:r>
          </w:p>
        </w:tc>
        <w:tc>
          <w:tcPr>
            <w:tcW w:w="1336" w:type="dxa"/>
            <w:vAlign w:val="center"/>
          </w:tcPr>
          <w:p>
            <w:pPr>
              <w:spacing w:line="280" w:lineRule="auto"/>
              <w:ind w:left="203" w:right="169"/>
              <w:jc w:val="center"/>
              <w:rPr>
                <w:rFonts w:asciiTheme="minorEastAsia" w:hAnsiTheme="minorEastAsia" w:eastAsiaTheme="minorEastAsia"/>
                <w:color w:val="000000" w:themeColor="text1"/>
                <w:sz w:val="21"/>
                <w:highlight w:val="none"/>
                <w14:textFill>
                  <w14:solidFill>
                    <w14:schemeClr w14:val="tx1"/>
                  </w14:solidFill>
                </w14:textFill>
              </w:rPr>
            </w:pPr>
            <w:r>
              <w:rPr>
                <w:rFonts w:hint="eastAsia" w:asciiTheme="minorEastAsia" w:hAnsiTheme="minorEastAsia" w:eastAsiaTheme="minorEastAsia"/>
                <w:color w:val="000000" w:themeColor="text1"/>
                <w:spacing w:val="-12"/>
                <w:sz w:val="21"/>
                <w:highlight w:val="none"/>
                <w14:textFill>
                  <w14:solidFill>
                    <w14:schemeClr w14:val="tx1"/>
                  </w14:solidFill>
                </w14:textFill>
              </w:rPr>
              <w:t>无在岗</w:t>
            </w:r>
            <w:r>
              <w:rPr>
                <w:rFonts w:hint="eastAsia" w:asciiTheme="minorEastAsia" w:hAnsiTheme="minorEastAsia" w:eastAsiaTheme="minorEastAsia"/>
                <w:color w:val="000000" w:themeColor="text1"/>
                <w:sz w:val="21"/>
                <w:highlight w:val="none"/>
                <w14:textFill>
                  <w14:solidFill>
                    <w14:schemeClr w14:val="tx1"/>
                  </w14:solidFill>
                </w14:textFill>
              </w:rPr>
              <w:t>项目</w:t>
            </w:r>
          </w:p>
          <w:p>
            <w:pPr>
              <w:spacing w:line="278" w:lineRule="auto"/>
              <w:ind w:left="167" w:right="157" w:firstLine="14"/>
              <w:jc w:val="center"/>
              <w:rPr>
                <w:rFonts w:asciiTheme="minorEastAsia" w:hAnsiTheme="minorEastAsia" w:eastAsiaTheme="minorEastAsia"/>
                <w:color w:val="000000" w:themeColor="text1"/>
                <w:sz w:val="21"/>
                <w:highlight w:val="none"/>
                <w14:textFill>
                  <w14:solidFill>
                    <w14:schemeClr w14:val="tx1"/>
                  </w14:solidFill>
                </w14:textFill>
              </w:rPr>
            </w:pPr>
            <w:r>
              <w:rPr>
                <w:rFonts w:hint="eastAsia" w:asciiTheme="minorEastAsia" w:hAnsiTheme="minorEastAsia" w:eastAsiaTheme="minorEastAsia"/>
                <w:color w:val="000000" w:themeColor="text1"/>
                <w:sz w:val="21"/>
                <w:highlight w:val="none"/>
                <w14:textFill>
                  <w14:solidFill>
                    <w14:schemeClr w14:val="tx1"/>
                  </w14:solidFill>
                </w14:textFill>
              </w:rPr>
              <w:t>（指目前未在其他项目上任职，或虽在其他项目</w:t>
            </w:r>
            <w:r>
              <w:rPr>
                <w:rFonts w:hint="eastAsia" w:asciiTheme="minorEastAsia" w:hAnsiTheme="minorEastAsia" w:eastAsiaTheme="minorEastAsia"/>
                <w:color w:val="000000" w:themeColor="text1"/>
                <w:spacing w:val="3"/>
                <w:sz w:val="21"/>
                <w:highlight w:val="none"/>
                <w14:textFill>
                  <w14:solidFill>
                    <w14:schemeClr w14:val="tx1"/>
                  </w14:solidFill>
                </w14:textFill>
              </w:rPr>
              <w:t>上任职但本项目中标后能够</w:t>
            </w:r>
            <w:r>
              <w:rPr>
                <w:rFonts w:hint="eastAsia" w:asciiTheme="minorEastAsia" w:hAnsiTheme="minorEastAsia" w:eastAsiaTheme="minorEastAsia"/>
                <w:color w:val="000000" w:themeColor="text1"/>
                <w:sz w:val="21"/>
                <w:highlight w:val="none"/>
                <w14:textFill>
                  <w14:solidFill>
                    <w14:schemeClr w14:val="tx1"/>
                  </w14:solidFill>
                </w14:textFill>
              </w:rPr>
              <w:t>从该项目撤离）</w:t>
            </w:r>
          </w:p>
        </w:tc>
      </w:tr>
    </w:tbl>
    <w:p>
      <w:pPr>
        <w:keepNext w:val="0"/>
        <w:keepLines w:val="0"/>
        <w:widowControl/>
        <w:suppressLineNumbers w:val="0"/>
        <w:jc w:val="left"/>
        <w:rPr>
          <w:rFonts w:hint="eastAsia" w:cs="宋体"/>
          <w:b/>
          <w:bCs/>
          <w:color w:val="000000"/>
          <w:sz w:val="40"/>
          <w:szCs w:val="40"/>
          <w:highlight w:val="none"/>
          <w:lang w:val="en-US" w:eastAsia="zh-CN"/>
        </w:rPr>
      </w:pPr>
    </w:p>
    <w:p>
      <w:pPr>
        <w:keepNext w:val="0"/>
        <w:keepLines w:val="0"/>
        <w:widowControl/>
        <w:suppressLineNumbers w:val="0"/>
        <w:jc w:val="left"/>
        <w:rPr>
          <w:rFonts w:hint="eastAsia" w:cs="宋体"/>
          <w:b/>
          <w:bCs/>
          <w:color w:val="000000"/>
          <w:sz w:val="40"/>
          <w:szCs w:val="40"/>
          <w:highlight w:val="none"/>
          <w:lang w:val="en-US" w:eastAsia="zh-CN"/>
        </w:rPr>
      </w:pPr>
    </w:p>
    <w:p>
      <w:pPr>
        <w:keepNext w:val="0"/>
        <w:keepLines w:val="0"/>
        <w:widowControl/>
        <w:suppressLineNumbers w:val="0"/>
        <w:jc w:val="left"/>
        <w:rPr>
          <w:rFonts w:hint="eastAsia" w:cs="宋体"/>
          <w:b/>
          <w:bCs/>
          <w:color w:val="000000"/>
          <w:sz w:val="40"/>
          <w:szCs w:val="40"/>
          <w:highlight w:val="none"/>
          <w:lang w:val="en-US" w:eastAsia="zh-CN"/>
        </w:rPr>
      </w:pPr>
    </w:p>
    <w:p>
      <w:pPr>
        <w:pStyle w:val="8"/>
        <w:ind w:left="0" w:leftChars="0" w:firstLine="0" w:firstLineChars="0"/>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2"/>
        <w:rPr>
          <w:rFonts w:hint="eastAsia"/>
          <w:lang w:val="en-US" w:eastAsia="zh-CN"/>
        </w:rPr>
      </w:pPr>
    </w:p>
    <w:p>
      <w:pPr>
        <w:keepNext w:val="0"/>
        <w:keepLines w:val="0"/>
        <w:widowControl/>
        <w:numPr>
          <w:ilvl w:val="0"/>
          <w:numId w:val="1"/>
        </w:numPr>
        <w:suppressLineNumbers w:val="0"/>
        <w:jc w:val="left"/>
        <w:rPr>
          <w:rFonts w:hint="eastAsia" w:ascii="宋体" w:hAnsi="宋体" w:eastAsia="宋体" w:cs="宋体"/>
          <w:b/>
          <w:bCs/>
          <w:color w:val="000000" w:themeColor="text1"/>
          <w:kern w:val="0"/>
          <w:sz w:val="28"/>
          <w:szCs w:val="28"/>
          <w:lang w:val="en-US" w:eastAsia="zh-CN" w:bidi="ar"/>
          <w14:textFill>
            <w14:solidFill>
              <w14:schemeClr w14:val="tx1"/>
            </w14:solidFill>
          </w14:textFill>
        </w:rPr>
      </w:pPr>
      <w:r>
        <w:rPr>
          <w:rFonts w:hint="eastAsia" w:ascii="宋体" w:hAnsi="宋体" w:eastAsia="宋体" w:cs="宋体"/>
          <w:b/>
          <w:bCs/>
          <w:color w:val="000000" w:themeColor="text1"/>
          <w:kern w:val="0"/>
          <w:sz w:val="30"/>
          <w:szCs w:val="30"/>
          <w:lang w:val="en-US" w:eastAsia="zh-CN" w:bidi="ar"/>
          <w14:textFill>
            <w14:solidFill>
              <w14:schemeClr w14:val="tx1"/>
            </w14:solidFill>
          </w14:textFill>
        </w:rPr>
        <w:t>评标办法全文</w:t>
      </w:r>
      <w:r>
        <w:rPr>
          <w:rFonts w:hint="eastAsia" w:ascii="宋体" w:hAnsi="宋体" w:eastAsia="宋体" w:cs="宋体"/>
          <w:b/>
          <w:bCs/>
          <w:color w:val="000000" w:themeColor="text1"/>
          <w:kern w:val="0"/>
          <w:sz w:val="28"/>
          <w:szCs w:val="28"/>
          <w:lang w:val="en-US" w:eastAsia="zh-CN" w:bidi="ar"/>
          <w14:textFill>
            <w14:solidFill>
              <w14:schemeClr w14:val="tx1"/>
            </w14:solidFill>
          </w14:textFill>
        </w:rPr>
        <w:t xml:space="preserve"> </w:t>
      </w:r>
    </w:p>
    <w:p>
      <w:pPr>
        <w:spacing w:before="1"/>
        <w:ind w:left="504" w:right="489"/>
        <w:jc w:val="center"/>
        <w:rPr>
          <w:rFonts w:hint="default"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 xml:space="preserve">一标段  </w:t>
      </w:r>
      <w:r>
        <w:rPr>
          <w:rFonts w:asciiTheme="minorEastAsia" w:hAnsiTheme="minorEastAsia" w:eastAsiaTheme="minorEastAsia"/>
          <w:b/>
          <w:bCs/>
          <w:color w:val="000000" w:themeColor="text1"/>
          <w:sz w:val="28"/>
          <w:szCs w:val="28"/>
          <w14:textFill>
            <w14:solidFill>
              <w14:schemeClr w14:val="tx1"/>
            </w14:solidFill>
          </w14:textFill>
        </w:rPr>
        <w:t>施工监理</w:t>
      </w:r>
      <w:r>
        <w:rPr>
          <w:rFonts w:hint="eastAsia" w:asciiTheme="minorEastAsia" w:hAnsiTheme="minorEastAsia" w:eastAsiaTheme="minorEastAsia"/>
          <w:b/>
          <w:bCs/>
          <w:color w:val="000000" w:themeColor="text1"/>
          <w:sz w:val="28"/>
          <w:szCs w:val="28"/>
          <w:lang w:val="en-US" w:eastAsia="zh-CN"/>
          <w14:textFill>
            <w14:solidFill>
              <w14:schemeClr w14:val="tx1"/>
            </w14:solidFill>
          </w14:textFill>
        </w:rPr>
        <w:t>评标办法</w:t>
      </w:r>
    </w:p>
    <w:p>
      <w:pPr>
        <w:pStyle w:val="2"/>
        <w:spacing w:before="9"/>
        <w:rPr>
          <w:rFonts w:asciiTheme="minorEastAsia" w:hAnsiTheme="minorEastAsia" w:eastAsiaTheme="minorEastAsia"/>
          <w:color w:val="auto"/>
          <w:sz w:val="11"/>
          <w:highlight w:val="none"/>
        </w:rPr>
      </w:pPr>
    </w:p>
    <w:tbl>
      <w:tblPr>
        <w:tblStyle w:val="14"/>
        <w:tblW w:w="9765"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528"/>
        <w:gridCol w:w="7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02" w:type="dxa"/>
            <w:gridSpan w:val="2"/>
          </w:tcPr>
          <w:p>
            <w:pPr>
              <w:pStyle w:val="12"/>
              <w:spacing w:before="2"/>
              <w:rPr>
                <w:rFonts w:asciiTheme="minorEastAsia" w:hAnsiTheme="minorEastAsia" w:eastAsiaTheme="minorEastAsia"/>
                <w:color w:val="auto"/>
                <w:sz w:val="16"/>
                <w:highlight w:val="none"/>
              </w:rPr>
            </w:pPr>
          </w:p>
          <w:p>
            <w:pPr>
              <w:pStyle w:val="1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条款号</w:t>
            </w:r>
          </w:p>
        </w:tc>
        <w:tc>
          <w:tcPr>
            <w:tcW w:w="7063" w:type="dxa"/>
          </w:tcPr>
          <w:p>
            <w:pPr>
              <w:pStyle w:val="12"/>
              <w:spacing w:before="2"/>
              <w:rPr>
                <w:rFonts w:asciiTheme="minorEastAsia" w:hAnsiTheme="minorEastAsia" w:eastAsiaTheme="minorEastAsia"/>
                <w:color w:val="auto"/>
                <w:sz w:val="16"/>
                <w:highlight w:val="none"/>
              </w:rPr>
            </w:pPr>
          </w:p>
          <w:p>
            <w:pPr>
              <w:pStyle w:val="1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3" w:hRule="atLeast"/>
        </w:trPr>
        <w:tc>
          <w:tcPr>
            <w:tcW w:w="1174" w:type="dxa"/>
            <w:tcBorders>
              <w:bottom w:val="single" w:color="auto" w:sz="4" w:space="0"/>
            </w:tcBorders>
          </w:tcPr>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15"/>
                <w:highlight w:val="none"/>
              </w:rPr>
            </w:pPr>
          </w:p>
          <w:p>
            <w:pPr>
              <w:pStyle w:val="12"/>
              <w:ind w:left="5"/>
              <w:jc w:val="center"/>
              <w:rPr>
                <w:rFonts w:asciiTheme="minorEastAsia" w:hAnsiTheme="minorEastAsia" w:eastAsiaTheme="minorEastAsia"/>
                <w:color w:val="auto"/>
                <w:sz w:val="21"/>
                <w:highlight w:val="none"/>
              </w:rPr>
            </w:pPr>
            <w:r>
              <w:rPr>
                <w:rFonts w:asciiTheme="minorEastAsia" w:hAnsiTheme="minorEastAsia" w:eastAsiaTheme="minorEastAsia"/>
                <w:color w:val="auto"/>
                <w:w w:val="99"/>
                <w:sz w:val="21"/>
                <w:highlight w:val="none"/>
              </w:rPr>
              <w:t>1</w:t>
            </w:r>
          </w:p>
        </w:tc>
        <w:tc>
          <w:tcPr>
            <w:tcW w:w="1528" w:type="dxa"/>
            <w:tcBorders>
              <w:bottom w:val="single" w:color="auto" w:sz="4" w:space="0"/>
            </w:tcBorders>
          </w:tcPr>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15"/>
                <w:highlight w:val="none"/>
              </w:rPr>
            </w:pPr>
          </w:p>
          <w:p>
            <w:pPr>
              <w:pStyle w:val="1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评标方法</w:t>
            </w:r>
          </w:p>
        </w:tc>
        <w:tc>
          <w:tcPr>
            <w:tcW w:w="7063" w:type="dxa"/>
            <w:tcBorders>
              <w:bottom w:val="single" w:color="auto" w:sz="4" w:space="0"/>
            </w:tcBorders>
          </w:tcPr>
          <w:p>
            <w:pPr>
              <w:pStyle w:val="12"/>
              <w:spacing w:before="1"/>
              <w:rPr>
                <w:rFonts w:asciiTheme="minorEastAsia" w:hAnsiTheme="minorEastAsia" w:eastAsiaTheme="minorEastAsia"/>
                <w:color w:val="auto"/>
                <w:sz w:val="25"/>
                <w:highlight w:val="none"/>
              </w:rPr>
            </w:pPr>
          </w:p>
          <w:p>
            <w:pPr>
              <w:widowControl w:val="0"/>
              <w:tabs>
                <w:tab w:val="left" w:leader="middleDot" w:pos="8400"/>
                <w:tab w:val="left" w:leader="middleDot" w:pos="10500"/>
              </w:tabs>
              <w:spacing w:line="360" w:lineRule="auto"/>
              <w:ind w:firstLine="369" w:firstLineChars="175"/>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综合评分相等时，评标委员会依次按照以下优先顺序推荐中标候选人或确定中标人：</w:t>
            </w:r>
          </w:p>
          <w:p>
            <w:pPr>
              <w:widowControl w:val="0"/>
              <w:tabs>
                <w:tab w:val="left" w:leader="middleDot" w:pos="8400"/>
                <w:tab w:val="left" w:leader="middleDot" w:pos="10500"/>
              </w:tabs>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（1）评标价低的投标人优先；</w:t>
            </w:r>
          </w:p>
          <w:p>
            <w:pPr>
              <w:widowControl w:val="0"/>
              <w:tabs>
                <w:tab w:val="left" w:leader="middleDot" w:pos="8400"/>
                <w:tab w:val="left" w:leader="middleDot" w:pos="10500"/>
              </w:tabs>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bookmarkStart w:id="2" w:name="EBd7d0a850dca74be6873ec5c84b7d162a"/>
            <w:r>
              <w:rPr>
                <w:rFonts w:hint="eastAsia" w:ascii="宋体" w:hAnsi="宋体" w:eastAsia="宋体" w:cs="宋体"/>
                <w:color w:val="auto"/>
                <w:kern w:val="2"/>
                <w:sz w:val="21"/>
                <w:szCs w:val="21"/>
                <w:highlight w:val="none"/>
                <w:lang w:val="en-US" w:eastAsia="zh-CN" w:bidi="ar-SA"/>
              </w:rPr>
              <w:t>2022年度被宁夏交通运输厅评为较高信用等级的投标人优先；以《自治区交通运输厅关于公布2022年度宁夏公路建设与养护市场从业单位及从业人员信用评价结果的通知》（宁交函[2023]98号）文件中的信用评价等级（监理企业）为准；</w:t>
            </w:r>
            <w:bookmarkEnd w:id="2"/>
          </w:p>
          <w:p>
            <w:pPr>
              <w:widowControl w:val="0"/>
              <w:tabs>
                <w:tab w:val="left" w:leader="middleDot" w:pos="8400"/>
                <w:tab w:val="left" w:leader="middleDot" w:pos="10500"/>
              </w:tabs>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（3）商务和技术得分较高的优先；</w:t>
            </w:r>
          </w:p>
          <w:p>
            <w:pPr>
              <w:pStyle w:val="12"/>
              <w:spacing w:line="360" w:lineRule="auto"/>
              <w:ind w:firstLine="420" w:firstLineChars="200"/>
              <w:rPr>
                <w:rFonts w:asciiTheme="minorEastAsia" w:hAnsiTheme="minorEastAsia" w:eastAsiaTheme="minorEastAsia"/>
                <w:color w:val="auto"/>
                <w:sz w:val="21"/>
                <w:highlight w:val="none"/>
              </w:rPr>
            </w:pPr>
            <w:r>
              <w:rPr>
                <w:rFonts w:hint="eastAsia" w:ascii="宋体" w:hAnsi="宋体" w:eastAsia="宋体" w:cs="宋体"/>
                <w:color w:val="auto"/>
                <w:kern w:val="2"/>
                <w:sz w:val="21"/>
                <w:szCs w:val="21"/>
                <w:highlight w:val="none"/>
                <w:lang w:val="en-US" w:eastAsia="zh-CN" w:bidi="ar-SA"/>
              </w:rPr>
              <w:t>（4）商务和技术得分相等时，则由评标委员会根据技术建议书的编制情况投票确定其推荐排序。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174"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heme="minorEastAsia" w:hAnsiTheme="minorEastAsia" w:eastAsiaTheme="minorEastAsia"/>
                <w:color w:val="auto"/>
                <w:sz w:val="20"/>
                <w:highlight w:val="none"/>
              </w:rPr>
            </w:pPr>
            <w:r>
              <w:rPr>
                <w:rFonts w:asciiTheme="minorEastAsia" w:hAnsiTheme="minorEastAsia" w:eastAsiaTheme="minorEastAsia"/>
                <w:color w:val="auto"/>
                <w:sz w:val="21"/>
                <w:highlight w:val="none"/>
              </w:rPr>
              <w:t>2.2.1</w:t>
            </w:r>
          </w:p>
          <w:p>
            <w:pPr>
              <w:pStyle w:val="12"/>
              <w:jc w:val="center"/>
              <w:rPr>
                <w:rFonts w:asciiTheme="minorEastAsia" w:hAnsiTheme="minorEastAsia" w:eastAsiaTheme="minorEastAsia"/>
                <w:color w:val="auto"/>
                <w:sz w:val="20"/>
                <w:highlight w:val="none"/>
              </w:rPr>
            </w:pPr>
            <w:r>
              <w:rPr>
                <w:rFonts w:asciiTheme="minorEastAsia" w:hAnsiTheme="minorEastAsia" w:eastAsiaTheme="minorEastAsia"/>
                <w:color w:val="auto"/>
                <w:sz w:val="21"/>
                <w:highlight w:val="none"/>
              </w:rPr>
              <w:t>2.1.3</w:t>
            </w:r>
          </w:p>
        </w:tc>
        <w:tc>
          <w:tcPr>
            <w:tcW w:w="1528" w:type="dxa"/>
            <w:tcBorders>
              <w:top w:val="single" w:color="auto" w:sz="4" w:space="0"/>
              <w:left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jc w:val="center"/>
              <w:textAlignment w:val="auto"/>
              <w:rPr>
                <w:rFonts w:asciiTheme="minorEastAsia" w:hAnsiTheme="minorEastAsia" w:eastAsiaTheme="minorEastAsia"/>
                <w:color w:val="auto"/>
                <w:sz w:val="20"/>
                <w:highlight w:val="none"/>
              </w:rPr>
            </w:pPr>
            <w:r>
              <w:rPr>
                <w:rFonts w:asciiTheme="minorEastAsia" w:hAnsiTheme="minorEastAsia" w:eastAsiaTheme="minorEastAsia"/>
                <w:color w:val="auto"/>
                <w:sz w:val="21"/>
                <w:highlight w:val="none"/>
              </w:rPr>
              <w:t>形式评审与响应性评审标准</w:t>
            </w:r>
          </w:p>
        </w:tc>
        <w:tc>
          <w:tcPr>
            <w:tcW w:w="7063" w:type="dxa"/>
            <w:tcBorders>
              <w:top w:val="single" w:color="auto" w:sz="4" w:space="0"/>
              <w:left w:val="single" w:color="auto" w:sz="4" w:space="0"/>
              <w:right w:val="single" w:color="auto" w:sz="4" w:space="0"/>
            </w:tcBorders>
          </w:tcPr>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第一个信封（商务及技术文件）评审标准：</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（1）投标文件按照招标文件规定的格式、内容填写，字迹清晰可辨:</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a.投标函按招标文件规定填报了项目名称、标段、补遗书编号（如有）、监理服务期等；</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b.投标文件组成完整，内容均按规定填写。</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（2）投标文件上法定代表人或其授权代理人的签字、投标人的单位章盖章齐全，符合招标文件规定:</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（3）投标人法定代表人授权代理人签署投标文件的，须提交授权委托书，且授权人和被授权人均在授权委托书上亲笔签名，不得使用印章、签名章或其他电子制版签名代替:</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（4）投标人法定代表人亲自签署投标文件的，提供法定代表人身份证明，且法定代表人在法定代表人身份证明上亲笔签名，不得使用印章、签名章或其他电子制版签名代替:</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（5）投标人未以联合体形式投标:</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（6）同一投标人未提交两个以上不同的投标文件:</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（7）投标文件第一信封中未出现有关投标报价的内容:</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（8）投标文件载明的招标项目完成期限未超过招标文件规定的时限:</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（9）投标文件对招标文件的实质性要求和条件作出响应:</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（10）权利义务符合招标文件规定:</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a.投标人应接受招标文件规定的风险划分原则，未提出新的风险划分办法；</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b.投标人未增加发包人的责任范围，或减少投标人义务；</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c.投标人未提出不同的工程验收、计量、支付办法；</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d.投标人对合同纠纷、事故处理办法未提出异议；</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e.投标人在投标活动中无欺诈行为；</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f.投标人未对合同条款有重要保留。</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（11）投标文件编制符合“投标人须知”第3.7款规定:</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（12）投标文件提交方式满足“投标人须知”之规定:</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（13）不按评标委员会要求澄清、说明或补正的:</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第二个信封（报价文件）评审标准：</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（1）投标文件按照招标文件规定的格式、内容填写，字迹清晰可辨:</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a、投标函按招标文件规定填报了项目名称、标段、补遗书编号（如有）、投标价（包括大写金额和小写金额）；</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b、已标价工程量固化清单、清单说明文字与招标文件规定一致，未进行实质性修改和删减；</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c、投标文件组成齐全完整，内容均按规定填写。</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（2）投标文件上法定代表人或其授权代理人的签字、投标人的单位章盖章齐全，符合招标文件规定:</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（3）投标报价未超过招标文件设定的最高投标限价（如有）:</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（4）投标报价的大写金额能够确定具体数值:</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（5）同一投标人未提交两个以上不同的投标报价:</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（6）投标文件编制符合“投标人须知”第3.7款规定:</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（7）投标文件提交方式满足“投标人须知”之款规定:</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（8）未修改招标人给定的暂估价（如有）或暂列金额（如有）:</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（9）投标文件未附有招标人不能接受的条件:</w:t>
            </w:r>
          </w:p>
          <w:p>
            <w:pPr>
              <w:pStyle w:val="12"/>
              <w:spacing w:line="360" w:lineRule="auto"/>
              <w:rPr>
                <w:rFonts w:hint="default" w:asciiTheme="minorEastAsia" w:hAnsiTheme="minorEastAsia" w:eastAsiaTheme="minorEastAsia"/>
                <w:color w:val="auto"/>
                <w:sz w:val="21"/>
                <w:highlight w:val="none"/>
                <w:lang w:val="en-US" w:eastAsia="zh-CN"/>
              </w:rPr>
            </w:pPr>
            <w:r>
              <w:rPr>
                <w:rStyle w:val="11"/>
                <w:rFonts w:hint="eastAsia" w:ascii="宋体" w:hAnsi="宋体" w:eastAsia="宋体" w:cs="宋体"/>
                <w:b w:val="0"/>
                <w:color w:val="auto"/>
                <w:spacing w:val="0"/>
                <w:w w:val="100"/>
                <w:sz w:val="21"/>
                <w:szCs w:val="24"/>
                <w:highlight w:val="none"/>
              </w:rPr>
              <w:t>（10）不按评标委员会要求澄清、说明或补正的: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174" w:type="dxa"/>
            <w:tcBorders>
              <w:top w:val="single" w:color="auto" w:sz="4" w:space="0"/>
              <w:left w:val="single" w:color="auto" w:sz="4" w:space="0"/>
              <w:bottom w:val="single" w:color="auto" w:sz="4" w:space="0"/>
              <w:right w:val="single" w:color="auto" w:sz="4" w:space="0"/>
            </w:tcBorders>
            <w:vAlign w:val="top"/>
          </w:tcPr>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spacing w:before="8"/>
              <w:rPr>
                <w:rFonts w:asciiTheme="minorEastAsia" w:hAnsiTheme="minorEastAsia" w:eastAsiaTheme="minorEastAsia"/>
                <w:color w:val="auto"/>
                <w:sz w:val="24"/>
                <w:highlight w:val="none"/>
              </w:rPr>
            </w:pPr>
          </w:p>
          <w:p>
            <w:pPr>
              <w:pStyle w:val="12"/>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2.1.2</w:t>
            </w:r>
          </w:p>
        </w:tc>
        <w:tc>
          <w:tcPr>
            <w:tcW w:w="1528" w:type="dxa"/>
            <w:tcBorders>
              <w:top w:val="single" w:color="auto" w:sz="4" w:space="0"/>
              <w:left w:val="single" w:color="auto" w:sz="4" w:space="0"/>
              <w:right w:val="single" w:color="auto" w:sz="4" w:space="0"/>
            </w:tcBorders>
            <w:vAlign w:val="top"/>
          </w:tcPr>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spacing w:before="8"/>
              <w:rPr>
                <w:rFonts w:asciiTheme="minorEastAsia" w:hAnsiTheme="minorEastAsia" w:eastAsiaTheme="minorEastAsia"/>
                <w:color w:val="auto"/>
                <w:sz w:val="24"/>
                <w:highlight w:val="none"/>
              </w:rPr>
            </w:pPr>
          </w:p>
          <w:p>
            <w:pPr>
              <w:pStyle w:val="12"/>
              <w:jc w:val="center"/>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资格评审标准</w:t>
            </w:r>
          </w:p>
        </w:tc>
        <w:tc>
          <w:tcPr>
            <w:tcW w:w="7063" w:type="dxa"/>
            <w:tcBorders>
              <w:top w:val="single" w:color="auto" w:sz="4" w:space="0"/>
              <w:left w:val="single" w:color="auto" w:sz="4" w:space="0"/>
              <w:right w:val="single" w:color="auto" w:sz="4" w:space="0"/>
            </w:tcBorders>
            <w:vAlign w:val="top"/>
          </w:tcPr>
          <w:p>
            <w:pPr>
              <w:pStyle w:val="12"/>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1</w:t>
            </w:r>
            <w:r>
              <w:rPr>
                <w:rFonts w:hint="eastAsia" w:asciiTheme="minorEastAsia" w:hAnsiTheme="minorEastAsia" w:eastAsiaTheme="minorEastAsia"/>
                <w:color w:val="auto"/>
                <w:sz w:val="21"/>
                <w:highlight w:val="none"/>
                <w:lang w:eastAsia="zh-CN"/>
              </w:rPr>
              <w:t>）</w:t>
            </w:r>
            <w:r>
              <w:rPr>
                <w:rFonts w:asciiTheme="minorEastAsia" w:hAnsiTheme="minorEastAsia" w:eastAsiaTheme="minorEastAsia"/>
                <w:color w:val="auto"/>
                <w:sz w:val="21"/>
                <w:highlight w:val="none"/>
              </w:rPr>
              <w:t>投标人具备</w:t>
            </w:r>
            <w:r>
              <w:rPr>
                <w:rFonts w:cs="宋体" w:asciiTheme="minorEastAsia" w:hAnsiTheme="minorEastAsia" w:eastAsiaTheme="minorEastAsia"/>
                <w:color w:val="auto"/>
                <w:sz w:val="21"/>
                <w:highlight w:val="none"/>
              </w:rPr>
              <w:t>有效的营业执照或事业单位法人证书或社会团体法人登记证书、监理资质证书、基本账户开户银行提供的开户或账户信息证明:</w:t>
            </w:r>
          </w:p>
          <w:p>
            <w:pPr>
              <w:pStyle w:val="12"/>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2</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投标人的资质符合招标文件投标人须知附录 1 规定:</w:t>
            </w:r>
          </w:p>
          <w:p>
            <w:pPr>
              <w:pStyle w:val="12"/>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3</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投标人的业绩符合招标文件投标人须知正文及附录 2 规定:</w:t>
            </w:r>
          </w:p>
          <w:p>
            <w:pPr>
              <w:pStyle w:val="12"/>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4</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投标人的信誉符合招标文件投标人须知正文及附录 3 规定:</w:t>
            </w:r>
          </w:p>
          <w:p>
            <w:pPr>
              <w:pStyle w:val="12"/>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5</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投标人的总监理工程师资格符合招标文件投标人须附录 4 规定:</w:t>
            </w:r>
          </w:p>
          <w:p>
            <w:pPr>
              <w:pStyle w:val="12"/>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6</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投标人的其他要求符合招标文件规定:</w:t>
            </w:r>
          </w:p>
          <w:p>
            <w:pPr>
              <w:pStyle w:val="12"/>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7</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投标人不存在第二章“投标人须知”第 1.4.3 项规定的任何一种情形:</w:t>
            </w:r>
          </w:p>
          <w:p>
            <w:pPr>
              <w:pStyle w:val="12"/>
              <w:numPr>
                <w:ilvl w:val="0"/>
                <w:numId w:val="0"/>
              </w:numPr>
              <w:tabs>
                <w:tab w:val="left" w:pos="633"/>
              </w:tabs>
              <w:spacing w:line="360" w:lineRule="auto"/>
              <w:ind w:left="108" w:leftChars="0" w:right="177" w:rightChars="0" w:firstLine="0" w:firstLineChars="0"/>
              <w:rPr>
                <w:rFonts w:hint="eastAsia" w:cs="宋体" w:asciiTheme="minorEastAsia" w:hAnsiTheme="minorEastAsia" w:eastAsiaTheme="minorEastAsia"/>
                <w:color w:val="auto"/>
                <w:sz w:val="21"/>
                <w:highlight w:val="none"/>
                <w:lang w:eastAsia="zh-CN"/>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8</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投标人符合第二章“投标人须知”第 1.4.5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174" w:type="dxa"/>
            <w:tcBorders>
              <w:top w:val="single" w:color="auto" w:sz="4" w:space="0"/>
              <w:left w:val="single" w:color="auto" w:sz="4" w:space="0"/>
              <w:bottom w:val="single" w:color="auto" w:sz="4" w:space="0"/>
              <w:right w:val="single" w:color="auto" w:sz="4" w:space="0"/>
            </w:tcBorders>
            <w:vAlign w:val="top"/>
          </w:tcPr>
          <w:p>
            <w:pPr>
              <w:pStyle w:val="12"/>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p>
          <w:p>
            <w:pPr>
              <w:pStyle w:val="12"/>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p>
          <w:p>
            <w:pPr>
              <w:pStyle w:val="12"/>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2.2.1</w:t>
            </w:r>
          </w:p>
        </w:tc>
        <w:tc>
          <w:tcPr>
            <w:tcW w:w="1528" w:type="dxa"/>
            <w:tcBorders>
              <w:top w:val="single" w:color="auto" w:sz="4" w:space="0"/>
              <w:left w:val="single" w:color="auto" w:sz="4" w:space="0"/>
              <w:bottom w:val="single" w:color="auto" w:sz="4" w:space="0"/>
              <w:right w:val="single" w:color="auto" w:sz="4" w:space="0"/>
            </w:tcBorders>
            <w:vAlign w:val="top"/>
          </w:tcPr>
          <w:p>
            <w:pPr>
              <w:pStyle w:val="12"/>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p>
          <w:p>
            <w:pPr>
              <w:pStyle w:val="12"/>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分值构成</w:t>
            </w:r>
          </w:p>
          <w:p>
            <w:pPr>
              <w:pStyle w:val="12"/>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（总分 100 分）</w:t>
            </w:r>
          </w:p>
        </w:tc>
        <w:tc>
          <w:tcPr>
            <w:tcW w:w="7063" w:type="dxa"/>
            <w:tcBorders>
              <w:top w:val="single" w:color="auto" w:sz="4" w:space="0"/>
              <w:left w:val="single" w:color="auto" w:sz="4" w:space="0"/>
              <w:bottom w:val="single" w:color="auto" w:sz="4" w:space="0"/>
              <w:right w:val="single" w:color="auto" w:sz="4" w:space="0"/>
            </w:tcBorders>
            <w:vAlign w:val="top"/>
          </w:tcPr>
          <w:p>
            <w:pPr>
              <w:pStyle w:val="12"/>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 xml:space="preserve">第一个信封（商务及技术文件）评分分值构成： </w:t>
            </w:r>
          </w:p>
          <w:p>
            <w:pPr>
              <w:pStyle w:val="12"/>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技术建议书 ： 35.00 分</w:t>
            </w:r>
          </w:p>
          <w:p>
            <w:pPr>
              <w:pStyle w:val="12"/>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主要人员：25.00 分</w:t>
            </w:r>
          </w:p>
          <w:p>
            <w:pPr>
              <w:pStyle w:val="12"/>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业绩:25.0 分</w:t>
            </w:r>
          </w:p>
          <w:p>
            <w:pPr>
              <w:pStyle w:val="12"/>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履约信誉:5.0 分</w:t>
            </w:r>
          </w:p>
          <w:p>
            <w:pPr>
              <w:pStyle w:val="12"/>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第二个信封（报价文件）评分分值构成：</w:t>
            </w:r>
          </w:p>
          <w:p>
            <w:pPr>
              <w:pStyle w:val="12"/>
              <w:numPr>
                <w:ilvl w:val="0"/>
                <w:numId w:val="0"/>
              </w:numPr>
              <w:tabs>
                <w:tab w:val="left" w:pos="633"/>
              </w:tabs>
              <w:spacing w:line="360" w:lineRule="auto"/>
              <w:ind w:left="108" w:leftChars="0" w:right="177" w:rightChars="0" w:firstLine="0" w:firstLineChars="0"/>
              <w:rPr>
                <w:rFonts w:hint="eastAsia" w:cs="宋体" w:asciiTheme="minorEastAsia" w:hAnsiTheme="minorEastAsia" w:eastAsiaTheme="minorEastAsia"/>
                <w:color w:val="auto"/>
                <w:sz w:val="21"/>
                <w:highlight w:val="none"/>
                <w:lang w:eastAsia="zh-CN"/>
              </w:rPr>
            </w:pPr>
            <w:r>
              <w:rPr>
                <w:rFonts w:cs="宋体" w:asciiTheme="minorEastAsia" w:hAnsiTheme="minorEastAsia" w:eastAsiaTheme="minorEastAsia"/>
                <w:color w:val="auto"/>
                <w:sz w:val="21"/>
                <w:highlight w:val="none"/>
              </w:rPr>
              <w:t>评标价：10.00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174" w:type="dxa"/>
            <w:tcBorders>
              <w:top w:val="single" w:color="auto" w:sz="4" w:space="0"/>
              <w:left w:val="single" w:color="auto" w:sz="4" w:space="0"/>
              <w:bottom w:val="single" w:color="auto" w:sz="4" w:space="0"/>
              <w:right w:val="single" w:color="auto" w:sz="4" w:space="0"/>
            </w:tcBorders>
            <w:vAlign w:val="center"/>
          </w:tcPr>
          <w:p>
            <w:pPr>
              <w:pStyle w:val="12"/>
              <w:numPr>
                <w:ilvl w:val="0"/>
                <w:numId w:val="0"/>
              </w:numPr>
              <w:tabs>
                <w:tab w:val="left" w:pos="633"/>
              </w:tabs>
              <w:spacing w:line="360" w:lineRule="auto"/>
              <w:ind w:right="177" w:rightChars="0"/>
              <w:jc w:val="center"/>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2.2.2</w:t>
            </w:r>
          </w:p>
        </w:tc>
        <w:tc>
          <w:tcPr>
            <w:tcW w:w="1528" w:type="dxa"/>
            <w:tcBorders>
              <w:top w:val="single" w:color="auto" w:sz="4" w:space="0"/>
              <w:left w:val="single" w:color="auto" w:sz="4" w:space="0"/>
              <w:bottom w:val="single" w:color="auto" w:sz="4" w:space="0"/>
              <w:right w:val="single" w:color="auto" w:sz="4" w:space="0"/>
            </w:tcBorders>
            <w:vAlign w:val="center"/>
          </w:tcPr>
          <w:p>
            <w:pPr>
              <w:pStyle w:val="12"/>
              <w:numPr>
                <w:ilvl w:val="0"/>
                <w:numId w:val="0"/>
              </w:numPr>
              <w:tabs>
                <w:tab w:val="left" w:pos="633"/>
              </w:tabs>
              <w:spacing w:line="360" w:lineRule="auto"/>
              <w:ind w:right="177" w:rightChars="0"/>
              <w:jc w:val="center"/>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评标基准价计算方法</w:t>
            </w:r>
          </w:p>
        </w:tc>
        <w:tc>
          <w:tcPr>
            <w:tcW w:w="7063" w:type="dxa"/>
            <w:tcBorders>
              <w:top w:val="single" w:color="auto" w:sz="4" w:space="0"/>
              <w:left w:val="single" w:color="auto" w:sz="4" w:space="0"/>
              <w:bottom w:val="single" w:color="auto" w:sz="4" w:space="0"/>
              <w:right w:val="single" w:color="auto" w:sz="4" w:space="0"/>
            </w:tcBorders>
            <w:vAlign w:val="top"/>
          </w:tcPr>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评标基准价的计算：</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在开标现场，招标人将当场计算并宣布评标基准价。</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（1）评标价的确定：</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评标价＝投标函文字报价</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（2）评标价平均值的计算：</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（2）评标价平均值的计算：</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 5 家时，则计算评标价平均值时不去掉最高值和最低值）。</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（3）评标基准价的确定：</w:t>
            </w:r>
          </w:p>
          <w:p>
            <w:pPr>
              <w:pStyle w:val="17"/>
              <w:spacing w:line="360" w:lineRule="auto"/>
              <w:jc w:val="left"/>
              <w:rPr>
                <w:rStyle w:val="11"/>
                <w:rFonts w:hint="eastAsia" w:ascii="宋体" w:hAnsi="宋体" w:eastAsia="宋体" w:cs="宋体"/>
                <w:b w:val="0"/>
                <w:color w:val="auto"/>
                <w:spacing w:val="0"/>
                <w:w w:val="100"/>
                <w:sz w:val="21"/>
                <w:szCs w:val="24"/>
                <w:highlight w:val="none"/>
                <w:lang w:val="en-US" w:eastAsia="zh-CN" w:bidi="ar-SA"/>
              </w:rPr>
            </w:pPr>
            <w:r>
              <w:rPr>
                <w:rStyle w:val="11"/>
                <w:rFonts w:hint="eastAsia" w:ascii="宋体" w:hAnsi="宋体" w:eastAsia="宋体" w:cs="宋体"/>
                <w:b w:val="0"/>
                <w:color w:val="auto"/>
                <w:spacing w:val="0"/>
                <w:w w:val="100"/>
                <w:sz w:val="21"/>
                <w:szCs w:val="24"/>
                <w:highlight w:val="none"/>
                <w:lang w:val="en-US" w:eastAsia="zh-CN" w:bidi="ar-SA"/>
              </w:rPr>
              <w:t>将评标价平均值直接作为评标基准价。</w:t>
            </w:r>
          </w:p>
          <w:p>
            <w:pPr>
              <w:pStyle w:val="12"/>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Style w:val="11"/>
                <w:rFonts w:hint="eastAsia" w:ascii="宋体" w:hAnsi="宋体" w:eastAsia="宋体" w:cs="宋体"/>
                <w:b w:val="0"/>
                <w:color w:val="auto"/>
                <w:spacing w:val="0"/>
                <w:w w:val="100"/>
                <w:sz w:val="21"/>
                <w:szCs w:val="24"/>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174" w:type="dxa"/>
            <w:tcBorders>
              <w:top w:val="single" w:color="auto" w:sz="4" w:space="0"/>
              <w:left w:val="single" w:color="auto" w:sz="4" w:space="0"/>
              <w:bottom w:val="single" w:color="auto" w:sz="4" w:space="0"/>
              <w:right w:val="single" w:color="auto" w:sz="4" w:space="0"/>
            </w:tcBorders>
            <w:vAlign w:val="top"/>
          </w:tcPr>
          <w:p>
            <w:pPr>
              <w:pStyle w:val="12"/>
              <w:spacing w:before="4"/>
              <w:rPr>
                <w:rFonts w:asciiTheme="minorEastAsia" w:hAnsiTheme="minorEastAsia" w:eastAsiaTheme="minorEastAsia"/>
                <w:color w:val="auto"/>
                <w:sz w:val="18"/>
                <w:highlight w:val="none"/>
              </w:rPr>
            </w:pPr>
          </w:p>
          <w:p>
            <w:pPr>
              <w:pStyle w:val="12"/>
              <w:ind w:left="312" w:leftChars="0"/>
              <w:rPr>
                <w:rFonts w:cs="宋体"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2.2.3</w:t>
            </w:r>
          </w:p>
        </w:tc>
        <w:tc>
          <w:tcPr>
            <w:tcW w:w="1528" w:type="dxa"/>
            <w:tcBorders>
              <w:top w:val="single" w:color="auto" w:sz="4" w:space="0"/>
              <w:left w:val="single" w:color="auto" w:sz="4" w:space="0"/>
              <w:right w:val="single" w:color="auto" w:sz="4" w:space="0"/>
            </w:tcBorders>
            <w:vAlign w:val="top"/>
          </w:tcPr>
          <w:p>
            <w:pPr>
              <w:pStyle w:val="12"/>
              <w:keepNext w:val="0"/>
              <w:keepLines w:val="0"/>
              <w:pageBreakBefore w:val="0"/>
              <w:widowControl w:val="0"/>
              <w:kinsoku/>
              <w:wordWrap/>
              <w:overflowPunct/>
              <w:topLinePunct w:val="0"/>
              <w:autoSpaceDE w:val="0"/>
              <w:autoSpaceDN w:val="0"/>
              <w:bidi w:val="0"/>
              <w:adjustRightInd/>
              <w:snapToGrid/>
              <w:spacing w:line="243" w:lineRule="auto"/>
              <w:ind w:right="0" w:rightChars="0"/>
              <w:jc w:val="center"/>
              <w:textAlignment w:val="auto"/>
              <w:rPr>
                <w:rFonts w:cs="宋体" w:asciiTheme="minorEastAsia" w:hAnsiTheme="minorEastAsia" w:eastAsiaTheme="minorEastAsia"/>
                <w:color w:val="auto"/>
                <w:sz w:val="21"/>
                <w:highlight w:val="none"/>
              </w:rPr>
            </w:pPr>
            <w:r>
              <w:rPr>
                <w:rFonts w:asciiTheme="minorEastAsia" w:hAnsiTheme="minorEastAsia" w:eastAsiaTheme="minorEastAsia"/>
                <w:color w:val="auto"/>
                <w:spacing w:val="-1"/>
                <w:sz w:val="21"/>
                <w:highlight w:val="none"/>
              </w:rPr>
              <w:t>评标价的偏差率计</w:t>
            </w:r>
            <w:r>
              <w:rPr>
                <w:rFonts w:asciiTheme="minorEastAsia" w:hAnsiTheme="minorEastAsia" w:eastAsiaTheme="minorEastAsia"/>
                <w:color w:val="auto"/>
                <w:sz w:val="21"/>
                <w:highlight w:val="none"/>
              </w:rPr>
              <w:t>算公式</w:t>
            </w:r>
          </w:p>
        </w:tc>
        <w:tc>
          <w:tcPr>
            <w:tcW w:w="7063" w:type="dxa"/>
            <w:tcBorders>
              <w:top w:val="single" w:color="auto" w:sz="4" w:space="0"/>
              <w:left w:val="single" w:color="auto" w:sz="4" w:space="0"/>
              <w:right w:val="single" w:color="auto" w:sz="4" w:space="0"/>
            </w:tcBorders>
            <w:vAlign w:val="top"/>
          </w:tcPr>
          <w:p>
            <w:pPr>
              <w:pStyle w:val="12"/>
              <w:keepNext w:val="0"/>
              <w:keepLines w:val="0"/>
              <w:pageBreakBefore w:val="0"/>
              <w:widowControl w:val="0"/>
              <w:kinsoku/>
              <w:wordWrap/>
              <w:overflowPunct/>
              <w:topLinePunct w:val="0"/>
              <w:autoSpaceDE w:val="0"/>
              <w:autoSpaceDN w:val="0"/>
              <w:bidi w:val="0"/>
              <w:adjustRightInd/>
              <w:snapToGrid/>
              <w:spacing w:line="243" w:lineRule="auto"/>
              <w:ind w:left="0" w:leftChars="0" w:right="0" w:rightChars="0"/>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偏差率=100</w:t>
            </w:r>
            <w:r>
              <w:rPr>
                <w:rFonts w:asciiTheme="minorEastAsia" w:hAnsiTheme="minorEastAsia" w:eastAsiaTheme="minorEastAsia"/>
                <w:color w:val="auto"/>
                <w:spacing w:val="-7"/>
                <w:sz w:val="21"/>
                <w:highlight w:val="none"/>
              </w:rPr>
              <w:t xml:space="preserve">% </w:t>
            </w:r>
            <w:r>
              <w:rPr>
                <w:rFonts w:asciiTheme="minorEastAsia" w:hAnsiTheme="minorEastAsia" w:eastAsiaTheme="minorEastAsia"/>
                <w:color w:val="auto"/>
                <w:sz w:val="21"/>
                <w:highlight w:val="none"/>
              </w:rPr>
              <w:t>×（投标人评标价－评标基准价）/评标基准价</w:t>
            </w:r>
          </w:p>
          <w:p>
            <w:pPr>
              <w:pStyle w:val="12"/>
              <w:keepNext w:val="0"/>
              <w:keepLines w:val="0"/>
              <w:pageBreakBefore w:val="0"/>
              <w:widowControl w:val="0"/>
              <w:kinsoku/>
              <w:wordWrap/>
              <w:overflowPunct/>
              <w:topLinePunct w:val="0"/>
              <w:autoSpaceDE w:val="0"/>
              <w:autoSpaceDN w:val="0"/>
              <w:bidi w:val="0"/>
              <w:adjustRightInd/>
              <w:snapToGrid/>
              <w:spacing w:line="243" w:lineRule="auto"/>
              <w:ind w:left="0" w:leftChars="0" w:right="0" w:rightChars="0"/>
              <w:textAlignment w:val="auto"/>
              <w:rPr>
                <w:rFonts w:cs="宋体"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偏差率保留</w:t>
            </w:r>
            <w:r>
              <w:rPr>
                <w:rFonts w:hint="eastAsia" w:asciiTheme="minorEastAsia" w:hAnsiTheme="minorEastAsia" w:eastAsiaTheme="minorEastAsia"/>
                <w:color w:val="auto"/>
                <w:sz w:val="21"/>
                <w:highlight w:val="none"/>
                <w:u w:val="single"/>
              </w:rPr>
              <w:t>2</w:t>
            </w:r>
            <w:r>
              <w:rPr>
                <w:rFonts w:asciiTheme="minorEastAsia" w:hAnsiTheme="minorEastAsia" w:eastAsiaTheme="minorEastAsia"/>
                <w:color w:val="auto"/>
                <w:sz w:val="21"/>
                <w:highlight w:val="none"/>
              </w:rPr>
              <w:t>位小数</w:t>
            </w:r>
          </w:p>
        </w:tc>
      </w:tr>
    </w:tbl>
    <w:p>
      <w:pPr>
        <w:spacing w:line="244" w:lineRule="auto"/>
        <w:rPr>
          <w:rFonts w:asciiTheme="minorEastAsia" w:hAnsiTheme="minorEastAsia" w:eastAsiaTheme="minorEastAsia"/>
          <w:color w:val="auto"/>
          <w:sz w:val="21"/>
          <w:highlight w:val="none"/>
        </w:rPr>
        <w:sectPr>
          <w:headerReference r:id="rId13" w:type="default"/>
          <w:footerReference r:id="rId14" w:type="default"/>
          <w:pgSz w:w="11910" w:h="16850"/>
          <w:pgMar w:top="1440" w:right="880" w:bottom="980" w:left="980" w:header="0" w:footer="792" w:gutter="0"/>
          <w:cols w:space="720" w:num="1"/>
        </w:sectPr>
      </w:pPr>
    </w:p>
    <w:tbl>
      <w:tblPr>
        <w:tblStyle w:val="14"/>
        <w:tblW w:w="9805"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555"/>
        <w:gridCol w:w="561"/>
        <w:gridCol w:w="713"/>
        <w:gridCol w:w="335"/>
        <w:gridCol w:w="862"/>
        <w:gridCol w:w="646"/>
        <w:gridCol w:w="5084"/>
        <w:gridCol w:w="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72" w:hRule="atLeast"/>
        </w:trPr>
        <w:tc>
          <w:tcPr>
            <w:tcW w:w="4698" w:type="dxa"/>
            <w:gridSpan w:val="7"/>
            <w:tcBorders>
              <w:right w:val="single" w:color="auto" w:sz="4" w:space="0"/>
            </w:tcBorders>
            <w:vAlign w:val="center"/>
          </w:tcPr>
          <w:p>
            <w:pPr>
              <w:pStyle w:val="1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val="en-US" w:eastAsia="zh-CN"/>
              </w:rPr>
              <w:t xml:space="preserve"> </w:t>
            </w:r>
            <w:r>
              <w:rPr>
                <w:rFonts w:asciiTheme="minorEastAsia" w:hAnsiTheme="minorEastAsia" w:eastAsiaTheme="minorEastAsia"/>
                <w:color w:val="auto"/>
                <w:sz w:val="21"/>
                <w:highlight w:val="none"/>
              </w:rPr>
              <w:t>评分因素与权重值</w:t>
            </w:r>
          </w:p>
        </w:tc>
        <w:tc>
          <w:tcPr>
            <w:tcW w:w="5084" w:type="dxa"/>
            <w:vMerge w:val="restart"/>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val="0"/>
              <w:autoSpaceDN w:val="0"/>
              <w:bidi w:val="0"/>
              <w:adjustRightInd/>
              <w:snapToGrid/>
              <w:ind w:left="0" w:right="0"/>
              <w:textAlignment w:val="auto"/>
              <w:rPr>
                <w:rFonts w:asciiTheme="minorEastAsia" w:hAnsiTheme="minorEastAsia" w:eastAsiaTheme="minorEastAsia"/>
                <w:color w:val="auto"/>
                <w:sz w:val="20"/>
                <w:highlight w:val="none"/>
              </w:rPr>
            </w:pPr>
          </w:p>
          <w:p>
            <w:pPr>
              <w:pStyle w:val="12"/>
              <w:keepNext w:val="0"/>
              <w:keepLines w:val="0"/>
              <w:pageBreakBefore w:val="0"/>
              <w:widowControl w:val="0"/>
              <w:kinsoku/>
              <w:wordWrap/>
              <w:overflowPunct/>
              <w:topLinePunct w:val="0"/>
              <w:autoSpaceDE w:val="0"/>
              <w:autoSpaceDN w:val="0"/>
              <w:bidi w:val="0"/>
              <w:adjustRightInd/>
              <w:snapToGrid/>
              <w:ind w:left="0" w:right="0"/>
              <w:textAlignment w:val="auto"/>
              <w:rPr>
                <w:rFonts w:asciiTheme="minorEastAsia" w:hAnsiTheme="minorEastAsia" w:eastAsiaTheme="minorEastAsia"/>
                <w:color w:val="auto"/>
                <w:sz w:val="20"/>
                <w:highlight w:val="none"/>
              </w:rPr>
            </w:pPr>
          </w:p>
          <w:p>
            <w:pPr>
              <w:pStyle w:val="12"/>
              <w:keepNext w:val="0"/>
              <w:keepLines w:val="0"/>
              <w:pageBreakBefore w:val="0"/>
              <w:widowControl w:val="0"/>
              <w:kinsoku/>
              <w:wordWrap/>
              <w:overflowPunct/>
              <w:topLinePunct w:val="0"/>
              <w:autoSpaceDE w:val="0"/>
              <w:autoSpaceDN w:val="0"/>
              <w:bidi w:val="0"/>
              <w:adjustRightInd/>
              <w:snapToGrid/>
              <w:ind w:left="0" w:right="0"/>
              <w:textAlignment w:val="auto"/>
              <w:rPr>
                <w:rFonts w:asciiTheme="minorEastAsia" w:hAnsiTheme="minorEastAsia" w:eastAsiaTheme="minorEastAsia"/>
                <w:color w:val="auto"/>
                <w:sz w:val="18"/>
                <w:highlight w:val="none"/>
              </w:rPr>
            </w:pPr>
          </w:p>
          <w:p>
            <w:pPr>
              <w:pStyle w:val="1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290" w:hRule="atLeast"/>
        </w:trPr>
        <w:tc>
          <w:tcPr>
            <w:tcW w:w="1026" w:type="dxa"/>
            <w:vAlign w:val="center"/>
          </w:tcPr>
          <w:p>
            <w:pPr>
              <w:pStyle w:val="1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条款号</w:t>
            </w:r>
          </w:p>
        </w:tc>
        <w:tc>
          <w:tcPr>
            <w:tcW w:w="1116"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评分</w:t>
            </w:r>
          </w:p>
          <w:p>
            <w:pPr>
              <w:pStyle w:val="1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因素</w:t>
            </w:r>
          </w:p>
        </w:tc>
        <w:tc>
          <w:tcPr>
            <w:tcW w:w="713"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242" w:lineRule="auto"/>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pacing w:val="-4"/>
                <w:sz w:val="21"/>
                <w:highlight w:val="none"/>
              </w:rPr>
              <w:t>评分因素权重分值</w:t>
            </w:r>
          </w:p>
        </w:tc>
        <w:tc>
          <w:tcPr>
            <w:tcW w:w="1197"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各评分因素细分项</w:t>
            </w:r>
          </w:p>
        </w:tc>
        <w:tc>
          <w:tcPr>
            <w:tcW w:w="646" w:type="dxa"/>
            <w:tcBorders>
              <w:right w:val="single" w:color="auto" w:sz="4" w:space="0"/>
            </w:tcBorders>
            <w:vAlign w:val="center"/>
          </w:tcPr>
          <w:p>
            <w:pPr>
              <w:pStyle w:val="1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分值</w:t>
            </w:r>
          </w:p>
        </w:tc>
        <w:tc>
          <w:tcPr>
            <w:tcW w:w="5084"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ind w:left="0" w:right="0"/>
              <w:textAlignment w:val="auto"/>
              <w:rPr>
                <w:rFonts w:asciiTheme="minorEastAsia" w:hAnsiTheme="minorEastAsia" w:eastAsiaTheme="minorEastAsia"/>
                <w:color w:val="auto"/>
                <w:sz w:val="2"/>
                <w:szCs w:val="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290" w:hRule="atLeast"/>
        </w:trPr>
        <w:tc>
          <w:tcPr>
            <w:tcW w:w="1026" w:type="dxa"/>
            <w:vMerge w:val="restart"/>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2.2.4(1)</w:t>
            </w:r>
          </w:p>
        </w:tc>
        <w:tc>
          <w:tcPr>
            <w:tcW w:w="1116" w:type="dxa"/>
            <w:gridSpan w:val="2"/>
            <w:vMerge w:val="restart"/>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技术建议书</w:t>
            </w:r>
          </w:p>
        </w:tc>
        <w:tc>
          <w:tcPr>
            <w:tcW w:w="713" w:type="dxa"/>
            <w:vMerge w:val="restart"/>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35分</w:t>
            </w:r>
          </w:p>
        </w:tc>
        <w:tc>
          <w:tcPr>
            <w:tcW w:w="1197" w:type="dxa"/>
            <w:gridSpan w:val="2"/>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监理计划（或监理方案）和措施</w:t>
            </w:r>
          </w:p>
        </w:tc>
        <w:tc>
          <w:tcPr>
            <w:tcW w:w="646" w:type="dxa"/>
            <w:tcBorders>
              <w:right w:val="single" w:color="auto" w:sz="4" w:space="0"/>
            </w:tcBorders>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20分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监理计划思路一般、措施合理12～15分；监理计划思路较清晰、措施较好15～18分；监理计划思路清晰、措施得力18～20分。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290" w:hRule="atLeast"/>
        </w:trPr>
        <w:tc>
          <w:tcPr>
            <w:tcW w:w="1026" w:type="dxa"/>
            <w:vMerge w:val="continue"/>
            <w:vAlign w:val="center"/>
          </w:tcPr>
          <w:p>
            <w:pPr>
              <w:pStyle w:val="12"/>
              <w:rPr>
                <w:rFonts w:asciiTheme="minorEastAsia" w:hAnsiTheme="minorEastAsia" w:eastAsiaTheme="minorEastAsia"/>
                <w:color w:val="auto"/>
                <w:sz w:val="21"/>
                <w:highlight w:val="none"/>
              </w:rPr>
            </w:pPr>
          </w:p>
        </w:tc>
        <w:tc>
          <w:tcPr>
            <w:tcW w:w="1116" w:type="dxa"/>
            <w:gridSpan w:val="2"/>
            <w:vMerge w:val="continue"/>
            <w:vAlign w:val="center"/>
          </w:tcPr>
          <w:p>
            <w:pPr>
              <w:pStyle w:val="12"/>
              <w:rPr>
                <w:rFonts w:asciiTheme="minorEastAsia" w:hAnsiTheme="minorEastAsia" w:eastAsiaTheme="minorEastAsia"/>
                <w:color w:val="auto"/>
                <w:sz w:val="21"/>
                <w:highlight w:val="none"/>
              </w:rPr>
            </w:pPr>
          </w:p>
        </w:tc>
        <w:tc>
          <w:tcPr>
            <w:tcW w:w="713" w:type="dxa"/>
            <w:vMerge w:val="continue"/>
            <w:vAlign w:val="center"/>
          </w:tcPr>
          <w:p>
            <w:pPr>
              <w:pStyle w:val="12"/>
              <w:spacing w:before="100" w:line="242" w:lineRule="auto"/>
              <w:ind w:left="191" w:right="189"/>
              <w:jc w:val="both"/>
              <w:rPr>
                <w:rFonts w:asciiTheme="minorEastAsia" w:hAnsiTheme="minorEastAsia" w:eastAsiaTheme="minorEastAsia"/>
                <w:color w:val="auto"/>
                <w:sz w:val="21"/>
                <w:highlight w:val="none"/>
              </w:rPr>
            </w:pPr>
          </w:p>
        </w:tc>
        <w:tc>
          <w:tcPr>
            <w:tcW w:w="1197" w:type="dxa"/>
            <w:gridSpan w:val="2"/>
            <w:vAlign w:val="center"/>
          </w:tcPr>
          <w:p>
            <w:pPr>
              <w:pStyle w:val="12"/>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对本工程监理工作的重点与难点分析</w:t>
            </w:r>
          </w:p>
        </w:tc>
        <w:tc>
          <w:tcPr>
            <w:tcW w:w="646" w:type="dxa"/>
            <w:tcBorders>
              <w:right w:val="single" w:color="auto" w:sz="4" w:space="0"/>
            </w:tcBorders>
            <w:vAlign w:val="center"/>
          </w:tcPr>
          <w:p>
            <w:pPr>
              <w:pStyle w:val="12"/>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10分</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对本合同工程难点分析一般，工作重点把握一般的得6分；对本合同工程难点分析较透彻，工作重点把握较准确的得6～8分；对本合同工程难点分析透彻，工作重点把握准确的得8～10分。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304" w:hRule="atLeast"/>
        </w:trPr>
        <w:tc>
          <w:tcPr>
            <w:tcW w:w="1026" w:type="dxa"/>
            <w:vMerge w:val="continue"/>
            <w:vAlign w:val="center"/>
          </w:tcPr>
          <w:p>
            <w:pPr>
              <w:pStyle w:val="12"/>
              <w:rPr>
                <w:rFonts w:asciiTheme="minorEastAsia" w:hAnsiTheme="minorEastAsia" w:eastAsiaTheme="minorEastAsia"/>
                <w:color w:val="auto"/>
                <w:sz w:val="20"/>
                <w:highlight w:val="none"/>
              </w:rPr>
            </w:pPr>
          </w:p>
        </w:tc>
        <w:tc>
          <w:tcPr>
            <w:tcW w:w="1116" w:type="dxa"/>
            <w:gridSpan w:val="2"/>
            <w:vMerge w:val="continue"/>
            <w:vAlign w:val="center"/>
          </w:tcPr>
          <w:p>
            <w:pPr>
              <w:pStyle w:val="12"/>
              <w:rPr>
                <w:rFonts w:asciiTheme="minorEastAsia" w:hAnsiTheme="minorEastAsia" w:eastAsiaTheme="minorEastAsia"/>
                <w:color w:val="auto"/>
                <w:sz w:val="20"/>
                <w:highlight w:val="none"/>
              </w:rPr>
            </w:pPr>
          </w:p>
        </w:tc>
        <w:tc>
          <w:tcPr>
            <w:tcW w:w="713" w:type="dxa"/>
            <w:vMerge w:val="continue"/>
            <w:vAlign w:val="center"/>
          </w:tcPr>
          <w:p>
            <w:pPr>
              <w:pStyle w:val="12"/>
              <w:spacing w:before="100" w:line="242" w:lineRule="auto"/>
              <w:ind w:left="191" w:right="189"/>
              <w:jc w:val="both"/>
              <w:rPr>
                <w:rFonts w:asciiTheme="minorEastAsia" w:hAnsiTheme="minorEastAsia" w:eastAsiaTheme="minorEastAsia"/>
                <w:color w:val="auto"/>
                <w:spacing w:val="-4"/>
                <w:sz w:val="21"/>
                <w:highlight w:val="none"/>
              </w:rPr>
            </w:pPr>
          </w:p>
        </w:tc>
        <w:tc>
          <w:tcPr>
            <w:tcW w:w="1197" w:type="dxa"/>
            <w:gridSpan w:val="2"/>
            <w:vAlign w:val="center"/>
          </w:tcPr>
          <w:p>
            <w:pPr>
              <w:pStyle w:val="12"/>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对本工程的理解和建议</w:t>
            </w:r>
          </w:p>
        </w:tc>
        <w:tc>
          <w:tcPr>
            <w:tcW w:w="646" w:type="dxa"/>
            <w:tcBorders>
              <w:bottom w:val="single" w:color="auto" w:sz="4" w:space="0"/>
              <w:right w:val="single" w:color="auto" w:sz="4" w:space="0"/>
            </w:tcBorders>
            <w:vAlign w:val="center"/>
          </w:tcPr>
          <w:p>
            <w:pPr>
              <w:pStyle w:val="12"/>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5分</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对本合同工程的理解和建议一般的得3分；对本合同工程的理解和建议基本准确的得3～4分；对本合同工程的理解和建议合理、准确的得4～5分。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3804" w:hRule="atLeast"/>
        </w:trPr>
        <w:tc>
          <w:tcPr>
            <w:tcW w:w="1026" w:type="dxa"/>
            <w:vAlign w:val="center"/>
          </w:tcPr>
          <w:p>
            <w:pPr>
              <w:spacing w:line="360" w:lineRule="exact"/>
              <w:ind w:left="-97" w:leftChars="-44" w:right="-92" w:rightChars="-42"/>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2.2.4(2)</w:t>
            </w:r>
          </w:p>
        </w:tc>
        <w:tc>
          <w:tcPr>
            <w:tcW w:w="1116" w:type="dxa"/>
            <w:gridSpan w:val="2"/>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主要人员</w:t>
            </w:r>
          </w:p>
        </w:tc>
        <w:tc>
          <w:tcPr>
            <w:tcW w:w="713" w:type="dxa"/>
            <w:vAlign w:val="center"/>
          </w:tcPr>
          <w:p>
            <w:pPr>
              <w:spacing w:line="360" w:lineRule="exact"/>
              <w:jc w:val="righ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25分</w:t>
            </w:r>
          </w:p>
        </w:tc>
        <w:tc>
          <w:tcPr>
            <w:tcW w:w="1197" w:type="dxa"/>
            <w:gridSpan w:val="2"/>
            <w:tcBorders>
              <w:right w:val="single" w:color="auto" w:sz="4" w:space="0"/>
            </w:tcBorders>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总监理工程师任职资格与业绩</w:t>
            </w:r>
          </w:p>
        </w:tc>
        <w:tc>
          <w:tcPr>
            <w:tcW w:w="646" w:type="dxa"/>
            <w:tcBorders>
              <w:top w:val="single" w:color="auto" w:sz="4" w:space="0"/>
              <w:left w:val="single" w:color="auto" w:sz="4" w:space="0"/>
              <w:bottom w:val="single" w:color="auto" w:sz="4" w:space="0"/>
              <w:right w:val="single" w:color="auto" w:sz="4" w:space="0"/>
            </w:tcBorders>
            <w:vAlign w:val="center"/>
          </w:tcPr>
          <w:p>
            <w:pPr>
              <w:spacing w:line="360" w:lineRule="exact"/>
              <w:ind w:right="-88"/>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25分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1.满足资格审查条件（总监理工程师最低要求）得15分；</w:t>
            </w:r>
          </w:p>
          <w:p>
            <w:pPr>
              <w:spacing w:line="36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2.在满足资格审查条件（总监理工程师最低要求）的基础上，近5年（</w:t>
            </w:r>
            <w:r>
              <w:rPr>
                <w:rFonts w:hint="eastAsia" w:asciiTheme="minorEastAsia" w:hAnsiTheme="minorEastAsia" w:eastAsiaTheme="minorEastAsia"/>
                <w:b/>
                <w:bCs/>
                <w:color w:val="000000" w:themeColor="text1"/>
                <w:sz w:val="21"/>
                <w:highlight w:val="none"/>
                <w14:textFill>
                  <w14:solidFill>
                    <w14:schemeClr w14:val="tx1"/>
                  </w14:solidFill>
                </w14:textFill>
              </w:rPr>
              <w:t>2018年</w:t>
            </w:r>
            <w:r>
              <w:rPr>
                <w:rFonts w:hint="eastAsia" w:asciiTheme="minorEastAsia" w:hAnsiTheme="minorEastAsia" w:eastAsiaTheme="minorEastAsia"/>
                <w:b/>
                <w:bCs/>
                <w:color w:val="000000" w:themeColor="text1"/>
                <w:sz w:val="21"/>
                <w:highlight w:val="none"/>
                <w:lang w:val="en-US" w:eastAsia="zh-CN"/>
                <w14:textFill>
                  <w14:solidFill>
                    <w14:schemeClr w14:val="tx1"/>
                  </w14:solidFill>
                </w14:textFill>
              </w:rPr>
              <w:t>11</w:t>
            </w:r>
            <w:r>
              <w:rPr>
                <w:rFonts w:hint="eastAsia" w:asciiTheme="minorEastAsia" w:hAnsiTheme="minorEastAsia" w:eastAsiaTheme="minorEastAsia"/>
                <w:b/>
                <w:bCs/>
                <w:color w:val="000000" w:themeColor="text1"/>
                <w:sz w:val="21"/>
                <w:highlight w:val="none"/>
                <w14:textFill>
                  <w14:solidFill>
                    <w14:schemeClr w14:val="tx1"/>
                  </w14:solidFill>
                </w14:textFill>
              </w:rPr>
              <w:t>月</w:t>
            </w:r>
            <w:r>
              <w:rPr>
                <w:rFonts w:hint="eastAsia" w:asciiTheme="minorEastAsia" w:hAnsiTheme="minorEastAsia" w:eastAsiaTheme="minorEastAsia"/>
                <w:b/>
                <w:bCs/>
                <w:color w:val="000000" w:themeColor="text1"/>
                <w:sz w:val="21"/>
                <w:highlight w:val="none"/>
                <w:lang w:val="en-US" w:eastAsia="zh-CN"/>
                <w14:textFill>
                  <w14:solidFill>
                    <w14:schemeClr w14:val="tx1"/>
                  </w14:solidFill>
                </w14:textFill>
              </w:rPr>
              <w:t>22</w:t>
            </w:r>
            <w:r>
              <w:rPr>
                <w:rFonts w:hint="eastAsia" w:asciiTheme="minorEastAsia" w:hAnsiTheme="minorEastAsia" w:eastAsiaTheme="minorEastAsia"/>
                <w:b/>
                <w:bCs/>
                <w:color w:val="000000" w:themeColor="text1"/>
                <w:sz w:val="21"/>
                <w:highlight w:val="none"/>
                <w14:textFill>
                  <w14:solidFill>
                    <w14:schemeClr w14:val="tx1"/>
                  </w14:solidFill>
                </w14:textFill>
              </w:rPr>
              <w:t>日</w:t>
            </w:r>
            <w:r>
              <w:rPr>
                <w:rFonts w:hint="eastAsia" w:asciiTheme="minorEastAsia" w:hAnsiTheme="minorEastAsia" w:eastAsiaTheme="minorEastAsia"/>
                <w:color w:val="auto"/>
                <w:sz w:val="21"/>
                <w:highlight w:val="none"/>
              </w:rPr>
              <w:t>至投标截止之日，以交工日期为准），总监理工程师每增加1个一级及以上等级公路工程（新建或改扩建或养护工程）施工监理的总监理工程师（或驻地监理工程师）职务的业绩加5分；</w:t>
            </w:r>
            <w:r>
              <w:rPr>
                <w:rFonts w:hint="eastAsia" w:asciiTheme="minorEastAsia" w:hAnsiTheme="minorEastAsia" w:eastAsiaTheme="minorEastAsia"/>
                <w:color w:val="auto"/>
                <w:sz w:val="21"/>
                <w:highlight w:val="none"/>
                <w:lang w:eastAsia="zh-CN"/>
              </w:rPr>
              <w:t>或</w:t>
            </w:r>
            <w:r>
              <w:rPr>
                <w:rFonts w:hint="eastAsia" w:asciiTheme="minorEastAsia" w:hAnsiTheme="minorEastAsia" w:eastAsiaTheme="minorEastAsia"/>
                <w:color w:val="auto"/>
                <w:sz w:val="21"/>
                <w:highlight w:val="none"/>
              </w:rPr>
              <w:t>每增加1个一级及以上等级公路工程（新建或改扩建或养护工程）施工监理的副总监理工程师（或总监代表）职务的业绩加2.5分。此处两项合计最多加10分。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144" w:hRule="atLeast"/>
        </w:trPr>
        <w:tc>
          <w:tcPr>
            <w:tcW w:w="1026" w:type="dxa"/>
            <w:vAlign w:val="center"/>
          </w:tcPr>
          <w:p>
            <w:pPr>
              <w:spacing w:line="32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2.2.4(3)</w:t>
            </w:r>
          </w:p>
        </w:tc>
        <w:tc>
          <w:tcPr>
            <w:tcW w:w="1116" w:type="dxa"/>
            <w:gridSpan w:val="2"/>
            <w:vAlign w:val="center"/>
          </w:tcPr>
          <w:p>
            <w:pPr>
              <w:spacing w:line="32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评标价</w:t>
            </w:r>
          </w:p>
        </w:tc>
        <w:tc>
          <w:tcPr>
            <w:tcW w:w="713" w:type="dxa"/>
            <w:vAlign w:val="center"/>
          </w:tcPr>
          <w:p>
            <w:pPr>
              <w:spacing w:line="320" w:lineRule="exact"/>
              <w:ind w:right="210"/>
              <w:jc w:val="righ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10分</w:t>
            </w:r>
          </w:p>
        </w:tc>
        <w:tc>
          <w:tcPr>
            <w:tcW w:w="6927" w:type="dxa"/>
            <w:gridSpan w:val="4"/>
            <w:tcBorders>
              <w:right w:val="single" w:color="auto" w:sz="4" w:space="0"/>
            </w:tcBorders>
            <w:vAlign w:val="center"/>
          </w:tcPr>
          <w:p>
            <w:pPr>
              <w:spacing w:line="32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评标价得分计算公式：</w:t>
            </w:r>
          </w:p>
          <w:p>
            <w:pPr>
              <w:spacing w:line="32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(1)如果投标人的评标价&gt;评标基准价，则评标价得分＝F－偏差率×100× E1；</w:t>
            </w:r>
          </w:p>
          <w:p>
            <w:pPr>
              <w:spacing w:line="32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(2)如果投标人的评标价≤评标基准价，则评标价得分＝F＋偏差率× 100× E2。</w:t>
            </w:r>
          </w:p>
          <w:p>
            <w:pPr>
              <w:spacing w:line="32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其中：F是评标价所占的权重分值，E1是评标价每高于评标基准价一个百分点的扣分值，E2是评标价每低于评标基准价一个百分点的扣分值；</w:t>
            </w:r>
          </w:p>
          <w:p>
            <w:pPr>
              <w:spacing w:line="32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E1=0.2,E2=0.1,F=10</w:t>
            </w: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rPr>
              <w:t>评标价得分最低为0分。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026" w:type="dxa"/>
            <w:vMerge w:val="restart"/>
          </w:tcPr>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rPr>
                <w:rFonts w:asciiTheme="minorEastAsia" w:hAnsiTheme="minorEastAsia" w:eastAsiaTheme="minorEastAsia"/>
                <w:color w:val="auto"/>
                <w:sz w:val="20"/>
                <w:highlight w:val="none"/>
              </w:rPr>
            </w:pPr>
          </w:p>
          <w:p>
            <w:pPr>
              <w:pStyle w:val="12"/>
              <w:spacing w:before="161"/>
              <w:ind w:left="312"/>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2.2.4</w:t>
            </w:r>
          </w:p>
          <w:p>
            <w:pPr>
              <w:pStyle w:val="12"/>
              <w:spacing w:before="5"/>
              <w:ind w:left="312"/>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（4）</w:t>
            </w:r>
          </w:p>
        </w:tc>
        <w:tc>
          <w:tcPr>
            <w:tcW w:w="555" w:type="dxa"/>
            <w:vMerge w:val="restart"/>
            <w:vAlign w:val="top"/>
          </w:tcPr>
          <w:p>
            <w:pPr>
              <w:pStyle w:val="12"/>
              <w:jc w:val="left"/>
              <w:rPr>
                <w:rFonts w:asciiTheme="minorEastAsia" w:hAnsiTheme="minorEastAsia" w:eastAsiaTheme="minorEastAsia"/>
                <w:color w:val="auto"/>
                <w:sz w:val="20"/>
                <w:highlight w:val="none"/>
              </w:rPr>
            </w:pPr>
          </w:p>
          <w:p>
            <w:pPr>
              <w:pStyle w:val="12"/>
              <w:jc w:val="left"/>
              <w:rPr>
                <w:rFonts w:asciiTheme="minorEastAsia" w:hAnsiTheme="minorEastAsia" w:eastAsiaTheme="minorEastAsia"/>
                <w:color w:val="auto"/>
                <w:sz w:val="20"/>
                <w:highlight w:val="none"/>
              </w:rPr>
            </w:pPr>
          </w:p>
          <w:p>
            <w:pPr>
              <w:pStyle w:val="12"/>
              <w:jc w:val="left"/>
              <w:rPr>
                <w:rFonts w:asciiTheme="minorEastAsia" w:hAnsiTheme="minorEastAsia" w:eastAsiaTheme="minorEastAsia"/>
                <w:color w:val="auto"/>
                <w:sz w:val="20"/>
                <w:highlight w:val="none"/>
              </w:rPr>
            </w:pPr>
          </w:p>
          <w:p>
            <w:pPr>
              <w:pStyle w:val="12"/>
              <w:spacing w:before="147" w:line="242" w:lineRule="auto"/>
              <w:ind w:left="116" w:right="109"/>
              <w:jc w:val="left"/>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其他因素</w:t>
            </w:r>
          </w:p>
        </w:tc>
        <w:tc>
          <w:tcPr>
            <w:tcW w:w="561" w:type="dxa"/>
          </w:tcPr>
          <w:p>
            <w:pPr>
              <w:pStyle w:val="12"/>
              <w:rPr>
                <w:rFonts w:asciiTheme="minorEastAsia" w:hAnsiTheme="minorEastAsia" w:eastAsiaTheme="minorEastAsia"/>
                <w:color w:val="auto"/>
                <w:sz w:val="20"/>
                <w:highlight w:val="none"/>
              </w:rPr>
            </w:pPr>
          </w:p>
          <w:p>
            <w:pPr>
              <w:pStyle w:val="12"/>
              <w:spacing w:before="130"/>
              <w:jc w:val="both"/>
              <w:rPr>
                <w:rFonts w:asciiTheme="minorEastAsia" w:hAnsiTheme="minorEastAsia" w:eastAsiaTheme="minorEastAsia"/>
                <w:color w:val="auto"/>
                <w:sz w:val="21"/>
                <w:highlight w:val="none"/>
              </w:rPr>
            </w:pPr>
          </w:p>
          <w:p>
            <w:pPr>
              <w:pStyle w:val="12"/>
              <w:spacing w:before="130"/>
              <w:ind w:left="108"/>
              <w:jc w:val="center"/>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业绩</w:t>
            </w:r>
          </w:p>
        </w:tc>
        <w:tc>
          <w:tcPr>
            <w:tcW w:w="1048" w:type="dxa"/>
            <w:gridSpan w:val="2"/>
          </w:tcPr>
          <w:p>
            <w:pPr>
              <w:pStyle w:val="12"/>
              <w:jc w:val="center"/>
              <w:rPr>
                <w:rFonts w:asciiTheme="minorEastAsia" w:hAnsiTheme="minorEastAsia" w:eastAsiaTheme="minorEastAsia"/>
                <w:color w:val="auto"/>
                <w:sz w:val="20"/>
                <w:highlight w:val="none"/>
              </w:rPr>
            </w:pPr>
          </w:p>
          <w:p>
            <w:pPr>
              <w:pStyle w:val="12"/>
              <w:spacing w:before="9"/>
              <w:jc w:val="center"/>
              <w:rPr>
                <w:rFonts w:asciiTheme="minorEastAsia" w:hAnsiTheme="minorEastAsia" w:eastAsiaTheme="minorEastAsia"/>
                <w:color w:val="auto"/>
                <w:sz w:val="19"/>
                <w:highlight w:val="none"/>
              </w:rPr>
            </w:pPr>
          </w:p>
          <w:p>
            <w:pPr>
              <w:pStyle w:val="12"/>
              <w:ind w:left="107"/>
              <w:jc w:val="center"/>
              <w:rPr>
                <w:rFonts w:asciiTheme="minorEastAsia" w:hAnsiTheme="minorEastAsia" w:eastAsiaTheme="minorEastAsia"/>
                <w:color w:val="auto"/>
                <w:sz w:val="21"/>
                <w:highlight w:val="none"/>
              </w:rPr>
            </w:pPr>
          </w:p>
          <w:p>
            <w:pPr>
              <w:pStyle w:val="12"/>
              <w:ind w:left="107"/>
              <w:jc w:val="center"/>
              <w:rPr>
                <w:rFonts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szCs w:val="22"/>
                <w:highlight w:val="none"/>
                <w:lang w:val="en-US" w:eastAsia="zh-CN" w:bidi="ar-SA"/>
              </w:rPr>
              <w:t>25.0分</w:t>
            </w:r>
          </w:p>
        </w:tc>
        <w:tc>
          <w:tcPr>
            <w:tcW w:w="6615" w:type="dxa"/>
            <w:gridSpan w:val="4"/>
          </w:tcPr>
          <w:p>
            <w:pPr>
              <w:pStyle w:val="12"/>
              <w:tabs>
                <w:tab w:val="left" w:pos="320"/>
              </w:tabs>
              <w:spacing w:before="101" w:line="360" w:lineRule="auto"/>
              <w:ind w:firstLine="97" w:firstLineChars="49"/>
              <w:rPr>
                <w:rFonts w:hint="eastAsia" w:cs="宋体" w:asciiTheme="minorEastAsia" w:hAnsiTheme="minorEastAsia" w:eastAsiaTheme="minorEastAsia"/>
                <w:color w:val="auto"/>
                <w:sz w:val="21"/>
                <w:szCs w:val="22"/>
                <w:highlight w:val="none"/>
                <w:lang w:val="en-US" w:eastAsia="zh-CN" w:bidi="ar-SA"/>
              </w:rPr>
            </w:pPr>
            <w:r>
              <w:rPr>
                <w:rFonts w:hint="eastAsia" w:asciiTheme="minorEastAsia" w:hAnsiTheme="minorEastAsia" w:eastAsiaTheme="minorEastAsia"/>
                <w:color w:val="auto"/>
                <w:w w:val="95"/>
                <w:sz w:val="21"/>
                <w:highlight w:val="none"/>
              </w:rPr>
              <w:t>1.</w:t>
            </w:r>
            <w:r>
              <w:rPr>
                <w:rFonts w:hint="eastAsia" w:cs="宋体" w:asciiTheme="minorEastAsia" w:hAnsiTheme="minorEastAsia" w:eastAsiaTheme="minorEastAsia"/>
                <w:color w:val="auto"/>
                <w:sz w:val="21"/>
                <w:szCs w:val="22"/>
                <w:highlight w:val="none"/>
                <w:lang w:val="en-US" w:eastAsia="zh-CN" w:bidi="ar-SA"/>
              </w:rPr>
              <w:t>满足资格审查条件（业绩最低要求）得15分；</w:t>
            </w:r>
          </w:p>
          <w:p>
            <w:pPr>
              <w:pStyle w:val="12"/>
              <w:spacing w:before="3" w:line="360" w:lineRule="auto"/>
              <w:rPr>
                <w:rFonts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szCs w:val="22"/>
                <w:highlight w:val="none"/>
                <w:lang w:val="en-US" w:eastAsia="zh-CN" w:bidi="ar-SA"/>
              </w:rPr>
              <w:t>2.在满足资格条件审查（业绩最低要求）的基础上，近5年（</w:t>
            </w:r>
            <w:r>
              <w:rPr>
                <w:rFonts w:hint="eastAsia" w:cs="宋体" w:asciiTheme="minorEastAsia" w:hAnsiTheme="minorEastAsia" w:eastAsiaTheme="minorEastAsia"/>
                <w:b/>
                <w:bCs/>
                <w:color w:val="000000" w:themeColor="text1"/>
                <w:sz w:val="21"/>
                <w:szCs w:val="22"/>
                <w:highlight w:val="none"/>
                <w:lang w:val="en-US" w:eastAsia="zh-CN" w:bidi="ar-SA"/>
                <w14:textFill>
                  <w14:solidFill>
                    <w14:schemeClr w14:val="tx1"/>
                  </w14:solidFill>
                </w14:textFill>
              </w:rPr>
              <w:t>2018年11月22日</w:t>
            </w:r>
            <w:r>
              <w:rPr>
                <w:rFonts w:hint="eastAsia" w:cs="宋体" w:asciiTheme="minorEastAsia" w:hAnsiTheme="minorEastAsia" w:eastAsiaTheme="minorEastAsia"/>
                <w:color w:val="auto"/>
                <w:sz w:val="21"/>
                <w:szCs w:val="22"/>
                <w:highlight w:val="none"/>
                <w:lang w:val="en-US" w:eastAsia="zh-CN" w:bidi="ar-SA"/>
              </w:rPr>
              <w:t>至投标截止之日，以交工日期为准），投标人每增加1个一级及以上等级公路工程（新建或改扩建或养护工程）施工监理业绩加5分，此项最多加10分。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9" w:hRule="atLeast"/>
        </w:trPr>
        <w:tc>
          <w:tcPr>
            <w:tcW w:w="1026" w:type="dxa"/>
            <w:vMerge w:val="continue"/>
            <w:tcBorders>
              <w:top w:val="nil"/>
              <w:bottom w:val="single" w:color="auto" w:sz="4" w:space="0"/>
            </w:tcBorders>
          </w:tcPr>
          <w:p>
            <w:pPr>
              <w:pStyle w:val="12"/>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tc>
        <w:tc>
          <w:tcPr>
            <w:tcW w:w="555" w:type="dxa"/>
            <w:vMerge w:val="continue"/>
            <w:tcBorders>
              <w:top w:val="nil"/>
              <w:bottom w:val="single" w:color="auto" w:sz="4" w:space="0"/>
            </w:tcBorders>
          </w:tcPr>
          <w:p>
            <w:pPr>
              <w:pStyle w:val="12"/>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tc>
        <w:tc>
          <w:tcPr>
            <w:tcW w:w="561" w:type="dxa"/>
            <w:tcBorders>
              <w:bottom w:val="single" w:color="auto" w:sz="4" w:space="0"/>
            </w:tcBorders>
          </w:tcPr>
          <w:p>
            <w:pPr>
              <w:pStyle w:val="12"/>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p>
            <w:pPr>
              <w:pStyle w:val="12"/>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p>
            <w:pPr>
              <w:pStyle w:val="12"/>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p>
            <w:pPr>
              <w:pStyle w:val="12"/>
              <w:tabs>
                <w:tab w:val="left" w:pos="320"/>
              </w:tabs>
              <w:spacing w:before="101"/>
              <w:jc w:val="center"/>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履约信誉</w:t>
            </w:r>
          </w:p>
        </w:tc>
        <w:tc>
          <w:tcPr>
            <w:tcW w:w="1048" w:type="dxa"/>
            <w:gridSpan w:val="2"/>
            <w:tcBorders>
              <w:bottom w:val="single" w:color="auto" w:sz="4" w:space="0"/>
            </w:tcBorders>
          </w:tcPr>
          <w:p>
            <w:pPr>
              <w:pStyle w:val="12"/>
              <w:tabs>
                <w:tab w:val="left" w:pos="320"/>
              </w:tabs>
              <w:spacing w:before="101"/>
              <w:ind w:firstLine="102" w:firstLineChars="49"/>
              <w:jc w:val="both"/>
              <w:rPr>
                <w:rFonts w:hint="eastAsia" w:cs="宋体" w:asciiTheme="minorEastAsia" w:hAnsiTheme="minorEastAsia" w:eastAsiaTheme="minorEastAsia"/>
                <w:color w:val="auto"/>
                <w:sz w:val="21"/>
                <w:szCs w:val="22"/>
                <w:highlight w:val="none"/>
                <w:lang w:val="en-US" w:eastAsia="zh-CN" w:bidi="ar-SA"/>
              </w:rPr>
            </w:pPr>
          </w:p>
          <w:p>
            <w:pPr>
              <w:pStyle w:val="12"/>
              <w:tabs>
                <w:tab w:val="left" w:pos="320"/>
              </w:tabs>
              <w:spacing w:before="101"/>
              <w:ind w:firstLine="102" w:firstLineChars="49"/>
              <w:jc w:val="both"/>
              <w:rPr>
                <w:rFonts w:hint="eastAsia" w:cs="宋体" w:asciiTheme="minorEastAsia" w:hAnsiTheme="minorEastAsia" w:eastAsiaTheme="minorEastAsia"/>
                <w:color w:val="auto"/>
                <w:sz w:val="21"/>
                <w:szCs w:val="22"/>
                <w:highlight w:val="none"/>
                <w:lang w:val="en-US" w:eastAsia="zh-CN" w:bidi="ar-SA"/>
              </w:rPr>
            </w:pPr>
          </w:p>
          <w:p>
            <w:pPr>
              <w:pStyle w:val="12"/>
              <w:tabs>
                <w:tab w:val="left" w:pos="320"/>
              </w:tabs>
              <w:spacing w:before="101"/>
              <w:jc w:val="both"/>
              <w:rPr>
                <w:rFonts w:hint="eastAsia" w:cs="宋体" w:asciiTheme="minorEastAsia" w:hAnsiTheme="minorEastAsia" w:eastAsiaTheme="minorEastAsia"/>
                <w:color w:val="auto"/>
                <w:sz w:val="21"/>
                <w:szCs w:val="22"/>
                <w:highlight w:val="none"/>
                <w:lang w:val="en-US" w:eastAsia="zh-CN" w:bidi="ar-SA"/>
              </w:rPr>
            </w:pPr>
          </w:p>
          <w:p>
            <w:pPr>
              <w:pStyle w:val="12"/>
              <w:tabs>
                <w:tab w:val="left" w:pos="320"/>
              </w:tabs>
              <w:spacing w:before="101"/>
              <w:ind w:firstLine="102" w:firstLineChars="49"/>
              <w:jc w:val="center"/>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5.0分</w:t>
            </w:r>
          </w:p>
        </w:tc>
        <w:tc>
          <w:tcPr>
            <w:tcW w:w="6615" w:type="dxa"/>
            <w:gridSpan w:val="4"/>
            <w:tcBorders>
              <w:bottom w:val="single" w:color="auto" w:sz="4" w:space="0"/>
            </w:tcBorders>
          </w:tcPr>
          <w:p>
            <w:pPr>
              <w:pStyle w:val="12"/>
              <w:tabs>
                <w:tab w:val="left" w:pos="320"/>
              </w:tabs>
              <w:spacing w:before="101" w:line="360" w:lineRule="auto"/>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1.满足资格审查条件（信誉最低要求）得5分。</w:t>
            </w:r>
          </w:p>
          <w:p>
            <w:pPr>
              <w:pStyle w:val="12"/>
              <w:tabs>
                <w:tab w:val="left" w:pos="320"/>
              </w:tabs>
              <w:spacing w:before="101" w:line="360" w:lineRule="auto"/>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2.每有一次资格审查条件（信誉最低要求）以外的不良行为记录的扣1分，扣完为止。</w:t>
            </w:r>
          </w:p>
          <w:p>
            <w:pPr>
              <w:pStyle w:val="12"/>
              <w:tabs>
                <w:tab w:val="left" w:pos="320"/>
              </w:tabs>
              <w:spacing w:before="101" w:line="360" w:lineRule="auto"/>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注：满足资格审查条件（信誉最低要求）以外的不良记录以招标公告发布之日至投标截止日从宁夏回族自治区交通运输厅官网、中华人民共和国交通运输部官网、宁夏回族自治区公路建设市场信用信息管理系统中的严重失信行为及全国公路建设市场信用信息管理系统中的不良行为记录查询出的结果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9" w:hRule="atLeast"/>
        </w:trPr>
        <w:tc>
          <w:tcPr>
            <w:tcW w:w="9805" w:type="dxa"/>
            <w:gridSpan w:val="9"/>
            <w:tcBorders>
              <w:top w:val="single" w:color="auto" w:sz="4" w:space="0"/>
              <w:left w:val="single" w:color="auto" w:sz="4" w:space="0"/>
              <w:bottom w:val="single" w:color="auto" w:sz="4" w:space="0"/>
              <w:right w:val="single" w:color="auto" w:sz="4" w:space="0"/>
            </w:tcBorders>
          </w:tcPr>
          <w:p>
            <w:pPr>
              <w:pStyle w:val="12"/>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需要补充的其他内容：</w:t>
            </w:r>
          </w:p>
          <w:p>
            <w:pPr>
              <w:pStyle w:val="12"/>
              <w:tabs>
                <w:tab w:val="left" w:pos="320"/>
              </w:tabs>
              <w:spacing w:before="101" w:line="360" w:lineRule="auto"/>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1.各评分因素（评标价和履约信誉评分项除外）得分一般不得低于其权重分值的 60%，且各评分因素得分应以评标委员会各成员的打分平均值确定，评标委员会成员总数为 7 人以上时，该平均值以去掉一个最高分和一个最低分后计算。评标委员会成员对某一项评分因素的评分低于权重分值 60%的，应在评标报告中作出说明。</w:t>
            </w:r>
          </w:p>
          <w:p>
            <w:pPr>
              <w:pStyle w:val="12"/>
              <w:tabs>
                <w:tab w:val="left" w:pos="320"/>
              </w:tabs>
              <w:spacing w:before="101" w:line="360" w:lineRule="auto"/>
              <w:ind w:firstLine="102" w:firstLineChars="49"/>
              <w:rPr>
                <w:rFonts w:hint="default" w:cs="宋体" w:asciiTheme="minorEastAsia" w:hAnsiTheme="minorEastAsia" w:eastAsiaTheme="minorEastAsia"/>
                <w:b/>
                <w:bCs/>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2.每个投标人可对3个标段投标，每个投标人允许中 1 个标段。同一投标人最终综合得分第一的标段数超过允许中标的标段数时，推荐中标标段的确定原则：</w:t>
            </w:r>
            <w:r>
              <w:rPr>
                <w:rFonts w:hint="eastAsia" w:cs="宋体" w:asciiTheme="minorEastAsia" w:hAnsiTheme="minorEastAsia" w:eastAsiaTheme="minorEastAsia"/>
                <w:b/>
                <w:bCs/>
                <w:color w:val="auto"/>
                <w:sz w:val="21"/>
                <w:szCs w:val="22"/>
                <w:highlight w:val="none"/>
                <w:lang w:val="en-US" w:eastAsia="zh-CN" w:bidi="ar-SA"/>
              </w:rPr>
              <w:t>（1）以推荐中标的标段报价相加总额最低为原则；（2）报价总额相等时，以信用等级最高为原则；（3）信用等级相同时，由评标委员会投票确定。</w:t>
            </w:r>
          </w:p>
        </w:tc>
      </w:tr>
    </w:tbl>
    <w:p>
      <w:pPr>
        <w:rPr>
          <w:rFonts w:hint="eastAsia"/>
          <w:color w:val="000000" w:themeColor="text1"/>
          <w:sz w:val="21"/>
          <w:szCs w:val="21"/>
          <w14:textFill>
            <w14:solidFill>
              <w14:schemeClr w14:val="tx1"/>
            </w14:solidFill>
          </w14:textFill>
        </w:rPr>
      </w:pPr>
      <w:r>
        <w:rPr>
          <w:rFonts w:hint="eastAsia" w:asciiTheme="minorEastAsia" w:hAnsiTheme="minorEastAsia" w:eastAsiaTheme="minorEastAsia"/>
          <w:bCs/>
          <w:color w:val="auto"/>
          <w:sz w:val="21"/>
          <w:highlight w:val="none"/>
        </w:rPr>
        <w:t>注：各评审因素得分（投标价除外）以评标委员会各成员的打分平均值确定，保留 2 位小数。</w:t>
      </w:r>
    </w:p>
    <w:p>
      <w:pPr>
        <w:pStyle w:val="8"/>
        <w:rPr>
          <w:rFonts w:hint="eastAsia"/>
          <w:color w:val="000000" w:themeColor="text1"/>
          <w:sz w:val="21"/>
          <w:szCs w:val="21"/>
          <w14:textFill>
            <w14:solidFill>
              <w14:schemeClr w14:val="tx1"/>
            </w14:solidFill>
          </w14:textFill>
        </w:rPr>
      </w:pPr>
    </w:p>
    <w:p>
      <w:pPr>
        <w:spacing w:before="1"/>
        <w:ind w:left="504" w:right="489"/>
        <w:jc w:val="center"/>
        <w:rPr>
          <w:rFonts w:hint="eastAsia"/>
          <w:b/>
          <w:bCs/>
          <w:color w:val="000000" w:themeColor="text1"/>
          <w:lang w:val="en-US" w:eastAsia="zh-CN"/>
          <w14:textFill>
            <w14:solidFill>
              <w14:schemeClr w14:val="tx1"/>
            </w14:solidFill>
          </w14:textFill>
        </w:rPr>
      </w:pPr>
    </w:p>
    <w:p>
      <w:pPr>
        <w:spacing w:before="1"/>
        <w:ind w:left="504" w:right="489"/>
        <w:jc w:val="center"/>
        <w:rPr>
          <w:rFonts w:hint="eastAsia"/>
          <w:b/>
          <w:bCs/>
          <w:color w:val="000000" w:themeColor="text1"/>
          <w:lang w:val="en-US" w:eastAsia="zh-CN"/>
          <w14:textFill>
            <w14:solidFill>
              <w14:schemeClr w14:val="tx1"/>
            </w14:solidFill>
          </w14:textFill>
        </w:rPr>
      </w:pPr>
    </w:p>
    <w:p>
      <w:pPr>
        <w:spacing w:before="1"/>
        <w:ind w:left="504" w:right="489"/>
        <w:jc w:val="center"/>
        <w:rPr>
          <w:rFonts w:hint="eastAsia"/>
          <w:b/>
          <w:bCs/>
          <w:color w:val="000000" w:themeColor="text1"/>
          <w:lang w:val="en-US" w:eastAsia="zh-CN"/>
          <w14:textFill>
            <w14:solidFill>
              <w14:schemeClr w14:val="tx1"/>
            </w14:solidFill>
          </w14:textFill>
        </w:rPr>
      </w:pPr>
    </w:p>
    <w:p>
      <w:pPr>
        <w:spacing w:before="1"/>
        <w:ind w:left="504" w:right="489"/>
        <w:jc w:val="center"/>
        <w:rPr>
          <w:rFonts w:hint="eastAsia"/>
          <w:b/>
          <w:bCs/>
          <w:color w:val="000000" w:themeColor="text1"/>
          <w:lang w:val="en-US" w:eastAsia="zh-CN"/>
          <w14:textFill>
            <w14:solidFill>
              <w14:schemeClr w14:val="tx1"/>
            </w14:solidFill>
          </w14:textFill>
        </w:rPr>
      </w:pPr>
    </w:p>
    <w:p>
      <w:pPr>
        <w:spacing w:before="1"/>
        <w:ind w:left="504" w:right="489"/>
        <w:jc w:val="center"/>
        <w:rPr>
          <w:rFonts w:hint="eastAsia"/>
          <w:b/>
          <w:bCs/>
          <w:color w:val="000000" w:themeColor="text1"/>
          <w:lang w:val="en-US" w:eastAsia="zh-CN"/>
          <w14:textFill>
            <w14:solidFill>
              <w14:schemeClr w14:val="tx1"/>
            </w14:solidFill>
          </w14:textFill>
        </w:rPr>
      </w:pPr>
    </w:p>
    <w:p>
      <w:pPr>
        <w:spacing w:before="1"/>
        <w:ind w:left="504" w:right="489"/>
        <w:jc w:val="center"/>
        <w:rPr>
          <w:rFonts w:hint="eastAsia"/>
          <w:b/>
          <w:bCs/>
          <w:color w:val="000000" w:themeColor="text1"/>
          <w:lang w:val="en-US" w:eastAsia="zh-CN"/>
          <w14:textFill>
            <w14:solidFill>
              <w14:schemeClr w14:val="tx1"/>
            </w14:solidFill>
          </w14:textFill>
        </w:rPr>
      </w:pPr>
    </w:p>
    <w:p>
      <w:pPr>
        <w:spacing w:before="1"/>
        <w:ind w:left="504" w:right="489"/>
        <w:jc w:val="center"/>
        <w:rPr>
          <w:rFonts w:hint="eastAsia"/>
          <w:b/>
          <w:bCs/>
          <w:color w:val="000000" w:themeColor="text1"/>
          <w:lang w:val="en-US" w:eastAsia="zh-CN"/>
          <w14:textFill>
            <w14:solidFill>
              <w14:schemeClr w14:val="tx1"/>
            </w14:solidFill>
          </w14:textFill>
        </w:rPr>
      </w:pPr>
    </w:p>
    <w:p>
      <w:pPr>
        <w:spacing w:before="1"/>
        <w:ind w:left="504" w:right="489"/>
        <w:jc w:val="center"/>
        <w:rPr>
          <w:rFonts w:hint="eastAsia"/>
          <w:b/>
          <w:bCs/>
          <w:color w:val="000000" w:themeColor="text1"/>
          <w:lang w:val="en-US" w:eastAsia="zh-CN"/>
          <w14:textFill>
            <w14:solidFill>
              <w14:schemeClr w14:val="tx1"/>
            </w14:solidFill>
          </w14:textFill>
        </w:rPr>
      </w:pPr>
    </w:p>
    <w:p>
      <w:pPr>
        <w:spacing w:before="1"/>
        <w:ind w:left="504" w:right="489"/>
        <w:jc w:val="center"/>
        <w:rPr>
          <w:rFonts w:hint="eastAsia"/>
          <w:b/>
          <w:bCs/>
          <w:color w:val="000000" w:themeColor="text1"/>
          <w:lang w:val="en-US" w:eastAsia="zh-CN"/>
          <w14:textFill>
            <w14:solidFill>
              <w14:schemeClr w14:val="tx1"/>
            </w14:solidFill>
          </w14:textFill>
        </w:rPr>
      </w:pPr>
    </w:p>
    <w:p>
      <w:pPr>
        <w:spacing w:before="1"/>
        <w:ind w:left="504" w:right="489"/>
        <w:jc w:val="center"/>
        <w:rPr>
          <w:rFonts w:hint="eastAsia"/>
          <w:b/>
          <w:bCs/>
          <w:color w:val="000000" w:themeColor="text1"/>
          <w:lang w:val="en-US" w:eastAsia="zh-CN"/>
          <w14:textFill>
            <w14:solidFill>
              <w14:schemeClr w14:val="tx1"/>
            </w14:solidFill>
          </w14:textFill>
        </w:rPr>
      </w:pPr>
    </w:p>
    <w:p>
      <w:pPr>
        <w:spacing w:before="1"/>
        <w:ind w:left="504" w:right="489"/>
        <w:jc w:val="center"/>
        <w:rPr>
          <w:rFonts w:hint="eastAsia"/>
          <w:b/>
          <w:bCs/>
          <w:color w:val="000000" w:themeColor="text1"/>
          <w:lang w:val="en-US" w:eastAsia="zh-CN"/>
          <w14:textFill>
            <w14:solidFill>
              <w14:schemeClr w14:val="tx1"/>
            </w14:solidFill>
          </w14:textFill>
        </w:rPr>
      </w:pPr>
    </w:p>
    <w:p>
      <w:pPr>
        <w:spacing w:before="1"/>
        <w:ind w:left="504" w:right="489"/>
        <w:jc w:val="center"/>
        <w:rPr>
          <w:rFonts w:hint="eastAsia"/>
          <w:b/>
          <w:bCs/>
          <w:color w:val="000000" w:themeColor="text1"/>
          <w:lang w:val="en-US" w:eastAsia="zh-CN"/>
          <w14:textFill>
            <w14:solidFill>
              <w14:schemeClr w14:val="tx1"/>
            </w14:solidFill>
          </w14:textFill>
        </w:rPr>
      </w:pPr>
    </w:p>
    <w:p>
      <w:pPr>
        <w:spacing w:before="1"/>
        <w:ind w:left="504" w:right="489"/>
        <w:jc w:val="center"/>
        <w:rPr>
          <w:rFonts w:hint="eastAsia"/>
          <w:b/>
          <w:bCs/>
          <w:color w:val="000000" w:themeColor="text1"/>
          <w:lang w:val="en-US" w:eastAsia="zh-CN"/>
          <w14:textFill>
            <w14:solidFill>
              <w14:schemeClr w14:val="tx1"/>
            </w14:solidFill>
          </w14:textFill>
        </w:rPr>
      </w:pPr>
    </w:p>
    <w:p>
      <w:pPr>
        <w:spacing w:before="1"/>
        <w:ind w:left="504" w:right="489"/>
        <w:jc w:val="center"/>
        <w:rPr>
          <w:rFonts w:hint="eastAsia"/>
          <w:b/>
          <w:bCs/>
          <w:color w:val="000000" w:themeColor="text1"/>
          <w:lang w:val="en-US" w:eastAsia="zh-CN"/>
          <w14:textFill>
            <w14:solidFill>
              <w14:schemeClr w14:val="tx1"/>
            </w14:solidFill>
          </w14:textFill>
        </w:rPr>
      </w:pPr>
    </w:p>
    <w:p>
      <w:pPr>
        <w:spacing w:before="1"/>
        <w:ind w:right="489"/>
        <w:jc w:val="both"/>
        <w:rPr>
          <w:rFonts w:hint="eastAsia"/>
          <w:b/>
          <w:bCs/>
          <w:color w:val="000000" w:themeColor="text1"/>
          <w:sz w:val="28"/>
          <w:szCs w:val="28"/>
          <w:lang w:val="en-US" w:eastAsia="zh-CN"/>
          <w14:textFill>
            <w14:solidFill>
              <w14:schemeClr w14:val="tx1"/>
            </w14:solidFill>
          </w14:textFill>
        </w:rPr>
      </w:pPr>
    </w:p>
    <w:p>
      <w:pPr>
        <w:spacing w:before="1"/>
        <w:ind w:right="489"/>
        <w:jc w:val="center"/>
        <w:rPr>
          <w:rFonts w:hint="default"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二标段</w:t>
      </w:r>
      <w:r>
        <w:rPr>
          <w:rFonts w:hint="eastAsia" w:asciiTheme="minorEastAsia" w:hAnsiTheme="minorEastAsia" w:eastAsiaTheme="minorEastAsia"/>
          <w:b/>
          <w:bCs/>
          <w:color w:val="000000" w:themeColor="text1"/>
          <w:sz w:val="28"/>
          <w:szCs w:val="28"/>
          <w:lang w:val="en-US" w:eastAsia="zh-CN"/>
          <w14:textFill>
            <w14:solidFill>
              <w14:schemeClr w14:val="tx1"/>
            </w14:solidFill>
          </w14:textFill>
        </w:rPr>
        <w:t>业主试验室检测、三标段交工检测评标办法</w:t>
      </w:r>
    </w:p>
    <w:tbl>
      <w:tblPr>
        <w:tblStyle w:val="14"/>
        <w:tblW w:w="10431"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
        <w:gridCol w:w="1569"/>
        <w:gridCol w:w="7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518" w:type="dxa"/>
            <w:gridSpan w:val="2"/>
            <w:vAlign w:val="center"/>
          </w:tcPr>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条款号</w:t>
            </w:r>
          </w:p>
        </w:tc>
        <w:tc>
          <w:tcPr>
            <w:tcW w:w="7913" w:type="dxa"/>
            <w:vAlign w:val="center"/>
          </w:tcPr>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4" w:hRule="atLeast"/>
        </w:trPr>
        <w:tc>
          <w:tcPr>
            <w:tcW w:w="949" w:type="dxa"/>
          </w:tcPr>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spacing w:before="6"/>
              <w:rPr>
                <w:color w:val="000000" w:themeColor="text1"/>
                <w:sz w:val="27"/>
                <w:highlight w:val="none"/>
                <w14:textFill>
                  <w14:solidFill>
                    <w14:schemeClr w14:val="tx1"/>
                  </w14:solidFill>
                </w14:textFill>
              </w:rPr>
            </w:pPr>
          </w:p>
          <w:p>
            <w:pPr>
              <w:pStyle w:val="12"/>
              <w:ind w:left="20"/>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1</w:t>
            </w:r>
          </w:p>
        </w:tc>
        <w:tc>
          <w:tcPr>
            <w:tcW w:w="1569" w:type="dxa"/>
          </w:tcPr>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spacing w:before="6"/>
              <w:rPr>
                <w:color w:val="000000" w:themeColor="text1"/>
                <w:sz w:val="27"/>
                <w:highlight w:val="none"/>
                <w14:textFill>
                  <w14:solidFill>
                    <w14:schemeClr w14:val="tx1"/>
                  </w14:solidFill>
                </w14:textFill>
              </w:rPr>
            </w:pPr>
          </w:p>
          <w:p>
            <w:pPr>
              <w:pStyle w:val="12"/>
              <w:ind w:left="36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评标方法</w:t>
            </w:r>
          </w:p>
        </w:tc>
        <w:tc>
          <w:tcPr>
            <w:tcW w:w="7913" w:type="dxa"/>
          </w:tcPr>
          <w:p>
            <w:pPr>
              <w:pStyle w:val="12"/>
              <w:keepNext w:val="0"/>
              <w:keepLines w:val="0"/>
              <w:pageBreakBefore w:val="0"/>
              <w:widowControl w:val="0"/>
              <w:kinsoku/>
              <w:wordWrap/>
              <w:overflowPunct/>
              <w:topLinePunct w:val="0"/>
              <w:autoSpaceDE w:val="0"/>
              <w:autoSpaceDN w:val="0"/>
              <w:bidi w:val="0"/>
              <w:adjustRightInd/>
              <w:snapToGrid/>
              <w:spacing w:line="400" w:lineRule="exact"/>
              <w:ind w:left="0"/>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综合评分相等时，评标委员会依次按照以下优先顺序推荐中标候选人或确定中标人：</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（1）评标价低的投标人优先；</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（2）202</w:t>
            </w:r>
            <w:r>
              <w:rPr>
                <w:rFonts w:hint="eastAsia" w:cs="宋体"/>
                <w:color w:val="000000" w:themeColor="text1"/>
                <w:sz w:val="21"/>
                <w:highlight w:val="none"/>
                <w:lang w:val="en-US" w:eastAsia="zh-CN"/>
                <w14:textFill>
                  <w14:solidFill>
                    <w14:schemeClr w14:val="tx1"/>
                  </w14:solidFill>
                </w14:textFill>
              </w:rPr>
              <w:t>2</w:t>
            </w:r>
            <w:r>
              <w:rPr>
                <w:rFonts w:ascii="宋体" w:hAnsi="宋体" w:eastAsia="宋体" w:cs="宋体"/>
                <w:color w:val="000000" w:themeColor="text1"/>
                <w:sz w:val="21"/>
                <w:highlight w:val="none"/>
                <w14:textFill>
                  <w14:solidFill>
                    <w14:schemeClr w14:val="tx1"/>
                  </w14:solidFill>
                </w14:textFill>
              </w:rPr>
              <w:t>年度被宁夏交通运输厅评为较高信用等级的投标人优先；以《</w:t>
            </w:r>
            <w:r>
              <w:rPr>
                <w:rFonts w:hint="eastAsia"/>
                <w:b w:val="0"/>
                <w:bCs w:val="0"/>
                <w:color w:val="000000" w:themeColor="text1"/>
                <w:sz w:val="21"/>
                <w:highlight w:val="none"/>
                <w14:textFill>
                  <w14:solidFill>
                    <w14:schemeClr w14:val="tx1"/>
                  </w14:solidFill>
                </w14:textFill>
              </w:rPr>
              <w:t>自治区交通运输厅关于公布 202</w:t>
            </w:r>
            <w:r>
              <w:rPr>
                <w:rFonts w:hint="eastAsia"/>
                <w:b w:val="0"/>
                <w:bCs w:val="0"/>
                <w:color w:val="000000" w:themeColor="text1"/>
                <w:sz w:val="21"/>
                <w:highlight w:val="none"/>
                <w:lang w:val="en-US" w:eastAsia="zh-CN"/>
                <w14:textFill>
                  <w14:solidFill>
                    <w14:schemeClr w14:val="tx1"/>
                  </w14:solidFill>
                </w14:textFill>
              </w:rPr>
              <w:t>2</w:t>
            </w:r>
            <w:r>
              <w:rPr>
                <w:rFonts w:hint="eastAsia"/>
                <w:b w:val="0"/>
                <w:bCs w:val="0"/>
                <w:color w:val="000000" w:themeColor="text1"/>
                <w:sz w:val="21"/>
                <w:highlight w:val="none"/>
                <w14:textFill>
                  <w14:solidFill>
                    <w14:schemeClr w14:val="tx1"/>
                  </w14:solidFill>
                </w14:textFill>
              </w:rPr>
              <w:t xml:space="preserve"> 年度宁夏公路建设</w:t>
            </w:r>
            <w:r>
              <w:rPr>
                <w:rFonts w:hint="eastAsia"/>
                <w:b w:val="0"/>
                <w:bCs w:val="0"/>
                <w:color w:val="000000" w:themeColor="text1"/>
                <w:sz w:val="21"/>
                <w:highlight w:val="none"/>
                <w:lang w:val="en-US" w:eastAsia="zh-CN"/>
                <w14:textFill>
                  <w14:solidFill>
                    <w14:schemeClr w14:val="tx1"/>
                  </w14:solidFill>
                </w14:textFill>
              </w:rPr>
              <w:t>与养护</w:t>
            </w:r>
            <w:r>
              <w:rPr>
                <w:rFonts w:hint="eastAsia"/>
                <w:b w:val="0"/>
                <w:bCs w:val="0"/>
                <w:color w:val="000000" w:themeColor="text1"/>
                <w:sz w:val="21"/>
                <w:highlight w:val="none"/>
                <w14:textFill>
                  <w14:solidFill>
                    <w14:schemeClr w14:val="tx1"/>
                  </w14:solidFill>
                </w14:textFill>
              </w:rPr>
              <w:t>市场从业单位</w:t>
            </w:r>
            <w:r>
              <w:rPr>
                <w:rFonts w:hint="eastAsia"/>
                <w:b w:val="0"/>
                <w:bCs w:val="0"/>
                <w:color w:val="000000" w:themeColor="text1"/>
                <w:sz w:val="21"/>
                <w:highlight w:val="none"/>
                <w:lang w:val="en-US" w:eastAsia="zh-CN"/>
                <w14:textFill>
                  <w14:solidFill>
                    <w14:schemeClr w14:val="tx1"/>
                  </w14:solidFill>
                </w14:textFill>
              </w:rPr>
              <w:t>及人员</w:t>
            </w:r>
            <w:r>
              <w:rPr>
                <w:rFonts w:hint="eastAsia"/>
                <w:b w:val="0"/>
                <w:bCs w:val="0"/>
                <w:color w:val="000000" w:themeColor="text1"/>
                <w:sz w:val="21"/>
                <w:highlight w:val="none"/>
                <w14:textFill>
                  <w14:solidFill>
                    <w14:schemeClr w14:val="tx1"/>
                  </w14:solidFill>
                </w14:textFill>
              </w:rPr>
              <w:t>信用评价结果的通知</w:t>
            </w:r>
            <w:r>
              <w:rPr>
                <w:rFonts w:ascii="宋体" w:hAnsi="宋体" w:eastAsia="宋体" w:cs="宋体"/>
                <w:color w:val="000000" w:themeColor="text1"/>
                <w:sz w:val="21"/>
                <w:highlight w:val="none"/>
                <w14:textFill>
                  <w14:solidFill>
                    <w14:schemeClr w14:val="tx1"/>
                  </w14:solidFill>
                </w14:textFill>
              </w:rPr>
              <w:t>》</w:t>
            </w:r>
            <w:r>
              <w:rPr>
                <w:rFonts w:hint="eastAsia" w:ascii="宋体" w:hAnsi="宋体" w:eastAsia="宋体" w:cs="宋体"/>
                <w:color w:val="auto"/>
                <w:kern w:val="2"/>
                <w:sz w:val="21"/>
                <w:szCs w:val="21"/>
                <w:highlight w:val="none"/>
                <w:lang w:val="en-US" w:eastAsia="zh-CN" w:bidi="ar-SA"/>
              </w:rPr>
              <w:t>（宁交函[2023]98号）</w:t>
            </w:r>
            <w:r>
              <w:rPr>
                <w:rFonts w:ascii="宋体" w:hAnsi="宋体" w:eastAsia="宋体" w:cs="宋体"/>
                <w:color w:val="000000" w:themeColor="text1"/>
                <w:sz w:val="21"/>
                <w:highlight w:val="none"/>
                <w14:textFill>
                  <w14:solidFill>
                    <w14:schemeClr w14:val="tx1"/>
                  </w14:solidFill>
                </w14:textFill>
              </w:rPr>
              <w:t>文件中的信用评价等级（公路工程试验检测机构）为准；</w:t>
            </w:r>
          </w:p>
          <w:p>
            <w:pPr>
              <w:pStyle w:val="12"/>
              <w:keepNext w:val="0"/>
              <w:keepLines w:val="0"/>
              <w:pageBreakBefore w:val="0"/>
              <w:widowControl w:val="0"/>
              <w:numPr>
                <w:ilvl w:val="0"/>
                <w:numId w:val="0"/>
              </w:numPr>
              <w:tabs>
                <w:tab w:val="left" w:pos="633"/>
              </w:tabs>
              <w:kinsoku/>
              <w:wordWrap/>
              <w:overflowPunct/>
              <w:topLinePunct w:val="0"/>
              <w:autoSpaceDE w:val="0"/>
              <w:autoSpaceDN w:val="0"/>
              <w:bidi w:val="0"/>
              <w:adjustRightInd/>
              <w:snapToGrid/>
              <w:spacing w:line="400" w:lineRule="exact"/>
              <w:ind w:left="0" w:leftChars="0"/>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3</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商务和技术得分较高的优先；</w:t>
            </w:r>
          </w:p>
          <w:p>
            <w:pPr>
              <w:pStyle w:val="12"/>
              <w:keepNext w:val="0"/>
              <w:keepLines w:val="0"/>
              <w:pageBreakBefore w:val="0"/>
              <w:widowControl w:val="0"/>
              <w:numPr>
                <w:ilvl w:val="0"/>
                <w:numId w:val="0"/>
              </w:numPr>
              <w:tabs>
                <w:tab w:val="left" w:pos="633"/>
              </w:tabs>
              <w:kinsoku/>
              <w:wordWrap/>
              <w:overflowPunct/>
              <w:topLinePunct w:val="0"/>
              <w:autoSpaceDE w:val="0"/>
              <w:autoSpaceDN w:val="0"/>
              <w:bidi w:val="0"/>
              <w:adjustRightInd/>
              <w:snapToGrid/>
              <w:spacing w:line="400" w:lineRule="exact"/>
              <w:ind w:left="0" w:leftChars="0" w:right="0" w:rightChars="0"/>
              <w:textAlignment w:val="auto"/>
              <w:rPr>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4</w:t>
            </w:r>
            <w:r>
              <w:rPr>
                <w:rFonts w:hint="eastAsia" w:ascii="宋体" w:hAnsi="宋体" w:eastAsia="宋体" w:cs="宋体"/>
                <w:color w:val="000000" w:themeColor="text1"/>
                <w:sz w:val="21"/>
                <w:highlight w:val="none"/>
                <w:lang w:eastAsia="zh-CN"/>
                <w14:textFill>
                  <w14:solidFill>
                    <w14:schemeClr w14:val="tx1"/>
                  </w14:solidFill>
                </w14:textFill>
              </w:rPr>
              <w:t>）</w:t>
            </w:r>
            <w:r>
              <w:rPr>
                <w:rFonts w:ascii="宋体" w:hAnsi="宋体" w:eastAsia="宋体" w:cs="宋体"/>
                <w:color w:val="000000" w:themeColor="text1"/>
                <w:sz w:val="21"/>
                <w:highlight w:val="none"/>
                <w14:textFill>
                  <w14:solidFill>
                    <w14:schemeClr w14:val="tx1"/>
                  </w14:solidFill>
                </w14:textFill>
              </w:rPr>
              <w:t>商务和技术得分相等时，则由评标委员会根据技术建议书的编制情况投票确定其推荐排序。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3" w:hRule="atLeast"/>
        </w:trPr>
        <w:tc>
          <w:tcPr>
            <w:tcW w:w="949" w:type="dxa"/>
          </w:tcPr>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spacing w:before="150"/>
              <w:ind w:left="21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2.2.1</w:t>
            </w:r>
          </w:p>
          <w:p>
            <w:pPr>
              <w:pStyle w:val="12"/>
              <w:spacing w:before="139"/>
              <w:ind w:left="21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2.1.3</w:t>
            </w:r>
          </w:p>
        </w:tc>
        <w:tc>
          <w:tcPr>
            <w:tcW w:w="1569" w:type="dxa"/>
          </w:tcPr>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spacing w:before="150" w:line="364" w:lineRule="auto"/>
              <w:ind w:left="152" w:right="146"/>
              <w:rPr>
                <w:color w:val="000000" w:themeColor="text1"/>
                <w:sz w:val="21"/>
                <w:highlight w:val="none"/>
                <w14:textFill>
                  <w14:solidFill>
                    <w14:schemeClr w14:val="tx1"/>
                  </w14:solidFill>
                </w14:textFill>
              </w:rPr>
            </w:pPr>
            <w:r>
              <w:rPr>
                <w:color w:val="000000" w:themeColor="text1"/>
                <w:spacing w:val="-1"/>
                <w:sz w:val="21"/>
                <w:highlight w:val="none"/>
                <w14:textFill>
                  <w14:solidFill>
                    <w14:schemeClr w14:val="tx1"/>
                  </w14:solidFill>
                </w14:textFill>
              </w:rPr>
              <w:t>形式评审与响应性评审标准</w:t>
            </w:r>
          </w:p>
        </w:tc>
        <w:tc>
          <w:tcPr>
            <w:tcW w:w="7913" w:type="dxa"/>
          </w:tcPr>
          <w:p>
            <w:pPr>
              <w:pStyle w:val="12"/>
              <w:spacing w:before="113"/>
              <w:ind w:left="112"/>
              <w:rPr>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第一个信封（商务及技术文件）评审标准：</w:t>
            </w:r>
          </w:p>
          <w:p>
            <w:pPr>
              <w:pStyle w:val="12"/>
              <w:spacing w:before="139"/>
              <w:ind w:left="11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（1）投标文件按照招标文件规定的格式、内容填写，字迹清晰可辨:</w:t>
            </w:r>
          </w:p>
          <w:p>
            <w:pPr>
              <w:pStyle w:val="12"/>
              <w:numPr>
                <w:ilvl w:val="0"/>
                <w:numId w:val="2"/>
              </w:numPr>
              <w:tabs>
                <w:tab w:val="left" w:pos="324"/>
              </w:tabs>
              <w:spacing w:before="139" w:line="364" w:lineRule="auto"/>
              <w:ind w:right="103" w:firstLine="0"/>
              <w:rPr>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投标函按招标文件规定填报了项目名称、标段、补遗书编号（如有）、试验检测服务期限等</w:t>
            </w:r>
            <w:r>
              <w:rPr>
                <w:color w:val="000000" w:themeColor="text1"/>
                <w:sz w:val="21"/>
                <w:highlight w:val="none"/>
                <w14:textFill>
                  <w14:solidFill>
                    <w14:schemeClr w14:val="tx1"/>
                  </w14:solidFill>
                </w14:textFill>
              </w:rPr>
              <w:t>；</w:t>
            </w:r>
          </w:p>
          <w:p>
            <w:pPr>
              <w:pStyle w:val="12"/>
              <w:numPr>
                <w:ilvl w:val="0"/>
                <w:numId w:val="2"/>
              </w:numPr>
              <w:tabs>
                <w:tab w:val="left" w:pos="324"/>
              </w:tabs>
              <w:ind w:left="32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投标文件组成完整，内容均按规定填写。</w:t>
            </w:r>
          </w:p>
          <w:p>
            <w:pPr>
              <w:pStyle w:val="12"/>
              <w:numPr>
                <w:ilvl w:val="0"/>
                <w:numId w:val="3"/>
              </w:numPr>
              <w:tabs>
                <w:tab w:val="left" w:pos="638"/>
              </w:tabs>
              <w:spacing w:before="139" w:line="364" w:lineRule="auto"/>
              <w:ind w:left="0" w:leftChars="0" w:right="124" w:firstLine="0" w:firstLineChars="0"/>
              <w:rPr>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投标文件上法定代表人或其授权代理人的签字、投标人的单位盖章齐全，符合招标文件规定。</w:t>
            </w:r>
          </w:p>
          <w:p>
            <w:pPr>
              <w:pStyle w:val="12"/>
              <w:numPr>
                <w:ilvl w:val="0"/>
                <w:numId w:val="3"/>
              </w:numPr>
              <w:tabs>
                <w:tab w:val="left" w:pos="638"/>
              </w:tabs>
              <w:spacing w:line="364" w:lineRule="auto"/>
              <w:ind w:left="0" w:leftChars="0" w:right="103" w:firstLine="0" w:firstLineChars="0"/>
              <w:jc w:val="both"/>
              <w:rPr>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投标人法定代表人授权代理人签署投标文件的，须提交授权委托书，且授权人和被授权人均在授权委托书上亲笔签名，不得使用印章、签名章或其他电子制版签名</w:t>
            </w:r>
            <w:r>
              <w:rPr>
                <w:color w:val="000000" w:themeColor="text1"/>
                <w:sz w:val="21"/>
                <w:highlight w:val="none"/>
                <w14:textFill>
                  <w14:solidFill>
                    <w14:schemeClr w14:val="tx1"/>
                  </w14:solidFill>
                </w14:textFill>
              </w:rPr>
              <w:t>代替:</w:t>
            </w:r>
          </w:p>
          <w:p>
            <w:pPr>
              <w:pStyle w:val="12"/>
              <w:numPr>
                <w:ilvl w:val="0"/>
                <w:numId w:val="3"/>
              </w:numPr>
              <w:tabs>
                <w:tab w:val="left" w:pos="638"/>
              </w:tabs>
              <w:spacing w:line="364" w:lineRule="auto"/>
              <w:ind w:left="0" w:leftChars="0" w:right="103" w:firstLine="0" w:firstLineChars="0"/>
              <w:jc w:val="both"/>
              <w:rPr>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投标人法定代表人亲自签署投标文件的，提供了法定代表人身份证明，且法定代表人在法定代表人身份证明上亲笔签名，不得使用印章、签名章或其他电子制版签</w:t>
            </w:r>
            <w:r>
              <w:rPr>
                <w:color w:val="000000" w:themeColor="text1"/>
                <w:sz w:val="21"/>
                <w:highlight w:val="none"/>
                <w14:textFill>
                  <w14:solidFill>
                    <w14:schemeClr w14:val="tx1"/>
                  </w14:solidFill>
                </w14:textFill>
              </w:rPr>
              <w:t>名代替:</w:t>
            </w:r>
          </w:p>
          <w:p>
            <w:pPr>
              <w:pStyle w:val="12"/>
              <w:numPr>
                <w:ilvl w:val="0"/>
                <w:numId w:val="3"/>
              </w:numPr>
              <w:tabs>
                <w:tab w:val="left" w:pos="638"/>
              </w:tabs>
              <w:spacing w:line="266" w:lineRule="exact"/>
              <w:ind w:left="525" w:leftChars="0" w:hanging="526" w:firstLineChars="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投标人未以联合体形式投标:</w:t>
            </w:r>
          </w:p>
          <w:p>
            <w:pPr>
              <w:pStyle w:val="12"/>
              <w:numPr>
                <w:ilvl w:val="0"/>
                <w:numId w:val="3"/>
              </w:numPr>
              <w:tabs>
                <w:tab w:val="left" w:pos="638"/>
              </w:tabs>
              <w:spacing w:before="139"/>
              <w:ind w:left="525" w:leftChars="0" w:hanging="526" w:firstLineChars="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同一投标人未提交两个以上不同的投标文件:</w:t>
            </w:r>
          </w:p>
          <w:p>
            <w:pPr>
              <w:pStyle w:val="12"/>
              <w:numPr>
                <w:ilvl w:val="0"/>
                <w:numId w:val="3"/>
              </w:numPr>
              <w:tabs>
                <w:tab w:val="left" w:pos="638"/>
              </w:tabs>
              <w:spacing w:before="139"/>
              <w:ind w:left="525" w:leftChars="0" w:hanging="526" w:firstLineChars="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投标文件第一信封中未出现有关投标报价的内容:</w:t>
            </w:r>
          </w:p>
          <w:p>
            <w:pPr>
              <w:pStyle w:val="12"/>
              <w:numPr>
                <w:ilvl w:val="0"/>
                <w:numId w:val="3"/>
              </w:numPr>
              <w:tabs>
                <w:tab w:val="left" w:pos="638"/>
              </w:tabs>
              <w:spacing w:before="139"/>
              <w:ind w:left="525" w:leftChars="0" w:hanging="526" w:firstLineChars="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投标文件载明的招标项目完成期限未超过招标文件规定的时限:</w:t>
            </w:r>
          </w:p>
          <w:p>
            <w:pPr>
              <w:pStyle w:val="12"/>
              <w:numPr>
                <w:ilvl w:val="0"/>
                <w:numId w:val="3"/>
              </w:numPr>
              <w:tabs>
                <w:tab w:val="left" w:pos="638"/>
              </w:tabs>
              <w:spacing w:before="139"/>
              <w:ind w:left="525" w:leftChars="0" w:hanging="526" w:firstLineChars="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投标文件对招标文件的实质性要求和条件作出响应:</w:t>
            </w:r>
          </w:p>
          <w:p>
            <w:pPr>
              <w:pStyle w:val="12"/>
              <w:numPr>
                <w:ilvl w:val="0"/>
                <w:numId w:val="3"/>
              </w:numPr>
              <w:tabs>
                <w:tab w:val="left" w:pos="743"/>
              </w:tabs>
              <w:spacing w:before="141" w:line="360" w:lineRule="auto"/>
              <w:ind w:left="630" w:leftChars="0" w:hanging="631" w:firstLineChars="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权利义务符合招标文件规定:</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ascii="宋体" w:hAnsi="宋体" w:eastAsia="宋体" w:cs="宋体"/>
                <w:color w:val="000000" w:themeColor="text1"/>
                <w:sz w:val="21"/>
                <w:highlight w:val="none"/>
                <w14:textFill>
                  <w14:solidFill>
                    <w14:schemeClr w14:val="tx1"/>
                  </w14:solidFill>
                </w14:textFill>
              </w:rPr>
            </w:pPr>
            <w:r>
              <w:rPr>
                <w:rFonts w:hint="eastAsia" w:cs="宋体"/>
                <w:color w:val="000000" w:themeColor="text1"/>
                <w:sz w:val="21"/>
                <w:highlight w:val="none"/>
                <w:lang w:val="en-US" w:eastAsia="zh-CN"/>
                <w14:textFill>
                  <w14:solidFill>
                    <w14:schemeClr w14:val="tx1"/>
                  </w14:solidFill>
                </w14:textFill>
              </w:rPr>
              <w:t>a.</w:t>
            </w:r>
            <w:r>
              <w:rPr>
                <w:rFonts w:ascii="宋体" w:hAnsi="宋体" w:eastAsia="宋体" w:cs="宋体"/>
                <w:color w:val="000000" w:themeColor="text1"/>
                <w:sz w:val="21"/>
                <w:highlight w:val="none"/>
                <w14:textFill>
                  <w14:solidFill>
                    <w14:schemeClr w14:val="tx1"/>
                  </w14:solidFill>
                </w14:textFill>
              </w:rPr>
              <w:t>投标人应接受招标文件规定的风险划分原则，未提出新的风险划分办法；</w:t>
            </w:r>
          </w:p>
          <w:p>
            <w:pPr>
              <w:pStyle w:val="12"/>
              <w:numPr>
                <w:ilvl w:val="0"/>
                <w:numId w:val="0"/>
              </w:numPr>
              <w:spacing w:before="139" w:line="360" w:lineRule="auto"/>
              <w:ind w:right="997" w:rightChars="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b.投标人未增加发包人的责任范围，或减少投标人义务；</w:t>
            </w:r>
          </w:p>
        </w:tc>
      </w:tr>
    </w:tbl>
    <w:p>
      <w:pPr>
        <w:spacing w:line="364" w:lineRule="auto"/>
        <w:rPr>
          <w:color w:val="000000" w:themeColor="text1"/>
          <w:sz w:val="21"/>
          <w:highlight w:val="none"/>
          <w14:textFill>
            <w14:solidFill>
              <w14:schemeClr w14:val="tx1"/>
            </w14:solidFill>
          </w14:textFill>
        </w:rPr>
        <w:sectPr>
          <w:headerReference r:id="rId15" w:type="default"/>
          <w:footerReference r:id="rId16" w:type="default"/>
          <w:pgSz w:w="11920" w:h="16850"/>
          <w:pgMar w:top="1400" w:right="620" w:bottom="1200" w:left="620" w:header="0" w:footer="1008" w:gutter="0"/>
          <w:cols w:space="720" w:num="1"/>
        </w:sectPr>
      </w:pPr>
    </w:p>
    <w:tbl>
      <w:tblPr>
        <w:tblStyle w:val="14"/>
        <w:tblW w:w="10431"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
        <w:gridCol w:w="1569"/>
        <w:gridCol w:w="7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518" w:type="dxa"/>
            <w:gridSpan w:val="2"/>
            <w:vAlign w:val="center"/>
          </w:tcPr>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jc w:val="center"/>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条款号</w:t>
            </w:r>
          </w:p>
        </w:tc>
        <w:tc>
          <w:tcPr>
            <w:tcW w:w="7913" w:type="dxa"/>
            <w:vAlign w:val="center"/>
          </w:tcPr>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jc w:val="center"/>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2" w:hRule="atLeast"/>
        </w:trPr>
        <w:tc>
          <w:tcPr>
            <w:tcW w:w="949" w:type="dxa"/>
          </w:tcPr>
          <w:p>
            <w:pPr>
              <w:pStyle w:val="12"/>
              <w:rPr>
                <w:rFonts w:ascii="Times New Roman"/>
                <w:color w:val="000000" w:themeColor="text1"/>
                <w:sz w:val="20"/>
                <w:highlight w:val="none"/>
                <w14:textFill>
                  <w14:solidFill>
                    <w14:schemeClr w14:val="tx1"/>
                  </w14:solidFill>
                </w14:textFill>
              </w:rPr>
            </w:pPr>
          </w:p>
        </w:tc>
        <w:tc>
          <w:tcPr>
            <w:tcW w:w="1569" w:type="dxa"/>
          </w:tcPr>
          <w:p>
            <w:pPr>
              <w:pStyle w:val="12"/>
              <w:rPr>
                <w:rFonts w:ascii="Times New Roman"/>
                <w:color w:val="000000" w:themeColor="text1"/>
                <w:sz w:val="20"/>
                <w:highlight w:val="none"/>
                <w14:textFill>
                  <w14:solidFill>
                    <w14:schemeClr w14:val="tx1"/>
                  </w14:solidFill>
                </w14:textFill>
              </w:rPr>
            </w:pPr>
          </w:p>
        </w:tc>
        <w:tc>
          <w:tcPr>
            <w:tcW w:w="7913" w:type="dxa"/>
          </w:tcPr>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105" w:line="365" w:lineRule="auto"/>
              <w:ind w:left="113" w:leftChars="0" w:right="0" w:rightChars="0"/>
              <w:textAlignment w:val="auto"/>
              <w:rPr>
                <w:color w:val="000000" w:themeColor="text1"/>
                <w:w w:val="95"/>
                <w:sz w:val="21"/>
                <w:highlight w:val="none"/>
                <w14:textFill>
                  <w14:solidFill>
                    <w14:schemeClr w14:val="tx1"/>
                  </w14:solidFill>
                </w14:textFill>
              </w:rPr>
            </w:pPr>
            <w:r>
              <w:rPr>
                <w:rFonts w:hint="eastAsia"/>
                <w:color w:val="000000" w:themeColor="text1"/>
                <w:w w:val="95"/>
                <w:sz w:val="21"/>
                <w:highlight w:val="none"/>
                <w:lang w:val="en-US" w:eastAsia="zh-CN"/>
                <w14:textFill>
                  <w14:solidFill>
                    <w14:schemeClr w14:val="tx1"/>
                  </w14:solidFill>
                </w14:textFill>
              </w:rPr>
              <w:t>c</w:t>
            </w:r>
            <w:r>
              <w:rPr>
                <w:color w:val="000000" w:themeColor="text1"/>
                <w:sz w:val="21"/>
                <w:highlight w:val="none"/>
                <w14:textFill>
                  <w14:solidFill>
                    <w14:schemeClr w14:val="tx1"/>
                  </w14:solidFill>
                </w14:textFill>
              </w:rPr>
              <w:t>.投标人未提出不同的工程验收、计量、支付办法</w:t>
            </w:r>
            <w:r>
              <w:rPr>
                <w:color w:val="000000" w:themeColor="text1"/>
                <w:w w:val="95"/>
                <w:sz w:val="21"/>
                <w:highlight w:val="none"/>
                <w14:textFill>
                  <w14:solidFill>
                    <w14:schemeClr w14:val="tx1"/>
                  </w14:solidFill>
                </w14:textFill>
              </w:rPr>
              <w:t>；</w:t>
            </w:r>
          </w:p>
          <w:p>
            <w:pPr>
              <w:pStyle w:val="12"/>
              <w:numPr>
                <w:ilvl w:val="0"/>
                <w:numId w:val="0"/>
              </w:numPr>
              <w:spacing w:before="105" w:line="364" w:lineRule="auto"/>
              <w:ind w:left="112" w:leftChars="0" w:right="2992" w:rightChars="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d.投标人对合同纠纷、事故处理办法未提出异议；e.投标人在投标活动中无欺诈行为；</w:t>
            </w:r>
          </w:p>
          <w:p>
            <w:pPr>
              <w:pStyle w:val="12"/>
              <w:spacing w:line="269" w:lineRule="exact"/>
              <w:ind w:left="112"/>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f.</w:t>
            </w:r>
            <w:r>
              <w:rPr>
                <w:color w:val="000000" w:themeColor="text1"/>
                <w:sz w:val="21"/>
                <w:highlight w:val="none"/>
                <w14:textFill>
                  <w14:solidFill>
                    <w14:schemeClr w14:val="tx1"/>
                  </w14:solidFill>
                </w14:textFill>
              </w:rPr>
              <w:t>投标人未对合同条款有重要保留。</w:t>
            </w:r>
          </w:p>
          <w:p>
            <w:pPr>
              <w:pStyle w:val="12"/>
              <w:numPr>
                <w:ilvl w:val="0"/>
                <w:numId w:val="4"/>
              </w:numPr>
              <w:tabs>
                <w:tab w:val="left" w:pos="743"/>
              </w:tabs>
              <w:spacing w:before="138"/>
              <w:ind w:hanging="63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投标文件编制符合招标文件第二章“投标人须知规定</w:t>
            </w:r>
            <w:r>
              <w:rPr>
                <w:rFonts w:hint="eastAsia"/>
                <w:color w:val="000000" w:themeColor="text1"/>
                <w:sz w:val="21"/>
                <w:highlight w:val="none"/>
                <w:lang w:eastAsia="zh-CN"/>
                <w14:textFill>
                  <w14:solidFill>
                    <w14:schemeClr w14:val="tx1"/>
                  </w14:solidFill>
                </w14:textFill>
              </w:rPr>
              <w:t>”</w:t>
            </w:r>
            <w:r>
              <w:rPr>
                <w:color w:val="000000" w:themeColor="text1"/>
                <w:spacing w:val="3"/>
                <w:w w:val="95"/>
                <w:sz w:val="21"/>
                <w:highlight w:val="none"/>
                <w14:textFill>
                  <w14:solidFill>
                    <w14:schemeClr w14:val="tx1"/>
                  </w14:solidFill>
                </w14:textFill>
              </w:rPr>
              <w:t>。</w:t>
            </w:r>
          </w:p>
          <w:p>
            <w:pPr>
              <w:pStyle w:val="12"/>
              <w:numPr>
                <w:ilvl w:val="0"/>
                <w:numId w:val="4"/>
              </w:numPr>
              <w:tabs>
                <w:tab w:val="left" w:pos="743"/>
              </w:tabs>
              <w:spacing w:before="139"/>
              <w:ind w:hanging="63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投标文件提交方式满足“投标人须知”规定:</w:t>
            </w:r>
          </w:p>
          <w:p>
            <w:pPr>
              <w:pStyle w:val="12"/>
              <w:numPr>
                <w:ilvl w:val="0"/>
                <w:numId w:val="4"/>
              </w:numPr>
              <w:tabs>
                <w:tab w:val="left" w:pos="743"/>
              </w:tabs>
              <w:spacing w:before="139"/>
              <w:ind w:hanging="63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不按评标委员会要求澄清、说明或补正的:</w:t>
            </w:r>
          </w:p>
          <w:p>
            <w:pPr>
              <w:pStyle w:val="12"/>
              <w:spacing w:before="11"/>
              <w:rPr>
                <w:color w:val="000000" w:themeColor="text1"/>
                <w:highlight w:val="none"/>
                <w14:textFill>
                  <w14:solidFill>
                    <w14:schemeClr w14:val="tx1"/>
                  </w14:solidFill>
                </w14:textFill>
              </w:rPr>
            </w:pPr>
          </w:p>
          <w:p>
            <w:pPr>
              <w:pStyle w:val="12"/>
              <w:numPr>
                <w:ilvl w:val="0"/>
                <w:numId w:val="0"/>
              </w:numPr>
              <w:tabs>
                <w:tab w:val="left" w:pos="743"/>
              </w:tabs>
              <w:spacing w:before="138"/>
              <w:ind w:left="111" w:leftChars="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第二个信封（报价文件）评审标准：</w:t>
            </w:r>
          </w:p>
          <w:p>
            <w:pPr>
              <w:pStyle w:val="12"/>
              <w:numPr>
                <w:ilvl w:val="0"/>
                <w:numId w:val="5"/>
              </w:numPr>
              <w:tabs>
                <w:tab w:val="left" w:pos="638"/>
              </w:tabs>
              <w:spacing w:before="138"/>
              <w:ind w:hanging="52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投标文件按照招标文件规定的格式、内容填写，字迹清晰可辨:</w:t>
            </w:r>
          </w:p>
          <w:p>
            <w:pPr>
              <w:pStyle w:val="12"/>
              <w:spacing w:before="139" w:line="364" w:lineRule="auto"/>
              <w:ind w:left="112" w:right="103"/>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a、</w:t>
            </w:r>
            <w:r>
              <w:rPr>
                <w:color w:val="000000" w:themeColor="text1"/>
                <w:sz w:val="21"/>
                <w:highlight w:val="none"/>
                <w14:textFill>
                  <w14:solidFill>
                    <w14:schemeClr w14:val="tx1"/>
                  </w14:solidFill>
                </w14:textFill>
              </w:rPr>
              <w:t>投标函按招标文件规定填报了项目名称、标段、补遗书编号（如有）、投标价</w:t>
            </w:r>
            <w:r>
              <w:rPr>
                <w:color w:val="000000" w:themeColor="text1"/>
                <w:w w:val="95"/>
                <w:sz w:val="21"/>
                <w:highlight w:val="none"/>
                <w14:textFill>
                  <w14:solidFill>
                    <w14:schemeClr w14:val="tx1"/>
                  </w14:solidFill>
                </w14:textFill>
              </w:rPr>
              <w:t>（包</w:t>
            </w:r>
            <w:r>
              <w:rPr>
                <w:color w:val="000000" w:themeColor="text1"/>
                <w:sz w:val="21"/>
                <w:highlight w:val="none"/>
                <w14:textFill>
                  <w14:solidFill>
                    <w14:schemeClr w14:val="tx1"/>
                  </w14:solidFill>
                </w14:textFill>
              </w:rPr>
              <w:t>括大写金额和小写金额）；</w:t>
            </w:r>
          </w:p>
          <w:p>
            <w:pPr>
              <w:pStyle w:val="12"/>
              <w:spacing w:before="1" w:line="364" w:lineRule="auto"/>
              <w:ind w:left="112" w:right="124"/>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b、</w:t>
            </w:r>
            <w:r>
              <w:rPr>
                <w:color w:val="000000" w:themeColor="text1"/>
                <w:sz w:val="21"/>
                <w:highlight w:val="none"/>
                <w14:textFill>
                  <w14:solidFill>
                    <w14:schemeClr w14:val="tx1"/>
                  </w14:solidFill>
                </w14:textFill>
              </w:rPr>
              <w:t>已标价工程量固化清单、清单说明文字与招标文件规定一致，未进行实质性修改和删减；</w:t>
            </w:r>
          </w:p>
          <w:p>
            <w:pPr>
              <w:pStyle w:val="12"/>
              <w:spacing w:line="267" w:lineRule="exact"/>
              <w:ind w:left="11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c、投标文件组成齐全完整，内容均按规定填写。</w:t>
            </w:r>
          </w:p>
          <w:p>
            <w:pPr>
              <w:pStyle w:val="12"/>
              <w:numPr>
                <w:ilvl w:val="0"/>
                <w:numId w:val="5"/>
              </w:numPr>
              <w:tabs>
                <w:tab w:val="left" w:pos="638"/>
              </w:tabs>
              <w:spacing w:before="139" w:line="364" w:lineRule="auto"/>
              <w:ind w:left="112" w:right="125" w:firstLine="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投标文件上法定代表人或其授权代理人的签字、投标人的单位章盖章齐全，符合招标文件规定。</w:t>
            </w:r>
          </w:p>
          <w:p>
            <w:pPr>
              <w:pStyle w:val="12"/>
              <w:numPr>
                <w:ilvl w:val="0"/>
                <w:numId w:val="5"/>
              </w:numPr>
              <w:tabs>
                <w:tab w:val="left" w:pos="638"/>
              </w:tabs>
              <w:spacing w:line="267" w:lineRule="exact"/>
              <w:ind w:hanging="52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投标报价未超过招标文件设定的最高投标限价（如有）:</w:t>
            </w:r>
          </w:p>
          <w:p>
            <w:pPr>
              <w:pStyle w:val="12"/>
              <w:numPr>
                <w:ilvl w:val="0"/>
                <w:numId w:val="5"/>
              </w:numPr>
              <w:tabs>
                <w:tab w:val="left" w:pos="638"/>
              </w:tabs>
              <w:spacing w:before="141"/>
              <w:ind w:hanging="52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投标报价的大写金额能够确定具体数值:</w:t>
            </w:r>
          </w:p>
          <w:p>
            <w:pPr>
              <w:pStyle w:val="12"/>
              <w:numPr>
                <w:ilvl w:val="0"/>
                <w:numId w:val="5"/>
              </w:numPr>
              <w:tabs>
                <w:tab w:val="left" w:pos="638"/>
              </w:tabs>
              <w:spacing w:before="139"/>
              <w:ind w:hanging="52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同一投标人未提交两个以上不同的投标报价:</w:t>
            </w:r>
          </w:p>
          <w:p>
            <w:pPr>
              <w:pStyle w:val="12"/>
              <w:numPr>
                <w:ilvl w:val="0"/>
                <w:numId w:val="5"/>
              </w:numPr>
              <w:tabs>
                <w:tab w:val="left" w:pos="638"/>
              </w:tabs>
              <w:spacing w:before="139"/>
              <w:ind w:hanging="52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投标文件编制符合电子投标文件编制规定:</w:t>
            </w:r>
          </w:p>
          <w:p>
            <w:pPr>
              <w:pStyle w:val="12"/>
              <w:numPr>
                <w:ilvl w:val="0"/>
                <w:numId w:val="5"/>
              </w:numPr>
              <w:tabs>
                <w:tab w:val="left" w:pos="638"/>
              </w:tabs>
              <w:spacing w:before="139"/>
              <w:ind w:hanging="52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投标文件未附有招标人不能接受的条件:</w:t>
            </w:r>
          </w:p>
          <w:p>
            <w:pPr>
              <w:pStyle w:val="12"/>
              <w:numPr>
                <w:ilvl w:val="0"/>
                <w:numId w:val="5"/>
              </w:numPr>
              <w:tabs>
                <w:tab w:val="left" w:pos="638"/>
              </w:tabs>
              <w:spacing w:before="141"/>
              <w:ind w:hanging="52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不按评标委员会要求澄清、说明或补正的: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2" w:hRule="atLeast"/>
        </w:trPr>
        <w:tc>
          <w:tcPr>
            <w:tcW w:w="949" w:type="dxa"/>
          </w:tcPr>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spacing w:before="7"/>
              <w:rPr>
                <w:color w:val="000000" w:themeColor="text1"/>
                <w:sz w:val="19"/>
                <w:highlight w:val="none"/>
                <w14:textFill>
                  <w14:solidFill>
                    <w14:schemeClr w14:val="tx1"/>
                  </w14:solidFill>
                </w14:textFill>
              </w:rPr>
            </w:pPr>
          </w:p>
          <w:p>
            <w:pPr>
              <w:pStyle w:val="12"/>
              <w:ind w:left="11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2.1.2</w:t>
            </w:r>
          </w:p>
        </w:tc>
        <w:tc>
          <w:tcPr>
            <w:tcW w:w="1569" w:type="dxa"/>
          </w:tcPr>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spacing w:before="7"/>
              <w:rPr>
                <w:color w:val="000000" w:themeColor="text1"/>
                <w:sz w:val="19"/>
                <w:highlight w:val="none"/>
                <w14:textFill>
                  <w14:solidFill>
                    <w14:schemeClr w14:val="tx1"/>
                  </w14:solidFill>
                </w14:textFill>
              </w:rPr>
            </w:pPr>
          </w:p>
          <w:p>
            <w:pPr>
              <w:pStyle w:val="12"/>
              <w:ind w:left="15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资格评审标准</w:t>
            </w:r>
          </w:p>
        </w:tc>
        <w:tc>
          <w:tcPr>
            <w:tcW w:w="7913" w:type="dxa"/>
          </w:tcPr>
          <w:p>
            <w:pPr>
              <w:pStyle w:val="12"/>
              <w:keepNext w:val="0"/>
              <w:keepLines w:val="0"/>
              <w:pageBreakBefore w:val="0"/>
              <w:widowControl w:val="0"/>
              <w:kinsoku/>
              <w:wordWrap/>
              <w:overflowPunct/>
              <w:topLinePunct w:val="0"/>
              <w:autoSpaceDE w:val="0"/>
              <w:autoSpaceDN w:val="0"/>
              <w:bidi w:val="0"/>
              <w:adjustRightInd/>
              <w:snapToGrid/>
              <w:spacing w:line="360" w:lineRule="auto"/>
              <w:ind w:left="0"/>
              <w:jc w:val="both"/>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1</w:t>
            </w: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14:textFill>
                  <w14:solidFill>
                    <w14:schemeClr w14:val="tx1"/>
                  </w14:solidFill>
                </w14:textFill>
              </w:rPr>
              <w:t>投标人具备有效的营业执照或事业单位法人证书或社会团体法人登记证书、试验检测资质证书、CMA计量认证证书和基本账户开户银行提供的开户或账户信息证明:</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jc w:val="both"/>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2</w:t>
            </w: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14:textFill>
                  <w14:solidFill>
                    <w14:schemeClr w14:val="tx1"/>
                  </w14:solidFill>
                </w14:textFill>
              </w:rPr>
              <w:t>投标人的资质符合招标文件投标人须知附录 1 规定:</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jc w:val="both"/>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3</w:t>
            </w: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14:textFill>
                  <w14:solidFill>
                    <w14:schemeClr w14:val="tx1"/>
                  </w14:solidFill>
                </w14:textFill>
              </w:rPr>
              <w:t>投标人的业绩招标文件投标人须知附录 2 规定:</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jc w:val="both"/>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4</w:t>
            </w: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14:textFill>
                  <w14:solidFill>
                    <w14:schemeClr w14:val="tx1"/>
                  </w14:solidFill>
                </w14:textFill>
              </w:rPr>
              <w:t>投标人的信誉符合招标文件投标人须知正文及附录 3 规定:</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jc w:val="both"/>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5</w:t>
            </w: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14:textFill>
                  <w14:solidFill>
                    <w14:schemeClr w14:val="tx1"/>
                  </w14:solidFill>
                </w14:textFill>
              </w:rPr>
              <w:t>投标人的检测负责人资格符合招标文件投标人须知附录 4 规定:</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jc w:val="both"/>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6</w:t>
            </w: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14:textFill>
                  <w14:solidFill>
                    <w14:schemeClr w14:val="tx1"/>
                  </w14:solidFill>
                </w14:textFill>
              </w:rPr>
              <w:t>投标人不存在第二章“投标人须知”第 1.4.3 项规定的任何一种情形。</w:t>
            </w:r>
          </w:p>
        </w:tc>
      </w:tr>
    </w:tbl>
    <w:p>
      <w:pPr>
        <w:rPr>
          <w:color w:val="000000" w:themeColor="text1"/>
          <w:sz w:val="21"/>
          <w:highlight w:val="none"/>
          <w14:textFill>
            <w14:solidFill>
              <w14:schemeClr w14:val="tx1"/>
            </w14:solidFill>
          </w14:textFill>
        </w:rPr>
        <w:sectPr>
          <w:headerReference r:id="rId17" w:type="default"/>
          <w:footerReference r:id="rId18" w:type="default"/>
          <w:pgSz w:w="11920" w:h="16850"/>
          <w:pgMar w:top="1440" w:right="620" w:bottom="1200" w:left="620" w:header="0" w:footer="1008" w:gutter="0"/>
          <w:cols w:space="720" w:num="1"/>
        </w:sectPr>
      </w:pPr>
    </w:p>
    <w:tbl>
      <w:tblPr>
        <w:tblStyle w:val="14"/>
        <w:tblW w:w="10431"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
        <w:gridCol w:w="155"/>
        <w:gridCol w:w="821"/>
        <w:gridCol w:w="585"/>
        <w:gridCol w:w="445"/>
        <w:gridCol w:w="1480"/>
        <w:gridCol w:w="837"/>
        <w:gridCol w:w="51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510" w:type="dxa"/>
            <w:gridSpan w:val="4"/>
            <w:vAlign w:val="center"/>
          </w:tcPr>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jc w:val="center"/>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条款号</w:t>
            </w:r>
          </w:p>
        </w:tc>
        <w:tc>
          <w:tcPr>
            <w:tcW w:w="7921" w:type="dxa"/>
            <w:gridSpan w:val="4"/>
            <w:vAlign w:val="center"/>
          </w:tcPr>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jc w:val="center"/>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5" w:hRule="atLeast"/>
        </w:trPr>
        <w:tc>
          <w:tcPr>
            <w:tcW w:w="949" w:type="dxa"/>
          </w:tcPr>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spacing w:before="11"/>
              <w:rPr>
                <w:color w:val="000000" w:themeColor="text1"/>
                <w:sz w:val="23"/>
                <w:highlight w:val="none"/>
                <w14:textFill>
                  <w14:solidFill>
                    <w14:schemeClr w14:val="tx1"/>
                  </w14:solidFill>
                </w14:textFill>
              </w:rPr>
            </w:pPr>
          </w:p>
          <w:p>
            <w:pPr>
              <w:pStyle w:val="12"/>
              <w:ind w:left="191" w:right="18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2.2.1</w:t>
            </w:r>
          </w:p>
        </w:tc>
        <w:tc>
          <w:tcPr>
            <w:tcW w:w="1561" w:type="dxa"/>
            <w:gridSpan w:val="3"/>
          </w:tcPr>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分值构成（总分 100分）</w:t>
            </w:r>
          </w:p>
        </w:tc>
        <w:tc>
          <w:tcPr>
            <w:tcW w:w="7921" w:type="dxa"/>
            <w:gridSpan w:val="4"/>
          </w:tcPr>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第一个信封（商务及技术文件）评分分值构成：</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技术建议书：35 分</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主要人员：25</w:t>
            </w:r>
            <w:r>
              <w:rPr>
                <w:rFonts w:hint="eastAsia"/>
                <w:color w:val="000000" w:themeColor="text1"/>
                <w:sz w:val="21"/>
                <w:highlight w:val="none"/>
                <w:lang w:val="en-US" w:eastAsia="zh-CN"/>
                <w14:textFill>
                  <w14:solidFill>
                    <w14:schemeClr w14:val="tx1"/>
                  </w14:solidFill>
                </w14:textFill>
              </w:rPr>
              <w:t xml:space="preserve"> </w:t>
            </w:r>
            <w:r>
              <w:rPr>
                <w:rFonts w:hint="eastAsia"/>
                <w:color w:val="000000" w:themeColor="text1"/>
                <w:sz w:val="21"/>
                <w:highlight w:val="none"/>
                <w14:textFill>
                  <w14:solidFill>
                    <w14:schemeClr w14:val="tx1"/>
                  </w14:solidFill>
                </w14:textFill>
              </w:rPr>
              <w:t>分</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业绩：25 分</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履约信誉：5 分</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第二个信封（报价文件）评分分值构成：</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评标价：10</w:t>
            </w:r>
            <w:r>
              <w:rPr>
                <w:rFonts w:hint="eastAsia"/>
                <w:color w:val="000000" w:themeColor="text1"/>
                <w:sz w:val="21"/>
                <w:highlight w:val="none"/>
                <w:lang w:val="en-US" w:eastAsia="zh-CN"/>
                <w14:textFill>
                  <w14:solidFill>
                    <w14:schemeClr w14:val="tx1"/>
                  </w14:solidFill>
                </w14:textFill>
              </w:rPr>
              <w:t xml:space="preserve"> </w:t>
            </w:r>
            <w:r>
              <w:rPr>
                <w:rFonts w:hint="eastAsia"/>
                <w:color w:val="000000" w:themeColor="text1"/>
                <w:sz w:val="2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7" w:hRule="atLeast"/>
        </w:trPr>
        <w:tc>
          <w:tcPr>
            <w:tcW w:w="949" w:type="dxa"/>
          </w:tcPr>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color w:val="000000" w:themeColor="text1"/>
                <w:sz w:val="20"/>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color w:val="000000" w:themeColor="text1"/>
                <w:sz w:val="20"/>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color w:val="000000" w:themeColor="text1"/>
                <w:sz w:val="20"/>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color w:val="000000" w:themeColor="text1"/>
                <w:sz w:val="20"/>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color w:val="000000" w:themeColor="text1"/>
                <w:sz w:val="20"/>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color w:val="000000" w:themeColor="text1"/>
                <w:sz w:val="20"/>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color w:val="000000" w:themeColor="text1"/>
                <w:sz w:val="20"/>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color w:val="000000" w:themeColor="text1"/>
                <w:sz w:val="20"/>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color w:val="000000" w:themeColor="text1"/>
                <w:sz w:val="20"/>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color w:val="000000" w:themeColor="text1"/>
                <w:sz w:val="20"/>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color w:val="000000" w:themeColor="text1"/>
                <w:sz w:val="15"/>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2.2.2</w:t>
            </w:r>
          </w:p>
        </w:tc>
        <w:tc>
          <w:tcPr>
            <w:tcW w:w="1561" w:type="dxa"/>
            <w:gridSpan w:val="3"/>
          </w:tcPr>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评标基准价计</w:t>
            </w:r>
            <w:r>
              <w:rPr>
                <w:rFonts w:hint="eastAsia" w:ascii="宋体" w:hAnsi="宋体" w:eastAsia="宋体" w:cs="宋体"/>
                <w:color w:val="000000" w:themeColor="text1"/>
                <w:sz w:val="21"/>
                <w:szCs w:val="21"/>
                <w:highlight w:val="none"/>
                <w14:textFill>
                  <w14:solidFill>
                    <w14:schemeClr w14:val="tx1"/>
                  </w14:solidFill>
                </w14:textFill>
              </w:rPr>
              <w:t>算方法</w:t>
            </w:r>
          </w:p>
        </w:tc>
        <w:tc>
          <w:tcPr>
            <w:tcW w:w="7921" w:type="dxa"/>
            <w:gridSpan w:val="4"/>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auto"/>
              <w:rPr>
                <w:rFonts w:hint="eastAsia"/>
                <w:color w:val="000000" w:themeColor="text1"/>
                <w:sz w:val="21"/>
                <w:highlight w:val="none"/>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评标基准价的计算：</w:t>
            </w: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在开标现场，招标人将当场计算并宣布评标基准价。</w:t>
            </w: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评标价的确定：</w:t>
            </w: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评标价＝投标函文字报价</w:t>
            </w: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评标价平均值的计算：</w:t>
            </w: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除按第二章“投标人须知”第 5.2.4 项规定开标现场被宣布为不进入评标基准价计算的投标报价之外，所有投标人的评标价去掉一个最高值和一个最低值后的算术平均值即为评标价平均值（如果参与评标价平均值计算的有效投标人少于 5 家时，则计算评标价平均值时不去掉最高值和最低值）。</w:t>
            </w: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评标基准价的确定：</w:t>
            </w: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将评标价平均值直接作为评标基准价。</w:t>
            </w: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949" w:type="dxa"/>
          </w:tcPr>
          <w:p>
            <w:pPr>
              <w:pStyle w:val="12"/>
              <w:rPr>
                <w:color w:val="000000" w:themeColor="text1"/>
                <w:sz w:val="24"/>
                <w:highlight w:val="none"/>
                <w14:textFill>
                  <w14:solidFill>
                    <w14:schemeClr w14:val="tx1"/>
                  </w14:solidFill>
                </w14:textFill>
              </w:rPr>
            </w:pPr>
          </w:p>
          <w:p>
            <w:pPr>
              <w:pStyle w:val="12"/>
              <w:ind w:left="191" w:right="18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2.2.3</w:t>
            </w:r>
          </w:p>
        </w:tc>
        <w:tc>
          <w:tcPr>
            <w:tcW w:w="1561" w:type="dxa"/>
            <w:gridSpan w:val="3"/>
          </w:tcPr>
          <w:p>
            <w:pPr>
              <w:pStyle w:val="12"/>
              <w:spacing w:before="104" w:line="364" w:lineRule="auto"/>
              <w:ind w:left="256" w:right="143" w:hanging="106"/>
              <w:rPr>
                <w:color w:val="000000" w:themeColor="text1"/>
                <w:sz w:val="21"/>
                <w:highlight w:val="none"/>
                <w14:textFill>
                  <w14:solidFill>
                    <w14:schemeClr w14:val="tx1"/>
                  </w14:solidFill>
                </w14:textFill>
              </w:rPr>
            </w:pPr>
            <w:r>
              <w:rPr>
                <w:color w:val="000000" w:themeColor="text1"/>
                <w:spacing w:val="-1"/>
                <w:sz w:val="21"/>
                <w:highlight w:val="none"/>
                <w14:textFill>
                  <w14:solidFill>
                    <w14:schemeClr w14:val="tx1"/>
                  </w14:solidFill>
                </w14:textFill>
              </w:rPr>
              <w:t>评标价的偏差</w:t>
            </w:r>
            <w:r>
              <w:rPr>
                <w:color w:val="000000" w:themeColor="text1"/>
                <w:sz w:val="21"/>
                <w:highlight w:val="none"/>
                <w14:textFill>
                  <w14:solidFill>
                    <w14:schemeClr w14:val="tx1"/>
                  </w14:solidFill>
                </w14:textFill>
              </w:rPr>
              <w:t>率计算公式</w:t>
            </w:r>
          </w:p>
        </w:tc>
        <w:tc>
          <w:tcPr>
            <w:tcW w:w="7921" w:type="dxa"/>
            <w:gridSpan w:val="4"/>
          </w:tcPr>
          <w:p>
            <w:pPr>
              <w:pStyle w:val="12"/>
              <w:spacing w:before="104" w:line="364" w:lineRule="auto"/>
              <w:ind w:left="532" w:right="180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偏差率=100</w:t>
            </w:r>
            <w:r>
              <w:rPr>
                <w:color w:val="000000" w:themeColor="text1"/>
                <w:spacing w:val="-7"/>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×（投标人评标价－评标基准价）/评标基准价偏差率保留</w:t>
            </w:r>
            <w:r>
              <w:rPr>
                <w:color w:val="000000" w:themeColor="text1"/>
                <w:sz w:val="21"/>
                <w:highlight w:val="none"/>
                <w:u w:val="single"/>
                <w14:textFill>
                  <w14:solidFill>
                    <w14:schemeClr w14:val="tx1"/>
                  </w14:solidFill>
                </w14:textFill>
              </w:rPr>
              <w:t xml:space="preserve"> 2</w:t>
            </w:r>
            <w:r>
              <w:rPr>
                <w:color w:val="000000" w:themeColor="text1"/>
                <w:sz w:val="21"/>
                <w:highlight w:val="none"/>
                <w14:textFill>
                  <w14:solidFill>
                    <w14:schemeClr w14:val="tx1"/>
                  </w14:solidFill>
                </w14:textFill>
              </w:rPr>
              <w:t>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5272" w:type="dxa"/>
            <w:gridSpan w:val="7"/>
            <w:tcBorders>
              <w:left w:val="single" w:color="000000" w:sz="2" w:space="0"/>
              <w:bottom w:val="single" w:color="000000" w:sz="2" w:space="0"/>
              <w:right w:val="single" w:color="000000" w:sz="2" w:space="0"/>
            </w:tcBorders>
          </w:tcPr>
          <w:p>
            <w:pPr>
              <w:pStyle w:val="12"/>
              <w:spacing w:before="87"/>
              <w:ind w:left="169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评分因素与权重分值</w:t>
            </w:r>
          </w:p>
        </w:tc>
        <w:tc>
          <w:tcPr>
            <w:tcW w:w="5159" w:type="dxa"/>
            <w:tcBorders>
              <w:left w:val="single" w:color="000000" w:sz="2" w:space="0"/>
              <w:bottom w:val="single" w:color="000000" w:sz="2" w:space="0"/>
              <w:right w:val="single" w:color="000000" w:sz="2" w:space="0"/>
            </w:tcBorders>
          </w:tcPr>
          <w:p>
            <w:pPr>
              <w:pStyle w:val="12"/>
              <w:spacing w:before="87"/>
              <w:ind w:left="2134" w:right="214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104" w:type="dxa"/>
            <w:gridSpan w:val="2"/>
            <w:tcBorders>
              <w:top w:val="single" w:color="000000" w:sz="2" w:space="0"/>
              <w:left w:val="single" w:color="000000" w:sz="2" w:space="0"/>
              <w:bottom w:val="single" w:color="000000" w:sz="2" w:space="0"/>
              <w:right w:val="single" w:color="000000" w:sz="2" w:space="0"/>
            </w:tcBorders>
          </w:tcPr>
          <w:p>
            <w:pPr>
              <w:pStyle w:val="12"/>
              <w:spacing w:before="94"/>
              <w:ind w:left="23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条款号</w:t>
            </w:r>
          </w:p>
        </w:tc>
        <w:tc>
          <w:tcPr>
            <w:tcW w:w="821" w:type="dxa"/>
            <w:tcBorders>
              <w:top w:val="single" w:color="000000" w:sz="2" w:space="0"/>
              <w:left w:val="single" w:color="000000" w:sz="2" w:space="0"/>
              <w:bottom w:val="single" w:color="000000" w:sz="2" w:space="0"/>
              <w:right w:val="single" w:color="000000" w:sz="2" w:space="0"/>
            </w:tcBorders>
          </w:tcPr>
          <w:p>
            <w:pPr>
              <w:pStyle w:val="12"/>
              <w:spacing w:before="94"/>
              <w:ind w:left="2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评分</w:t>
            </w:r>
          </w:p>
        </w:tc>
        <w:tc>
          <w:tcPr>
            <w:tcW w:w="1030" w:type="dxa"/>
            <w:gridSpan w:val="2"/>
            <w:tcBorders>
              <w:top w:val="single" w:color="000000" w:sz="2" w:space="0"/>
              <w:left w:val="single" w:color="000000" w:sz="2" w:space="0"/>
              <w:bottom w:val="single" w:color="000000" w:sz="2" w:space="0"/>
              <w:right w:val="single" w:color="000000" w:sz="2" w:space="0"/>
            </w:tcBorders>
          </w:tcPr>
          <w:p>
            <w:pPr>
              <w:pStyle w:val="12"/>
              <w:spacing w:before="94"/>
              <w:ind w:left="20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评分因</w:t>
            </w:r>
          </w:p>
        </w:tc>
        <w:tc>
          <w:tcPr>
            <w:tcW w:w="1480" w:type="dxa"/>
            <w:tcBorders>
              <w:top w:val="single" w:color="000000" w:sz="2" w:space="0"/>
              <w:left w:val="single" w:color="000000" w:sz="2" w:space="0"/>
              <w:bottom w:val="single" w:color="000000" w:sz="2" w:space="0"/>
            </w:tcBorders>
          </w:tcPr>
          <w:p>
            <w:pPr>
              <w:pStyle w:val="12"/>
              <w:spacing w:before="94"/>
              <w:ind w:left="11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各评分因素细</w:t>
            </w:r>
          </w:p>
        </w:tc>
        <w:tc>
          <w:tcPr>
            <w:tcW w:w="837" w:type="dxa"/>
            <w:tcBorders>
              <w:top w:val="single" w:color="000000" w:sz="2" w:space="0"/>
              <w:bottom w:val="single" w:color="000000" w:sz="2" w:space="0"/>
              <w:right w:val="single" w:color="000000" w:sz="2" w:space="0"/>
            </w:tcBorders>
          </w:tcPr>
          <w:p>
            <w:pPr>
              <w:pStyle w:val="12"/>
              <w:spacing w:before="94"/>
              <w:ind w:left="2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分值</w:t>
            </w:r>
          </w:p>
        </w:tc>
        <w:tc>
          <w:tcPr>
            <w:tcW w:w="5159" w:type="dxa"/>
            <w:tcBorders>
              <w:top w:val="single" w:color="000000" w:sz="2" w:space="0"/>
              <w:left w:val="single" w:color="000000" w:sz="2" w:space="0"/>
              <w:right w:val="single" w:color="000000" w:sz="2" w:space="0"/>
            </w:tcBorders>
          </w:tcPr>
          <w:p>
            <w:pPr>
              <w:pStyle w:val="12"/>
              <w:spacing w:before="94"/>
              <w:ind w:left="2134" w:right="214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评分标准</w:t>
            </w:r>
          </w:p>
        </w:tc>
      </w:tr>
    </w:tbl>
    <w:p>
      <w:pPr>
        <w:jc w:val="center"/>
        <w:rPr>
          <w:color w:val="000000" w:themeColor="text1"/>
          <w:sz w:val="21"/>
          <w:highlight w:val="none"/>
          <w14:textFill>
            <w14:solidFill>
              <w14:schemeClr w14:val="tx1"/>
            </w14:solidFill>
          </w14:textFill>
        </w:rPr>
        <w:sectPr>
          <w:headerReference r:id="rId19" w:type="default"/>
          <w:footerReference r:id="rId20" w:type="default"/>
          <w:pgSz w:w="11920" w:h="16850"/>
          <w:pgMar w:top="1440" w:right="620" w:bottom="1200" w:left="620" w:header="0" w:footer="1008" w:gutter="0"/>
          <w:cols w:space="720" w:num="1"/>
        </w:sectPr>
      </w:pPr>
    </w:p>
    <w:tbl>
      <w:tblPr>
        <w:tblStyle w:val="14"/>
        <w:tblW w:w="10439"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822"/>
        <w:gridCol w:w="595"/>
        <w:gridCol w:w="630"/>
        <w:gridCol w:w="1289"/>
        <w:gridCol w:w="838"/>
        <w:gridCol w:w="5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521" w:type="dxa"/>
            <w:gridSpan w:val="3"/>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条款号</w:t>
            </w:r>
          </w:p>
        </w:tc>
        <w:tc>
          <w:tcPr>
            <w:tcW w:w="7918" w:type="dxa"/>
            <w:gridSpan w:val="4"/>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104" w:type="dxa"/>
            <w:tcBorders>
              <w:left w:val="single" w:color="000000" w:sz="2" w:space="0"/>
              <w:bottom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highlight w:val="none"/>
                <w14:textFill>
                  <w14:solidFill>
                    <w14:schemeClr w14:val="tx1"/>
                  </w14:solidFill>
                </w14:textFill>
              </w:rPr>
            </w:pPr>
          </w:p>
        </w:tc>
        <w:tc>
          <w:tcPr>
            <w:tcW w:w="822" w:type="dxa"/>
            <w:tcBorders>
              <w:left w:val="single" w:color="000000" w:sz="2" w:space="0"/>
              <w:bottom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因素</w:t>
            </w:r>
          </w:p>
        </w:tc>
        <w:tc>
          <w:tcPr>
            <w:tcW w:w="1225" w:type="dxa"/>
            <w:gridSpan w:val="2"/>
            <w:tcBorders>
              <w:left w:val="single" w:color="000000" w:sz="2" w:space="0"/>
              <w:bottom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素权重分值</w:t>
            </w:r>
          </w:p>
        </w:tc>
        <w:tc>
          <w:tcPr>
            <w:tcW w:w="1289" w:type="dxa"/>
            <w:tcBorders>
              <w:left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分项</w:t>
            </w:r>
          </w:p>
        </w:tc>
        <w:tc>
          <w:tcPr>
            <w:tcW w:w="838" w:type="dxa"/>
            <w:tcBorders>
              <w:bottom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highlight w:val="none"/>
                <w14:textFill>
                  <w14:solidFill>
                    <w14:schemeClr w14:val="tx1"/>
                  </w14:solidFill>
                </w14:textFill>
              </w:rPr>
            </w:pPr>
          </w:p>
        </w:tc>
        <w:tc>
          <w:tcPr>
            <w:tcW w:w="5161" w:type="dxa"/>
            <w:tcBorders>
              <w:left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1104" w:type="dxa"/>
            <w:vMerge w:val="restart"/>
            <w:tcBorders>
              <w:top w:val="single" w:color="000000" w:sz="2" w:space="0"/>
              <w:left w:val="single" w:color="000000" w:sz="2" w:space="0"/>
              <w:bottom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2.2.4(1)</w:t>
            </w:r>
          </w:p>
        </w:tc>
        <w:tc>
          <w:tcPr>
            <w:tcW w:w="822" w:type="dxa"/>
            <w:vMerge w:val="restart"/>
            <w:tcBorders>
              <w:top w:val="single" w:color="000000" w:sz="2" w:space="0"/>
              <w:left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技术建议书</w:t>
            </w:r>
          </w:p>
        </w:tc>
        <w:tc>
          <w:tcPr>
            <w:tcW w:w="1225" w:type="dxa"/>
            <w:gridSpan w:val="2"/>
            <w:vMerge w:val="restart"/>
            <w:tcBorders>
              <w:top w:val="single" w:color="000000" w:sz="2" w:space="0"/>
              <w:left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35 分</w:t>
            </w:r>
          </w:p>
        </w:tc>
        <w:tc>
          <w:tcPr>
            <w:tcW w:w="1289" w:type="dxa"/>
            <w:tcBorders>
              <w:top w:val="single" w:color="000000" w:sz="2" w:space="0"/>
              <w:left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技术服务工作建议书（技术服务工作大纲）和措施</w:t>
            </w:r>
          </w:p>
        </w:tc>
        <w:tc>
          <w:tcPr>
            <w:tcW w:w="838"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20 分</w:t>
            </w:r>
          </w:p>
        </w:tc>
        <w:tc>
          <w:tcPr>
            <w:tcW w:w="5161" w:type="dxa"/>
            <w:tcBorders>
              <w:bottom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both"/>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技术建议书一般的得 12～15 分；基本合理得 15～18分；思路清晰，重点突出、措施得力 18～20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5" w:hRule="atLeast"/>
        </w:trPr>
        <w:tc>
          <w:tcPr>
            <w:tcW w:w="1104" w:type="dxa"/>
            <w:vMerge w:val="continue"/>
            <w:tcBorders>
              <w:top w:val="nil"/>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p>
        </w:tc>
        <w:tc>
          <w:tcPr>
            <w:tcW w:w="822" w:type="dxa"/>
            <w:vMerge w:val="continue"/>
            <w:tcBorders>
              <w:top w:val="nil"/>
              <w:left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p>
        </w:tc>
        <w:tc>
          <w:tcPr>
            <w:tcW w:w="1225" w:type="dxa"/>
            <w:gridSpan w:val="2"/>
            <w:vMerge w:val="continue"/>
            <w:tcBorders>
              <w:top w:val="nil"/>
              <w:left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p>
        </w:tc>
        <w:tc>
          <w:tcPr>
            <w:tcW w:w="1289" w:type="dxa"/>
            <w:tcBorders>
              <w:top w:val="single" w:color="000000" w:sz="2" w:space="0"/>
              <w:left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本工程试验检测工作的重点与难点分析</w:t>
            </w:r>
          </w:p>
        </w:tc>
        <w:tc>
          <w:tcPr>
            <w:tcW w:w="838"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10 分</w:t>
            </w:r>
          </w:p>
        </w:tc>
        <w:tc>
          <w:tcPr>
            <w:tcW w:w="5161" w:type="dxa"/>
            <w:tcBorders>
              <w:top w:val="single" w:color="000000" w:sz="2" w:space="0"/>
              <w:bottom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both"/>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对本工程试验检测重点、难点问题的把握程度：基本清晰、基本合理、基本全面、基本具有针对性得 6 分；较清晰、较合理、较全面、针对性一般得 6～8 分；叙述清晰、合理、全面、具有针对性得 8～10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1104" w:type="dxa"/>
            <w:vMerge w:val="continue"/>
            <w:tcBorders>
              <w:top w:val="nil"/>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p>
        </w:tc>
        <w:tc>
          <w:tcPr>
            <w:tcW w:w="822" w:type="dxa"/>
            <w:vMerge w:val="continue"/>
            <w:tcBorders>
              <w:top w:val="nil"/>
              <w:left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p>
        </w:tc>
        <w:tc>
          <w:tcPr>
            <w:tcW w:w="1225" w:type="dxa"/>
            <w:gridSpan w:val="2"/>
            <w:vMerge w:val="continue"/>
            <w:tcBorders>
              <w:top w:val="nil"/>
              <w:left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p>
        </w:tc>
        <w:tc>
          <w:tcPr>
            <w:tcW w:w="1289" w:type="dxa"/>
            <w:tcBorders>
              <w:top w:val="single" w:color="000000" w:sz="2" w:space="0"/>
              <w:left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527" w:right="0" w:hanging="527"/>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对本工程的</w:t>
            </w: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527" w:right="0" w:hanging="527"/>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建议</w:t>
            </w:r>
          </w:p>
        </w:tc>
        <w:tc>
          <w:tcPr>
            <w:tcW w:w="838"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5 分</w:t>
            </w:r>
          </w:p>
        </w:tc>
        <w:tc>
          <w:tcPr>
            <w:tcW w:w="5161" w:type="dxa"/>
            <w:tcBorders>
              <w:top w:val="single" w:color="000000" w:sz="2" w:space="0"/>
              <w:bottom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both"/>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对本项目的理解和建议一般的得 3 分；基本合理的得3～4 分；合理、准确的得 4～5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3" w:hRule="atLeast"/>
        </w:trPr>
        <w:tc>
          <w:tcPr>
            <w:tcW w:w="1104" w:type="dxa"/>
            <w:tcBorders>
              <w:top w:val="single" w:color="000000" w:sz="2" w:space="0"/>
              <w:left w:val="single" w:color="000000" w:sz="2" w:space="0"/>
              <w:bottom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2.2.4(2)</w:t>
            </w:r>
          </w:p>
        </w:tc>
        <w:tc>
          <w:tcPr>
            <w:tcW w:w="822" w:type="dxa"/>
            <w:tcBorders>
              <w:left w:val="single" w:color="000000" w:sz="2" w:space="0"/>
              <w:bottom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主要</w:t>
            </w: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人员</w:t>
            </w:r>
          </w:p>
        </w:tc>
        <w:tc>
          <w:tcPr>
            <w:tcW w:w="1225" w:type="dxa"/>
            <w:gridSpan w:val="2"/>
            <w:tcBorders>
              <w:left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25 分</w:t>
            </w:r>
          </w:p>
        </w:tc>
        <w:tc>
          <w:tcPr>
            <w:tcW w:w="1289" w:type="dxa"/>
            <w:tcBorders>
              <w:top w:val="single" w:color="000000" w:sz="2" w:space="0"/>
              <w:left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检测负责</w:t>
            </w: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人任职资</w:t>
            </w: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格与业绩</w:t>
            </w: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p>
        </w:tc>
        <w:tc>
          <w:tcPr>
            <w:tcW w:w="838" w:type="dxa"/>
            <w:tcBorders>
              <w:top w:val="single" w:color="000000" w:sz="2" w:space="0"/>
              <w:bottom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25 分</w:t>
            </w:r>
          </w:p>
        </w:tc>
        <w:tc>
          <w:tcPr>
            <w:tcW w:w="5161" w:type="dxa"/>
            <w:tcBorders>
              <w:top w:val="single" w:color="000000" w:sz="2" w:space="0"/>
              <w:bottom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both"/>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满足资格审查条件（主要人员最低要求）得 15分；</w:t>
            </w: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both"/>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在满足资格审查条件（检测负责人最低要求）的基础上，近</w:t>
            </w: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5</w:t>
            </w:r>
            <w:r>
              <w:rPr>
                <w:rFonts w:ascii="宋体" w:hAnsi="宋体" w:eastAsia="宋体" w:cs="宋体"/>
                <w:color w:val="000000" w:themeColor="text1"/>
                <w:sz w:val="21"/>
                <w:szCs w:val="22"/>
                <w:highlight w:val="none"/>
                <w:lang w:val="en-US" w:eastAsia="zh-CN" w:bidi="ar-SA"/>
                <w14:textFill>
                  <w14:solidFill>
                    <w14:schemeClr w14:val="tx1"/>
                  </w14:solidFill>
                </w14:textFill>
              </w:rPr>
              <w:t>年（</w:t>
            </w:r>
            <w:r>
              <w:rPr>
                <w:rFonts w:ascii="宋体" w:hAnsi="宋体" w:eastAsia="宋体" w:cs="宋体"/>
                <w:b/>
                <w:bCs/>
                <w:color w:val="000000" w:themeColor="text1"/>
                <w:sz w:val="21"/>
                <w:szCs w:val="22"/>
                <w:highlight w:val="none"/>
                <w:lang w:val="en-US" w:eastAsia="zh-CN" w:bidi="ar-SA"/>
                <w14:textFill>
                  <w14:solidFill>
                    <w14:schemeClr w14:val="tx1"/>
                  </w14:solidFill>
                </w14:textFill>
              </w:rPr>
              <w:t>2018年</w:t>
            </w:r>
            <w:r>
              <w:rPr>
                <w:rFonts w:hint="eastAsia" w:cs="宋体"/>
                <w:b/>
                <w:bCs/>
                <w:color w:val="000000" w:themeColor="text1"/>
                <w:sz w:val="21"/>
                <w:szCs w:val="22"/>
                <w:highlight w:val="none"/>
                <w:lang w:val="en-US" w:eastAsia="zh-CN" w:bidi="ar-SA"/>
                <w14:textFill>
                  <w14:solidFill>
                    <w14:schemeClr w14:val="tx1"/>
                  </w14:solidFill>
                </w14:textFill>
              </w:rPr>
              <w:t>11</w:t>
            </w:r>
            <w:r>
              <w:rPr>
                <w:rFonts w:hint="eastAsia" w:ascii="宋体" w:hAnsi="宋体" w:eastAsia="宋体" w:cs="宋体"/>
                <w:b/>
                <w:bCs/>
                <w:color w:val="000000" w:themeColor="text1"/>
                <w:sz w:val="21"/>
                <w:szCs w:val="22"/>
                <w:highlight w:val="none"/>
                <w:lang w:val="en-US" w:eastAsia="zh-CN" w:bidi="ar-SA"/>
                <w14:textFill>
                  <w14:solidFill>
                    <w14:schemeClr w14:val="tx1"/>
                  </w14:solidFill>
                </w14:textFill>
              </w:rPr>
              <w:t>月</w:t>
            </w:r>
            <w:r>
              <w:rPr>
                <w:rFonts w:hint="eastAsia" w:cs="宋体"/>
                <w:b/>
                <w:bCs/>
                <w:color w:val="000000" w:themeColor="text1"/>
                <w:sz w:val="21"/>
                <w:szCs w:val="22"/>
                <w:highlight w:val="none"/>
                <w:lang w:val="en-US" w:eastAsia="zh-CN" w:bidi="ar-SA"/>
                <w14:textFill>
                  <w14:solidFill>
                    <w14:schemeClr w14:val="tx1"/>
                  </w14:solidFill>
                </w14:textFill>
              </w:rPr>
              <w:t>22</w:t>
            </w:r>
            <w:r>
              <w:rPr>
                <w:rFonts w:ascii="宋体" w:hAnsi="宋体" w:eastAsia="宋体" w:cs="宋体"/>
                <w:b/>
                <w:bCs/>
                <w:color w:val="000000" w:themeColor="text1"/>
                <w:sz w:val="21"/>
                <w:szCs w:val="22"/>
                <w:highlight w:val="none"/>
                <w:lang w:val="en-US" w:eastAsia="zh-CN" w:bidi="ar-SA"/>
                <w14:textFill>
                  <w14:solidFill>
                    <w14:schemeClr w14:val="tx1"/>
                  </w14:solidFill>
                </w14:textFill>
              </w:rPr>
              <w:t>日</w:t>
            </w: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至投标截止之日</w:t>
            </w:r>
            <w:r>
              <w:rPr>
                <w:rFonts w:ascii="宋体" w:hAnsi="宋体" w:eastAsia="宋体" w:cs="宋体"/>
                <w:color w:val="000000" w:themeColor="text1"/>
                <w:sz w:val="21"/>
                <w:szCs w:val="22"/>
                <w:highlight w:val="none"/>
                <w:lang w:val="en-US" w:eastAsia="zh-CN" w:bidi="ar-SA"/>
                <w14:textFill>
                  <w14:solidFill>
                    <w14:schemeClr w14:val="tx1"/>
                  </w14:solidFill>
                </w14:textFill>
              </w:rPr>
              <w:t>，以交工日期为准），检测负责人每增加1个</w:t>
            </w: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一</w:t>
            </w:r>
            <w:r>
              <w:rPr>
                <w:rFonts w:ascii="宋体" w:hAnsi="宋体" w:eastAsia="宋体" w:cs="宋体"/>
                <w:color w:val="000000" w:themeColor="text1"/>
                <w:sz w:val="21"/>
                <w:szCs w:val="22"/>
                <w:highlight w:val="none"/>
                <w:lang w:val="en-US" w:eastAsia="zh-CN" w:bidi="ar-SA"/>
                <w14:textFill>
                  <w14:solidFill>
                    <w14:schemeClr w14:val="tx1"/>
                  </w14:solidFill>
                </w14:textFill>
              </w:rPr>
              <w:t>级及以上等级公路工程（新建或改扩建或养护工程）的</w:t>
            </w: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中心试验室检测或第三方试验检测或交（竣）工验收检测或业主试验室检测业绩</w:t>
            </w:r>
            <w:r>
              <w:rPr>
                <w:rFonts w:ascii="宋体" w:hAnsi="宋体" w:eastAsia="宋体" w:cs="宋体"/>
                <w:color w:val="000000" w:themeColor="text1"/>
                <w:sz w:val="21"/>
                <w:szCs w:val="22"/>
                <w:highlight w:val="none"/>
                <w:lang w:val="en-US" w:eastAsia="zh-CN" w:bidi="ar-SA"/>
                <w14:textFill>
                  <w14:solidFill>
                    <w14:schemeClr w14:val="tx1"/>
                  </w14:solidFill>
                </w14:textFill>
              </w:rPr>
              <w:t>加5分；</w:t>
            </w: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此项最多加1</w:t>
            </w:r>
            <w:r>
              <w:rPr>
                <w:rFonts w:ascii="宋体" w:hAnsi="宋体" w:eastAsia="宋体" w:cs="宋体"/>
                <w:color w:val="000000" w:themeColor="text1"/>
                <w:sz w:val="21"/>
                <w:szCs w:val="22"/>
                <w:highlight w:val="none"/>
                <w:lang w:val="en-US" w:eastAsia="zh-CN" w:bidi="ar-SA"/>
                <w14:textFill>
                  <w14:solidFill>
                    <w14:schemeClr w14:val="tx1"/>
                  </w14:solidFill>
                </w14:textFill>
              </w:rPr>
              <w:t>0</w:t>
            </w: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1104" w:type="dxa"/>
            <w:tcBorders>
              <w:top w:val="single" w:color="000000" w:sz="2" w:space="0"/>
              <w:left w:val="single" w:color="000000" w:sz="2" w:space="0"/>
              <w:bottom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2.2.4(3)</w:t>
            </w:r>
          </w:p>
        </w:tc>
        <w:tc>
          <w:tcPr>
            <w:tcW w:w="822" w:type="dxa"/>
            <w:tcBorders>
              <w:top w:val="single" w:color="000000" w:sz="2" w:space="0"/>
              <w:left w:val="single" w:color="000000" w:sz="2" w:space="0"/>
              <w:bottom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评标价</w:t>
            </w:r>
          </w:p>
        </w:tc>
        <w:tc>
          <w:tcPr>
            <w:tcW w:w="1225" w:type="dxa"/>
            <w:gridSpan w:val="2"/>
            <w:tcBorders>
              <w:left w:val="single" w:color="000000" w:sz="2" w:space="0"/>
              <w:bottom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10 分</w:t>
            </w:r>
          </w:p>
        </w:tc>
        <w:tc>
          <w:tcPr>
            <w:tcW w:w="7288" w:type="dxa"/>
            <w:gridSpan w:val="3"/>
            <w:tcBorders>
              <w:top w:val="single" w:color="000000" w:sz="2" w:space="0"/>
              <w:left w:val="single" w:color="000000" w:sz="2" w:space="0"/>
              <w:bottom w:val="single" w:color="000000" w:sz="2" w:space="0"/>
              <w:right w:val="single" w:color="000000" w:sz="2" w:space="0"/>
            </w:tcBorders>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评标价得分计算公式：</w:t>
            </w: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如果投标人的评标价&gt;评标基准价，则评标价得分＝F－偏差率×100×E1；</w:t>
            </w:r>
          </w:p>
          <w:p>
            <w:pPr>
              <w:pStyle w:val="12"/>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ascii="宋体" w:hAnsi="宋体" w:eastAsia="宋体" w:cs="宋体"/>
                <w:color w:val="000000" w:themeColor="text1"/>
                <w:sz w:val="21"/>
                <w:szCs w:val="22"/>
                <w:highlight w:val="none"/>
                <w:lang w:val="en-US" w:eastAsia="zh-CN" w:bidi="ar-SA"/>
                <w14:textFill>
                  <w14:solidFill>
                    <w14:schemeClr w14:val="tx1"/>
                  </w14:solidFill>
                </w14:textFill>
              </w:rPr>
              <w:t>(2)如果投标人的评标价≤评标基准价，则评标价得分＝F＋偏差率×100×E2。</w:t>
            </w:r>
          </w:p>
        </w:tc>
      </w:tr>
    </w:tbl>
    <w:p>
      <w:pPr>
        <w:spacing w:line="367" w:lineRule="auto"/>
        <w:rPr>
          <w:color w:val="000000" w:themeColor="text1"/>
          <w:sz w:val="21"/>
          <w:highlight w:val="none"/>
          <w14:textFill>
            <w14:solidFill>
              <w14:schemeClr w14:val="tx1"/>
            </w14:solidFill>
          </w14:textFill>
        </w:rPr>
        <w:sectPr>
          <w:headerReference r:id="rId21" w:type="default"/>
          <w:footerReference r:id="rId22" w:type="default"/>
          <w:pgSz w:w="11920" w:h="16850"/>
          <w:pgMar w:top="1440" w:right="620" w:bottom="1200" w:left="620" w:header="0" w:footer="1008" w:gutter="0"/>
          <w:cols w:space="720" w:num="1"/>
        </w:sectPr>
      </w:pPr>
    </w:p>
    <w:tbl>
      <w:tblPr>
        <w:tblStyle w:val="14"/>
        <w:tblW w:w="1041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821"/>
        <w:gridCol w:w="1030"/>
        <w:gridCol w:w="1480"/>
        <w:gridCol w:w="5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53" w:type="dxa"/>
            <w:gridSpan w:val="3"/>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条款号</w:t>
            </w:r>
          </w:p>
        </w:tc>
        <w:tc>
          <w:tcPr>
            <w:tcW w:w="7464" w:type="dxa"/>
            <w:gridSpan w:val="2"/>
            <w:vAlign w:val="center"/>
          </w:tcPr>
          <w:p>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1102" w:type="dxa"/>
            <w:tcBorders>
              <w:left w:val="single" w:color="000000" w:sz="2" w:space="0"/>
              <w:bottom w:val="single" w:color="000000" w:sz="2" w:space="0"/>
              <w:right w:val="single" w:color="000000" w:sz="2" w:space="0"/>
            </w:tcBorders>
          </w:tcPr>
          <w:p>
            <w:pPr>
              <w:pStyle w:val="12"/>
              <w:rPr>
                <w:rFonts w:ascii="Times New Roman"/>
                <w:color w:val="000000" w:themeColor="text1"/>
                <w:sz w:val="20"/>
                <w:highlight w:val="none"/>
                <w14:textFill>
                  <w14:solidFill>
                    <w14:schemeClr w14:val="tx1"/>
                  </w14:solidFill>
                </w14:textFill>
              </w:rPr>
            </w:pPr>
          </w:p>
        </w:tc>
        <w:tc>
          <w:tcPr>
            <w:tcW w:w="821" w:type="dxa"/>
            <w:tcBorders>
              <w:left w:val="single" w:color="000000" w:sz="2" w:space="0"/>
              <w:bottom w:val="single" w:color="000000" w:sz="2" w:space="0"/>
              <w:right w:val="single" w:color="000000" w:sz="2" w:space="0"/>
            </w:tcBorders>
          </w:tcPr>
          <w:p>
            <w:pPr>
              <w:pStyle w:val="12"/>
              <w:rPr>
                <w:rFonts w:ascii="Times New Roman"/>
                <w:color w:val="000000" w:themeColor="text1"/>
                <w:sz w:val="20"/>
                <w:highlight w:val="none"/>
                <w14:textFill>
                  <w14:solidFill>
                    <w14:schemeClr w14:val="tx1"/>
                  </w14:solidFill>
                </w14:textFill>
              </w:rPr>
            </w:pPr>
          </w:p>
        </w:tc>
        <w:tc>
          <w:tcPr>
            <w:tcW w:w="1030" w:type="dxa"/>
            <w:tcBorders>
              <w:left w:val="single" w:color="000000" w:sz="2" w:space="0"/>
              <w:bottom w:val="single" w:color="000000" w:sz="2" w:space="0"/>
              <w:right w:val="single" w:color="000000" w:sz="2" w:space="0"/>
            </w:tcBorders>
          </w:tcPr>
          <w:p>
            <w:pPr>
              <w:pStyle w:val="12"/>
              <w:rPr>
                <w:rFonts w:ascii="Times New Roman"/>
                <w:color w:val="000000" w:themeColor="text1"/>
                <w:sz w:val="20"/>
                <w:highlight w:val="none"/>
                <w14:textFill>
                  <w14:solidFill>
                    <w14:schemeClr w14:val="tx1"/>
                  </w14:solidFill>
                </w14:textFill>
              </w:rPr>
            </w:pPr>
          </w:p>
        </w:tc>
        <w:tc>
          <w:tcPr>
            <w:tcW w:w="7464" w:type="dxa"/>
            <w:gridSpan w:val="2"/>
            <w:tcBorders>
              <w:left w:val="single" w:color="000000" w:sz="2" w:space="0"/>
              <w:bottom w:val="single" w:color="000000" w:sz="2" w:space="0"/>
              <w:right w:val="single" w:color="000000" w:sz="2" w:space="0"/>
            </w:tcBorders>
          </w:tcPr>
          <w:p>
            <w:pPr>
              <w:pStyle w:val="12"/>
              <w:spacing w:before="88" w:line="364" w:lineRule="auto"/>
              <w:ind w:left="110" w:right="100"/>
              <w:rPr>
                <w:color w:val="000000" w:themeColor="text1"/>
                <w:sz w:val="21"/>
                <w:highlight w:val="none"/>
                <w14:textFill>
                  <w14:solidFill>
                    <w14:schemeClr w14:val="tx1"/>
                  </w14:solidFill>
                </w14:textFill>
              </w:rPr>
            </w:pP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其中：F是评标价所占的权重分值，E1是评标价每高于评标基准价一个百分点的扣分值，E2是评标价每低于评标基准价一个百分点的扣分值； E1=0.2,E2=0.1,F=10;评标价得分最低为 0 分</w:t>
            </w:r>
            <w:r>
              <w:rPr>
                <w:color w:val="000000" w:themeColor="text1"/>
                <w:spacing w:val="-16"/>
                <w:w w:val="9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trPr>
        <w:tc>
          <w:tcPr>
            <w:tcW w:w="1102" w:type="dxa"/>
            <w:tcBorders>
              <w:top w:val="single" w:color="000000" w:sz="2" w:space="0"/>
              <w:left w:val="single" w:color="000000" w:sz="2" w:space="0"/>
              <w:right w:val="single" w:color="000000" w:sz="2" w:space="0"/>
            </w:tcBorders>
          </w:tcPr>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spacing w:before="11"/>
              <w:rPr>
                <w:color w:val="000000" w:themeColor="text1"/>
                <w:sz w:val="26"/>
                <w:highlight w:val="none"/>
                <w14:textFill>
                  <w14:solidFill>
                    <w14:schemeClr w14:val="tx1"/>
                  </w14:solidFill>
                </w14:textFill>
              </w:rPr>
            </w:pPr>
          </w:p>
          <w:p>
            <w:pPr>
              <w:pStyle w:val="12"/>
              <w:ind w:right="-15"/>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2.2.4（4）</w:t>
            </w:r>
          </w:p>
        </w:tc>
        <w:tc>
          <w:tcPr>
            <w:tcW w:w="821" w:type="dxa"/>
            <w:vMerge w:val="restart"/>
            <w:tcBorders>
              <w:top w:val="single" w:color="000000" w:sz="2" w:space="0"/>
              <w:left w:val="single" w:color="000000" w:sz="2" w:space="0"/>
              <w:bottom w:val="single" w:color="000000" w:sz="2" w:space="0"/>
              <w:right w:val="single" w:color="000000" w:sz="2" w:space="0"/>
            </w:tcBorders>
          </w:tcPr>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spacing w:before="9"/>
              <w:rPr>
                <w:color w:val="000000" w:themeColor="text1"/>
                <w:sz w:val="26"/>
                <w:highlight w:val="none"/>
                <w14:textFill>
                  <w14:solidFill>
                    <w14:schemeClr w14:val="tx1"/>
                  </w14:solidFill>
                </w14:textFill>
              </w:rPr>
            </w:pPr>
          </w:p>
          <w:p>
            <w:pPr>
              <w:pStyle w:val="12"/>
              <w:spacing w:line="364" w:lineRule="auto"/>
              <w:ind w:left="202" w:right="194"/>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其他因素</w:t>
            </w:r>
          </w:p>
        </w:tc>
        <w:tc>
          <w:tcPr>
            <w:tcW w:w="1030" w:type="dxa"/>
            <w:tcBorders>
              <w:top w:val="single" w:color="000000" w:sz="2" w:space="0"/>
              <w:left w:val="single" w:color="000000" w:sz="2" w:space="0"/>
              <w:right w:val="single" w:color="000000" w:sz="2" w:space="0"/>
            </w:tcBorders>
          </w:tcPr>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spacing w:before="11"/>
              <w:rPr>
                <w:color w:val="000000" w:themeColor="text1"/>
                <w:sz w:val="26"/>
                <w:highlight w:val="none"/>
                <w14:textFill>
                  <w14:solidFill>
                    <w14:schemeClr w14:val="tx1"/>
                  </w14:solidFill>
                </w14:textFill>
              </w:rPr>
            </w:pPr>
          </w:p>
          <w:p>
            <w:pPr>
              <w:pStyle w:val="12"/>
              <w:ind w:left="305"/>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业绩</w:t>
            </w:r>
          </w:p>
        </w:tc>
        <w:tc>
          <w:tcPr>
            <w:tcW w:w="1480" w:type="dxa"/>
            <w:tcBorders>
              <w:top w:val="single" w:color="000000" w:sz="2" w:space="0"/>
              <w:left w:val="single" w:color="000000" w:sz="2" w:space="0"/>
              <w:bottom w:val="single" w:color="000000" w:sz="2" w:space="0"/>
              <w:right w:val="single" w:color="000000" w:sz="2" w:space="0"/>
            </w:tcBorders>
          </w:tcPr>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spacing w:before="11"/>
              <w:rPr>
                <w:color w:val="000000" w:themeColor="text1"/>
                <w:sz w:val="26"/>
                <w:highlight w:val="none"/>
                <w14:textFill>
                  <w14:solidFill>
                    <w14:schemeClr w14:val="tx1"/>
                  </w14:solidFill>
                </w14:textFill>
              </w:rPr>
            </w:pPr>
          </w:p>
          <w:p>
            <w:pPr>
              <w:pStyle w:val="12"/>
              <w:ind w:left="503"/>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25</w:t>
            </w:r>
            <w:r>
              <w:rPr>
                <w:color w:val="000000" w:themeColor="text1"/>
                <w:spacing w:val="-20"/>
                <w:w w:val="95"/>
                <w:sz w:val="21"/>
                <w:highlight w:val="none"/>
                <w14:textFill>
                  <w14:solidFill>
                    <w14:schemeClr w14:val="tx1"/>
                  </w14:solidFill>
                </w14:textFill>
              </w:rPr>
              <w:t xml:space="preserve"> 分</w:t>
            </w:r>
          </w:p>
        </w:tc>
        <w:tc>
          <w:tcPr>
            <w:tcW w:w="5984" w:type="dxa"/>
            <w:tcBorders>
              <w:top w:val="single" w:color="000000" w:sz="2" w:space="0"/>
              <w:left w:val="single" w:color="000000" w:sz="2" w:space="0"/>
              <w:bottom w:val="single" w:color="000000" w:sz="2" w:space="0"/>
              <w:right w:val="single" w:color="000000" w:sz="2" w:space="0"/>
            </w:tcBorders>
          </w:tcPr>
          <w:p>
            <w:pPr>
              <w:keepNext w:val="0"/>
              <w:keepLines w:val="0"/>
              <w:pageBreakBefore w:val="0"/>
              <w:widowControl w:val="0"/>
              <w:numPr>
                <w:ilvl w:val="0"/>
                <w:numId w:val="0"/>
              </w:numPr>
              <w:tabs>
                <w:tab w:val="left" w:pos="323"/>
              </w:tabs>
              <w:kinsoku/>
              <w:wordWrap/>
              <w:overflowPunct/>
              <w:topLinePunct w:val="0"/>
              <w:autoSpaceDE w:val="0"/>
              <w:autoSpaceDN w:val="0"/>
              <w:bidi w:val="0"/>
              <w:adjustRightInd/>
              <w:snapToGrid/>
              <w:spacing w:line="360" w:lineRule="auto"/>
              <w:ind w:left="0" w:leftChars="0" w:right="0"/>
              <w:jc w:val="both"/>
              <w:textAlignment w:val="auto"/>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w w:val="95"/>
                <w:sz w:val="21"/>
                <w:szCs w:val="22"/>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满足资格审查条件（业绩最低要求）得 15 分</w:t>
            </w:r>
            <w:r>
              <w:rPr>
                <w:rFonts w:ascii="宋体" w:hAnsi="宋体" w:eastAsia="宋体" w:cs="宋体"/>
                <w:color w:val="000000" w:themeColor="text1"/>
                <w:spacing w:val="6"/>
                <w:w w:val="95"/>
                <w:sz w:val="21"/>
                <w:szCs w:val="22"/>
                <w:highlight w:val="none"/>
                <w:lang w:val="en-US" w:eastAsia="zh-CN" w:bidi="ar-SA"/>
                <w14:textFill>
                  <w14:solidFill>
                    <w14:schemeClr w14:val="tx1"/>
                  </w14:solidFill>
                </w14:textFill>
              </w:rPr>
              <w:t>；</w:t>
            </w:r>
          </w:p>
          <w:p>
            <w:pPr>
              <w:pStyle w:val="12"/>
              <w:keepNext w:val="0"/>
              <w:keepLines w:val="0"/>
              <w:pageBreakBefore w:val="0"/>
              <w:widowControl w:val="0"/>
              <w:numPr>
                <w:ilvl w:val="0"/>
                <w:numId w:val="0"/>
              </w:numPr>
              <w:tabs>
                <w:tab w:val="left" w:pos="323"/>
              </w:tabs>
              <w:kinsoku/>
              <w:wordWrap/>
              <w:overflowPunct/>
              <w:topLinePunct w:val="0"/>
              <w:autoSpaceDE w:val="0"/>
              <w:autoSpaceDN w:val="0"/>
              <w:bidi w:val="0"/>
              <w:adjustRightInd/>
              <w:snapToGrid/>
              <w:spacing w:line="360" w:lineRule="auto"/>
              <w:ind w:right="0" w:rightChars="0"/>
              <w:jc w:val="both"/>
              <w:textAlignment w:val="auto"/>
              <w:rPr>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9"/>
                <w:w w:val="95"/>
                <w:sz w:val="21"/>
                <w:szCs w:val="22"/>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在满足资格审查条件（业绩最低要求）的基础上，近5年（</w:t>
            </w:r>
            <w:r>
              <w:rPr>
                <w:rFonts w:hint="eastAsia" w:ascii="宋体" w:hAnsi="宋体" w:eastAsia="宋体" w:cs="宋体"/>
                <w:b/>
                <w:bCs/>
                <w:color w:val="000000" w:themeColor="text1"/>
                <w:sz w:val="21"/>
                <w:szCs w:val="22"/>
                <w:highlight w:val="none"/>
                <w:lang w:val="en-US" w:eastAsia="zh-CN" w:bidi="ar-SA"/>
                <w14:textFill>
                  <w14:solidFill>
                    <w14:schemeClr w14:val="tx1"/>
                  </w14:solidFill>
                </w14:textFill>
              </w:rPr>
              <w:t>20</w:t>
            </w:r>
            <w:r>
              <w:rPr>
                <w:rFonts w:hint="eastAsia" w:cs="宋体"/>
                <w:b/>
                <w:bCs/>
                <w:color w:val="000000" w:themeColor="text1"/>
                <w:sz w:val="21"/>
                <w:szCs w:val="22"/>
                <w:highlight w:val="none"/>
                <w:lang w:val="en-US" w:eastAsia="zh-CN" w:bidi="ar-SA"/>
                <w14:textFill>
                  <w14:solidFill>
                    <w14:schemeClr w14:val="tx1"/>
                  </w14:solidFill>
                </w14:textFill>
              </w:rPr>
              <w:t>18</w:t>
            </w:r>
            <w:r>
              <w:rPr>
                <w:rFonts w:hint="eastAsia" w:ascii="宋体" w:hAnsi="宋体" w:eastAsia="宋体" w:cs="宋体"/>
                <w:b/>
                <w:bCs/>
                <w:color w:val="000000" w:themeColor="text1"/>
                <w:sz w:val="21"/>
                <w:szCs w:val="22"/>
                <w:highlight w:val="none"/>
                <w:lang w:val="en-US" w:eastAsia="zh-CN" w:bidi="ar-SA"/>
                <w14:textFill>
                  <w14:solidFill>
                    <w14:schemeClr w14:val="tx1"/>
                  </w14:solidFill>
                </w14:textFill>
              </w:rPr>
              <w:t>年</w:t>
            </w:r>
            <w:r>
              <w:rPr>
                <w:rFonts w:hint="eastAsia" w:cs="宋体"/>
                <w:b/>
                <w:bCs/>
                <w:color w:val="000000" w:themeColor="text1"/>
                <w:sz w:val="21"/>
                <w:szCs w:val="22"/>
                <w:highlight w:val="none"/>
                <w:lang w:val="en-US" w:eastAsia="zh-CN" w:bidi="ar-SA"/>
                <w14:textFill>
                  <w14:solidFill>
                    <w14:schemeClr w14:val="tx1"/>
                  </w14:solidFill>
                </w14:textFill>
              </w:rPr>
              <w:t>11</w:t>
            </w:r>
            <w:r>
              <w:rPr>
                <w:rFonts w:hint="eastAsia" w:ascii="宋体" w:hAnsi="宋体" w:eastAsia="宋体" w:cs="宋体"/>
                <w:b/>
                <w:bCs/>
                <w:color w:val="000000" w:themeColor="text1"/>
                <w:sz w:val="21"/>
                <w:szCs w:val="22"/>
                <w:highlight w:val="none"/>
                <w:lang w:val="en-US" w:eastAsia="zh-CN" w:bidi="ar-SA"/>
                <w14:textFill>
                  <w14:solidFill>
                    <w14:schemeClr w14:val="tx1"/>
                  </w14:solidFill>
                </w14:textFill>
              </w:rPr>
              <w:t>月</w:t>
            </w:r>
            <w:r>
              <w:rPr>
                <w:rFonts w:hint="eastAsia" w:cs="宋体"/>
                <w:b/>
                <w:bCs/>
                <w:color w:val="000000" w:themeColor="text1"/>
                <w:sz w:val="21"/>
                <w:szCs w:val="22"/>
                <w:highlight w:val="none"/>
                <w:lang w:val="en-US" w:eastAsia="zh-CN" w:bidi="ar-SA"/>
                <w14:textFill>
                  <w14:solidFill>
                    <w14:schemeClr w14:val="tx1"/>
                  </w14:solidFill>
                </w14:textFill>
              </w:rPr>
              <w:t>22</w:t>
            </w:r>
            <w:r>
              <w:rPr>
                <w:rFonts w:hint="eastAsia" w:ascii="宋体" w:hAnsi="宋体" w:eastAsia="宋体" w:cs="宋体"/>
                <w:b/>
                <w:bCs/>
                <w:color w:val="000000" w:themeColor="text1"/>
                <w:sz w:val="21"/>
                <w:szCs w:val="22"/>
                <w:highlight w:val="none"/>
                <w:lang w:val="en-US" w:eastAsia="zh-CN" w:bidi="ar-SA"/>
                <w14:textFill>
                  <w14:solidFill>
                    <w14:schemeClr w14:val="tx1"/>
                  </w14:solidFill>
                </w14:textFill>
              </w:rPr>
              <w:t>日</w:t>
            </w: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至投标截止之日，以交工日期为准），投标人每增加 1个一级及以上等级公路工程（新建或改扩建或养护工程）的中心试验室检测或第三方试验检测或交（竣）工验收检测或业主试验室检测业绩加 2.5 分，此项最多加 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4" w:hRule="atLeast"/>
        </w:trPr>
        <w:tc>
          <w:tcPr>
            <w:tcW w:w="1102" w:type="dxa"/>
            <w:tcBorders>
              <w:left w:val="single" w:color="000000" w:sz="2" w:space="0"/>
              <w:bottom w:val="single" w:color="000000" w:sz="2" w:space="0"/>
              <w:right w:val="single" w:color="000000" w:sz="2" w:space="0"/>
            </w:tcBorders>
          </w:tcPr>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19"/>
                <w:highlight w:val="none"/>
                <w14:textFill>
                  <w14:solidFill>
                    <w14:schemeClr w14:val="tx1"/>
                  </w14:solidFill>
                </w14:textFill>
              </w:rPr>
            </w:pPr>
          </w:p>
          <w:p>
            <w:pPr>
              <w:pStyle w:val="12"/>
              <w:ind w:right="-15"/>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2.2.4（4）</w:t>
            </w:r>
          </w:p>
        </w:tc>
        <w:tc>
          <w:tcPr>
            <w:tcW w:w="821" w:type="dxa"/>
            <w:vMerge w:val="continue"/>
            <w:tcBorders>
              <w:top w:val="nil"/>
              <w:left w:val="single" w:color="000000" w:sz="2" w:space="0"/>
              <w:bottom w:val="single" w:color="000000" w:sz="2" w:space="0"/>
              <w:right w:val="single" w:color="000000" w:sz="2" w:space="0"/>
            </w:tcBorders>
          </w:tcPr>
          <w:p>
            <w:pPr>
              <w:rPr>
                <w:color w:val="000000" w:themeColor="text1"/>
                <w:sz w:val="2"/>
                <w:szCs w:val="2"/>
                <w:highlight w:val="none"/>
                <w14:textFill>
                  <w14:solidFill>
                    <w14:schemeClr w14:val="tx1"/>
                  </w14:solidFill>
                </w14:textFill>
              </w:rPr>
            </w:pPr>
          </w:p>
        </w:tc>
        <w:tc>
          <w:tcPr>
            <w:tcW w:w="1030" w:type="dxa"/>
            <w:tcBorders>
              <w:left w:val="single" w:color="000000" w:sz="2" w:space="0"/>
              <w:bottom w:val="single" w:color="000000" w:sz="2" w:space="0"/>
              <w:right w:val="single" w:color="000000" w:sz="2" w:space="0"/>
            </w:tcBorders>
          </w:tcPr>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19"/>
                <w:highlight w:val="none"/>
                <w14:textFill>
                  <w14:solidFill>
                    <w14:schemeClr w14:val="tx1"/>
                  </w14:solidFill>
                </w14:textFill>
              </w:rPr>
            </w:pPr>
          </w:p>
          <w:p>
            <w:pPr>
              <w:pStyle w:val="12"/>
              <w:ind w:left="9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履约信誉</w:t>
            </w:r>
          </w:p>
        </w:tc>
        <w:tc>
          <w:tcPr>
            <w:tcW w:w="1480" w:type="dxa"/>
            <w:tcBorders>
              <w:top w:val="single" w:color="000000" w:sz="2" w:space="0"/>
              <w:left w:val="single" w:color="000000" w:sz="2" w:space="0"/>
              <w:bottom w:val="single" w:color="000000" w:sz="2" w:space="0"/>
              <w:right w:val="single" w:color="000000" w:sz="2" w:space="0"/>
            </w:tcBorders>
          </w:tcPr>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20"/>
                <w:highlight w:val="none"/>
                <w14:textFill>
                  <w14:solidFill>
                    <w14:schemeClr w14:val="tx1"/>
                  </w14:solidFill>
                </w14:textFill>
              </w:rPr>
            </w:pPr>
          </w:p>
          <w:p>
            <w:pPr>
              <w:pStyle w:val="12"/>
              <w:rPr>
                <w:color w:val="000000" w:themeColor="text1"/>
                <w:sz w:val="19"/>
                <w:highlight w:val="none"/>
                <w14:textFill>
                  <w14:solidFill>
                    <w14:schemeClr w14:val="tx1"/>
                  </w14:solidFill>
                </w14:textFill>
              </w:rPr>
            </w:pPr>
          </w:p>
          <w:p>
            <w:pPr>
              <w:pStyle w:val="12"/>
              <w:ind w:left="53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5 分</w:t>
            </w:r>
          </w:p>
        </w:tc>
        <w:tc>
          <w:tcPr>
            <w:tcW w:w="5984" w:type="dxa"/>
            <w:tcBorders>
              <w:top w:val="single" w:color="000000" w:sz="2" w:space="0"/>
              <w:left w:val="single" w:color="000000" w:sz="2" w:space="0"/>
              <w:bottom w:val="single" w:color="000000" w:sz="2" w:space="0"/>
              <w:right w:val="single" w:color="000000" w:sz="2" w:space="0"/>
            </w:tcBorders>
          </w:tcPr>
          <w:p>
            <w:pPr>
              <w:pStyle w:val="12"/>
              <w:numPr>
                <w:ilvl w:val="0"/>
                <w:numId w:val="6"/>
              </w:numPr>
              <w:tabs>
                <w:tab w:val="left" w:pos="323"/>
              </w:tabs>
              <w:spacing w:before="94"/>
              <w:jc w:val="both"/>
              <w:rPr>
                <w:rFonts w:hint="eastAsia" w:ascii="宋体" w:hAnsi="宋体" w:eastAsia="宋体" w:cs="宋体"/>
                <w:color w:val="000000" w:themeColor="text1"/>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满足资格审查条件（信誉最低要求）得 5 分。</w:t>
            </w:r>
          </w:p>
          <w:p>
            <w:pPr>
              <w:pStyle w:val="12"/>
              <w:numPr>
                <w:ilvl w:val="0"/>
                <w:numId w:val="6"/>
              </w:numPr>
              <w:tabs>
                <w:tab w:val="left" w:pos="323"/>
              </w:tabs>
              <w:spacing w:before="139" w:line="367" w:lineRule="auto"/>
              <w:ind w:left="111" w:right="100" w:firstLine="0"/>
              <w:jc w:val="both"/>
              <w:rPr>
                <w:color w:val="000000" w:themeColor="text1"/>
                <w:sz w:val="21"/>
                <w:highlight w:val="none"/>
                <w14:textFill>
                  <w14:solidFill>
                    <w14:schemeClr w14:val="tx1"/>
                  </w14:solidFill>
                </w14:textFill>
              </w:rPr>
            </w:pP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每有一次资格审查条件（信誉最低要求）以外的不良行为记录的扣 1 分，扣完为止。</w:t>
            </w:r>
          </w:p>
          <w:p>
            <w:pPr>
              <w:pStyle w:val="12"/>
              <w:spacing w:line="364" w:lineRule="auto"/>
              <w:ind w:left="111" w:right="98"/>
              <w:jc w:val="both"/>
              <w:rPr>
                <w:color w:val="000000" w:themeColor="text1"/>
                <w:sz w:val="21"/>
                <w:highlight w:val="none"/>
                <w14:textFill>
                  <w14:solidFill>
                    <w14:schemeClr w14:val="tx1"/>
                  </w14:solidFill>
                </w14:textFill>
              </w:rPr>
            </w:pP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注：满足资格审查条件（信誉最低要求）以外的不良记录以发布招标公告之日至投标截止日从宁夏回族自治区交通运输厅官网、中华人民共和国交通运输部官网、宁夏回族自治区公路建设市场信用信息管理系统中的严重失信行为及全国公路建设市场信用</w:t>
            </w:r>
            <w:r>
              <w:rPr>
                <w:color w:val="000000" w:themeColor="text1"/>
                <w:sz w:val="21"/>
                <w:highlight w:val="none"/>
                <w14:textFill>
                  <w14:solidFill>
                    <w14:schemeClr w14:val="tx1"/>
                  </w14:solidFill>
                </w14:textFill>
              </w:rPr>
              <w:t>信息管理系统中的不良行为记录查询出的结果为准。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417" w:type="dxa"/>
            <w:gridSpan w:val="5"/>
            <w:tcBorders>
              <w:top w:val="single" w:color="000000" w:sz="2" w:space="0"/>
              <w:left w:val="single" w:color="000000" w:sz="2" w:space="0"/>
              <w:bottom w:val="single" w:color="000000" w:sz="2" w:space="0"/>
              <w:right w:val="single" w:color="000000" w:sz="2" w:space="0"/>
            </w:tcBorders>
          </w:tcPr>
          <w:p>
            <w:pPr>
              <w:pStyle w:val="12"/>
              <w:spacing w:before="92"/>
              <w:ind w:left="109"/>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需要补充的其他内容：</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92" w:line="360" w:lineRule="auto"/>
              <w:ind w:firstLine="420" w:firstLineChars="200"/>
              <w:textAlignment w:val="auto"/>
              <w:rPr>
                <w:rFonts w:hint="eastAsia"/>
                <w:color w:val="000000" w:themeColor="text1"/>
                <w:sz w:val="21"/>
                <w:highlight w:val="none"/>
                <w:lang w:eastAsia="zh-CN"/>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1、</w:t>
            </w:r>
            <w:r>
              <w:rPr>
                <w:rFonts w:hint="eastAsia"/>
                <w:color w:val="000000" w:themeColor="text1"/>
                <w:sz w:val="21"/>
                <w:highlight w:val="none"/>
                <w14:textFill>
                  <w14:solidFill>
                    <w14:schemeClr w14:val="tx1"/>
                  </w14:solidFill>
                </w14:textFill>
              </w:rPr>
              <w:t>各评分因素（评标价和履约信誉评分项除外）得分一般不得低于其权重分值的 60%，且各评分因素得分应以评标委员会各成员的打分平均值确定，评标委员会成员总数为 7人以上时，该平均值以去掉一个最高分和一个最低分后计算。评标委员会成员对某一项评分因素的评分低于权重分值 60%的，应在评标报告中作出说明</w:t>
            </w:r>
            <w:r>
              <w:rPr>
                <w:rFonts w:hint="eastAsia"/>
                <w:color w:val="000000" w:themeColor="text1"/>
                <w:sz w:val="21"/>
                <w:highlight w:val="none"/>
                <w:lang w:eastAsia="zh-CN"/>
                <w14:textFill>
                  <w14:solidFill>
                    <w14:schemeClr w14:val="tx1"/>
                  </w14:solidFill>
                </w14:textFill>
              </w:rPr>
              <w:t>。</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92" w:line="360" w:lineRule="auto"/>
              <w:ind w:firstLine="420" w:firstLineChars="200"/>
              <w:textAlignment w:val="auto"/>
              <w:rPr>
                <w:rFonts w:hint="eastAsia"/>
                <w:color w:val="000000" w:themeColor="text1"/>
                <w:sz w:val="21"/>
                <w:highlight w:val="none"/>
                <w:lang w:eastAsia="zh-CN"/>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2、</w:t>
            </w:r>
            <w:r>
              <w:rPr>
                <w:rFonts w:hint="eastAsia"/>
                <w:color w:val="000000" w:themeColor="text1"/>
                <w:sz w:val="21"/>
                <w:highlight w:val="none"/>
                <w:lang w:eastAsia="zh-CN"/>
                <w14:textFill>
                  <w14:solidFill>
                    <w14:schemeClr w14:val="tx1"/>
                  </w14:solidFill>
                </w14:textFill>
              </w:rPr>
              <w:t>每个投标人可对</w:t>
            </w:r>
            <w:r>
              <w:rPr>
                <w:rFonts w:hint="eastAsia"/>
                <w:color w:val="000000" w:themeColor="text1"/>
                <w:sz w:val="21"/>
                <w:highlight w:val="none"/>
                <w:lang w:val="en-US" w:eastAsia="zh-CN"/>
                <w14:textFill>
                  <w14:solidFill>
                    <w14:schemeClr w14:val="tx1"/>
                  </w14:solidFill>
                </w14:textFill>
              </w:rPr>
              <w:t>3</w:t>
            </w:r>
            <w:r>
              <w:rPr>
                <w:rFonts w:hint="eastAsia"/>
                <w:color w:val="000000" w:themeColor="text1"/>
                <w:sz w:val="21"/>
                <w:highlight w:val="none"/>
                <w:lang w:eastAsia="zh-CN"/>
                <w14:textFill>
                  <w14:solidFill>
                    <w14:schemeClr w14:val="tx1"/>
                  </w14:solidFill>
                </w14:textFill>
              </w:rPr>
              <w:t>个标段投标，每个投标人允许中 1 个标段。同一投标人最终综合得分第一的标段数超过允许中标的标段数时，推荐中标标段的确定原则：</w:t>
            </w:r>
            <w:r>
              <w:rPr>
                <w:rFonts w:hint="eastAsia"/>
                <w:b/>
                <w:bCs/>
                <w:color w:val="000000" w:themeColor="text1"/>
                <w:sz w:val="21"/>
                <w:highlight w:val="none"/>
                <w:lang w:eastAsia="zh-CN"/>
                <w14:textFill>
                  <w14:solidFill>
                    <w14:schemeClr w14:val="tx1"/>
                  </w14:solidFill>
                </w14:textFill>
              </w:rPr>
              <w:t>（1）以推荐中标的标段报价相加总额最低为原则；（2）报价总额相等时，以信用等级最高为原则；（3）信用等级相同时，由评标委员会确定</w:t>
            </w:r>
            <w:r>
              <w:rPr>
                <w:rFonts w:hint="eastAsia"/>
                <w:color w:val="000000" w:themeColor="text1"/>
                <w:sz w:val="21"/>
                <w:highlight w:val="none"/>
                <w:lang w:eastAsia="zh-CN"/>
                <w14:textFill>
                  <w14:solidFill>
                    <w14:schemeClr w14:val="tx1"/>
                  </w14:solidFill>
                </w14:textFill>
              </w:rPr>
              <w:t>。</w:t>
            </w:r>
          </w:p>
        </w:tc>
      </w:tr>
    </w:tbl>
    <w:p>
      <w:pPr>
        <w:pStyle w:val="2"/>
        <w:spacing w:before="66" w:after="50"/>
        <w:ind w:left="280" w:right="280"/>
        <w:jc w:val="left"/>
        <w:rPr>
          <w:color w:val="000000" w:themeColor="text1"/>
          <w:sz w:val="21"/>
          <w14:textFill>
            <w14:solidFill>
              <w14:schemeClr w14:val="tx1"/>
            </w14:solidFill>
          </w14:textFill>
        </w:rPr>
        <w:sectPr>
          <w:headerReference r:id="rId23" w:type="default"/>
          <w:footerReference r:id="rId24" w:type="default"/>
          <w:pgSz w:w="11920" w:h="16850"/>
          <w:pgMar w:top="1440" w:right="620" w:bottom="1200" w:left="620" w:header="0" w:footer="1008" w:gutter="0"/>
          <w:cols w:space="720" w:num="1"/>
        </w:sectPr>
      </w:pPr>
      <w:r>
        <w:rPr>
          <w:rFonts w:hint="eastAsia"/>
          <w:color w:val="000000" w:themeColor="text1"/>
          <w:sz w:val="18"/>
          <w:highlight w:val="none"/>
          <w:lang w:eastAsia="zh-CN"/>
          <w14:textFill>
            <w14:solidFill>
              <w14:schemeClr w14:val="tx1"/>
            </w14:solidFill>
          </w14:textFill>
        </w:rPr>
        <w:t>注：</w:t>
      </w:r>
      <w:r>
        <w:rPr>
          <w:rFonts w:hint="eastAsia"/>
          <w:color w:val="000000" w:themeColor="text1"/>
          <w:sz w:val="18"/>
          <w:highlight w:val="none"/>
          <w14:textFill>
            <w14:solidFill>
              <w14:schemeClr w14:val="tx1"/>
            </w14:solidFill>
          </w14:textFill>
        </w:rPr>
        <w:t>各评审因素得分（投标价除外）以评标委员会各成员的打分平均值确定，保留 2 位小数</w:t>
      </w:r>
      <w:r>
        <w:rPr>
          <w:color w:val="000000" w:themeColor="text1"/>
          <w:sz w:val="18"/>
          <w:highlight w:val="none"/>
          <w14:textFill>
            <w14:solidFill>
              <w14:schemeClr w14:val="tx1"/>
            </w14:solidFill>
          </w14:textFill>
        </w:rPr>
        <w:t>。</w:t>
      </w:r>
    </w:p>
    <w:p/>
    <w:sectPr>
      <w:headerReference r:id="rId25" w:type="default"/>
      <w:footerReference r:id="rId2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3717290</wp:posOffset>
              </wp:positionH>
              <wp:positionV relativeFrom="page">
                <wp:posOffset>10006330</wp:posOffset>
              </wp:positionV>
              <wp:extent cx="192405" cy="139700"/>
              <wp:effectExtent l="0" t="0" r="0" b="0"/>
              <wp:wrapNone/>
              <wp:docPr id="295" name="文本框 175"/>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20</w:t>
                          </w:r>
                          <w:r>
                            <w:fldChar w:fldCharType="end"/>
                          </w:r>
                        </w:p>
                      </w:txbxContent>
                    </wps:txbx>
                    <wps:bodyPr lIns="0" tIns="0" rIns="0" bIns="0" upright="1"/>
                  </wps:wsp>
                </a:graphicData>
              </a:graphic>
            </wp:anchor>
          </w:drawing>
        </mc:Choice>
        <mc:Fallback>
          <w:pict>
            <v:shape id="文本框 175" o:spid="_x0000_s1026" o:spt="202" type="#_x0000_t202" style="position:absolute;left:0pt;margin-left:292.7pt;margin-top:787.9pt;height:11pt;width:15.15pt;mso-position-horizontal-relative:page;mso-position-vertical-relative:page;z-index:-251655168;mso-width-relative:page;mso-height-relative:page;" filled="f" stroked="f" coordsize="21600,21600" o:gfxdata="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2XUuXaAAAADQEAAA8AAAAAAAAAAQAgAAAAIgAAAGRycy9kb3ducmV2Lnht&#10;bFBLAQIUABQAAAAIAIdO4kCDQzPqvgEAAHUDAAAOAAAAAAAAAAEAIAAAACkBAABkcnMvZTJvRG9j&#10;LnhtbFBLBQYAAAAABgAGAFkBAABZBQ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3644900</wp:posOffset>
              </wp:positionH>
              <wp:positionV relativeFrom="page">
                <wp:posOffset>9868535</wp:posOffset>
              </wp:positionV>
              <wp:extent cx="310515" cy="152400"/>
              <wp:effectExtent l="0" t="0" r="0" b="0"/>
              <wp:wrapNone/>
              <wp:docPr id="2" name="文本框 103"/>
              <wp:cNvGraphicFramePr/>
              <a:graphic xmlns:a="http://schemas.openxmlformats.org/drawingml/2006/main">
                <a:graphicData uri="http://schemas.microsoft.com/office/word/2010/wordprocessingShape">
                  <wps:wsp>
                    <wps:cNvSpPr txBox="1"/>
                    <wps:spPr>
                      <a:xfrm>
                        <a:off x="0" y="0"/>
                        <a:ext cx="3105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45</w:t>
                          </w:r>
                          <w:r>
                            <w:fldChar w:fldCharType="end"/>
                          </w:r>
                          <w:r>
                            <w:rPr>
                              <w:rFonts w:ascii="Times New Roman"/>
                              <w:sz w:val="18"/>
                            </w:rPr>
                            <w:t>-</w:t>
                          </w:r>
                        </w:p>
                      </w:txbxContent>
                    </wps:txbx>
                    <wps:bodyPr lIns="0" tIns="0" rIns="0" bIns="0" upright="1"/>
                  </wps:wsp>
                </a:graphicData>
              </a:graphic>
            </wp:anchor>
          </w:drawing>
        </mc:Choice>
        <mc:Fallback>
          <w:pict>
            <v:shape id="文本框 103" o:spid="_x0000_s1026" o:spt="202" type="#_x0000_t202" style="position:absolute;left:0pt;margin-left:287pt;margin-top:777.05pt;height:12pt;width:24.45pt;mso-position-horizontal-relative:page;mso-position-vertical-relative:page;z-index:-251649024;mso-width-relative:page;mso-height-relative:page;" filled="f" stroked="f" coordsize="21600,21600" o:gfxdata="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9oqVdsAAAANAQAADwAAAAAAAAABACAAAAAiAAAAZHJzL2Rvd25yZXYueG1s&#10;UEsBAhQAFAAAAAgAh07iQM6SPMu8AQAAcwMAAA4AAAAAAAAAAQAgAAAAKgEAAGRycy9lMm9Eb2Mu&#10;eG1sUEsFBgAAAAAGAAYAWQEAAFg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45</w:t>
                    </w:r>
                    <w:r>
                      <w:fldChar w:fldCharType="end"/>
                    </w:r>
                    <w:r>
                      <w:rPr>
                        <w:rFonts w:ascii="Times New Roman"/>
                        <w:sz w:val="18"/>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3644900</wp:posOffset>
              </wp:positionH>
              <wp:positionV relativeFrom="page">
                <wp:posOffset>9868535</wp:posOffset>
              </wp:positionV>
              <wp:extent cx="310515" cy="152400"/>
              <wp:effectExtent l="0" t="0" r="0" b="0"/>
              <wp:wrapNone/>
              <wp:docPr id="59" name="文本框 103"/>
              <wp:cNvGraphicFramePr/>
              <a:graphic xmlns:a="http://schemas.openxmlformats.org/drawingml/2006/main">
                <a:graphicData uri="http://schemas.microsoft.com/office/word/2010/wordprocessingShape">
                  <wps:wsp>
                    <wps:cNvSpPr txBox="1"/>
                    <wps:spPr>
                      <a:xfrm>
                        <a:off x="0" y="0"/>
                        <a:ext cx="3105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45</w:t>
                          </w:r>
                          <w:r>
                            <w:fldChar w:fldCharType="end"/>
                          </w:r>
                          <w:r>
                            <w:rPr>
                              <w:rFonts w:ascii="Times New Roman"/>
                              <w:sz w:val="18"/>
                            </w:rPr>
                            <w:t>-</w:t>
                          </w:r>
                        </w:p>
                      </w:txbxContent>
                    </wps:txbx>
                    <wps:bodyPr lIns="0" tIns="0" rIns="0" bIns="0" upright="1"/>
                  </wps:wsp>
                </a:graphicData>
              </a:graphic>
            </wp:anchor>
          </w:drawing>
        </mc:Choice>
        <mc:Fallback>
          <w:pict>
            <v:shape id="文本框 103" o:spid="_x0000_s1026" o:spt="202" type="#_x0000_t202" style="position:absolute;left:0pt;margin-left:287pt;margin-top:777.05pt;height:12pt;width:24.45pt;mso-position-horizontal-relative:page;mso-position-vertical-relative:page;z-index:-251655168;mso-width-relative:page;mso-height-relative:page;" filled="f" stroked="f" coordsize="21600,21600" o:gfxdata="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vaKlXbAAAADQEAAA8AAAAAAAAAAQAgAAAAIgAAAGRycy9kb3ducmV2Lnht&#10;bFBLAQIUABQAAAAIAIdO4kA73NG9vQEAAHQDAAAOAAAAAAAAAAEAIAAAACoBAABkcnMvZTJvRG9j&#10;LnhtbFBLBQYAAAAABgAGAFkBAABZ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45</w:t>
                    </w:r>
                    <w:r>
                      <w:fldChar w:fldCharType="end"/>
                    </w:r>
                    <w:r>
                      <w:rPr>
                        <w:rFonts w:ascii="Times New Roman"/>
                        <w:sz w:val="18"/>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3717290</wp:posOffset>
              </wp:positionH>
              <wp:positionV relativeFrom="page">
                <wp:posOffset>10006330</wp:posOffset>
              </wp:positionV>
              <wp:extent cx="192405" cy="139700"/>
              <wp:effectExtent l="0" t="0" r="0" b="0"/>
              <wp:wrapNone/>
              <wp:docPr id="298" name="文本框 172"/>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wps:txbx>
                    <wps:bodyPr lIns="0" tIns="0" rIns="0" bIns="0" upright="1"/>
                  </wps:wsp>
                </a:graphicData>
              </a:graphic>
            </wp:anchor>
          </w:drawing>
        </mc:Choice>
        <mc:Fallback>
          <w:pict>
            <v:shape id="文本框 172" o:spid="_x0000_s1026" o:spt="202" type="#_x0000_t202" style="position:absolute;left:0pt;margin-left:292.7pt;margin-top:787.9pt;height:11pt;width:15.15pt;mso-position-horizontal-relative:page;mso-position-vertical-relative:page;z-index:-251657216;mso-width-relative:page;mso-height-relative:page;" filled="f" stroked="f" coordsize="21600,21600" o:gfxdata="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ZdS5doAAAANAQAADwAAAAAAAAABACAAAAAiAAAAZHJzL2Rvd25yZXYueG1s&#10;UEsBAhQAFAAAAAgAh07iQD5tjJy9AQAAdQ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3717290</wp:posOffset>
              </wp:positionH>
              <wp:positionV relativeFrom="page">
                <wp:posOffset>10006330</wp:posOffset>
              </wp:positionV>
              <wp:extent cx="192405" cy="139700"/>
              <wp:effectExtent l="0" t="0" r="0" b="0"/>
              <wp:wrapNone/>
              <wp:docPr id="1" name="文本框 172"/>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wps:txbx>
                    <wps:bodyPr lIns="0" tIns="0" rIns="0" bIns="0" upright="1"/>
                  </wps:wsp>
                </a:graphicData>
              </a:graphic>
            </wp:anchor>
          </w:drawing>
        </mc:Choice>
        <mc:Fallback>
          <w:pict>
            <v:shape id="文本框 172" o:spid="_x0000_s1026" o:spt="202" type="#_x0000_t202" style="position:absolute;left:0pt;margin-left:292.7pt;margin-top:787.9pt;height:11pt;width:15.15pt;mso-position-horizontal-relative:page;mso-position-vertical-relative:page;z-index:-251654144;mso-width-relative:page;mso-height-relative:page;" filled="f" stroked="f" coordsize="21600,21600" o:gfxdata="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2XUuXaAAAADQEAAA8AAAAAAAAAAQAgAAAAIgAAAGRycy9kb3ducmV2LnhtbFBL&#10;AQIUABQAAAAIAIdO4kCVhjV4uwEAAHMDAAAOAAAAAAAAAAEAIAAAACkBAABkcnMvZTJvRG9jLnht&#10;bFBLBQYAAAAABgAGAFkBAABWBQ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3717290</wp:posOffset>
              </wp:positionH>
              <wp:positionV relativeFrom="page">
                <wp:posOffset>10006330</wp:posOffset>
              </wp:positionV>
              <wp:extent cx="192405" cy="139700"/>
              <wp:effectExtent l="0" t="0" r="0" b="0"/>
              <wp:wrapNone/>
              <wp:docPr id="316" name="文本框 136"/>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50</w:t>
                          </w:r>
                          <w:r>
                            <w:fldChar w:fldCharType="end"/>
                          </w:r>
                        </w:p>
                      </w:txbxContent>
                    </wps:txbx>
                    <wps:bodyPr lIns="0" tIns="0" rIns="0" bIns="0" upright="1"/>
                  </wps:wsp>
                </a:graphicData>
              </a:graphic>
            </wp:anchor>
          </w:drawing>
        </mc:Choice>
        <mc:Fallback>
          <w:pict>
            <v:shape id="文本框 136" o:spid="_x0000_s1026" o:spt="202" type="#_x0000_t202" style="position:absolute;left:0pt;margin-left:292.7pt;margin-top:787.9pt;height:11pt;width:15.15pt;mso-position-horizontal-relative:page;mso-position-vertical-relative:page;z-index:-251653120;mso-width-relative:page;mso-height-relative:page;" filled="f" stroked="f" coordsize="21600,21600" o:gfxdata="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Nl1Ll2gAAAA0BAAAPAAAAAAAAAAEAIAAAACIAAABkcnMvZG93bnJldi54&#10;bWxQSwECFAAUAAAACACHTuJAToHwUb8BAAB1AwAADgAAAAAAAAABACAAAAApAQAAZHJzL2Uyb0Rv&#10;Yy54bWxQSwUGAAAAAAYABgBZAQAAWg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51664384" behindDoc="1" locked="0" layoutInCell="1" allowOverlap="1">
              <wp:simplePos x="0" y="0"/>
              <wp:positionH relativeFrom="page">
                <wp:posOffset>3644900</wp:posOffset>
              </wp:positionH>
              <wp:positionV relativeFrom="page">
                <wp:posOffset>9868535</wp:posOffset>
              </wp:positionV>
              <wp:extent cx="310515" cy="152400"/>
              <wp:effectExtent l="0" t="0" r="0" b="0"/>
              <wp:wrapNone/>
              <wp:docPr id="56" name="文本框 106"/>
              <wp:cNvGraphicFramePr/>
              <a:graphic xmlns:a="http://schemas.openxmlformats.org/drawingml/2006/main">
                <a:graphicData uri="http://schemas.microsoft.com/office/word/2010/wordprocessingShape">
                  <wps:wsp>
                    <wps:cNvSpPr txBox="1"/>
                    <wps:spPr>
                      <a:xfrm>
                        <a:off x="0" y="0"/>
                        <a:ext cx="3105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42</w:t>
                          </w:r>
                          <w:r>
                            <w:fldChar w:fldCharType="end"/>
                          </w:r>
                          <w:r>
                            <w:rPr>
                              <w:rFonts w:ascii="Times New Roman"/>
                              <w:sz w:val="18"/>
                            </w:rPr>
                            <w:t>-</w:t>
                          </w:r>
                        </w:p>
                      </w:txbxContent>
                    </wps:txbx>
                    <wps:bodyPr lIns="0" tIns="0" rIns="0" bIns="0" upright="1"/>
                  </wps:wsp>
                </a:graphicData>
              </a:graphic>
            </wp:anchor>
          </w:drawing>
        </mc:Choice>
        <mc:Fallback>
          <w:pict>
            <v:shape id="文本框 106" o:spid="_x0000_s1026" o:spt="202" type="#_x0000_t202" style="position:absolute;left:0pt;margin-left:287pt;margin-top:777.05pt;height:12pt;width:24.45pt;mso-position-horizontal-relative:page;mso-position-vertical-relative:page;z-index:-251652096;mso-width-relative:page;mso-height-relative:page;" filled="f" stroked="f" coordsize="21600,21600" o:gfxdata="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9oqVdsAAAANAQAADwAAAAAAAAABACAAAAAiAAAAZHJzL2Rvd25yZXYueG1s&#10;UEsBAhQAFAAAAAgAh07iQA9DJ+28AQAAdAMAAA4AAAAAAAAAAQAgAAAAKgEAAGRycy9lMm9Eb2Mu&#10;eG1sUEsFBgAAAAAGAAYAWQEAAFg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42</w:t>
                    </w:r>
                    <w:r>
                      <w:fldChar w:fldCharType="end"/>
                    </w:r>
                    <w:r>
                      <w:rPr>
                        <w:rFonts w:ascii="Times New Roman"/>
                        <w:sz w:val="1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3644900</wp:posOffset>
              </wp:positionH>
              <wp:positionV relativeFrom="page">
                <wp:posOffset>9868535</wp:posOffset>
              </wp:positionV>
              <wp:extent cx="310515" cy="152400"/>
              <wp:effectExtent l="0" t="0" r="0" b="0"/>
              <wp:wrapNone/>
              <wp:docPr id="57" name="文本框 105"/>
              <wp:cNvGraphicFramePr/>
              <a:graphic xmlns:a="http://schemas.openxmlformats.org/drawingml/2006/main">
                <a:graphicData uri="http://schemas.microsoft.com/office/word/2010/wordprocessingShape">
                  <wps:wsp>
                    <wps:cNvSpPr txBox="1"/>
                    <wps:spPr>
                      <a:xfrm>
                        <a:off x="0" y="0"/>
                        <a:ext cx="3105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43</w:t>
                          </w:r>
                          <w:r>
                            <w:fldChar w:fldCharType="end"/>
                          </w:r>
                          <w:r>
                            <w:rPr>
                              <w:rFonts w:ascii="Times New Roman"/>
                              <w:sz w:val="18"/>
                            </w:rPr>
                            <w:t>-</w:t>
                          </w:r>
                        </w:p>
                      </w:txbxContent>
                    </wps:txbx>
                    <wps:bodyPr lIns="0" tIns="0" rIns="0" bIns="0" upright="1"/>
                  </wps:wsp>
                </a:graphicData>
              </a:graphic>
            </wp:anchor>
          </w:drawing>
        </mc:Choice>
        <mc:Fallback>
          <w:pict>
            <v:shape id="文本框 105" o:spid="_x0000_s1026" o:spt="202" type="#_x0000_t202" style="position:absolute;left:0pt;margin-left:287pt;margin-top:777.05pt;height:12pt;width:24.45pt;mso-position-horizontal-relative:page;mso-position-vertical-relative:page;z-index:-251651072;mso-width-relative:page;mso-height-relative:page;" filled="f" stroked="f" coordsize="21600,21600" o:gfxdata="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9oqVdsAAAANAQAADwAAAAAAAAABACAAAAAiAAAAZHJzL2Rvd25yZXYueG1s&#10;UEsBAhQAFAAAAAgAh07iQDd177a8AQAAdAMAAA4AAAAAAAAAAQAgAAAAKgEAAGRycy9lMm9Eb2Mu&#10;eG1sUEsFBgAAAAAGAAYAWQEAAFg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43</w:t>
                    </w:r>
                    <w:r>
                      <w:fldChar w:fldCharType="end"/>
                    </w:r>
                    <w:r>
                      <w:rPr>
                        <w:rFonts w:ascii="Times New Roman"/>
                        <w:sz w:val="1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3644900</wp:posOffset>
              </wp:positionH>
              <wp:positionV relativeFrom="page">
                <wp:posOffset>9868535</wp:posOffset>
              </wp:positionV>
              <wp:extent cx="310515" cy="152400"/>
              <wp:effectExtent l="0" t="0" r="0" b="0"/>
              <wp:wrapNone/>
              <wp:docPr id="58" name="文本框 104"/>
              <wp:cNvGraphicFramePr/>
              <a:graphic xmlns:a="http://schemas.openxmlformats.org/drawingml/2006/main">
                <a:graphicData uri="http://schemas.microsoft.com/office/word/2010/wordprocessingShape">
                  <wps:wsp>
                    <wps:cNvSpPr txBox="1"/>
                    <wps:spPr>
                      <a:xfrm>
                        <a:off x="0" y="0"/>
                        <a:ext cx="3105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44</w:t>
                          </w:r>
                          <w:r>
                            <w:fldChar w:fldCharType="end"/>
                          </w:r>
                          <w:r>
                            <w:rPr>
                              <w:rFonts w:ascii="Times New Roman"/>
                              <w:sz w:val="18"/>
                            </w:rPr>
                            <w:t>-</w:t>
                          </w:r>
                        </w:p>
                      </w:txbxContent>
                    </wps:txbx>
                    <wps:bodyPr lIns="0" tIns="0" rIns="0" bIns="0" upright="1"/>
                  </wps:wsp>
                </a:graphicData>
              </a:graphic>
            </wp:anchor>
          </w:drawing>
        </mc:Choice>
        <mc:Fallback>
          <w:pict>
            <v:shape id="文本框 104" o:spid="_x0000_s1026" o:spt="202" type="#_x0000_t202" style="position:absolute;left:0pt;margin-left:287pt;margin-top:777.05pt;height:12pt;width:24.45pt;mso-position-horizontal-relative:page;mso-position-vertical-relative:page;z-index:-251650048;mso-width-relative:page;mso-height-relative:page;" filled="f" stroked="f" coordsize="21600,21600" o:gfxdata="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vaKlXbAAAADQEAAA8AAAAAAAAAAQAgAAAAIgAAAGRycy9kb3ducmV2Lnht&#10;bFBLAQIUABQAAAAIAIdO4kD6N8B3vQEAAHQDAAAOAAAAAAAAAAEAIAAAACoBAABkcnMvZTJvRG9j&#10;LnhtbFBLBQYAAAAABgAGAFkBAABZ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44</w:t>
                    </w:r>
                    <w:r>
                      <w:fldChar w:fldCharType="end"/>
                    </w:r>
                    <w:r>
                      <w:rPr>
                        <w:rFonts w:ascii="Times New Roman"/>
                        <w:sz w:val="1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2205990</wp:posOffset>
              </wp:positionH>
              <wp:positionV relativeFrom="page">
                <wp:posOffset>927100</wp:posOffset>
              </wp:positionV>
              <wp:extent cx="473075" cy="203835"/>
              <wp:effectExtent l="0" t="0" r="0" b="0"/>
              <wp:wrapNone/>
              <wp:docPr id="22" name="文本框 141"/>
              <wp:cNvGraphicFramePr/>
              <a:graphic xmlns:a="http://schemas.openxmlformats.org/drawingml/2006/main">
                <a:graphicData uri="http://schemas.microsoft.com/office/word/2010/wordprocessingShape">
                  <wps:wsp>
                    <wps:cNvSpPr txBox="1"/>
                    <wps:spPr>
                      <a:xfrm>
                        <a:off x="0" y="0"/>
                        <a:ext cx="473075" cy="203835"/>
                      </a:xfrm>
                      <a:prstGeom prst="rect">
                        <a:avLst/>
                      </a:prstGeom>
                      <a:noFill/>
                      <a:ln>
                        <a:noFill/>
                      </a:ln>
                    </wps:spPr>
                    <wps:txbx>
                      <w:txbxContent>
                        <w:p/>
                      </w:txbxContent>
                    </wps:txbx>
                    <wps:bodyPr lIns="0" tIns="0" rIns="0" bIns="0" upright="1"/>
                  </wps:wsp>
                </a:graphicData>
              </a:graphic>
            </wp:anchor>
          </w:drawing>
        </mc:Choice>
        <mc:Fallback>
          <w:pict>
            <v:shape id="文本框 141" o:spid="_x0000_s1026" o:spt="202" type="#_x0000_t202" style="position:absolute;left:0pt;margin-left:173.7pt;margin-top:73pt;height:16.05pt;width:37.25pt;mso-position-horizontal-relative:page;mso-position-vertical-relative:page;z-index:-251657216;mso-width-relative:page;mso-height-relative:page;" filled="f" stroked="f" coordsize="21600,21600" o:gfxdata="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wDlWF2QAAAAsBAAAPAAAAAAAAAAEAIAAAACIAAABkcnMvZG93bnJldi54bWxQ&#10;SwECFAAUAAAACACHTuJAVJU7Fb0BAAB0AwAADgAAAAAAAAABACAAAAAoAQAAZHJzL2Uyb0RvYy54&#10;bWxQSwUGAAAAAAYABgBZAQAAVwUAAAAA&#10;">
              <v:fill on="f" focussize="0,0"/>
              <v:stroke on="f"/>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2832735</wp:posOffset>
              </wp:positionH>
              <wp:positionV relativeFrom="page">
                <wp:posOffset>927100</wp:posOffset>
              </wp:positionV>
              <wp:extent cx="2525395" cy="203835"/>
              <wp:effectExtent l="0" t="0" r="0" b="0"/>
              <wp:wrapNone/>
              <wp:docPr id="23" name="文本框 140"/>
              <wp:cNvGraphicFramePr/>
              <a:graphic xmlns:a="http://schemas.openxmlformats.org/drawingml/2006/main">
                <a:graphicData uri="http://schemas.microsoft.com/office/word/2010/wordprocessingShape">
                  <wps:wsp>
                    <wps:cNvSpPr txBox="1"/>
                    <wps:spPr>
                      <a:xfrm>
                        <a:off x="0" y="0"/>
                        <a:ext cx="2525395" cy="203835"/>
                      </a:xfrm>
                      <a:prstGeom prst="rect">
                        <a:avLst/>
                      </a:prstGeom>
                      <a:noFill/>
                      <a:ln>
                        <a:noFill/>
                      </a:ln>
                    </wps:spPr>
                    <wps:txbx>
                      <w:txbxContent>
                        <w:p/>
                      </w:txbxContent>
                    </wps:txbx>
                    <wps:bodyPr lIns="0" tIns="0" rIns="0" bIns="0" upright="1"/>
                  </wps:wsp>
                </a:graphicData>
              </a:graphic>
            </wp:anchor>
          </w:drawing>
        </mc:Choice>
        <mc:Fallback>
          <w:pict>
            <v:shape id="文本框 140" o:spid="_x0000_s1026" o:spt="202" type="#_x0000_t202" style="position:absolute;left:0pt;margin-left:223.05pt;margin-top:73pt;height:16.05pt;width:198.85pt;mso-position-horizontal-relative:page;mso-position-vertical-relative:page;z-index:-251656192;mso-width-relative:page;mso-height-relative:page;" filled="f" stroked="f" coordsize="21600,21600" o:gfxdata="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nXgK/YAAAACwEAAA8AAAAAAAAAAQAgAAAAIgAAAGRycy9kb3ducmV2LnhtbFBL&#10;AQIUABQAAAAIAIdO4kCqe3YBvQEAAHUDAAAOAAAAAAAAAAEAIAAAACcBAABkcnMvZTJvRG9jLnht&#10;bFBLBQYAAAAABgAGAFkBAABWBQAAAAA=&#10;">
              <v:fill on="f" focussize="0,0"/>
              <v:stroke on="f"/>
              <v:imagedata o:title=""/>
              <o:lock v:ext="edit" aspectratio="f"/>
              <v:textbox inset="0mm,0mm,0mm,0mm">
                <w:txbxContent>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2205990</wp:posOffset>
              </wp:positionH>
              <wp:positionV relativeFrom="page">
                <wp:posOffset>930275</wp:posOffset>
              </wp:positionV>
              <wp:extent cx="473075" cy="203835"/>
              <wp:effectExtent l="0" t="0" r="0" b="0"/>
              <wp:wrapNone/>
              <wp:docPr id="25" name="文本框 138"/>
              <wp:cNvGraphicFramePr/>
              <a:graphic xmlns:a="http://schemas.openxmlformats.org/drawingml/2006/main">
                <a:graphicData uri="http://schemas.microsoft.com/office/word/2010/wordprocessingShape">
                  <wps:wsp>
                    <wps:cNvSpPr txBox="1"/>
                    <wps:spPr>
                      <a:xfrm>
                        <a:off x="0" y="0"/>
                        <a:ext cx="473075" cy="203835"/>
                      </a:xfrm>
                      <a:prstGeom prst="rect">
                        <a:avLst/>
                      </a:prstGeom>
                      <a:noFill/>
                      <a:ln>
                        <a:noFill/>
                      </a:ln>
                    </wps:spPr>
                    <wps:txbx>
                      <w:txbxContent>
                        <w:p/>
                      </w:txbxContent>
                    </wps:txbx>
                    <wps:bodyPr lIns="0" tIns="0" rIns="0" bIns="0" upright="1"/>
                  </wps:wsp>
                </a:graphicData>
              </a:graphic>
            </wp:anchor>
          </w:drawing>
        </mc:Choice>
        <mc:Fallback>
          <w:pict>
            <v:shape id="文本框 138" o:spid="_x0000_s1026" o:spt="202" type="#_x0000_t202" style="position:absolute;left:0pt;margin-left:173.7pt;margin-top:73.25pt;height:16.05pt;width:37.25pt;mso-position-horizontal-relative:page;mso-position-vertical-relative:page;z-index:-251655168;mso-width-relative:page;mso-height-relative:page;" filled="f" stroked="f" coordsize="21600,21600" o:gfxdata="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8TIIdoAAAALAQAADwAAAAAAAAABACAAAAAiAAAAZHJzL2Rvd25yZXYueG1s&#10;UEsBAhQAFAAAAAgAh07iQAMt4kG9AQAAdAMAAA4AAAAAAAAAAQAgAAAAKQEAAGRycy9lMm9Eb2Mu&#10;eG1sUEsFBgAAAAAGAAYAWQEAAFgFAAAAAA==&#10;">
              <v:fill on="f" focussize="0,0"/>
              <v:stroke on="f"/>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2832735</wp:posOffset>
              </wp:positionH>
              <wp:positionV relativeFrom="page">
                <wp:posOffset>930275</wp:posOffset>
              </wp:positionV>
              <wp:extent cx="2525395" cy="203835"/>
              <wp:effectExtent l="0" t="0" r="0" b="0"/>
              <wp:wrapNone/>
              <wp:docPr id="26" name="文本框 137"/>
              <wp:cNvGraphicFramePr/>
              <a:graphic xmlns:a="http://schemas.openxmlformats.org/drawingml/2006/main">
                <a:graphicData uri="http://schemas.microsoft.com/office/word/2010/wordprocessingShape">
                  <wps:wsp>
                    <wps:cNvSpPr txBox="1"/>
                    <wps:spPr>
                      <a:xfrm>
                        <a:off x="0" y="0"/>
                        <a:ext cx="2525395" cy="203835"/>
                      </a:xfrm>
                      <a:prstGeom prst="rect">
                        <a:avLst/>
                      </a:prstGeom>
                      <a:noFill/>
                      <a:ln>
                        <a:noFill/>
                      </a:ln>
                    </wps:spPr>
                    <wps:txbx>
                      <w:txbxContent>
                        <w:p/>
                      </w:txbxContent>
                    </wps:txbx>
                    <wps:bodyPr lIns="0" tIns="0" rIns="0" bIns="0" upright="1"/>
                  </wps:wsp>
                </a:graphicData>
              </a:graphic>
            </wp:anchor>
          </w:drawing>
        </mc:Choice>
        <mc:Fallback>
          <w:pict>
            <v:shape id="文本框 137" o:spid="_x0000_s1026" o:spt="202" type="#_x0000_t202" style="position:absolute;left:0pt;margin-left:223.05pt;margin-top:73.25pt;height:16.05pt;width:198.85pt;mso-position-horizontal-relative:page;mso-position-vertical-relative:page;z-index:-251654144;mso-width-relative:page;mso-height-relative:page;" filled="f" stroked="f" coordsize="21600,21600" o:gfxdata="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h0dC9kAAAALAQAADwAAAAAAAAABACAAAAAiAAAAZHJzL2Rvd25yZXYueG1s&#10;UEsBAhQAFAAAAAgAh07iQJ6nD/a+AQAAdQMAAA4AAAAAAAAAAQAgAAAAKAEAAGRycy9lMm9Eb2Mu&#10;eG1sUEsFBgAAAAAGAAYAWQEAAFgFAAAAAA==&#10;">
              <v:fill on="f" focussize="0,0"/>
              <v:stroke on="f"/>
              <v:imagedata o:title=""/>
              <o:lock v:ext="edit" aspectratio="f"/>
              <v:textbox inset="0mm,0mm,0mm,0mm">
                <w:txbxContent>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4F465"/>
    <w:multiLevelType w:val="singleLevel"/>
    <w:tmpl w:val="D9A4F465"/>
    <w:lvl w:ilvl="0" w:tentative="0">
      <w:start w:val="4"/>
      <w:numFmt w:val="chineseCounting"/>
      <w:suff w:val="nothing"/>
      <w:lvlText w:val="%1、"/>
      <w:lvlJc w:val="left"/>
      <w:rPr>
        <w:rFonts w:hint="eastAsia"/>
      </w:rPr>
    </w:lvl>
  </w:abstractNum>
  <w:abstractNum w:abstractNumId="1">
    <w:nsid w:val="1D626E74"/>
    <w:multiLevelType w:val="multilevel"/>
    <w:tmpl w:val="1D626E74"/>
    <w:lvl w:ilvl="0" w:tentative="0">
      <w:start w:val="1"/>
      <w:numFmt w:val="decimal"/>
      <w:lvlText w:val="（%1）"/>
      <w:lvlJc w:val="left"/>
      <w:pPr>
        <w:ind w:left="637" w:hanging="525"/>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366" w:hanging="525"/>
      </w:pPr>
      <w:rPr>
        <w:rFonts w:hint="default"/>
        <w:lang w:val="en-US" w:eastAsia="zh-CN" w:bidi="ar-SA"/>
      </w:rPr>
    </w:lvl>
    <w:lvl w:ilvl="2" w:tentative="0">
      <w:start w:val="0"/>
      <w:numFmt w:val="bullet"/>
      <w:lvlText w:val="•"/>
      <w:lvlJc w:val="left"/>
      <w:pPr>
        <w:ind w:left="2092" w:hanging="525"/>
      </w:pPr>
      <w:rPr>
        <w:rFonts w:hint="default"/>
        <w:lang w:val="en-US" w:eastAsia="zh-CN" w:bidi="ar-SA"/>
      </w:rPr>
    </w:lvl>
    <w:lvl w:ilvl="3" w:tentative="0">
      <w:start w:val="0"/>
      <w:numFmt w:val="bullet"/>
      <w:lvlText w:val="•"/>
      <w:lvlJc w:val="left"/>
      <w:pPr>
        <w:ind w:left="2818" w:hanging="525"/>
      </w:pPr>
      <w:rPr>
        <w:rFonts w:hint="default"/>
        <w:lang w:val="en-US" w:eastAsia="zh-CN" w:bidi="ar-SA"/>
      </w:rPr>
    </w:lvl>
    <w:lvl w:ilvl="4" w:tentative="0">
      <w:start w:val="0"/>
      <w:numFmt w:val="bullet"/>
      <w:lvlText w:val="•"/>
      <w:lvlJc w:val="left"/>
      <w:pPr>
        <w:ind w:left="3545" w:hanging="525"/>
      </w:pPr>
      <w:rPr>
        <w:rFonts w:hint="default"/>
        <w:lang w:val="en-US" w:eastAsia="zh-CN" w:bidi="ar-SA"/>
      </w:rPr>
    </w:lvl>
    <w:lvl w:ilvl="5" w:tentative="0">
      <w:start w:val="0"/>
      <w:numFmt w:val="bullet"/>
      <w:lvlText w:val="•"/>
      <w:lvlJc w:val="left"/>
      <w:pPr>
        <w:ind w:left="4271" w:hanging="525"/>
      </w:pPr>
      <w:rPr>
        <w:rFonts w:hint="default"/>
        <w:lang w:val="en-US" w:eastAsia="zh-CN" w:bidi="ar-SA"/>
      </w:rPr>
    </w:lvl>
    <w:lvl w:ilvl="6" w:tentative="0">
      <w:start w:val="0"/>
      <w:numFmt w:val="bullet"/>
      <w:lvlText w:val="•"/>
      <w:lvlJc w:val="left"/>
      <w:pPr>
        <w:ind w:left="4997" w:hanging="525"/>
      </w:pPr>
      <w:rPr>
        <w:rFonts w:hint="default"/>
        <w:lang w:val="en-US" w:eastAsia="zh-CN" w:bidi="ar-SA"/>
      </w:rPr>
    </w:lvl>
    <w:lvl w:ilvl="7" w:tentative="0">
      <w:start w:val="0"/>
      <w:numFmt w:val="bullet"/>
      <w:lvlText w:val="•"/>
      <w:lvlJc w:val="left"/>
      <w:pPr>
        <w:ind w:left="5724" w:hanging="525"/>
      </w:pPr>
      <w:rPr>
        <w:rFonts w:hint="default"/>
        <w:lang w:val="en-US" w:eastAsia="zh-CN" w:bidi="ar-SA"/>
      </w:rPr>
    </w:lvl>
    <w:lvl w:ilvl="8" w:tentative="0">
      <w:start w:val="0"/>
      <w:numFmt w:val="bullet"/>
      <w:lvlText w:val="•"/>
      <w:lvlJc w:val="left"/>
      <w:pPr>
        <w:ind w:left="6450" w:hanging="525"/>
      </w:pPr>
      <w:rPr>
        <w:rFonts w:hint="default"/>
        <w:lang w:val="en-US" w:eastAsia="zh-CN" w:bidi="ar-SA"/>
      </w:rPr>
    </w:lvl>
  </w:abstractNum>
  <w:abstractNum w:abstractNumId="2">
    <w:nsid w:val="30061124"/>
    <w:multiLevelType w:val="multilevel"/>
    <w:tmpl w:val="30061124"/>
    <w:lvl w:ilvl="0" w:tentative="0">
      <w:start w:val="11"/>
      <w:numFmt w:val="decimal"/>
      <w:lvlText w:val="（%1）"/>
      <w:lvlJc w:val="left"/>
      <w:pPr>
        <w:ind w:left="742" w:hanging="630"/>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456" w:hanging="630"/>
      </w:pPr>
      <w:rPr>
        <w:rFonts w:hint="default"/>
        <w:lang w:val="en-US" w:eastAsia="zh-CN" w:bidi="ar-SA"/>
      </w:rPr>
    </w:lvl>
    <w:lvl w:ilvl="2" w:tentative="0">
      <w:start w:val="0"/>
      <w:numFmt w:val="bullet"/>
      <w:lvlText w:val="•"/>
      <w:lvlJc w:val="left"/>
      <w:pPr>
        <w:ind w:left="2172" w:hanging="630"/>
      </w:pPr>
      <w:rPr>
        <w:rFonts w:hint="default"/>
        <w:lang w:val="en-US" w:eastAsia="zh-CN" w:bidi="ar-SA"/>
      </w:rPr>
    </w:lvl>
    <w:lvl w:ilvl="3" w:tentative="0">
      <w:start w:val="0"/>
      <w:numFmt w:val="bullet"/>
      <w:lvlText w:val="•"/>
      <w:lvlJc w:val="left"/>
      <w:pPr>
        <w:ind w:left="2888" w:hanging="630"/>
      </w:pPr>
      <w:rPr>
        <w:rFonts w:hint="default"/>
        <w:lang w:val="en-US" w:eastAsia="zh-CN" w:bidi="ar-SA"/>
      </w:rPr>
    </w:lvl>
    <w:lvl w:ilvl="4" w:tentative="0">
      <w:start w:val="0"/>
      <w:numFmt w:val="bullet"/>
      <w:lvlText w:val="•"/>
      <w:lvlJc w:val="left"/>
      <w:pPr>
        <w:ind w:left="3605" w:hanging="630"/>
      </w:pPr>
      <w:rPr>
        <w:rFonts w:hint="default"/>
        <w:lang w:val="en-US" w:eastAsia="zh-CN" w:bidi="ar-SA"/>
      </w:rPr>
    </w:lvl>
    <w:lvl w:ilvl="5" w:tentative="0">
      <w:start w:val="0"/>
      <w:numFmt w:val="bullet"/>
      <w:lvlText w:val="•"/>
      <w:lvlJc w:val="left"/>
      <w:pPr>
        <w:ind w:left="4321" w:hanging="630"/>
      </w:pPr>
      <w:rPr>
        <w:rFonts w:hint="default"/>
        <w:lang w:val="en-US" w:eastAsia="zh-CN" w:bidi="ar-SA"/>
      </w:rPr>
    </w:lvl>
    <w:lvl w:ilvl="6" w:tentative="0">
      <w:start w:val="0"/>
      <w:numFmt w:val="bullet"/>
      <w:lvlText w:val="•"/>
      <w:lvlJc w:val="left"/>
      <w:pPr>
        <w:ind w:left="5037" w:hanging="630"/>
      </w:pPr>
      <w:rPr>
        <w:rFonts w:hint="default"/>
        <w:lang w:val="en-US" w:eastAsia="zh-CN" w:bidi="ar-SA"/>
      </w:rPr>
    </w:lvl>
    <w:lvl w:ilvl="7" w:tentative="0">
      <w:start w:val="0"/>
      <w:numFmt w:val="bullet"/>
      <w:lvlText w:val="•"/>
      <w:lvlJc w:val="left"/>
      <w:pPr>
        <w:ind w:left="5754" w:hanging="630"/>
      </w:pPr>
      <w:rPr>
        <w:rFonts w:hint="default"/>
        <w:lang w:val="en-US" w:eastAsia="zh-CN" w:bidi="ar-SA"/>
      </w:rPr>
    </w:lvl>
    <w:lvl w:ilvl="8" w:tentative="0">
      <w:start w:val="0"/>
      <w:numFmt w:val="bullet"/>
      <w:lvlText w:val="•"/>
      <w:lvlJc w:val="left"/>
      <w:pPr>
        <w:ind w:left="6470" w:hanging="630"/>
      </w:pPr>
      <w:rPr>
        <w:rFonts w:hint="default"/>
        <w:lang w:val="en-US" w:eastAsia="zh-CN" w:bidi="ar-SA"/>
      </w:rPr>
    </w:lvl>
  </w:abstractNum>
  <w:abstractNum w:abstractNumId="3">
    <w:nsid w:val="3E1E4AF4"/>
    <w:multiLevelType w:val="multilevel"/>
    <w:tmpl w:val="3E1E4AF4"/>
    <w:lvl w:ilvl="0" w:tentative="0">
      <w:start w:val="2"/>
      <w:numFmt w:val="decimal"/>
      <w:lvlText w:val="（%1）"/>
      <w:lvlJc w:val="left"/>
      <w:pPr>
        <w:ind w:left="0" w:hanging="525"/>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898" w:hanging="525"/>
      </w:pPr>
      <w:rPr>
        <w:rFonts w:hint="default"/>
        <w:lang w:val="en-US" w:eastAsia="zh-CN" w:bidi="ar-SA"/>
      </w:rPr>
    </w:lvl>
    <w:lvl w:ilvl="2" w:tentative="0">
      <w:start w:val="0"/>
      <w:numFmt w:val="bullet"/>
      <w:lvlText w:val="•"/>
      <w:lvlJc w:val="left"/>
      <w:pPr>
        <w:ind w:left="1676" w:hanging="525"/>
      </w:pPr>
      <w:rPr>
        <w:rFonts w:hint="default"/>
        <w:lang w:val="en-US" w:eastAsia="zh-CN" w:bidi="ar-SA"/>
      </w:rPr>
    </w:lvl>
    <w:lvl w:ilvl="3" w:tentative="0">
      <w:start w:val="0"/>
      <w:numFmt w:val="bullet"/>
      <w:lvlText w:val="•"/>
      <w:lvlJc w:val="left"/>
      <w:pPr>
        <w:ind w:left="2454" w:hanging="525"/>
      </w:pPr>
      <w:rPr>
        <w:rFonts w:hint="default"/>
        <w:lang w:val="en-US" w:eastAsia="zh-CN" w:bidi="ar-SA"/>
      </w:rPr>
    </w:lvl>
    <w:lvl w:ilvl="4" w:tentative="0">
      <w:start w:val="0"/>
      <w:numFmt w:val="bullet"/>
      <w:lvlText w:val="•"/>
      <w:lvlJc w:val="left"/>
      <w:pPr>
        <w:ind w:left="3233" w:hanging="525"/>
      </w:pPr>
      <w:rPr>
        <w:rFonts w:hint="default"/>
        <w:lang w:val="en-US" w:eastAsia="zh-CN" w:bidi="ar-SA"/>
      </w:rPr>
    </w:lvl>
    <w:lvl w:ilvl="5" w:tentative="0">
      <w:start w:val="0"/>
      <w:numFmt w:val="bullet"/>
      <w:lvlText w:val="•"/>
      <w:lvlJc w:val="left"/>
      <w:pPr>
        <w:ind w:left="4011" w:hanging="525"/>
      </w:pPr>
      <w:rPr>
        <w:rFonts w:hint="default"/>
        <w:lang w:val="en-US" w:eastAsia="zh-CN" w:bidi="ar-SA"/>
      </w:rPr>
    </w:lvl>
    <w:lvl w:ilvl="6" w:tentative="0">
      <w:start w:val="0"/>
      <w:numFmt w:val="bullet"/>
      <w:lvlText w:val="•"/>
      <w:lvlJc w:val="left"/>
      <w:pPr>
        <w:ind w:left="4789" w:hanging="525"/>
      </w:pPr>
      <w:rPr>
        <w:rFonts w:hint="default"/>
        <w:lang w:val="en-US" w:eastAsia="zh-CN" w:bidi="ar-SA"/>
      </w:rPr>
    </w:lvl>
    <w:lvl w:ilvl="7" w:tentative="0">
      <w:start w:val="0"/>
      <w:numFmt w:val="bullet"/>
      <w:lvlText w:val="•"/>
      <w:lvlJc w:val="left"/>
      <w:pPr>
        <w:ind w:left="5568" w:hanging="525"/>
      </w:pPr>
      <w:rPr>
        <w:rFonts w:hint="default"/>
        <w:lang w:val="en-US" w:eastAsia="zh-CN" w:bidi="ar-SA"/>
      </w:rPr>
    </w:lvl>
    <w:lvl w:ilvl="8" w:tentative="0">
      <w:start w:val="0"/>
      <w:numFmt w:val="bullet"/>
      <w:lvlText w:val="•"/>
      <w:lvlJc w:val="left"/>
      <w:pPr>
        <w:ind w:left="6346" w:hanging="525"/>
      </w:pPr>
      <w:rPr>
        <w:rFonts w:hint="default"/>
        <w:lang w:val="en-US" w:eastAsia="zh-CN" w:bidi="ar-SA"/>
      </w:rPr>
    </w:lvl>
  </w:abstractNum>
  <w:abstractNum w:abstractNumId="4">
    <w:nsid w:val="58EC11D3"/>
    <w:multiLevelType w:val="multilevel"/>
    <w:tmpl w:val="58EC11D3"/>
    <w:lvl w:ilvl="0" w:tentative="0">
      <w:start w:val="1"/>
      <w:numFmt w:val="lowerLetter"/>
      <w:lvlText w:val="%1."/>
      <w:lvlJc w:val="left"/>
      <w:pPr>
        <w:ind w:left="112" w:hanging="212"/>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898" w:hanging="212"/>
      </w:pPr>
      <w:rPr>
        <w:rFonts w:hint="default"/>
        <w:lang w:val="en-US" w:eastAsia="zh-CN" w:bidi="ar-SA"/>
      </w:rPr>
    </w:lvl>
    <w:lvl w:ilvl="2" w:tentative="0">
      <w:start w:val="0"/>
      <w:numFmt w:val="bullet"/>
      <w:lvlText w:val="•"/>
      <w:lvlJc w:val="left"/>
      <w:pPr>
        <w:ind w:left="1676" w:hanging="212"/>
      </w:pPr>
      <w:rPr>
        <w:rFonts w:hint="default"/>
        <w:lang w:val="en-US" w:eastAsia="zh-CN" w:bidi="ar-SA"/>
      </w:rPr>
    </w:lvl>
    <w:lvl w:ilvl="3" w:tentative="0">
      <w:start w:val="0"/>
      <w:numFmt w:val="bullet"/>
      <w:lvlText w:val="•"/>
      <w:lvlJc w:val="left"/>
      <w:pPr>
        <w:ind w:left="2454" w:hanging="212"/>
      </w:pPr>
      <w:rPr>
        <w:rFonts w:hint="default"/>
        <w:lang w:val="en-US" w:eastAsia="zh-CN" w:bidi="ar-SA"/>
      </w:rPr>
    </w:lvl>
    <w:lvl w:ilvl="4" w:tentative="0">
      <w:start w:val="0"/>
      <w:numFmt w:val="bullet"/>
      <w:lvlText w:val="•"/>
      <w:lvlJc w:val="left"/>
      <w:pPr>
        <w:ind w:left="3233" w:hanging="212"/>
      </w:pPr>
      <w:rPr>
        <w:rFonts w:hint="default"/>
        <w:lang w:val="en-US" w:eastAsia="zh-CN" w:bidi="ar-SA"/>
      </w:rPr>
    </w:lvl>
    <w:lvl w:ilvl="5" w:tentative="0">
      <w:start w:val="0"/>
      <w:numFmt w:val="bullet"/>
      <w:lvlText w:val="•"/>
      <w:lvlJc w:val="left"/>
      <w:pPr>
        <w:ind w:left="4011" w:hanging="212"/>
      </w:pPr>
      <w:rPr>
        <w:rFonts w:hint="default"/>
        <w:lang w:val="en-US" w:eastAsia="zh-CN" w:bidi="ar-SA"/>
      </w:rPr>
    </w:lvl>
    <w:lvl w:ilvl="6" w:tentative="0">
      <w:start w:val="0"/>
      <w:numFmt w:val="bullet"/>
      <w:lvlText w:val="•"/>
      <w:lvlJc w:val="left"/>
      <w:pPr>
        <w:ind w:left="4789" w:hanging="212"/>
      </w:pPr>
      <w:rPr>
        <w:rFonts w:hint="default"/>
        <w:lang w:val="en-US" w:eastAsia="zh-CN" w:bidi="ar-SA"/>
      </w:rPr>
    </w:lvl>
    <w:lvl w:ilvl="7" w:tentative="0">
      <w:start w:val="0"/>
      <w:numFmt w:val="bullet"/>
      <w:lvlText w:val="•"/>
      <w:lvlJc w:val="left"/>
      <w:pPr>
        <w:ind w:left="5568" w:hanging="212"/>
      </w:pPr>
      <w:rPr>
        <w:rFonts w:hint="default"/>
        <w:lang w:val="en-US" w:eastAsia="zh-CN" w:bidi="ar-SA"/>
      </w:rPr>
    </w:lvl>
    <w:lvl w:ilvl="8" w:tentative="0">
      <w:start w:val="0"/>
      <w:numFmt w:val="bullet"/>
      <w:lvlText w:val="•"/>
      <w:lvlJc w:val="left"/>
      <w:pPr>
        <w:ind w:left="6346" w:hanging="212"/>
      </w:pPr>
      <w:rPr>
        <w:rFonts w:hint="default"/>
        <w:lang w:val="en-US" w:eastAsia="zh-CN" w:bidi="ar-SA"/>
      </w:rPr>
    </w:lvl>
  </w:abstractNum>
  <w:abstractNum w:abstractNumId="5">
    <w:nsid w:val="765D2053"/>
    <w:multiLevelType w:val="multilevel"/>
    <w:tmpl w:val="765D2053"/>
    <w:lvl w:ilvl="0" w:tentative="0">
      <w:start w:val="1"/>
      <w:numFmt w:val="decimal"/>
      <w:lvlText w:val="%1."/>
      <w:lvlJc w:val="left"/>
      <w:pPr>
        <w:ind w:left="322" w:hanging="212"/>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885" w:hanging="212"/>
      </w:pPr>
      <w:rPr>
        <w:rFonts w:hint="default"/>
        <w:lang w:val="en-US" w:eastAsia="zh-CN" w:bidi="ar-SA"/>
      </w:rPr>
    </w:lvl>
    <w:lvl w:ilvl="2" w:tentative="0">
      <w:start w:val="0"/>
      <w:numFmt w:val="bullet"/>
      <w:lvlText w:val="•"/>
      <w:lvlJc w:val="left"/>
      <w:pPr>
        <w:ind w:left="1451" w:hanging="212"/>
      </w:pPr>
      <w:rPr>
        <w:rFonts w:hint="default"/>
        <w:lang w:val="en-US" w:eastAsia="zh-CN" w:bidi="ar-SA"/>
      </w:rPr>
    </w:lvl>
    <w:lvl w:ilvl="3" w:tentative="0">
      <w:start w:val="0"/>
      <w:numFmt w:val="bullet"/>
      <w:lvlText w:val="•"/>
      <w:lvlJc w:val="left"/>
      <w:pPr>
        <w:ind w:left="2017" w:hanging="212"/>
      </w:pPr>
      <w:rPr>
        <w:rFonts w:hint="default"/>
        <w:lang w:val="en-US" w:eastAsia="zh-CN" w:bidi="ar-SA"/>
      </w:rPr>
    </w:lvl>
    <w:lvl w:ilvl="4" w:tentative="0">
      <w:start w:val="0"/>
      <w:numFmt w:val="bullet"/>
      <w:lvlText w:val="•"/>
      <w:lvlJc w:val="left"/>
      <w:pPr>
        <w:ind w:left="2583" w:hanging="212"/>
      </w:pPr>
      <w:rPr>
        <w:rFonts w:hint="default"/>
        <w:lang w:val="en-US" w:eastAsia="zh-CN" w:bidi="ar-SA"/>
      </w:rPr>
    </w:lvl>
    <w:lvl w:ilvl="5" w:tentative="0">
      <w:start w:val="0"/>
      <w:numFmt w:val="bullet"/>
      <w:lvlText w:val="•"/>
      <w:lvlJc w:val="left"/>
      <w:pPr>
        <w:ind w:left="3149" w:hanging="212"/>
      </w:pPr>
      <w:rPr>
        <w:rFonts w:hint="default"/>
        <w:lang w:val="en-US" w:eastAsia="zh-CN" w:bidi="ar-SA"/>
      </w:rPr>
    </w:lvl>
    <w:lvl w:ilvl="6" w:tentative="0">
      <w:start w:val="0"/>
      <w:numFmt w:val="bullet"/>
      <w:lvlText w:val="•"/>
      <w:lvlJc w:val="left"/>
      <w:pPr>
        <w:ind w:left="3715" w:hanging="212"/>
      </w:pPr>
      <w:rPr>
        <w:rFonts w:hint="default"/>
        <w:lang w:val="en-US" w:eastAsia="zh-CN" w:bidi="ar-SA"/>
      </w:rPr>
    </w:lvl>
    <w:lvl w:ilvl="7" w:tentative="0">
      <w:start w:val="0"/>
      <w:numFmt w:val="bullet"/>
      <w:lvlText w:val="•"/>
      <w:lvlJc w:val="left"/>
      <w:pPr>
        <w:ind w:left="4281" w:hanging="212"/>
      </w:pPr>
      <w:rPr>
        <w:rFonts w:hint="default"/>
        <w:lang w:val="en-US" w:eastAsia="zh-CN" w:bidi="ar-SA"/>
      </w:rPr>
    </w:lvl>
    <w:lvl w:ilvl="8" w:tentative="0">
      <w:start w:val="0"/>
      <w:numFmt w:val="bullet"/>
      <w:lvlText w:val="•"/>
      <w:lvlJc w:val="left"/>
      <w:pPr>
        <w:ind w:left="4847" w:hanging="212"/>
      </w:pPr>
      <w:rPr>
        <w:rFonts w:hint="default"/>
        <w:lang w:val="en-US" w:eastAsia="zh-CN" w:bidi="ar-SA"/>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YmEzOTBiZWMxOTVkNzhkY2UyM2M3OTY2MWZjYzQifQ=="/>
    <w:docVar w:name="KSO_WPS_MARK_KEY" w:val="42746730-c1d7-405f-9cd1-0f419a992e20"/>
  </w:docVars>
  <w:rsids>
    <w:rsidRoot w:val="4E206712"/>
    <w:rsid w:val="01D63C01"/>
    <w:rsid w:val="02A118EC"/>
    <w:rsid w:val="02D2752A"/>
    <w:rsid w:val="032D29B2"/>
    <w:rsid w:val="04460CB5"/>
    <w:rsid w:val="053242B0"/>
    <w:rsid w:val="05EA2DDC"/>
    <w:rsid w:val="08844E22"/>
    <w:rsid w:val="09C3197A"/>
    <w:rsid w:val="0A4A4D6A"/>
    <w:rsid w:val="0AF049F1"/>
    <w:rsid w:val="0B01445B"/>
    <w:rsid w:val="0B10295D"/>
    <w:rsid w:val="0C5B40EC"/>
    <w:rsid w:val="0C6017AC"/>
    <w:rsid w:val="0CA710DF"/>
    <w:rsid w:val="0D5D6093"/>
    <w:rsid w:val="0E0D7668"/>
    <w:rsid w:val="0E914C10"/>
    <w:rsid w:val="101E65E5"/>
    <w:rsid w:val="113B1370"/>
    <w:rsid w:val="11E46932"/>
    <w:rsid w:val="14681327"/>
    <w:rsid w:val="16AE7A12"/>
    <w:rsid w:val="17773DA4"/>
    <w:rsid w:val="17B4314C"/>
    <w:rsid w:val="18795D58"/>
    <w:rsid w:val="198C6648"/>
    <w:rsid w:val="19E52AA1"/>
    <w:rsid w:val="1A5D1977"/>
    <w:rsid w:val="1AA93651"/>
    <w:rsid w:val="1C25283A"/>
    <w:rsid w:val="1C9B0535"/>
    <w:rsid w:val="1D623D91"/>
    <w:rsid w:val="1F536EA5"/>
    <w:rsid w:val="20A35C0A"/>
    <w:rsid w:val="21442F49"/>
    <w:rsid w:val="24977834"/>
    <w:rsid w:val="272E26D1"/>
    <w:rsid w:val="288307FB"/>
    <w:rsid w:val="28D42E04"/>
    <w:rsid w:val="29FC6AB7"/>
    <w:rsid w:val="2A021C0A"/>
    <w:rsid w:val="2A1A6F3D"/>
    <w:rsid w:val="2A376699"/>
    <w:rsid w:val="2ACE536A"/>
    <w:rsid w:val="2B065713"/>
    <w:rsid w:val="2E2565FF"/>
    <w:rsid w:val="2E9922F0"/>
    <w:rsid w:val="30913CD1"/>
    <w:rsid w:val="3138414C"/>
    <w:rsid w:val="319F5F79"/>
    <w:rsid w:val="31F43D52"/>
    <w:rsid w:val="320329AC"/>
    <w:rsid w:val="33AD497E"/>
    <w:rsid w:val="33D740F0"/>
    <w:rsid w:val="34043AD5"/>
    <w:rsid w:val="3422536C"/>
    <w:rsid w:val="35101668"/>
    <w:rsid w:val="35932433"/>
    <w:rsid w:val="35DC154A"/>
    <w:rsid w:val="36356C97"/>
    <w:rsid w:val="3C362D74"/>
    <w:rsid w:val="3CA1529C"/>
    <w:rsid w:val="3D962926"/>
    <w:rsid w:val="3DF94651"/>
    <w:rsid w:val="3E6678A1"/>
    <w:rsid w:val="3E8912B2"/>
    <w:rsid w:val="3FFC4F9B"/>
    <w:rsid w:val="40BA692C"/>
    <w:rsid w:val="41166258"/>
    <w:rsid w:val="41941A91"/>
    <w:rsid w:val="41B1600A"/>
    <w:rsid w:val="431515CC"/>
    <w:rsid w:val="445D419E"/>
    <w:rsid w:val="457800AC"/>
    <w:rsid w:val="462A00B0"/>
    <w:rsid w:val="466405CE"/>
    <w:rsid w:val="47292039"/>
    <w:rsid w:val="485B27A2"/>
    <w:rsid w:val="4BA15B30"/>
    <w:rsid w:val="4BBC75D5"/>
    <w:rsid w:val="4CBB4158"/>
    <w:rsid w:val="4E206712"/>
    <w:rsid w:val="4E4B32B9"/>
    <w:rsid w:val="4E6631BA"/>
    <w:rsid w:val="4EC07803"/>
    <w:rsid w:val="4F532DAD"/>
    <w:rsid w:val="4F806F93"/>
    <w:rsid w:val="50485D02"/>
    <w:rsid w:val="50A05B3E"/>
    <w:rsid w:val="50D457E8"/>
    <w:rsid w:val="53681BDD"/>
    <w:rsid w:val="5479292E"/>
    <w:rsid w:val="553E5926"/>
    <w:rsid w:val="55AF26BC"/>
    <w:rsid w:val="55BA1450"/>
    <w:rsid w:val="5616545C"/>
    <w:rsid w:val="56DC53F6"/>
    <w:rsid w:val="571E5A0F"/>
    <w:rsid w:val="5827444F"/>
    <w:rsid w:val="58655F64"/>
    <w:rsid w:val="59725B9E"/>
    <w:rsid w:val="5A386DE8"/>
    <w:rsid w:val="5B136F0D"/>
    <w:rsid w:val="5B8F47E5"/>
    <w:rsid w:val="5D995DEF"/>
    <w:rsid w:val="5DAB78D0"/>
    <w:rsid w:val="5F831CD0"/>
    <w:rsid w:val="5FAB3BB8"/>
    <w:rsid w:val="605E0C2A"/>
    <w:rsid w:val="609D1752"/>
    <w:rsid w:val="63F422FF"/>
    <w:rsid w:val="64204D90"/>
    <w:rsid w:val="64216B3E"/>
    <w:rsid w:val="6764782D"/>
    <w:rsid w:val="6880291B"/>
    <w:rsid w:val="68A8338A"/>
    <w:rsid w:val="68AF296B"/>
    <w:rsid w:val="694F3806"/>
    <w:rsid w:val="6A372C18"/>
    <w:rsid w:val="6B9B41B0"/>
    <w:rsid w:val="6C2C23C0"/>
    <w:rsid w:val="6CD30D33"/>
    <w:rsid w:val="6D2154B9"/>
    <w:rsid w:val="6E0F1600"/>
    <w:rsid w:val="6EE11C79"/>
    <w:rsid w:val="6F742218"/>
    <w:rsid w:val="70D13822"/>
    <w:rsid w:val="71B2527A"/>
    <w:rsid w:val="71F94C57"/>
    <w:rsid w:val="722B43DF"/>
    <w:rsid w:val="723E08BB"/>
    <w:rsid w:val="73E93F75"/>
    <w:rsid w:val="74086EB5"/>
    <w:rsid w:val="74626AE3"/>
    <w:rsid w:val="74F55BA9"/>
    <w:rsid w:val="76BF021D"/>
    <w:rsid w:val="76BF646F"/>
    <w:rsid w:val="78BE62B2"/>
    <w:rsid w:val="78F50FB3"/>
    <w:rsid w:val="79F77CCE"/>
    <w:rsid w:val="7A227E2A"/>
    <w:rsid w:val="7C72007E"/>
    <w:rsid w:val="7DD60C52"/>
    <w:rsid w:val="7F392B36"/>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zh-CN" w:bidi="ar-SA"/>
    </w:rPr>
  </w:style>
  <w:style w:type="paragraph" w:styleId="3">
    <w:name w:val="heading 4"/>
    <w:basedOn w:val="1"/>
    <w:next w:val="1"/>
    <w:unhideWhenUsed/>
    <w:qFormat/>
    <w:uiPriority w:val="9"/>
    <w:pPr>
      <w:spacing w:before="43"/>
      <w:ind w:right="10"/>
      <w:jc w:val="center"/>
      <w:outlineLvl w:val="3"/>
    </w:pPr>
    <w:rPr>
      <w:sz w:val="30"/>
      <w:szCs w:val="30"/>
    </w:rPr>
  </w:style>
  <w:style w:type="paragraph" w:styleId="4">
    <w:name w:val="heading 7"/>
    <w:basedOn w:val="1"/>
    <w:next w:val="1"/>
    <w:qFormat/>
    <w:uiPriority w:val="1"/>
    <w:pPr>
      <w:jc w:val="center"/>
      <w:outlineLvl w:val="6"/>
    </w:pPr>
    <w:rPr>
      <w:sz w:val="28"/>
      <w:szCs w:val="28"/>
    </w:rPr>
  </w:style>
  <w:style w:type="paragraph" w:styleId="5">
    <w:name w:val="heading 8"/>
    <w:basedOn w:val="1"/>
    <w:next w:val="1"/>
    <w:qFormat/>
    <w:uiPriority w:val="1"/>
    <w:pPr>
      <w:spacing w:before="1"/>
      <w:ind w:left="440"/>
      <w:outlineLvl w:val="7"/>
    </w:pPr>
    <w:rPr>
      <w:sz w:val="24"/>
      <w:szCs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 w:type="paragraph" w:styleId="6">
    <w:name w:val="Body Text Indent"/>
    <w:basedOn w:val="1"/>
    <w:qFormat/>
    <w:uiPriority w:val="0"/>
    <w:pPr>
      <w:ind w:firstLine="648"/>
    </w:pPr>
    <w:rPr>
      <w:sz w:val="32"/>
      <w:szCs w:val="20"/>
    </w:rPr>
  </w:style>
  <w:style w:type="paragraph" w:styleId="7">
    <w:name w:val="header"/>
    <w:basedOn w:val="1"/>
    <w:next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6"/>
    <w:next w:val="1"/>
    <w:qFormat/>
    <w:uiPriority w:val="0"/>
    <w:pPr>
      <w:ind w:firstLine="420" w:firstLineChars="200"/>
    </w:p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style>
  <w:style w:type="paragraph" w:styleId="13">
    <w:name w:val="List Paragraph"/>
    <w:basedOn w:val="1"/>
    <w:qFormat/>
    <w:uiPriority w:val="1"/>
    <w:pPr>
      <w:ind w:left="220" w:firstLine="420"/>
    </w:pPr>
  </w:style>
  <w:style w:type="table" w:customStyle="1" w:styleId="14">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15">
    <w:name w:val="Heading 8"/>
    <w:basedOn w:val="1"/>
    <w:qFormat/>
    <w:uiPriority w:val="1"/>
    <w:pPr>
      <w:outlineLvl w:val="8"/>
    </w:pPr>
    <w:rPr>
      <w:sz w:val="28"/>
      <w:szCs w:val="28"/>
    </w:rPr>
  </w:style>
  <w:style w:type="paragraph" w:customStyle="1" w:styleId="16">
    <w:name w:val="Heading 9"/>
    <w:basedOn w:val="1"/>
    <w:qFormat/>
    <w:uiPriority w:val="1"/>
    <w:pPr>
      <w:ind w:left="239"/>
    </w:pPr>
    <w:rPr>
      <w:sz w:val="24"/>
      <w:szCs w:val="24"/>
    </w:rPr>
  </w:style>
  <w:style w:type="paragraph" w:customStyle="1" w:styleId="17">
    <w:name w:val="Normal_0"/>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12897</Words>
  <Characters>13701</Characters>
  <Lines>0</Lines>
  <Paragraphs>0</Paragraphs>
  <TotalTime>11</TotalTime>
  <ScaleCrop>false</ScaleCrop>
  <LinksUpToDate>false</LinksUpToDate>
  <CharactersWithSpaces>13876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2023-03-15T09:49:00Z</dcterms:created>
  <dc:creator>Administrator</dc:creator>
  <cp:lastModifiedBy>淡然</cp:lastModifiedBy>
  <dcterms:modified xsi:type="dcterms:W3CDTF">2023-11-22T09:33:37Z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251F2AFEB4AA44FFB6986C307B2D340A_13</vt:lpwstr>
  </property>
</Properties>
</file>