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ind w:firstLine="721" w:firstLineChars="200"/>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公文小标宋" w:hAnsi="方正公文小标宋" w:eastAsia="方正公文小标宋" w:cs="方正公文小标宋"/>
          <w:b/>
          <w:bCs/>
          <w:color w:val="auto"/>
          <w:sz w:val="36"/>
          <w:szCs w:val="36"/>
          <w:highlight w:val="none"/>
          <w:lang w:val="en-US" w:eastAsia="zh-CN"/>
        </w:rPr>
        <w:t>宁夏公路管理中心银川分中心公路安全生命防护提升工程施工关键内容</w:t>
      </w:r>
    </w:p>
    <w:p>
      <w:pPr>
        <w:widowControl/>
        <w:spacing w:line="360" w:lineRule="auto"/>
        <w:ind w:left="285"/>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rPr>
        <w:t>一、</w:t>
      </w:r>
      <w:r>
        <w:rPr>
          <w:rFonts w:hint="eastAsia" w:ascii="方正仿宋_GB2312" w:hAnsi="方正仿宋_GB2312" w:eastAsia="方正仿宋_GB2312" w:cs="方正仿宋_GB2312"/>
          <w:b/>
          <w:bCs/>
          <w:color w:val="auto"/>
          <w:sz w:val="28"/>
          <w:szCs w:val="28"/>
          <w:highlight w:val="none"/>
          <w:lang w:val="en-US" w:eastAsia="zh-CN"/>
        </w:rPr>
        <w:t>项目概况</w:t>
      </w:r>
    </w:p>
    <w:p>
      <w:pPr>
        <w:bidi w:val="0"/>
        <w:spacing w:line="360" w:lineRule="auto"/>
        <w:ind w:firstLine="560" w:firstLineChars="200"/>
        <w:jc w:val="both"/>
        <w:rPr>
          <w:rFonts w:hint="eastAsia" w:ascii="方正仿宋_GB2312" w:hAnsi="方正仿宋_GB2312" w:eastAsia="方正仿宋_GB2312" w:cs="方正仿宋_GB2312"/>
          <w:color w:val="auto"/>
          <w:kern w:val="0"/>
          <w:sz w:val="28"/>
          <w:szCs w:val="28"/>
          <w:highlight w:val="none"/>
          <w:lang w:val="en-US" w:eastAsia="zh-CN" w:bidi="ar"/>
        </w:rPr>
      </w:pPr>
      <w:r>
        <w:rPr>
          <w:rFonts w:hint="eastAsia" w:ascii="方正仿宋_GB2312" w:hAnsi="方正仿宋_GB2312" w:eastAsia="方正仿宋_GB2312" w:cs="方正仿宋_GB2312"/>
          <w:color w:val="auto"/>
          <w:kern w:val="0"/>
          <w:sz w:val="28"/>
          <w:szCs w:val="28"/>
          <w:highlight w:val="none"/>
          <w:lang w:val="en-US" w:eastAsia="zh-CN" w:bidi="ar"/>
        </w:rPr>
        <w:t>本项目起点位于银川南绕城高速桥附近，终点位于S103线与永黄路平交口，全长16.649km，为沥青混凝土路面，公路等级为双向四车道一级公路，设计速度60km/h，本次设计铣刨重铺4cmAC-13C细粒式SBS改性沥青混凝土上面层+6cmAC-20C粗粒</w:t>
      </w:r>
      <w:bookmarkStart w:id="6" w:name="_GoBack"/>
      <w:bookmarkEnd w:id="6"/>
      <w:r>
        <w:rPr>
          <w:rFonts w:hint="eastAsia" w:ascii="方正仿宋_GB2312" w:hAnsi="方正仿宋_GB2312" w:eastAsia="方正仿宋_GB2312" w:cs="方正仿宋_GB2312"/>
          <w:color w:val="auto"/>
          <w:kern w:val="0"/>
          <w:sz w:val="28"/>
          <w:szCs w:val="28"/>
          <w:highlight w:val="none"/>
          <w:lang w:val="en-US" w:eastAsia="zh-CN" w:bidi="ar"/>
        </w:rPr>
        <w:t>式改性厂拌热再生下面层，在中央分带增设波形梁护栏，并同步完善其他交安设施。</w:t>
      </w:r>
    </w:p>
    <w:p>
      <w:pPr>
        <w:widowControl/>
        <w:spacing w:line="360" w:lineRule="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 xml:space="preserve">二、对投标人的全部资格条件要求 </w:t>
      </w:r>
    </w:p>
    <w:p>
      <w:pPr>
        <w:autoSpaceDE/>
        <w:autoSpaceDN/>
        <w:spacing w:line="360" w:lineRule="auto"/>
        <w:ind w:firstLine="560" w:firstLineChars="200"/>
        <w:jc w:val="left"/>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详见招标公告。 </w:t>
      </w:r>
    </w:p>
    <w:p>
      <w:pPr>
        <w:widowControl/>
        <w:numPr>
          <w:ilvl w:val="0"/>
          <w:numId w:val="1"/>
        </w:numPr>
        <w:spacing w:line="360" w:lineRule="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招标人联系方式</w:t>
      </w:r>
    </w:p>
    <w:p>
      <w:pPr>
        <w:pStyle w:val="9"/>
        <w:spacing w:line="360" w:lineRule="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招 标 人：宁夏公路管理中心银川分中心</w:t>
      </w:r>
    </w:p>
    <w:p>
      <w:pPr>
        <w:spacing w:line="360" w:lineRule="auto"/>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    址：银川市兴庆区青银高速公路银川东收费站北侧大楼</w:t>
      </w:r>
    </w:p>
    <w:p>
      <w:pPr>
        <w:pStyle w:val="9"/>
        <w:spacing w:line="360" w:lineRule="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邮政编码：751300</w:t>
      </w:r>
    </w:p>
    <w:p>
      <w:pPr>
        <w:spacing w:line="360" w:lineRule="auto"/>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联 系 人：</w:t>
      </w:r>
      <w:r>
        <w:rPr>
          <w:rFonts w:hint="eastAsia" w:ascii="方正仿宋_GB2312" w:hAnsi="方正仿宋_GB2312" w:eastAsia="方正仿宋_GB2312" w:cs="方正仿宋_GB2312"/>
          <w:color w:val="auto"/>
          <w:sz w:val="28"/>
          <w:szCs w:val="28"/>
          <w:highlight w:val="none"/>
          <w:lang w:val="en-US" w:eastAsia="zh-CN"/>
        </w:rPr>
        <w:t>米</w:t>
      </w:r>
      <w:r>
        <w:rPr>
          <w:rFonts w:hint="eastAsia" w:ascii="方正仿宋_GB2312" w:hAnsi="方正仿宋_GB2312" w:eastAsia="方正仿宋_GB2312" w:cs="方正仿宋_GB2312"/>
          <w:color w:val="auto"/>
          <w:sz w:val="28"/>
          <w:szCs w:val="28"/>
          <w:highlight w:val="none"/>
        </w:rPr>
        <w:t>先生</w:t>
      </w:r>
    </w:p>
    <w:p>
      <w:pPr>
        <w:pStyle w:val="9"/>
        <w:spacing w:line="360" w:lineRule="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电    话：0951-6153780</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传    真：/</w:t>
      </w:r>
    </w:p>
    <w:p>
      <w:pPr>
        <w:keepNext w:val="0"/>
        <w:keepLines w:val="0"/>
        <w:widowControl/>
        <w:suppressLineNumbers w:val="0"/>
        <w:spacing w:line="360" w:lineRule="auto"/>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kern w:val="0"/>
          <w:sz w:val="28"/>
          <w:szCs w:val="28"/>
          <w:highlight w:val="none"/>
          <w:lang w:val="en-US" w:eastAsia="zh-CN" w:bidi="ar"/>
        </w:rPr>
        <w:t>四、资格审查办法</w:t>
      </w:r>
    </w:p>
    <w:p>
      <w:pPr>
        <w:pStyle w:val="4"/>
        <w:tabs>
          <w:tab w:val="left" w:pos="1276"/>
        </w:tabs>
        <w:rPr>
          <w:rFonts w:hint="eastAsia" w:ascii="方正仿宋_GB2312" w:hAnsi="方正仿宋_GB2312" w:eastAsia="方正仿宋_GB2312" w:cs="方正仿宋_GB2312"/>
          <w:b/>
          <w:bCs/>
          <w:color w:val="auto"/>
          <w:highlight w:val="none"/>
        </w:rPr>
      </w:pPr>
      <w:r>
        <w:rPr>
          <w:rFonts w:hint="eastAsia" w:ascii="方正仿宋_GB2312" w:hAnsi="方正仿宋_GB2312" w:eastAsia="方正仿宋_GB2312" w:cs="方正仿宋_GB2312"/>
          <w:b/>
          <w:bCs/>
          <w:color w:val="auto"/>
          <w:highlight w:val="none"/>
        </w:rPr>
        <w:t>附录1</w:t>
      </w:r>
      <w:r>
        <w:rPr>
          <w:rFonts w:hint="eastAsia" w:ascii="方正仿宋_GB2312" w:hAnsi="方正仿宋_GB2312" w:eastAsia="方正仿宋_GB2312" w:cs="方正仿宋_GB2312"/>
          <w:b/>
          <w:bCs/>
          <w:color w:val="auto"/>
          <w:highlight w:val="none"/>
        </w:rPr>
        <w:tab/>
      </w:r>
      <w:r>
        <w:rPr>
          <w:rFonts w:hint="eastAsia" w:ascii="方正仿宋_GB2312" w:hAnsi="方正仿宋_GB2312" w:eastAsia="方正仿宋_GB2312" w:cs="方正仿宋_GB2312"/>
          <w:b/>
          <w:bCs/>
          <w:color w:val="auto"/>
          <w:highlight w:val="none"/>
        </w:rPr>
        <w:t>资格审查条件(资质最低条件)</w:t>
      </w:r>
    </w:p>
    <w:p>
      <w:pPr>
        <w:pStyle w:val="6"/>
        <w:spacing w:before="5"/>
        <w:rPr>
          <w:rFonts w:hint="eastAsia" w:ascii="方正仿宋_GB2312" w:hAnsi="方正仿宋_GB2312" w:eastAsia="方正仿宋_GB2312" w:cs="方正仿宋_GB2312"/>
          <w:color w:val="auto"/>
          <w:sz w:val="15"/>
          <w:highlight w:val="none"/>
        </w:rPr>
      </w:pP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37"/>
        <w:gridCol w:w="81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3" w:hRule="atLeast"/>
          <w:jc w:val="center"/>
        </w:trPr>
        <w:tc>
          <w:tcPr>
            <w:tcW w:w="1137" w:type="dxa"/>
            <w:tcBorders>
              <w:bottom w:val="single" w:color="000000" w:sz="6" w:space="0"/>
              <w:right w:val="single" w:color="000000" w:sz="6" w:space="0"/>
            </w:tcBorders>
            <w:noWrap w:val="0"/>
            <w:vAlign w:val="top"/>
          </w:tcPr>
          <w:p>
            <w:pPr>
              <w:pStyle w:val="14"/>
              <w:spacing w:before="117"/>
              <w:ind w:left="356"/>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组别</w:t>
            </w:r>
          </w:p>
        </w:tc>
        <w:tc>
          <w:tcPr>
            <w:tcW w:w="8156" w:type="dxa"/>
            <w:tcBorders>
              <w:left w:val="single" w:color="000000" w:sz="6" w:space="0"/>
              <w:bottom w:val="single" w:color="000000" w:sz="6" w:space="0"/>
            </w:tcBorders>
            <w:noWrap w:val="0"/>
            <w:vAlign w:val="top"/>
          </w:tcPr>
          <w:p>
            <w:pPr>
              <w:pStyle w:val="14"/>
              <w:spacing w:before="117"/>
              <w:ind w:left="3014" w:right="2979"/>
              <w:jc w:val="center"/>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施工企业资质等级要求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1" w:hRule="atLeast"/>
          <w:jc w:val="center"/>
        </w:trPr>
        <w:tc>
          <w:tcPr>
            <w:tcW w:w="1137" w:type="dxa"/>
            <w:tcBorders>
              <w:top w:val="single" w:color="000000" w:sz="6" w:space="0"/>
              <w:bottom w:val="single" w:color="000000" w:sz="6" w:space="0"/>
              <w:right w:val="single" w:color="000000" w:sz="6" w:space="0"/>
            </w:tcBorders>
            <w:noWrap w:val="0"/>
            <w:vAlign w:val="top"/>
          </w:tcPr>
          <w:p>
            <w:pPr>
              <w:pStyle w:val="14"/>
              <w:tabs>
                <w:tab w:val="left" w:pos="1054"/>
              </w:tabs>
              <w:spacing w:before="139" w:line="364" w:lineRule="auto"/>
              <w:ind w:right="77"/>
              <w:jc w:val="both"/>
              <w:rPr>
                <w:rFonts w:hint="eastAsia" w:ascii="方正仿宋_GB2312" w:hAnsi="方正仿宋_GB2312" w:eastAsia="方正仿宋_GB2312" w:cs="方正仿宋_GB2312"/>
                <w:color w:val="auto"/>
                <w:sz w:val="21"/>
                <w:szCs w:val="22"/>
                <w:highlight w:val="none"/>
                <w:lang w:val="en-US" w:eastAsia="zh-CN" w:bidi="ar-SA"/>
              </w:rPr>
            </w:pPr>
          </w:p>
          <w:p>
            <w:pPr>
              <w:pStyle w:val="14"/>
              <w:tabs>
                <w:tab w:val="left" w:pos="1054"/>
              </w:tabs>
              <w:spacing w:before="139" w:line="364" w:lineRule="auto"/>
              <w:ind w:right="77"/>
              <w:jc w:val="both"/>
              <w:rPr>
                <w:rFonts w:hint="eastAsia" w:ascii="方正仿宋_GB2312" w:hAnsi="方正仿宋_GB2312" w:eastAsia="方正仿宋_GB2312" w:cs="方正仿宋_GB2312"/>
                <w:color w:val="auto"/>
                <w:sz w:val="21"/>
                <w:szCs w:val="22"/>
                <w:highlight w:val="none"/>
                <w:lang w:val="en-US" w:eastAsia="zh-CN" w:bidi="ar-SA"/>
              </w:rPr>
            </w:pPr>
          </w:p>
          <w:p>
            <w:pPr>
              <w:pStyle w:val="14"/>
              <w:tabs>
                <w:tab w:val="left" w:pos="1054"/>
              </w:tabs>
              <w:spacing w:before="139" w:line="364" w:lineRule="auto"/>
              <w:ind w:right="77"/>
              <w:jc w:val="center"/>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A 组一标段、A 组二标段</w:t>
            </w:r>
          </w:p>
        </w:tc>
        <w:tc>
          <w:tcPr>
            <w:tcW w:w="8156" w:type="dxa"/>
            <w:tcBorders>
              <w:top w:val="single" w:color="000000" w:sz="6" w:space="0"/>
              <w:left w:val="single" w:color="000000" w:sz="6" w:space="0"/>
              <w:bottom w:val="single" w:color="000000" w:sz="6" w:space="0"/>
            </w:tcBorders>
            <w:noWrap w:val="0"/>
            <w:vAlign w:val="top"/>
          </w:tcPr>
          <w:p>
            <w:pPr>
              <w:pStyle w:val="14"/>
              <w:tabs>
                <w:tab w:val="left" w:pos="1054"/>
              </w:tabs>
              <w:spacing w:before="139" w:line="364" w:lineRule="auto"/>
              <w:ind w:right="77"/>
              <w:jc w:val="both"/>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1.投标人具有法人或其他组织资格；持有工商行政管理部门核发的有效企业营业执照或事业单位法人证书或社会团体法人登记证书；</w:t>
            </w:r>
          </w:p>
          <w:p>
            <w:pPr>
              <w:pStyle w:val="14"/>
              <w:tabs>
                <w:tab w:val="left" w:pos="1054"/>
              </w:tabs>
              <w:spacing w:before="139" w:line="364" w:lineRule="auto"/>
              <w:ind w:right="77"/>
              <w:jc w:val="both"/>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2.具备交通运输主管部门颁发的路基路面养护甲级资质，且同时具备交通安全设施养护资质证书（资质证书中从业范围应为可以承担各等级公路交通安全设施的各类养护工程），或具备公路养护工程二类甲级资质证书，以上资质证书须在有效期内，具备建设主管部门颁发的有效安全生产许可证，并在人员、设备、资金等方面具有相应的施工能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1" w:hRule="atLeast"/>
          <w:jc w:val="center"/>
        </w:trPr>
        <w:tc>
          <w:tcPr>
            <w:tcW w:w="9293" w:type="dxa"/>
            <w:gridSpan w:val="2"/>
            <w:tcBorders>
              <w:top w:val="single" w:color="000000" w:sz="6" w:space="0"/>
            </w:tcBorders>
            <w:noWrap w:val="0"/>
            <w:vAlign w:val="top"/>
          </w:tcPr>
          <w:p>
            <w:pPr>
              <w:pStyle w:val="14"/>
              <w:spacing w:before="1"/>
              <w:jc w:val="both"/>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注：修改补充投标人须知正文第 3.5.1 项：</w:t>
            </w:r>
          </w:p>
          <w:p>
            <w:pPr>
              <w:pStyle w:val="14"/>
              <w:tabs>
                <w:tab w:val="left" w:pos="1054"/>
              </w:tabs>
              <w:spacing w:before="139" w:line="364" w:lineRule="auto"/>
              <w:ind w:right="77"/>
              <w:jc w:val="both"/>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1）“投标人基本情况表”应附有效企业营业执照副本或事业单位法人证书或社会团体法人登记证书、施工资质证书副本、安全生产许可证副本、基本账户开户银行提供的开户或账户信息证明彩色扫描件，投标人在交通运输部“全国公路建设市场信用信息管理系统”公路工程施工资质企业名录中的网页截图。</w:t>
            </w:r>
          </w:p>
          <w:p>
            <w:pPr>
              <w:pStyle w:val="14"/>
              <w:tabs>
                <w:tab w:val="left" w:pos="1062"/>
              </w:tabs>
              <w:spacing w:before="3" w:line="364" w:lineRule="auto"/>
              <w:ind w:right="77"/>
              <w:jc w:val="both"/>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2）营业执照副本或事业单位法人证书或社会团体法人登记证书、施工资质证书副本、安全生产许可证副本、基本账户开户银行提供的开户或账户信息证明的彩色扫描件应提供全本（证书封面、封底、空白页除外），应包括投标人名称、投标人其他相关信息、颁发机构名称、投标人信息变更情况等关键页在内。</w:t>
            </w:r>
          </w:p>
          <w:p>
            <w:pPr>
              <w:pStyle w:val="14"/>
              <w:tabs>
                <w:tab w:val="left" w:pos="1062"/>
              </w:tabs>
              <w:spacing w:before="1" w:line="367" w:lineRule="auto"/>
              <w:ind w:right="79"/>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（3）对于法人发生重组或变更的投标人，应在投标文件中提供附有法人重组或变更时相关部门的合法批件、变更时的企业营业执照和资质证书的变更记录彩色扫描件。</w:t>
            </w:r>
          </w:p>
          <w:p>
            <w:pPr>
              <w:pStyle w:val="6"/>
              <w:spacing w:line="364" w:lineRule="auto"/>
              <w:ind w:right="92"/>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彩色扫描件。</w:t>
            </w:r>
          </w:p>
          <w:p>
            <w:pPr>
              <w:pStyle w:val="6"/>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（5）招标文件中其他地方与此处不一致时，以此处为准。</w:t>
            </w:r>
          </w:p>
          <w:p>
            <w:pPr>
              <w:pStyle w:val="14"/>
              <w:tabs>
                <w:tab w:val="left" w:pos="1062"/>
              </w:tabs>
              <w:spacing w:line="267" w:lineRule="exact"/>
              <w:ind w:firstLine="597" w:firstLineChars="300"/>
              <w:rPr>
                <w:rFonts w:hint="eastAsia" w:ascii="方正仿宋_GB2312" w:hAnsi="方正仿宋_GB2312" w:eastAsia="方正仿宋_GB2312" w:cs="方正仿宋_GB2312"/>
                <w:color w:val="auto"/>
                <w:w w:val="95"/>
                <w:sz w:val="21"/>
                <w:highlight w:val="none"/>
              </w:rPr>
            </w:pPr>
          </w:p>
        </w:tc>
      </w:tr>
    </w:tbl>
    <w:p>
      <w:pPr>
        <w:pStyle w:val="4"/>
        <w:tabs>
          <w:tab w:val="left" w:pos="1684"/>
        </w:tabs>
        <w:ind w:right="0"/>
        <w:jc w:val="center"/>
        <w:rPr>
          <w:rFonts w:hint="eastAsia" w:ascii="方正仿宋_GB2312" w:hAnsi="方正仿宋_GB2312" w:eastAsia="方正仿宋_GB2312" w:cs="方正仿宋_GB2312"/>
          <w:b/>
          <w:bCs/>
          <w:color w:val="auto"/>
          <w:highlight w:val="none"/>
        </w:rPr>
      </w:pPr>
      <w:bookmarkStart w:id="0" w:name="附录3___资格审查条件(业绩最低要求)"/>
      <w:bookmarkEnd w:id="0"/>
      <w:bookmarkStart w:id="1" w:name="附录2___资格审查条件(财务最低要求)"/>
      <w:bookmarkEnd w:id="1"/>
      <w:r>
        <w:rPr>
          <w:rFonts w:hint="eastAsia" w:ascii="方正仿宋_GB2312" w:hAnsi="方正仿宋_GB2312" w:eastAsia="方正仿宋_GB2312" w:cs="方正仿宋_GB2312"/>
          <w:b/>
          <w:bCs/>
          <w:color w:val="auto"/>
          <w:highlight w:val="none"/>
        </w:rPr>
        <w:t>附录2</w:t>
      </w:r>
      <w:r>
        <w:rPr>
          <w:rFonts w:hint="eastAsia" w:ascii="方正仿宋_GB2312" w:hAnsi="方正仿宋_GB2312" w:eastAsia="方正仿宋_GB2312" w:cs="方正仿宋_GB2312"/>
          <w:b/>
          <w:bCs/>
          <w:color w:val="auto"/>
          <w:highlight w:val="none"/>
        </w:rPr>
        <w:tab/>
      </w:r>
      <w:r>
        <w:rPr>
          <w:rFonts w:hint="eastAsia" w:ascii="方正仿宋_GB2312" w:hAnsi="方正仿宋_GB2312" w:eastAsia="方正仿宋_GB2312" w:cs="方正仿宋_GB2312"/>
          <w:b/>
          <w:bCs/>
          <w:color w:val="auto"/>
          <w:highlight w:val="none"/>
        </w:rPr>
        <w:t>资格审查条件(财务最低要求)</w:t>
      </w:r>
    </w:p>
    <w:p>
      <w:pPr>
        <w:pStyle w:val="6"/>
        <w:spacing w:before="5"/>
        <w:rPr>
          <w:rFonts w:hint="eastAsia" w:ascii="方正仿宋_GB2312" w:hAnsi="方正仿宋_GB2312" w:eastAsia="方正仿宋_GB2312" w:cs="方正仿宋_GB2312"/>
          <w:b/>
          <w:bCs/>
          <w:color w:val="auto"/>
          <w:sz w:val="15"/>
          <w:highlight w:val="none"/>
        </w:rPr>
      </w:pP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42"/>
        <w:gridCol w:w="77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6" w:hRule="atLeast"/>
          <w:jc w:val="center"/>
        </w:trPr>
        <w:tc>
          <w:tcPr>
            <w:tcW w:w="1542" w:type="dxa"/>
            <w:tcBorders>
              <w:bottom w:val="single" w:color="000000" w:sz="6" w:space="0"/>
              <w:right w:val="single" w:color="000000" w:sz="6" w:space="0"/>
            </w:tcBorders>
            <w:noWrap w:val="0"/>
            <w:vAlign w:val="top"/>
          </w:tcPr>
          <w:p>
            <w:pPr>
              <w:pStyle w:val="14"/>
              <w:spacing w:before="7"/>
              <w:rPr>
                <w:rFonts w:hint="eastAsia" w:ascii="方正仿宋_GB2312" w:hAnsi="方正仿宋_GB2312" w:eastAsia="方正仿宋_GB2312" w:cs="方正仿宋_GB2312"/>
                <w:color w:val="auto"/>
                <w:sz w:val="17"/>
                <w:highlight w:val="none"/>
              </w:rPr>
            </w:pPr>
          </w:p>
          <w:p>
            <w:pPr>
              <w:pStyle w:val="14"/>
              <w:ind w:left="560"/>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组别</w:t>
            </w:r>
          </w:p>
        </w:tc>
        <w:tc>
          <w:tcPr>
            <w:tcW w:w="7776" w:type="dxa"/>
            <w:tcBorders>
              <w:left w:val="single" w:color="000000" w:sz="6" w:space="0"/>
              <w:bottom w:val="single" w:color="000000" w:sz="6" w:space="0"/>
            </w:tcBorders>
            <w:noWrap w:val="0"/>
            <w:vAlign w:val="top"/>
          </w:tcPr>
          <w:p>
            <w:pPr>
              <w:pStyle w:val="14"/>
              <w:spacing w:before="7"/>
              <w:rPr>
                <w:rFonts w:hint="eastAsia" w:ascii="方正仿宋_GB2312" w:hAnsi="方正仿宋_GB2312" w:eastAsia="方正仿宋_GB2312" w:cs="方正仿宋_GB2312"/>
                <w:color w:val="auto"/>
                <w:sz w:val="17"/>
                <w:highlight w:val="none"/>
              </w:rPr>
            </w:pPr>
          </w:p>
          <w:p>
            <w:pPr>
              <w:pStyle w:val="14"/>
              <w:ind w:left="3300" w:right="3265"/>
              <w:jc w:val="center"/>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pacing w:val="-1"/>
                <w:sz w:val="21"/>
                <w:highlight w:val="none"/>
              </w:rPr>
              <w:t>财 务 要 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9" w:hRule="atLeast"/>
          <w:jc w:val="center"/>
        </w:trPr>
        <w:tc>
          <w:tcPr>
            <w:tcW w:w="1542" w:type="dxa"/>
            <w:tcBorders>
              <w:top w:val="single" w:color="000000" w:sz="6" w:space="0"/>
              <w:bottom w:val="single" w:color="000000" w:sz="6" w:space="0"/>
              <w:right w:val="single" w:color="000000" w:sz="6" w:space="0"/>
            </w:tcBorders>
            <w:noWrap w:val="0"/>
            <w:vAlign w:val="top"/>
          </w:tcPr>
          <w:p>
            <w:pPr>
              <w:pStyle w:val="14"/>
              <w:rPr>
                <w:rFonts w:hint="eastAsia" w:ascii="方正仿宋_GB2312" w:hAnsi="方正仿宋_GB2312" w:eastAsia="方正仿宋_GB2312" w:cs="方正仿宋_GB2312"/>
                <w:color w:val="auto"/>
                <w:sz w:val="20"/>
                <w:highlight w:val="none"/>
              </w:rPr>
            </w:pPr>
          </w:p>
          <w:p>
            <w:pPr>
              <w:pStyle w:val="14"/>
              <w:spacing w:before="154"/>
              <w:ind w:firstLine="210" w:firstLineChars="100"/>
              <w:jc w:val="center"/>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A 组一标段</w:t>
            </w:r>
          </w:p>
          <w:p>
            <w:pPr>
              <w:pStyle w:val="14"/>
              <w:spacing w:before="154"/>
              <w:ind w:firstLine="210" w:firstLineChars="100"/>
              <w:jc w:val="center"/>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szCs w:val="22"/>
                <w:highlight w:val="none"/>
                <w:lang w:val="en-US" w:eastAsia="zh-CN" w:bidi="ar-SA"/>
              </w:rPr>
              <w:t>A 组二标段</w:t>
            </w:r>
          </w:p>
        </w:tc>
        <w:tc>
          <w:tcPr>
            <w:tcW w:w="7776" w:type="dxa"/>
            <w:tcBorders>
              <w:top w:val="single" w:color="000000" w:sz="6" w:space="0"/>
              <w:left w:val="single" w:color="000000" w:sz="6" w:space="0"/>
              <w:bottom w:val="single" w:color="000000" w:sz="6" w:space="0"/>
            </w:tcBorders>
            <w:noWrap w:val="0"/>
            <w:vAlign w:val="top"/>
          </w:tcPr>
          <w:p>
            <w:pPr>
              <w:pStyle w:val="14"/>
              <w:numPr>
                <w:ilvl w:val="0"/>
                <w:numId w:val="0"/>
              </w:numPr>
              <w:tabs>
                <w:tab w:val="left" w:pos="747"/>
              </w:tabs>
              <w:spacing w:before="2" w:line="364" w:lineRule="auto"/>
              <w:ind w:right="78" w:rightChars="0"/>
              <w:rPr>
                <w:rFonts w:hint="eastAsia" w:ascii="方正仿宋_GB2312" w:hAnsi="方正仿宋_GB2312" w:eastAsia="方正仿宋_GB2312" w:cs="方正仿宋_GB2312"/>
                <w:color w:val="auto"/>
                <w:spacing w:val="-7"/>
                <w:sz w:val="21"/>
                <w:highlight w:val="none"/>
              </w:rPr>
            </w:pPr>
            <w:r>
              <w:rPr>
                <w:rFonts w:hint="eastAsia" w:ascii="方正仿宋_GB2312" w:hAnsi="方正仿宋_GB2312" w:eastAsia="方正仿宋_GB2312" w:cs="方正仿宋_GB2312"/>
                <w:color w:val="auto"/>
                <w:spacing w:val="-7"/>
                <w:sz w:val="21"/>
                <w:highlight w:val="none"/>
                <w:lang w:val="en-US" w:eastAsia="zh-CN"/>
              </w:rPr>
              <w:t>1.</w:t>
            </w:r>
            <w:r>
              <w:rPr>
                <w:rFonts w:hint="eastAsia" w:ascii="方正仿宋_GB2312" w:hAnsi="方正仿宋_GB2312" w:eastAsia="方正仿宋_GB2312" w:cs="方正仿宋_GB2312"/>
                <w:color w:val="auto"/>
                <w:spacing w:val="-7"/>
                <w:sz w:val="21"/>
                <w:highlight w:val="none"/>
              </w:rPr>
              <w:t>投标人在近 3 年（2020 年、2021 年、202</w:t>
            </w:r>
            <w:r>
              <w:rPr>
                <w:rFonts w:hint="eastAsia" w:ascii="方正仿宋_GB2312" w:hAnsi="方正仿宋_GB2312" w:eastAsia="方正仿宋_GB2312" w:cs="方正仿宋_GB2312"/>
                <w:color w:val="auto"/>
                <w:spacing w:val="-7"/>
                <w:sz w:val="21"/>
                <w:highlight w:val="none"/>
                <w:lang w:val="en-US" w:eastAsia="zh-CN"/>
              </w:rPr>
              <w:t>2</w:t>
            </w:r>
            <w:r>
              <w:rPr>
                <w:rFonts w:hint="eastAsia" w:ascii="方正仿宋_GB2312" w:hAnsi="方正仿宋_GB2312" w:eastAsia="方正仿宋_GB2312" w:cs="方正仿宋_GB2312"/>
                <w:color w:val="auto"/>
                <w:spacing w:val="-7"/>
                <w:sz w:val="21"/>
                <w:highlight w:val="none"/>
              </w:rPr>
              <w:t xml:space="preserve"> 年）每一年度末的流动资产与流动负债比均不小于 1；</w:t>
            </w:r>
          </w:p>
          <w:p>
            <w:pPr>
              <w:pStyle w:val="14"/>
              <w:numPr>
                <w:ilvl w:val="0"/>
                <w:numId w:val="0"/>
              </w:numPr>
              <w:tabs>
                <w:tab w:val="left" w:pos="747"/>
              </w:tabs>
              <w:spacing w:before="2" w:line="364" w:lineRule="auto"/>
              <w:ind w:right="78" w:rightChars="0"/>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pacing w:val="-7"/>
                <w:sz w:val="21"/>
                <w:highlight w:val="none"/>
                <w:lang w:val="en-US" w:eastAsia="zh-CN"/>
              </w:rPr>
              <w:t>2.</w:t>
            </w:r>
            <w:r>
              <w:rPr>
                <w:rFonts w:hint="eastAsia" w:ascii="方正仿宋_GB2312" w:hAnsi="方正仿宋_GB2312" w:eastAsia="方正仿宋_GB2312" w:cs="方正仿宋_GB2312"/>
                <w:color w:val="auto"/>
                <w:spacing w:val="-7"/>
                <w:sz w:val="21"/>
                <w:highlight w:val="none"/>
              </w:rPr>
              <w:t>投标人提供近 3 年（2020 年、2021 年、202</w:t>
            </w:r>
            <w:r>
              <w:rPr>
                <w:rFonts w:hint="eastAsia" w:ascii="方正仿宋_GB2312" w:hAnsi="方正仿宋_GB2312" w:eastAsia="方正仿宋_GB2312" w:cs="方正仿宋_GB2312"/>
                <w:color w:val="auto"/>
                <w:spacing w:val="-7"/>
                <w:sz w:val="21"/>
                <w:highlight w:val="none"/>
                <w:lang w:val="en-US" w:eastAsia="zh-CN"/>
              </w:rPr>
              <w:t>2</w:t>
            </w:r>
            <w:r>
              <w:rPr>
                <w:rFonts w:hint="eastAsia" w:ascii="方正仿宋_GB2312" w:hAnsi="方正仿宋_GB2312" w:eastAsia="方正仿宋_GB2312" w:cs="方正仿宋_GB2312"/>
                <w:color w:val="auto"/>
                <w:spacing w:val="-7"/>
                <w:sz w:val="21"/>
                <w:highlight w:val="none"/>
              </w:rPr>
              <w:t xml:space="preserve"> 年）经审计的财务报表</w:t>
            </w:r>
            <w:r>
              <w:rPr>
                <w:rFonts w:hint="eastAsia" w:ascii="方正仿宋_GB2312" w:hAnsi="方正仿宋_GB2312" w:eastAsia="方正仿宋_GB2312" w:cs="方正仿宋_GB2312"/>
                <w:color w:val="auto"/>
                <w:w w:val="95"/>
                <w:sz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85" w:hRule="atLeast"/>
          <w:jc w:val="center"/>
        </w:trPr>
        <w:tc>
          <w:tcPr>
            <w:tcW w:w="9318" w:type="dxa"/>
            <w:gridSpan w:val="2"/>
            <w:tcBorders>
              <w:top w:val="single" w:color="000000" w:sz="6" w:space="0"/>
              <w:bottom w:val="single" w:color="000000" w:sz="4" w:space="0"/>
            </w:tcBorders>
            <w:noWrap w:val="0"/>
            <w:vAlign w:val="top"/>
          </w:tcPr>
          <w:p>
            <w:pPr>
              <w:pStyle w:val="14"/>
              <w:jc w:val="left"/>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注：</w:t>
            </w:r>
          </w:p>
          <w:p>
            <w:pPr>
              <w:pStyle w:val="14"/>
              <w:numPr>
                <w:ilvl w:val="0"/>
                <w:numId w:val="0"/>
              </w:numPr>
              <w:tabs>
                <w:tab w:val="left" w:pos="738"/>
              </w:tabs>
              <w:spacing w:before="139" w:line="367" w:lineRule="auto"/>
              <w:ind w:right="78" w:rightChars="0"/>
              <w:jc w:val="left"/>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lang w:val="en-US" w:eastAsia="zh-CN"/>
              </w:rPr>
              <w:t>1</w:t>
            </w: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rPr>
              <w:t>投标人应在投标文件中附近3年经会计师事务所或审计机构审计的财务会计报表，包括资产负债表、现金流量表、利润表和财务情况说明书的彩色扫描件。</w:t>
            </w:r>
          </w:p>
          <w:p>
            <w:pPr>
              <w:pStyle w:val="14"/>
              <w:numPr>
                <w:ilvl w:val="0"/>
                <w:numId w:val="0"/>
              </w:numPr>
              <w:tabs>
                <w:tab w:val="left" w:pos="738"/>
              </w:tabs>
              <w:spacing w:line="367" w:lineRule="auto"/>
              <w:ind w:right="78" w:rightChars="0"/>
              <w:jc w:val="left"/>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lang w:val="en-US" w:eastAsia="zh-CN"/>
              </w:rPr>
              <w:t>2</w:t>
            </w: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rPr>
              <w:t>根据投标人须知正文3.5.2要求“投标人的成立时间少于投标人须知前附表规定年份的，应提供成立以来的财务状况表”，因此投标人的成立时间少于该年份规定的可以对本项目投标，应提供成立以来的财务状况表，且投标人所提供的所有年份的财务报表均需满足：每一年度末的流动资产与流动负债比均不小于 1。</w:t>
            </w:r>
          </w:p>
          <w:p>
            <w:pPr>
              <w:pStyle w:val="14"/>
              <w:numPr>
                <w:ilvl w:val="0"/>
                <w:numId w:val="0"/>
              </w:numPr>
              <w:tabs>
                <w:tab w:val="left" w:pos="738"/>
              </w:tabs>
              <w:spacing w:line="262" w:lineRule="exact"/>
              <w:jc w:val="left"/>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lang w:val="en-US" w:eastAsia="zh-CN"/>
              </w:rPr>
              <w:t>3</w:t>
            </w: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rPr>
              <w:t>如投标人为集团公司财务会计报表，指合并财务报表。</w:t>
            </w:r>
          </w:p>
          <w:p>
            <w:pPr>
              <w:pStyle w:val="14"/>
              <w:numPr>
                <w:ilvl w:val="0"/>
                <w:numId w:val="0"/>
              </w:numPr>
              <w:tabs>
                <w:tab w:val="left" w:pos="738"/>
              </w:tabs>
              <w:spacing w:before="137"/>
              <w:jc w:val="left"/>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lang w:val="en-US" w:eastAsia="zh-CN"/>
              </w:rPr>
              <w:t>4</w:t>
            </w: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rPr>
              <w:t>招标文件中其他地方于此处不一致时，以此处为准。</w:t>
            </w:r>
          </w:p>
        </w:tc>
      </w:tr>
    </w:tbl>
    <w:p>
      <w:pPr>
        <w:pStyle w:val="4"/>
        <w:keepNext w:val="0"/>
        <w:keepLines w:val="0"/>
        <w:pageBreakBefore w:val="0"/>
        <w:widowControl w:val="0"/>
        <w:tabs>
          <w:tab w:val="left" w:pos="1276"/>
        </w:tabs>
        <w:kinsoku/>
        <w:wordWrap/>
        <w:overflowPunct/>
        <w:topLinePunct w:val="0"/>
        <w:autoSpaceDE w:val="0"/>
        <w:autoSpaceDN w:val="0"/>
        <w:bidi w:val="0"/>
        <w:adjustRightInd/>
        <w:snapToGrid/>
        <w:spacing w:line="240" w:lineRule="auto"/>
        <w:ind w:left="473" w:leftChars="215" w:right="11"/>
        <w:jc w:val="center"/>
        <w:textAlignment w:val="auto"/>
        <w:rPr>
          <w:rFonts w:hint="eastAsia" w:ascii="方正仿宋_GB2312" w:hAnsi="方正仿宋_GB2312" w:eastAsia="方正仿宋_GB2312" w:cs="方正仿宋_GB2312"/>
          <w:b/>
          <w:bCs/>
          <w:color w:val="auto"/>
          <w:highlight w:val="none"/>
        </w:rPr>
      </w:pPr>
      <w:bookmarkStart w:id="2" w:name="附录4___资格审查条件(信誉最低要求)"/>
      <w:bookmarkEnd w:id="2"/>
    </w:p>
    <w:p>
      <w:pPr>
        <w:pStyle w:val="4"/>
        <w:keepNext w:val="0"/>
        <w:keepLines w:val="0"/>
        <w:pageBreakBefore w:val="0"/>
        <w:widowControl w:val="0"/>
        <w:tabs>
          <w:tab w:val="left" w:pos="1276"/>
        </w:tabs>
        <w:kinsoku/>
        <w:wordWrap/>
        <w:overflowPunct/>
        <w:topLinePunct w:val="0"/>
        <w:autoSpaceDE w:val="0"/>
        <w:autoSpaceDN w:val="0"/>
        <w:bidi w:val="0"/>
        <w:adjustRightInd/>
        <w:snapToGrid/>
        <w:spacing w:line="480" w:lineRule="auto"/>
        <w:ind w:left="473" w:leftChars="215" w:right="11"/>
        <w:jc w:val="center"/>
        <w:textAlignment w:val="auto"/>
        <w:rPr>
          <w:rFonts w:hint="eastAsia" w:ascii="方正仿宋_GB2312" w:hAnsi="方正仿宋_GB2312" w:eastAsia="方正仿宋_GB2312" w:cs="方正仿宋_GB2312"/>
          <w:b/>
          <w:bCs/>
          <w:color w:val="auto"/>
          <w:highlight w:val="none"/>
        </w:rPr>
      </w:pPr>
      <w:r>
        <w:rPr>
          <w:rFonts w:hint="eastAsia" w:ascii="方正仿宋_GB2312" w:hAnsi="方正仿宋_GB2312" w:eastAsia="方正仿宋_GB2312" w:cs="方正仿宋_GB2312"/>
          <w:b/>
          <w:bCs/>
          <w:color w:val="auto"/>
          <w:highlight w:val="none"/>
        </w:rPr>
        <w:t>附录3</w:t>
      </w:r>
      <w:r>
        <w:rPr>
          <w:rFonts w:hint="eastAsia" w:ascii="方正仿宋_GB2312" w:hAnsi="方正仿宋_GB2312" w:eastAsia="方正仿宋_GB2312" w:cs="方正仿宋_GB2312"/>
          <w:b/>
          <w:bCs/>
          <w:color w:val="auto"/>
          <w:highlight w:val="none"/>
        </w:rPr>
        <w:tab/>
      </w:r>
      <w:r>
        <w:rPr>
          <w:rFonts w:hint="eastAsia" w:ascii="方正仿宋_GB2312" w:hAnsi="方正仿宋_GB2312" w:eastAsia="方正仿宋_GB2312" w:cs="方正仿宋_GB2312"/>
          <w:b/>
          <w:bCs/>
          <w:color w:val="auto"/>
          <w:highlight w:val="none"/>
        </w:rPr>
        <w:t>资格审查条件(业绩最低要求)</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25"/>
        <w:gridCol w:w="803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jc w:val="center"/>
        </w:trPr>
        <w:tc>
          <w:tcPr>
            <w:tcW w:w="1425" w:type="dxa"/>
            <w:tcBorders>
              <w:bottom w:val="single" w:color="000000" w:sz="6" w:space="0"/>
              <w:right w:val="single" w:color="000000" w:sz="6" w:space="0"/>
            </w:tcBorders>
            <w:noWrap w:val="0"/>
            <w:vAlign w:val="top"/>
          </w:tcPr>
          <w:p>
            <w:pPr>
              <w:pStyle w:val="14"/>
              <w:spacing w:before="110"/>
              <w:ind w:left="410"/>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组别</w:t>
            </w:r>
          </w:p>
        </w:tc>
        <w:tc>
          <w:tcPr>
            <w:tcW w:w="8036" w:type="dxa"/>
            <w:tcBorders>
              <w:left w:val="single" w:color="000000" w:sz="6" w:space="0"/>
              <w:bottom w:val="single" w:color="000000" w:sz="6"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pacing w:val="-1"/>
                <w:sz w:val="21"/>
                <w:highlight w:val="none"/>
              </w:rPr>
              <w:t>业 绩 要 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0" w:hRule="atLeast"/>
          <w:jc w:val="center"/>
        </w:trPr>
        <w:tc>
          <w:tcPr>
            <w:tcW w:w="1425" w:type="dxa"/>
            <w:tcBorders>
              <w:top w:val="single" w:color="000000" w:sz="6" w:space="0"/>
              <w:bottom w:val="single" w:color="000000" w:sz="6" w:space="0"/>
              <w:right w:val="single" w:color="000000" w:sz="6" w:space="0"/>
            </w:tcBorders>
            <w:noWrap w:val="0"/>
            <w:vAlign w:val="top"/>
          </w:tcPr>
          <w:p>
            <w:pPr>
              <w:pStyle w:val="14"/>
              <w:tabs>
                <w:tab w:val="left" w:pos="1054"/>
              </w:tabs>
              <w:spacing w:before="2" w:line="360" w:lineRule="auto"/>
              <w:ind w:right="77"/>
              <w:jc w:val="center"/>
              <w:rPr>
                <w:rFonts w:hint="eastAsia" w:ascii="方正仿宋_GB2312" w:hAnsi="方正仿宋_GB2312" w:eastAsia="方正仿宋_GB2312" w:cs="方正仿宋_GB2312"/>
                <w:color w:val="auto"/>
                <w:sz w:val="21"/>
                <w:highlight w:val="none"/>
                <w:lang w:eastAsia="zh-CN"/>
              </w:rPr>
            </w:pPr>
            <w:r>
              <w:rPr>
                <w:rFonts w:hint="eastAsia" w:ascii="方正仿宋_GB2312" w:hAnsi="方正仿宋_GB2312" w:eastAsia="方正仿宋_GB2312" w:cs="方正仿宋_GB2312"/>
                <w:color w:val="auto"/>
                <w:sz w:val="21"/>
                <w:highlight w:val="none"/>
              </w:rPr>
              <w:t>A组一</w:t>
            </w:r>
            <w:r>
              <w:rPr>
                <w:rFonts w:hint="eastAsia" w:ascii="方正仿宋_GB2312" w:hAnsi="方正仿宋_GB2312" w:eastAsia="方正仿宋_GB2312" w:cs="方正仿宋_GB2312"/>
                <w:color w:val="auto"/>
                <w:sz w:val="21"/>
                <w:highlight w:val="none"/>
                <w:lang w:val="en-US" w:eastAsia="zh-CN"/>
              </w:rPr>
              <w:t>标</w:t>
            </w:r>
            <w:r>
              <w:rPr>
                <w:rFonts w:hint="eastAsia" w:ascii="方正仿宋_GB2312" w:hAnsi="方正仿宋_GB2312" w:eastAsia="方正仿宋_GB2312" w:cs="方正仿宋_GB2312"/>
                <w:color w:val="auto"/>
                <w:sz w:val="21"/>
                <w:highlight w:val="none"/>
              </w:rPr>
              <w:t>段</w:t>
            </w:r>
          </w:p>
          <w:p>
            <w:pPr>
              <w:pStyle w:val="14"/>
              <w:tabs>
                <w:tab w:val="left" w:pos="1054"/>
              </w:tabs>
              <w:spacing w:before="2" w:line="360" w:lineRule="auto"/>
              <w:ind w:right="77"/>
              <w:jc w:val="center"/>
              <w:rPr>
                <w:rFonts w:hint="eastAsia" w:ascii="方正仿宋_GB2312" w:hAnsi="方正仿宋_GB2312" w:eastAsia="方正仿宋_GB2312" w:cs="方正仿宋_GB2312"/>
                <w:color w:val="auto"/>
                <w:sz w:val="21"/>
                <w:highlight w:val="none"/>
                <w:lang w:eastAsia="zh-CN"/>
              </w:rPr>
            </w:pPr>
            <w:r>
              <w:rPr>
                <w:rFonts w:hint="eastAsia" w:ascii="方正仿宋_GB2312" w:hAnsi="方正仿宋_GB2312" w:eastAsia="方正仿宋_GB2312" w:cs="方正仿宋_GB2312"/>
                <w:color w:val="auto"/>
                <w:sz w:val="21"/>
                <w:highlight w:val="none"/>
              </w:rPr>
              <w:t>A组</w:t>
            </w:r>
            <w:r>
              <w:rPr>
                <w:rFonts w:hint="eastAsia" w:ascii="方正仿宋_GB2312" w:hAnsi="方正仿宋_GB2312" w:eastAsia="方正仿宋_GB2312" w:cs="方正仿宋_GB2312"/>
                <w:color w:val="auto"/>
                <w:sz w:val="21"/>
                <w:highlight w:val="none"/>
                <w:lang w:val="en-US" w:eastAsia="zh-CN"/>
              </w:rPr>
              <w:t>二标</w:t>
            </w:r>
            <w:r>
              <w:rPr>
                <w:rFonts w:hint="eastAsia" w:ascii="方正仿宋_GB2312" w:hAnsi="方正仿宋_GB2312" w:eastAsia="方正仿宋_GB2312" w:cs="方正仿宋_GB2312"/>
                <w:color w:val="auto"/>
                <w:sz w:val="21"/>
                <w:highlight w:val="none"/>
              </w:rPr>
              <w:t>段</w:t>
            </w:r>
          </w:p>
        </w:tc>
        <w:tc>
          <w:tcPr>
            <w:tcW w:w="8036" w:type="dxa"/>
            <w:tcBorders>
              <w:top w:val="single" w:color="000000" w:sz="6" w:space="0"/>
              <w:left w:val="single" w:color="000000" w:sz="6" w:space="0"/>
              <w:bottom w:val="single" w:color="000000" w:sz="6" w:space="0"/>
            </w:tcBorders>
            <w:noWrap w:val="0"/>
            <w:vAlign w:val="top"/>
          </w:tcPr>
          <w:p>
            <w:pPr>
              <w:pStyle w:val="14"/>
              <w:tabs>
                <w:tab w:val="left" w:pos="1054"/>
              </w:tabs>
              <w:spacing w:before="2" w:line="360" w:lineRule="auto"/>
              <w:ind w:right="77"/>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val="en-US" w:eastAsia="zh-CN"/>
              </w:rPr>
              <w:t>投标人至少完成过1个不少于5公里的一级及以上等级公路路面养护工程（工程内容中须含有路面养护和交通安全设施施工内容）。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jc w:val="center"/>
        </w:trPr>
        <w:tc>
          <w:tcPr>
            <w:tcW w:w="9461" w:type="dxa"/>
            <w:gridSpan w:val="2"/>
            <w:tcBorders>
              <w:top w:val="single" w:color="000000" w:sz="6" w:space="0"/>
            </w:tcBorders>
            <w:noWrap w:val="0"/>
            <w:vAlign w:val="top"/>
          </w:tcPr>
          <w:p>
            <w:pPr>
              <w:pStyle w:val="14"/>
              <w:tabs>
                <w:tab w:val="left" w:pos="1054"/>
              </w:tabs>
              <w:spacing w:before="2" w:line="360" w:lineRule="auto"/>
              <w:ind w:right="77"/>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注：修改补充投标人须知正文第 3.5.3 项：</w:t>
            </w:r>
          </w:p>
          <w:p>
            <w:pPr>
              <w:pStyle w:val="14"/>
              <w:tabs>
                <w:tab w:val="left" w:pos="1054"/>
              </w:tabs>
              <w:spacing w:before="2" w:line="360" w:lineRule="auto"/>
              <w:ind w:right="77"/>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pacing w:val="9"/>
                <w:w w:val="99"/>
                <w:sz w:val="21"/>
                <w:highlight w:val="none"/>
                <w:lang w:eastAsia="zh-CN"/>
              </w:rPr>
              <w:t>（</w:t>
            </w:r>
            <w:r>
              <w:rPr>
                <w:rFonts w:hint="eastAsia" w:ascii="方正仿宋_GB2312" w:hAnsi="方正仿宋_GB2312" w:eastAsia="方正仿宋_GB2312" w:cs="方正仿宋_GB2312"/>
                <w:color w:val="auto"/>
                <w:spacing w:val="9"/>
                <w:w w:val="99"/>
                <w:sz w:val="21"/>
                <w:highlight w:val="none"/>
                <w:lang w:val="en-US" w:eastAsia="zh-CN"/>
              </w:rPr>
              <w:t>1</w:t>
            </w:r>
            <w:r>
              <w:rPr>
                <w:rFonts w:hint="eastAsia" w:ascii="方正仿宋_GB2312" w:hAnsi="方正仿宋_GB2312" w:eastAsia="方正仿宋_GB2312" w:cs="方正仿宋_GB2312"/>
                <w:color w:val="auto"/>
                <w:spacing w:val="9"/>
                <w:w w:val="99"/>
                <w:sz w:val="21"/>
                <w:highlight w:val="none"/>
                <w:lang w:eastAsia="zh-CN"/>
              </w:rPr>
              <w:t>）</w:t>
            </w:r>
            <w:r>
              <w:rPr>
                <w:rFonts w:hint="eastAsia" w:ascii="方正仿宋_GB2312" w:hAnsi="方正仿宋_GB2312" w:eastAsia="方正仿宋_GB2312" w:cs="方正仿宋_GB2312"/>
                <w:color w:val="auto"/>
                <w:sz w:val="21"/>
                <w:highlight w:val="none"/>
              </w:rPr>
              <w:t>投标人应按资格审查资料中的表（四）（近年完成的类似项目情况表）填写所提供的业绩，提供的每个业绩均应填写，未按照表（四）（近年完成的类似项目情况表）规定的格式填报的业绩，其业绩审查将不予认可。</w:t>
            </w:r>
          </w:p>
          <w:p>
            <w:pPr>
              <w:pStyle w:val="14"/>
              <w:tabs>
                <w:tab w:val="left" w:pos="1054"/>
              </w:tabs>
              <w:spacing w:before="2" w:line="360" w:lineRule="auto"/>
              <w:ind w:right="77"/>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w w:val="95"/>
                <w:sz w:val="21"/>
                <w:highlight w:val="none"/>
                <w:lang w:eastAsia="zh-CN"/>
              </w:rPr>
              <w:t>（</w:t>
            </w:r>
            <w:r>
              <w:rPr>
                <w:rFonts w:hint="eastAsia" w:ascii="方正仿宋_GB2312" w:hAnsi="方正仿宋_GB2312" w:eastAsia="方正仿宋_GB2312" w:cs="方正仿宋_GB2312"/>
                <w:color w:val="auto"/>
                <w:w w:val="95"/>
                <w:sz w:val="21"/>
                <w:highlight w:val="none"/>
                <w:lang w:val="en-US" w:eastAsia="zh-CN"/>
              </w:rPr>
              <w:t>2</w:t>
            </w:r>
            <w:r>
              <w:rPr>
                <w:rFonts w:hint="eastAsia" w:ascii="方正仿宋_GB2312" w:hAnsi="方正仿宋_GB2312" w:eastAsia="方正仿宋_GB2312" w:cs="方正仿宋_GB2312"/>
                <w:color w:val="auto"/>
                <w:w w:val="95"/>
                <w:sz w:val="21"/>
                <w:highlight w:val="none"/>
                <w:lang w:eastAsia="zh-CN"/>
              </w:rPr>
              <w:t>）</w:t>
            </w:r>
            <w:r>
              <w:rPr>
                <w:rFonts w:hint="eastAsia" w:ascii="方正仿宋_GB2312" w:hAnsi="方正仿宋_GB2312" w:eastAsia="方正仿宋_GB2312" w:cs="方正仿宋_GB2312"/>
                <w:color w:val="auto"/>
                <w:sz w:val="21"/>
                <w:highlight w:val="none"/>
              </w:rPr>
              <w:t>投标人填报的类似项目应是已列入交通运输部或</w:t>
            </w:r>
            <w:r>
              <w:rPr>
                <w:rFonts w:hint="eastAsia" w:ascii="方正仿宋_GB2312" w:hAnsi="方正仿宋_GB2312" w:eastAsia="方正仿宋_GB2312" w:cs="方正仿宋_GB2312"/>
                <w:b/>
                <w:bCs/>
                <w:color w:val="auto"/>
                <w:sz w:val="21"/>
                <w:highlight w:val="none"/>
                <w:lang w:eastAsia="zh-CN"/>
              </w:rPr>
              <w:t>项目所在地</w:t>
            </w:r>
            <w:r>
              <w:rPr>
                <w:rFonts w:hint="eastAsia" w:ascii="方正仿宋_GB2312" w:hAnsi="方正仿宋_GB2312" w:eastAsia="方正仿宋_GB2312" w:cs="方正仿宋_GB2312"/>
                <w:color w:val="auto"/>
                <w:sz w:val="21"/>
                <w:highlight w:val="none"/>
              </w:rPr>
              <w:t>省级交通运输主管部门主管的“公路建设市场信用信息管理系统”并公开的主包已建业绩或分包已建业绩。且登记的信息能够反映项目时间、工程内容、公路等级、合同金额、交工日期等招标文件规定的业绩最低要求。“近年完成的类似项目情况表”应附在交通运输部“全国公路建设市场信用信息管系统”(网址:http://glxy.mot.gov.cn/BM/)中查询到的企业“业绩信息”相关项目网</w:t>
            </w:r>
            <w:r>
              <w:rPr>
                <w:rFonts w:hint="eastAsia" w:ascii="方正仿宋_GB2312" w:hAnsi="方正仿宋_GB2312" w:eastAsia="方正仿宋_GB2312" w:cs="方正仿宋_GB2312"/>
                <w:color w:val="auto"/>
                <w:sz w:val="21"/>
                <w:highlight w:val="none"/>
                <w:lang w:eastAsia="zh-CN"/>
              </w:rPr>
              <w:t>页截</w:t>
            </w:r>
            <w:r>
              <w:rPr>
                <w:rFonts w:hint="eastAsia" w:ascii="方正仿宋_GB2312" w:hAnsi="方正仿宋_GB2312" w:eastAsia="方正仿宋_GB2312" w:cs="方正仿宋_GB2312"/>
                <w:color w:val="auto"/>
                <w:sz w:val="21"/>
                <w:highlight w:val="none"/>
              </w:rPr>
              <w:t>图,即包括“项目名称”“项目类型”“合同价”“主要工程量”“人员履约信息”等栏目在内的项目详细信息网页截图。在交通运输部“全国公路建设市场信用信息管理系统”中无法查询,但可在</w:t>
            </w:r>
            <w:r>
              <w:rPr>
                <w:rFonts w:hint="eastAsia" w:ascii="方正仿宋_GB2312" w:hAnsi="方正仿宋_GB2312" w:eastAsia="方正仿宋_GB2312" w:cs="方正仿宋_GB2312"/>
                <w:b/>
                <w:bCs/>
                <w:color w:val="auto"/>
                <w:sz w:val="21"/>
                <w:highlight w:val="none"/>
                <w:lang w:eastAsia="zh-CN"/>
              </w:rPr>
              <w:t>项目所在地</w:t>
            </w:r>
            <w:r>
              <w:rPr>
                <w:rFonts w:hint="eastAsia" w:ascii="方正仿宋_GB2312" w:hAnsi="方正仿宋_GB2312" w:eastAsia="方正仿宋_GB2312" w:cs="方正仿宋_GB2312"/>
                <w:color w:val="auto"/>
                <w:sz w:val="21"/>
                <w:highlight w:val="none"/>
              </w:rPr>
              <w:t>省级交通运输主管部门“公路建设市场信用信息管理系统”中查询的,应附</w:t>
            </w:r>
            <w:r>
              <w:rPr>
                <w:rFonts w:hint="eastAsia" w:ascii="方正仿宋_GB2312" w:hAnsi="方正仿宋_GB2312" w:eastAsia="方正仿宋_GB2312" w:cs="方正仿宋_GB2312"/>
                <w:b/>
                <w:bCs/>
                <w:color w:val="auto"/>
                <w:sz w:val="21"/>
                <w:highlight w:val="none"/>
                <w:lang w:eastAsia="zh-CN"/>
              </w:rPr>
              <w:t>项目所在地</w:t>
            </w:r>
            <w:r>
              <w:rPr>
                <w:rFonts w:hint="eastAsia" w:ascii="方正仿宋_GB2312" w:hAnsi="方正仿宋_GB2312" w:eastAsia="方正仿宋_GB2312" w:cs="方正仿宋_GB2312"/>
                <w:color w:val="auto"/>
                <w:sz w:val="21"/>
                <w:highlight w:val="none"/>
              </w:rPr>
              <w:t>省级交通运输主管部门“公路建设市场信用信息管理系统’中查询到的网页截图。除网页截图外,投标人无须再提供任何业绩证明材料。如投标人未提供相关项目网页截图或相关项目网页截图中的信息无法证实投标人满足招标文件规定的资格审查条件(业绩最低要求),则该项目业绩不予认定</w:t>
            </w:r>
            <w:r>
              <w:rPr>
                <w:rFonts w:hint="eastAsia" w:ascii="方正仿宋_GB2312" w:hAnsi="方正仿宋_GB2312" w:eastAsia="方正仿宋_GB2312" w:cs="方正仿宋_GB2312"/>
                <w:color w:val="auto"/>
                <w:spacing w:val="-3"/>
                <w:w w:val="95"/>
                <w:sz w:val="21"/>
                <w:highlight w:val="none"/>
              </w:rPr>
              <w:t>。</w:t>
            </w:r>
          </w:p>
          <w:p>
            <w:pPr>
              <w:pStyle w:val="14"/>
              <w:numPr>
                <w:ilvl w:val="0"/>
                <w:numId w:val="0"/>
              </w:numPr>
              <w:tabs>
                <w:tab w:val="left" w:pos="1054"/>
              </w:tabs>
              <w:spacing w:before="2" w:line="360" w:lineRule="auto"/>
              <w:ind w:right="77" w:rightChars="0"/>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lang w:val="en-US" w:eastAsia="zh-CN"/>
              </w:rPr>
              <w:t>3</w:t>
            </w: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rPr>
              <w:t>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r>
              <w:rPr>
                <w:rFonts w:hint="eastAsia" w:ascii="方正仿宋_GB2312" w:hAnsi="方正仿宋_GB2312" w:eastAsia="方正仿宋_GB2312" w:cs="方正仿宋_GB2312"/>
                <w:color w:val="auto"/>
                <w:sz w:val="21"/>
                <w:highlight w:val="none"/>
              </w:rPr>
              <w:t>。</w:t>
            </w:r>
          </w:p>
          <w:p>
            <w:pPr>
              <w:pStyle w:val="14"/>
              <w:tabs>
                <w:tab w:val="left" w:pos="1053"/>
              </w:tabs>
              <w:spacing w:before="4" w:line="360" w:lineRule="auto"/>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(4)业绩证明材料中需体现出</w:t>
            </w:r>
            <w:r>
              <w:rPr>
                <w:rFonts w:hint="eastAsia" w:ascii="方正仿宋_GB2312" w:hAnsi="方正仿宋_GB2312" w:eastAsia="方正仿宋_GB2312" w:cs="方正仿宋_GB2312"/>
                <w:color w:val="auto"/>
                <w:sz w:val="21"/>
                <w:highlight w:val="none"/>
                <w:lang w:val="en-US" w:eastAsia="zh-CN"/>
              </w:rPr>
              <w:t>路面养护和交通安全设施施工相</w:t>
            </w:r>
            <w:r>
              <w:rPr>
                <w:rFonts w:hint="eastAsia" w:ascii="方正仿宋_GB2312" w:hAnsi="方正仿宋_GB2312" w:eastAsia="方正仿宋_GB2312" w:cs="方正仿宋_GB2312"/>
                <w:color w:val="auto"/>
                <w:sz w:val="21"/>
                <w:highlight w:val="none"/>
              </w:rPr>
              <w:t>关工程内容，否则业绩不予认可。</w:t>
            </w:r>
          </w:p>
          <w:p>
            <w:pPr>
              <w:pStyle w:val="14"/>
              <w:tabs>
                <w:tab w:val="left" w:pos="1054"/>
              </w:tabs>
              <w:spacing w:before="139" w:line="360" w:lineRule="auto"/>
              <w:ind w:right="80"/>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(5)投标人提供的施工业绩应是以投标人名义签署的合同业绩，其母公司及下属专业单位签署合同的业绩、联合体业绩在资格审查中均不予认可。</w:t>
            </w:r>
          </w:p>
          <w:p>
            <w:pPr>
              <w:pStyle w:val="14"/>
              <w:tabs>
                <w:tab w:val="left" w:pos="1071"/>
              </w:tabs>
              <w:spacing w:line="360" w:lineRule="auto"/>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(6)投标人提供的业绩达不到附录 3 业绩最低要求的，其资格审查不予通过</w:t>
            </w:r>
            <w:r>
              <w:rPr>
                <w:rFonts w:hint="eastAsia" w:ascii="方正仿宋_GB2312" w:hAnsi="方正仿宋_GB2312" w:eastAsia="方正仿宋_GB2312" w:cs="方正仿宋_GB2312"/>
                <w:color w:val="auto"/>
                <w:w w:val="95"/>
                <w:sz w:val="21"/>
                <w:highlight w:val="none"/>
              </w:rPr>
              <w:t>。</w:t>
            </w:r>
            <w:r>
              <w:rPr>
                <w:rFonts w:hint="eastAsia" w:ascii="方正仿宋_GB2312" w:hAnsi="方正仿宋_GB2312" w:eastAsia="方正仿宋_GB2312" w:cs="方正仿宋_GB2312"/>
                <w:color w:val="auto"/>
                <w:sz w:val="21"/>
                <w:highlight w:val="none"/>
              </w:rPr>
              <w:t xml:space="preserve"> </w:t>
            </w:r>
          </w:p>
          <w:p>
            <w:pPr>
              <w:pStyle w:val="14"/>
              <w:tabs>
                <w:tab w:val="left" w:pos="1071"/>
              </w:tabs>
              <w:spacing w:line="360" w:lineRule="auto"/>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(7)宁夏公路建设市场信息管理系统已正常开启，由于端口号变化，本系统的登录地址变更为：http://222.75.71.73:808</w:t>
            </w:r>
            <w:r>
              <w:rPr>
                <w:rFonts w:hint="eastAsia" w:ascii="方正仿宋_GB2312" w:hAnsi="方正仿宋_GB2312" w:eastAsia="方正仿宋_GB2312" w:cs="方正仿宋_GB2312"/>
                <w:color w:val="auto"/>
                <w:sz w:val="21"/>
                <w:highlight w:val="none"/>
                <w:lang w:val="en-US" w:eastAsia="zh-CN"/>
              </w:rPr>
              <w:t>4</w:t>
            </w:r>
            <w:r>
              <w:rPr>
                <w:rFonts w:hint="eastAsia" w:ascii="方正仿宋_GB2312" w:hAnsi="方正仿宋_GB2312" w:eastAsia="方正仿宋_GB2312" w:cs="方正仿宋_GB2312"/>
                <w:color w:val="auto"/>
                <w:sz w:val="21"/>
                <w:highlight w:val="none"/>
              </w:rPr>
              <w:t>/CISS/main/home，如投标人需要，请正确登陆。</w:t>
            </w:r>
          </w:p>
          <w:p>
            <w:pPr>
              <w:pStyle w:val="14"/>
              <w:tabs>
                <w:tab w:val="left" w:pos="1053"/>
              </w:tabs>
              <w:spacing w:line="360" w:lineRule="auto"/>
              <w:ind w:left="-530"/>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(4)招</w:t>
            </w: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lang w:val="en-US" w:eastAsia="zh-CN"/>
              </w:rPr>
              <w:t>8</w:t>
            </w:r>
            <w:r>
              <w:rPr>
                <w:rFonts w:hint="eastAsia" w:ascii="方正仿宋_GB2312" w:hAnsi="方正仿宋_GB2312" w:eastAsia="方正仿宋_GB2312" w:cs="方正仿宋_GB2312"/>
                <w:color w:val="auto"/>
                <w:sz w:val="21"/>
                <w:highlight w:val="none"/>
                <w:lang w:eastAsia="zh-CN"/>
              </w:rPr>
              <w:t>）</w:t>
            </w:r>
            <w:r>
              <w:rPr>
                <w:rFonts w:hint="eastAsia" w:ascii="方正仿宋_GB2312" w:hAnsi="方正仿宋_GB2312" w:eastAsia="方正仿宋_GB2312" w:cs="方正仿宋_GB2312"/>
                <w:color w:val="auto"/>
                <w:sz w:val="21"/>
                <w:highlight w:val="none"/>
                <w:lang w:val="en-US" w:eastAsia="zh-CN"/>
              </w:rPr>
              <w:t>招</w:t>
            </w:r>
            <w:r>
              <w:rPr>
                <w:rFonts w:hint="eastAsia" w:ascii="方正仿宋_GB2312" w:hAnsi="方正仿宋_GB2312" w:eastAsia="方正仿宋_GB2312" w:cs="方正仿宋_GB2312"/>
                <w:color w:val="auto"/>
                <w:sz w:val="21"/>
                <w:highlight w:val="none"/>
              </w:rPr>
              <w:t>标文件中其他地方与此处不一致时，以此处为准。</w:t>
            </w:r>
          </w:p>
        </w:tc>
      </w:tr>
    </w:tbl>
    <w:p>
      <w:pPr>
        <w:spacing w:line="267" w:lineRule="exact"/>
        <w:rPr>
          <w:rFonts w:hint="eastAsia" w:ascii="方正仿宋_GB2312" w:hAnsi="方正仿宋_GB2312" w:eastAsia="方正仿宋_GB2312" w:cs="方正仿宋_GB2312"/>
          <w:color w:val="auto"/>
          <w:sz w:val="21"/>
          <w:highlight w:val="none"/>
        </w:rPr>
      </w:pPr>
    </w:p>
    <w:p>
      <w:pPr>
        <w:pStyle w:val="4"/>
        <w:tabs>
          <w:tab w:val="left" w:pos="1276"/>
        </w:tabs>
        <w:jc w:val="center"/>
        <w:rPr>
          <w:rFonts w:hint="eastAsia" w:ascii="方正仿宋_GB2312" w:hAnsi="方正仿宋_GB2312" w:eastAsia="方正仿宋_GB2312" w:cs="方正仿宋_GB2312"/>
          <w:b/>
          <w:bCs/>
          <w:color w:val="auto"/>
          <w:highlight w:val="none"/>
        </w:rPr>
      </w:pPr>
      <w:bookmarkStart w:id="3" w:name="附录5___资格审查条件(项目经理和项目总工最低要求)"/>
      <w:bookmarkEnd w:id="3"/>
      <w:r>
        <w:rPr>
          <w:rFonts w:hint="eastAsia" w:ascii="方正仿宋_GB2312" w:hAnsi="方正仿宋_GB2312" w:eastAsia="方正仿宋_GB2312" w:cs="方正仿宋_GB2312"/>
          <w:b/>
          <w:bCs/>
          <w:color w:val="auto"/>
          <w:highlight w:val="none"/>
        </w:rPr>
        <w:t>附录4</w:t>
      </w:r>
      <w:r>
        <w:rPr>
          <w:rFonts w:hint="eastAsia" w:ascii="方正仿宋_GB2312" w:hAnsi="方正仿宋_GB2312" w:eastAsia="方正仿宋_GB2312" w:cs="方正仿宋_GB2312"/>
          <w:b/>
          <w:bCs/>
          <w:color w:val="auto"/>
          <w:highlight w:val="none"/>
        </w:rPr>
        <w:tab/>
      </w:r>
      <w:r>
        <w:rPr>
          <w:rFonts w:hint="eastAsia" w:ascii="方正仿宋_GB2312" w:hAnsi="方正仿宋_GB2312" w:eastAsia="方正仿宋_GB2312" w:cs="方正仿宋_GB2312"/>
          <w:b/>
          <w:bCs/>
          <w:color w:val="auto"/>
          <w:highlight w:val="none"/>
        </w:rPr>
        <w:t>资格审查条件(信誉最低要求)</w:t>
      </w:r>
    </w:p>
    <w:tbl>
      <w:tblPr>
        <w:tblStyle w:val="11"/>
        <w:tblW w:w="9477"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9477" w:type="dxa"/>
            <w:vAlign w:val="center"/>
          </w:tcPr>
          <w:p>
            <w:pPr>
              <w:pStyle w:val="6"/>
              <w:ind w:left="1144" w:right="1155"/>
              <w:jc w:val="center"/>
              <w:rPr>
                <w:rFonts w:hint="eastAsia" w:ascii="方正仿宋_GB2312" w:hAnsi="方正仿宋_GB2312" w:eastAsia="方正仿宋_GB2312" w:cs="方正仿宋_GB2312"/>
                <w:color w:val="auto"/>
                <w:sz w:val="36"/>
                <w:highlight w:val="none"/>
                <w:vertAlign w:val="baseline"/>
              </w:rPr>
            </w:pPr>
            <w:r>
              <w:rPr>
                <w:rFonts w:hint="eastAsia" w:ascii="方正仿宋_GB2312" w:hAnsi="方正仿宋_GB2312" w:eastAsia="方正仿宋_GB2312" w:cs="方正仿宋_GB2312"/>
                <w:color w:val="auto"/>
                <w:spacing w:val="-1"/>
                <w:sz w:val="21"/>
                <w:szCs w:val="22"/>
                <w:highlight w:val="none"/>
                <w:lang w:val="en-US" w:eastAsia="zh-CN" w:bidi="ar-SA"/>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7" w:type="dxa"/>
          </w:tcPr>
          <w:p>
            <w:pPr>
              <w:pStyle w:val="6"/>
              <w:jc w:val="both"/>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A 组一标段、A 组二标段：</w:t>
            </w:r>
          </w:p>
          <w:p>
            <w:pPr>
              <w:pStyle w:val="16"/>
              <w:numPr>
                <w:ilvl w:val="0"/>
                <w:numId w:val="0"/>
              </w:numPr>
              <w:tabs>
                <w:tab w:val="left" w:pos="1126"/>
              </w:tabs>
              <w:spacing w:before="139" w:line="367" w:lineRule="auto"/>
              <w:ind w:right="498" w:rightChars="0"/>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val="en-US" w:eastAsia="zh-CN"/>
              </w:rPr>
              <w:t>1.</w:t>
            </w:r>
            <w:r>
              <w:rPr>
                <w:rFonts w:hint="eastAsia" w:ascii="方正仿宋_GB2312" w:hAnsi="方正仿宋_GB2312" w:eastAsia="方正仿宋_GB2312" w:cs="方正仿宋_GB2312"/>
                <w:color w:val="auto"/>
                <w:sz w:val="21"/>
                <w:highlight w:val="none"/>
              </w:rPr>
              <w:t>未被省级及以上交通运输主管部门取消招标项目所在地的投标资格且处于有效期内（以“全国公路建设市场信用信息管理系统、宁夏公路建设市场信用信息管理系统”中查询结果为准）</w:t>
            </w:r>
            <w:r>
              <w:rPr>
                <w:rFonts w:hint="eastAsia" w:ascii="方正仿宋_GB2312" w:hAnsi="方正仿宋_GB2312" w:eastAsia="方正仿宋_GB2312" w:cs="方正仿宋_GB2312"/>
                <w:color w:val="auto"/>
                <w:w w:val="99"/>
                <w:sz w:val="21"/>
                <w:highlight w:val="none"/>
              </w:rPr>
              <w:t>；</w:t>
            </w:r>
          </w:p>
          <w:p>
            <w:pPr>
              <w:pStyle w:val="16"/>
              <w:numPr>
                <w:ilvl w:val="0"/>
                <w:numId w:val="0"/>
              </w:numPr>
              <w:tabs>
                <w:tab w:val="left" w:pos="1116"/>
              </w:tabs>
              <w:spacing w:line="263" w:lineRule="exact"/>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val="en-US" w:eastAsia="zh-CN"/>
              </w:rPr>
              <w:t>2.</w:t>
            </w:r>
            <w:r>
              <w:rPr>
                <w:rFonts w:hint="eastAsia" w:ascii="方正仿宋_GB2312" w:hAnsi="方正仿宋_GB2312" w:eastAsia="方正仿宋_GB2312" w:cs="方正仿宋_GB2312"/>
                <w:color w:val="auto"/>
                <w:sz w:val="21"/>
                <w:highlight w:val="none"/>
              </w:rPr>
              <w:t>未被责令停业，暂扣或吊销执照，或吊销资质证书，或吊销安全生产许可证；</w:t>
            </w:r>
          </w:p>
          <w:p>
            <w:pPr>
              <w:pStyle w:val="16"/>
              <w:numPr>
                <w:ilvl w:val="0"/>
                <w:numId w:val="0"/>
              </w:numPr>
              <w:tabs>
                <w:tab w:val="left" w:pos="1116"/>
              </w:tabs>
              <w:spacing w:before="141"/>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val="en-US" w:eastAsia="zh-CN"/>
              </w:rPr>
              <w:t>3.</w:t>
            </w:r>
            <w:r>
              <w:rPr>
                <w:rFonts w:hint="eastAsia" w:ascii="方正仿宋_GB2312" w:hAnsi="方正仿宋_GB2312" w:eastAsia="方正仿宋_GB2312" w:cs="方正仿宋_GB2312"/>
                <w:color w:val="auto"/>
                <w:sz w:val="21"/>
                <w:highlight w:val="none"/>
              </w:rPr>
              <w:t>未进入清算程序，或被宣告破产，或其他丧失履约能力的情形；</w:t>
            </w:r>
          </w:p>
          <w:p>
            <w:pPr>
              <w:pStyle w:val="16"/>
              <w:numPr>
                <w:ilvl w:val="0"/>
                <w:numId w:val="0"/>
              </w:numPr>
              <w:tabs>
                <w:tab w:val="left" w:pos="1121"/>
              </w:tabs>
              <w:spacing w:before="142" w:line="364" w:lineRule="auto"/>
              <w:ind w:right="498" w:rightChars="0"/>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val="en-US" w:eastAsia="zh-CN"/>
              </w:rPr>
              <w:t>4.</w:t>
            </w:r>
            <w:r>
              <w:rPr>
                <w:rFonts w:hint="eastAsia" w:ascii="方正仿宋_GB2312" w:hAnsi="方正仿宋_GB2312" w:eastAsia="方正仿宋_GB2312" w:cs="方正仿宋_GB2312"/>
                <w:color w:val="auto"/>
                <w:sz w:val="21"/>
                <w:highlight w:val="none"/>
              </w:rPr>
              <w:t>在国家企业信用信息公示系统（http：//</w:t>
            </w:r>
            <w:r>
              <w:rPr>
                <w:rFonts w:hint="eastAsia" w:ascii="方正仿宋_GB2312" w:hAnsi="方正仿宋_GB2312" w:eastAsia="方正仿宋_GB2312" w:cs="方正仿宋_GB2312"/>
                <w:color w:val="auto"/>
                <w:sz w:val="21"/>
                <w:highlight w:val="none"/>
              </w:rPr>
              <w:fldChar w:fldCharType="begin"/>
            </w:r>
            <w:r>
              <w:rPr>
                <w:rFonts w:hint="eastAsia" w:ascii="方正仿宋_GB2312" w:hAnsi="方正仿宋_GB2312" w:eastAsia="方正仿宋_GB2312" w:cs="方正仿宋_GB2312"/>
                <w:color w:val="auto"/>
                <w:sz w:val="21"/>
                <w:highlight w:val="none"/>
              </w:rPr>
              <w:instrText xml:space="preserve"> HYPERLINK "http://www.gsxt.gov.cn/" \h </w:instrText>
            </w:r>
            <w:r>
              <w:rPr>
                <w:rFonts w:hint="eastAsia" w:ascii="方正仿宋_GB2312" w:hAnsi="方正仿宋_GB2312" w:eastAsia="方正仿宋_GB2312" w:cs="方正仿宋_GB2312"/>
                <w:color w:val="auto"/>
                <w:sz w:val="21"/>
                <w:highlight w:val="none"/>
              </w:rPr>
              <w:fldChar w:fldCharType="separate"/>
            </w:r>
            <w:r>
              <w:rPr>
                <w:rFonts w:hint="eastAsia" w:ascii="方正仿宋_GB2312" w:hAnsi="方正仿宋_GB2312" w:eastAsia="方正仿宋_GB2312" w:cs="方正仿宋_GB2312"/>
                <w:color w:val="auto"/>
                <w:sz w:val="21"/>
                <w:highlight w:val="none"/>
              </w:rPr>
              <w:t>www.gsxt.gov.cn/</w:t>
            </w:r>
            <w:r>
              <w:rPr>
                <w:rFonts w:hint="eastAsia" w:ascii="方正仿宋_GB2312" w:hAnsi="方正仿宋_GB2312" w:eastAsia="方正仿宋_GB2312" w:cs="方正仿宋_GB2312"/>
                <w:color w:val="auto"/>
                <w:sz w:val="21"/>
                <w:highlight w:val="none"/>
              </w:rPr>
              <w:fldChar w:fldCharType="end"/>
            </w:r>
            <w:r>
              <w:rPr>
                <w:rFonts w:hint="eastAsia" w:ascii="方正仿宋_GB2312" w:hAnsi="方正仿宋_GB2312" w:eastAsia="方正仿宋_GB2312" w:cs="方正仿宋_GB2312"/>
                <w:color w:val="auto"/>
                <w:sz w:val="21"/>
                <w:highlight w:val="none"/>
              </w:rPr>
              <w:t>）中未被列入严重违法失信企业名单；</w:t>
            </w:r>
          </w:p>
          <w:p>
            <w:pPr>
              <w:pStyle w:val="16"/>
              <w:numPr>
                <w:ilvl w:val="0"/>
                <w:numId w:val="0"/>
              </w:numPr>
              <w:tabs>
                <w:tab w:val="left" w:pos="1124"/>
              </w:tabs>
              <w:spacing w:line="364" w:lineRule="auto"/>
              <w:ind w:right="496" w:rightChars="0"/>
              <w:jc w:val="both"/>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1"/>
                <w:highlight w:val="none"/>
                <w:lang w:val="en-US" w:eastAsia="zh-CN"/>
              </w:rPr>
              <w:t>5.</w:t>
            </w:r>
            <w:r>
              <w:rPr>
                <w:rFonts w:hint="eastAsia" w:ascii="方正仿宋_GB2312" w:hAnsi="方正仿宋_GB2312" w:eastAsia="方正仿宋_GB2312" w:cs="方正仿宋_GB2312"/>
                <w:color w:val="auto"/>
                <w:sz w:val="21"/>
                <w:highlight w:val="none"/>
              </w:rPr>
              <w:t>在“ 信用中国 ”（http ： //</w:t>
            </w:r>
            <w:r>
              <w:rPr>
                <w:rFonts w:hint="eastAsia" w:ascii="方正仿宋_GB2312" w:hAnsi="方正仿宋_GB2312" w:eastAsia="方正仿宋_GB2312" w:cs="方正仿宋_GB2312"/>
                <w:color w:val="auto"/>
                <w:sz w:val="21"/>
                <w:highlight w:val="none"/>
              </w:rPr>
              <w:fldChar w:fldCharType="begin"/>
            </w:r>
            <w:r>
              <w:rPr>
                <w:rFonts w:hint="eastAsia" w:ascii="方正仿宋_GB2312" w:hAnsi="方正仿宋_GB2312" w:eastAsia="方正仿宋_GB2312" w:cs="方正仿宋_GB2312"/>
                <w:color w:val="auto"/>
                <w:sz w:val="21"/>
                <w:highlight w:val="none"/>
              </w:rPr>
              <w:instrText xml:space="preserve"> HYPERLINK "http://www.creditchina.gov.cn/" \h </w:instrText>
            </w:r>
            <w:r>
              <w:rPr>
                <w:rFonts w:hint="eastAsia" w:ascii="方正仿宋_GB2312" w:hAnsi="方正仿宋_GB2312" w:eastAsia="方正仿宋_GB2312" w:cs="方正仿宋_GB2312"/>
                <w:color w:val="auto"/>
                <w:sz w:val="21"/>
                <w:highlight w:val="none"/>
              </w:rPr>
              <w:fldChar w:fldCharType="separate"/>
            </w:r>
            <w:r>
              <w:rPr>
                <w:rFonts w:hint="eastAsia" w:ascii="方正仿宋_GB2312" w:hAnsi="方正仿宋_GB2312" w:eastAsia="方正仿宋_GB2312" w:cs="方正仿宋_GB2312"/>
                <w:color w:val="auto"/>
                <w:sz w:val="21"/>
                <w:highlight w:val="none"/>
              </w:rPr>
              <w:t>www.creditchina.gov.cn</w:t>
            </w:r>
            <w:r>
              <w:rPr>
                <w:rFonts w:hint="eastAsia" w:ascii="方正仿宋_GB2312" w:hAnsi="方正仿宋_GB2312" w:eastAsia="方正仿宋_GB2312" w:cs="方正仿宋_GB2312"/>
                <w:color w:val="auto"/>
                <w:sz w:val="21"/>
                <w:highlight w:val="none"/>
              </w:rPr>
              <w:fldChar w:fldCharType="end"/>
            </w:r>
            <w:r>
              <w:rPr>
                <w:rFonts w:hint="eastAsia" w:ascii="方正仿宋_GB2312" w:hAnsi="方正仿宋_GB2312" w:eastAsia="方正仿宋_GB2312" w:cs="方正仿宋_GB2312"/>
                <w:color w:val="auto"/>
                <w:sz w:val="21"/>
                <w:highlight w:val="none"/>
              </w:rPr>
              <w:t>）、“ 信用宁夏” 网站（http ：//credit.nx.gov.cn/）中未被列入失信被执行人、企业经营异常名录、重大税收违法案件当事人名单</w:t>
            </w:r>
            <w:r>
              <w:rPr>
                <w:rFonts w:hint="eastAsia" w:ascii="方正仿宋_GB2312" w:hAnsi="方正仿宋_GB2312" w:eastAsia="方正仿宋_GB2312" w:cs="方正仿宋_GB2312"/>
                <w:color w:val="auto"/>
                <w:sz w:val="21"/>
                <w:highlight w:val="none"/>
              </w:rPr>
              <w:t>；</w:t>
            </w:r>
          </w:p>
          <w:p>
            <w:pPr>
              <w:pStyle w:val="16"/>
              <w:numPr>
                <w:ilvl w:val="0"/>
                <w:numId w:val="0"/>
              </w:numPr>
              <w:tabs>
                <w:tab w:val="left" w:pos="1124"/>
              </w:tabs>
              <w:spacing w:line="364" w:lineRule="auto"/>
              <w:ind w:right="496" w:rightChars="0"/>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val="en-US" w:eastAsia="zh-CN"/>
              </w:rPr>
              <w:t>6.</w:t>
            </w:r>
            <w:r>
              <w:rPr>
                <w:rFonts w:hint="eastAsia" w:ascii="方正仿宋_GB2312" w:hAnsi="方正仿宋_GB2312" w:eastAsia="方正仿宋_GB2312" w:cs="方正仿宋_GB2312"/>
                <w:color w:val="auto"/>
                <w:sz w:val="21"/>
                <w:highlight w:val="none"/>
              </w:rPr>
              <w:t>在“中国执行信息公开网”(</w:t>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"http://zxgk.court.gov.cn/shixin/)中未被列入失信被执行"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sz w:val="21"/>
                <w:highlight w:val="none"/>
              </w:rPr>
              <w:t>http://zxgk.court.gov.cn/shixin/)中未被列入失信被执行</w:t>
            </w:r>
            <w:r>
              <w:rPr>
                <w:rFonts w:hint="eastAsia" w:ascii="方正仿宋_GB2312" w:hAnsi="方正仿宋_GB2312" w:eastAsia="方正仿宋_GB2312" w:cs="方正仿宋_GB2312"/>
                <w:color w:val="auto"/>
                <w:sz w:val="21"/>
                <w:highlight w:val="none"/>
              </w:rPr>
              <w:fldChar w:fldCharType="end"/>
            </w:r>
            <w:r>
              <w:rPr>
                <w:rFonts w:hint="eastAsia" w:ascii="方正仿宋_GB2312" w:hAnsi="方正仿宋_GB2312" w:eastAsia="方正仿宋_GB2312" w:cs="方正仿宋_GB2312"/>
                <w:color w:val="auto"/>
                <w:sz w:val="21"/>
                <w:highlight w:val="none"/>
              </w:rPr>
              <w:t>人名单；</w:t>
            </w:r>
          </w:p>
          <w:p>
            <w:pPr>
              <w:pStyle w:val="16"/>
              <w:numPr>
                <w:ilvl w:val="0"/>
                <w:numId w:val="0"/>
              </w:numPr>
              <w:tabs>
                <w:tab w:val="left" w:pos="1119"/>
              </w:tabs>
              <w:spacing w:line="367" w:lineRule="auto"/>
              <w:ind w:right="498" w:rightChars="0"/>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val="en-US" w:eastAsia="zh-CN"/>
              </w:rPr>
              <w:t>7.</w:t>
            </w:r>
            <w:r>
              <w:rPr>
                <w:rFonts w:hint="eastAsia" w:ascii="方正仿宋_GB2312" w:hAnsi="方正仿宋_GB2312" w:eastAsia="方正仿宋_GB2312" w:cs="方正仿宋_GB2312"/>
                <w:color w:val="auto"/>
                <w:sz w:val="21"/>
                <w:highlight w:val="none"/>
              </w:rPr>
              <w:t>投标人及其法定代表人、拟委任的项目经理、项目总工</w:t>
            </w:r>
            <w:r>
              <w:rPr>
                <w:rFonts w:hint="eastAsia" w:ascii="方正仿宋_GB2312" w:hAnsi="方正仿宋_GB2312" w:eastAsia="方正仿宋_GB2312" w:cs="方正仿宋_GB2312"/>
                <w:color w:val="auto"/>
                <w:sz w:val="21"/>
                <w:highlight w:val="none"/>
              </w:rPr>
              <w:t>自2020年</w:t>
            </w:r>
            <w:r>
              <w:rPr>
                <w:rFonts w:hint="eastAsia" w:ascii="方正仿宋_GB2312" w:hAnsi="方正仿宋_GB2312" w:eastAsia="方正仿宋_GB2312" w:cs="方正仿宋_GB2312"/>
                <w:color w:val="auto"/>
                <w:sz w:val="21"/>
                <w:highlight w:val="none"/>
                <w:lang w:val="en-US" w:eastAsia="zh-CN"/>
              </w:rPr>
              <w:t>11</w:t>
            </w:r>
            <w:r>
              <w:rPr>
                <w:rFonts w:hint="eastAsia" w:ascii="方正仿宋_GB2312" w:hAnsi="方正仿宋_GB2312" w:eastAsia="方正仿宋_GB2312" w:cs="方正仿宋_GB2312"/>
                <w:color w:val="auto"/>
                <w:sz w:val="21"/>
                <w:highlight w:val="none"/>
              </w:rPr>
              <w:t>月</w:t>
            </w:r>
            <w:r>
              <w:rPr>
                <w:rFonts w:hint="eastAsia" w:ascii="方正仿宋_GB2312" w:hAnsi="方正仿宋_GB2312" w:eastAsia="方正仿宋_GB2312" w:cs="方正仿宋_GB2312"/>
                <w:color w:val="auto"/>
                <w:sz w:val="21"/>
                <w:highlight w:val="none"/>
                <w:lang w:val="en-US" w:eastAsia="zh-CN"/>
              </w:rPr>
              <w:t>22</w:t>
            </w:r>
            <w:r>
              <w:rPr>
                <w:rFonts w:hint="eastAsia" w:ascii="方正仿宋_GB2312" w:hAnsi="方正仿宋_GB2312" w:eastAsia="方正仿宋_GB2312" w:cs="方正仿宋_GB2312"/>
                <w:color w:val="auto"/>
                <w:sz w:val="21"/>
                <w:highlight w:val="none"/>
              </w:rPr>
              <w:t>日以</w:t>
            </w:r>
            <w:r>
              <w:rPr>
                <w:rFonts w:hint="eastAsia" w:ascii="方正仿宋_GB2312" w:hAnsi="方正仿宋_GB2312" w:eastAsia="方正仿宋_GB2312" w:cs="方正仿宋_GB2312"/>
                <w:color w:val="auto"/>
                <w:sz w:val="21"/>
                <w:highlight w:val="none"/>
              </w:rPr>
              <w:t>来</w:t>
            </w:r>
            <w:r>
              <w:rPr>
                <w:rFonts w:hint="eastAsia" w:ascii="方正仿宋_GB2312" w:hAnsi="方正仿宋_GB2312" w:eastAsia="方正仿宋_GB2312" w:cs="方正仿宋_GB2312"/>
                <w:color w:val="auto"/>
                <w:sz w:val="21"/>
                <w:highlight w:val="none"/>
                <w:lang w:val="en-US" w:eastAsia="zh-CN"/>
              </w:rPr>
              <w:t>均</w:t>
            </w:r>
            <w:r>
              <w:rPr>
                <w:rFonts w:hint="eastAsia" w:ascii="方正仿宋_GB2312" w:hAnsi="方正仿宋_GB2312" w:eastAsia="方正仿宋_GB2312" w:cs="方正仿宋_GB2312"/>
                <w:color w:val="auto"/>
                <w:sz w:val="21"/>
                <w:highlight w:val="none"/>
              </w:rPr>
              <w:t>无行贿犯罪行为（附承诺函）</w:t>
            </w:r>
            <w:r>
              <w:rPr>
                <w:rFonts w:hint="eastAsia" w:ascii="方正仿宋_GB2312" w:hAnsi="方正仿宋_GB2312" w:eastAsia="方正仿宋_GB2312" w:cs="方正仿宋_GB2312"/>
                <w:color w:val="auto"/>
                <w:w w:val="99"/>
                <w:sz w:val="21"/>
                <w:highlight w:val="none"/>
              </w:rPr>
              <w:t>；</w:t>
            </w:r>
          </w:p>
          <w:p>
            <w:pPr>
              <w:pStyle w:val="16"/>
              <w:numPr>
                <w:ilvl w:val="0"/>
                <w:numId w:val="0"/>
              </w:numPr>
              <w:tabs>
                <w:tab w:val="left" w:pos="1121"/>
              </w:tabs>
              <w:spacing w:line="364" w:lineRule="auto"/>
              <w:ind w:right="498" w:rightChars="0"/>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lang w:val="en-US" w:eastAsia="zh-CN"/>
              </w:rPr>
              <w:t>8.</w:t>
            </w:r>
            <w:r>
              <w:rPr>
                <w:rFonts w:hint="eastAsia" w:ascii="方正仿宋_GB2312" w:hAnsi="方正仿宋_GB2312" w:eastAsia="方正仿宋_GB2312" w:cs="方正仿宋_GB2312"/>
                <w:color w:val="auto"/>
                <w:sz w:val="21"/>
                <w:highlight w:val="none"/>
              </w:rPr>
              <w:t>投标人未在宁夏人力资源社会保障部门门户网站或“信用中国”网站或国家企业信用信息公示系统或地方信用信息共享平台存在拖欠农民工工资违法失信行为的，或查询到存在拖欠农民工工资违法失信行为但已由处罚机关出具了已不再拖欠农民工资证明书的</w:t>
            </w:r>
            <w:r>
              <w:rPr>
                <w:rFonts w:hint="eastAsia" w:ascii="方正仿宋_GB2312" w:hAnsi="方正仿宋_GB2312" w:eastAsia="方正仿宋_GB2312" w:cs="方正仿宋_GB2312"/>
                <w:color w:val="auto"/>
                <w:w w:val="99"/>
                <w:sz w:val="21"/>
                <w:highlight w:val="none"/>
              </w:rPr>
              <w:t>；</w:t>
            </w:r>
          </w:p>
          <w:p>
            <w:pPr>
              <w:pStyle w:val="16"/>
              <w:numPr>
                <w:ilvl w:val="0"/>
                <w:numId w:val="0"/>
              </w:numPr>
              <w:tabs>
                <w:tab w:val="left" w:pos="1116"/>
              </w:tabs>
              <w:jc w:val="both"/>
              <w:rPr>
                <w:rFonts w:hint="eastAsia" w:ascii="方正仿宋_GB2312" w:hAnsi="方正仿宋_GB2312" w:eastAsia="方正仿宋_GB2312" w:cs="方正仿宋_GB2312"/>
                <w:color w:val="auto"/>
                <w:sz w:val="36"/>
                <w:highlight w:val="none"/>
                <w:vertAlign w:val="baseline"/>
              </w:rPr>
            </w:pPr>
            <w:r>
              <w:rPr>
                <w:rFonts w:hint="eastAsia" w:ascii="方正仿宋_GB2312" w:hAnsi="方正仿宋_GB2312" w:eastAsia="方正仿宋_GB2312" w:cs="方正仿宋_GB2312"/>
                <w:color w:val="auto"/>
                <w:sz w:val="21"/>
                <w:highlight w:val="none"/>
                <w:lang w:val="en-US" w:eastAsia="zh-CN"/>
              </w:rPr>
              <w:t>9.</w:t>
            </w:r>
            <w:r>
              <w:rPr>
                <w:rFonts w:hint="eastAsia" w:ascii="方正仿宋_GB2312" w:hAnsi="方正仿宋_GB2312" w:eastAsia="方正仿宋_GB2312" w:cs="方正仿宋_GB2312"/>
                <w:color w:val="auto"/>
                <w:sz w:val="21"/>
                <w:highlight w:val="none"/>
              </w:rPr>
              <w:t>无法律法规或投标人须知前附表规定的其他情形。</w:t>
            </w:r>
          </w:p>
        </w:tc>
      </w:tr>
    </w:tbl>
    <w:p>
      <w:pPr>
        <w:pStyle w:val="4"/>
        <w:tabs>
          <w:tab w:val="left" w:pos="1276"/>
        </w:tabs>
        <w:spacing w:line="360" w:lineRule="auto"/>
        <w:jc w:val="right"/>
        <w:rPr>
          <w:rFonts w:hint="eastAsia" w:ascii="方正仿宋_GB2312" w:hAnsi="方正仿宋_GB2312" w:eastAsia="方正仿宋_GB2312" w:cs="方正仿宋_GB2312"/>
          <w:b/>
          <w:bCs/>
          <w:color w:val="auto"/>
          <w:highlight w:val="none"/>
        </w:rPr>
      </w:pPr>
      <w:r>
        <w:rPr>
          <w:rFonts w:hint="eastAsia" w:ascii="方正仿宋_GB2312" w:hAnsi="方正仿宋_GB2312" w:eastAsia="方正仿宋_GB2312" w:cs="方正仿宋_GB2312"/>
          <w:b/>
          <w:bCs/>
          <w:color w:val="auto"/>
          <w:highlight w:val="none"/>
        </w:rPr>
        <w:t>附录5</w:t>
      </w:r>
      <w:r>
        <w:rPr>
          <w:rFonts w:hint="eastAsia" w:ascii="方正仿宋_GB2312" w:hAnsi="方正仿宋_GB2312" w:eastAsia="方正仿宋_GB2312" w:cs="方正仿宋_GB2312"/>
          <w:b/>
          <w:bCs/>
          <w:color w:val="auto"/>
          <w:highlight w:val="none"/>
        </w:rPr>
        <w:tab/>
      </w:r>
      <w:r>
        <w:rPr>
          <w:rFonts w:hint="eastAsia" w:ascii="方正仿宋_GB2312" w:hAnsi="方正仿宋_GB2312" w:eastAsia="方正仿宋_GB2312" w:cs="方正仿宋_GB2312"/>
          <w:b/>
          <w:bCs/>
          <w:color w:val="auto"/>
          <w:highlight w:val="none"/>
        </w:rPr>
        <w:t>资格审查条件(项目经理和项目总工最低要求)</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11"/>
        <w:gridCol w:w="874"/>
        <w:gridCol w:w="713"/>
        <w:gridCol w:w="4107"/>
        <w:gridCol w:w="26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4" w:hRule="atLeast"/>
          <w:jc w:val="center"/>
        </w:trPr>
        <w:tc>
          <w:tcPr>
            <w:tcW w:w="1211" w:type="dxa"/>
            <w:tcBorders>
              <w:bottom w:val="single" w:color="000000" w:sz="6" w:space="0"/>
              <w:right w:val="single" w:color="000000" w:sz="6" w:space="0"/>
            </w:tcBorders>
            <w:noWrap w:val="0"/>
            <w:vAlign w:val="center"/>
          </w:tcPr>
          <w:p>
            <w:pPr>
              <w:pStyle w:val="14"/>
              <w:spacing w:before="40"/>
              <w:ind w:left="245"/>
              <w:jc w:val="both"/>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1"/>
                <w:highlight w:val="none"/>
              </w:rPr>
              <w:t>组别</w:t>
            </w:r>
          </w:p>
        </w:tc>
        <w:tc>
          <w:tcPr>
            <w:tcW w:w="874" w:type="dxa"/>
            <w:tcBorders>
              <w:left w:val="single" w:color="000000" w:sz="6" w:space="0"/>
              <w:bottom w:val="single" w:color="000000" w:sz="6" w:space="0"/>
              <w:right w:val="single" w:color="000000" w:sz="6" w:space="0"/>
            </w:tcBorders>
            <w:noWrap w:val="0"/>
            <w:vAlign w:val="center"/>
          </w:tcPr>
          <w:p>
            <w:pPr>
              <w:pStyle w:val="14"/>
              <w:spacing w:before="40"/>
              <w:ind w:left="192"/>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人员</w:t>
            </w:r>
          </w:p>
        </w:tc>
        <w:tc>
          <w:tcPr>
            <w:tcW w:w="713" w:type="dxa"/>
            <w:tcBorders>
              <w:left w:val="single" w:color="000000" w:sz="6" w:space="0"/>
              <w:bottom w:val="single" w:color="000000" w:sz="6" w:space="0"/>
              <w:right w:val="single" w:color="000000" w:sz="6" w:space="0"/>
            </w:tcBorders>
            <w:noWrap w:val="0"/>
            <w:vAlign w:val="center"/>
          </w:tcPr>
          <w:p>
            <w:pPr>
              <w:pStyle w:val="14"/>
              <w:spacing w:before="40"/>
              <w:ind w:left="179"/>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数量</w:t>
            </w:r>
          </w:p>
        </w:tc>
        <w:tc>
          <w:tcPr>
            <w:tcW w:w="4107" w:type="dxa"/>
            <w:tcBorders>
              <w:left w:val="single" w:color="000000" w:sz="6" w:space="0"/>
              <w:bottom w:val="single" w:color="000000" w:sz="6" w:space="0"/>
              <w:right w:val="single" w:color="000000" w:sz="6" w:space="0"/>
            </w:tcBorders>
            <w:noWrap w:val="0"/>
            <w:vAlign w:val="center"/>
          </w:tcPr>
          <w:p>
            <w:pPr>
              <w:pStyle w:val="14"/>
              <w:jc w:val="center"/>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pacing w:val="-1"/>
                <w:sz w:val="21"/>
                <w:highlight w:val="none"/>
              </w:rPr>
              <w:t>资 格 要 求</w:t>
            </w:r>
          </w:p>
        </w:tc>
        <w:tc>
          <w:tcPr>
            <w:tcW w:w="2613" w:type="dxa"/>
            <w:tcBorders>
              <w:left w:val="single" w:color="000000" w:sz="6" w:space="0"/>
              <w:bottom w:val="single" w:color="000000" w:sz="6" w:space="0"/>
            </w:tcBorders>
            <w:noWrap w:val="0"/>
            <w:vAlign w:val="center"/>
          </w:tcPr>
          <w:p>
            <w:pPr>
              <w:pStyle w:val="14"/>
              <w:spacing w:before="40"/>
              <w:ind w:left="272"/>
              <w:jc w:val="center"/>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在岗要求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9" w:hRule="atLeast"/>
          <w:jc w:val="center"/>
        </w:trPr>
        <w:tc>
          <w:tcPr>
            <w:tcW w:w="1211" w:type="dxa"/>
            <w:vMerge w:val="restart"/>
            <w:tcBorders>
              <w:top w:val="single" w:color="000000" w:sz="6" w:space="0"/>
              <w:bottom w:val="single" w:color="000000" w:sz="6" w:space="0"/>
              <w:right w:val="single" w:color="000000" w:sz="6" w:space="0"/>
            </w:tcBorders>
            <w:noWrap w:val="0"/>
            <w:vAlign w:val="top"/>
          </w:tcPr>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spacing w:before="6"/>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ind w:left="269"/>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ind w:left="269"/>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ind w:left="269"/>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keepNext w:val="0"/>
              <w:keepLines w:val="0"/>
              <w:pageBreakBefore w:val="0"/>
              <w:widowControl w:val="0"/>
              <w:kinsoku/>
              <w:wordWrap/>
              <w:overflowPunct/>
              <w:topLinePunct/>
              <w:autoSpaceDE w:val="0"/>
              <w:autoSpaceDN w:val="0"/>
              <w:bidi w:val="0"/>
              <w:adjustRightInd/>
              <w:snapToGrid/>
              <w:spacing w:line="360" w:lineRule="auto"/>
              <w:textAlignment w:val="auto"/>
              <w:rPr>
                <w:rFonts w:hint="eastAsia" w:ascii="方正仿宋_GB2312" w:hAnsi="方正仿宋_GB2312" w:eastAsia="方正仿宋_GB2312" w:cs="方正仿宋_GB2312"/>
                <w:color w:val="auto"/>
                <w:spacing w:val="20"/>
                <w:sz w:val="21"/>
                <w:szCs w:val="22"/>
                <w:highlight w:val="none"/>
                <w:lang w:val="en-US" w:eastAsia="zh-CN" w:bidi="ar-SA"/>
              </w:rPr>
            </w:pPr>
            <w:r>
              <w:rPr>
                <w:rFonts w:hint="eastAsia" w:ascii="方正仿宋_GB2312" w:hAnsi="方正仿宋_GB2312" w:eastAsia="方正仿宋_GB2312" w:cs="方正仿宋_GB2312"/>
                <w:color w:val="auto"/>
                <w:spacing w:val="20"/>
                <w:sz w:val="21"/>
                <w:szCs w:val="22"/>
                <w:highlight w:val="none"/>
                <w:lang w:val="en-US" w:eastAsia="zh-CN" w:bidi="ar-SA"/>
              </w:rPr>
              <w:t>A组一标段</w:t>
            </w:r>
          </w:p>
          <w:p>
            <w:pPr>
              <w:pStyle w:val="14"/>
              <w:keepNext w:val="0"/>
              <w:keepLines w:val="0"/>
              <w:pageBreakBefore w:val="0"/>
              <w:widowControl w:val="0"/>
              <w:kinsoku/>
              <w:wordWrap/>
              <w:overflowPunct/>
              <w:topLinePunct/>
              <w:autoSpaceDE w:val="0"/>
              <w:autoSpaceDN w:val="0"/>
              <w:bidi w:val="0"/>
              <w:adjustRightInd/>
              <w:snapToGrid/>
              <w:spacing w:line="360" w:lineRule="auto"/>
              <w:textAlignment w:val="auto"/>
              <w:rPr>
                <w:rFonts w:hint="eastAsia" w:ascii="方正仿宋_GB2312" w:hAnsi="方正仿宋_GB2312" w:eastAsia="方正仿宋_GB2312" w:cs="方正仿宋_GB2312"/>
                <w:color w:val="auto"/>
                <w:spacing w:val="20"/>
                <w:sz w:val="21"/>
                <w:szCs w:val="22"/>
                <w:highlight w:val="none"/>
                <w:lang w:val="en-US" w:eastAsia="zh-CN" w:bidi="ar-SA"/>
              </w:rPr>
            </w:pPr>
            <w:r>
              <w:rPr>
                <w:rFonts w:hint="eastAsia" w:ascii="方正仿宋_GB2312" w:hAnsi="方正仿宋_GB2312" w:eastAsia="方正仿宋_GB2312" w:cs="方正仿宋_GB2312"/>
                <w:color w:val="auto"/>
                <w:spacing w:val="20"/>
                <w:sz w:val="21"/>
                <w:szCs w:val="22"/>
                <w:highlight w:val="none"/>
                <w:lang w:val="en-US" w:eastAsia="zh-CN" w:bidi="ar-SA"/>
              </w:rPr>
              <w:t>A组二标段</w:t>
            </w:r>
          </w:p>
        </w:tc>
        <w:tc>
          <w:tcPr>
            <w:tcW w:w="874" w:type="dxa"/>
            <w:tcBorders>
              <w:top w:val="single" w:color="000000" w:sz="6" w:space="0"/>
              <w:left w:val="single" w:color="000000" w:sz="6" w:space="0"/>
              <w:bottom w:val="single" w:color="000000" w:sz="6" w:space="0"/>
              <w:right w:val="single" w:color="000000" w:sz="6" w:space="0"/>
            </w:tcBorders>
            <w:noWrap w:val="0"/>
            <w:vAlign w:val="top"/>
          </w:tcPr>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spacing w:line="364" w:lineRule="auto"/>
              <w:ind w:left="192" w:right="162"/>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spacing w:line="364" w:lineRule="auto"/>
              <w:ind w:left="192" w:right="162"/>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spacing w:line="364" w:lineRule="auto"/>
              <w:ind w:left="192" w:right="162"/>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spacing w:line="364" w:lineRule="auto"/>
              <w:ind w:left="192" w:right="162"/>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spacing w:line="364" w:lineRule="auto"/>
              <w:ind w:left="192" w:right="162"/>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spacing w:line="364" w:lineRule="auto"/>
              <w:ind w:right="162"/>
              <w:rPr>
                <w:rFonts w:hint="eastAsia" w:ascii="方正仿宋_GB2312" w:hAnsi="方正仿宋_GB2312" w:eastAsia="方正仿宋_GB2312" w:cs="方正仿宋_GB2312"/>
                <w:color w:val="auto"/>
                <w:spacing w:val="20"/>
                <w:sz w:val="21"/>
                <w:szCs w:val="22"/>
                <w:highlight w:val="none"/>
                <w:lang w:val="en-US" w:eastAsia="zh-CN" w:bidi="ar-SA"/>
              </w:rPr>
            </w:pPr>
          </w:p>
          <w:p>
            <w:pPr>
              <w:pStyle w:val="14"/>
              <w:spacing w:line="364" w:lineRule="auto"/>
              <w:ind w:left="192" w:right="162"/>
              <w:rPr>
                <w:rFonts w:hint="eastAsia" w:ascii="方正仿宋_GB2312" w:hAnsi="方正仿宋_GB2312" w:eastAsia="方正仿宋_GB2312" w:cs="方正仿宋_GB2312"/>
                <w:color w:val="auto"/>
                <w:spacing w:val="20"/>
                <w:sz w:val="21"/>
                <w:szCs w:val="22"/>
                <w:highlight w:val="none"/>
                <w:lang w:val="en-US" w:eastAsia="zh-CN" w:bidi="ar-SA"/>
              </w:rPr>
            </w:pPr>
            <w:r>
              <w:rPr>
                <w:rFonts w:hint="eastAsia" w:ascii="方正仿宋_GB2312" w:hAnsi="方正仿宋_GB2312" w:eastAsia="方正仿宋_GB2312" w:cs="方正仿宋_GB2312"/>
                <w:color w:val="auto"/>
                <w:spacing w:val="20"/>
                <w:sz w:val="21"/>
                <w:szCs w:val="22"/>
                <w:highlight w:val="none"/>
                <w:lang w:val="en-US" w:eastAsia="zh-CN" w:bidi="ar-SA"/>
              </w:rPr>
              <w:t>项目经理</w:t>
            </w:r>
          </w:p>
        </w:tc>
        <w:tc>
          <w:tcPr>
            <w:tcW w:w="713" w:type="dxa"/>
            <w:tcBorders>
              <w:top w:val="single" w:color="000000" w:sz="6" w:space="0"/>
              <w:left w:val="single" w:color="000000" w:sz="6" w:space="0"/>
              <w:bottom w:val="single" w:color="000000" w:sz="6" w:space="0"/>
              <w:right w:val="single" w:color="000000" w:sz="6" w:space="0"/>
            </w:tcBorders>
            <w:noWrap w:val="0"/>
            <w:vAlign w:val="top"/>
          </w:tcPr>
          <w:p>
            <w:pPr>
              <w:pStyle w:val="14"/>
              <w:rPr>
                <w:rFonts w:hint="eastAsia" w:ascii="方正仿宋_GB2312" w:hAnsi="方正仿宋_GB2312" w:eastAsia="方正仿宋_GB2312" w:cs="方正仿宋_GB2312"/>
                <w:color w:val="auto"/>
                <w:sz w:val="20"/>
                <w:highlight w:val="none"/>
              </w:rPr>
            </w:pPr>
          </w:p>
          <w:p>
            <w:pPr>
              <w:pStyle w:val="14"/>
              <w:rPr>
                <w:rFonts w:hint="eastAsia" w:ascii="方正仿宋_GB2312" w:hAnsi="方正仿宋_GB2312" w:eastAsia="方正仿宋_GB2312" w:cs="方正仿宋_GB2312"/>
                <w:color w:val="auto"/>
                <w:sz w:val="20"/>
                <w:highlight w:val="none"/>
              </w:rPr>
            </w:pPr>
          </w:p>
          <w:p>
            <w:pPr>
              <w:pStyle w:val="14"/>
              <w:rPr>
                <w:rFonts w:hint="eastAsia" w:ascii="方正仿宋_GB2312" w:hAnsi="方正仿宋_GB2312" w:eastAsia="方正仿宋_GB2312" w:cs="方正仿宋_GB2312"/>
                <w:color w:val="auto"/>
                <w:sz w:val="20"/>
                <w:highlight w:val="none"/>
              </w:rPr>
            </w:pPr>
          </w:p>
          <w:p>
            <w:pPr>
              <w:pStyle w:val="14"/>
              <w:rPr>
                <w:rFonts w:hint="eastAsia" w:ascii="方正仿宋_GB2312" w:hAnsi="方正仿宋_GB2312" w:eastAsia="方正仿宋_GB2312" w:cs="方正仿宋_GB2312"/>
                <w:color w:val="auto"/>
                <w:sz w:val="20"/>
                <w:highlight w:val="none"/>
              </w:rPr>
            </w:pPr>
          </w:p>
          <w:p>
            <w:pPr>
              <w:pStyle w:val="14"/>
              <w:spacing w:before="12"/>
              <w:rPr>
                <w:rFonts w:hint="eastAsia" w:ascii="方正仿宋_GB2312" w:hAnsi="方正仿宋_GB2312" w:eastAsia="方正仿宋_GB2312" w:cs="方正仿宋_GB2312"/>
                <w:color w:val="auto"/>
                <w:sz w:val="15"/>
                <w:highlight w:val="none"/>
              </w:rPr>
            </w:pPr>
          </w:p>
          <w:p>
            <w:pPr>
              <w:pStyle w:val="14"/>
              <w:ind w:right="99"/>
              <w:jc w:val="center"/>
              <w:rPr>
                <w:rFonts w:hint="eastAsia" w:ascii="方正仿宋_GB2312" w:hAnsi="方正仿宋_GB2312" w:eastAsia="方正仿宋_GB2312" w:cs="方正仿宋_GB2312"/>
                <w:color w:val="auto"/>
                <w:w w:val="99"/>
                <w:sz w:val="21"/>
                <w:highlight w:val="none"/>
              </w:rPr>
            </w:pPr>
          </w:p>
          <w:p>
            <w:pPr>
              <w:pStyle w:val="14"/>
              <w:ind w:right="99"/>
              <w:jc w:val="center"/>
              <w:rPr>
                <w:rFonts w:hint="eastAsia" w:ascii="方正仿宋_GB2312" w:hAnsi="方正仿宋_GB2312" w:eastAsia="方正仿宋_GB2312" w:cs="方正仿宋_GB2312"/>
                <w:color w:val="auto"/>
                <w:w w:val="99"/>
                <w:sz w:val="21"/>
                <w:highlight w:val="none"/>
              </w:rPr>
            </w:pPr>
          </w:p>
          <w:p>
            <w:pPr>
              <w:pStyle w:val="14"/>
              <w:ind w:right="99"/>
              <w:jc w:val="center"/>
              <w:rPr>
                <w:rFonts w:hint="eastAsia" w:ascii="方正仿宋_GB2312" w:hAnsi="方正仿宋_GB2312" w:eastAsia="方正仿宋_GB2312" w:cs="方正仿宋_GB2312"/>
                <w:color w:val="auto"/>
                <w:w w:val="99"/>
                <w:sz w:val="21"/>
                <w:highlight w:val="none"/>
              </w:rPr>
            </w:pPr>
          </w:p>
          <w:p>
            <w:pPr>
              <w:pStyle w:val="14"/>
              <w:ind w:right="99"/>
              <w:jc w:val="center"/>
              <w:rPr>
                <w:rFonts w:hint="eastAsia" w:ascii="方正仿宋_GB2312" w:hAnsi="方正仿宋_GB2312" w:eastAsia="方正仿宋_GB2312" w:cs="方正仿宋_GB2312"/>
                <w:color w:val="auto"/>
                <w:w w:val="99"/>
                <w:sz w:val="21"/>
                <w:highlight w:val="none"/>
              </w:rPr>
            </w:pPr>
          </w:p>
          <w:p>
            <w:pPr>
              <w:pStyle w:val="14"/>
              <w:ind w:right="99"/>
              <w:jc w:val="center"/>
              <w:rPr>
                <w:rFonts w:hint="eastAsia" w:ascii="方正仿宋_GB2312" w:hAnsi="方正仿宋_GB2312" w:eastAsia="方正仿宋_GB2312" w:cs="方正仿宋_GB2312"/>
                <w:color w:val="auto"/>
                <w:w w:val="99"/>
                <w:sz w:val="21"/>
                <w:highlight w:val="none"/>
              </w:rPr>
            </w:pPr>
          </w:p>
          <w:p>
            <w:pPr>
              <w:pStyle w:val="14"/>
              <w:ind w:right="99"/>
              <w:jc w:val="center"/>
              <w:rPr>
                <w:rFonts w:hint="eastAsia" w:ascii="方正仿宋_GB2312" w:hAnsi="方正仿宋_GB2312" w:eastAsia="方正仿宋_GB2312" w:cs="方正仿宋_GB2312"/>
                <w:color w:val="auto"/>
                <w:w w:val="99"/>
                <w:sz w:val="21"/>
                <w:highlight w:val="none"/>
              </w:rPr>
            </w:pPr>
          </w:p>
          <w:p>
            <w:pPr>
              <w:pStyle w:val="14"/>
              <w:ind w:right="99"/>
              <w:jc w:val="center"/>
              <w:rPr>
                <w:rFonts w:hint="eastAsia" w:ascii="方正仿宋_GB2312" w:hAnsi="方正仿宋_GB2312" w:eastAsia="方正仿宋_GB2312" w:cs="方正仿宋_GB2312"/>
                <w:color w:val="auto"/>
                <w:w w:val="99"/>
                <w:sz w:val="21"/>
                <w:highlight w:val="none"/>
              </w:rPr>
            </w:pPr>
          </w:p>
          <w:p>
            <w:pPr>
              <w:pStyle w:val="14"/>
              <w:ind w:right="99"/>
              <w:jc w:val="center"/>
              <w:rPr>
                <w:rFonts w:hint="eastAsia" w:ascii="方正仿宋_GB2312" w:hAnsi="方正仿宋_GB2312" w:eastAsia="方正仿宋_GB2312" w:cs="方正仿宋_GB2312"/>
                <w:color w:val="auto"/>
                <w:w w:val="99"/>
                <w:sz w:val="21"/>
                <w:highlight w:val="none"/>
              </w:rPr>
            </w:pPr>
          </w:p>
          <w:p>
            <w:pPr>
              <w:pStyle w:val="14"/>
              <w:ind w:right="99"/>
              <w:jc w:val="both"/>
              <w:rPr>
                <w:rFonts w:hint="eastAsia" w:ascii="方正仿宋_GB2312" w:hAnsi="方正仿宋_GB2312" w:eastAsia="方正仿宋_GB2312" w:cs="方正仿宋_GB2312"/>
                <w:color w:val="auto"/>
                <w:w w:val="99"/>
                <w:sz w:val="21"/>
                <w:highlight w:val="none"/>
              </w:rPr>
            </w:pPr>
          </w:p>
          <w:p>
            <w:pPr>
              <w:pStyle w:val="14"/>
              <w:ind w:right="99"/>
              <w:jc w:val="center"/>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w w:val="99"/>
                <w:sz w:val="21"/>
                <w:highlight w:val="none"/>
              </w:rPr>
              <w:t>1</w:t>
            </w:r>
          </w:p>
        </w:tc>
        <w:tc>
          <w:tcPr>
            <w:tcW w:w="410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422" w:firstLineChars="200"/>
              <w:jc w:val="left"/>
              <w:textAlignment w:val="auto"/>
              <w:rPr>
                <w:rFonts w:hint="eastAsia" w:ascii="方正仿宋_GB2312" w:hAnsi="方正仿宋_GB2312" w:eastAsia="方正仿宋_GB2312" w:cs="方正仿宋_GB2312"/>
                <w:color w:val="auto"/>
                <w:w w:val="95"/>
                <w:sz w:val="21"/>
                <w:szCs w:val="21"/>
                <w:highlight w:val="none"/>
              </w:rPr>
            </w:pPr>
            <w:r>
              <w:rPr>
                <w:rFonts w:hint="eastAsia" w:ascii="方正仿宋_GB2312" w:hAnsi="方正仿宋_GB2312" w:eastAsia="方正仿宋_GB2312" w:cs="方正仿宋_GB2312"/>
                <w:b/>
                <w:bCs/>
                <w:color w:val="auto"/>
                <w:sz w:val="21"/>
                <w:szCs w:val="21"/>
                <w:highlight w:val="none"/>
                <w:lang w:val="en-US" w:eastAsia="zh-CN"/>
              </w:rPr>
              <w:t>项目经理：</w:t>
            </w:r>
            <w:r>
              <w:rPr>
                <w:rFonts w:hint="eastAsia" w:ascii="方正仿宋_GB2312" w:hAnsi="方正仿宋_GB2312" w:eastAsia="方正仿宋_GB2312" w:cs="方正仿宋_GB2312"/>
                <w:color w:val="auto"/>
                <w:spacing w:val="20"/>
                <w:sz w:val="21"/>
                <w:szCs w:val="22"/>
                <w:highlight w:val="none"/>
                <w:lang w:val="en-US" w:eastAsia="zh-CN" w:bidi="ar-SA"/>
              </w:rPr>
              <w:t>具有公路工程相关专业中级及以上职称，并具有住建部颁发的公路工程专业一级及以上注册建造师证，持有交通运输主管部门或建设主管部门颁发的B类安全生产考核证书。担任过一级及以上等级公路路面养护工程（工程内容中须含有路面养护和交通安全设施施工内容）的项目经理（项目负责人）职务，业绩数量至少为1个（如为项目副经理职务业绩数量至少为2个）。</w:t>
            </w:r>
          </w:p>
        </w:tc>
        <w:tc>
          <w:tcPr>
            <w:tcW w:w="2613" w:type="dxa"/>
            <w:vMerge w:val="restart"/>
            <w:tcBorders>
              <w:top w:val="single" w:color="000000" w:sz="6" w:space="0"/>
              <w:left w:val="single" w:color="000000" w:sz="6" w:space="0"/>
            </w:tcBorders>
            <w:noWrap w:val="0"/>
            <w:vAlign w:val="top"/>
          </w:tcPr>
          <w:p>
            <w:pPr>
              <w:pStyle w:val="14"/>
              <w:keepNext w:val="0"/>
              <w:keepLines w:val="0"/>
              <w:pageBreakBefore w:val="0"/>
              <w:widowControl w:val="0"/>
              <w:kinsoku/>
              <w:wordWrap/>
              <w:overflowPunct/>
              <w:topLinePunct w:val="0"/>
              <w:autoSpaceDE w:val="0"/>
              <w:autoSpaceDN w:val="0"/>
              <w:bidi w:val="0"/>
              <w:adjustRightInd/>
              <w:snapToGrid/>
              <w:spacing w:line="360" w:lineRule="auto"/>
              <w:ind w:right="79" w:firstLine="163" w:firstLineChars="100"/>
              <w:jc w:val="left"/>
              <w:textAlignment w:val="auto"/>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pacing w:val="-18"/>
                <w:w w:val="95"/>
                <w:sz w:val="21"/>
                <w:highlight w:val="none"/>
              </w:rPr>
              <w:t>无在岗</w:t>
            </w:r>
            <w:r>
              <w:rPr>
                <w:rFonts w:hint="eastAsia" w:ascii="方正仿宋_GB2312" w:hAnsi="方正仿宋_GB2312" w:eastAsia="方正仿宋_GB2312" w:cs="方正仿宋_GB2312"/>
                <w:color w:val="auto"/>
                <w:spacing w:val="20"/>
                <w:w w:val="95"/>
                <w:sz w:val="21"/>
                <w:highlight w:val="none"/>
              </w:rPr>
              <w:t>项目是指：</w:t>
            </w:r>
          </w:p>
          <w:p>
            <w:pPr>
              <w:pStyle w:val="14"/>
              <w:keepNext w:val="0"/>
              <w:keepLines w:val="0"/>
              <w:pageBreakBefore w:val="0"/>
              <w:widowControl w:val="0"/>
              <w:kinsoku/>
              <w:wordWrap/>
              <w:overflowPunct/>
              <w:topLinePunct w:val="0"/>
              <w:autoSpaceDE w:val="0"/>
              <w:autoSpaceDN w:val="0"/>
              <w:bidi w:val="0"/>
              <w:adjustRightInd/>
              <w:snapToGrid/>
              <w:spacing w:line="360" w:lineRule="auto"/>
              <w:ind w:left="114" w:right="79"/>
              <w:jc w:val="left"/>
              <w:textAlignment w:val="auto"/>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pacing w:val="3"/>
                <w:w w:val="95"/>
                <w:sz w:val="21"/>
                <w:highlight w:val="none"/>
              </w:rPr>
              <w:t>①目前未在</w:t>
            </w:r>
            <w:r>
              <w:rPr>
                <w:rFonts w:hint="eastAsia" w:ascii="方正仿宋_GB2312" w:hAnsi="方正仿宋_GB2312" w:eastAsia="方正仿宋_GB2312" w:cs="方正仿宋_GB2312"/>
                <w:color w:val="auto"/>
                <w:spacing w:val="20"/>
                <w:sz w:val="21"/>
                <w:highlight w:val="none"/>
              </w:rPr>
              <w:t>其它项目上</w:t>
            </w:r>
            <w:r>
              <w:rPr>
                <w:rFonts w:hint="eastAsia" w:ascii="方正仿宋_GB2312" w:hAnsi="方正仿宋_GB2312" w:eastAsia="方正仿宋_GB2312" w:cs="方正仿宋_GB2312"/>
                <w:color w:val="auto"/>
                <w:spacing w:val="-4"/>
                <w:sz w:val="21"/>
                <w:highlight w:val="none"/>
              </w:rPr>
              <w:t>中 标或</w:t>
            </w:r>
            <w:r>
              <w:rPr>
                <w:rFonts w:hint="eastAsia" w:ascii="方正仿宋_GB2312" w:hAnsi="方正仿宋_GB2312" w:eastAsia="方正仿宋_GB2312" w:cs="方正仿宋_GB2312"/>
                <w:color w:val="auto"/>
                <w:spacing w:val="20"/>
                <w:sz w:val="21"/>
                <w:highlight w:val="none"/>
              </w:rPr>
              <w:t>任职；②在其它项目上中标或已任职，且中标或已任职项目的合同工期与本项目的工期重叠，但本项目中标后能够从</w:t>
            </w:r>
            <w:r>
              <w:rPr>
                <w:rFonts w:hint="eastAsia" w:ascii="方正仿宋_GB2312" w:hAnsi="方正仿宋_GB2312" w:eastAsia="方正仿宋_GB2312" w:cs="方正仿宋_GB2312"/>
                <w:color w:val="auto"/>
                <w:spacing w:val="20"/>
                <w:sz w:val="21"/>
                <w:highlight w:val="none"/>
                <w:lang w:val="en-US" w:eastAsia="zh-CN"/>
              </w:rPr>
              <w:t>该</w:t>
            </w:r>
            <w:r>
              <w:rPr>
                <w:rFonts w:hint="eastAsia" w:ascii="方正仿宋_GB2312" w:hAnsi="方正仿宋_GB2312" w:eastAsia="方正仿宋_GB2312" w:cs="方正仿宋_GB2312"/>
                <w:color w:val="auto"/>
                <w:spacing w:val="20"/>
                <w:sz w:val="21"/>
                <w:highlight w:val="none"/>
              </w:rPr>
              <w:t>项目上撤离</w:t>
            </w:r>
            <w:r>
              <w:rPr>
                <w:rFonts w:hint="eastAsia" w:ascii="方正仿宋_GB2312" w:hAnsi="方正仿宋_GB2312" w:eastAsia="方正仿宋_GB2312" w:cs="方正仿宋_GB2312"/>
                <w:color w:val="auto"/>
                <w:spacing w:val="20"/>
                <w:sz w:val="21"/>
                <w:highlight w:val="none"/>
                <w:lang w:eastAsia="zh-CN"/>
              </w:rPr>
              <w:t>，</w:t>
            </w:r>
            <w:r>
              <w:rPr>
                <w:rFonts w:hint="eastAsia" w:ascii="方正仿宋_GB2312" w:hAnsi="方正仿宋_GB2312" w:eastAsia="方正仿宋_GB2312" w:cs="方正仿宋_GB2312"/>
                <w:color w:val="auto"/>
                <w:spacing w:val="20"/>
                <w:sz w:val="21"/>
                <w:highlight w:val="none"/>
                <w:lang w:val="en-US" w:eastAsia="zh-CN"/>
              </w:rPr>
              <w:t>投标人无需书面证明，</w:t>
            </w:r>
            <w:r>
              <w:rPr>
                <w:rFonts w:hint="eastAsia" w:ascii="方正仿宋_GB2312" w:hAnsi="方正仿宋_GB2312" w:eastAsia="方正仿宋_GB2312" w:cs="方正仿宋_GB2312"/>
                <w:color w:val="auto"/>
                <w:spacing w:val="20"/>
                <w:sz w:val="21"/>
                <w:highlight w:val="none"/>
              </w:rPr>
              <w:t>则投标人必须在本次投标文件中提供书面</w:t>
            </w:r>
            <w:r>
              <w:rPr>
                <w:rFonts w:hint="eastAsia" w:ascii="方正仿宋_GB2312" w:hAnsi="方正仿宋_GB2312" w:eastAsia="方正仿宋_GB2312" w:cs="方正仿宋_GB2312"/>
                <w:color w:val="auto"/>
                <w:spacing w:val="20"/>
                <w:sz w:val="21"/>
                <w:highlight w:val="none"/>
                <w:lang w:val="en-US" w:eastAsia="zh-CN"/>
              </w:rPr>
              <w:t>在岗撤离</w:t>
            </w:r>
            <w:r>
              <w:rPr>
                <w:rFonts w:hint="eastAsia" w:ascii="方正仿宋_GB2312" w:hAnsi="方正仿宋_GB2312" w:eastAsia="方正仿宋_GB2312" w:cs="方正仿宋_GB2312"/>
                <w:color w:val="auto"/>
                <w:spacing w:val="20"/>
                <w:sz w:val="21"/>
                <w:highlight w:val="none"/>
              </w:rPr>
              <w:t>承诺</w:t>
            </w:r>
            <w:r>
              <w:rPr>
                <w:rFonts w:hint="eastAsia" w:ascii="方正仿宋_GB2312" w:hAnsi="方正仿宋_GB2312" w:eastAsia="方正仿宋_GB2312" w:cs="方正仿宋_GB2312"/>
                <w:color w:val="auto"/>
                <w:spacing w:val="20"/>
                <w:sz w:val="21"/>
                <w:highlight w:val="none"/>
                <w:lang w:val="en-US" w:eastAsia="zh-CN"/>
              </w:rPr>
              <w:t>书</w:t>
            </w:r>
            <w:r>
              <w:rPr>
                <w:rFonts w:hint="eastAsia" w:ascii="方正仿宋_GB2312" w:hAnsi="方正仿宋_GB2312" w:eastAsia="方正仿宋_GB2312" w:cs="方正仿宋_GB2312"/>
                <w:color w:val="auto"/>
                <w:spacing w:val="20"/>
                <w:sz w:val="21"/>
                <w:highlight w:val="none"/>
              </w:rPr>
              <w:t>，承诺的内容为上述人员能够从中标项目或已任职项目上撤离。未填写在岗要求或未提供</w:t>
            </w:r>
            <w:r>
              <w:rPr>
                <w:rFonts w:hint="eastAsia" w:ascii="方正仿宋_GB2312" w:hAnsi="方正仿宋_GB2312" w:eastAsia="方正仿宋_GB2312" w:cs="方正仿宋_GB2312"/>
                <w:color w:val="auto"/>
                <w:spacing w:val="20"/>
                <w:w w:val="95"/>
                <w:sz w:val="21"/>
                <w:highlight w:val="none"/>
              </w:rPr>
              <w:t>承诺证明材</w:t>
            </w:r>
            <w:r>
              <w:rPr>
                <w:rFonts w:hint="eastAsia" w:ascii="方正仿宋_GB2312" w:hAnsi="方正仿宋_GB2312" w:eastAsia="方正仿宋_GB2312" w:cs="方正仿宋_GB2312"/>
                <w:color w:val="auto"/>
                <w:spacing w:val="3"/>
                <w:w w:val="95"/>
                <w:sz w:val="21"/>
                <w:highlight w:val="none"/>
              </w:rPr>
              <w:t>料的，其资</w:t>
            </w:r>
            <w:r>
              <w:rPr>
                <w:rFonts w:hint="eastAsia" w:ascii="方正仿宋_GB2312" w:hAnsi="方正仿宋_GB2312" w:eastAsia="方正仿宋_GB2312" w:cs="方正仿宋_GB2312"/>
                <w:color w:val="auto"/>
                <w:spacing w:val="20"/>
                <w:sz w:val="21"/>
                <w:highlight w:val="none"/>
              </w:rPr>
              <w:t>格审查不通</w:t>
            </w:r>
            <w:r>
              <w:rPr>
                <w:rFonts w:hint="eastAsia" w:ascii="方正仿宋_GB2312" w:hAnsi="方正仿宋_GB2312" w:eastAsia="方正仿宋_GB2312" w:cs="方正仿宋_GB2312"/>
                <w:color w:val="auto"/>
                <w:sz w:val="21"/>
                <w:highlight w:val="none"/>
              </w:rPr>
              <w:t>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211" w:type="dxa"/>
            <w:vMerge w:val="continue"/>
            <w:tcBorders>
              <w:top w:val="nil"/>
              <w:bottom w:val="single" w:color="auto" w:sz="4" w:space="0"/>
              <w:right w:val="single" w:color="000000" w:sz="6" w:space="0"/>
            </w:tcBorders>
            <w:noWrap w:val="0"/>
            <w:vAlign w:val="top"/>
          </w:tcPr>
          <w:p>
            <w:pPr>
              <w:rPr>
                <w:rFonts w:hint="eastAsia" w:ascii="方正仿宋_GB2312" w:hAnsi="方正仿宋_GB2312" w:eastAsia="方正仿宋_GB2312" w:cs="方正仿宋_GB2312"/>
                <w:color w:val="auto"/>
                <w:sz w:val="2"/>
                <w:szCs w:val="2"/>
                <w:highlight w:val="none"/>
              </w:rPr>
            </w:pPr>
          </w:p>
        </w:tc>
        <w:tc>
          <w:tcPr>
            <w:tcW w:w="874" w:type="dxa"/>
            <w:tcBorders>
              <w:top w:val="single" w:color="000000" w:sz="6" w:space="0"/>
              <w:left w:val="single" w:color="000000" w:sz="6" w:space="0"/>
              <w:bottom w:val="single" w:color="auto" w:sz="4" w:space="0"/>
              <w:right w:val="single" w:color="000000" w:sz="6" w:space="0"/>
            </w:tcBorders>
            <w:noWrap w:val="0"/>
            <w:vAlign w:val="top"/>
          </w:tcPr>
          <w:p>
            <w:pPr>
              <w:pStyle w:val="14"/>
              <w:rPr>
                <w:rFonts w:hint="eastAsia" w:ascii="方正仿宋_GB2312" w:hAnsi="方正仿宋_GB2312" w:eastAsia="方正仿宋_GB2312" w:cs="方正仿宋_GB2312"/>
                <w:color w:val="auto"/>
                <w:sz w:val="20"/>
                <w:highlight w:val="none"/>
              </w:rPr>
            </w:pPr>
          </w:p>
          <w:p>
            <w:pPr>
              <w:pStyle w:val="14"/>
              <w:spacing w:before="5"/>
              <w:rPr>
                <w:rFonts w:hint="eastAsia" w:ascii="方正仿宋_GB2312" w:hAnsi="方正仿宋_GB2312" w:eastAsia="方正仿宋_GB2312" w:cs="方正仿宋_GB2312"/>
                <w:color w:val="auto"/>
                <w:sz w:val="27"/>
                <w:highlight w:val="none"/>
              </w:rPr>
            </w:pPr>
          </w:p>
          <w:p>
            <w:pPr>
              <w:pStyle w:val="14"/>
              <w:spacing w:line="364" w:lineRule="auto"/>
              <w:ind w:left="192" w:right="162"/>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pacing w:val="-3"/>
                <w:sz w:val="21"/>
                <w:highlight w:val="none"/>
              </w:rPr>
              <w:t>项目总工</w:t>
            </w:r>
          </w:p>
        </w:tc>
        <w:tc>
          <w:tcPr>
            <w:tcW w:w="713" w:type="dxa"/>
            <w:tcBorders>
              <w:top w:val="single" w:color="000000" w:sz="6" w:space="0"/>
              <w:left w:val="single" w:color="000000" w:sz="6" w:space="0"/>
              <w:bottom w:val="single" w:color="auto" w:sz="4" w:space="0"/>
              <w:right w:val="single" w:color="000000" w:sz="6" w:space="0"/>
            </w:tcBorders>
            <w:noWrap w:val="0"/>
            <w:vAlign w:val="top"/>
          </w:tcPr>
          <w:p>
            <w:pPr>
              <w:pStyle w:val="14"/>
              <w:rPr>
                <w:rFonts w:hint="eastAsia" w:ascii="方正仿宋_GB2312" w:hAnsi="方正仿宋_GB2312" w:eastAsia="方正仿宋_GB2312" w:cs="方正仿宋_GB2312"/>
                <w:color w:val="auto"/>
                <w:sz w:val="20"/>
                <w:highlight w:val="none"/>
              </w:rPr>
            </w:pPr>
          </w:p>
          <w:p>
            <w:pPr>
              <w:pStyle w:val="14"/>
              <w:rPr>
                <w:rFonts w:hint="eastAsia" w:ascii="方正仿宋_GB2312" w:hAnsi="方正仿宋_GB2312" w:eastAsia="方正仿宋_GB2312" w:cs="方正仿宋_GB2312"/>
                <w:color w:val="auto"/>
                <w:sz w:val="20"/>
                <w:highlight w:val="none"/>
              </w:rPr>
            </w:pPr>
          </w:p>
          <w:p>
            <w:pPr>
              <w:pStyle w:val="14"/>
              <w:spacing w:before="4"/>
              <w:rPr>
                <w:rFonts w:hint="eastAsia" w:ascii="方正仿宋_GB2312" w:hAnsi="方正仿宋_GB2312" w:eastAsia="方正仿宋_GB2312" w:cs="方正仿宋_GB2312"/>
                <w:color w:val="auto"/>
                <w:sz w:val="23"/>
                <w:highlight w:val="none"/>
              </w:rPr>
            </w:pPr>
          </w:p>
          <w:p>
            <w:pPr>
              <w:pStyle w:val="14"/>
              <w:ind w:right="99"/>
              <w:jc w:val="center"/>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w w:val="99"/>
                <w:sz w:val="21"/>
                <w:highlight w:val="none"/>
              </w:rPr>
              <w:t>1</w:t>
            </w:r>
          </w:p>
        </w:tc>
        <w:tc>
          <w:tcPr>
            <w:tcW w:w="4107" w:type="dxa"/>
            <w:tcBorders>
              <w:top w:val="single" w:color="000000" w:sz="6" w:space="0"/>
              <w:left w:val="single" w:color="000000" w:sz="6" w:space="0"/>
              <w:bottom w:val="single" w:color="auto" w:sz="4" w:space="0"/>
              <w:right w:val="single" w:color="000000" w:sz="6" w:space="0"/>
            </w:tcBorders>
            <w:noWrap w:val="0"/>
            <w:vAlign w:val="top"/>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442" w:firstLineChars="200"/>
              <w:jc w:val="left"/>
              <w:textAlignment w:val="auto"/>
              <w:rPr>
                <w:rFonts w:hint="eastAsia" w:ascii="方正仿宋_GB2312" w:hAnsi="方正仿宋_GB2312" w:eastAsia="方正仿宋_GB2312" w:cs="方正仿宋_GB2312"/>
                <w:color w:val="auto"/>
                <w:w w:val="95"/>
                <w:sz w:val="21"/>
                <w:szCs w:val="21"/>
                <w:highlight w:val="none"/>
              </w:rPr>
            </w:pPr>
            <w:r>
              <w:rPr>
                <w:rFonts w:hint="eastAsia" w:ascii="方正仿宋_GB2312" w:hAnsi="方正仿宋_GB2312" w:eastAsia="方正仿宋_GB2312" w:cs="方正仿宋_GB2312"/>
                <w:b/>
                <w:bCs/>
                <w:color w:val="auto"/>
                <w:sz w:val="22"/>
                <w:szCs w:val="22"/>
                <w:highlight w:val="none"/>
                <w:lang w:val="en-US" w:eastAsia="zh-CN"/>
              </w:rPr>
              <w:t>项目总工：</w:t>
            </w:r>
            <w:r>
              <w:rPr>
                <w:rFonts w:hint="eastAsia" w:ascii="方正仿宋_GB2312" w:hAnsi="方正仿宋_GB2312" w:eastAsia="方正仿宋_GB2312" w:cs="方正仿宋_GB2312"/>
                <w:color w:val="auto"/>
                <w:spacing w:val="20"/>
                <w:sz w:val="21"/>
                <w:szCs w:val="22"/>
                <w:highlight w:val="none"/>
                <w:lang w:val="en-US" w:eastAsia="zh-CN" w:bidi="ar-SA"/>
              </w:rPr>
              <w:t>具有公路工程相关专业中级及以上职称。担任过一级及以上等级公路路面养护工程（工程内容中须含有路面养护和交通安全设施施工内容）的项目总工（技术负责人）职务，业绩数量至少为1个（如为项目副总工职务业绩数量至少为 2个）。</w:t>
            </w:r>
          </w:p>
        </w:tc>
        <w:tc>
          <w:tcPr>
            <w:tcW w:w="2613" w:type="dxa"/>
            <w:vMerge w:val="continue"/>
            <w:tcBorders>
              <w:top w:val="nil"/>
              <w:left w:val="single" w:color="000000" w:sz="6" w:space="0"/>
              <w:bottom w:val="single" w:color="auto" w:sz="4" w:space="0"/>
            </w:tcBorders>
            <w:noWrap w:val="0"/>
            <w:vAlign w:val="top"/>
          </w:tcPr>
          <w:p>
            <w:pPr>
              <w:rPr>
                <w:rFonts w:hint="eastAsia" w:ascii="方正仿宋_GB2312" w:hAnsi="方正仿宋_GB2312" w:eastAsia="方正仿宋_GB2312" w:cs="方正仿宋_GB2312"/>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2" w:hRule="atLeast"/>
          <w:jc w:val="center"/>
        </w:trPr>
        <w:tc>
          <w:tcPr>
            <w:tcW w:w="9518"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2312" w:hAnsi="方正仿宋_GB2312" w:eastAsia="方正仿宋_GB2312" w:cs="方正仿宋_GB2312"/>
                <w:color w:val="auto"/>
                <w:sz w:val="2"/>
                <w:szCs w:val="2"/>
                <w:highlight w:val="none"/>
              </w:rPr>
            </w:pPr>
          </w:p>
          <w:p>
            <w:pPr>
              <w:pStyle w:val="14"/>
              <w:spacing w:before="1"/>
              <w:ind w:firstLine="420" w:firstLineChars="200"/>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注：修改补充投标人须知正文第 3.5.5 项</w:t>
            </w:r>
            <w:r>
              <w:rPr>
                <w:rFonts w:hint="eastAsia" w:ascii="方正仿宋_GB2312" w:hAnsi="方正仿宋_GB2312" w:eastAsia="方正仿宋_GB2312" w:cs="方正仿宋_GB2312"/>
                <w:color w:val="auto"/>
                <w:spacing w:val="2"/>
                <w:w w:val="95"/>
                <w:sz w:val="21"/>
                <w:highlight w:val="none"/>
              </w:rPr>
              <w:t>：</w:t>
            </w:r>
          </w:p>
          <w:p>
            <w:pPr>
              <w:pStyle w:val="14"/>
              <w:numPr>
                <w:ilvl w:val="0"/>
                <w:numId w:val="2"/>
              </w:numPr>
              <w:tabs>
                <w:tab w:val="left" w:pos="1064"/>
              </w:tabs>
              <w:spacing w:before="139" w:line="367" w:lineRule="auto"/>
              <w:ind w:right="77" w:firstLine="420"/>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投标人应按资格审查资料表（六）拟委任的项目经理和项目总工资历表的格式要求分别填写项目经理和项目总工的资历，还应后附相关资格证明材料的彩色扫描件。</w:t>
            </w:r>
          </w:p>
          <w:p>
            <w:pPr>
              <w:pStyle w:val="14"/>
              <w:numPr>
                <w:ilvl w:val="0"/>
                <w:numId w:val="2"/>
              </w:numPr>
              <w:tabs>
                <w:tab w:val="left" w:pos="1064"/>
              </w:tabs>
              <w:spacing w:line="364" w:lineRule="auto"/>
              <w:ind w:right="77" w:firstLine="420"/>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项目经理须提供的资格证明材料：身份证、职称资格证书、建造师注册证书、安全生产考核合格证书彩色扫描件，其中：建造师注册证书及安全生产考核合格证书还需提供在政府相关部门网站上公开信息的网页截图；投标人所属社保机构出具的</w:t>
            </w:r>
            <w:r>
              <w:rPr>
                <w:rFonts w:hint="eastAsia" w:ascii="方正仿宋_GB2312" w:hAnsi="方正仿宋_GB2312" w:eastAsia="方正仿宋_GB2312" w:cs="方正仿宋_GB2312"/>
                <w:color w:val="auto"/>
                <w:sz w:val="21"/>
                <w:highlight w:val="none"/>
              </w:rPr>
              <w:t>202</w:t>
            </w:r>
            <w:r>
              <w:rPr>
                <w:rFonts w:hint="eastAsia" w:ascii="方正仿宋_GB2312" w:hAnsi="方正仿宋_GB2312" w:eastAsia="方正仿宋_GB2312" w:cs="方正仿宋_GB2312"/>
                <w:color w:val="auto"/>
                <w:sz w:val="21"/>
                <w:highlight w:val="none"/>
                <w:lang w:val="en-US" w:eastAsia="zh-CN"/>
              </w:rPr>
              <w:t>3</w:t>
            </w:r>
            <w:r>
              <w:rPr>
                <w:rFonts w:hint="eastAsia" w:ascii="方正仿宋_GB2312" w:hAnsi="方正仿宋_GB2312" w:eastAsia="方正仿宋_GB2312" w:cs="方正仿宋_GB2312"/>
                <w:color w:val="auto"/>
                <w:sz w:val="21"/>
                <w:highlight w:val="none"/>
              </w:rPr>
              <w:t>年</w:t>
            </w:r>
            <w:r>
              <w:rPr>
                <w:rFonts w:hint="eastAsia" w:ascii="方正仿宋_GB2312" w:hAnsi="方正仿宋_GB2312" w:eastAsia="方正仿宋_GB2312" w:cs="方正仿宋_GB2312"/>
                <w:color w:val="auto"/>
                <w:sz w:val="21"/>
                <w:highlight w:val="none"/>
                <w:lang w:val="en-US" w:eastAsia="zh-CN"/>
              </w:rPr>
              <w:t>5</w:t>
            </w:r>
            <w:r>
              <w:rPr>
                <w:rFonts w:hint="eastAsia" w:ascii="方正仿宋_GB2312" w:hAnsi="方正仿宋_GB2312" w:eastAsia="方正仿宋_GB2312" w:cs="方正仿宋_GB2312"/>
                <w:color w:val="auto"/>
                <w:sz w:val="21"/>
                <w:highlight w:val="none"/>
              </w:rPr>
              <w:t>月至今任意连续3个月</w:t>
            </w:r>
            <w:r>
              <w:rPr>
                <w:rFonts w:hint="eastAsia" w:ascii="方正仿宋_GB2312" w:hAnsi="方正仿宋_GB2312" w:eastAsia="方正仿宋_GB2312" w:cs="方正仿宋_GB2312"/>
                <w:color w:val="auto"/>
                <w:sz w:val="21"/>
                <w:highlight w:val="none"/>
              </w:rPr>
              <w:t>社保缴费证明或其他能够证明参加社保的有效证明材料以及人员相关业绩的网页截图、在岗撤离承诺书（如需、格式自拟）。</w:t>
            </w:r>
          </w:p>
          <w:p>
            <w:pPr>
              <w:pStyle w:val="14"/>
              <w:numPr>
                <w:ilvl w:val="0"/>
                <w:numId w:val="2"/>
              </w:numPr>
              <w:tabs>
                <w:tab w:val="left" w:pos="1064"/>
              </w:tabs>
              <w:spacing w:line="364" w:lineRule="auto"/>
              <w:ind w:right="77" w:firstLine="420"/>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项目总工须提供的资格证明材料：身份证、职称资格证书彩色扫描件，投标人所属社保机构出具的</w:t>
            </w:r>
            <w:r>
              <w:rPr>
                <w:rFonts w:hint="eastAsia" w:ascii="方正仿宋_GB2312" w:hAnsi="方正仿宋_GB2312" w:eastAsia="方正仿宋_GB2312" w:cs="方正仿宋_GB2312"/>
                <w:color w:val="auto"/>
                <w:sz w:val="21"/>
                <w:highlight w:val="none"/>
              </w:rPr>
              <w:t>202</w:t>
            </w:r>
            <w:r>
              <w:rPr>
                <w:rFonts w:hint="eastAsia" w:ascii="方正仿宋_GB2312" w:hAnsi="方正仿宋_GB2312" w:eastAsia="方正仿宋_GB2312" w:cs="方正仿宋_GB2312"/>
                <w:color w:val="auto"/>
                <w:sz w:val="21"/>
                <w:highlight w:val="none"/>
                <w:lang w:val="en-US" w:eastAsia="zh-CN"/>
              </w:rPr>
              <w:t>3</w:t>
            </w:r>
            <w:r>
              <w:rPr>
                <w:rFonts w:hint="eastAsia" w:ascii="方正仿宋_GB2312" w:hAnsi="方正仿宋_GB2312" w:eastAsia="方正仿宋_GB2312" w:cs="方正仿宋_GB2312"/>
                <w:color w:val="auto"/>
                <w:sz w:val="21"/>
                <w:highlight w:val="none"/>
              </w:rPr>
              <w:t>年</w:t>
            </w:r>
            <w:r>
              <w:rPr>
                <w:rFonts w:hint="eastAsia" w:ascii="方正仿宋_GB2312" w:hAnsi="方正仿宋_GB2312" w:eastAsia="方正仿宋_GB2312" w:cs="方正仿宋_GB2312"/>
                <w:color w:val="auto"/>
                <w:sz w:val="21"/>
                <w:highlight w:val="none"/>
                <w:lang w:val="en-US" w:eastAsia="zh-CN"/>
              </w:rPr>
              <w:t>5</w:t>
            </w:r>
            <w:r>
              <w:rPr>
                <w:rFonts w:hint="eastAsia" w:ascii="方正仿宋_GB2312" w:hAnsi="方正仿宋_GB2312" w:eastAsia="方正仿宋_GB2312" w:cs="方正仿宋_GB2312"/>
                <w:color w:val="auto"/>
                <w:sz w:val="21"/>
                <w:highlight w:val="none"/>
              </w:rPr>
              <w:t>月至今任意连续3个月社保缴</w:t>
            </w:r>
            <w:r>
              <w:rPr>
                <w:rFonts w:hint="eastAsia" w:ascii="方正仿宋_GB2312" w:hAnsi="方正仿宋_GB2312" w:eastAsia="方正仿宋_GB2312" w:cs="方正仿宋_GB2312"/>
                <w:color w:val="auto"/>
                <w:sz w:val="21"/>
                <w:highlight w:val="none"/>
              </w:rPr>
              <w:t>费证明或其他能够证明参加社保的有效证明材料及人员相关业绩的网页截图、在岗撤离承诺书（如需、格式自拟）。</w:t>
            </w:r>
          </w:p>
          <w:p>
            <w:pPr>
              <w:pStyle w:val="14"/>
              <w:numPr>
                <w:ilvl w:val="0"/>
                <w:numId w:val="2"/>
              </w:numPr>
              <w:tabs>
                <w:tab w:val="left" w:pos="1064"/>
              </w:tabs>
              <w:spacing w:line="364" w:lineRule="auto"/>
              <w:ind w:right="77" w:firstLine="420"/>
              <w:jc w:val="both"/>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项目经理和项目总工其他要求：必须是在投标人单位参加社会保险的全日制从业人员：注册建造师证书注册的单位必须为投标人，社保缴费单位与投标人名称必须一致；所有证件需清楚的反映有效期、年检情况及单位变更情况信息（如有）；所附人员的各类证书、证照以及各种证明材料中该人员的姓名应完全一致（除曾用名</w:t>
            </w:r>
            <w:r>
              <w:rPr>
                <w:rFonts w:hint="eastAsia" w:ascii="方正仿宋_GB2312" w:hAnsi="方正仿宋_GB2312" w:eastAsia="方正仿宋_GB2312" w:cs="方正仿宋_GB2312"/>
                <w:color w:val="auto"/>
                <w:spacing w:val="-106"/>
                <w:sz w:val="21"/>
                <w:highlight w:val="none"/>
              </w:rPr>
              <w:t>）</w:t>
            </w:r>
            <w:r>
              <w:rPr>
                <w:rFonts w:hint="eastAsia" w:ascii="方正仿宋_GB2312" w:hAnsi="方正仿宋_GB2312" w:eastAsia="方正仿宋_GB2312" w:cs="方正仿宋_GB2312"/>
                <w:color w:val="auto"/>
                <w:sz w:val="21"/>
                <w:highlight w:val="none"/>
              </w:rPr>
              <w:t>。</w:t>
            </w:r>
          </w:p>
          <w:p>
            <w:pPr>
              <w:numPr>
                <w:ilvl w:val="0"/>
                <w:numId w:val="0"/>
              </w:numPr>
              <w:tabs>
                <w:tab w:val="left" w:pos="1384"/>
              </w:tabs>
              <w:spacing w:line="360" w:lineRule="auto"/>
              <w:ind w:firstLine="398" w:firstLineChars="200"/>
              <w:rPr>
                <w:rFonts w:hint="eastAsia" w:ascii="方正仿宋_GB2312" w:hAnsi="方正仿宋_GB2312" w:eastAsia="方正仿宋_GB2312" w:cs="方正仿宋_GB2312"/>
                <w:color w:val="auto"/>
                <w:w w:val="95"/>
                <w:sz w:val="21"/>
                <w:szCs w:val="21"/>
                <w:highlight w:val="none"/>
              </w:rPr>
            </w:pPr>
            <w:r>
              <w:rPr>
                <w:rFonts w:hint="eastAsia" w:ascii="方正仿宋_GB2312" w:hAnsi="方正仿宋_GB2312" w:eastAsia="方正仿宋_GB2312" w:cs="方正仿宋_GB2312"/>
                <w:color w:val="auto"/>
                <w:w w:val="95"/>
                <w:sz w:val="21"/>
                <w:szCs w:val="21"/>
                <w:highlight w:val="none"/>
                <w:lang w:eastAsia="zh-CN"/>
              </w:rPr>
              <w:t>（</w:t>
            </w:r>
            <w:r>
              <w:rPr>
                <w:rFonts w:hint="eastAsia" w:ascii="方正仿宋_GB2312" w:hAnsi="方正仿宋_GB2312" w:eastAsia="方正仿宋_GB2312" w:cs="方正仿宋_GB2312"/>
                <w:color w:val="auto"/>
                <w:w w:val="95"/>
                <w:sz w:val="21"/>
                <w:szCs w:val="21"/>
                <w:highlight w:val="none"/>
                <w:lang w:val="en-US" w:eastAsia="zh-CN"/>
              </w:rPr>
              <w:t>5</w:t>
            </w:r>
            <w:r>
              <w:rPr>
                <w:rFonts w:hint="eastAsia" w:ascii="方正仿宋_GB2312" w:hAnsi="方正仿宋_GB2312" w:eastAsia="方正仿宋_GB2312" w:cs="方正仿宋_GB2312"/>
                <w:color w:val="auto"/>
                <w:w w:val="95"/>
                <w:sz w:val="21"/>
                <w:szCs w:val="21"/>
                <w:highlight w:val="none"/>
                <w:lang w:eastAsia="zh-CN"/>
              </w:rPr>
              <w:t>）</w:t>
            </w:r>
            <w:r>
              <w:rPr>
                <w:rFonts w:hint="eastAsia" w:ascii="方正仿宋_GB2312" w:hAnsi="方正仿宋_GB2312" w:eastAsia="方正仿宋_GB2312" w:cs="方正仿宋_GB2312"/>
                <w:color w:val="auto"/>
                <w:sz w:val="21"/>
                <w:szCs w:val="22"/>
                <w:highlight w:val="none"/>
                <w:lang w:val="en-US" w:eastAsia="zh-CN" w:bidi="ar-SA"/>
              </w:rPr>
              <w:t>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w:t>
            </w:r>
            <w:r>
              <w:rPr>
                <w:rFonts w:hint="eastAsia" w:ascii="方正仿宋_GB2312" w:hAnsi="方正仿宋_GB2312" w:eastAsia="方正仿宋_GB2312" w:cs="方正仿宋_GB2312"/>
                <w:b/>
                <w:bCs/>
                <w:color w:val="auto"/>
                <w:sz w:val="21"/>
                <w:highlight w:val="none"/>
                <w:lang w:eastAsia="zh-CN"/>
              </w:rPr>
              <w:t>项目所在地</w:t>
            </w:r>
            <w:r>
              <w:rPr>
                <w:rFonts w:hint="eastAsia" w:ascii="方正仿宋_GB2312" w:hAnsi="方正仿宋_GB2312" w:eastAsia="方正仿宋_GB2312" w:cs="方正仿宋_GB2312"/>
                <w:color w:val="auto"/>
                <w:sz w:val="21"/>
                <w:szCs w:val="22"/>
                <w:highlight w:val="none"/>
                <w:lang w:val="en-US" w:eastAsia="zh-CN" w:bidi="ar-SA"/>
              </w:rPr>
              <w:t>省级交通运输主管部门“公路建设市场信用信息管理系统”中查询的，应附</w:t>
            </w:r>
            <w:r>
              <w:rPr>
                <w:rFonts w:hint="eastAsia" w:ascii="方正仿宋_GB2312" w:hAnsi="方正仿宋_GB2312" w:eastAsia="方正仿宋_GB2312" w:cs="方正仿宋_GB2312"/>
                <w:b/>
                <w:bCs/>
                <w:color w:val="auto"/>
                <w:sz w:val="21"/>
                <w:highlight w:val="none"/>
                <w:lang w:eastAsia="zh-CN"/>
              </w:rPr>
              <w:t>项目所在地</w:t>
            </w:r>
            <w:r>
              <w:rPr>
                <w:rFonts w:hint="eastAsia" w:ascii="方正仿宋_GB2312" w:hAnsi="方正仿宋_GB2312" w:eastAsia="方正仿宋_GB2312" w:cs="方正仿宋_GB2312"/>
                <w:color w:val="auto"/>
                <w:sz w:val="21"/>
                <w:szCs w:val="22"/>
                <w:highlight w:val="none"/>
                <w:lang w:val="en-US" w:eastAsia="zh-CN" w:bidi="ar-SA"/>
              </w:rPr>
              <w:t>省级交通运输主管部门“公路建设市场信用信息管理系统”中查询到的网页截图。除网页截图外，投标人无须再提供任何业绩证明资料。如投标人未提供相关业绩网页截图或相关业绩网页截图中的信息无法证实投标人满足招标文件规定的资格审查条件(项目经理和项目总工最低要求)，则该项目业绩不予认定。其他要求同《公路工程标准施工招标文件》(2018年版)</w:t>
            </w:r>
            <w:r>
              <w:rPr>
                <w:rFonts w:hint="eastAsia" w:ascii="方正仿宋_GB2312" w:hAnsi="方正仿宋_GB2312" w:eastAsia="方正仿宋_GB2312" w:cs="方正仿宋_GB2312"/>
                <w:color w:val="auto"/>
                <w:w w:val="95"/>
                <w:sz w:val="21"/>
                <w:szCs w:val="21"/>
                <w:highlight w:val="none"/>
              </w:rPr>
              <w:t>。</w:t>
            </w:r>
          </w:p>
          <w:p>
            <w:pPr>
              <w:numPr>
                <w:ilvl w:val="0"/>
                <w:numId w:val="0"/>
              </w:numPr>
              <w:tabs>
                <w:tab w:val="left" w:pos="1384"/>
              </w:tabs>
              <w:spacing w:line="360" w:lineRule="auto"/>
              <w:ind w:firstLine="420" w:firstLineChars="200"/>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（6）人员业绩证明材料中需体现出路面养护和交通安全设施施工相关内容，否则业绩不予可。</w:t>
            </w:r>
          </w:p>
          <w:p>
            <w:pPr>
              <w:numPr>
                <w:ilvl w:val="0"/>
                <w:numId w:val="0"/>
              </w:numPr>
              <w:tabs>
                <w:tab w:val="left" w:pos="1384"/>
              </w:tabs>
              <w:spacing w:line="360" w:lineRule="auto"/>
              <w:ind w:firstLine="420" w:firstLineChars="200"/>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7）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numPr>
                <w:ilvl w:val="0"/>
                <w:numId w:val="0"/>
              </w:numPr>
              <w:tabs>
                <w:tab w:val="left" w:pos="1384"/>
              </w:tabs>
              <w:spacing w:line="360" w:lineRule="auto"/>
              <w:ind w:firstLine="420" w:firstLineChars="200"/>
              <w:rPr>
                <w:rFonts w:hint="eastAsia" w:ascii="方正仿宋_GB2312" w:hAnsi="方正仿宋_GB2312" w:eastAsia="方正仿宋_GB2312" w:cs="方正仿宋_GB2312"/>
                <w:color w:val="auto"/>
                <w:sz w:val="21"/>
                <w:szCs w:val="22"/>
                <w:highlight w:val="none"/>
                <w:lang w:val="en-US" w:eastAsia="zh-CN" w:bidi="ar-SA"/>
              </w:rPr>
            </w:pPr>
            <w:r>
              <w:rPr>
                <w:rFonts w:hint="eastAsia" w:ascii="方正仿宋_GB2312" w:hAnsi="方正仿宋_GB2312" w:eastAsia="方正仿宋_GB2312" w:cs="方正仿宋_GB2312"/>
                <w:color w:val="auto"/>
                <w:sz w:val="21"/>
                <w:szCs w:val="22"/>
                <w:highlight w:val="none"/>
                <w:lang w:val="en-US" w:eastAsia="zh-CN" w:bidi="ar-SA"/>
              </w:rPr>
              <w:t>（8）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按照交通运输部关于修订《公路施工企业信用评价规则（试行）》的通知（交公路规〔2021〕4号）或宁夏交通运输厅关于印发《宁夏回族自治区公路建设与养护市场信用评价管理办法（试行）》的通知（宁交规发〔2021〕5号）相关规定进行信用等级评价，同时将评价结果上报宁夏交通运输厅，并在交通运输厅网站予以公布。</w:t>
            </w:r>
          </w:p>
          <w:p>
            <w:pPr>
              <w:pStyle w:val="6"/>
              <w:numPr>
                <w:ilvl w:val="0"/>
                <w:numId w:val="0"/>
              </w:numPr>
              <w:tabs>
                <w:tab w:val="left" w:pos="1050"/>
              </w:tabs>
              <w:spacing w:line="364" w:lineRule="auto"/>
              <w:ind w:left="440" w:leftChars="0" w:right="94" w:rightChars="0"/>
              <w:jc w:val="both"/>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lang w:eastAsia="zh-CN"/>
              </w:rPr>
              <w:t>（</w:t>
            </w:r>
            <w:r>
              <w:rPr>
                <w:rFonts w:hint="eastAsia" w:ascii="方正仿宋_GB2312" w:hAnsi="方正仿宋_GB2312" w:eastAsia="方正仿宋_GB2312" w:cs="方正仿宋_GB2312"/>
                <w:color w:val="auto"/>
                <w:highlight w:val="none"/>
                <w:lang w:val="en-US" w:eastAsia="zh-CN"/>
              </w:rPr>
              <w:t>9</w:t>
            </w:r>
            <w:r>
              <w:rPr>
                <w:rFonts w:hint="eastAsia" w:ascii="方正仿宋_GB2312" w:hAnsi="方正仿宋_GB2312" w:eastAsia="方正仿宋_GB2312" w:cs="方正仿宋_GB2312"/>
                <w:color w:val="auto"/>
                <w:highlight w:val="none"/>
                <w:lang w:eastAsia="zh-CN"/>
              </w:rPr>
              <w:t>）</w:t>
            </w:r>
            <w:r>
              <w:rPr>
                <w:rFonts w:hint="eastAsia" w:ascii="方正仿宋_GB2312" w:hAnsi="方正仿宋_GB2312" w:eastAsia="方正仿宋_GB2312" w:cs="方正仿宋_GB2312"/>
                <w:color w:val="auto"/>
                <w:highlight w:val="none"/>
              </w:rPr>
              <w:t>对投标人所提供的人员业绩，如通过上述网站查询后结果与投标人自行提供结果不符，则</w:t>
            </w:r>
          </w:p>
          <w:p>
            <w:pPr>
              <w:pStyle w:val="6"/>
              <w:tabs>
                <w:tab w:val="left" w:pos="1050"/>
              </w:tabs>
              <w:spacing w:line="364" w:lineRule="auto"/>
              <w:ind w:right="94"/>
              <w:jc w:val="both"/>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对应业绩将不予认定。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w:t>
            </w:r>
            <w:r>
              <w:rPr>
                <w:rFonts w:hint="eastAsia" w:ascii="方正仿宋_GB2312" w:hAnsi="方正仿宋_GB2312" w:eastAsia="方正仿宋_GB2312" w:cs="方正仿宋_GB2312"/>
                <w:color w:val="auto"/>
                <w:highlight w:val="none"/>
                <w:lang w:eastAsia="zh-CN"/>
              </w:rPr>
              <w:t>回族自治区</w:t>
            </w:r>
            <w:r>
              <w:rPr>
                <w:rFonts w:hint="eastAsia" w:ascii="方正仿宋_GB2312" w:hAnsi="方正仿宋_GB2312" w:eastAsia="方正仿宋_GB2312" w:cs="方正仿宋_GB2312"/>
                <w:color w:val="auto"/>
                <w:highlight w:val="none"/>
              </w:rPr>
              <w:t>交通运输厅，并在宁夏</w:t>
            </w:r>
            <w:r>
              <w:rPr>
                <w:rFonts w:hint="eastAsia" w:ascii="方正仿宋_GB2312" w:hAnsi="方正仿宋_GB2312" w:eastAsia="方正仿宋_GB2312" w:cs="方正仿宋_GB2312"/>
                <w:color w:val="auto"/>
                <w:highlight w:val="none"/>
                <w:lang w:eastAsia="zh-CN"/>
              </w:rPr>
              <w:t>回族自治区</w:t>
            </w:r>
            <w:r>
              <w:rPr>
                <w:rFonts w:hint="eastAsia" w:ascii="方正仿宋_GB2312" w:hAnsi="方正仿宋_GB2312" w:eastAsia="方正仿宋_GB2312" w:cs="方正仿宋_GB2312"/>
                <w:color w:val="auto"/>
                <w:highlight w:val="none"/>
              </w:rPr>
              <w:t>交通运输厅网站予以公布。其他要求同《公路工程标准施工招标文件》(2018年版)。</w:t>
            </w:r>
          </w:p>
          <w:p>
            <w:pPr>
              <w:pStyle w:val="6"/>
              <w:numPr>
                <w:ilvl w:val="0"/>
                <w:numId w:val="0"/>
              </w:numPr>
              <w:tabs>
                <w:tab w:val="left" w:pos="1039"/>
              </w:tabs>
              <w:ind w:left="440" w:leftChars="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lang w:eastAsia="zh-CN"/>
              </w:rPr>
              <w:t>（</w:t>
            </w:r>
            <w:r>
              <w:rPr>
                <w:rFonts w:hint="eastAsia" w:ascii="方正仿宋_GB2312" w:hAnsi="方正仿宋_GB2312" w:eastAsia="方正仿宋_GB2312" w:cs="方正仿宋_GB2312"/>
                <w:color w:val="auto"/>
                <w:highlight w:val="none"/>
                <w:lang w:val="en-US" w:eastAsia="zh-CN"/>
              </w:rPr>
              <w:t>10</w:t>
            </w:r>
            <w:r>
              <w:rPr>
                <w:rFonts w:hint="eastAsia" w:ascii="方正仿宋_GB2312" w:hAnsi="方正仿宋_GB2312" w:eastAsia="方正仿宋_GB2312" w:cs="方正仿宋_GB2312"/>
                <w:color w:val="auto"/>
                <w:highlight w:val="none"/>
                <w:lang w:eastAsia="zh-CN"/>
              </w:rPr>
              <w:t>）</w:t>
            </w:r>
            <w:r>
              <w:rPr>
                <w:rFonts w:hint="eastAsia" w:ascii="方正仿宋_GB2312" w:hAnsi="方正仿宋_GB2312" w:eastAsia="方正仿宋_GB2312" w:cs="方正仿宋_GB2312"/>
                <w:color w:val="auto"/>
                <w:highlight w:val="none"/>
              </w:rPr>
              <w:t>招标文件中其他地方与此处不一致时，以此处为准。</w:t>
            </w:r>
          </w:p>
          <w:p>
            <w:pPr>
              <w:tabs>
                <w:tab w:val="left" w:pos="1384"/>
              </w:tabs>
              <w:ind w:firstLine="420" w:firstLineChars="200"/>
              <w:rPr>
                <w:rFonts w:hint="eastAsia" w:ascii="方正仿宋_GB2312" w:hAnsi="方正仿宋_GB2312" w:eastAsia="方正仿宋_GB2312" w:cs="方正仿宋_GB2312"/>
                <w:color w:val="auto"/>
                <w:sz w:val="21"/>
                <w:highlight w:val="none"/>
              </w:rPr>
            </w:pPr>
          </w:p>
        </w:tc>
      </w:tr>
    </w:tbl>
    <w:p>
      <w:pPr>
        <w:spacing w:line="293" w:lineRule="auto"/>
        <w:rPr>
          <w:rFonts w:ascii="黑体"/>
          <w:color w:val="auto"/>
          <w:sz w:val="21"/>
          <w:highlight w:val="none"/>
        </w:rPr>
      </w:pPr>
    </w:p>
    <w:p>
      <w:pPr>
        <w:bidi w:val="0"/>
        <w:spacing w:line="360" w:lineRule="auto"/>
        <w:ind w:right="-295" w:rightChars="-134"/>
        <w:rPr>
          <w:rFonts w:ascii="宋体" w:hAnsi="宋体" w:eastAsia="宋体" w:cs="宋体"/>
          <w:color w:val="auto"/>
          <w:szCs w:val="21"/>
          <w:highlight w:val="none"/>
        </w:rPr>
      </w:pPr>
      <w:bookmarkStart w:id="4" w:name="_bookmark3"/>
      <w:bookmarkEnd w:id="4"/>
      <w:r>
        <w:rPr>
          <w:rFonts w:hint="eastAsia" w:ascii="宋体" w:hAnsi="宋体" w:eastAsia="宋体" w:cs="宋体"/>
          <w:b/>
          <w:bCs/>
          <w:color w:val="auto"/>
          <w:sz w:val="21"/>
          <w:highlight w:val="none"/>
        </w:rPr>
        <w:t>【注：投标人须知前附表已对以下投标人须知正文进行了补充和细化，投标人应将投标人须知正文与投标人须知前附表一起阅读和理解。如正文与前附表不一致时，以前附表的规定为准。】</w:t>
      </w:r>
    </w:p>
    <w:p>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pPr>
        <w:keepNext w:val="0"/>
        <w:keepLines w:val="0"/>
        <w:widowControl/>
        <w:suppressLineNumbers w:val="0"/>
        <w:jc w:val="left"/>
        <w:rPr>
          <w:rFonts w:hint="eastAsia" w:ascii="方正仿宋_GB2312" w:hAnsi="方正仿宋_GB2312" w:eastAsia="方正仿宋_GB2312" w:cs="方正仿宋_GB2312"/>
          <w:b/>
          <w:bCs/>
          <w:color w:val="auto"/>
          <w:sz w:val="30"/>
          <w:szCs w:val="30"/>
          <w:highlight w:val="none"/>
        </w:rPr>
      </w:pPr>
      <w:r>
        <w:rPr>
          <w:rFonts w:hint="eastAsia" w:ascii="方正仿宋_GB2312" w:hAnsi="方正仿宋_GB2312" w:eastAsia="方正仿宋_GB2312" w:cs="方正仿宋_GB2312"/>
          <w:b/>
          <w:bCs/>
          <w:color w:val="auto"/>
          <w:kern w:val="0"/>
          <w:sz w:val="30"/>
          <w:szCs w:val="30"/>
          <w:highlight w:val="none"/>
          <w:lang w:val="en-US" w:eastAsia="zh-CN" w:bidi="ar"/>
        </w:rPr>
        <w:t>五、评标办法全文</w:t>
      </w:r>
    </w:p>
    <w:p>
      <w:pPr>
        <w:pStyle w:val="3"/>
        <w:spacing w:before="37" w:line="360" w:lineRule="auto"/>
        <w:ind w:left="0" w:leftChars="0" w:right="0" w:firstLine="0" w:firstLineChars="0"/>
        <w:jc w:val="center"/>
        <w:rPr>
          <w:rFonts w:hint="eastAsia" w:ascii="方正仿宋_GB2312" w:hAnsi="方正仿宋_GB2312" w:eastAsia="方正仿宋_GB2312" w:cs="方正仿宋_GB2312"/>
          <w:b/>
          <w:bCs/>
          <w:color w:val="auto"/>
          <w:sz w:val="30"/>
          <w:szCs w:val="30"/>
          <w:highlight w:val="none"/>
          <w:lang w:val="en-US" w:eastAsia="zh-CN" w:bidi="ar-SA"/>
        </w:rPr>
      </w:pPr>
      <w:r>
        <w:rPr>
          <w:rFonts w:hint="eastAsia" w:ascii="方正仿宋_GB2312" w:hAnsi="方正仿宋_GB2312" w:eastAsia="方正仿宋_GB2312" w:cs="方正仿宋_GB2312"/>
          <w:b/>
          <w:bCs/>
          <w:color w:val="auto"/>
          <w:sz w:val="30"/>
          <w:szCs w:val="30"/>
          <w:highlight w:val="none"/>
          <w:lang w:val="en-US" w:eastAsia="zh-CN" w:bidi="ar-SA"/>
        </w:rPr>
        <w:t>技术评分最低标价法</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各评分因素权重分值推荐如下：施工组织设计 35 分；主要人员 25 分；技术能力 10 分；履约信誉 15 分；企业业绩 15 分。</w:t>
      </w:r>
    </w:p>
    <w:tbl>
      <w:tblPr>
        <w:tblStyle w:val="10"/>
        <w:tblpPr w:leftFromText="180" w:rightFromText="180" w:vertAnchor="text" w:horzAnchor="page" w:tblpX="1206" w:tblpY="431"/>
        <w:tblOverlap w:val="never"/>
        <w:tblW w:w="971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11"/>
        <w:gridCol w:w="750"/>
        <w:gridCol w:w="674"/>
        <w:gridCol w:w="11"/>
        <w:gridCol w:w="890"/>
        <w:gridCol w:w="1319"/>
        <w:gridCol w:w="233"/>
        <w:gridCol w:w="782"/>
        <w:gridCol w:w="42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70" w:type="dxa"/>
            <w:gridSpan w:val="8"/>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评分因素与权重分值</w:t>
            </w:r>
          </w:p>
        </w:tc>
        <w:tc>
          <w:tcPr>
            <w:tcW w:w="4242" w:type="dxa"/>
            <w:vMerge w:val="restart"/>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11" w:type="dxa"/>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条款号</w:t>
            </w:r>
          </w:p>
        </w:tc>
        <w:tc>
          <w:tcPr>
            <w:tcW w:w="1424"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评分</w:t>
            </w:r>
          </w:p>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因素</w:t>
            </w:r>
          </w:p>
        </w:tc>
        <w:tc>
          <w:tcPr>
            <w:tcW w:w="901"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评分因素权重分值</w:t>
            </w:r>
          </w:p>
        </w:tc>
        <w:tc>
          <w:tcPr>
            <w:tcW w:w="1552"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各评分因素</w:t>
            </w:r>
          </w:p>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细分项</w:t>
            </w:r>
          </w:p>
        </w:tc>
        <w:tc>
          <w:tcPr>
            <w:tcW w:w="782" w:type="dxa"/>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分值</w:t>
            </w:r>
          </w:p>
        </w:tc>
        <w:tc>
          <w:tcPr>
            <w:tcW w:w="4242" w:type="dxa"/>
            <w:vMerge w:val="continue"/>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11" w:type="dxa"/>
            <w:vMerge w:val="restart"/>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2.2.2（1）</w:t>
            </w:r>
          </w:p>
        </w:tc>
        <w:tc>
          <w:tcPr>
            <w:tcW w:w="1424" w:type="dxa"/>
            <w:gridSpan w:val="2"/>
            <w:vMerge w:val="restart"/>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施工组织设计</w:t>
            </w:r>
          </w:p>
        </w:tc>
        <w:tc>
          <w:tcPr>
            <w:tcW w:w="901" w:type="dxa"/>
            <w:gridSpan w:val="2"/>
            <w:vMerge w:val="restart"/>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35分</w:t>
            </w:r>
          </w:p>
        </w:tc>
        <w:tc>
          <w:tcPr>
            <w:tcW w:w="1552"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总体施工组织布置及规划</w:t>
            </w:r>
          </w:p>
        </w:tc>
        <w:tc>
          <w:tcPr>
            <w:tcW w:w="782" w:type="dxa"/>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5分</w:t>
            </w:r>
          </w:p>
        </w:tc>
        <w:tc>
          <w:tcPr>
            <w:tcW w:w="4242" w:type="dxa"/>
            <w:noWrap w:val="0"/>
            <w:tcMar>
              <w:top w:w="113" w:type="dxa"/>
              <w:left w:w="113" w:type="dxa"/>
              <w:bottom w:w="113" w:type="dxa"/>
              <w:right w:w="113" w:type="dxa"/>
            </w:tcMar>
            <w:vAlign w:val="center"/>
          </w:tcPr>
          <w:p>
            <w:pPr>
              <w:pStyle w:val="18"/>
              <w:adjustRightInd w:val="0"/>
              <w:snapToGrid w:val="0"/>
              <w:spacing w:line="360" w:lineRule="auto"/>
              <w:jc w:val="left"/>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根据标段工程内容进行编制，布置及规划内容是否透彻、合理、切实可行：</w:t>
            </w:r>
          </w:p>
          <w:p>
            <w:pPr>
              <w:pStyle w:val="18"/>
              <w:adjustRightInd w:val="0"/>
              <w:snapToGrid w:val="0"/>
              <w:spacing w:line="360" w:lineRule="auto"/>
              <w:jc w:val="left"/>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合格得3分；基本合理得3-4分；合理得4-5分。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11" w:type="dxa"/>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1424" w:type="dxa"/>
            <w:gridSpan w:val="2"/>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901" w:type="dxa"/>
            <w:gridSpan w:val="2"/>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1552"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主要工程项目的施工方案、方法与技术措施、关键和难点工程的分析、施工标准化技术方案</w:t>
            </w:r>
          </w:p>
        </w:tc>
        <w:tc>
          <w:tcPr>
            <w:tcW w:w="782" w:type="dxa"/>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12分</w:t>
            </w:r>
          </w:p>
        </w:tc>
        <w:tc>
          <w:tcPr>
            <w:tcW w:w="4242" w:type="dxa"/>
            <w:noWrap w:val="0"/>
            <w:tcMar>
              <w:top w:w="113" w:type="dxa"/>
              <w:left w:w="113" w:type="dxa"/>
              <w:bottom w:w="113" w:type="dxa"/>
              <w:right w:w="113" w:type="dxa"/>
            </w:tcMar>
            <w:vAlign w:val="center"/>
          </w:tcPr>
          <w:p>
            <w:pPr>
              <w:pStyle w:val="18"/>
              <w:spacing w:line="360" w:lineRule="auto"/>
              <w:jc w:val="left"/>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主要工程项目的施工方案方法是否完全满足工程要求，对本项目关键和难点工程的把握是否准确、认识深刻、措施具有针对性：施工标准化技术方案是否准确合理、具有针对性：</w:t>
            </w:r>
          </w:p>
          <w:p>
            <w:pPr>
              <w:pStyle w:val="18"/>
              <w:spacing w:line="360" w:lineRule="auto"/>
              <w:jc w:val="left"/>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合格得7.2分，基本合理得7.2-9.6分，合理得9.6-12分。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11" w:type="dxa"/>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1424" w:type="dxa"/>
            <w:gridSpan w:val="2"/>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901" w:type="dxa"/>
            <w:gridSpan w:val="2"/>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1552"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项目工期、质量、安全生产、环境保护、水土保持、文明施工、文物保护等保证体系及保证措施</w:t>
            </w:r>
          </w:p>
        </w:tc>
        <w:tc>
          <w:tcPr>
            <w:tcW w:w="782" w:type="dxa"/>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8分</w:t>
            </w:r>
          </w:p>
        </w:tc>
        <w:tc>
          <w:tcPr>
            <w:tcW w:w="4242" w:type="dxa"/>
            <w:noWrap w:val="0"/>
            <w:tcMar>
              <w:top w:w="113" w:type="dxa"/>
              <w:left w:w="113" w:type="dxa"/>
              <w:bottom w:w="113" w:type="dxa"/>
              <w:right w:w="113" w:type="dxa"/>
            </w:tcMar>
            <w:vAlign w:val="center"/>
          </w:tcPr>
          <w:p>
            <w:pPr>
              <w:pStyle w:val="18"/>
              <w:spacing w:line="360" w:lineRule="auto"/>
              <w:jc w:val="left"/>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针对不同的内容具有不同的保证体系及保证措施，合理的推进项目进展，各项措施切实可行，计划详细、得当：</w:t>
            </w:r>
          </w:p>
          <w:p>
            <w:pPr>
              <w:pStyle w:val="18"/>
              <w:spacing w:line="360" w:lineRule="auto"/>
              <w:jc w:val="left"/>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合格得4.8分，基本合理得4.8-6.4分，合理得6.4-8分。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11" w:type="dxa"/>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1424" w:type="dxa"/>
            <w:gridSpan w:val="2"/>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901" w:type="dxa"/>
            <w:gridSpan w:val="2"/>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1552"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项目风险预测与防范、事故应急预案、支付保障措施</w:t>
            </w:r>
          </w:p>
        </w:tc>
        <w:tc>
          <w:tcPr>
            <w:tcW w:w="782" w:type="dxa"/>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10分</w:t>
            </w:r>
          </w:p>
        </w:tc>
        <w:tc>
          <w:tcPr>
            <w:tcW w:w="4242" w:type="dxa"/>
            <w:noWrap w:val="0"/>
            <w:tcMar>
              <w:top w:w="113" w:type="dxa"/>
              <w:left w:w="113" w:type="dxa"/>
              <w:bottom w:w="113" w:type="dxa"/>
              <w:right w:w="113" w:type="dxa"/>
            </w:tcMar>
            <w:vAlign w:val="center"/>
          </w:tcPr>
          <w:p>
            <w:pPr>
              <w:pStyle w:val="18"/>
              <w:spacing w:line="360" w:lineRule="auto"/>
              <w:jc w:val="left"/>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从农民工工资、劳务分包、材料采购、设备租赁、工程分包等多方面的分析编制按期支付保证措施，措施是否合理、详细、得当：</w:t>
            </w:r>
          </w:p>
          <w:p>
            <w:pPr>
              <w:pStyle w:val="18"/>
              <w:spacing w:line="360" w:lineRule="auto"/>
              <w:jc w:val="left"/>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szCs w:val="21"/>
                <w:highlight w:val="none"/>
              </w:rPr>
              <w:t>合格得6分，基本合理得6-8分，合理得8-10分。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11" w:type="dxa"/>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2.2.2（2）</w:t>
            </w:r>
          </w:p>
        </w:tc>
        <w:tc>
          <w:tcPr>
            <w:tcW w:w="1424"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技术能力</w:t>
            </w:r>
          </w:p>
        </w:tc>
        <w:tc>
          <w:tcPr>
            <w:tcW w:w="901" w:type="dxa"/>
            <w:gridSpan w:val="2"/>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10分</w:t>
            </w:r>
          </w:p>
        </w:tc>
        <w:tc>
          <w:tcPr>
            <w:tcW w:w="6576" w:type="dxa"/>
            <w:gridSpan w:val="4"/>
            <w:noWrap w:val="0"/>
            <w:tcMar>
              <w:top w:w="113" w:type="dxa"/>
              <w:left w:w="113" w:type="dxa"/>
              <w:bottom w:w="113" w:type="dxa"/>
              <w:right w:w="113" w:type="dxa"/>
            </w:tcMar>
            <w:vAlign w:val="center"/>
          </w:tcPr>
          <w:p>
            <w:pPr>
              <w:pStyle w:val="9"/>
              <w:spacing w:after="0" w:line="360" w:lineRule="auto"/>
              <w:ind w:left="0" w:leftChars="0" w:firstLine="0" w:firstLineChars="0"/>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color w:val="auto"/>
                <w:kern w:val="2"/>
                <w:sz w:val="21"/>
                <w:szCs w:val="21"/>
                <w:highlight w:val="none"/>
                <w:lang w:val="en-US" w:eastAsia="zh-CN" w:bidi="ar-SA"/>
              </w:rPr>
              <w:t>（1）满足资格审查最低要求的得基本分6分；</w:t>
            </w:r>
          </w:p>
          <w:p>
            <w:pPr>
              <w:pStyle w:val="9"/>
              <w:spacing w:after="0" w:line="360" w:lineRule="auto"/>
              <w:ind w:left="0" w:leftChars="0" w:firstLine="0" w:firstLineChars="0"/>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color w:val="auto"/>
                <w:kern w:val="2"/>
                <w:sz w:val="21"/>
                <w:szCs w:val="21"/>
                <w:highlight w:val="none"/>
                <w:lang w:val="en-US" w:eastAsia="zh-CN" w:bidi="ar-SA"/>
              </w:rPr>
              <w:t>（2）投标人近5年（自</w:t>
            </w:r>
            <w:r>
              <w:rPr>
                <w:rFonts w:hint="eastAsia" w:ascii="方正仿宋_GB2312" w:hAnsi="方正仿宋_GB2312" w:eastAsia="方正仿宋_GB2312" w:cs="方正仿宋_GB2312"/>
                <w:color w:val="auto"/>
                <w:kern w:val="2"/>
                <w:sz w:val="21"/>
                <w:szCs w:val="21"/>
                <w:highlight w:val="none"/>
                <w:lang w:val="en-US" w:eastAsia="zh-CN" w:bidi="ar-SA"/>
              </w:rPr>
              <w:t>2018年11月22</w:t>
            </w:r>
            <w:r>
              <w:rPr>
                <w:rFonts w:hint="eastAsia" w:ascii="方正仿宋_GB2312" w:hAnsi="方正仿宋_GB2312" w:eastAsia="方正仿宋_GB2312" w:cs="方正仿宋_GB2312"/>
                <w:color w:val="auto"/>
                <w:kern w:val="2"/>
                <w:sz w:val="21"/>
                <w:szCs w:val="21"/>
                <w:highlight w:val="none"/>
                <w:lang w:val="en-US" w:eastAsia="zh-CN" w:bidi="ar-SA"/>
              </w:rPr>
              <w:t>日至投标文件递交截止日）以来获得过与公路项目施工有关的鲁班奖、詹天佑奖、国家优质工程奖、国家级工法、国家级科学技术进步奖的，每增加1项加1分；</w:t>
            </w:r>
          </w:p>
          <w:p>
            <w:pPr>
              <w:pStyle w:val="9"/>
              <w:spacing w:after="0" w:line="360" w:lineRule="auto"/>
              <w:ind w:left="0" w:leftChars="0" w:firstLine="0" w:firstLineChars="0"/>
              <w:rPr>
                <w:rFonts w:hint="eastAsia" w:ascii="方正仿宋_GB2312" w:hAnsi="方正仿宋_GB2312" w:eastAsia="方正仿宋_GB2312" w:cs="方正仿宋_GB2312"/>
                <w:color w:val="auto"/>
                <w:kern w:val="2"/>
                <w:sz w:val="21"/>
                <w:szCs w:val="21"/>
                <w:highlight w:val="none"/>
                <w:lang w:val="en-US" w:eastAsia="zh-CN" w:bidi="ar-SA"/>
              </w:rPr>
            </w:pPr>
            <w:r>
              <w:rPr>
                <w:rFonts w:hint="eastAsia" w:ascii="方正仿宋_GB2312" w:hAnsi="方正仿宋_GB2312" w:eastAsia="方正仿宋_GB2312" w:cs="方正仿宋_GB2312"/>
                <w:color w:val="auto"/>
                <w:kern w:val="2"/>
                <w:sz w:val="21"/>
                <w:szCs w:val="21"/>
                <w:highlight w:val="none"/>
                <w:lang w:val="en-US" w:eastAsia="zh-CN" w:bidi="ar-SA"/>
              </w:rPr>
              <w:t>（3）投标人近5年（</w:t>
            </w:r>
            <w:r>
              <w:rPr>
                <w:rFonts w:hint="eastAsia" w:ascii="方正仿宋_GB2312" w:hAnsi="方正仿宋_GB2312" w:eastAsia="方正仿宋_GB2312" w:cs="方正仿宋_GB2312"/>
                <w:color w:val="auto"/>
                <w:kern w:val="2"/>
                <w:sz w:val="21"/>
                <w:szCs w:val="21"/>
                <w:highlight w:val="none"/>
                <w:lang w:val="en-US" w:eastAsia="zh-CN" w:bidi="ar-SA"/>
              </w:rPr>
              <w:t>自2018年11月22</w:t>
            </w:r>
            <w:r>
              <w:rPr>
                <w:rFonts w:hint="eastAsia" w:ascii="方正仿宋_GB2312" w:hAnsi="方正仿宋_GB2312" w:eastAsia="方正仿宋_GB2312" w:cs="方正仿宋_GB2312"/>
                <w:color w:val="auto"/>
                <w:kern w:val="2"/>
                <w:sz w:val="21"/>
                <w:szCs w:val="21"/>
                <w:highlight w:val="none"/>
                <w:lang w:val="en-US" w:eastAsia="zh-CN" w:bidi="ar-SA"/>
              </w:rPr>
              <w:t>日至投标文件递交截止日）以来获得过与公路项目施工有关的交通运输部公路交通优质工程奖（李春奖）、交通运输部平安工程奖、省部级优质工程奖、省部级科技进步奖、省级工法、行业工法、专利（发明专利或实用新型专利）的，每增加1项加0.5分；</w:t>
            </w:r>
          </w:p>
          <w:p>
            <w:pPr>
              <w:pStyle w:val="9"/>
              <w:spacing w:after="0" w:line="360" w:lineRule="auto"/>
              <w:ind w:left="0" w:leftChars="0" w:firstLine="0" w:firstLineChars="0"/>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2"/>
                <w:sz w:val="21"/>
                <w:szCs w:val="21"/>
                <w:highlight w:val="none"/>
                <w:lang w:val="en-US" w:eastAsia="zh-CN" w:bidi="ar-SA"/>
              </w:rPr>
              <w:t>（4）以上（2）（3）项累计最多加4分。（注：以提供的获奖证书为准。）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11" w:type="dxa"/>
            <w:vMerge w:val="restart"/>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2.2.2（3）</w:t>
            </w:r>
          </w:p>
        </w:tc>
        <w:tc>
          <w:tcPr>
            <w:tcW w:w="1424" w:type="dxa"/>
            <w:gridSpan w:val="2"/>
            <w:vMerge w:val="restart"/>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主要</w:t>
            </w:r>
          </w:p>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人员</w:t>
            </w:r>
          </w:p>
        </w:tc>
        <w:tc>
          <w:tcPr>
            <w:tcW w:w="901" w:type="dxa"/>
            <w:gridSpan w:val="2"/>
            <w:vMerge w:val="restart"/>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25分</w:t>
            </w:r>
          </w:p>
        </w:tc>
        <w:tc>
          <w:tcPr>
            <w:tcW w:w="1552" w:type="dxa"/>
            <w:gridSpan w:val="2"/>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投标人项目经理任职资格与业绩</w:t>
            </w:r>
          </w:p>
        </w:tc>
        <w:tc>
          <w:tcPr>
            <w:tcW w:w="782" w:type="dxa"/>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15分</w:t>
            </w:r>
          </w:p>
        </w:tc>
        <w:tc>
          <w:tcPr>
            <w:tcW w:w="4242" w:type="dxa"/>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①满足资格审查条件（项目经理和项目总工最低要求）得9分；</w:t>
            </w:r>
          </w:p>
          <w:p>
            <w:pPr>
              <w:pStyle w:val="18"/>
              <w:spacing w:line="360" w:lineRule="auto"/>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②在满足资格审查条件的基础上，近</w:t>
            </w:r>
            <w:r>
              <w:rPr>
                <w:rFonts w:hint="eastAsia" w:ascii="方正仿宋_GB2312" w:hAnsi="方正仿宋_GB2312" w:eastAsia="方正仿宋_GB2312" w:cs="方正仿宋_GB2312"/>
                <w:color w:val="auto"/>
                <w:sz w:val="21"/>
                <w:highlight w:val="none"/>
                <w:lang w:eastAsia="zh-CN"/>
              </w:rPr>
              <w:t>五</w:t>
            </w:r>
            <w:r>
              <w:rPr>
                <w:rFonts w:hint="eastAsia" w:ascii="方正仿宋_GB2312" w:hAnsi="方正仿宋_GB2312" w:eastAsia="方正仿宋_GB2312" w:cs="方正仿宋_GB2312"/>
                <w:color w:val="auto"/>
                <w:sz w:val="21"/>
                <w:highlight w:val="none"/>
              </w:rPr>
              <w:t>年（任职时间段在</w:t>
            </w:r>
            <w:r>
              <w:rPr>
                <w:rFonts w:hint="eastAsia" w:ascii="方正仿宋_GB2312" w:hAnsi="方正仿宋_GB2312" w:eastAsia="方正仿宋_GB2312" w:cs="方正仿宋_GB2312"/>
                <w:color w:val="auto"/>
                <w:kern w:val="2"/>
                <w:sz w:val="21"/>
                <w:highlight w:val="none"/>
                <w:lang w:eastAsia="zh-CN"/>
              </w:rPr>
              <w:t>201</w:t>
            </w:r>
            <w:r>
              <w:rPr>
                <w:rFonts w:hint="eastAsia" w:ascii="方正仿宋_GB2312" w:hAnsi="方正仿宋_GB2312" w:eastAsia="方正仿宋_GB2312" w:cs="方正仿宋_GB2312"/>
                <w:color w:val="auto"/>
                <w:kern w:val="2"/>
                <w:sz w:val="21"/>
                <w:highlight w:val="none"/>
                <w:lang w:val="en-US" w:eastAsia="zh-CN"/>
              </w:rPr>
              <w:t>8</w:t>
            </w:r>
            <w:r>
              <w:rPr>
                <w:rFonts w:hint="eastAsia" w:ascii="方正仿宋_GB2312" w:hAnsi="方正仿宋_GB2312" w:eastAsia="方正仿宋_GB2312" w:cs="方正仿宋_GB2312"/>
                <w:color w:val="auto"/>
                <w:kern w:val="2"/>
                <w:sz w:val="21"/>
                <w:highlight w:val="none"/>
                <w:lang w:eastAsia="zh-CN"/>
              </w:rPr>
              <w:t>年</w:t>
            </w:r>
            <w:r>
              <w:rPr>
                <w:rFonts w:hint="eastAsia" w:ascii="方正仿宋_GB2312" w:hAnsi="方正仿宋_GB2312" w:eastAsia="方正仿宋_GB2312" w:cs="方正仿宋_GB2312"/>
                <w:color w:val="auto"/>
                <w:kern w:val="2"/>
                <w:sz w:val="21"/>
                <w:highlight w:val="none"/>
                <w:lang w:val="en-US" w:eastAsia="zh-CN"/>
              </w:rPr>
              <w:t>11月22日</w:t>
            </w:r>
            <w:r>
              <w:rPr>
                <w:rFonts w:hint="eastAsia" w:ascii="方正仿宋_GB2312" w:hAnsi="方正仿宋_GB2312" w:eastAsia="方正仿宋_GB2312" w:cs="方正仿宋_GB2312"/>
                <w:color w:val="auto"/>
                <w:sz w:val="21"/>
                <w:highlight w:val="none"/>
              </w:rPr>
              <w:t>至</w:t>
            </w:r>
            <w:r>
              <w:rPr>
                <w:rFonts w:hint="eastAsia" w:ascii="方正仿宋_GB2312" w:hAnsi="方正仿宋_GB2312" w:eastAsia="方正仿宋_GB2312" w:cs="方正仿宋_GB2312"/>
                <w:color w:val="auto"/>
                <w:sz w:val="21"/>
                <w:highlight w:val="none"/>
                <w:lang w:eastAsia="zh-CN"/>
              </w:rPr>
              <w:t>投标截止之日，以交工日期为准</w:t>
            </w:r>
            <w:r>
              <w:rPr>
                <w:rFonts w:hint="eastAsia" w:ascii="方正仿宋_GB2312" w:hAnsi="方正仿宋_GB2312" w:eastAsia="方正仿宋_GB2312" w:cs="方正仿宋_GB2312"/>
                <w:color w:val="auto"/>
                <w:sz w:val="21"/>
                <w:highlight w:val="none"/>
              </w:rPr>
              <w:t>）内，每增加一倍数量的满足资格审查条件（项目经理和项目总工最低要求）中项目经理或项目副经理对应职务业绩加3分，此项最多加6 分。</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highlight w:val="none"/>
              </w:rPr>
              <w:t>3.业绩证明材料同招标文件要求。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11" w:type="dxa"/>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1424" w:type="dxa"/>
            <w:gridSpan w:val="2"/>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901" w:type="dxa"/>
            <w:gridSpan w:val="2"/>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1552" w:type="dxa"/>
            <w:gridSpan w:val="2"/>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投标人项目总工任职资格与业绩</w:t>
            </w:r>
          </w:p>
        </w:tc>
        <w:tc>
          <w:tcPr>
            <w:tcW w:w="782" w:type="dxa"/>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10分</w:t>
            </w:r>
          </w:p>
        </w:tc>
        <w:tc>
          <w:tcPr>
            <w:tcW w:w="4242" w:type="dxa"/>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①满足资格审查条件（项目经理和项目总工最低要求）得6分；</w:t>
            </w:r>
          </w:p>
          <w:p>
            <w:pPr>
              <w:pStyle w:val="18"/>
              <w:spacing w:line="360" w:lineRule="auto"/>
              <w:rPr>
                <w:rFonts w:hint="eastAsia" w:ascii="方正仿宋_GB2312" w:hAnsi="方正仿宋_GB2312" w:eastAsia="方正仿宋_GB2312" w:cs="方正仿宋_GB2312"/>
                <w:color w:val="auto"/>
                <w:sz w:val="21"/>
                <w:highlight w:val="none"/>
              </w:rPr>
            </w:pPr>
            <w:r>
              <w:rPr>
                <w:rFonts w:hint="eastAsia" w:ascii="方正仿宋_GB2312" w:hAnsi="方正仿宋_GB2312" w:eastAsia="方正仿宋_GB2312" w:cs="方正仿宋_GB2312"/>
                <w:color w:val="auto"/>
                <w:sz w:val="21"/>
                <w:highlight w:val="none"/>
              </w:rPr>
              <w:t>②在满足资格审查条件的基础上，近</w:t>
            </w:r>
            <w:r>
              <w:rPr>
                <w:rFonts w:hint="eastAsia" w:ascii="方正仿宋_GB2312" w:hAnsi="方正仿宋_GB2312" w:eastAsia="方正仿宋_GB2312" w:cs="方正仿宋_GB2312"/>
                <w:color w:val="auto"/>
                <w:sz w:val="21"/>
                <w:highlight w:val="none"/>
                <w:lang w:eastAsia="zh-CN"/>
              </w:rPr>
              <w:t>五</w:t>
            </w:r>
            <w:r>
              <w:rPr>
                <w:rFonts w:hint="eastAsia" w:ascii="方正仿宋_GB2312" w:hAnsi="方正仿宋_GB2312" w:eastAsia="方正仿宋_GB2312" w:cs="方正仿宋_GB2312"/>
                <w:color w:val="auto"/>
                <w:sz w:val="21"/>
                <w:highlight w:val="none"/>
              </w:rPr>
              <w:t>年（任职时间段在</w:t>
            </w:r>
            <w:r>
              <w:rPr>
                <w:rFonts w:hint="eastAsia" w:ascii="方正仿宋_GB2312" w:hAnsi="方正仿宋_GB2312" w:eastAsia="方正仿宋_GB2312" w:cs="方正仿宋_GB2312"/>
                <w:color w:val="auto"/>
                <w:kern w:val="2"/>
                <w:sz w:val="21"/>
                <w:highlight w:val="none"/>
                <w:lang w:eastAsia="zh-CN"/>
              </w:rPr>
              <w:t>201</w:t>
            </w:r>
            <w:r>
              <w:rPr>
                <w:rFonts w:hint="eastAsia" w:ascii="方正仿宋_GB2312" w:hAnsi="方正仿宋_GB2312" w:eastAsia="方正仿宋_GB2312" w:cs="方正仿宋_GB2312"/>
                <w:color w:val="auto"/>
                <w:kern w:val="2"/>
                <w:sz w:val="21"/>
                <w:highlight w:val="none"/>
                <w:lang w:val="en-US" w:eastAsia="zh-CN"/>
              </w:rPr>
              <w:t>8</w:t>
            </w:r>
            <w:r>
              <w:rPr>
                <w:rFonts w:hint="eastAsia" w:ascii="方正仿宋_GB2312" w:hAnsi="方正仿宋_GB2312" w:eastAsia="方正仿宋_GB2312" w:cs="方正仿宋_GB2312"/>
                <w:color w:val="auto"/>
                <w:kern w:val="2"/>
                <w:sz w:val="21"/>
                <w:highlight w:val="none"/>
                <w:lang w:eastAsia="zh-CN"/>
              </w:rPr>
              <w:t>年</w:t>
            </w:r>
            <w:r>
              <w:rPr>
                <w:rFonts w:hint="eastAsia" w:ascii="方正仿宋_GB2312" w:hAnsi="方正仿宋_GB2312" w:eastAsia="方正仿宋_GB2312" w:cs="方正仿宋_GB2312"/>
                <w:color w:val="auto"/>
                <w:kern w:val="2"/>
                <w:sz w:val="21"/>
                <w:highlight w:val="none"/>
                <w:lang w:val="en-US" w:eastAsia="zh-CN"/>
              </w:rPr>
              <w:t>11月22日</w:t>
            </w:r>
            <w:r>
              <w:rPr>
                <w:rFonts w:hint="eastAsia" w:ascii="方正仿宋_GB2312" w:hAnsi="方正仿宋_GB2312" w:eastAsia="方正仿宋_GB2312" w:cs="方正仿宋_GB2312"/>
                <w:color w:val="auto"/>
                <w:sz w:val="21"/>
                <w:highlight w:val="none"/>
              </w:rPr>
              <w:t>至</w:t>
            </w:r>
            <w:r>
              <w:rPr>
                <w:rFonts w:hint="eastAsia" w:ascii="方正仿宋_GB2312" w:hAnsi="方正仿宋_GB2312" w:eastAsia="方正仿宋_GB2312" w:cs="方正仿宋_GB2312"/>
                <w:color w:val="auto"/>
                <w:sz w:val="21"/>
                <w:highlight w:val="none"/>
                <w:lang w:eastAsia="zh-CN"/>
              </w:rPr>
              <w:t>投标截止之日，以交工日期为准</w:t>
            </w:r>
            <w:r>
              <w:rPr>
                <w:rFonts w:hint="eastAsia" w:ascii="方正仿宋_GB2312" w:hAnsi="方正仿宋_GB2312" w:eastAsia="方正仿宋_GB2312" w:cs="方正仿宋_GB2312"/>
                <w:color w:val="auto"/>
                <w:sz w:val="21"/>
                <w:highlight w:val="none"/>
              </w:rPr>
              <w:t>）内，每增加一倍数量的满足资格审查条件（项目经理和项目总工最低要求）中项目总工或项目副总工对应职务业绩加2分，此项最多加4分。</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sz w:val="21"/>
                <w:highlight w:val="none"/>
              </w:rPr>
              <w:t>3.业绩证明材料同招标文件要求。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11" w:type="dxa"/>
            <w:vMerge w:val="restart"/>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2.2.2（4）</w:t>
            </w:r>
          </w:p>
        </w:tc>
        <w:tc>
          <w:tcPr>
            <w:tcW w:w="750" w:type="dxa"/>
            <w:vMerge w:val="restart"/>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其他因素</w:t>
            </w:r>
          </w:p>
        </w:tc>
        <w:tc>
          <w:tcPr>
            <w:tcW w:w="685"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履约信誉</w:t>
            </w:r>
          </w:p>
        </w:tc>
        <w:tc>
          <w:tcPr>
            <w:tcW w:w="890" w:type="dxa"/>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15分</w:t>
            </w:r>
          </w:p>
        </w:tc>
        <w:tc>
          <w:tcPr>
            <w:tcW w:w="1552"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投标人</w:t>
            </w:r>
          </w:p>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履约信誉</w:t>
            </w:r>
          </w:p>
        </w:tc>
        <w:tc>
          <w:tcPr>
            <w:tcW w:w="782" w:type="dxa"/>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15分</w:t>
            </w:r>
          </w:p>
        </w:tc>
        <w:tc>
          <w:tcPr>
            <w:tcW w:w="4242" w:type="dxa"/>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2"/>
                <w:sz w:val="21"/>
                <w:highlight w:val="none"/>
              </w:rPr>
            </w:pPr>
            <w:r>
              <w:rPr>
                <w:rFonts w:hint="eastAsia" w:ascii="方正仿宋_GB2312" w:hAnsi="方正仿宋_GB2312" w:eastAsia="方正仿宋_GB2312" w:cs="方正仿宋_GB2312"/>
                <w:color w:val="auto"/>
                <w:kern w:val="2"/>
                <w:sz w:val="21"/>
                <w:highlight w:val="none"/>
              </w:rPr>
              <w:t>1.满足资格审查条件（信誉最低要求）得 15 分。</w:t>
            </w:r>
          </w:p>
          <w:p>
            <w:pPr>
              <w:pStyle w:val="18"/>
              <w:spacing w:line="360" w:lineRule="auto"/>
              <w:rPr>
                <w:rFonts w:hint="eastAsia" w:ascii="方正仿宋_GB2312" w:hAnsi="方正仿宋_GB2312" w:eastAsia="方正仿宋_GB2312" w:cs="方正仿宋_GB2312"/>
                <w:color w:val="auto"/>
                <w:kern w:val="2"/>
                <w:sz w:val="21"/>
                <w:highlight w:val="none"/>
              </w:rPr>
            </w:pPr>
            <w:r>
              <w:rPr>
                <w:rFonts w:hint="eastAsia" w:ascii="方正仿宋_GB2312" w:hAnsi="方正仿宋_GB2312" w:eastAsia="方正仿宋_GB2312" w:cs="方正仿宋_GB2312"/>
                <w:color w:val="auto"/>
                <w:kern w:val="2"/>
                <w:sz w:val="21"/>
                <w:highlight w:val="none"/>
              </w:rPr>
              <w:t>2.每有一次资格审查条件（信誉最低要求）以外的不良行为记录的扣1分，扣完为止。</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2"/>
                <w:sz w:val="21"/>
                <w:highlight w:val="none"/>
              </w:rPr>
              <w:t>注：满足资格审查条件（信誉最低要求）以外的不良记录以发布招标公告之日至投标截止日从宁夏回族自治区交通运输厅官网、中华人民共和国交通运输部官网、宁夏回族自治区公路建设市场信用信息管理系统中的严重失信行为及全国公路建设市场信用信息管理系统中的不良行为记录查询出的结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11" w:type="dxa"/>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750" w:type="dxa"/>
            <w:vMerge w:val="continue"/>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p>
        </w:tc>
        <w:tc>
          <w:tcPr>
            <w:tcW w:w="685"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施工业绩</w:t>
            </w:r>
          </w:p>
        </w:tc>
        <w:tc>
          <w:tcPr>
            <w:tcW w:w="890" w:type="dxa"/>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15分</w:t>
            </w:r>
          </w:p>
        </w:tc>
        <w:tc>
          <w:tcPr>
            <w:tcW w:w="1552" w:type="dxa"/>
            <w:gridSpan w:val="2"/>
            <w:noWrap w:val="0"/>
            <w:tcMar>
              <w:top w:w="113" w:type="dxa"/>
              <w:left w:w="113" w:type="dxa"/>
              <w:bottom w:w="113" w:type="dxa"/>
              <w:right w:w="113" w:type="dxa"/>
            </w:tcMar>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施工业绩</w:t>
            </w:r>
          </w:p>
        </w:tc>
        <w:tc>
          <w:tcPr>
            <w:tcW w:w="782" w:type="dxa"/>
            <w:noWrap w:val="0"/>
            <w:tcMar>
              <w:top w:w="113" w:type="dxa"/>
              <w:left w:w="113" w:type="dxa"/>
              <w:bottom w:w="113" w:type="dxa"/>
              <w:right w:w="113" w:type="dxa"/>
            </w:tcMar>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15分</w:t>
            </w:r>
          </w:p>
        </w:tc>
        <w:tc>
          <w:tcPr>
            <w:tcW w:w="4242" w:type="dxa"/>
            <w:noWrap w:val="0"/>
            <w:tcMar>
              <w:top w:w="113" w:type="dxa"/>
              <w:left w:w="113" w:type="dxa"/>
              <w:bottom w:w="113" w:type="dxa"/>
              <w:right w:w="113" w:type="dxa"/>
            </w:tcMar>
            <w:vAlign w:val="center"/>
          </w:tcPr>
          <w:p>
            <w:pPr>
              <w:pStyle w:val="9"/>
              <w:numPr>
                <w:ilvl w:val="0"/>
                <w:numId w:val="3"/>
              </w:numPr>
              <w:spacing w:after="0" w:line="360" w:lineRule="auto"/>
              <w:ind w:left="0" w:leftChars="0" w:firstLine="0" w:firstLineChars="0"/>
              <w:rPr>
                <w:rFonts w:hint="eastAsia" w:ascii="方正仿宋_GB2312" w:hAnsi="方正仿宋_GB2312" w:eastAsia="方正仿宋_GB2312" w:cs="方正仿宋_GB2312"/>
                <w:color w:val="auto"/>
                <w:kern w:val="2"/>
                <w:sz w:val="21"/>
                <w:highlight w:val="none"/>
                <w:lang w:eastAsia="zh-CN"/>
              </w:rPr>
            </w:pPr>
            <w:r>
              <w:rPr>
                <w:rFonts w:hint="eastAsia" w:ascii="方正仿宋_GB2312" w:hAnsi="方正仿宋_GB2312" w:eastAsia="方正仿宋_GB2312" w:cs="方正仿宋_GB2312"/>
                <w:color w:val="auto"/>
                <w:kern w:val="2"/>
                <w:sz w:val="21"/>
                <w:highlight w:val="none"/>
                <w:lang w:eastAsia="zh-CN"/>
              </w:rPr>
              <w:t>满足资格审查条件（业绩最低要求）得9分。</w:t>
            </w:r>
          </w:p>
          <w:p>
            <w:pPr>
              <w:spacing w:line="360" w:lineRule="auto"/>
              <w:rPr>
                <w:rFonts w:hint="eastAsia" w:ascii="方正仿宋_GB2312" w:hAnsi="方正仿宋_GB2312" w:eastAsia="方正仿宋_GB2312" w:cs="方正仿宋_GB2312"/>
                <w:color w:val="auto"/>
                <w:kern w:val="2"/>
                <w:sz w:val="21"/>
                <w:highlight w:val="none"/>
                <w:lang w:eastAsia="zh-CN"/>
              </w:rPr>
            </w:pPr>
            <w:r>
              <w:rPr>
                <w:rFonts w:hint="eastAsia" w:ascii="方正仿宋_GB2312" w:hAnsi="方正仿宋_GB2312" w:eastAsia="方正仿宋_GB2312" w:cs="方正仿宋_GB2312"/>
                <w:color w:val="auto"/>
                <w:kern w:val="2"/>
                <w:sz w:val="21"/>
                <w:highlight w:val="none"/>
                <w:lang w:eastAsia="zh-CN"/>
              </w:rPr>
              <w:t>（2）在满足资格审查条件的基础上，近五年（自</w:t>
            </w:r>
            <w:r>
              <w:rPr>
                <w:rFonts w:hint="eastAsia" w:ascii="方正仿宋_GB2312" w:hAnsi="方正仿宋_GB2312" w:eastAsia="方正仿宋_GB2312" w:cs="方正仿宋_GB2312"/>
                <w:color w:val="auto"/>
                <w:kern w:val="2"/>
                <w:sz w:val="21"/>
                <w:highlight w:val="none"/>
                <w:lang w:eastAsia="zh-CN"/>
              </w:rPr>
              <w:t>201</w:t>
            </w:r>
            <w:r>
              <w:rPr>
                <w:rFonts w:hint="eastAsia" w:ascii="方正仿宋_GB2312" w:hAnsi="方正仿宋_GB2312" w:eastAsia="方正仿宋_GB2312" w:cs="方正仿宋_GB2312"/>
                <w:color w:val="auto"/>
                <w:kern w:val="2"/>
                <w:sz w:val="21"/>
                <w:highlight w:val="none"/>
                <w:lang w:val="en-US" w:eastAsia="zh-CN"/>
              </w:rPr>
              <w:t>8</w:t>
            </w:r>
            <w:r>
              <w:rPr>
                <w:rFonts w:hint="eastAsia" w:ascii="方正仿宋_GB2312" w:hAnsi="方正仿宋_GB2312" w:eastAsia="方正仿宋_GB2312" w:cs="方正仿宋_GB2312"/>
                <w:color w:val="auto"/>
                <w:kern w:val="2"/>
                <w:sz w:val="21"/>
                <w:highlight w:val="none"/>
                <w:lang w:eastAsia="zh-CN"/>
              </w:rPr>
              <w:t>年</w:t>
            </w:r>
            <w:r>
              <w:rPr>
                <w:rFonts w:hint="eastAsia" w:ascii="方正仿宋_GB2312" w:hAnsi="方正仿宋_GB2312" w:eastAsia="方正仿宋_GB2312" w:cs="方正仿宋_GB2312"/>
                <w:color w:val="auto"/>
                <w:kern w:val="2"/>
                <w:sz w:val="21"/>
                <w:highlight w:val="none"/>
                <w:lang w:val="en-US" w:eastAsia="zh-CN"/>
              </w:rPr>
              <w:t>11月22日</w:t>
            </w:r>
            <w:r>
              <w:rPr>
                <w:rFonts w:hint="eastAsia" w:ascii="方正仿宋_GB2312" w:hAnsi="方正仿宋_GB2312" w:eastAsia="方正仿宋_GB2312" w:cs="方正仿宋_GB2312"/>
                <w:color w:val="auto"/>
                <w:kern w:val="2"/>
                <w:sz w:val="21"/>
                <w:highlight w:val="none"/>
                <w:lang w:eastAsia="zh-CN"/>
              </w:rPr>
              <w:t>至</w:t>
            </w:r>
            <w:r>
              <w:rPr>
                <w:rFonts w:hint="eastAsia" w:ascii="方正仿宋_GB2312" w:hAnsi="方正仿宋_GB2312" w:eastAsia="方正仿宋_GB2312" w:cs="方正仿宋_GB2312"/>
                <w:color w:val="auto"/>
                <w:sz w:val="21"/>
                <w:highlight w:val="none"/>
                <w:lang w:eastAsia="zh-CN"/>
              </w:rPr>
              <w:t>投标截止之日</w:t>
            </w:r>
            <w:r>
              <w:rPr>
                <w:rFonts w:hint="eastAsia" w:ascii="方正仿宋_GB2312" w:hAnsi="方正仿宋_GB2312" w:eastAsia="方正仿宋_GB2312" w:cs="方正仿宋_GB2312"/>
                <w:color w:val="auto"/>
                <w:kern w:val="2"/>
                <w:sz w:val="21"/>
                <w:highlight w:val="none"/>
                <w:lang w:eastAsia="zh-CN"/>
              </w:rPr>
              <w:t>，以交工日期为准），每增加一个不小于</w:t>
            </w:r>
            <w:r>
              <w:rPr>
                <w:rFonts w:hint="eastAsia" w:ascii="方正仿宋_GB2312" w:hAnsi="方正仿宋_GB2312" w:eastAsia="方正仿宋_GB2312" w:cs="方正仿宋_GB2312"/>
                <w:color w:val="auto"/>
                <w:kern w:val="2"/>
                <w:sz w:val="21"/>
                <w:highlight w:val="none"/>
                <w:lang w:val="en-US" w:eastAsia="zh-CN"/>
              </w:rPr>
              <w:t>5公里</w:t>
            </w:r>
            <w:r>
              <w:rPr>
                <w:rFonts w:hint="eastAsia" w:ascii="方正仿宋_GB2312" w:hAnsi="方正仿宋_GB2312" w:eastAsia="方正仿宋_GB2312" w:cs="方正仿宋_GB2312"/>
                <w:color w:val="auto"/>
                <w:kern w:val="2"/>
                <w:sz w:val="21"/>
                <w:highlight w:val="none"/>
                <w:lang w:eastAsia="zh-CN"/>
              </w:rPr>
              <w:t>的一级及以上等级公路路面养护工程（工程内容中须含有路面养护和交通安全设施施工内容）施工业绩加3分，此项最多加6分。</w:t>
            </w:r>
          </w:p>
          <w:p>
            <w:pPr>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2"/>
                <w:sz w:val="21"/>
                <w:highlight w:val="none"/>
                <w:lang w:eastAsia="zh-CN"/>
              </w:rPr>
              <w:t>3.业绩证明材料同招标文件要求。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right w:val="single" w:color="auto" w:sz="4" w:space="0"/>
            </w:tcBorders>
            <w:noWrap w:val="0"/>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2.2.3</w:t>
            </w:r>
          </w:p>
        </w:tc>
        <w:tc>
          <w:tcPr>
            <w:tcW w:w="1424" w:type="dxa"/>
            <w:gridSpan w:val="2"/>
            <w:tcBorders>
              <w:top w:val="single" w:color="auto" w:sz="4" w:space="0"/>
              <w:right w:val="single" w:color="auto" w:sz="4" w:space="0"/>
            </w:tcBorders>
            <w:noWrap w:val="0"/>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第二个信封详细评审标准</w:t>
            </w:r>
          </w:p>
        </w:tc>
        <w:tc>
          <w:tcPr>
            <w:tcW w:w="7477" w:type="dxa"/>
            <w:gridSpan w:val="6"/>
            <w:tcBorders>
              <w:top w:val="single" w:color="auto" w:sz="4" w:space="0"/>
              <w:left w:val="single" w:color="auto" w:sz="4" w:space="0"/>
              <w:right w:val="single" w:color="auto" w:sz="4" w:space="0"/>
            </w:tcBorders>
            <w:noWrap w:val="0"/>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评标价计算公式：评标价＝投标函文字报价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5" w:type="dxa"/>
            <w:gridSpan w:val="3"/>
            <w:tcBorders>
              <w:top w:val="single" w:color="auto" w:sz="4" w:space="0"/>
              <w:bottom w:val="single" w:color="auto" w:sz="4" w:space="0"/>
              <w:right w:val="single" w:color="auto" w:sz="4" w:space="0"/>
            </w:tcBorders>
            <w:noWrap w:val="0"/>
            <w:vAlign w:val="center"/>
          </w:tcPr>
          <w:p>
            <w:pPr>
              <w:pStyle w:val="18"/>
              <w:spacing w:line="36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3.2.4</w:t>
            </w:r>
          </w:p>
        </w:tc>
        <w:tc>
          <w:tcPr>
            <w:tcW w:w="2220" w:type="dxa"/>
            <w:gridSpan w:val="3"/>
            <w:tcBorders>
              <w:top w:val="single" w:color="auto" w:sz="4" w:space="0"/>
              <w:left w:val="single" w:color="auto" w:sz="4" w:space="0"/>
              <w:bottom w:val="single" w:color="auto" w:sz="4" w:space="0"/>
              <w:right w:val="single" w:color="auto" w:sz="4" w:space="0"/>
            </w:tcBorders>
            <w:noWrap w:val="0"/>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通过第一个信封详细评审的投标人数量</w:t>
            </w:r>
          </w:p>
        </w:tc>
        <w:tc>
          <w:tcPr>
            <w:tcW w:w="5257" w:type="dxa"/>
            <w:gridSpan w:val="3"/>
            <w:tcBorders>
              <w:top w:val="single" w:color="auto" w:sz="4" w:space="0"/>
              <w:left w:val="single" w:color="auto" w:sz="4" w:space="0"/>
              <w:bottom w:val="single" w:color="auto" w:sz="4" w:space="0"/>
              <w:right w:val="single" w:color="auto" w:sz="4" w:space="0"/>
            </w:tcBorders>
            <w:noWrap w:val="0"/>
            <w:vAlign w:val="center"/>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按照投标人的商务和技术得分由高到低排序，选择前</w:t>
            </w:r>
            <w:r>
              <w:rPr>
                <w:rFonts w:hint="eastAsia" w:ascii="方正仿宋_GB2312" w:hAnsi="方正仿宋_GB2312" w:eastAsia="方正仿宋_GB2312" w:cs="方正仿宋_GB2312"/>
                <w:b/>
                <w:bCs/>
                <w:color w:val="auto"/>
                <w:kern w:val="0"/>
                <w:sz w:val="21"/>
                <w:szCs w:val="21"/>
                <w:highlight w:val="none"/>
                <w:lang w:val="en-US" w:eastAsia="zh-CN"/>
              </w:rPr>
              <w:t>10</w:t>
            </w:r>
            <w:r>
              <w:rPr>
                <w:rFonts w:hint="eastAsia" w:ascii="方正仿宋_GB2312" w:hAnsi="方正仿宋_GB2312" w:eastAsia="方正仿宋_GB2312" w:cs="方正仿宋_GB2312"/>
                <w:color w:val="auto"/>
                <w:kern w:val="0"/>
                <w:sz w:val="21"/>
                <w:szCs w:val="21"/>
                <w:highlight w:val="none"/>
              </w:rPr>
              <w:t>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712" w:type="dxa"/>
            <w:gridSpan w:val="9"/>
            <w:tcBorders>
              <w:top w:val="single" w:color="000000" w:sz="4" w:space="0"/>
              <w:left w:val="single" w:color="000000" w:sz="4" w:space="0"/>
              <w:bottom w:val="single" w:color="000000" w:sz="4" w:space="0"/>
              <w:right w:val="single" w:color="000000" w:sz="4" w:space="0"/>
            </w:tcBorders>
            <w:noWrap w:val="0"/>
            <w:vAlign w:val="top"/>
          </w:tcPr>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需要补充的其他内容：</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lang w:val="en-US" w:eastAsia="zh-CN"/>
              </w:rPr>
              <w:t>1.</w:t>
            </w:r>
            <w:r>
              <w:rPr>
                <w:rFonts w:hint="eastAsia" w:ascii="方正仿宋_GB2312" w:hAnsi="方正仿宋_GB2312" w:eastAsia="方正仿宋_GB2312" w:cs="方正仿宋_GB2312"/>
                <w:color w:val="auto"/>
                <w:kern w:val="0"/>
                <w:sz w:val="21"/>
                <w:szCs w:val="21"/>
                <w:highlight w:val="none"/>
              </w:rPr>
              <w:t>第一个信封评分分值构成(总分100分)：施工组织设计：35分；主要人员：25分；技术能力：10分；履约信誉：15分；企业业绩：15分。</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lang w:val="en-US" w:eastAsia="zh-CN"/>
              </w:rPr>
              <w:t>2.</w:t>
            </w:r>
            <w:r>
              <w:rPr>
                <w:rFonts w:hint="eastAsia" w:ascii="方正仿宋_GB2312" w:hAnsi="方正仿宋_GB2312" w:eastAsia="方正仿宋_GB2312" w:cs="方正仿宋_GB2312"/>
                <w:color w:val="auto"/>
                <w:kern w:val="0"/>
                <w:sz w:val="21"/>
                <w:szCs w:val="21"/>
                <w:highlight w:val="none"/>
              </w:rPr>
              <w:t>第二个信封详细评审标准：评标价计算公式：评标价＝投标函文字报价</w:t>
            </w:r>
          </w:p>
          <w:p>
            <w:pPr>
              <w:pStyle w:val="18"/>
              <w:spacing w:line="360" w:lineRule="auto"/>
              <w:rPr>
                <w:rFonts w:hint="eastAsia" w:ascii="方正仿宋_GB2312" w:hAnsi="方正仿宋_GB2312" w:eastAsia="方正仿宋_GB2312" w:cs="方正仿宋_GB2312"/>
                <w:color w:val="auto"/>
                <w:kern w:val="0"/>
                <w:sz w:val="21"/>
                <w:szCs w:val="21"/>
                <w:highlight w:val="none"/>
              </w:rPr>
            </w:pPr>
            <w:bookmarkStart w:id="5" w:name="EB0c073243358b4544b57f855877b5d761"/>
            <w:r>
              <w:rPr>
                <w:rFonts w:hint="eastAsia" w:ascii="方正仿宋_GB2312" w:hAnsi="方正仿宋_GB2312" w:eastAsia="方正仿宋_GB2312" w:cs="方正仿宋_GB2312"/>
                <w:color w:val="auto"/>
                <w:kern w:val="0"/>
                <w:sz w:val="21"/>
                <w:szCs w:val="21"/>
                <w:highlight w:val="none"/>
                <w:lang w:val="en-US" w:eastAsia="zh-CN"/>
              </w:rPr>
              <w:t>3.A</w:t>
            </w:r>
            <w:r>
              <w:rPr>
                <w:rFonts w:hint="eastAsia" w:ascii="方正仿宋_GB2312" w:hAnsi="方正仿宋_GB2312" w:eastAsia="方正仿宋_GB2312" w:cs="方正仿宋_GB2312"/>
                <w:color w:val="auto"/>
                <w:kern w:val="0"/>
                <w:sz w:val="21"/>
                <w:szCs w:val="21"/>
                <w:highlight w:val="none"/>
              </w:rPr>
              <w:t>组内通过第一个信封详细评审的投标人数量规定如下：</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lang w:val="en-US" w:eastAsia="zh-CN"/>
              </w:rPr>
              <w:t>(1)</w:t>
            </w:r>
            <w:r>
              <w:rPr>
                <w:rFonts w:hint="eastAsia" w:ascii="方正仿宋_GB2312" w:hAnsi="方正仿宋_GB2312" w:eastAsia="方正仿宋_GB2312" w:cs="方正仿宋_GB2312"/>
                <w:color w:val="auto"/>
                <w:kern w:val="0"/>
                <w:sz w:val="21"/>
                <w:szCs w:val="21"/>
                <w:highlight w:val="none"/>
              </w:rPr>
              <w:t>按照投标人的商务和技术得分由高到低排序，选择前</w:t>
            </w:r>
            <w:r>
              <w:rPr>
                <w:rFonts w:hint="eastAsia" w:ascii="方正仿宋_GB2312" w:hAnsi="方正仿宋_GB2312" w:eastAsia="方正仿宋_GB2312" w:cs="方正仿宋_GB2312"/>
                <w:b/>
                <w:bCs/>
                <w:color w:val="auto"/>
                <w:kern w:val="0"/>
                <w:sz w:val="21"/>
                <w:szCs w:val="21"/>
                <w:highlight w:val="none"/>
                <w:lang w:val="en-US" w:eastAsia="zh-CN"/>
              </w:rPr>
              <w:t>10</w:t>
            </w:r>
            <w:r>
              <w:rPr>
                <w:rFonts w:hint="eastAsia" w:ascii="方正仿宋_GB2312" w:hAnsi="方正仿宋_GB2312" w:eastAsia="方正仿宋_GB2312" w:cs="方正仿宋_GB2312"/>
                <w:color w:val="auto"/>
                <w:kern w:val="0"/>
                <w:sz w:val="21"/>
                <w:szCs w:val="21"/>
                <w:highlight w:val="none"/>
              </w:rPr>
              <w:t>名通过详细评审。</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lang w:val="en-US" w:eastAsia="zh-CN"/>
              </w:rPr>
              <w:t>(2)</w:t>
            </w:r>
            <w:r>
              <w:rPr>
                <w:rFonts w:hint="eastAsia" w:ascii="方正仿宋_GB2312" w:hAnsi="方正仿宋_GB2312" w:eastAsia="方正仿宋_GB2312" w:cs="方正仿宋_GB2312"/>
                <w:color w:val="auto"/>
                <w:kern w:val="0"/>
                <w:sz w:val="21"/>
                <w:szCs w:val="21"/>
                <w:highlight w:val="none"/>
              </w:rPr>
              <w:t>如第一个信封</w:t>
            </w:r>
            <w:r>
              <w:rPr>
                <w:rFonts w:hint="eastAsia" w:ascii="方正仿宋_GB2312" w:hAnsi="方正仿宋_GB2312" w:eastAsia="方正仿宋_GB2312" w:cs="方正仿宋_GB2312"/>
                <w:color w:val="auto"/>
                <w:kern w:val="0"/>
                <w:sz w:val="21"/>
                <w:szCs w:val="21"/>
                <w:highlight w:val="none"/>
                <w:lang w:eastAsia="zh-CN"/>
              </w:rPr>
              <w:t>投标人</w:t>
            </w:r>
            <w:r>
              <w:rPr>
                <w:rFonts w:hint="eastAsia" w:ascii="方正仿宋_GB2312" w:hAnsi="方正仿宋_GB2312" w:eastAsia="方正仿宋_GB2312" w:cs="方正仿宋_GB2312"/>
                <w:color w:val="auto"/>
                <w:kern w:val="0"/>
                <w:sz w:val="21"/>
                <w:szCs w:val="21"/>
                <w:highlight w:val="none"/>
              </w:rPr>
              <w:t>商务和技术得分相同时，按照以下规则确定投标人排名优先顺序：</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①</w:t>
            </w:r>
            <w:r>
              <w:rPr>
                <w:rFonts w:hint="eastAsia" w:ascii="方正仿宋_GB2312" w:hAnsi="方正仿宋_GB2312" w:eastAsia="方正仿宋_GB2312" w:cs="方正仿宋_GB2312"/>
                <w:color w:val="auto"/>
                <w:kern w:val="0"/>
                <w:sz w:val="21"/>
                <w:szCs w:val="21"/>
                <w:highlight w:val="none"/>
                <w:lang w:eastAsia="zh-CN"/>
              </w:rPr>
              <w:t>202</w:t>
            </w:r>
            <w:r>
              <w:rPr>
                <w:rFonts w:hint="eastAsia" w:ascii="方正仿宋_GB2312" w:hAnsi="方正仿宋_GB2312" w:eastAsia="方正仿宋_GB2312" w:cs="方正仿宋_GB2312"/>
                <w:color w:val="auto"/>
                <w:kern w:val="0"/>
                <w:sz w:val="21"/>
                <w:szCs w:val="21"/>
                <w:highlight w:val="none"/>
                <w:lang w:val="en-US" w:eastAsia="zh-CN"/>
              </w:rPr>
              <w:t>2</w:t>
            </w:r>
            <w:r>
              <w:rPr>
                <w:rFonts w:hint="eastAsia" w:ascii="方正仿宋_GB2312" w:hAnsi="方正仿宋_GB2312" w:eastAsia="方正仿宋_GB2312" w:cs="方正仿宋_GB2312"/>
                <w:color w:val="auto"/>
                <w:kern w:val="0"/>
                <w:sz w:val="21"/>
                <w:szCs w:val="21"/>
                <w:highlight w:val="none"/>
                <w:lang w:eastAsia="zh-CN"/>
              </w:rPr>
              <w:t>年度</w:t>
            </w:r>
            <w:r>
              <w:rPr>
                <w:rFonts w:hint="eastAsia" w:ascii="方正仿宋_GB2312" w:hAnsi="方正仿宋_GB2312" w:eastAsia="方正仿宋_GB2312" w:cs="方正仿宋_GB2312"/>
                <w:color w:val="auto"/>
                <w:kern w:val="0"/>
                <w:sz w:val="21"/>
                <w:szCs w:val="21"/>
                <w:highlight w:val="none"/>
              </w:rPr>
              <w:t>被宁夏交通运输厅评为较高信用等级的投标人优先：以《自治区交通运输厅关于公布2022年宁夏公路建设市场从业单位信用等级评价结果的通知》（宁交函[2023]98号）文件中施工企业的信用评价等级为准；</w:t>
            </w:r>
          </w:p>
          <w:p>
            <w:pPr>
              <w:pStyle w:val="18"/>
              <w:numPr>
                <w:ilvl w:val="0"/>
                <w:numId w:val="0"/>
              </w:numPr>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②由评标委员会根据投标文件</w:t>
            </w:r>
            <w:r>
              <w:rPr>
                <w:rFonts w:hint="eastAsia" w:ascii="方正仿宋_GB2312" w:hAnsi="方正仿宋_GB2312" w:eastAsia="方正仿宋_GB2312" w:cs="方正仿宋_GB2312"/>
                <w:color w:val="auto"/>
                <w:kern w:val="0"/>
                <w:sz w:val="21"/>
                <w:szCs w:val="21"/>
                <w:highlight w:val="none"/>
                <w:lang w:eastAsia="zh-CN"/>
              </w:rPr>
              <w:t>施工组织设计</w:t>
            </w:r>
            <w:r>
              <w:rPr>
                <w:rFonts w:hint="eastAsia" w:ascii="方正仿宋_GB2312" w:hAnsi="方正仿宋_GB2312" w:eastAsia="方正仿宋_GB2312" w:cs="方正仿宋_GB2312"/>
                <w:color w:val="auto"/>
                <w:kern w:val="0"/>
                <w:sz w:val="21"/>
                <w:szCs w:val="21"/>
                <w:highlight w:val="none"/>
              </w:rPr>
              <w:t>的编制情况投票决定推荐排序。</w:t>
            </w:r>
          </w:p>
          <w:p>
            <w:pPr>
              <w:keepNext w:val="0"/>
              <w:keepLines w:val="0"/>
              <w:widowControl/>
              <w:suppressLineNumbers w:val="0"/>
              <w:spacing w:line="360" w:lineRule="auto"/>
              <w:jc w:val="left"/>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ascii="方正仿宋_GB2312" w:hAnsi="方正仿宋_GB2312" w:eastAsia="方正仿宋_GB2312" w:cs="方正仿宋_GB2312"/>
                <w:color w:val="auto"/>
                <w:kern w:val="0"/>
                <w:sz w:val="21"/>
                <w:szCs w:val="21"/>
                <w:highlight w:val="none"/>
                <w:lang w:val="en-US" w:eastAsia="zh-CN" w:bidi="ar-SA"/>
              </w:rPr>
              <w:t>4.A组选择排序前</w:t>
            </w:r>
            <w:r>
              <w:rPr>
                <w:rFonts w:hint="eastAsia" w:ascii="方正仿宋_GB2312" w:hAnsi="方正仿宋_GB2312" w:eastAsia="方正仿宋_GB2312" w:cs="方正仿宋_GB2312"/>
                <w:b/>
                <w:bCs/>
                <w:color w:val="auto"/>
                <w:kern w:val="0"/>
                <w:sz w:val="21"/>
                <w:szCs w:val="21"/>
                <w:highlight w:val="none"/>
                <w:lang w:val="en-US" w:eastAsia="zh-CN" w:bidi="ar-SA"/>
              </w:rPr>
              <w:t>10</w:t>
            </w:r>
            <w:r>
              <w:rPr>
                <w:rFonts w:hint="eastAsia" w:ascii="方正仿宋_GB2312" w:hAnsi="方正仿宋_GB2312" w:eastAsia="方正仿宋_GB2312" w:cs="方正仿宋_GB2312"/>
                <w:color w:val="auto"/>
                <w:kern w:val="0"/>
                <w:sz w:val="21"/>
                <w:szCs w:val="21"/>
                <w:highlight w:val="none"/>
                <w:lang w:val="en-US" w:eastAsia="zh-CN" w:bidi="ar-SA"/>
              </w:rPr>
              <w:t>名的投标人通过第一信封详细评审，随机分配在2个标段中，进入第二个信封（投标报价）开评标环节：</w:t>
            </w:r>
          </w:p>
          <w:p>
            <w:pPr>
              <w:keepNext w:val="0"/>
              <w:keepLines w:val="0"/>
              <w:widowControl/>
              <w:suppressLineNumbers w:val="0"/>
              <w:spacing w:line="360" w:lineRule="auto"/>
              <w:jc w:val="left"/>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ascii="方正仿宋_GB2312" w:hAnsi="方正仿宋_GB2312" w:eastAsia="方正仿宋_GB2312" w:cs="方正仿宋_GB2312"/>
                <w:color w:val="auto"/>
                <w:kern w:val="0"/>
                <w:sz w:val="21"/>
                <w:szCs w:val="21"/>
                <w:highlight w:val="none"/>
                <w:lang w:val="en-US" w:eastAsia="zh-CN" w:bidi="ar-SA"/>
              </w:rPr>
              <w:t>（1）如通过详细评审的前</w:t>
            </w:r>
            <w:r>
              <w:rPr>
                <w:rFonts w:hint="eastAsia" w:ascii="方正仿宋_GB2312" w:hAnsi="方正仿宋_GB2312" w:eastAsia="方正仿宋_GB2312" w:cs="方正仿宋_GB2312"/>
                <w:b/>
                <w:bCs/>
                <w:color w:val="auto"/>
                <w:kern w:val="0"/>
                <w:sz w:val="21"/>
                <w:szCs w:val="21"/>
                <w:highlight w:val="none"/>
                <w:lang w:val="en-US" w:eastAsia="zh-CN" w:bidi="ar-SA"/>
              </w:rPr>
              <w:t>10</w:t>
            </w:r>
            <w:r>
              <w:rPr>
                <w:rFonts w:hint="eastAsia" w:ascii="方正仿宋_GB2312" w:hAnsi="方正仿宋_GB2312" w:eastAsia="方正仿宋_GB2312" w:cs="方正仿宋_GB2312"/>
                <w:color w:val="auto"/>
                <w:kern w:val="0"/>
                <w:sz w:val="21"/>
                <w:szCs w:val="21"/>
                <w:highlight w:val="none"/>
                <w:lang w:val="en-US" w:eastAsia="zh-CN" w:bidi="ar-SA"/>
              </w:rPr>
              <w:t xml:space="preserve">名的投标人中，具有关联关系的不同投标人数量超过2个，按照商务和技术得分由高到低顺序选取关联企业前2名进入第二信封（投标报价）开评标环节，未选取的关联投标人不进入。当进入第二信封评审的投标人数量不足10名，根据前10名后的排名先后顺序进行补充，如再次出现以上关联情况，以此类推，直至补充到10 名投标人为止。 </w:t>
            </w:r>
          </w:p>
          <w:p>
            <w:pPr>
              <w:pStyle w:val="18"/>
              <w:spacing w:line="360" w:lineRule="auto"/>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ascii="方正仿宋_GB2312" w:hAnsi="方正仿宋_GB2312" w:eastAsia="方正仿宋_GB2312" w:cs="方正仿宋_GB2312"/>
                <w:color w:val="auto"/>
                <w:kern w:val="0"/>
                <w:sz w:val="21"/>
                <w:szCs w:val="21"/>
                <w:highlight w:val="none"/>
                <w:lang w:val="en-US" w:eastAsia="zh-CN" w:bidi="ar-SA"/>
              </w:rPr>
              <w:t>（2）当A组通过第一信封详细评审投标人数量大于等于6名且小于10名时，同样随机分配在2个标段中，并进入第二信封（投标报价）开评标环节。如A组通过第一信封详细评审投标人数量少于6名时，不得进入开评标环节，并进行重新招标。</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招标人设有投标控制价上限，目的是防止哄抬标价，投标价超出此投标控制价上限的，招标人将视为超出招标人的支付能力，评标委员会应拒绝其投标。</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lang w:val="en-US" w:eastAsia="zh-CN"/>
              </w:rPr>
              <w:t>5.</w:t>
            </w:r>
            <w:r>
              <w:rPr>
                <w:rFonts w:hint="eastAsia" w:ascii="方正仿宋_GB2312" w:hAnsi="方正仿宋_GB2312" w:eastAsia="方正仿宋_GB2312" w:cs="方正仿宋_GB2312"/>
                <w:color w:val="auto"/>
                <w:kern w:val="0"/>
                <w:sz w:val="21"/>
                <w:szCs w:val="21"/>
                <w:highlight w:val="none"/>
              </w:rPr>
              <w:t xml:space="preserve">本次评标采用技术评分最低标价法，评标委员会对通过初步评审的投标人的施工组织设计、主要人员、其他等因素进行评分，按照得分由高到低排序，对排名在招标文件规定数量以内的投标人的报价文件进行评审，按照评标价由低到高的顺序推荐中标候选人的评标方法。并标明排序。投标报价低于其成本的除外。 </w:t>
            </w:r>
          </w:p>
          <w:p>
            <w:pPr>
              <w:pStyle w:val="18"/>
              <w:spacing w:line="360" w:lineRule="auto"/>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除评标价评分项外，评标委员会成员对投标人商务和技术各项因素的评分一般不得低于招标文件规定该因素满分值的60%；评分低于满分值60%的，评标委员会成员应当在评标报告中作出说明。投标文件各项评分因素得分应以评标委员会各成员的打分平均值确定，评标委员会成员总数为七人及以上时，该平均值以去掉一个最高分和一个最低分后计算。评标委员会成员对某一项评分因素的评分低于权重分值60%的，应在评标报告中作出说明。</w:t>
            </w:r>
            <w:bookmarkEnd w:id="5"/>
          </w:p>
        </w:tc>
      </w:tr>
    </w:tbl>
    <w:p>
      <w:pPr>
        <w:rPr>
          <w:rFonts w:hint="eastAsia" w:ascii="宋体" w:hAnsi="宋体" w:eastAsia="宋体" w:cs="宋体"/>
          <w:color w:val="auto"/>
          <w:sz w:val="21"/>
          <w:szCs w:val="21"/>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5"/>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EC07A"/>
    <w:multiLevelType w:val="singleLevel"/>
    <w:tmpl w:val="986EC07A"/>
    <w:lvl w:ilvl="0" w:tentative="0">
      <w:start w:val="1"/>
      <w:numFmt w:val="decimal"/>
      <w:suff w:val="nothing"/>
      <w:lvlText w:val="（%1）"/>
      <w:lvlJc w:val="left"/>
    </w:lvl>
  </w:abstractNum>
  <w:abstractNum w:abstractNumId="1">
    <w:nsid w:val="F3E4211F"/>
    <w:multiLevelType w:val="singleLevel"/>
    <w:tmpl w:val="F3E4211F"/>
    <w:lvl w:ilvl="0" w:tentative="0">
      <w:start w:val="3"/>
      <w:numFmt w:val="chineseCounting"/>
      <w:suff w:val="nothing"/>
      <w:lvlText w:val="%1、"/>
      <w:lvlJc w:val="left"/>
      <w:rPr>
        <w:rFonts w:hint="eastAsia"/>
      </w:rPr>
    </w:lvl>
  </w:abstractNum>
  <w:abstractNum w:abstractNumId="2">
    <w:nsid w:val="0E463D71"/>
    <w:multiLevelType w:val="multilevel"/>
    <w:tmpl w:val="0E463D71"/>
    <w:lvl w:ilvl="0" w:tentative="0">
      <w:start w:val="1"/>
      <w:numFmt w:val="decimal"/>
      <w:lvlText w:val="（%1）"/>
      <w:lvlJc w:val="left"/>
      <w:pPr>
        <w:ind w:left="108" w:hanging="536"/>
      </w:pPr>
      <w:rPr>
        <w:rFonts w:hint="default" w:ascii="宋体" w:hAnsi="宋体" w:eastAsia="宋体" w:cs="宋体"/>
        <w:spacing w:val="3"/>
        <w:w w:val="99"/>
        <w:sz w:val="19"/>
        <w:szCs w:val="19"/>
        <w:lang w:val="en-US" w:eastAsia="zh-CN" w:bidi="ar-SA"/>
      </w:rPr>
    </w:lvl>
    <w:lvl w:ilvl="1" w:tentative="0">
      <w:start w:val="0"/>
      <w:numFmt w:val="bullet"/>
      <w:lvlText w:val="•"/>
      <w:lvlJc w:val="left"/>
      <w:pPr>
        <w:ind w:left="1038" w:hanging="536"/>
      </w:pPr>
      <w:rPr>
        <w:rFonts w:hint="default"/>
        <w:lang w:val="en-US" w:eastAsia="zh-CN" w:bidi="ar-SA"/>
      </w:rPr>
    </w:lvl>
    <w:lvl w:ilvl="2" w:tentative="0">
      <w:start w:val="0"/>
      <w:numFmt w:val="bullet"/>
      <w:lvlText w:val="•"/>
      <w:lvlJc w:val="left"/>
      <w:pPr>
        <w:ind w:left="1977" w:hanging="536"/>
      </w:pPr>
      <w:rPr>
        <w:rFonts w:hint="default"/>
        <w:lang w:val="en-US" w:eastAsia="zh-CN" w:bidi="ar-SA"/>
      </w:rPr>
    </w:lvl>
    <w:lvl w:ilvl="3" w:tentative="0">
      <w:start w:val="0"/>
      <w:numFmt w:val="bullet"/>
      <w:lvlText w:val="•"/>
      <w:lvlJc w:val="left"/>
      <w:pPr>
        <w:ind w:left="2916" w:hanging="536"/>
      </w:pPr>
      <w:rPr>
        <w:rFonts w:hint="default"/>
        <w:lang w:val="en-US" w:eastAsia="zh-CN" w:bidi="ar-SA"/>
      </w:rPr>
    </w:lvl>
    <w:lvl w:ilvl="4" w:tentative="0">
      <w:start w:val="0"/>
      <w:numFmt w:val="bullet"/>
      <w:lvlText w:val="•"/>
      <w:lvlJc w:val="left"/>
      <w:pPr>
        <w:ind w:left="3855" w:hanging="536"/>
      </w:pPr>
      <w:rPr>
        <w:rFonts w:hint="default"/>
        <w:lang w:val="en-US" w:eastAsia="zh-CN" w:bidi="ar-SA"/>
      </w:rPr>
    </w:lvl>
    <w:lvl w:ilvl="5" w:tentative="0">
      <w:start w:val="0"/>
      <w:numFmt w:val="bullet"/>
      <w:lvlText w:val="•"/>
      <w:lvlJc w:val="left"/>
      <w:pPr>
        <w:ind w:left="4794" w:hanging="536"/>
      </w:pPr>
      <w:rPr>
        <w:rFonts w:hint="default"/>
        <w:lang w:val="en-US" w:eastAsia="zh-CN" w:bidi="ar-SA"/>
      </w:rPr>
    </w:lvl>
    <w:lvl w:ilvl="6" w:tentative="0">
      <w:start w:val="0"/>
      <w:numFmt w:val="bullet"/>
      <w:lvlText w:val="•"/>
      <w:lvlJc w:val="left"/>
      <w:pPr>
        <w:ind w:left="5732" w:hanging="536"/>
      </w:pPr>
      <w:rPr>
        <w:rFonts w:hint="default"/>
        <w:lang w:val="en-US" w:eastAsia="zh-CN" w:bidi="ar-SA"/>
      </w:rPr>
    </w:lvl>
    <w:lvl w:ilvl="7" w:tentative="0">
      <w:start w:val="0"/>
      <w:numFmt w:val="bullet"/>
      <w:lvlText w:val="•"/>
      <w:lvlJc w:val="left"/>
      <w:pPr>
        <w:ind w:left="6671" w:hanging="536"/>
      </w:pPr>
      <w:rPr>
        <w:rFonts w:hint="default"/>
        <w:lang w:val="en-US" w:eastAsia="zh-CN" w:bidi="ar-SA"/>
      </w:rPr>
    </w:lvl>
    <w:lvl w:ilvl="8" w:tentative="0">
      <w:start w:val="0"/>
      <w:numFmt w:val="bullet"/>
      <w:lvlText w:val="•"/>
      <w:lvlJc w:val="left"/>
      <w:pPr>
        <w:ind w:left="7610" w:hanging="536"/>
      </w:pPr>
      <w:rPr>
        <w:rFonts w:hint="default"/>
        <w:lang w:val="en-US" w:eastAsia="zh-CN"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WQzMWIwOGVmYWMzOTU1Yzk5ZDQ1ZDcyOGFjNmQifQ=="/>
  </w:docVars>
  <w:rsids>
    <w:rsidRoot w:val="406777B4"/>
    <w:rsid w:val="049A7BD3"/>
    <w:rsid w:val="0ADE3E8B"/>
    <w:rsid w:val="0DE34A68"/>
    <w:rsid w:val="2ADF6BD1"/>
    <w:rsid w:val="2D9E7E85"/>
    <w:rsid w:val="346278FD"/>
    <w:rsid w:val="3C263B43"/>
    <w:rsid w:val="3D0B776A"/>
    <w:rsid w:val="406777B4"/>
    <w:rsid w:val="46B84187"/>
    <w:rsid w:val="59E15E56"/>
    <w:rsid w:val="6A941A63"/>
    <w:rsid w:val="73492E90"/>
    <w:rsid w:val="7FB4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left="1026" w:right="1076"/>
      <w:jc w:val="center"/>
      <w:outlineLvl w:val="0"/>
    </w:pPr>
    <w:rPr>
      <w:sz w:val="72"/>
      <w:szCs w:val="72"/>
    </w:rPr>
  </w:style>
  <w:style w:type="paragraph" w:styleId="3">
    <w:name w:val="heading 2"/>
    <w:basedOn w:val="1"/>
    <w:next w:val="1"/>
    <w:unhideWhenUsed/>
    <w:qFormat/>
    <w:uiPriority w:val="0"/>
    <w:pPr>
      <w:spacing w:before="22"/>
      <w:ind w:left="1144" w:right="1155"/>
      <w:jc w:val="center"/>
      <w:outlineLvl w:val="1"/>
    </w:pPr>
    <w:rPr>
      <w:sz w:val="44"/>
      <w:szCs w:val="44"/>
    </w:rPr>
  </w:style>
  <w:style w:type="paragraph" w:styleId="4">
    <w:name w:val="heading 4"/>
    <w:basedOn w:val="1"/>
    <w:next w:val="1"/>
    <w:unhideWhenUsed/>
    <w:qFormat/>
    <w:uiPriority w:val="9"/>
    <w:pPr>
      <w:spacing w:before="43"/>
      <w:ind w:right="10"/>
      <w:jc w:val="center"/>
      <w:outlineLvl w:val="3"/>
    </w:pPr>
    <w:rPr>
      <w:sz w:val="30"/>
      <w:szCs w:val="30"/>
    </w:rPr>
  </w:style>
  <w:style w:type="paragraph" w:styleId="5">
    <w:name w:val="heading 8"/>
    <w:basedOn w:val="1"/>
    <w:next w:val="1"/>
    <w:qFormat/>
    <w:uiPriority w:val="1"/>
    <w:pPr>
      <w:spacing w:before="1"/>
      <w:ind w:left="440"/>
      <w:outlineLvl w:val="7"/>
    </w:pPr>
    <w:rPr>
      <w:sz w:val="24"/>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1"/>
    <w:rPr>
      <w:sz w:val="21"/>
      <w:szCs w:val="21"/>
    </w:rPr>
  </w:style>
  <w:style w:type="paragraph" w:styleId="7">
    <w:name w:val="Body Text Indent"/>
    <w:basedOn w:val="1"/>
    <w:next w:val="1"/>
    <w:qFormat/>
    <w:uiPriority w:val="0"/>
    <w:pPr>
      <w:ind w:firstLine="648"/>
    </w:pPr>
    <w:rPr>
      <w:sz w:val="32"/>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7"/>
    <w:next w:val="1"/>
    <w:qFormat/>
    <w:uiPriority w:val="0"/>
    <w:pPr>
      <w:ind w:firstLine="420" w:firstLineChars="200"/>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Table Paragraph"/>
    <w:basedOn w:val="1"/>
    <w:qFormat/>
    <w:uiPriority w:val="1"/>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20" w:firstLine="420"/>
    </w:pPr>
  </w:style>
  <w:style w:type="paragraph" w:customStyle="1" w:styleId="17">
    <w:name w:val="首行缩进"/>
    <w:basedOn w:val="1"/>
    <w:qFormat/>
    <w:uiPriority w:val="0"/>
    <w:pPr>
      <w:spacing w:line="360" w:lineRule="auto"/>
      <w:ind w:left="210" w:leftChars="100" w:firstLine="420" w:firstLineChars="200"/>
    </w:pPr>
  </w:style>
  <w:style w:type="paragraph" w:customStyle="1" w:styleId="18">
    <w:name w:val="正文_2"/>
    <w:next w:val="19"/>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9">
    <w:name w:val="正文缩进_1"/>
    <w:qFormat/>
    <w:uiPriority w:val="0"/>
    <w:pPr>
      <w:widowControl w:val="0"/>
      <w:ind w:firstLine="420" w:firstLineChars="200"/>
      <w:jc w:val="both"/>
    </w:pPr>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2023-03-15T09:39:00Z</dcterms:created>
  <dc:creator>　</dc:creator>
  <cp:lastModifiedBy>PC3</cp:lastModifiedBy>
  <dcterms:modified xsi:type="dcterms:W3CDTF">2023-11-22T01:33:41Z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71454BB53B46439C89B45F8AFE841F8F</vt:lpwstr>
  </property>
</Properties>
</file>