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ind w:firstLine="602" w:firstLineChars="20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宁夏公路管理中心银川分中心公路安全生命防护提升工程</w:t>
      </w:r>
    </w:p>
    <w:p>
      <w:pPr>
        <w:autoSpaceDE/>
        <w:autoSpaceDN/>
        <w:spacing w:line="360" w:lineRule="auto"/>
        <w:ind w:firstLine="602" w:firstLineChars="200"/>
        <w:jc w:val="center"/>
        <w:rPr>
          <w:rFonts w:hint="default" w:eastAsia="宋体"/>
          <w:b/>
          <w:bCs/>
          <w:sz w:val="30"/>
          <w:szCs w:val="30"/>
          <w:lang w:val="en-US" w:eastAsia="zh-CN"/>
        </w:rPr>
      </w:pPr>
      <w:r>
        <w:rPr>
          <w:rFonts w:hint="eastAsia" w:ascii="宋体" w:hAnsi="宋体" w:eastAsia="宋体" w:cs="宋体"/>
          <w:b/>
          <w:bCs/>
          <w:sz w:val="30"/>
          <w:szCs w:val="30"/>
          <w:lang w:val="en-US" w:eastAsia="zh-CN"/>
        </w:rPr>
        <w:t>施工</w:t>
      </w:r>
      <w:r>
        <w:rPr>
          <w:rFonts w:hint="eastAsia"/>
          <w:b/>
          <w:bCs/>
          <w:sz w:val="30"/>
          <w:szCs w:val="30"/>
          <w:lang w:val="en-US" w:eastAsia="zh-CN"/>
        </w:rPr>
        <w:t>关键内容</w:t>
      </w:r>
    </w:p>
    <w:p>
      <w:pPr>
        <w:widowControl/>
        <w:spacing w:line="360" w:lineRule="auto"/>
        <w:ind w:left="285"/>
        <w:rPr>
          <w:rFonts w:hint="eastAsia" w:eastAsia="宋体"/>
          <w:b/>
          <w:bCs/>
          <w:sz w:val="24"/>
          <w:szCs w:val="24"/>
          <w:lang w:val="en-US" w:eastAsia="zh-CN"/>
        </w:rPr>
      </w:pPr>
      <w:r>
        <w:rPr>
          <w:rFonts w:hint="eastAsia"/>
          <w:b/>
          <w:bCs/>
          <w:sz w:val="24"/>
          <w:szCs w:val="24"/>
        </w:rPr>
        <w:t>一、</w:t>
      </w:r>
      <w:r>
        <w:rPr>
          <w:rFonts w:hint="eastAsia"/>
          <w:b/>
          <w:bCs/>
          <w:sz w:val="24"/>
          <w:szCs w:val="24"/>
          <w:lang w:val="en-US" w:eastAsia="zh-CN"/>
        </w:rPr>
        <w:t>项目概况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宁夏公路管理中心银川分中心公路安全生命防护提升工程共包含3条路线，分别为：G244线K126+480-K144+880段、G244线K152+152-160+630段、G244线K117+600-700段，主要是更换沿线老化锈蚀的防眩网，该路段为一级公路技术标准，设计速度 60km/h。G110线K1282+800-K1285+800段主要是增设中分带隔离设施，重新施划标线等内容，该路段为二级公路技术标准，设计速度 80km/h。S305线K0+016-K7+148段更换防眩网等，S305线K23+723-K30+116段主要是增设中分带隔离护栏，重新施划标线等内容，该段路为一级公路技术标准，设计速度 60km/h。</w:t>
      </w:r>
    </w:p>
    <w:p>
      <w:pPr>
        <w:widowControl/>
        <w:spacing w:line="360" w:lineRule="auto"/>
        <w:rPr>
          <w:rFonts w:hint="eastAsia"/>
          <w:b/>
          <w:bCs/>
          <w:sz w:val="24"/>
          <w:szCs w:val="24"/>
          <w:lang w:val="en-US" w:eastAsia="zh-CN"/>
        </w:rPr>
      </w:pPr>
      <w:r>
        <w:rPr>
          <w:rFonts w:hint="eastAsia"/>
          <w:b/>
          <w:bCs/>
          <w:sz w:val="24"/>
          <w:szCs w:val="24"/>
          <w:lang w:val="en-US" w:eastAsia="zh-CN"/>
        </w:rPr>
        <w:t xml:space="preserve">二、对投标人的全部资格条件要求 </w:t>
      </w:r>
    </w:p>
    <w:p>
      <w:pPr>
        <w:autoSpaceDE/>
        <w:autoSpaceDN/>
        <w:spacing w:line="360" w:lineRule="auto"/>
        <w:ind w:firstLine="420" w:firstLineChars="200"/>
        <w:jc w:val="left"/>
        <w:rPr>
          <w:rFonts w:hint="eastAsia"/>
          <w:b/>
          <w:bCs/>
          <w:sz w:val="21"/>
          <w:szCs w:val="21"/>
          <w:lang w:val="en-US" w:eastAsia="zh-CN"/>
        </w:rPr>
      </w:pPr>
      <w:r>
        <w:rPr>
          <w:rFonts w:hint="eastAsia"/>
          <w:sz w:val="21"/>
          <w:szCs w:val="21"/>
          <w:lang w:val="en-US" w:eastAsia="zh-CN"/>
        </w:rPr>
        <w:t xml:space="preserve">详见招标公告。 </w:t>
      </w:r>
    </w:p>
    <w:p>
      <w:pPr>
        <w:widowControl/>
        <w:numPr>
          <w:ilvl w:val="0"/>
          <w:numId w:val="1"/>
        </w:numPr>
        <w:spacing w:line="360" w:lineRule="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招标人联系方式</w:t>
      </w:r>
    </w:p>
    <w:p>
      <w:pPr>
        <w:pStyle w:val="9"/>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招</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标</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人：宁夏公路管理中心银川分中心</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地</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址：银川市兴庆区青银高速公路银川东收费站北侧大楼</w:t>
      </w:r>
    </w:p>
    <w:p>
      <w:pPr>
        <w:pStyle w:val="9"/>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邮政编码：751300</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联</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系</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人：</w:t>
      </w:r>
      <w:r>
        <w:rPr>
          <w:rFonts w:hint="eastAsia" w:asciiTheme="minorEastAsia" w:hAnsiTheme="minorEastAsia" w:eastAsiaTheme="minorEastAsia"/>
          <w:sz w:val="21"/>
          <w:szCs w:val="21"/>
          <w:lang w:val="en-US" w:eastAsia="zh-CN"/>
        </w:rPr>
        <w:t>米</w:t>
      </w:r>
      <w:r>
        <w:rPr>
          <w:rFonts w:hint="eastAsia" w:asciiTheme="minorEastAsia" w:hAnsiTheme="minorEastAsia" w:eastAsiaTheme="minorEastAsia"/>
          <w:sz w:val="21"/>
          <w:szCs w:val="21"/>
        </w:rPr>
        <w:t>先生</w:t>
      </w:r>
    </w:p>
    <w:p>
      <w:pPr>
        <w:pStyle w:val="9"/>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电</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话：095</w:t>
      </w: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6153780</w:t>
      </w:r>
    </w:p>
    <w:p>
      <w:pPr>
        <w:spacing w:line="360" w:lineRule="auto"/>
        <w:ind w:firstLine="420" w:firstLineChars="200"/>
        <w:rPr>
          <w:rFonts w:hint="eastAsia"/>
          <w:sz w:val="21"/>
          <w:szCs w:val="21"/>
          <w:lang w:val="en-US" w:eastAsia="zh-CN"/>
        </w:rPr>
      </w:pPr>
      <w:r>
        <w:rPr>
          <w:rFonts w:hint="eastAsia" w:asciiTheme="minorEastAsia" w:hAnsiTheme="minorEastAsia" w:eastAsiaTheme="minorEastAsia"/>
          <w:sz w:val="21"/>
          <w:szCs w:val="21"/>
        </w:rPr>
        <w:t>传</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真：/</w:t>
      </w:r>
    </w:p>
    <w:p>
      <w:pPr>
        <w:keepNext w:val="0"/>
        <w:keepLines w:val="0"/>
        <w:widowControl/>
        <w:suppressLineNumbers w:val="0"/>
        <w:spacing w:line="360" w:lineRule="auto"/>
        <w:jc w:val="left"/>
      </w:pPr>
      <w:r>
        <w:rPr>
          <w:rFonts w:hint="eastAsia" w:ascii="宋体" w:hAnsi="宋体" w:eastAsia="宋体" w:cs="宋体"/>
          <w:b/>
          <w:bCs/>
          <w:color w:val="000000"/>
          <w:kern w:val="0"/>
          <w:sz w:val="28"/>
          <w:szCs w:val="28"/>
          <w:lang w:val="en-US" w:eastAsia="zh-CN" w:bidi="ar"/>
        </w:rPr>
        <w:t>四、资格审查办法</w:t>
      </w:r>
    </w:p>
    <w:p>
      <w:pPr>
        <w:spacing w:before="75" w:line="181" w:lineRule="auto"/>
        <w:ind w:firstLine="2985"/>
        <w:outlineLvl w:val="1"/>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附录</w:t>
      </w:r>
      <w:r>
        <w:rPr>
          <w:rFonts w:ascii="宋体" w:hAnsi="宋体" w:eastAsia="宋体" w:cs="宋体"/>
          <w:color w:val="auto"/>
          <w:spacing w:val="-9"/>
          <w:sz w:val="23"/>
          <w:szCs w:val="23"/>
          <w:highlight w:val="none"/>
        </w:rPr>
        <w:t xml:space="preserve"> </w:t>
      </w:r>
      <w:r>
        <w:rPr>
          <w:rFonts w:ascii="宋体" w:hAnsi="宋体" w:eastAsia="宋体" w:cs="宋体"/>
          <w:color w:val="auto"/>
          <w:spacing w:val="4"/>
          <w:sz w:val="23"/>
          <w:szCs w:val="23"/>
          <w:highlight w:val="none"/>
        </w:rPr>
        <w:t>1</w:t>
      </w:r>
      <w:r>
        <w:rPr>
          <w:rFonts w:ascii="宋体" w:hAnsi="宋体" w:eastAsia="宋体" w:cs="宋体"/>
          <w:color w:val="auto"/>
          <w:spacing w:val="-14"/>
          <w:sz w:val="23"/>
          <w:szCs w:val="23"/>
          <w:highlight w:val="none"/>
        </w:rPr>
        <w:t xml:space="preserve"> </w:t>
      </w:r>
      <w:r>
        <w:rPr>
          <w:rFonts w:ascii="宋体" w:hAnsi="宋体" w:eastAsia="宋体" w:cs="宋体"/>
          <w:color w:val="auto"/>
          <w:spacing w:val="4"/>
          <w:sz w:val="23"/>
          <w:szCs w:val="23"/>
          <w:highlight w:val="none"/>
        </w:rPr>
        <w:t>资格审查条件(资质最低条件)</w:t>
      </w:r>
    </w:p>
    <w:p>
      <w:pPr>
        <w:rPr>
          <w:color w:val="auto"/>
          <w:highlight w:val="none"/>
        </w:rPr>
      </w:pPr>
    </w:p>
    <w:p>
      <w:pPr>
        <w:spacing w:line="192" w:lineRule="exact"/>
        <w:rPr>
          <w:color w:val="auto"/>
          <w:highlight w:val="none"/>
        </w:rPr>
      </w:pPr>
    </w:p>
    <w:tbl>
      <w:tblPr>
        <w:tblStyle w:val="14"/>
        <w:tblW w:w="95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26" w:hRule="atLeast"/>
        </w:trPr>
        <w:tc>
          <w:tcPr>
            <w:tcW w:w="9582" w:type="dxa"/>
            <w:noWrap w:val="0"/>
            <w:vAlign w:val="center"/>
          </w:tcPr>
          <w:p>
            <w:pPr>
              <w:spacing w:before="16" w:line="189" w:lineRule="auto"/>
              <w:jc w:val="center"/>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施工企业资质等级要求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2" w:hRule="atLeast"/>
        </w:trPr>
        <w:tc>
          <w:tcPr>
            <w:tcW w:w="9582"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1、投标人具有法人或其他组织资格；持有工商行政管理部门核发的有效企业营业执照或事业单位法人证书或社会团体法人登记证书</w:t>
            </w:r>
            <w:r>
              <w:rPr>
                <w:rFonts w:hint="default" w:ascii="宋体" w:hAnsi="宋体" w:eastAsia="宋体" w:cs="宋体"/>
                <w:snapToGrid w:val="0"/>
                <w:color w:val="auto"/>
                <w:kern w:val="0"/>
                <w:sz w:val="21"/>
                <w:szCs w:val="21"/>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2</w:t>
            </w:r>
            <w:r>
              <w:rPr>
                <w:rFonts w:hint="default" w:ascii="宋体" w:hAnsi="宋体" w:eastAsia="宋体" w:cs="宋体"/>
                <w:snapToGrid w:val="0"/>
                <w:color w:val="auto"/>
                <w:kern w:val="0"/>
                <w:sz w:val="21"/>
                <w:szCs w:val="21"/>
                <w:highlight w:val="none"/>
                <w:lang w:val="en-US" w:eastAsia="zh-CN" w:bidi="ar"/>
              </w:rPr>
              <w:t>、</w:t>
            </w:r>
            <w:r>
              <w:rPr>
                <w:rFonts w:hint="eastAsia" w:ascii="宋体" w:hAnsi="宋体" w:eastAsia="宋体" w:cs="宋体"/>
                <w:snapToGrid w:val="0"/>
                <w:color w:val="auto"/>
                <w:kern w:val="0"/>
                <w:sz w:val="21"/>
                <w:szCs w:val="21"/>
                <w:highlight w:val="none"/>
                <w:lang w:val="en-US" w:eastAsia="zh-CN" w:bidi="ar"/>
              </w:rPr>
              <w:t>具备交通运输主管部门颁发的交通安全设施养护资质证书且资质证书中从业范围应为可以承担各等级公路交通安全设施的各类养护工程或具备二类甲级资质证书，以上资质证书须在有效期内，具备建设主管部门颁发的有效安全生产许可证</w:t>
            </w:r>
            <w:r>
              <w:rPr>
                <w:rFonts w:hint="default" w:ascii="宋体" w:hAnsi="宋体" w:eastAsia="宋体" w:cs="宋体"/>
                <w:snapToGrid w:val="0"/>
                <w:color w:val="auto"/>
                <w:kern w:val="0"/>
                <w:sz w:val="21"/>
                <w:szCs w:val="21"/>
                <w:highlight w:val="none"/>
                <w:lang w:val="en-US" w:eastAsia="zh-CN" w:bidi="ar"/>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bidi="ar"/>
              </w:rPr>
              <w:t>3</w:t>
            </w:r>
            <w:r>
              <w:rPr>
                <w:rFonts w:hint="default" w:ascii="宋体" w:hAnsi="宋体" w:eastAsia="宋体" w:cs="宋体"/>
                <w:snapToGrid w:val="0"/>
                <w:color w:val="auto"/>
                <w:kern w:val="0"/>
                <w:sz w:val="21"/>
                <w:szCs w:val="21"/>
                <w:highlight w:val="none"/>
                <w:lang w:val="en-US" w:eastAsia="zh-CN" w:bidi="ar"/>
              </w:rPr>
              <w:t>、投标人应在人员、设备、资金等方面具有承担本项目的施工能力。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5" w:hRule="atLeast"/>
        </w:trPr>
        <w:tc>
          <w:tcPr>
            <w:tcW w:w="9582" w:type="dxa"/>
            <w:noWrap w:val="0"/>
            <w:vAlign w:val="top"/>
          </w:tcPr>
          <w:p>
            <w:pPr>
              <w:bidi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w:t>
            </w:r>
          </w:p>
          <w:p>
            <w:pPr>
              <w:bidi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修改补充投标人须知正文第3.5.1项：</w:t>
            </w:r>
          </w:p>
          <w:p>
            <w:pPr>
              <w:bidi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人基本情况表”应附企业营业执照和组织机构代码证（按照“三证合一”或“五证合一”登记制度进行登记的，可仅提供营业执照，下同）、施工资质证书、安全生产许可证、基本账户开户银行提供的开户或账户信息证明的彩色复印件。</w:t>
            </w:r>
          </w:p>
          <w:p>
            <w:pPr>
              <w:bidi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企业法人营业执照和组织机构代码证、施工资质证书、安全生产许可证的扫描件应提供全本（证书封面、封底、空白页除外），应包括投标人名称、投标人其他相关信息、颁发机构名称、投标人信息变更情况等关键页在内。</w:t>
            </w:r>
          </w:p>
          <w:p>
            <w:pPr>
              <w:bidi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（3）对于法人发生重组或变更的投标人，应在投标文件中提供附有法人重组或变更时相关部门的合法批件、变更时的企业法人营业执照和资质证书的变更记录彩色扫描件。</w:t>
            </w:r>
          </w:p>
          <w:p>
            <w:pPr>
              <w:bidi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复印件。</w:t>
            </w:r>
          </w:p>
          <w:p>
            <w:pPr>
              <w:keepNext w:val="0"/>
              <w:keepLines w:val="0"/>
              <w:pageBreakBefore w:val="0"/>
              <w:widowControl/>
              <w:kinsoku w:val="0"/>
              <w:wordWrap/>
              <w:overflowPunct/>
              <w:topLinePunct w:val="0"/>
              <w:autoSpaceDE w:val="0"/>
              <w:autoSpaceDN w:val="0"/>
              <w:bidi w:val="0"/>
              <w:adjustRightInd w:val="0"/>
              <w:snapToGrid w:val="0"/>
              <w:spacing w:before="3" w:line="288" w:lineRule="auto"/>
              <w:ind w:right="68"/>
              <w:jc w:val="both"/>
              <w:textAlignment w:val="baseline"/>
              <w:rPr>
                <w:rFonts w:ascii="宋体" w:hAnsi="宋体" w:eastAsia="宋体" w:cs="宋体"/>
                <w:color w:val="auto"/>
                <w:sz w:val="21"/>
                <w:szCs w:val="21"/>
                <w:highlight w:val="none"/>
              </w:rPr>
            </w:pPr>
            <w:r>
              <w:rPr>
                <w:rFonts w:hint="eastAsia" w:ascii="宋体" w:hAnsi="宋体" w:eastAsia="宋体" w:cs="宋体"/>
                <w:color w:val="auto"/>
                <w:highlight w:val="none"/>
                <w:lang w:val="en-US" w:eastAsia="zh-CN"/>
              </w:rPr>
              <w:t>（5）招标文件中其他地方与此处不一致时，以此处为准。</w:t>
            </w:r>
          </w:p>
        </w:tc>
      </w:tr>
    </w:tbl>
    <w:p>
      <w:pPr>
        <w:spacing w:line="284" w:lineRule="auto"/>
        <w:rPr>
          <w:rFonts w:ascii="黑体"/>
          <w:color w:val="auto"/>
          <w:sz w:val="21"/>
          <w:highlight w:val="none"/>
        </w:rPr>
        <w:sectPr>
          <w:headerReference r:id="rId3" w:type="default"/>
          <w:footerReference r:id="rId4" w:type="default"/>
          <w:pgSz w:w="11910" w:h="16845"/>
          <w:pgMar w:top="964" w:right="1066" w:bottom="1061" w:left="1246" w:header="0" w:footer="944" w:gutter="0"/>
          <w:pgNumType w:fmt="decimal"/>
          <w:cols w:space="720" w:num="1"/>
        </w:sectPr>
      </w:pPr>
    </w:p>
    <w:p>
      <w:pPr>
        <w:spacing w:before="75" w:line="181" w:lineRule="auto"/>
        <w:ind w:firstLine="2985"/>
        <w:outlineLvl w:val="1"/>
        <w:rPr>
          <w:rFonts w:ascii="宋体" w:hAnsi="宋体" w:eastAsia="宋体" w:cs="宋体"/>
          <w:color w:val="auto"/>
          <w:sz w:val="23"/>
          <w:szCs w:val="23"/>
          <w:highlight w:val="none"/>
        </w:rPr>
      </w:pPr>
      <w:bookmarkStart w:id="0" w:name="_bookmark4"/>
      <w:bookmarkEnd w:id="0"/>
      <w:bookmarkStart w:id="1" w:name="_Toc23661"/>
      <w:r>
        <w:rPr>
          <w:rFonts w:ascii="宋体" w:hAnsi="宋体" w:eastAsia="宋体" w:cs="宋体"/>
          <w:color w:val="auto"/>
          <w:spacing w:val="5"/>
          <w:sz w:val="23"/>
          <w:szCs w:val="23"/>
          <w:highlight w:val="none"/>
        </w:rPr>
        <w:t>附录</w:t>
      </w:r>
      <w:r>
        <w:rPr>
          <w:rFonts w:ascii="宋体" w:hAnsi="宋体" w:eastAsia="宋体" w:cs="宋体"/>
          <w:color w:val="auto"/>
          <w:spacing w:val="-26"/>
          <w:sz w:val="23"/>
          <w:szCs w:val="23"/>
          <w:highlight w:val="none"/>
        </w:rPr>
        <w:t xml:space="preserve"> </w:t>
      </w:r>
      <w:r>
        <w:rPr>
          <w:rFonts w:ascii="宋体" w:hAnsi="宋体" w:eastAsia="宋体" w:cs="宋体"/>
          <w:color w:val="auto"/>
          <w:spacing w:val="5"/>
          <w:sz w:val="23"/>
          <w:szCs w:val="23"/>
          <w:highlight w:val="none"/>
        </w:rPr>
        <w:t>2</w:t>
      </w:r>
      <w:r>
        <w:rPr>
          <w:rFonts w:ascii="宋体" w:hAnsi="宋体" w:eastAsia="宋体" w:cs="宋体"/>
          <w:color w:val="auto"/>
          <w:spacing w:val="-14"/>
          <w:sz w:val="23"/>
          <w:szCs w:val="23"/>
          <w:highlight w:val="none"/>
        </w:rPr>
        <w:t xml:space="preserve"> </w:t>
      </w:r>
      <w:r>
        <w:rPr>
          <w:rFonts w:ascii="宋体" w:hAnsi="宋体" w:eastAsia="宋体" w:cs="宋体"/>
          <w:color w:val="auto"/>
          <w:spacing w:val="5"/>
          <w:sz w:val="23"/>
          <w:szCs w:val="23"/>
          <w:highlight w:val="none"/>
        </w:rPr>
        <w:t>资格审查条件(财务最低要求)</w:t>
      </w:r>
      <w:bookmarkEnd w:id="1"/>
    </w:p>
    <w:p>
      <w:pPr>
        <w:rPr>
          <w:color w:val="auto"/>
          <w:highlight w:val="none"/>
        </w:rPr>
      </w:pPr>
    </w:p>
    <w:p>
      <w:pPr>
        <w:spacing w:line="192" w:lineRule="exact"/>
        <w:rPr>
          <w:color w:val="auto"/>
          <w:highlight w:val="none"/>
        </w:rPr>
      </w:pPr>
    </w:p>
    <w:tbl>
      <w:tblPr>
        <w:tblStyle w:val="14"/>
        <w:tblW w:w="95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2" w:hRule="atLeast"/>
        </w:trPr>
        <w:tc>
          <w:tcPr>
            <w:tcW w:w="9582" w:type="dxa"/>
            <w:noWrap w:val="0"/>
            <w:vAlign w:val="top"/>
          </w:tcPr>
          <w:p>
            <w:pPr>
              <w:spacing w:before="17" w:line="189" w:lineRule="auto"/>
              <w:ind w:firstLine="4350"/>
              <w:rPr>
                <w:rFonts w:ascii="宋体" w:hAnsi="宋体" w:eastAsia="宋体" w:cs="宋体"/>
                <w:color w:val="auto"/>
                <w:sz w:val="23"/>
                <w:szCs w:val="23"/>
                <w:highlight w:val="none"/>
              </w:rPr>
            </w:pPr>
            <w:r>
              <w:rPr>
                <w:rFonts w:ascii="宋体" w:hAnsi="宋体" w:eastAsia="宋体" w:cs="宋体"/>
                <w:color w:val="auto"/>
                <w:spacing w:val="-5"/>
                <w:sz w:val="21"/>
                <w:szCs w:val="21"/>
                <w:highlight w:val="none"/>
              </w:rPr>
              <w:t>财务要求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5" w:hRule="atLeast"/>
        </w:trPr>
        <w:tc>
          <w:tcPr>
            <w:tcW w:w="9582"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投标人须提交近三年（2020年、2021年、2022年）经审计的财务报表，并满足以下要求：</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1.投标人在近三年</w:t>
            </w:r>
            <w:r>
              <w:rPr>
                <w:rFonts w:hint="eastAsia" w:ascii="宋体" w:hAnsi="宋体" w:eastAsia="宋体" w:cs="宋体"/>
                <w:snapToGrid w:val="0"/>
                <w:color w:val="auto"/>
                <w:kern w:val="0"/>
                <w:sz w:val="21"/>
                <w:szCs w:val="21"/>
                <w:highlight w:val="none"/>
                <w:lang w:val="en-US" w:eastAsia="zh-CN" w:bidi="ar"/>
              </w:rPr>
              <w:t>（2020年至2022年）</w:t>
            </w:r>
            <w:r>
              <w:rPr>
                <w:rFonts w:hint="eastAsia" w:ascii="宋体" w:hAnsi="宋体" w:cs="宋体"/>
                <w:color w:val="auto"/>
                <w:sz w:val="21"/>
                <w:szCs w:val="21"/>
                <w:highlight w:val="none"/>
                <w:lang w:val="en-US" w:eastAsia="zh-CN"/>
              </w:rPr>
              <w:t>每一年度末的流动资产与流动负债比均不小于1。</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color w:val="auto"/>
                <w:highlight w:val="none"/>
              </w:rPr>
            </w:pPr>
            <w:r>
              <w:rPr>
                <w:rFonts w:hint="eastAsia" w:ascii="宋体" w:hAnsi="宋体" w:cs="宋体"/>
                <w:color w:val="auto"/>
                <w:sz w:val="21"/>
                <w:szCs w:val="21"/>
                <w:highlight w:val="none"/>
                <w:lang w:val="en-US" w:eastAsia="zh-CN"/>
              </w:rPr>
              <w:t>2.投标人提供近三年</w:t>
            </w:r>
            <w:r>
              <w:rPr>
                <w:rFonts w:hint="eastAsia" w:ascii="宋体" w:hAnsi="宋体" w:eastAsia="宋体" w:cs="宋体"/>
                <w:snapToGrid w:val="0"/>
                <w:color w:val="auto"/>
                <w:kern w:val="0"/>
                <w:sz w:val="21"/>
                <w:szCs w:val="21"/>
                <w:highlight w:val="none"/>
                <w:lang w:val="en-US" w:eastAsia="zh-CN" w:bidi="ar"/>
              </w:rPr>
              <w:t>（2020年至2022年）</w:t>
            </w:r>
            <w:r>
              <w:rPr>
                <w:rFonts w:hint="eastAsia" w:ascii="宋体" w:hAnsi="宋体" w:cs="宋体"/>
                <w:color w:val="auto"/>
                <w:sz w:val="21"/>
                <w:szCs w:val="21"/>
                <w:highlight w:val="none"/>
                <w:lang w:val="en-US" w:eastAsia="zh-CN"/>
              </w:rPr>
              <w:t>经审计的财务报表。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9" w:hRule="atLeast"/>
        </w:trPr>
        <w:tc>
          <w:tcPr>
            <w:tcW w:w="9582" w:type="dxa"/>
            <w:noWrap w:val="0"/>
            <w:vAlign w:val="top"/>
          </w:tcPr>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修改补充投标人须知正文第3.5.2项：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（1）投标人应在投标文件中附近3个会计年度经会计师事务所或审计机构审计的财务会计报表，包括资产负债表、现金流量表、利润表和财务情况说明书的彩色影印件。</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（2）投标人的成立时间少于规定年份的可以对本项目投标，应提供成立以来的财务状况表，且投标人所提供的财务报表均需满足以上要求。</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（3）投标人如为集团公司，财务会计报表指合并财务会计报表；</w:t>
            </w:r>
          </w:p>
          <w:p>
            <w:pPr>
              <w:bidi w:val="0"/>
              <w:spacing w:line="360" w:lineRule="auto"/>
              <w:rPr>
                <w:rFonts w:ascii="宋体" w:hAnsi="宋体" w:eastAsia="宋体" w:cs="宋体"/>
                <w:color w:val="auto"/>
                <w:sz w:val="21"/>
                <w:szCs w:val="21"/>
                <w:highlight w:val="none"/>
              </w:rPr>
            </w:pPr>
            <w:r>
              <w:rPr>
                <w:rFonts w:hint="eastAsia" w:ascii="宋体" w:hAnsi="宋体" w:eastAsia="宋体" w:cs="宋体"/>
                <w:color w:val="auto"/>
                <w:highlight w:val="none"/>
                <w:lang w:eastAsia="zh-CN"/>
              </w:rPr>
              <w:t>（4）招标文件中其他地方与此处不一致时，以此处为准。</w:t>
            </w:r>
          </w:p>
        </w:tc>
      </w:tr>
    </w:tbl>
    <w:p>
      <w:pPr>
        <w:rPr>
          <w:rFonts w:ascii="黑体"/>
          <w:color w:val="auto"/>
          <w:sz w:val="21"/>
          <w:highlight w:val="none"/>
        </w:rPr>
      </w:pPr>
    </w:p>
    <w:p>
      <w:pPr>
        <w:rPr>
          <w:color w:val="auto"/>
          <w:highlight w:val="none"/>
        </w:rPr>
        <w:sectPr>
          <w:pgSz w:w="11910" w:h="16845"/>
          <w:pgMar w:top="964" w:right="1066" w:bottom="1061" w:left="1246" w:header="0" w:footer="944" w:gutter="0"/>
          <w:pgNumType w:fmt="decimal"/>
          <w:cols w:space="720" w:num="1"/>
        </w:sectPr>
      </w:pPr>
    </w:p>
    <w:p>
      <w:pPr>
        <w:spacing w:before="75" w:line="181" w:lineRule="auto"/>
        <w:ind w:firstLine="2985"/>
        <w:outlineLvl w:val="1"/>
        <w:rPr>
          <w:rFonts w:ascii="宋体" w:hAnsi="宋体" w:eastAsia="宋体" w:cs="宋体"/>
          <w:color w:val="auto"/>
          <w:sz w:val="23"/>
          <w:szCs w:val="23"/>
          <w:highlight w:val="none"/>
        </w:rPr>
      </w:pPr>
      <w:bookmarkStart w:id="2" w:name="_bookmark5"/>
      <w:bookmarkEnd w:id="2"/>
      <w:bookmarkStart w:id="3" w:name="_Toc32346"/>
      <w:r>
        <w:rPr>
          <w:rFonts w:ascii="宋体" w:hAnsi="宋体" w:eastAsia="宋体" w:cs="宋体"/>
          <w:color w:val="auto"/>
          <w:spacing w:val="5"/>
          <w:sz w:val="23"/>
          <w:szCs w:val="23"/>
          <w:highlight w:val="none"/>
        </w:rPr>
        <w:t>附录</w:t>
      </w:r>
      <w:r>
        <w:rPr>
          <w:rFonts w:ascii="宋体" w:hAnsi="宋体" w:eastAsia="宋体" w:cs="宋体"/>
          <w:color w:val="auto"/>
          <w:spacing w:val="-26"/>
          <w:sz w:val="23"/>
          <w:szCs w:val="23"/>
          <w:highlight w:val="none"/>
        </w:rPr>
        <w:t xml:space="preserve"> </w:t>
      </w:r>
      <w:r>
        <w:rPr>
          <w:rFonts w:ascii="宋体" w:hAnsi="宋体" w:eastAsia="宋体" w:cs="宋体"/>
          <w:color w:val="auto"/>
          <w:spacing w:val="5"/>
          <w:sz w:val="23"/>
          <w:szCs w:val="23"/>
          <w:highlight w:val="none"/>
        </w:rPr>
        <w:t>3</w:t>
      </w:r>
      <w:r>
        <w:rPr>
          <w:rFonts w:ascii="宋体" w:hAnsi="宋体" w:eastAsia="宋体" w:cs="宋体"/>
          <w:color w:val="auto"/>
          <w:spacing w:val="-14"/>
          <w:sz w:val="23"/>
          <w:szCs w:val="23"/>
          <w:highlight w:val="none"/>
        </w:rPr>
        <w:t xml:space="preserve"> </w:t>
      </w:r>
      <w:r>
        <w:rPr>
          <w:rFonts w:ascii="宋体" w:hAnsi="宋体" w:eastAsia="宋体" w:cs="宋体"/>
          <w:color w:val="auto"/>
          <w:spacing w:val="5"/>
          <w:sz w:val="23"/>
          <w:szCs w:val="23"/>
          <w:highlight w:val="none"/>
        </w:rPr>
        <w:t>资格审查条件(业绩最低要求)</w:t>
      </w:r>
      <w:bookmarkEnd w:id="3"/>
    </w:p>
    <w:p>
      <w:pPr>
        <w:rPr>
          <w:color w:val="auto"/>
          <w:highlight w:val="none"/>
        </w:rPr>
      </w:pPr>
    </w:p>
    <w:p>
      <w:pPr>
        <w:spacing w:line="192" w:lineRule="exact"/>
        <w:rPr>
          <w:color w:val="auto"/>
          <w:highlight w:val="none"/>
        </w:rPr>
      </w:pPr>
    </w:p>
    <w:tbl>
      <w:tblPr>
        <w:tblStyle w:val="14"/>
        <w:tblW w:w="96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9672" w:type="dxa"/>
            <w:noWrap w:val="0"/>
            <w:vAlign w:val="center"/>
          </w:tcPr>
          <w:p>
            <w:pPr>
              <w:spacing w:before="16" w:line="189" w:lineRule="auto"/>
              <w:jc w:val="center"/>
              <w:rPr>
                <w:rFonts w:ascii="宋体" w:hAnsi="宋体" w:eastAsia="宋体" w:cs="宋体"/>
                <w:color w:val="auto"/>
                <w:sz w:val="23"/>
                <w:szCs w:val="23"/>
                <w:highlight w:val="none"/>
              </w:rPr>
            </w:pPr>
            <w:r>
              <w:rPr>
                <w:rFonts w:ascii="宋体" w:hAnsi="宋体" w:eastAsia="宋体" w:cs="宋体"/>
                <w:color w:val="auto"/>
                <w:spacing w:val="-5"/>
                <w:sz w:val="24"/>
                <w:szCs w:val="24"/>
                <w:highlight w:val="none"/>
              </w:rPr>
              <w:t>业绩要求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672"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投标人在近3年内（指2020年9月18日至2023年10月9日，以交工日期为准）至少完成过</w:t>
            </w:r>
            <w:r>
              <w:rPr>
                <w:rFonts w:hint="eastAsia" w:ascii="宋体" w:hAnsi="宋体" w:eastAsia="宋体" w:cs="宋体"/>
                <w:snapToGrid w:val="0"/>
                <w:color w:val="auto"/>
                <w:kern w:val="0"/>
                <w:sz w:val="21"/>
                <w:szCs w:val="21"/>
                <w:highlight w:val="none"/>
                <w:u w:val="single"/>
                <w:lang w:val="en-US" w:eastAsia="zh-CN" w:bidi="ar"/>
              </w:rPr>
              <w:t xml:space="preserve"> 1 </w:t>
            </w:r>
            <w:r>
              <w:rPr>
                <w:rFonts w:hint="eastAsia" w:ascii="宋体" w:hAnsi="宋体" w:eastAsia="宋体" w:cs="宋体"/>
                <w:snapToGrid w:val="0"/>
                <w:color w:val="auto"/>
                <w:kern w:val="0"/>
                <w:sz w:val="21"/>
                <w:szCs w:val="21"/>
                <w:highlight w:val="none"/>
                <w:lang w:val="en-US" w:eastAsia="zh-CN" w:bidi="ar"/>
              </w:rPr>
              <w:t>个合同金额不少于</w:t>
            </w:r>
            <w:r>
              <w:rPr>
                <w:rFonts w:hint="eastAsia" w:ascii="宋体" w:hAnsi="宋体" w:eastAsia="宋体" w:cs="宋体"/>
                <w:snapToGrid w:val="0"/>
                <w:color w:val="auto"/>
                <w:kern w:val="0"/>
                <w:sz w:val="21"/>
                <w:szCs w:val="21"/>
                <w:highlight w:val="none"/>
                <w:u w:val="single"/>
                <w:lang w:val="en-US" w:eastAsia="zh-CN" w:bidi="ar"/>
              </w:rPr>
              <w:t>636</w:t>
            </w:r>
            <w:r>
              <w:rPr>
                <w:rFonts w:hint="eastAsia" w:ascii="宋体" w:hAnsi="宋体" w:eastAsia="宋体" w:cs="宋体"/>
                <w:snapToGrid w:val="0"/>
                <w:color w:val="auto"/>
                <w:kern w:val="0"/>
                <w:sz w:val="21"/>
                <w:szCs w:val="21"/>
                <w:highlight w:val="none"/>
                <w:lang w:val="en-US" w:eastAsia="zh-CN" w:bidi="ar"/>
              </w:rPr>
              <w:t>万元的一级及以上等级公路交通安全设施养护工程施工业绩，且该施工业绩是以投标人名义签署的合同业绩。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4" w:hRule="atLeast"/>
        </w:trPr>
        <w:tc>
          <w:tcPr>
            <w:tcW w:w="9672"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修改补充投标人须知正文第 3.5.3 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投标人应按资格审查资料中的表（四）（近年完成的类似项目情况表）填写所提供的业绩，提供的每个业绩均应填写，未按照表（四）（近年完成的类似项目情况表）规定的格式填报的业绩，其业绩审查将不予认可。</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投标人填报的类似项目应是已列入交通运输部或项目所在地省级交通运输主管部门主管的“公路建设市场信用信息管理系统”并公开的主包已建业绩或分包已建业绩。且登记的信息能够反映项目时间、工程内容、公路等级、合同金额、交工日期等招标文件规定的业绩最低要求。“近年完成的类似项目情况表”应附在交通运输部“全国公路建设市场信用信息管系统”(网址:http://glxy.mot.gov.cn/BM/)中查询到的企业“业绩信息”相关项目网图复印件,即包括“项目名称”“项目类型”“合同价”“主要工程量”“人员履约信息”等栏目在内的项目详细信息网页截图。在交通运输部“全国公路建设市场信用信息管理系统”中无法查询,但可在项目所在地省级交通运输主管部门“公路建设市场信用信息管理系统”中查询的,应附项目所在地省级交通运输主管部门“公路建设市场信用信息管理系统’中查询到的网页截图。除网页截图外,投标人无须再提供任何业绩证明材料。如投标人未提供相关项目网页截图或相关项目网页截图中的信息无法证实投标人满足招标文件规定的资格审查条件(业绩最低要求),则该项目业绩不予认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等的投诉，招标人一经查实将不予退还投标保证金，并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招标文件》(2018年版)。</w:t>
            </w:r>
          </w:p>
          <w:p>
            <w:pPr>
              <w:pStyle w:val="9"/>
              <w:ind w:left="0" w:leftChars="0" w:firstLine="0" w:firstLineChars="0"/>
              <w:rPr>
                <w:rFonts w:hint="eastAsia"/>
                <w:color w:val="auto"/>
                <w:highlight w:val="none"/>
                <w:lang w:val="en-US" w:eastAsia="zh-CN"/>
              </w:rPr>
            </w:pPr>
            <w:r>
              <w:rPr>
                <w:rFonts w:hint="eastAsia" w:ascii="宋体" w:hAnsi="宋体" w:eastAsia="宋体" w:cs="宋体"/>
                <w:b w:val="0"/>
                <w:bCs w:val="0"/>
                <w:color w:val="auto"/>
                <w:sz w:val="21"/>
                <w:szCs w:val="21"/>
                <w:highlight w:val="none"/>
                <w:lang w:val="en-US" w:eastAsia="zh-CN"/>
              </w:rPr>
              <w:t>（4）业绩证明材料中需体现出公路交通安全设施养护工程施工业绩（养护工程施工内容中包含波形梁护栏工程内容，则此业绩也予以认可），否则业绩不予认可。</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（5）投标人提供的施工业绩应是以投标人名义签署的合同业绩，其母公司及下属专业单位签署合同的业绩、联合体业绩在资格审查中均不予认可。</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（6）投标人提供的业绩达不到附录 3 业绩最低要求的，其资格审查不予通过。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（7）宁夏公路建设市场信息管理系统已正常开启，由于端口号变化，本系统的登录地址变更为：https://222.75.70.115:8084/CISS/main/home/，如投标人需要，请正确登陆。</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（8）招标文件中其他地方与此处不一致时，以此处为准。</w:t>
            </w:r>
          </w:p>
        </w:tc>
      </w:tr>
    </w:tbl>
    <w:p>
      <w:pPr>
        <w:spacing w:line="278" w:lineRule="auto"/>
        <w:rPr>
          <w:rFonts w:ascii="黑体"/>
          <w:color w:val="auto"/>
          <w:sz w:val="21"/>
          <w:highlight w:val="none"/>
        </w:rPr>
      </w:pPr>
    </w:p>
    <w:p>
      <w:pPr>
        <w:spacing w:line="278" w:lineRule="auto"/>
        <w:rPr>
          <w:rFonts w:ascii="黑体"/>
          <w:color w:val="auto"/>
          <w:sz w:val="21"/>
          <w:highlight w:val="none"/>
        </w:rPr>
      </w:pPr>
    </w:p>
    <w:p>
      <w:pPr>
        <w:pStyle w:val="9"/>
        <w:rPr>
          <w:rFonts w:ascii="黑体"/>
          <w:color w:val="auto"/>
          <w:sz w:val="21"/>
          <w:highlight w:val="none"/>
        </w:rPr>
        <w:sectPr>
          <w:headerReference r:id="rId5" w:type="default"/>
          <w:footerReference r:id="rId6" w:type="default"/>
          <w:pgSz w:w="11910" w:h="16845"/>
          <w:pgMar w:top="1134" w:right="1066" w:bottom="1134" w:left="1246" w:header="0" w:footer="944" w:gutter="0"/>
          <w:pgNumType w:fmt="decimal"/>
          <w:cols w:space="720" w:num="1"/>
        </w:sectPr>
      </w:pPr>
    </w:p>
    <w:p>
      <w:pPr>
        <w:spacing w:before="74" w:line="181" w:lineRule="auto"/>
        <w:ind w:firstLine="2925"/>
        <w:outlineLvl w:val="1"/>
        <w:rPr>
          <w:rFonts w:ascii="宋体" w:hAnsi="宋体" w:eastAsia="宋体" w:cs="宋体"/>
          <w:color w:val="auto"/>
          <w:sz w:val="23"/>
          <w:szCs w:val="23"/>
          <w:highlight w:val="none"/>
        </w:rPr>
      </w:pPr>
      <w:bookmarkStart w:id="4" w:name="_bookmark6"/>
      <w:bookmarkEnd w:id="4"/>
      <w:bookmarkStart w:id="5" w:name="_Toc10802"/>
      <w:r>
        <w:rPr>
          <w:rFonts w:ascii="宋体" w:hAnsi="宋体" w:eastAsia="宋体" w:cs="宋体"/>
          <w:color w:val="auto"/>
          <w:spacing w:val="4"/>
          <w:sz w:val="23"/>
          <w:szCs w:val="23"/>
          <w:highlight w:val="none"/>
        </w:rPr>
        <w:t>附录</w:t>
      </w:r>
      <w:r>
        <w:rPr>
          <w:rFonts w:ascii="宋体" w:hAnsi="宋体" w:eastAsia="宋体" w:cs="宋体"/>
          <w:color w:val="auto"/>
          <w:spacing w:val="-23"/>
          <w:sz w:val="23"/>
          <w:szCs w:val="23"/>
          <w:highlight w:val="none"/>
        </w:rPr>
        <w:t xml:space="preserve"> </w:t>
      </w:r>
      <w:r>
        <w:rPr>
          <w:rFonts w:ascii="宋体" w:hAnsi="宋体" w:eastAsia="宋体" w:cs="宋体"/>
          <w:color w:val="auto"/>
          <w:spacing w:val="4"/>
          <w:sz w:val="23"/>
          <w:szCs w:val="23"/>
          <w:highlight w:val="none"/>
        </w:rPr>
        <w:t>4</w:t>
      </w:r>
      <w:r>
        <w:rPr>
          <w:rFonts w:ascii="宋体" w:hAnsi="宋体" w:eastAsia="宋体" w:cs="宋体"/>
          <w:color w:val="auto"/>
          <w:spacing w:val="-14"/>
          <w:sz w:val="23"/>
          <w:szCs w:val="23"/>
          <w:highlight w:val="none"/>
        </w:rPr>
        <w:t xml:space="preserve"> </w:t>
      </w:r>
      <w:r>
        <w:rPr>
          <w:rFonts w:ascii="宋体" w:hAnsi="宋体" w:eastAsia="宋体" w:cs="宋体"/>
          <w:color w:val="auto"/>
          <w:spacing w:val="4"/>
          <w:sz w:val="23"/>
          <w:szCs w:val="23"/>
          <w:highlight w:val="none"/>
        </w:rPr>
        <w:t>资格审查条件(信誉最低要求）</w:t>
      </w:r>
      <w:bookmarkEnd w:id="5"/>
    </w:p>
    <w:p>
      <w:pPr>
        <w:rPr>
          <w:color w:val="auto"/>
          <w:highlight w:val="none"/>
        </w:rPr>
      </w:pPr>
    </w:p>
    <w:p>
      <w:pPr>
        <w:spacing w:line="192" w:lineRule="exact"/>
        <w:rPr>
          <w:color w:val="auto"/>
          <w:highlight w:val="none"/>
        </w:rPr>
      </w:pPr>
    </w:p>
    <w:tbl>
      <w:tblPr>
        <w:tblStyle w:val="14"/>
        <w:tblW w:w="979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9798" w:type="dxa"/>
            <w:noWrap w:val="0"/>
            <w:vAlign w:val="center"/>
          </w:tcPr>
          <w:p>
            <w:pPr>
              <w:spacing w:before="16" w:line="189" w:lineRule="auto"/>
              <w:ind w:firstLine="4349"/>
              <w:jc w:val="both"/>
              <w:rPr>
                <w:rFonts w:ascii="宋体" w:hAnsi="宋体" w:eastAsia="宋体" w:cs="宋体"/>
                <w:color w:val="auto"/>
                <w:sz w:val="23"/>
                <w:szCs w:val="23"/>
                <w:highlight w:val="none"/>
              </w:rPr>
            </w:pPr>
            <w:r>
              <w:rPr>
                <w:rFonts w:ascii="宋体" w:hAnsi="宋体" w:eastAsia="宋体" w:cs="宋体"/>
                <w:color w:val="auto"/>
                <w:spacing w:val="-5"/>
                <w:sz w:val="24"/>
                <w:szCs w:val="24"/>
                <w:highlight w:val="none"/>
              </w:rPr>
              <w:t>信誉要求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2" w:hRule="atLeast"/>
        </w:trPr>
        <w:tc>
          <w:tcPr>
            <w:tcW w:w="97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未被省级及以上交通运输主管部门取消招标项目所在地的投标资格且处于有效期内；</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未被责令停业，暂扣或吊销执照，或吊销资质证书；</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未进入清算程序，或被宣告破产，或其他丧失履约能力的情形；</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在国家企业信用信息公示系统中未被列入严重违法失信企业名单；</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在“信用中国”、“信用宁夏”网站中未被列入失信被执行人、企业经营异常名录、重大税收违法案件当事人名单；</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在“中国执行信息公开网”中未被列入失信被执行人名单；</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投标人及其法定代表人、拟委任的项目经理</w:t>
            </w:r>
            <w:r>
              <w:rPr>
                <w:rFonts w:hint="eastAsia" w:ascii="宋体" w:hAnsi="宋体" w:eastAsia="宋体" w:cs="宋体"/>
                <w:color w:val="auto"/>
                <w:highlight w:val="none"/>
                <w:lang w:eastAsia="zh-CN"/>
              </w:rPr>
              <w:t>、项目总工</w:t>
            </w:r>
            <w:r>
              <w:rPr>
                <w:rFonts w:hint="eastAsia" w:ascii="宋体" w:hAnsi="宋体" w:eastAsia="宋体" w:cs="宋体"/>
                <w:color w:val="auto"/>
                <w:highlight w:val="none"/>
              </w:rPr>
              <w:t>自</w:t>
            </w:r>
            <w:r>
              <w:rPr>
                <w:rFonts w:hint="eastAsia" w:ascii="宋体" w:hAnsi="宋体" w:eastAsia="宋体" w:cs="宋体"/>
                <w:color w:val="auto"/>
                <w:highlight w:val="none"/>
                <w:lang w:val="en-US" w:eastAsia="zh-CN"/>
              </w:rPr>
              <w:t>2020年9月18日</w:t>
            </w:r>
            <w:r>
              <w:rPr>
                <w:rFonts w:hint="eastAsia" w:ascii="宋体" w:hAnsi="宋体" w:eastAsia="宋体" w:cs="宋体"/>
                <w:color w:val="auto"/>
                <w:highlight w:val="none"/>
              </w:rPr>
              <w:t>以来无行贿犯罪行为</w:t>
            </w:r>
            <w:r>
              <w:rPr>
                <w:rFonts w:hint="eastAsia" w:ascii="宋体" w:hAnsi="宋体" w:eastAsia="宋体" w:cs="宋体"/>
                <w:color w:val="auto"/>
                <w:highlight w:val="none"/>
                <w:lang w:eastAsia="zh-CN"/>
              </w:rPr>
              <w:t>（附承诺函）</w:t>
            </w: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在宁夏人力资源社会保障部门门户网站或“信用中国”网站或国家企业信用信息公示系统或地方信用信息共享平台存在拖欠农民工工资违法失信行为的，或查询到存在拖欠农民工工资违法失信行为但已由处罚机关出具了已不再拖欠农民工资证明书的；</w:t>
            </w:r>
          </w:p>
          <w:p>
            <w:pPr>
              <w:bidi w:val="0"/>
              <w:spacing w:line="360" w:lineRule="auto"/>
              <w:jc w:val="both"/>
              <w:rPr>
                <w:rFonts w:ascii="宋体" w:hAnsi="宋体" w:eastAsia="宋体" w:cs="宋体"/>
                <w:color w:val="auto"/>
                <w:szCs w:val="23"/>
                <w:highlight w:val="none"/>
              </w:rPr>
            </w:pPr>
            <w:r>
              <w:rPr>
                <w:rFonts w:hint="eastAsia" w:ascii="宋体" w:hAnsi="宋体" w:eastAsia="宋体" w:cs="宋体"/>
                <w:color w:val="auto"/>
                <w:highlight w:val="none"/>
              </w:rPr>
              <w:t>（9）不存在法律法规或投标人须知前附表规定的其他不合格情形。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9798" w:type="dxa"/>
            <w:noWrap w:val="0"/>
            <w:vAlign w:val="center"/>
          </w:tcPr>
          <w:p>
            <w:pPr>
              <w:bidi w:val="0"/>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注：1.投标人提供“投标人信誉情况表”时，按照以上内容及投标文件格式中的要求提供证明资料。</w:t>
            </w:r>
          </w:p>
          <w:p>
            <w:pPr>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2.招标文件中其他地方与此处不一致时，以此处为准。</w:t>
            </w:r>
          </w:p>
        </w:tc>
      </w:tr>
    </w:tbl>
    <w:p>
      <w:pPr>
        <w:rPr>
          <w:color w:val="auto"/>
          <w:highlight w:val="none"/>
        </w:rPr>
        <w:sectPr>
          <w:pgSz w:w="11910" w:h="16845"/>
          <w:pgMar w:top="1134" w:right="1066" w:bottom="1134" w:left="1246" w:header="0" w:footer="944" w:gutter="0"/>
          <w:pgNumType w:fmt="decimal"/>
          <w:cols w:space="720" w:num="1"/>
        </w:sectPr>
      </w:pPr>
    </w:p>
    <w:p>
      <w:pPr>
        <w:spacing w:before="75" w:line="181" w:lineRule="auto"/>
        <w:jc w:val="center"/>
        <w:outlineLvl w:val="1"/>
        <w:rPr>
          <w:rFonts w:ascii="宋体" w:hAnsi="宋体" w:eastAsia="宋体" w:cs="宋体"/>
          <w:color w:val="auto"/>
          <w:sz w:val="23"/>
          <w:szCs w:val="23"/>
          <w:highlight w:val="none"/>
        </w:rPr>
      </w:pPr>
      <w:bookmarkStart w:id="6" w:name="_bookmark7"/>
      <w:bookmarkEnd w:id="6"/>
      <w:bookmarkStart w:id="7" w:name="_Toc22401"/>
      <w:r>
        <w:rPr>
          <w:rFonts w:ascii="宋体" w:hAnsi="宋体" w:eastAsia="宋体" w:cs="宋体"/>
          <w:color w:val="auto"/>
          <w:spacing w:val="6"/>
          <w:sz w:val="23"/>
          <w:szCs w:val="23"/>
          <w:highlight w:val="none"/>
        </w:rPr>
        <w:t>附录</w:t>
      </w:r>
      <w:r>
        <w:rPr>
          <w:rFonts w:ascii="宋体" w:hAnsi="宋体" w:eastAsia="宋体" w:cs="宋体"/>
          <w:color w:val="auto"/>
          <w:spacing w:val="-13"/>
          <w:sz w:val="23"/>
          <w:szCs w:val="23"/>
          <w:highlight w:val="none"/>
        </w:rPr>
        <w:t xml:space="preserve"> </w:t>
      </w:r>
      <w:r>
        <w:rPr>
          <w:rFonts w:ascii="宋体" w:hAnsi="宋体" w:eastAsia="宋体" w:cs="宋体"/>
          <w:color w:val="auto"/>
          <w:spacing w:val="6"/>
          <w:sz w:val="23"/>
          <w:szCs w:val="23"/>
          <w:highlight w:val="none"/>
        </w:rPr>
        <w:t>5</w:t>
      </w:r>
      <w:r>
        <w:rPr>
          <w:rFonts w:ascii="宋体" w:hAnsi="宋体" w:eastAsia="宋体" w:cs="宋体"/>
          <w:color w:val="auto"/>
          <w:spacing w:val="-14"/>
          <w:sz w:val="23"/>
          <w:szCs w:val="23"/>
          <w:highlight w:val="none"/>
        </w:rPr>
        <w:t xml:space="preserve"> </w:t>
      </w:r>
      <w:r>
        <w:rPr>
          <w:rFonts w:ascii="宋体" w:hAnsi="宋体" w:eastAsia="宋体" w:cs="宋体"/>
          <w:color w:val="auto"/>
          <w:spacing w:val="6"/>
          <w:sz w:val="23"/>
          <w:szCs w:val="23"/>
          <w:highlight w:val="none"/>
        </w:rPr>
        <w:t>资格审查条件(项目经理和项目总工最低要求)</w:t>
      </w:r>
      <w:bookmarkEnd w:id="7"/>
    </w:p>
    <w:p>
      <w:pPr>
        <w:rPr>
          <w:color w:val="auto"/>
          <w:highlight w:val="none"/>
        </w:rPr>
      </w:pPr>
    </w:p>
    <w:p>
      <w:pPr>
        <w:spacing w:line="192" w:lineRule="exact"/>
        <w:rPr>
          <w:color w:val="auto"/>
          <w:highlight w:val="none"/>
        </w:rPr>
      </w:pPr>
    </w:p>
    <w:tbl>
      <w:tblPr>
        <w:tblStyle w:val="14"/>
        <w:tblW w:w="9506" w:type="dxa"/>
        <w:tblInd w:w="8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6"/>
        <w:gridCol w:w="885"/>
        <w:gridCol w:w="5068"/>
        <w:gridCol w:w="2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trPr>
        <w:tc>
          <w:tcPr>
            <w:tcW w:w="1146" w:type="dxa"/>
            <w:noWrap w:val="0"/>
            <w:vAlign w:val="center"/>
          </w:tcPr>
          <w:p>
            <w:pPr>
              <w:spacing w:before="16" w:line="189" w:lineRule="auto"/>
              <w:jc w:val="center"/>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人员</w:t>
            </w:r>
          </w:p>
        </w:tc>
        <w:tc>
          <w:tcPr>
            <w:tcW w:w="885" w:type="dxa"/>
            <w:noWrap w:val="0"/>
            <w:vAlign w:val="center"/>
          </w:tcPr>
          <w:p>
            <w:pPr>
              <w:spacing w:before="16" w:line="189" w:lineRule="auto"/>
              <w:jc w:val="center"/>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数量</w:t>
            </w:r>
          </w:p>
        </w:tc>
        <w:tc>
          <w:tcPr>
            <w:tcW w:w="5068" w:type="dxa"/>
            <w:noWrap w:val="0"/>
            <w:vAlign w:val="center"/>
          </w:tcPr>
          <w:p>
            <w:pPr>
              <w:spacing w:before="16" w:line="189" w:lineRule="auto"/>
              <w:jc w:val="center"/>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资格要求</w:t>
            </w:r>
          </w:p>
        </w:tc>
        <w:tc>
          <w:tcPr>
            <w:tcW w:w="2407" w:type="dxa"/>
            <w:noWrap w:val="0"/>
            <w:vAlign w:val="center"/>
          </w:tcPr>
          <w:p>
            <w:pPr>
              <w:spacing w:before="16" w:line="189" w:lineRule="auto"/>
              <w:jc w:val="center"/>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在岗要求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0" w:hRule="atLeast"/>
        </w:trPr>
        <w:tc>
          <w:tcPr>
            <w:tcW w:w="1146" w:type="dxa"/>
            <w:noWrap w:val="0"/>
            <w:vAlign w:val="center"/>
          </w:tcPr>
          <w:p>
            <w:pPr>
              <w:spacing w:before="75" w:line="18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项目经理</w:t>
            </w:r>
          </w:p>
        </w:tc>
        <w:tc>
          <w:tcPr>
            <w:tcW w:w="885" w:type="dxa"/>
            <w:noWrap w:val="0"/>
            <w:vAlign w:val="center"/>
          </w:tcPr>
          <w:p>
            <w:pPr>
              <w:spacing w:before="74" w:line="1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06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具有公路工程相关专业中级及以上职称，并具有住建部颁发的公路工程专业二级及以上注册建造师证注册建造师证，持有交通运输主管部门或建设主管部门颁发的 B类安全生产考核证书。近三年（</w:t>
            </w:r>
            <w:r>
              <w:rPr>
                <w:rFonts w:hint="eastAsia" w:ascii="宋体" w:hAnsi="宋体" w:eastAsia="宋体" w:cs="宋体"/>
                <w:snapToGrid w:val="0"/>
                <w:color w:val="auto"/>
                <w:kern w:val="0"/>
                <w:sz w:val="21"/>
                <w:szCs w:val="21"/>
                <w:highlight w:val="none"/>
                <w:lang w:val="en-US" w:eastAsia="zh-CN" w:bidi="ar"/>
              </w:rPr>
              <w:t>2020</w:t>
            </w:r>
            <w:r>
              <w:rPr>
                <w:rFonts w:hint="eastAsia" w:ascii="宋体" w:hAnsi="宋体" w:eastAsia="宋体" w:cs="宋体"/>
                <w:color w:val="auto"/>
                <w:highlight w:val="none"/>
                <w:lang w:val="en-US" w:eastAsia="zh-CN"/>
              </w:rPr>
              <w:t>年9月18日至2023年10月9日，以交工日期为准）内，担任过一级及以上等级公路交通安全设施养护工程施工的项目经理（项目负责人）职务，业绩数量至少为1个（如为项目副经理职务业绩数量至少为2个）</w:t>
            </w:r>
          </w:p>
        </w:tc>
        <w:tc>
          <w:tcPr>
            <w:tcW w:w="2407" w:type="dxa"/>
            <w:vMerge w:val="restart"/>
            <w:tcBorders>
              <w:bottom w:val="nil"/>
            </w:tcBorders>
            <w:noWrap w:val="0"/>
            <w:vAlign w:val="center"/>
          </w:tcPr>
          <w:p>
            <w:pPr>
              <w:spacing w:before="74" w:line="304" w:lineRule="auto"/>
              <w:ind w:right="178"/>
              <w:jc w:val="center"/>
              <w:rPr>
                <w:rFonts w:ascii="宋体" w:hAnsi="宋体" w:eastAsia="宋体" w:cs="宋体"/>
                <w:color w:val="auto"/>
                <w:sz w:val="23"/>
                <w:szCs w:val="23"/>
                <w:highlight w:val="none"/>
              </w:rPr>
            </w:pPr>
            <w:r>
              <w:rPr>
                <w:rFonts w:hint="eastAsia" w:ascii="宋体" w:hAnsi="宋体" w:eastAsia="宋体" w:cs="宋体"/>
                <w:color w:val="auto"/>
                <w:highlight w:val="none"/>
                <w:lang w:val="en-US" w:eastAsia="zh-CN"/>
              </w:rPr>
              <w:t>无在岗项目是指：①目前未在其他项目上中标或任职；②在其他项目上中标或已任职，且中标或已任职项目的合同工期与本项目的工期重叠，但本项目中标后能够从该项目上撤离。则投标人必须在本次投标文件中提供书面承诺原件，承诺的内容为上述人员能够从中标项目或已任职项目上撤离。未填写在岗要求或未提供承诺证明材料的，其资格审查不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3" w:hRule="atLeast"/>
        </w:trPr>
        <w:tc>
          <w:tcPr>
            <w:tcW w:w="1146" w:type="dxa"/>
            <w:noWrap w:val="0"/>
            <w:vAlign w:val="center"/>
          </w:tcPr>
          <w:p>
            <w:pPr>
              <w:spacing w:before="75" w:line="18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项目总工</w:t>
            </w:r>
          </w:p>
        </w:tc>
        <w:tc>
          <w:tcPr>
            <w:tcW w:w="885" w:type="dxa"/>
            <w:noWrap w:val="0"/>
            <w:vAlign w:val="center"/>
          </w:tcPr>
          <w:p>
            <w:pPr>
              <w:spacing w:before="75" w:line="1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068" w:type="dxa"/>
            <w:noWrap w:val="0"/>
            <w:vAlign w:val="center"/>
          </w:tcPr>
          <w:p>
            <w:pPr>
              <w:spacing w:before="8" w:line="324" w:lineRule="auto"/>
              <w:ind w:right="68"/>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具有公路工程相关专业中级及以上职称，近三年内（指</w:t>
            </w:r>
            <w:r>
              <w:rPr>
                <w:rFonts w:hint="eastAsia" w:ascii="宋体" w:hAnsi="宋体" w:eastAsia="宋体" w:cs="宋体"/>
                <w:snapToGrid w:val="0"/>
                <w:color w:val="auto"/>
                <w:kern w:val="0"/>
                <w:sz w:val="21"/>
                <w:szCs w:val="21"/>
                <w:highlight w:val="none"/>
                <w:lang w:val="en-US" w:eastAsia="zh-CN" w:bidi="ar"/>
              </w:rPr>
              <w:t>2020</w:t>
            </w:r>
            <w:r>
              <w:rPr>
                <w:rFonts w:hint="eastAsia" w:ascii="宋体" w:hAnsi="宋体" w:eastAsia="宋体" w:cs="宋体"/>
                <w:color w:val="auto"/>
                <w:highlight w:val="none"/>
                <w:lang w:val="en-US" w:eastAsia="zh-CN"/>
              </w:rPr>
              <w:t>年9月18日至2023年10月9日，以交工日期为准），担任过一级及以上等级公路交通安全设施养护工程施工的项目总工（技术负责人） 职务，业绩数量至少为1个（如为项目副总工职务业绩数量至少为 2个）</w:t>
            </w:r>
          </w:p>
        </w:tc>
        <w:tc>
          <w:tcPr>
            <w:tcW w:w="2407" w:type="dxa"/>
            <w:vMerge w:val="continue"/>
            <w:tcBorders>
              <w:top w:val="nil"/>
            </w:tcBorders>
            <w:noWrap w:val="0"/>
            <w:vAlign w:val="top"/>
          </w:tcPr>
          <w:p>
            <w:pPr>
              <w:rPr>
                <w:rFonts w:ascii="黑体"/>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1" w:hRule="atLeast"/>
        </w:trPr>
        <w:tc>
          <w:tcPr>
            <w:tcW w:w="9506" w:type="dxa"/>
            <w:gridSpan w:val="4"/>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w:t>
            </w:r>
          </w:p>
          <w:p>
            <w:pPr>
              <w:bidi w:val="0"/>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修改补充投标人须知正文第3.5.5项：</w:t>
            </w:r>
          </w:p>
          <w:p>
            <w:pPr>
              <w:bidi w:val="0"/>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（1）投标人应按资格审查资料表（六）拟委任的项目经理和项目总工资历表的格式要求分别填写项目经理和项目总工（技术负责人）的资历，还应后附相关资格证明材料的彩色扫描件。</w:t>
            </w:r>
          </w:p>
          <w:p>
            <w:pPr>
              <w:bidi w:val="0"/>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项目经理须提供的资格证明材料：身份证、职称资格证书、建造师注册证书、安全生产考核合格证书、建造师注册证书及安全生产考核合格证书在政府相关部门网站上公开信息的网页截图、投标人所属社保机构出具的</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月</w:t>
            </w:r>
            <w:r>
              <w:rPr>
                <w:rFonts w:hint="eastAsia" w:ascii="宋体" w:hAnsi="宋体" w:eastAsia="宋体" w:cs="宋体"/>
                <w:color w:val="auto"/>
                <w:highlight w:val="none"/>
                <w:lang w:eastAsia="zh-CN"/>
              </w:rPr>
              <w:t>至今任意连续3个月社保缴费证明或其他能够证明参加社保的有效证明材料</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明确显示出已缴纳或已到账</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以及</w:t>
            </w:r>
            <w:r>
              <w:rPr>
                <w:rFonts w:hint="eastAsia" w:ascii="宋体" w:hAnsi="宋体" w:eastAsia="宋体" w:cs="宋体"/>
                <w:color w:val="auto"/>
                <w:highlight w:val="none"/>
                <w:lang w:eastAsia="zh-CN"/>
              </w:rPr>
              <w:t>人员相关业绩的网页截图、在岗撤离承诺书（如需、格式自拟）。</w:t>
            </w:r>
          </w:p>
          <w:p>
            <w:pPr>
              <w:bidi w:val="0"/>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（3）项目总工（技术负责人）须提供的资格证明材料：身份证、职称资格证书、投标人所属社保机构出具的</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月</w:t>
            </w:r>
            <w:r>
              <w:rPr>
                <w:rFonts w:hint="eastAsia" w:ascii="宋体" w:hAnsi="宋体" w:eastAsia="宋体" w:cs="宋体"/>
                <w:color w:val="auto"/>
                <w:highlight w:val="none"/>
                <w:lang w:eastAsia="zh-CN"/>
              </w:rPr>
              <w:t>至今任意连续3个月社保缴费证明或其他能够证明参加社保的有效证明材料</w:t>
            </w: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lang w:val="en-US" w:eastAsia="zh-CN"/>
              </w:rPr>
              <w:t>明确显示出已缴纳或已到账</w:t>
            </w:r>
            <w:r>
              <w:rPr>
                <w:rFonts w:hint="eastAsia" w:ascii="宋体" w:hAnsi="宋体" w:cs="宋体"/>
                <w:b w:val="0"/>
                <w:bCs w:val="0"/>
                <w:color w:val="auto"/>
                <w:highlight w:val="none"/>
                <w:lang w:eastAsia="zh-CN"/>
              </w:rPr>
              <w:t>）</w:t>
            </w:r>
            <w:r>
              <w:rPr>
                <w:rFonts w:hint="eastAsia" w:ascii="宋体" w:hAnsi="宋体" w:eastAsia="宋体" w:cs="宋体"/>
                <w:color w:val="auto"/>
                <w:highlight w:val="none"/>
                <w:lang w:val="en-US" w:eastAsia="zh-CN"/>
              </w:rPr>
              <w:t>以及</w:t>
            </w:r>
            <w:r>
              <w:rPr>
                <w:rFonts w:hint="eastAsia" w:ascii="宋体" w:hAnsi="宋体" w:eastAsia="宋体" w:cs="宋体"/>
                <w:color w:val="auto"/>
                <w:highlight w:val="none"/>
                <w:lang w:eastAsia="zh-CN"/>
              </w:rPr>
              <w:t>相关业绩的网页截图、在岗撤离承诺书（如需、格式自拟）。</w:t>
            </w:r>
          </w:p>
          <w:p>
            <w:pPr>
              <w:bidi w:val="0"/>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（4）项目经理和项目总工（技术负责人）其他要求：必须是在投标人单位参加社会保险的全日制从业人员；注册建造师证书注册的单位必须为投标人，社保缴费单位与投标人名称必须一致；所有证件需</w:t>
            </w:r>
            <w:r>
              <w:rPr>
                <w:rFonts w:hint="eastAsia" w:ascii="宋体" w:hAnsi="宋体" w:cs="宋体"/>
                <w:color w:val="auto"/>
                <w:highlight w:val="none"/>
                <w:lang w:eastAsia="zh-CN"/>
              </w:rPr>
              <w:t>清楚地反映</w:t>
            </w:r>
            <w:r>
              <w:rPr>
                <w:rFonts w:hint="eastAsia" w:ascii="宋体" w:hAnsi="宋体" w:eastAsia="宋体" w:cs="宋体"/>
                <w:color w:val="auto"/>
                <w:highlight w:val="none"/>
                <w:lang w:eastAsia="zh-CN"/>
              </w:rPr>
              <w:t>有效期、年检情况及单位变更情况信息（如有）；所附人员的各类证书、证照以及各种证明材料中该人员的姓名应完全一致（除曾用名）。</w:t>
            </w:r>
          </w:p>
          <w:p>
            <w:pPr>
              <w:bidi w:val="0"/>
              <w:spacing w:line="360" w:lineRule="auto"/>
              <w:jc w:val="both"/>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5）拟委任的项目经理和项目总工资历表”还应附交通运输部“全国公路建设市场信用信息管理系统”中载明的、能够证明项目经理和项目总工具有相关业绩的网页截图。在交通运输部“全国公路建设市场信用信息管理系统”中无法查询，但可在</w:t>
            </w:r>
            <w:r>
              <w:rPr>
                <w:rFonts w:hint="eastAsia" w:ascii="宋体" w:hAnsi="宋体" w:eastAsia="宋体" w:cs="宋体"/>
                <w:snapToGrid w:val="0"/>
                <w:color w:val="auto"/>
                <w:kern w:val="0"/>
                <w:sz w:val="21"/>
                <w:szCs w:val="21"/>
                <w:highlight w:val="none"/>
                <w:lang w:val="en-US" w:eastAsia="zh-CN"/>
              </w:rPr>
              <w:t>项目所在地</w:t>
            </w:r>
            <w:r>
              <w:rPr>
                <w:rFonts w:hint="eastAsia" w:ascii="宋体" w:hAnsi="宋体" w:eastAsia="宋体" w:cs="宋体"/>
                <w:snapToGrid w:val="0"/>
                <w:color w:val="auto"/>
                <w:kern w:val="0"/>
                <w:sz w:val="21"/>
                <w:szCs w:val="21"/>
                <w:highlight w:val="none"/>
                <w:lang w:eastAsia="zh-CN"/>
              </w:rPr>
              <w:t>省级交通运输主管部门“公路建设市场信用信息管理系统”中查询的，应附</w:t>
            </w:r>
            <w:r>
              <w:rPr>
                <w:rFonts w:hint="eastAsia" w:ascii="宋体" w:hAnsi="宋体" w:eastAsia="宋体" w:cs="宋体"/>
                <w:snapToGrid w:val="0"/>
                <w:color w:val="auto"/>
                <w:kern w:val="0"/>
                <w:sz w:val="21"/>
                <w:szCs w:val="21"/>
                <w:highlight w:val="none"/>
                <w:lang w:val="en-US" w:eastAsia="zh-CN"/>
              </w:rPr>
              <w:t>项目所在地</w:t>
            </w:r>
            <w:r>
              <w:rPr>
                <w:rFonts w:hint="eastAsia" w:ascii="宋体" w:hAnsi="宋体" w:eastAsia="宋体" w:cs="宋体"/>
                <w:snapToGrid w:val="0"/>
                <w:color w:val="auto"/>
                <w:kern w:val="0"/>
                <w:sz w:val="21"/>
                <w:szCs w:val="21"/>
                <w:highlight w:val="none"/>
                <w:lang w:eastAsia="zh-CN"/>
              </w:rPr>
              <w:t>省级交通运输主管部门“公路建设市场信用信息管理系统”中查询到的网页截图。除网页截图外，投标人无须再提供任何业绩证明资料。如投标人未提供相关业绩网页截图或相关业绩网页截图中的信息无法证实投标人满足招标文件规定的资格审查条件(项目经理和项目总工最低要求)，则该项目业绩不予认定。其他要求同《公路工程标准施工招标文件》(2018年版)。</w:t>
            </w:r>
          </w:p>
          <w:p>
            <w:pPr>
              <w:bidi w:val="0"/>
              <w:spacing w:line="360" w:lineRule="auto"/>
              <w:jc w:val="both"/>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lang w:eastAsia="zh-CN"/>
              </w:rPr>
              <w:t>）人员</w:t>
            </w:r>
            <w:r>
              <w:rPr>
                <w:rFonts w:hint="eastAsia" w:ascii="宋体" w:hAnsi="宋体" w:eastAsia="宋体" w:cs="宋体"/>
                <w:b w:val="0"/>
                <w:bCs w:val="0"/>
                <w:color w:val="auto"/>
                <w:sz w:val="21"/>
                <w:szCs w:val="21"/>
                <w:highlight w:val="none"/>
                <w:lang w:val="en-US" w:eastAsia="zh-CN"/>
              </w:rPr>
              <w:t>业绩证明材料中需体现出公路交通安全设施养护工程施工业绩（养护工程施工内容中包含波形梁护栏工程内容，则此业绩也予以认可），否则业绩不予认可。</w:t>
            </w:r>
          </w:p>
          <w:p>
            <w:pPr>
              <w:bidi w:val="0"/>
              <w:spacing w:line="360" w:lineRule="auto"/>
              <w:jc w:val="both"/>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lang w:eastAsia="zh-CN"/>
              </w:rPr>
              <w:t>）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pPr>
              <w:bidi w:val="0"/>
              <w:spacing w:line="360" w:lineRule="auto"/>
              <w:jc w:val="both"/>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8</w:t>
            </w:r>
            <w:r>
              <w:rPr>
                <w:rFonts w:hint="eastAsia" w:ascii="宋体" w:hAnsi="宋体" w:eastAsia="宋体" w:cs="宋体"/>
                <w:snapToGrid w:val="0"/>
                <w:color w:val="auto"/>
                <w:kern w:val="0"/>
                <w:sz w:val="21"/>
                <w:szCs w:val="21"/>
                <w:highlight w:val="none"/>
                <w:lang w:eastAsia="zh-CN"/>
              </w:rPr>
              <w:t>）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按照交通运输部关于修订《公路施工企业信用评价规则（试行）》的通知（交公路规〔2021〕4号）或宁夏交通运输厅关于印发《宁夏回族自治区公路建设与养护市场信用评价管理办法（试行）》的通知（宁交规发〔2021〕5号）相关规定进行信用等级评价， 同时将评价结果上报宁夏交通运输厅，并在交通运输厅网站予以公布。</w:t>
            </w:r>
          </w:p>
          <w:p>
            <w:pPr>
              <w:bidi w:val="0"/>
              <w:spacing w:line="360" w:lineRule="auto"/>
              <w:jc w:val="both"/>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9</w:t>
            </w:r>
            <w:r>
              <w:rPr>
                <w:rFonts w:hint="eastAsia" w:ascii="宋体" w:hAnsi="宋体" w:eastAsia="宋体" w:cs="宋体"/>
                <w:snapToGrid w:val="0"/>
                <w:color w:val="auto"/>
                <w:kern w:val="0"/>
                <w:sz w:val="21"/>
                <w:szCs w:val="21"/>
                <w:highlight w:val="none"/>
                <w:lang w:eastAsia="zh-CN"/>
              </w:rPr>
              <w:t>）对投标人所提供的人员业绩，如通过上述网站查询后结果与投标人自行提供结果不符，则</w:t>
            </w:r>
          </w:p>
          <w:p>
            <w:pPr>
              <w:bidi w:val="0"/>
              <w:spacing w:line="360" w:lineRule="auto"/>
              <w:jc w:val="both"/>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对应业绩将不予认定。投标人对其递交投标文件中所有证明材料的真实性负责，若招标人收到反映投标人提供了虚假材料、不实信息或隐瞒招标文件要求填报的信息方面等的投诉，招标人一经查实将不予退还投标保证金，并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招标文件》(2018年版)。</w:t>
            </w:r>
          </w:p>
          <w:p>
            <w:pPr>
              <w:bidi w:val="0"/>
              <w:spacing w:line="360" w:lineRule="auto"/>
              <w:jc w:val="both"/>
              <w:rPr>
                <w:color w:val="auto"/>
                <w:highlight w:val="none"/>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10</w:t>
            </w:r>
            <w:r>
              <w:rPr>
                <w:rFonts w:hint="eastAsia" w:ascii="宋体" w:hAnsi="宋体" w:eastAsia="宋体" w:cs="宋体"/>
                <w:snapToGrid w:val="0"/>
                <w:color w:val="auto"/>
                <w:kern w:val="0"/>
                <w:sz w:val="21"/>
                <w:szCs w:val="21"/>
                <w:highlight w:val="none"/>
                <w:lang w:eastAsia="zh-CN"/>
              </w:rPr>
              <w:t>）招标文件中其他地方与此处不一致时，以此处为准。</w:t>
            </w:r>
          </w:p>
        </w:tc>
      </w:tr>
    </w:tbl>
    <w:p>
      <w:pPr>
        <w:spacing w:line="293" w:lineRule="auto"/>
        <w:rPr>
          <w:rFonts w:ascii="黑体"/>
          <w:color w:val="auto"/>
          <w:sz w:val="21"/>
          <w:highlight w:val="none"/>
        </w:rPr>
      </w:pPr>
    </w:p>
    <w:p>
      <w:pPr>
        <w:bidi w:val="0"/>
        <w:spacing w:line="360" w:lineRule="auto"/>
        <w:ind w:right="-295" w:rightChars="-134"/>
        <w:rPr>
          <w:rFonts w:ascii="宋体" w:hAnsi="宋体" w:eastAsia="宋体" w:cs="宋体"/>
          <w:color w:val="auto"/>
          <w:szCs w:val="21"/>
          <w:highlight w:val="none"/>
        </w:rPr>
      </w:pPr>
      <w:bookmarkStart w:id="8" w:name="_bookmark3"/>
      <w:bookmarkEnd w:id="8"/>
      <w:r>
        <w:rPr>
          <w:rFonts w:hint="eastAsia" w:ascii="宋体" w:hAnsi="宋体" w:eastAsia="宋体" w:cs="宋体"/>
          <w:b/>
          <w:bCs/>
          <w:color w:val="auto"/>
          <w:sz w:val="21"/>
          <w:highlight w:val="none"/>
        </w:rPr>
        <w:t>【注：投标人须知前附表已对以下投标人须知正文进行了补充和细化，投标人应将投标人须知正文与投标人须知前附表一起阅读和理解。如正文与前附表不一致时，以前附表的规定为准。】</w:t>
      </w: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bookmarkStart w:id="12" w:name="_GoBack"/>
      <w:bookmarkEnd w:id="12"/>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sz w:val="53"/>
        </w:rPr>
      </w:pPr>
      <w:r>
        <w:rPr>
          <w:rFonts w:hint="eastAsia" w:ascii="宋体" w:hAnsi="宋体" w:eastAsia="宋体" w:cs="宋体"/>
          <w:b/>
          <w:bCs/>
          <w:color w:val="000000"/>
          <w:kern w:val="0"/>
          <w:sz w:val="28"/>
          <w:szCs w:val="28"/>
          <w:lang w:val="en-US" w:eastAsia="zh-CN" w:bidi="ar"/>
        </w:rPr>
        <w:t>四、评标办法全文</w:t>
      </w:r>
    </w:p>
    <w:p>
      <w:pPr>
        <w:spacing w:line="240" w:lineRule="auto"/>
        <w:ind w:firstLine="122"/>
        <w:jc w:val="center"/>
        <w:outlineLvl w:val="2"/>
        <w:rPr>
          <w:rFonts w:ascii="宋体" w:hAnsi="宋体" w:eastAsia="宋体" w:cs="宋体"/>
          <w:color w:val="auto"/>
          <w:sz w:val="14"/>
          <w:szCs w:val="14"/>
          <w:highlight w:val="none"/>
        </w:rPr>
      </w:pPr>
      <w:bookmarkStart w:id="9" w:name="_Toc29314"/>
      <w:bookmarkStart w:id="10" w:name="_Toc3189"/>
      <w:r>
        <w:rPr>
          <w:rFonts w:ascii="黑体" w:hAnsi="黑体" w:eastAsia="黑体" w:cs="黑体"/>
          <w:color w:val="auto"/>
          <w:spacing w:val="-1"/>
          <w:sz w:val="28"/>
          <w:szCs w:val="28"/>
          <w:highlight w:val="none"/>
        </w:rPr>
        <w:t>评标办法前附表</w:t>
      </w:r>
      <w:bookmarkEnd w:id="9"/>
      <w:bookmarkEnd w:id="10"/>
    </w:p>
    <w:p>
      <w:pPr>
        <w:rPr>
          <w:color w:val="auto"/>
          <w:highlight w:val="none"/>
        </w:rPr>
      </w:pPr>
    </w:p>
    <w:p>
      <w:pPr>
        <w:spacing w:line="19" w:lineRule="exact"/>
        <w:rPr>
          <w:color w:val="auto"/>
          <w:highlight w:val="none"/>
        </w:rPr>
      </w:pPr>
    </w:p>
    <w:tbl>
      <w:tblPr>
        <w:tblStyle w:val="14"/>
        <w:tblW w:w="8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01"/>
        <w:gridCol w:w="6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514" w:type="dxa"/>
            <w:gridSpan w:val="2"/>
            <w:noWrap w:val="0"/>
            <w:vAlign w:val="top"/>
          </w:tcPr>
          <w:p>
            <w:pPr>
              <w:spacing w:before="122" w:line="186" w:lineRule="auto"/>
              <w:ind w:firstLine="68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条款号</w:t>
            </w:r>
          </w:p>
        </w:tc>
        <w:tc>
          <w:tcPr>
            <w:tcW w:w="6384" w:type="dxa"/>
            <w:noWrap w:val="0"/>
            <w:vAlign w:val="top"/>
          </w:tcPr>
          <w:p>
            <w:pPr>
              <w:spacing w:before="122" w:line="186" w:lineRule="auto"/>
              <w:ind w:firstLine="25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013" w:type="dxa"/>
            <w:noWrap w:val="0"/>
            <w:vAlign w:val="center"/>
          </w:tcPr>
          <w:p>
            <w:pPr>
              <w:spacing w:before="6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01" w:type="dxa"/>
            <w:noWrap w:val="0"/>
            <w:vAlign w:val="center"/>
          </w:tcPr>
          <w:p>
            <w:pPr>
              <w:spacing w:before="69"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评标方法</w:t>
            </w:r>
          </w:p>
        </w:tc>
        <w:tc>
          <w:tcPr>
            <w:tcW w:w="6384"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评标价得分</w:t>
            </w:r>
            <w:r>
              <w:rPr>
                <w:rFonts w:hint="eastAsia" w:ascii="宋体" w:hAnsi="宋体" w:eastAsia="宋体" w:cs="宋体"/>
                <w:color w:val="auto"/>
                <w:sz w:val="21"/>
                <w:szCs w:val="21"/>
                <w:highlight w:val="none"/>
              </w:rPr>
              <w:t xml:space="preserve">相等时，评标委员会依次按照以下优先顺序推荐中标候选人或确定中标人：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（1）评标价低的投标人优先；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年度被宁夏交通运输厅评为较高信用等级的投标人优先：以《自治区交通运输厅关于公布202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年宁夏公路建设市场从业单位信用等级评价结果的通知》（宁交函[202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98</w:t>
            </w:r>
            <w:r>
              <w:rPr>
                <w:rFonts w:hint="eastAsia" w:ascii="宋体" w:hAnsi="宋体" w:eastAsia="宋体" w:cs="宋体"/>
                <w:color w:val="auto"/>
                <w:sz w:val="21"/>
                <w:szCs w:val="21"/>
                <w:highlight w:val="none"/>
              </w:rPr>
              <w:t>号）文件中的信用评价等级为准；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由评标委员会根据施工组织设计的编制情况投票确定其推荐排序。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1013" w:type="dxa"/>
            <w:noWrap w:val="0"/>
            <w:vAlign w:val="top"/>
          </w:tcPr>
          <w:p>
            <w:pPr>
              <w:spacing w:line="250" w:lineRule="auto"/>
              <w:rPr>
                <w:rFonts w:hint="eastAsia" w:ascii="宋体" w:hAnsi="宋体" w:eastAsia="宋体" w:cs="宋体"/>
                <w:color w:val="auto"/>
                <w:sz w:val="21"/>
                <w:szCs w:val="21"/>
                <w:highlight w:val="none"/>
              </w:rPr>
            </w:pPr>
          </w:p>
          <w:p>
            <w:pPr>
              <w:spacing w:line="250" w:lineRule="auto"/>
              <w:rPr>
                <w:rFonts w:hint="eastAsia" w:ascii="宋体" w:hAnsi="宋体" w:eastAsia="宋体" w:cs="宋体"/>
                <w:color w:val="auto"/>
                <w:sz w:val="21"/>
                <w:szCs w:val="21"/>
                <w:highlight w:val="none"/>
              </w:rPr>
            </w:pPr>
          </w:p>
          <w:p>
            <w:pPr>
              <w:spacing w:line="250" w:lineRule="auto"/>
              <w:rPr>
                <w:rFonts w:hint="eastAsia" w:ascii="宋体" w:hAnsi="宋体" w:eastAsia="宋体" w:cs="宋体"/>
                <w:color w:val="auto"/>
                <w:sz w:val="21"/>
                <w:szCs w:val="21"/>
                <w:highlight w:val="none"/>
              </w:rPr>
            </w:pPr>
          </w:p>
          <w:p>
            <w:pPr>
              <w:spacing w:line="251" w:lineRule="auto"/>
              <w:rPr>
                <w:rFonts w:hint="eastAsia" w:ascii="宋体" w:hAnsi="宋体" w:eastAsia="宋体" w:cs="宋体"/>
                <w:color w:val="auto"/>
                <w:sz w:val="21"/>
                <w:szCs w:val="21"/>
                <w:highlight w:val="none"/>
              </w:rPr>
            </w:pPr>
          </w:p>
          <w:p>
            <w:pPr>
              <w:spacing w:line="251" w:lineRule="auto"/>
              <w:rPr>
                <w:rFonts w:hint="eastAsia" w:ascii="宋体" w:hAnsi="宋体" w:eastAsia="宋体" w:cs="宋体"/>
                <w:color w:val="auto"/>
                <w:sz w:val="21"/>
                <w:szCs w:val="21"/>
                <w:highlight w:val="none"/>
              </w:rPr>
            </w:pPr>
          </w:p>
          <w:p>
            <w:pPr>
              <w:spacing w:line="251" w:lineRule="auto"/>
              <w:rPr>
                <w:rFonts w:hint="eastAsia" w:ascii="宋体" w:hAnsi="宋体" w:eastAsia="宋体" w:cs="宋体"/>
                <w:color w:val="auto"/>
                <w:sz w:val="21"/>
                <w:szCs w:val="21"/>
                <w:highlight w:val="none"/>
              </w:rPr>
            </w:pPr>
          </w:p>
          <w:p>
            <w:pPr>
              <w:spacing w:line="251" w:lineRule="auto"/>
              <w:rPr>
                <w:rFonts w:hint="eastAsia" w:ascii="宋体" w:hAnsi="宋体" w:eastAsia="宋体" w:cs="宋体"/>
                <w:color w:val="auto"/>
                <w:sz w:val="21"/>
                <w:szCs w:val="21"/>
                <w:highlight w:val="none"/>
              </w:rPr>
            </w:pPr>
          </w:p>
          <w:p>
            <w:pPr>
              <w:spacing w:line="251" w:lineRule="auto"/>
              <w:rPr>
                <w:rFonts w:hint="eastAsia" w:ascii="宋体" w:hAnsi="宋体" w:eastAsia="宋体" w:cs="宋体"/>
                <w:color w:val="auto"/>
                <w:sz w:val="21"/>
                <w:szCs w:val="21"/>
                <w:highlight w:val="none"/>
              </w:rPr>
            </w:pPr>
          </w:p>
          <w:p>
            <w:pPr>
              <w:spacing w:line="251" w:lineRule="auto"/>
              <w:rPr>
                <w:rFonts w:hint="eastAsia" w:ascii="宋体" w:hAnsi="宋体" w:eastAsia="宋体" w:cs="宋体"/>
                <w:color w:val="auto"/>
                <w:sz w:val="21"/>
                <w:szCs w:val="21"/>
                <w:highlight w:val="none"/>
              </w:rPr>
            </w:pPr>
          </w:p>
          <w:p>
            <w:pPr>
              <w:spacing w:line="251" w:lineRule="auto"/>
              <w:rPr>
                <w:rFonts w:hint="eastAsia" w:ascii="宋体" w:hAnsi="宋体" w:eastAsia="宋体" w:cs="宋体"/>
                <w:color w:val="auto"/>
                <w:sz w:val="21"/>
                <w:szCs w:val="21"/>
                <w:highlight w:val="none"/>
              </w:rPr>
            </w:pPr>
          </w:p>
          <w:p>
            <w:pPr>
              <w:spacing w:line="251" w:lineRule="auto"/>
              <w:rPr>
                <w:rFonts w:hint="eastAsia" w:ascii="宋体" w:hAnsi="宋体" w:eastAsia="宋体" w:cs="宋体"/>
                <w:color w:val="auto"/>
                <w:sz w:val="21"/>
                <w:szCs w:val="21"/>
                <w:highlight w:val="none"/>
              </w:rPr>
            </w:pPr>
          </w:p>
          <w:p>
            <w:pPr>
              <w:spacing w:line="251" w:lineRule="auto"/>
              <w:rPr>
                <w:rFonts w:hint="eastAsia" w:ascii="宋体" w:hAnsi="宋体" w:eastAsia="宋体" w:cs="宋体"/>
                <w:color w:val="auto"/>
                <w:sz w:val="21"/>
                <w:szCs w:val="21"/>
                <w:highlight w:val="none"/>
              </w:rPr>
            </w:pPr>
          </w:p>
          <w:p>
            <w:pPr>
              <w:spacing w:line="251" w:lineRule="auto"/>
              <w:rPr>
                <w:rFonts w:hint="eastAsia" w:ascii="宋体" w:hAnsi="宋体" w:eastAsia="宋体" w:cs="宋体"/>
                <w:color w:val="auto"/>
                <w:sz w:val="21"/>
                <w:szCs w:val="21"/>
                <w:highlight w:val="none"/>
              </w:rPr>
            </w:pPr>
          </w:p>
          <w:p>
            <w:pPr>
              <w:spacing w:before="60" w:line="360" w:lineRule="exact"/>
              <w:ind w:firstLine="157"/>
              <w:rPr>
                <w:rFonts w:hint="eastAsia" w:ascii="宋体" w:hAnsi="宋体" w:eastAsia="宋体" w:cs="宋体"/>
                <w:color w:val="auto"/>
                <w:sz w:val="21"/>
                <w:szCs w:val="21"/>
                <w:highlight w:val="none"/>
              </w:rPr>
            </w:pPr>
            <w:r>
              <w:rPr>
                <w:rFonts w:hint="eastAsia" w:ascii="宋体" w:hAnsi="宋体" w:eastAsia="宋体" w:cs="宋体"/>
                <w:color w:val="auto"/>
                <w:spacing w:val="-1"/>
                <w:position w:val="13"/>
                <w:sz w:val="21"/>
                <w:szCs w:val="21"/>
                <w:highlight w:val="none"/>
              </w:rPr>
              <w:t>2.1.1</w:t>
            </w:r>
          </w:p>
          <w:p>
            <w:pPr>
              <w:spacing w:line="204" w:lineRule="auto"/>
              <w:ind w:firstLine="157"/>
              <w:rPr>
                <w:rFonts w:hint="eastAsia" w:ascii="宋体" w:hAnsi="宋体" w:eastAsia="宋体" w:cs="宋体"/>
                <w:color w:val="auto"/>
                <w:sz w:val="21"/>
                <w:szCs w:val="21"/>
                <w:highlight w:val="none"/>
              </w:rPr>
            </w:pPr>
          </w:p>
        </w:tc>
        <w:tc>
          <w:tcPr>
            <w:tcW w:w="1501" w:type="dxa"/>
            <w:noWrap w:val="0"/>
            <w:vAlign w:val="top"/>
          </w:tcPr>
          <w:p>
            <w:pPr>
              <w:spacing w:line="254" w:lineRule="auto"/>
              <w:rPr>
                <w:rFonts w:hint="eastAsia" w:ascii="宋体" w:hAnsi="宋体" w:eastAsia="宋体" w:cs="宋体"/>
                <w:color w:val="auto"/>
                <w:sz w:val="21"/>
                <w:szCs w:val="21"/>
                <w:highlight w:val="none"/>
              </w:rPr>
            </w:pPr>
          </w:p>
          <w:p>
            <w:pPr>
              <w:spacing w:line="254" w:lineRule="auto"/>
              <w:rPr>
                <w:rFonts w:hint="eastAsia" w:ascii="宋体" w:hAnsi="宋体" w:eastAsia="宋体" w:cs="宋体"/>
                <w:color w:val="auto"/>
                <w:sz w:val="21"/>
                <w:szCs w:val="21"/>
                <w:highlight w:val="none"/>
              </w:rPr>
            </w:pPr>
          </w:p>
          <w:p>
            <w:pPr>
              <w:spacing w:line="254" w:lineRule="auto"/>
              <w:rPr>
                <w:rFonts w:hint="eastAsia" w:ascii="宋体" w:hAnsi="宋体" w:eastAsia="宋体" w:cs="宋体"/>
                <w:color w:val="auto"/>
                <w:sz w:val="21"/>
                <w:szCs w:val="21"/>
                <w:highlight w:val="none"/>
              </w:rPr>
            </w:pPr>
          </w:p>
          <w:p>
            <w:pPr>
              <w:spacing w:line="254" w:lineRule="auto"/>
              <w:rPr>
                <w:rFonts w:hint="eastAsia" w:ascii="宋体" w:hAnsi="宋体" w:eastAsia="宋体" w:cs="宋体"/>
                <w:color w:val="auto"/>
                <w:sz w:val="21"/>
                <w:szCs w:val="21"/>
                <w:highlight w:val="none"/>
              </w:rPr>
            </w:pPr>
          </w:p>
          <w:p>
            <w:pPr>
              <w:spacing w:line="254" w:lineRule="auto"/>
              <w:rPr>
                <w:rFonts w:hint="eastAsia" w:ascii="宋体" w:hAnsi="宋体" w:eastAsia="宋体" w:cs="宋体"/>
                <w:color w:val="auto"/>
                <w:sz w:val="21"/>
                <w:szCs w:val="21"/>
                <w:highlight w:val="none"/>
              </w:rPr>
            </w:pPr>
          </w:p>
          <w:p>
            <w:pPr>
              <w:spacing w:line="254" w:lineRule="auto"/>
              <w:rPr>
                <w:rFonts w:hint="eastAsia" w:ascii="宋体" w:hAnsi="宋体" w:eastAsia="宋体" w:cs="宋体"/>
                <w:color w:val="auto"/>
                <w:sz w:val="21"/>
                <w:szCs w:val="21"/>
                <w:highlight w:val="none"/>
              </w:rPr>
            </w:pPr>
          </w:p>
          <w:p>
            <w:pPr>
              <w:spacing w:line="254" w:lineRule="auto"/>
              <w:rPr>
                <w:rFonts w:hint="eastAsia" w:ascii="宋体" w:hAnsi="宋体" w:eastAsia="宋体" w:cs="宋体"/>
                <w:color w:val="auto"/>
                <w:sz w:val="21"/>
                <w:szCs w:val="21"/>
                <w:highlight w:val="none"/>
              </w:rPr>
            </w:pPr>
          </w:p>
          <w:p>
            <w:pPr>
              <w:spacing w:line="255" w:lineRule="auto"/>
              <w:rPr>
                <w:rFonts w:hint="eastAsia" w:ascii="宋体" w:hAnsi="宋体" w:eastAsia="宋体" w:cs="宋体"/>
                <w:color w:val="auto"/>
                <w:sz w:val="21"/>
                <w:szCs w:val="21"/>
                <w:highlight w:val="none"/>
              </w:rPr>
            </w:pPr>
          </w:p>
          <w:p>
            <w:pPr>
              <w:spacing w:line="255" w:lineRule="auto"/>
              <w:rPr>
                <w:rFonts w:hint="eastAsia" w:ascii="宋体" w:hAnsi="宋体" w:eastAsia="宋体" w:cs="宋体"/>
                <w:color w:val="auto"/>
                <w:sz w:val="21"/>
                <w:szCs w:val="21"/>
                <w:highlight w:val="none"/>
              </w:rPr>
            </w:pPr>
          </w:p>
          <w:p>
            <w:pPr>
              <w:spacing w:line="255" w:lineRule="auto"/>
              <w:rPr>
                <w:rFonts w:hint="eastAsia" w:ascii="宋体" w:hAnsi="宋体" w:eastAsia="宋体" w:cs="宋体"/>
                <w:color w:val="auto"/>
                <w:sz w:val="21"/>
                <w:szCs w:val="21"/>
                <w:highlight w:val="none"/>
              </w:rPr>
            </w:pPr>
          </w:p>
          <w:p>
            <w:pPr>
              <w:spacing w:line="255" w:lineRule="auto"/>
              <w:rPr>
                <w:rFonts w:hint="eastAsia" w:ascii="宋体" w:hAnsi="宋体" w:eastAsia="宋体" w:cs="宋体"/>
                <w:color w:val="auto"/>
                <w:sz w:val="21"/>
                <w:szCs w:val="21"/>
                <w:highlight w:val="none"/>
              </w:rPr>
            </w:pPr>
          </w:p>
          <w:p>
            <w:pPr>
              <w:spacing w:line="255" w:lineRule="auto"/>
              <w:rPr>
                <w:rFonts w:hint="eastAsia" w:ascii="宋体" w:hAnsi="宋体" w:eastAsia="宋体" w:cs="宋体"/>
                <w:color w:val="auto"/>
                <w:sz w:val="21"/>
                <w:szCs w:val="21"/>
                <w:highlight w:val="none"/>
              </w:rPr>
            </w:pPr>
          </w:p>
          <w:p>
            <w:pPr>
              <w:spacing w:before="69" w:line="316" w:lineRule="auto"/>
              <w:ind w:left="213" w:right="208" w:firstLine="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形式评审</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rPr>
              <w:t>与响应性</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rPr>
              <w:t>评审标准</w:t>
            </w:r>
          </w:p>
        </w:tc>
        <w:tc>
          <w:tcPr>
            <w:tcW w:w="6384" w:type="dxa"/>
            <w:noWrap w:val="0"/>
            <w:vAlign w:val="top"/>
          </w:tcPr>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第一个信封（商务及技术文件）评审标准：</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(1)投标文件按照招标文件规定的格式、内容填写，字迹清晰可辨：</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a.投标函按招标文件规定填报了项目名称、</w:t>
            </w:r>
            <w:r>
              <w:rPr>
                <w:rFonts w:hint="eastAsia" w:ascii="宋体" w:hAnsi="宋体" w:eastAsia="宋体" w:cs="宋体"/>
                <w:color w:val="auto"/>
                <w:sz w:val="21"/>
                <w:szCs w:val="21"/>
                <w:highlight w:val="none"/>
                <w:lang w:eastAsia="zh-CN"/>
              </w:rPr>
              <w:t>标段号</w:t>
            </w:r>
            <w:r>
              <w:rPr>
                <w:rFonts w:hint="eastAsia" w:ascii="宋体" w:hAnsi="宋体" w:eastAsia="宋体" w:cs="宋体"/>
                <w:color w:val="auto"/>
                <w:sz w:val="21"/>
                <w:szCs w:val="21"/>
                <w:highlight w:val="none"/>
              </w:rPr>
              <w:t>、补遗书编号（如有）、工期、工程质量要求、安全目标等；</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b.投标函附录的所有内容和数据均符合招标文件规定；</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c.投标文件中有承诺函、规范投标行为承诺函、使用农民工承诺等内容，其内容文字与招标文件规定一致，未进行修改和删减且签字盖章齐全；</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d.按照招标文件规定的格式、内容编制了施工组织设计及项目管理机构相关图表；</w:t>
            </w:r>
          </w:p>
          <w:p>
            <w:pPr>
              <w:numPr>
                <w:ilvl w:val="0"/>
                <w:numId w:val="0"/>
              </w:numPr>
              <w:bidi w:val="0"/>
              <w:spacing w:line="360" w:lineRule="auto"/>
              <w:ind w:leftChars="0" w:right="0" w:rightChars="0"/>
              <w:jc w:val="both"/>
              <w:rPr>
                <w:rFonts w:hint="eastAsia"/>
                <w:color w:val="auto"/>
                <w:highlight w:val="none"/>
              </w:rPr>
            </w:pPr>
            <w:r>
              <w:rPr>
                <w:rFonts w:hint="eastAsia" w:ascii="宋体" w:hAnsi="宋体" w:eastAsia="宋体" w:cs="宋体"/>
                <w:color w:val="auto"/>
                <w:sz w:val="21"/>
                <w:szCs w:val="21"/>
                <w:highlight w:val="none"/>
              </w:rPr>
              <w:t>e.投标文件组成齐全完整，内容均按规定填写，按招标文件规定的形式装订。</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(2)投标文件上法定代表人或其授权代理人的签字、投标人的单位章盖章齐全，符合招标文件规定。</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(3)投标人按照招标文件的规定提供了投标保证金：</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a.投标保证金金额符合招标文件规定的金额，且投标保证金有效期不少于投标有效期；</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b.若投标保证金采用现金或支票形式提交，投标人应在递交投标文件截止时间之前，将投标保证金由投标人的基本账户转入招标人指定账户；</w:t>
            </w:r>
          </w:p>
          <w:p>
            <w:pPr>
              <w:pStyle w:val="9"/>
              <w:spacing w:line="360" w:lineRule="auto"/>
              <w:ind w:left="0" w:leftChars="0" w:firstLine="0" w:firstLineChars="0"/>
              <w:rPr>
                <w:rFonts w:hint="default" w:eastAsia="宋体"/>
                <w:color w:val="auto"/>
                <w:highlight w:val="none"/>
                <w:lang w:val="en-US" w:eastAsia="zh-CN"/>
              </w:rPr>
            </w:pPr>
            <w:r>
              <w:rPr>
                <w:rFonts w:hint="eastAsia" w:ascii="宋体" w:hAnsi="宋体" w:eastAsia="宋体" w:cs="宋体"/>
                <w:color w:val="auto"/>
                <w:sz w:val="21"/>
                <w:szCs w:val="21"/>
                <w:highlight w:val="none"/>
              </w:rPr>
              <w:t>c.若投标保证金采用保函形式提交，保函的格式、开具保函的银行、保函的有效期均满足招标文件要求，且递交投标文件截止时间之前向招标人单独密封提交了保函原件。</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(4)投标人法定代表人授权代理人签署投标文件的，需提交授权委托书，且授权人和被授权人均在授权委托书上亲笔签名。</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(5)投标人法定代表人亲自签署投标文件的，提供了法定代表人身份证明，且法定代表人在法定代表人身份证明上签名。</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(6)本项目不接受联合体投标。</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(7)本项目不允许分包。</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(8)同一投标人未提交两个以上不同的投标文件。</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(9)投标文件中未出现有关投标报价的内容。</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(10)投标文件载明的招标项目完成期限未超过招标文件规定的时限。</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(11)投标文件对招标文件的实质性要求和条件作出了响应。</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(12)权利义务符合招标文件规定：</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b.投标人未增加发包人的责任范围，或减少投标人义务；</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c.投标人未提出不同的工程验收、计量、支付办法；</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）围标、串标审查：如果有证据显示投标人以他人名义投标、与他人串通投标、以行贿手段谋取中标，以及投标弄虚作假的，评标委员会应对该投标文件作无效投标处理。</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）评标委员会要对投标人的财务能力、管理水平和以往施工业绩及履约信誉进行详细评审。如发现投标文件有以下情况之一的，评标委员会将对其作无效投标处理：</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a.承诺的质量标准低于招标文件或国家强制性标准要求；</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b.提供虚假施工业绩及履约信誉证明材料。</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15</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投标文件和提交方式要满足投标人须知之规定。</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）按评标委员会要求澄清、说明或补正的。</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）未附有招标人不能接受的其他条件。</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第二个信封（报价文件）评审标准：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投标文件按照招标文件规定的格式、内容填写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字迹清晰可辨：</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投标函按招标文件规定填报了项目名称、标段号、补遗书编号（如有）、投标价（包括大写金额和小写金额）；</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已标价工程量清单说明、投标报价说明、计日工说明、其他说明以及工程量清 单表中文字与招标文件规定一致，未进行实质性修改和删减</w:t>
            </w:r>
            <w:r>
              <w:rPr>
                <w:rFonts w:hint="eastAsia" w:ascii="宋体" w:hAnsi="宋体" w:eastAsia="宋体" w:cs="宋体"/>
                <w:color w:val="auto"/>
                <w:sz w:val="21"/>
                <w:szCs w:val="21"/>
                <w:highlight w:val="none"/>
                <w:lang w:eastAsia="zh-CN"/>
              </w:rPr>
              <w:t>；</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投标文件组成齐全完整，内容均按规定填写。</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（2）投标文件上法定代表人或其授权代理人的签字、投标人的单位章盖章齐全，符合招标文件规定</w:t>
            </w:r>
            <w:r>
              <w:rPr>
                <w:rFonts w:hint="eastAsia" w:ascii="宋体" w:hAnsi="宋体" w:eastAsia="宋体" w:cs="宋体"/>
                <w:color w:val="auto"/>
                <w:sz w:val="21"/>
                <w:szCs w:val="21"/>
                <w:highlight w:val="none"/>
                <w:lang w:eastAsia="zh-CN"/>
              </w:rPr>
              <w:t>。</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）投标报价中报价满足投标人须知的要求及满足以下要求：</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投标报价的大写金额能确定具体数值；</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投标报价未超过招标文件设定的最高投标限价；</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投标报价大写金额无错误且可唱出；</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未提交调价函；</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同一投标人未提交两个以上不同的投标报价；</w:t>
            </w:r>
          </w:p>
          <w:p>
            <w:pPr>
              <w:pStyle w:val="9"/>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）投标文件未附有招标人不能接受的其他条件。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1013" w:type="dxa"/>
            <w:noWrap w:val="0"/>
            <w:vAlign w:val="center"/>
          </w:tcPr>
          <w:p>
            <w:pPr>
              <w:spacing w:line="204" w:lineRule="auto"/>
              <w:ind w:firstLine="157"/>
              <w:jc w:val="center"/>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2.1.2</w:t>
            </w:r>
          </w:p>
        </w:tc>
        <w:tc>
          <w:tcPr>
            <w:tcW w:w="1501" w:type="dxa"/>
            <w:noWrap w:val="0"/>
            <w:vAlign w:val="center"/>
          </w:tcPr>
          <w:p>
            <w:pPr>
              <w:spacing w:before="69" w:line="316" w:lineRule="auto"/>
              <w:ind w:left="213" w:right="208" w:firstLine="3"/>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资格评</w:t>
            </w:r>
          </w:p>
          <w:p>
            <w:pPr>
              <w:spacing w:before="69" w:line="316" w:lineRule="auto"/>
              <w:ind w:left="213" w:right="208" w:firstLine="3"/>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审标准</w:t>
            </w:r>
          </w:p>
        </w:tc>
        <w:tc>
          <w:tcPr>
            <w:tcW w:w="6384" w:type="dxa"/>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具备有效的营业执照、组织机构代码证、税务登记证（或三证合一的营业执照）、资质证书、安全生产许可证、基本账户开户许可证等招标文件要求提交的证照，且所有证照在正本中均为彩色扫描件或彩色复印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投标人的资质等级符合招标文件投标人须知附录1（包括小注）规定；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投标人的财务状况符合招标文件投标人须知附录2（包括小注）规定；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投标人的业绩符合招标文件投标人须知附录3（包括小注）规定；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投标人的信誉符合招标文件投标人须知附录4（包括小注）规定；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投标人的项目经理和项目总工符合招标文件附录5（包括小注）规定；</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投标人不存在第二章“投标人须知”第1.4.3项或第1.4.4项规定的任何一种情形。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jc w:val="both"/>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2.2.1</w:t>
            </w:r>
          </w:p>
        </w:tc>
        <w:tc>
          <w:tcPr>
            <w:tcW w:w="1501" w:type="dxa"/>
            <w:noWrap w:val="0"/>
            <w:vAlign w:val="center"/>
          </w:tcPr>
          <w:p>
            <w:pPr>
              <w:spacing w:before="69" w:line="316" w:lineRule="auto"/>
              <w:ind w:left="213" w:right="208" w:firstLine="3"/>
              <w:jc w:val="both"/>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分值构成</w:t>
            </w:r>
          </w:p>
          <w:p>
            <w:pPr>
              <w:spacing w:before="69" w:line="316" w:lineRule="auto"/>
              <w:ind w:right="208"/>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0"/>
                <w:szCs w:val="20"/>
                <w:highlight w:val="none"/>
              </w:rPr>
              <w:t>（总分100分）</w:t>
            </w:r>
          </w:p>
        </w:tc>
        <w:tc>
          <w:tcPr>
            <w:tcW w:w="6384" w:type="dxa"/>
            <w:noWrap w:val="0"/>
            <w:vAlign w:val="center"/>
          </w:tcPr>
          <w:p>
            <w:pPr>
              <w:pStyle w:val="9"/>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评标价：100分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jc w:val="both"/>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2.2.2</w:t>
            </w:r>
          </w:p>
        </w:tc>
        <w:tc>
          <w:tcPr>
            <w:tcW w:w="1501" w:type="dxa"/>
            <w:noWrap w:val="0"/>
            <w:vAlign w:val="center"/>
          </w:tcPr>
          <w:p>
            <w:pPr>
              <w:spacing w:before="69" w:line="316" w:lineRule="auto"/>
              <w:ind w:left="213" w:right="208" w:firstLine="3"/>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评标基准价计算方法</w:t>
            </w:r>
          </w:p>
          <w:p>
            <w:pPr>
              <w:spacing w:before="69" w:line="316" w:lineRule="auto"/>
              <w:ind w:left="213" w:right="208" w:firstLine="3"/>
              <w:jc w:val="center"/>
              <w:rPr>
                <w:rFonts w:hint="eastAsia" w:ascii="宋体" w:hAnsi="宋体" w:eastAsia="宋体" w:cs="宋体"/>
                <w:color w:val="auto"/>
                <w:spacing w:val="-3"/>
                <w:sz w:val="21"/>
                <w:szCs w:val="21"/>
                <w:highlight w:val="none"/>
              </w:rPr>
            </w:pPr>
          </w:p>
        </w:tc>
        <w:tc>
          <w:tcPr>
            <w:tcW w:w="63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一、计算公式字母含义</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1. P为评标基准价；    </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 Di为评标价：Di＝投标函文字报价；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 N为有效评标价的数量（有效评标价：除第一信封经评标委员会否决的投标人及第二信封开标现场被宣布为不进入评标基准价计算的评标价之外，剩余所有投标人的评标价均为有效评标价）；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 K为评标基准价系数：K值取值范围为0.980、0.985、0.990、0.995、1.000共5个数值，在开标现场由投标人代表随机抽取一个K值，并当场公布（（K值每组只抽一次，组内各标段不再抽取）；</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 n1为去掉最高有效评标价的数量，n2为去掉最低有效评标价的数量（n1、n2的取值组内各标段分别抽取）。</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n1、n2的取值方法：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当N＜6时，n1、n2均取0；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当6≤N＜10，n1、n2均取1；</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both"/>
              <w:textAlignment w:val="baseline"/>
              <w:rPr>
                <w:rFonts w:hint="eastAsia"/>
                <w:color w:val="auto"/>
                <w:highlight w:val="none"/>
                <w:lang w:eastAsia="zh-CN"/>
              </w:rPr>
            </w:pPr>
            <w:r>
              <w:rPr>
                <w:rFonts w:hint="eastAsia" w:ascii="宋体" w:hAnsi="宋体" w:eastAsia="宋体" w:cs="宋体"/>
                <w:color w:val="auto"/>
                <w:highlight w:val="none"/>
                <w:lang w:eastAsia="zh-CN"/>
              </w:rPr>
              <w:t>当N≥10时，n1在取值区间1～M-1中现场随机抽取，n2在取值区间1～M+1中现场随机抽取，M=N/4，M去尾取整数。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jc w:val="both"/>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2.2.3</w:t>
            </w:r>
          </w:p>
        </w:tc>
        <w:tc>
          <w:tcPr>
            <w:tcW w:w="1501" w:type="dxa"/>
            <w:noWrap w:val="0"/>
            <w:vAlign w:val="center"/>
          </w:tcPr>
          <w:p>
            <w:pPr>
              <w:spacing w:before="69" w:line="316" w:lineRule="auto"/>
              <w:ind w:left="213" w:right="208" w:firstLine="3"/>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评标基准价计算方法</w:t>
            </w:r>
          </w:p>
        </w:tc>
        <w:tc>
          <w:tcPr>
            <w:tcW w:w="63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二</w:t>
            </w:r>
            <w:r>
              <w:rPr>
                <w:rFonts w:hint="eastAsia" w:ascii="宋体" w:hAnsi="宋体" w:eastAsia="宋体" w:cs="宋体"/>
                <w:color w:val="auto"/>
                <w:highlight w:val="none"/>
                <w:lang w:eastAsia="zh-CN"/>
              </w:rPr>
              <w:t>、评标基准价计算方法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以下三种评标基准价计算方法，招标人在开标现场随机抽取其中一种方法作为当次招标评标基准价的计算方法，按已抽取的评标基准价计算方法抽取相关计算参数。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评标基准价方法1（平均值随机系数法）：有效评标价去掉n1个最高评标价和n2个最低评标价后取平均值，乘以评标基准价系数K作为评标基准价Ｐ。</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wp:posOffset>
                  </wp:positionH>
                  <wp:positionV relativeFrom="paragraph">
                    <wp:posOffset>121920</wp:posOffset>
                  </wp:positionV>
                  <wp:extent cx="3862705" cy="735965"/>
                  <wp:effectExtent l="0" t="0" r="4445" b="6985"/>
                  <wp:wrapNone/>
                  <wp:docPr id="8" name="图片_1"/>
                  <wp:cNvGraphicFramePr/>
                  <a:graphic xmlns:a="http://schemas.openxmlformats.org/drawingml/2006/main">
                    <a:graphicData uri="http://schemas.openxmlformats.org/drawingml/2006/picture">
                      <pic:pic xmlns:pic="http://schemas.openxmlformats.org/drawingml/2006/picture">
                        <pic:nvPicPr>
                          <pic:cNvPr id="8" name="图片_1"/>
                          <pic:cNvPicPr/>
                        </pic:nvPicPr>
                        <pic:blipFill>
                          <a:blip r:embed="rId10"/>
                          <a:stretch>
                            <a:fillRect/>
                          </a:stretch>
                        </pic:blipFill>
                        <pic:spPr>
                          <a:xfrm>
                            <a:off x="0" y="0"/>
                            <a:ext cx="3862705" cy="735965"/>
                          </a:xfrm>
                          <a:prstGeom prst="rect">
                            <a:avLst/>
                          </a:prstGeom>
                          <a:noFill/>
                          <a:ln>
                            <a:noFill/>
                          </a:ln>
                        </pic:spPr>
                      </pic:pic>
                    </a:graphicData>
                  </a:graphic>
                </wp:anchor>
              </w:drawing>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评标基准价方法2（价差随机系数法）：先去掉n1个最高有效评标价和n2个最低有效评标价，用剩余有效评标价中最大评标价与最小评标价之差与调整系数乘积加最小评标价作为评标基准价。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P＝（Dmax - Dmin）×  Ks  +  Dmin</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式中：Dmax为去掉n1个最高有效评标价后的最大评标价数值。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Dmin为去掉n2个最低有效评标价后的最小评标价数值。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Ks为随机调整系数：Ks＝（X+Y/10）/10,其中X、Y为开标现场抽取的两个系数，各设5个数值，分别为2、3、4、5、6。</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评标基准价方法3（随机权重法）：先去掉n1个最高有效评标价和n2个最低有效评标价后的平均值，用最高投标限价与平均值的权值之和作为评标基准价。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P =D平均×K1×Q1 + B上限×K2 ×Q2</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式中：D平均为去掉n1个最高评标价和n2个最低评标价后的平均值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B上限为投标最高限价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K1、K2、Q1 、Q2权重系数：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Q2 = 1- Q1， Q1取值范围30%～70%；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K1 的取值范围为 95%～100%；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K2 的取值范围为(85%+E%)～(90%+E%)，其中E为0至5的自然数，由招标人在编制招标文件时结合项目实际自行选取E值后明确K2的取值范围，本项目E=3。</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Q1值、K1值、K2值均在第二信封开标现场随机抽取确定。Q1取值的步长不大于1%，K1和K2取值的步长不大于0.5%。</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Q1取值的步长现场从0.1%、0.2%、0.3%、0.4%、0.5%、0.6%、0.7%、0.8%、0.9%、1.0%共10个数值中随机抽取，K1 和K2 取值的步长现场从0.1%、0.2%、0.3%、0.4%、0.5%共5个数值中随机抽取。</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Q1值、K1值、K2值的抽取，如项目分组招标，对应系数按照组进行抽取；如未分组，对应系数按照标段进行抽取。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firstLineChars="0"/>
              <w:jc w:val="both"/>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eastAsia="zh-CN"/>
              </w:rPr>
              <w:t>条款号</w:t>
            </w:r>
          </w:p>
        </w:tc>
        <w:tc>
          <w:tcPr>
            <w:tcW w:w="1501" w:type="dxa"/>
            <w:noWrap w:val="0"/>
            <w:vAlign w:val="center"/>
          </w:tcPr>
          <w:p>
            <w:pPr>
              <w:spacing w:before="69" w:line="316" w:lineRule="auto"/>
              <w:ind w:left="213" w:leftChars="0" w:right="208" w:rightChars="0" w:firstLine="3" w:firstLine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条款内容</w:t>
            </w:r>
          </w:p>
        </w:tc>
        <w:tc>
          <w:tcPr>
            <w:tcW w:w="6384" w:type="dxa"/>
            <w:noWrap w:val="0"/>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top"/>
          </w:tcPr>
          <w:p>
            <w:pPr>
              <w:pStyle w:val="13"/>
              <w:spacing w:before="4" w:line="360" w:lineRule="auto"/>
              <w:rPr>
                <w:rFonts w:hint="eastAsia" w:ascii="宋体" w:hAnsi="宋体" w:eastAsia="宋体" w:cs="宋体"/>
                <w:snapToGrid w:val="0"/>
                <w:color w:val="auto"/>
                <w:spacing w:val="-3"/>
                <w:kern w:val="0"/>
                <w:sz w:val="21"/>
                <w:szCs w:val="21"/>
                <w:highlight w:val="none"/>
              </w:rPr>
            </w:pPr>
          </w:p>
          <w:p>
            <w:pPr>
              <w:pStyle w:val="13"/>
              <w:spacing w:line="360" w:lineRule="auto"/>
              <w:ind w:left="99" w:leftChars="0" w:right="97" w:rightChars="0"/>
              <w:jc w:val="center"/>
              <w:rPr>
                <w:rFonts w:hint="eastAsia" w:ascii="宋体" w:hAnsi="宋体" w:eastAsia="宋体" w:cs="宋体"/>
                <w:snapToGrid w:val="0"/>
                <w:color w:val="auto"/>
                <w:spacing w:val="-3"/>
                <w:kern w:val="0"/>
                <w:sz w:val="21"/>
                <w:szCs w:val="21"/>
                <w:highlight w:val="none"/>
                <w:lang w:eastAsia="zh-CN"/>
              </w:rPr>
            </w:pPr>
            <w:r>
              <w:rPr>
                <w:rFonts w:hint="eastAsia" w:ascii="宋体" w:hAnsi="宋体" w:eastAsia="宋体" w:cs="宋体"/>
                <w:snapToGrid w:val="0"/>
                <w:color w:val="auto"/>
                <w:spacing w:val="-3"/>
                <w:kern w:val="0"/>
                <w:sz w:val="21"/>
                <w:szCs w:val="21"/>
                <w:highlight w:val="none"/>
              </w:rPr>
              <w:t>2.2.1</w:t>
            </w:r>
          </w:p>
        </w:tc>
        <w:tc>
          <w:tcPr>
            <w:tcW w:w="1501" w:type="dxa"/>
            <w:noWrap w:val="0"/>
            <w:vAlign w:val="top"/>
          </w:tcPr>
          <w:p>
            <w:pPr>
              <w:pStyle w:val="13"/>
              <w:spacing w:before="102" w:line="360" w:lineRule="auto"/>
              <w:ind w:left="170" w:right="168"/>
              <w:jc w:val="both"/>
              <w:rPr>
                <w:rFonts w:hint="eastAsia" w:ascii="宋体" w:hAnsi="宋体" w:eastAsia="宋体" w:cs="宋体"/>
                <w:snapToGrid w:val="0"/>
                <w:color w:val="auto"/>
                <w:spacing w:val="-3"/>
                <w:kern w:val="0"/>
                <w:sz w:val="21"/>
                <w:szCs w:val="21"/>
                <w:highlight w:val="none"/>
              </w:rPr>
            </w:pPr>
            <w:r>
              <w:rPr>
                <w:rFonts w:hint="eastAsia" w:ascii="宋体" w:hAnsi="宋体" w:eastAsia="宋体" w:cs="宋体"/>
                <w:snapToGrid w:val="0"/>
                <w:color w:val="auto"/>
                <w:spacing w:val="-3"/>
                <w:kern w:val="0"/>
                <w:sz w:val="21"/>
                <w:szCs w:val="21"/>
                <w:highlight w:val="none"/>
              </w:rPr>
              <w:t>分值构成</w:t>
            </w:r>
          </w:p>
          <w:p>
            <w:pPr>
              <w:pStyle w:val="13"/>
              <w:spacing w:before="5" w:line="360" w:lineRule="auto"/>
              <w:ind w:left="170" w:right="166"/>
              <w:jc w:val="both"/>
              <w:rPr>
                <w:rFonts w:hint="eastAsia" w:ascii="宋体" w:hAnsi="宋体" w:eastAsia="宋体" w:cs="宋体"/>
                <w:snapToGrid w:val="0"/>
                <w:color w:val="auto"/>
                <w:spacing w:val="-3"/>
                <w:kern w:val="0"/>
                <w:sz w:val="21"/>
                <w:szCs w:val="21"/>
                <w:highlight w:val="none"/>
              </w:rPr>
            </w:pPr>
            <w:r>
              <w:rPr>
                <w:rFonts w:hint="eastAsia" w:ascii="宋体" w:hAnsi="宋体" w:eastAsia="宋体" w:cs="宋体"/>
                <w:snapToGrid w:val="0"/>
                <w:color w:val="auto"/>
                <w:spacing w:val="-3"/>
                <w:kern w:val="0"/>
                <w:sz w:val="21"/>
                <w:szCs w:val="21"/>
                <w:highlight w:val="none"/>
              </w:rPr>
              <w:t>（总分</w:t>
            </w:r>
          </w:p>
          <w:p>
            <w:pPr>
              <w:pStyle w:val="13"/>
              <w:spacing w:before="2" w:line="360" w:lineRule="auto"/>
              <w:ind w:left="112" w:leftChars="0"/>
              <w:rPr>
                <w:rFonts w:hint="eastAsia" w:ascii="宋体" w:hAnsi="宋体" w:eastAsia="宋体" w:cs="宋体"/>
                <w:snapToGrid w:val="0"/>
                <w:color w:val="auto"/>
                <w:spacing w:val="-3"/>
                <w:kern w:val="0"/>
                <w:sz w:val="21"/>
                <w:szCs w:val="21"/>
                <w:highlight w:val="none"/>
              </w:rPr>
            </w:pPr>
            <w:r>
              <w:rPr>
                <w:rFonts w:hint="eastAsia" w:ascii="宋体" w:hAnsi="宋体" w:eastAsia="宋体" w:cs="宋体"/>
                <w:snapToGrid w:val="0"/>
                <w:color w:val="auto"/>
                <w:spacing w:val="-3"/>
                <w:kern w:val="0"/>
                <w:sz w:val="21"/>
                <w:szCs w:val="21"/>
                <w:highlight w:val="none"/>
              </w:rPr>
              <w:t>100.0 分）</w:t>
            </w:r>
          </w:p>
        </w:tc>
        <w:tc>
          <w:tcPr>
            <w:tcW w:w="6384" w:type="dxa"/>
            <w:noWrap w:val="0"/>
            <w:vAlign w:val="top"/>
          </w:tcPr>
          <w:p>
            <w:pPr>
              <w:pStyle w:val="13"/>
              <w:spacing w:before="4" w:line="360" w:lineRule="auto"/>
              <w:rPr>
                <w:color w:val="auto"/>
                <w:sz w:val="21"/>
                <w:szCs w:val="21"/>
                <w:highlight w:val="none"/>
              </w:rPr>
            </w:pPr>
          </w:p>
          <w:p>
            <w:pPr>
              <w:pStyle w:val="13"/>
              <w:spacing w:line="360" w:lineRule="auto"/>
              <w:ind w:left="108" w:leftChars="0"/>
              <w:rPr>
                <w:rFonts w:hint="eastAsia" w:ascii="宋体" w:hAnsi="宋体" w:eastAsia="宋体" w:cs="宋体"/>
                <w:color w:val="auto"/>
                <w:sz w:val="21"/>
                <w:szCs w:val="21"/>
                <w:highlight w:val="none"/>
              </w:rPr>
            </w:pPr>
            <w:r>
              <w:rPr>
                <w:color w:val="auto"/>
                <w:w w:val="95"/>
                <w:sz w:val="21"/>
                <w:szCs w:val="21"/>
                <w:highlight w:val="none"/>
              </w:rPr>
              <w:t>评标价：100.0</w:t>
            </w:r>
            <w:r>
              <w:rPr>
                <w:color w:val="auto"/>
                <w:spacing w:val="-9"/>
                <w:w w:val="95"/>
                <w:sz w:val="21"/>
                <w:szCs w:val="21"/>
                <w:highlight w:val="none"/>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noWrap w:val="0"/>
            <w:vAlign w:val="top"/>
          </w:tcPr>
          <w:p>
            <w:pPr>
              <w:pStyle w:val="13"/>
              <w:spacing w:line="360" w:lineRule="auto"/>
              <w:rPr>
                <w:rFonts w:hint="eastAsia" w:ascii="宋体" w:hAnsi="宋体" w:eastAsia="宋体" w:cs="宋体"/>
                <w:snapToGrid w:val="0"/>
                <w:color w:val="auto"/>
                <w:spacing w:val="-3"/>
                <w:kern w:val="0"/>
                <w:sz w:val="21"/>
                <w:szCs w:val="21"/>
                <w:highlight w:val="none"/>
              </w:rPr>
            </w:pPr>
          </w:p>
          <w:p>
            <w:pPr>
              <w:pStyle w:val="13"/>
              <w:spacing w:line="360" w:lineRule="auto"/>
              <w:rPr>
                <w:rFonts w:hint="eastAsia" w:ascii="宋体" w:hAnsi="宋体" w:eastAsia="宋体" w:cs="宋体"/>
                <w:snapToGrid w:val="0"/>
                <w:color w:val="auto"/>
                <w:spacing w:val="-3"/>
                <w:kern w:val="0"/>
                <w:sz w:val="21"/>
                <w:szCs w:val="21"/>
                <w:highlight w:val="none"/>
              </w:rPr>
            </w:pPr>
          </w:p>
          <w:p>
            <w:pPr>
              <w:pStyle w:val="13"/>
              <w:spacing w:line="360" w:lineRule="auto"/>
              <w:rPr>
                <w:rFonts w:hint="eastAsia" w:ascii="宋体" w:hAnsi="宋体" w:eastAsia="宋体" w:cs="宋体"/>
                <w:snapToGrid w:val="0"/>
                <w:color w:val="auto"/>
                <w:spacing w:val="-3"/>
                <w:kern w:val="0"/>
                <w:sz w:val="21"/>
                <w:szCs w:val="21"/>
                <w:highlight w:val="none"/>
              </w:rPr>
            </w:pPr>
          </w:p>
          <w:p>
            <w:pPr>
              <w:pStyle w:val="13"/>
              <w:spacing w:before="6" w:line="360" w:lineRule="auto"/>
              <w:rPr>
                <w:rFonts w:hint="eastAsia" w:ascii="宋体" w:hAnsi="宋体" w:eastAsia="宋体" w:cs="宋体"/>
                <w:snapToGrid w:val="0"/>
                <w:color w:val="auto"/>
                <w:spacing w:val="-3"/>
                <w:kern w:val="0"/>
                <w:sz w:val="21"/>
                <w:szCs w:val="21"/>
                <w:highlight w:val="none"/>
              </w:rPr>
            </w:pPr>
          </w:p>
          <w:p>
            <w:pPr>
              <w:pStyle w:val="13"/>
              <w:spacing w:line="360" w:lineRule="auto"/>
              <w:ind w:left="99" w:leftChars="0" w:right="97" w:rightChars="0"/>
              <w:jc w:val="center"/>
              <w:rPr>
                <w:rFonts w:hint="default" w:ascii="宋体" w:hAnsi="宋体" w:eastAsia="宋体" w:cs="宋体"/>
                <w:snapToGrid w:val="0"/>
                <w:color w:val="auto"/>
                <w:spacing w:val="-3"/>
                <w:kern w:val="0"/>
                <w:sz w:val="21"/>
                <w:szCs w:val="21"/>
                <w:highlight w:val="none"/>
                <w:lang w:val="en-US" w:eastAsia="zh-CN"/>
              </w:rPr>
            </w:pPr>
            <w:r>
              <w:rPr>
                <w:rFonts w:hint="eastAsia" w:ascii="宋体" w:hAnsi="宋体" w:eastAsia="宋体" w:cs="宋体"/>
                <w:snapToGrid w:val="0"/>
                <w:color w:val="auto"/>
                <w:spacing w:val="-3"/>
                <w:kern w:val="0"/>
                <w:sz w:val="21"/>
                <w:szCs w:val="21"/>
                <w:highlight w:val="none"/>
              </w:rPr>
              <w:t>2.2.2</w:t>
            </w:r>
          </w:p>
        </w:tc>
        <w:tc>
          <w:tcPr>
            <w:tcW w:w="1501" w:type="dxa"/>
            <w:noWrap w:val="0"/>
            <w:vAlign w:val="top"/>
          </w:tcPr>
          <w:p>
            <w:pPr>
              <w:pStyle w:val="13"/>
              <w:spacing w:line="360" w:lineRule="auto"/>
              <w:rPr>
                <w:rFonts w:hint="eastAsia" w:ascii="宋体" w:hAnsi="宋体" w:eastAsia="宋体" w:cs="宋体"/>
                <w:snapToGrid w:val="0"/>
                <w:color w:val="auto"/>
                <w:spacing w:val="-3"/>
                <w:kern w:val="0"/>
                <w:sz w:val="21"/>
                <w:szCs w:val="21"/>
                <w:highlight w:val="none"/>
              </w:rPr>
            </w:pPr>
          </w:p>
          <w:p>
            <w:pPr>
              <w:pStyle w:val="13"/>
              <w:spacing w:line="360" w:lineRule="auto"/>
              <w:rPr>
                <w:rFonts w:hint="eastAsia" w:ascii="宋体" w:hAnsi="宋体" w:eastAsia="宋体" w:cs="宋体"/>
                <w:snapToGrid w:val="0"/>
                <w:color w:val="auto"/>
                <w:spacing w:val="-3"/>
                <w:kern w:val="0"/>
                <w:sz w:val="21"/>
                <w:szCs w:val="21"/>
                <w:highlight w:val="none"/>
              </w:rPr>
            </w:pPr>
          </w:p>
          <w:p>
            <w:pPr>
              <w:pStyle w:val="13"/>
              <w:spacing w:before="1" w:line="360" w:lineRule="auto"/>
              <w:rPr>
                <w:rFonts w:hint="eastAsia" w:ascii="宋体" w:hAnsi="宋体" w:eastAsia="宋体" w:cs="宋体"/>
                <w:snapToGrid w:val="0"/>
                <w:color w:val="auto"/>
                <w:spacing w:val="-3"/>
                <w:kern w:val="0"/>
                <w:sz w:val="21"/>
                <w:szCs w:val="21"/>
                <w:highlight w:val="none"/>
              </w:rPr>
            </w:pPr>
          </w:p>
          <w:p>
            <w:pPr>
              <w:pStyle w:val="13"/>
              <w:spacing w:line="360" w:lineRule="auto"/>
              <w:ind w:left="191" w:leftChars="0" w:right="186" w:rightChars="0"/>
              <w:jc w:val="center"/>
              <w:rPr>
                <w:rFonts w:hint="eastAsia" w:ascii="宋体" w:hAnsi="宋体" w:eastAsia="宋体" w:cs="宋体"/>
                <w:snapToGrid w:val="0"/>
                <w:color w:val="auto"/>
                <w:spacing w:val="-3"/>
                <w:kern w:val="0"/>
                <w:sz w:val="21"/>
                <w:szCs w:val="21"/>
                <w:highlight w:val="none"/>
              </w:rPr>
            </w:pPr>
            <w:r>
              <w:rPr>
                <w:rFonts w:hint="eastAsia" w:ascii="宋体" w:hAnsi="宋体" w:eastAsia="宋体" w:cs="宋体"/>
                <w:snapToGrid w:val="0"/>
                <w:color w:val="auto"/>
                <w:spacing w:val="-3"/>
                <w:kern w:val="0"/>
                <w:sz w:val="21"/>
                <w:szCs w:val="21"/>
                <w:highlight w:val="none"/>
              </w:rPr>
              <w:t>评标基准价计算方法</w:t>
            </w:r>
          </w:p>
        </w:tc>
        <w:tc>
          <w:tcPr>
            <w:tcW w:w="638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人设有最高限价，目的是防止哄抬标价，投标价超出此最高限价的，招标人将视为超出招标人的支付能力，评标基准价计算时不把这样的投标价计算在内，并且其投标报价得分为零分，投标文件其他部分不再进行评审。</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评标基准价的计算：</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在开标现场，招标人将当场计算并宣布评标基准价。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评标价的确定：评标价=投标函文字报价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评标价平均值的计算：</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除按第二章“投标人须知”第 5.2.4 项规定开标现场被宣布为不进入评标基准价计算的投标报价之外，所有通过第一信封评审的投标人评标价去掉一个最高值和一个最低值后的算术平均值即为评标价平均值（如果参与评标价平均值计算的有效投标人少于 5 家时，则计算评标价平均值时不去掉最高值和最低值）。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 评标基准价的确定：</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招标人设置评标基准价系数为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，开标现场由投标人代表随机抽取，评标价平均值乘以现场抽取的评标基准价系数作为评标基准价。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在评标过程中，评标委员会应对招标人计算的评标基准价进行复核，存在计算错 误的应予以修正并在评标报告中作出说明。除此之外，评标基准价在整个评标期间 保持不变，不随任何因素发生变化。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noWrap w:val="0"/>
            <w:vAlign w:val="top"/>
          </w:tcPr>
          <w:p>
            <w:pPr>
              <w:pStyle w:val="13"/>
              <w:spacing w:before="5" w:line="360" w:lineRule="auto"/>
              <w:rPr>
                <w:color w:val="auto"/>
                <w:sz w:val="21"/>
                <w:szCs w:val="21"/>
                <w:highlight w:val="none"/>
              </w:rPr>
            </w:pPr>
          </w:p>
          <w:p>
            <w:pPr>
              <w:pStyle w:val="13"/>
              <w:spacing w:line="360" w:lineRule="auto"/>
              <w:ind w:left="119" w:leftChars="0"/>
              <w:jc w:val="center"/>
              <w:rPr>
                <w:color w:val="auto"/>
                <w:sz w:val="21"/>
                <w:szCs w:val="21"/>
                <w:highlight w:val="none"/>
              </w:rPr>
            </w:pPr>
            <w:r>
              <w:rPr>
                <w:color w:val="auto"/>
                <w:sz w:val="21"/>
                <w:szCs w:val="21"/>
                <w:highlight w:val="none"/>
              </w:rPr>
              <w:t>2.2.3</w:t>
            </w:r>
          </w:p>
        </w:tc>
        <w:tc>
          <w:tcPr>
            <w:tcW w:w="1501" w:type="dxa"/>
            <w:noWrap w:val="0"/>
            <w:vAlign w:val="top"/>
          </w:tcPr>
          <w:p>
            <w:pPr>
              <w:pStyle w:val="13"/>
              <w:spacing w:before="103" w:line="360" w:lineRule="auto"/>
              <w:ind w:left="191" w:leftChars="0" w:right="186" w:rightChars="0"/>
              <w:jc w:val="both"/>
              <w:rPr>
                <w:color w:val="auto"/>
                <w:spacing w:val="-2"/>
                <w:sz w:val="21"/>
                <w:szCs w:val="21"/>
                <w:highlight w:val="none"/>
              </w:rPr>
            </w:pPr>
            <w:r>
              <w:rPr>
                <w:color w:val="auto"/>
                <w:spacing w:val="-2"/>
                <w:sz w:val="21"/>
                <w:szCs w:val="21"/>
                <w:highlight w:val="none"/>
              </w:rPr>
              <w:t>评标价的偏差率计</w:t>
            </w:r>
            <w:r>
              <w:rPr>
                <w:color w:val="auto"/>
                <w:sz w:val="21"/>
                <w:szCs w:val="21"/>
                <w:highlight w:val="none"/>
              </w:rPr>
              <w:t>算公式</w:t>
            </w:r>
          </w:p>
        </w:tc>
        <w:tc>
          <w:tcPr>
            <w:tcW w:w="6384" w:type="dxa"/>
            <w:noWrap w:val="0"/>
            <w:vAlign w:val="top"/>
          </w:tcPr>
          <w:p>
            <w:pPr>
              <w:pStyle w:val="13"/>
              <w:spacing w:before="9" w:line="360" w:lineRule="auto"/>
              <w:rPr>
                <w:rFonts w:hint="eastAsia" w:ascii="宋体" w:hAnsi="宋体" w:eastAsia="宋体" w:cs="宋体"/>
                <w:snapToGrid w:val="0"/>
                <w:color w:val="auto"/>
                <w:kern w:val="0"/>
                <w:sz w:val="21"/>
                <w:szCs w:val="21"/>
                <w:highlight w:val="none"/>
                <w:lang w:eastAsia="zh-CN"/>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color w:val="auto"/>
                <w:w w:val="95"/>
                <w:sz w:val="21"/>
                <w:szCs w:val="21"/>
                <w:highlight w:val="none"/>
              </w:rPr>
            </w:pPr>
            <w:r>
              <w:rPr>
                <w:rFonts w:hint="eastAsia" w:ascii="宋体" w:hAnsi="宋体" w:eastAsia="宋体" w:cs="宋体"/>
                <w:snapToGrid w:val="0"/>
                <w:color w:val="auto"/>
                <w:kern w:val="0"/>
                <w:sz w:val="21"/>
                <w:szCs w:val="21"/>
                <w:highlight w:val="none"/>
                <w:lang w:eastAsia="zh-CN"/>
              </w:rPr>
              <w:t>偏差率=100%×（投标人评标价－评标基准价）/评标基准价偏差率保留 2 位小数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013" w:type="dxa"/>
            <w:noWrap w:val="0"/>
            <w:vAlign w:val="center"/>
          </w:tcPr>
          <w:p>
            <w:pPr>
              <w:pStyle w:val="13"/>
              <w:spacing w:line="360" w:lineRule="auto"/>
              <w:jc w:val="center"/>
              <w:rPr>
                <w:rFonts w:hint="eastAsia" w:ascii="宋体" w:hAnsi="宋体" w:eastAsia="宋体" w:cs="宋体"/>
                <w:snapToGrid w:val="0"/>
                <w:color w:val="auto"/>
                <w:spacing w:val="-3"/>
                <w:kern w:val="0"/>
                <w:sz w:val="21"/>
                <w:szCs w:val="21"/>
                <w:highlight w:val="none"/>
              </w:rPr>
            </w:pPr>
            <w:r>
              <w:rPr>
                <w:rFonts w:hint="eastAsia" w:ascii="宋体" w:hAnsi="宋体" w:eastAsia="宋体" w:cs="宋体"/>
                <w:snapToGrid w:val="0"/>
                <w:color w:val="auto"/>
                <w:spacing w:val="-3"/>
                <w:kern w:val="0"/>
                <w:sz w:val="21"/>
                <w:szCs w:val="21"/>
                <w:highlight w:val="none"/>
              </w:rPr>
              <w:t>条款号</w:t>
            </w:r>
          </w:p>
        </w:tc>
        <w:tc>
          <w:tcPr>
            <w:tcW w:w="1501" w:type="dxa"/>
            <w:noWrap w:val="0"/>
            <w:vAlign w:val="center"/>
          </w:tcPr>
          <w:p>
            <w:pPr>
              <w:pStyle w:val="13"/>
              <w:spacing w:line="360" w:lineRule="auto"/>
              <w:jc w:val="center"/>
              <w:rPr>
                <w:rFonts w:hint="eastAsia" w:ascii="宋体" w:hAnsi="宋体" w:eastAsia="宋体" w:cs="宋体"/>
                <w:snapToGrid w:val="0"/>
                <w:color w:val="auto"/>
                <w:spacing w:val="-3"/>
                <w:kern w:val="0"/>
                <w:sz w:val="21"/>
                <w:szCs w:val="21"/>
                <w:highlight w:val="none"/>
              </w:rPr>
            </w:pPr>
            <w:r>
              <w:rPr>
                <w:rFonts w:hint="eastAsia" w:ascii="宋体" w:hAnsi="宋体" w:eastAsia="宋体" w:cs="宋体"/>
                <w:snapToGrid w:val="0"/>
                <w:color w:val="auto"/>
                <w:spacing w:val="-3"/>
                <w:kern w:val="0"/>
                <w:sz w:val="21"/>
                <w:szCs w:val="21"/>
                <w:highlight w:val="none"/>
              </w:rPr>
              <w:t>评分因素</w:t>
            </w:r>
          </w:p>
        </w:tc>
        <w:tc>
          <w:tcPr>
            <w:tcW w:w="6384" w:type="dxa"/>
            <w:noWrap w:val="0"/>
            <w:vAlign w:val="center"/>
          </w:tcPr>
          <w:p>
            <w:pPr>
              <w:pStyle w:val="13"/>
              <w:spacing w:line="360" w:lineRule="auto"/>
              <w:jc w:val="center"/>
              <w:rPr>
                <w:rFonts w:hint="eastAsia" w:ascii="宋体" w:hAnsi="宋体" w:eastAsia="宋体" w:cs="宋体"/>
                <w:snapToGrid w:val="0"/>
                <w:color w:val="auto"/>
                <w:spacing w:val="-3"/>
                <w:kern w:val="0"/>
                <w:sz w:val="21"/>
                <w:szCs w:val="21"/>
                <w:highlight w:val="none"/>
              </w:rPr>
            </w:pPr>
            <w:r>
              <w:rPr>
                <w:rFonts w:hint="eastAsia" w:ascii="宋体" w:hAnsi="宋体" w:eastAsia="宋体" w:cs="宋体"/>
                <w:snapToGrid w:val="0"/>
                <w:color w:val="auto"/>
                <w:spacing w:val="-3"/>
                <w:kern w:val="0"/>
                <w:sz w:val="21"/>
                <w:szCs w:val="21"/>
                <w:highlight w:val="no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noWrap w:val="0"/>
            <w:vAlign w:val="top"/>
          </w:tcPr>
          <w:p>
            <w:pPr>
              <w:pStyle w:val="13"/>
              <w:spacing w:line="360" w:lineRule="auto"/>
              <w:rPr>
                <w:color w:val="auto"/>
                <w:sz w:val="21"/>
                <w:szCs w:val="21"/>
                <w:highlight w:val="none"/>
              </w:rPr>
            </w:pPr>
          </w:p>
          <w:p>
            <w:pPr>
              <w:pStyle w:val="13"/>
              <w:spacing w:line="360" w:lineRule="auto"/>
              <w:rPr>
                <w:color w:val="auto"/>
                <w:sz w:val="21"/>
                <w:szCs w:val="21"/>
                <w:highlight w:val="none"/>
              </w:rPr>
            </w:pPr>
          </w:p>
          <w:p>
            <w:pPr>
              <w:pStyle w:val="13"/>
              <w:spacing w:line="360" w:lineRule="auto"/>
              <w:rPr>
                <w:color w:val="auto"/>
                <w:sz w:val="21"/>
                <w:szCs w:val="21"/>
                <w:highlight w:val="none"/>
              </w:rPr>
            </w:pPr>
          </w:p>
          <w:p>
            <w:pPr>
              <w:pStyle w:val="13"/>
              <w:spacing w:before="5" w:line="360" w:lineRule="auto"/>
              <w:rPr>
                <w:color w:val="auto"/>
                <w:sz w:val="21"/>
                <w:szCs w:val="21"/>
                <w:highlight w:val="none"/>
              </w:rPr>
            </w:pPr>
          </w:p>
          <w:p>
            <w:pPr>
              <w:pStyle w:val="13"/>
              <w:spacing w:line="360" w:lineRule="auto"/>
              <w:ind w:left="87" w:leftChars="0" w:right="84" w:rightChars="0"/>
              <w:jc w:val="center"/>
              <w:rPr>
                <w:color w:val="auto"/>
                <w:w w:val="65"/>
                <w:sz w:val="21"/>
                <w:szCs w:val="21"/>
                <w:highlight w:val="none"/>
              </w:rPr>
            </w:pPr>
            <w:r>
              <w:rPr>
                <w:color w:val="auto"/>
                <w:sz w:val="21"/>
                <w:szCs w:val="21"/>
                <w:highlight w:val="none"/>
              </w:rPr>
              <w:t>2.2.4</w:t>
            </w:r>
          </w:p>
        </w:tc>
        <w:tc>
          <w:tcPr>
            <w:tcW w:w="1501" w:type="dxa"/>
            <w:noWrap w:val="0"/>
            <w:vAlign w:val="top"/>
          </w:tcPr>
          <w:p>
            <w:pPr>
              <w:pStyle w:val="13"/>
              <w:spacing w:line="360" w:lineRule="auto"/>
              <w:rPr>
                <w:color w:val="auto"/>
                <w:sz w:val="21"/>
                <w:szCs w:val="21"/>
                <w:highlight w:val="none"/>
              </w:rPr>
            </w:pPr>
          </w:p>
          <w:p>
            <w:pPr>
              <w:pStyle w:val="13"/>
              <w:spacing w:line="360" w:lineRule="auto"/>
              <w:rPr>
                <w:color w:val="auto"/>
                <w:sz w:val="21"/>
                <w:szCs w:val="21"/>
                <w:highlight w:val="none"/>
              </w:rPr>
            </w:pPr>
          </w:p>
          <w:p>
            <w:pPr>
              <w:pStyle w:val="13"/>
              <w:spacing w:before="135" w:line="360" w:lineRule="auto"/>
              <w:ind w:left="161" w:leftChars="0" w:right="158" w:rightChars="0"/>
              <w:jc w:val="center"/>
              <w:rPr>
                <w:color w:val="auto"/>
                <w:spacing w:val="-2"/>
                <w:sz w:val="21"/>
                <w:szCs w:val="21"/>
                <w:highlight w:val="none"/>
              </w:rPr>
            </w:pPr>
            <w:r>
              <w:rPr>
                <w:color w:val="auto"/>
                <w:spacing w:val="-4"/>
                <w:sz w:val="21"/>
                <w:szCs w:val="21"/>
                <w:highlight w:val="none"/>
              </w:rPr>
              <w:t>第二信封评标</w:t>
            </w:r>
            <w:r>
              <w:rPr>
                <w:color w:val="auto"/>
                <w:sz w:val="21"/>
                <w:szCs w:val="21"/>
                <w:highlight w:val="none"/>
              </w:rPr>
              <w:t>价</w:t>
            </w:r>
          </w:p>
        </w:tc>
        <w:tc>
          <w:tcPr>
            <w:tcW w:w="6384" w:type="dxa"/>
            <w:noWrap w:val="0"/>
            <w:vAlign w:val="top"/>
          </w:tcPr>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 xml:space="preserve">评标价得分计算公式示例: </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 xml:space="preserve">(1)如果投标人的评标价&gt;评标基准价,则评标价得分=100-偏差率×100×E1； </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 xml:space="preserve">(2)如果投标的人评标价≤评标基准价,则评标价得分=100+偏差率×100×E2； </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其中:E1 是评标价每高于评标基准价1个百分点的扣分值；E2 是评标价每低于评标基准价1个百分点的扣分值；招标人可依据招标项目具体特点和实际需要设置E1、E2，但E1大于E2。</w:t>
            </w:r>
          </w:p>
          <w:p>
            <w:pPr>
              <w:pStyle w:val="13"/>
              <w:spacing w:before="9" w:line="360" w:lineRule="auto"/>
              <w:rPr>
                <w:color w:val="auto"/>
                <w:sz w:val="21"/>
                <w:szCs w:val="21"/>
                <w:highlight w:val="none"/>
              </w:rPr>
            </w:pPr>
            <w:r>
              <w:rPr>
                <w:rFonts w:hint="eastAsia" w:ascii="宋体" w:hAnsi="宋体" w:eastAsia="宋体" w:cs="宋体"/>
                <w:snapToGrid w:val="0"/>
                <w:color w:val="auto"/>
                <w:kern w:val="0"/>
                <w:sz w:val="21"/>
                <w:szCs w:val="21"/>
                <w:highlight w:val="none"/>
                <w:lang w:eastAsia="zh-CN"/>
              </w:rPr>
              <w:t>本项目E1=2、E2=1。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98" w:type="dxa"/>
            <w:gridSpan w:val="3"/>
            <w:noWrap w:val="0"/>
            <w:vAlign w:val="top"/>
          </w:tcPr>
          <w:p>
            <w:pPr>
              <w:pStyle w:val="13"/>
              <w:spacing w:line="360" w:lineRule="auto"/>
              <w:ind w:left="317" w:leftChars="0"/>
              <w:rPr>
                <w:rFonts w:hint="eastAsia"/>
                <w:color w:val="auto"/>
                <w:sz w:val="21"/>
                <w:szCs w:val="21"/>
                <w:highlight w:val="none"/>
              </w:rPr>
            </w:pPr>
            <w:r>
              <w:rPr>
                <w:color w:val="auto"/>
                <w:sz w:val="21"/>
                <w:szCs w:val="21"/>
                <w:highlight w:val="none"/>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013" w:type="dxa"/>
            <w:noWrap w:val="0"/>
            <w:vAlign w:val="center"/>
          </w:tcPr>
          <w:p>
            <w:pPr>
              <w:pStyle w:val="13"/>
              <w:spacing w:line="360" w:lineRule="auto"/>
              <w:jc w:val="center"/>
              <w:rPr>
                <w:rFonts w:hint="eastAsia" w:ascii="宋体" w:hAnsi="宋体" w:eastAsia="宋体" w:cs="宋体"/>
                <w:snapToGrid w:val="0"/>
                <w:color w:val="auto"/>
                <w:spacing w:val="-3"/>
                <w:kern w:val="0"/>
                <w:sz w:val="21"/>
                <w:szCs w:val="21"/>
                <w:highlight w:val="none"/>
                <w:lang w:val="en-US" w:eastAsia="zh-CN"/>
              </w:rPr>
            </w:pPr>
            <w:r>
              <w:rPr>
                <w:rFonts w:hint="eastAsia" w:ascii="宋体" w:hAnsi="宋体" w:eastAsia="宋体" w:cs="宋体"/>
                <w:snapToGrid w:val="0"/>
                <w:color w:val="auto"/>
                <w:spacing w:val="-3"/>
                <w:kern w:val="0"/>
                <w:sz w:val="21"/>
                <w:szCs w:val="21"/>
                <w:highlight w:val="none"/>
              </w:rPr>
              <w:t>条款号</w:t>
            </w:r>
          </w:p>
        </w:tc>
        <w:tc>
          <w:tcPr>
            <w:tcW w:w="7885" w:type="dxa"/>
            <w:gridSpan w:val="2"/>
            <w:noWrap w:val="0"/>
            <w:vAlign w:val="center"/>
          </w:tcPr>
          <w:p>
            <w:pPr>
              <w:pStyle w:val="13"/>
              <w:spacing w:line="360" w:lineRule="auto"/>
              <w:jc w:val="center"/>
              <w:rPr>
                <w:rFonts w:hint="eastAsia" w:ascii="宋体" w:hAnsi="宋体" w:eastAsia="宋体" w:cs="宋体"/>
                <w:snapToGrid w:val="0"/>
                <w:color w:val="auto"/>
                <w:spacing w:val="-3"/>
                <w:kern w:val="0"/>
                <w:sz w:val="21"/>
                <w:szCs w:val="21"/>
                <w:highlight w:val="none"/>
                <w:lang w:eastAsia="zh-CN"/>
              </w:rPr>
            </w:pPr>
            <w:r>
              <w:rPr>
                <w:rFonts w:hint="eastAsia" w:ascii="宋体" w:hAnsi="宋体" w:eastAsia="宋体" w:cs="宋体"/>
                <w:snapToGrid w:val="0"/>
                <w:color w:val="auto"/>
                <w:spacing w:val="-3"/>
                <w:kern w:val="0"/>
                <w:sz w:val="21"/>
                <w:szCs w:val="21"/>
                <w:highlight w:val="no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noWrap w:val="0"/>
            <w:vAlign w:val="center"/>
          </w:tcPr>
          <w:p>
            <w:pPr>
              <w:spacing w:line="204" w:lineRule="auto"/>
              <w:ind w:firstLine="157" w:firstLineChars="0"/>
              <w:jc w:val="both"/>
              <w:rPr>
                <w:rFonts w:hint="eastAsia" w:ascii="宋体" w:hAnsi="宋体" w:eastAsia="宋体" w:cs="宋体"/>
                <w:color w:val="auto"/>
                <w:spacing w:val="-1"/>
                <w:sz w:val="21"/>
                <w:szCs w:val="21"/>
                <w:highlight w:val="none"/>
                <w:lang w:val="en-US" w:eastAsia="zh-CN"/>
              </w:rPr>
            </w:pPr>
          </w:p>
        </w:tc>
        <w:tc>
          <w:tcPr>
            <w:tcW w:w="7885" w:type="dxa"/>
            <w:gridSpan w:val="2"/>
            <w:noWrap w:val="0"/>
            <w:vAlign w:val="center"/>
          </w:tcPr>
          <w:p>
            <w:pPr>
              <w:pStyle w:val="13"/>
              <w:numPr>
                <w:ilvl w:val="0"/>
                <w:numId w:val="2"/>
              </w:numPr>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评标办法</w:t>
            </w:r>
          </w:p>
          <w:p>
            <w:pPr>
              <w:pStyle w:val="13"/>
              <w:numPr>
                <w:ilvl w:val="0"/>
                <w:numId w:val="0"/>
              </w:numPr>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本条细化为：</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本次评标采用双信封形式合理低价法。</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1.1</w:t>
            </w:r>
            <w:r>
              <w:rPr>
                <w:rFonts w:hint="eastAsia" w:ascii="宋体" w:hAnsi="宋体" w:eastAsia="宋体" w:cs="宋体"/>
                <w:snapToGrid w:val="0"/>
                <w:color w:val="auto"/>
                <w:kern w:val="0"/>
                <w:sz w:val="21"/>
                <w:szCs w:val="21"/>
                <w:highlight w:val="none"/>
                <w:lang w:eastAsia="zh-CN"/>
              </w:rPr>
              <w:t>评标委员会首先对投标文件第一个信封（商务与技术文件）进行初步评审（形式评审与响应性评审、资格评审），通过第一个信封初步评审后的投标文件方可进入第二个信封的开标。</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1.2</w:t>
            </w:r>
            <w:r>
              <w:rPr>
                <w:rFonts w:hint="eastAsia" w:ascii="宋体" w:hAnsi="宋体" w:eastAsia="宋体" w:cs="宋体"/>
                <w:snapToGrid w:val="0"/>
                <w:color w:val="auto"/>
                <w:kern w:val="0"/>
                <w:sz w:val="21"/>
                <w:szCs w:val="21"/>
                <w:highlight w:val="none"/>
                <w:lang w:eastAsia="zh-CN"/>
              </w:rPr>
              <w:t>第二个信封的开标在监督部门的监督下进行，未通过第一个信封初步评审投标人的第二个信封电子文件不予读取。</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1.3</w:t>
            </w:r>
            <w:r>
              <w:rPr>
                <w:rFonts w:hint="eastAsia" w:ascii="宋体" w:hAnsi="宋体" w:eastAsia="宋体" w:cs="宋体"/>
                <w:snapToGrid w:val="0"/>
                <w:color w:val="auto"/>
                <w:kern w:val="0"/>
                <w:sz w:val="21"/>
                <w:szCs w:val="21"/>
                <w:highlight w:val="none"/>
                <w:lang w:eastAsia="zh-CN"/>
              </w:rPr>
              <w:t>评标委员会对投标文件第二个信封进行形式和响应性评审，并按照本章第 2.2 款规定的评分标准进行评分，然后按最终得分（最终得分即评标价得分加信用加分）由高到低顺序确定中标候选人推荐排序，但投标报价低于其成本的除外。</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当两家及以上投标人在标段中的最终得分相等时，若评标价不相等，以评标价较低者优先；当两家及以上投标人在标段中的最终得分相等且评标价也相等时，若各投标人工程量清单子目单价也相同时，视为串标，其投标均被否决。</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1.4</w:t>
            </w:r>
            <w:r>
              <w:rPr>
                <w:rFonts w:hint="eastAsia" w:ascii="宋体" w:hAnsi="宋体" w:eastAsia="宋体" w:cs="宋体"/>
                <w:snapToGrid w:val="0"/>
                <w:color w:val="auto"/>
                <w:kern w:val="0"/>
                <w:sz w:val="21"/>
                <w:szCs w:val="21"/>
                <w:highlight w:val="none"/>
                <w:lang w:eastAsia="zh-CN"/>
              </w:rPr>
              <w:t>评标委员会将按照本条第1条中确定的先后排序依次推荐第一、第二、第三中标候选人。</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1.5</w:t>
            </w:r>
            <w:r>
              <w:rPr>
                <w:rFonts w:hint="eastAsia" w:ascii="宋体" w:hAnsi="宋体" w:eastAsia="宋体" w:cs="宋体"/>
                <w:snapToGrid w:val="0"/>
                <w:color w:val="auto"/>
                <w:kern w:val="0"/>
                <w:sz w:val="21"/>
                <w:szCs w:val="21"/>
                <w:highlight w:val="none"/>
                <w:lang w:eastAsia="zh-CN"/>
              </w:rPr>
              <w:t>通过第一个信封评审的投标人在3个及以上的，招标人将按规定的程序进行第二个信封开标；在对第二个信封进行评审后，有效投标不足3个使得投标明显缺乏竞争的，评标委员会可以否决全部投标。评标委员会未否决全部投标的，应当在评标报告中阐明理由并推荐中标候选人。</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1.6</w:t>
            </w:r>
            <w:r>
              <w:rPr>
                <w:rFonts w:hint="eastAsia" w:ascii="宋体" w:hAnsi="宋体" w:eastAsia="宋体" w:cs="宋体"/>
                <w:snapToGrid w:val="0"/>
                <w:color w:val="auto"/>
                <w:kern w:val="0"/>
                <w:sz w:val="21"/>
                <w:szCs w:val="21"/>
                <w:highlight w:val="none"/>
                <w:lang w:eastAsia="zh-CN"/>
              </w:rPr>
              <w:t>在评审过程中评标委员会认为投标人有围标串标、哄抬或压低标价谋取中标的嫌疑，评标委员会有权做出废标或重新招标。</w:t>
            </w:r>
          </w:p>
          <w:p>
            <w:pPr>
              <w:pStyle w:val="13"/>
              <w:spacing w:before="9" w:line="360" w:lineRule="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eastAsia="zh-CN"/>
              </w:rPr>
              <w:t>通过第一个信封评审的投标人少于3个的，评标委员会可以否决全部投标；未否决全部投标的，评标委员会应当在评标报告中阐明理由，招标人将按规定的程序进行第二个信封（报价文件）开标，但评标委员会在进行第二个信封评审时仍有权否决全部投标；评标委员会未在第二个信封评审时否决全部投标的，应当在评标报告中阐明理由并推荐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noWrap w:val="0"/>
            <w:vAlign w:val="center"/>
          </w:tcPr>
          <w:p>
            <w:pPr>
              <w:spacing w:line="204" w:lineRule="auto"/>
              <w:ind w:firstLine="157" w:firstLineChars="0"/>
              <w:jc w:val="both"/>
              <w:rPr>
                <w:rFonts w:hint="eastAsia" w:ascii="宋体" w:hAnsi="宋体" w:eastAsia="宋体" w:cs="宋体"/>
                <w:color w:val="auto"/>
                <w:spacing w:val="-1"/>
                <w:sz w:val="21"/>
                <w:szCs w:val="21"/>
                <w:highlight w:val="none"/>
                <w:lang w:val="en-US" w:eastAsia="zh-CN"/>
              </w:rPr>
            </w:pPr>
          </w:p>
        </w:tc>
        <w:tc>
          <w:tcPr>
            <w:tcW w:w="7885" w:type="dxa"/>
            <w:gridSpan w:val="2"/>
            <w:noWrap w:val="0"/>
            <w:vAlign w:val="center"/>
          </w:tcPr>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3.5.2 条细化为：</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3.5.2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（1）有下列情形之一的，属于投标人相互串通投标： a.投标人之间协商投标报价等投标文件的实质性内容； b.投标人之间约定中标人；</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c.投标人之间约定部分投标人放弃投标或者中标；</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 xml:space="preserve">d.属于同一集团、协会、商会等组织成员的投标人按照该组织要求协同投标； </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e.投标人之间为谋取中标或排斥特定投标人而采取的其他联合行动。</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（2）有下列情形之一的，视为投标人相互串通投标： a.不同投标人的投标文件由同一单位或者个人编制； b.不同投标人委托同一单位或者个人办理投标事宜；</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c.不同投标人的投标文件载明的项目管理成员为同一人；</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d.不同投标人的投标文件异常一致或者投标报价呈规律性差异； e.不同投标人的投标文件相互混装；</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f.不同投标人的投标保证金从同一单位或者个人的账户转出。 g.不同投标人编制的投标文件存在两处以上相同错误的；</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h.不同投标人的投标文件由同一投标人编制或者打印、复印的； i.不同投标人的投标文件由同一投标人送达或者分发的；</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参加投标活动的人员为同一项目其他投标人的在职人员的；</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不同投标人的法定代表人或者委托代理人、项目负责人、项目总监等人员有在同一单位缴纳社会保险的；</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不同投标人的投标保证金由同一自然人、法人、其他组织账户或者同一账户资金缴纳，或者不同投标人的投标保证金从各自的基本账户转出，但所需资金来自同一自然人、法人或者其他组织账户的；</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不同投标人参与同一项目招标投标活动中，使用的计算机网卡 MAC 地址、CPU序列号、硬盘序列号、加密锁序列号等信息相同的。</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（3）有下列情形之一的，属于招标人与投标人串通投标：</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a.招标人在开标前开启投标文件并将有关信息泄露给其他投标人；</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b.招标人直接或者间接向投标人泄露标底、评标委员会成员等信息； c.招标人明示或者暗示投标人压低或者抬高投标报价；</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招标人授意投标人撤换、修改投标文件；</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招标人明示或者暗示投标人为特定投标人中标提供方便；</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招标人与投标人为谋求特定投标人中标而采取的其他串通行为。</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（4）有下列情形之一的，应当视为招标人、招标代理机构、评标委员会成员与投标人串通投标：</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招标人、招标代理机构故意损毁、篡改特定的投标文件内容，或者在资格预审时损毁、篡改特定的资格预审申请文件内容的；</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招标人、招标代理机构、评标委员会成员直接或者间接向投标人或者投标人的利害关系人泄漏获取资格预审文件或者通过资格预审的申请人的名称、数量的；或者泄漏获取招标文件的潜在投标人的名称、数量的；</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招标人、招标代理机构、评标委员会成员直接或者间接向投标人或者投标人的利害关系人泄漏资格审查或者评标情况的；</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招标人、招标代理机构以胁迫、劝退、利诱等方式，使特定投标人以外的其他投标人放弃投标或者中标人放弃中标的；</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在依法必须进行招标的项目的中标人确定前，投标人已经开展该项目招标范围内的工作  的。</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（5）投标人有下列情形之一的，属于弄虚作假的行为：</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a.使用通过受让或者租借等方式获取的资格、资质证书投标； b.使用伪造、变造的许可证件；</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c.提供虚假的财务状况或者业绩、荣誉；</w:t>
            </w:r>
          </w:p>
          <w:p>
            <w:pPr>
              <w:pStyle w:val="13"/>
              <w:spacing w:before="9"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d.提供虚假的项目负责人或主要技术人员简历、劳动关系证明； e.提供虚假的信用状况；</w:t>
            </w:r>
          </w:p>
          <w:p>
            <w:pPr>
              <w:pStyle w:val="13"/>
              <w:spacing w:before="9" w:line="360" w:lineRule="auto"/>
              <w:rPr>
                <w:color w:val="auto"/>
                <w:highlight w:val="none"/>
              </w:rPr>
            </w:pPr>
            <w:r>
              <w:rPr>
                <w:rFonts w:hint="eastAsia" w:ascii="宋体" w:hAnsi="宋体" w:eastAsia="宋体" w:cs="宋体"/>
                <w:snapToGrid w:val="0"/>
                <w:color w:val="auto"/>
                <w:kern w:val="0"/>
                <w:sz w:val="21"/>
                <w:szCs w:val="21"/>
                <w:highlight w:val="none"/>
                <w:lang w:eastAsia="zh-CN"/>
              </w:rPr>
              <w:t>f.其他弄虚作假的行为。</w:t>
            </w:r>
          </w:p>
        </w:tc>
      </w:tr>
    </w:tbl>
    <w:p>
      <w:pPr>
        <w:pStyle w:val="6"/>
        <w:spacing w:before="12"/>
        <w:rPr>
          <w:sz w:val="15"/>
        </w:rPr>
      </w:pPr>
    </w:p>
    <w:p>
      <w:pPr>
        <w:pStyle w:val="6"/>
        <w:spacing w:before="70" w:line="364" w:lineRule="auto"/>
        <w:ind w:left="220" w:right="229" w:firstLine="314"/>
        <w:jc w:val="both"/>
        <w:rPr>
          <w:rFonts w:hint="eastAsia" w:ascii="宋体" w:hAnsi="宋体" w:eastAsia="宋体" w:cs="宋体"/>
          <w:sz w:val="21"/>
          <w:szCs w:val="21"/>
        </w:rPr>
      </w:pPr>
      <w:r>
        <w:rPr>
          <w:rFonts w:hint="eastAsia" w:ascii="宋体" w:hAnsi="宋体" w:eastAsia="宋体" w:cs="宋体"/>
          <w:w w:val="95"/>
          <w:sz w:val="21"/>
          <w:szCs w:val="21"/>
        </w:rPr>
        <w:t>“评标办法前附表”用于进一步明确正文中的未尽事宜，由招标人根据招标项目具体特点和实际需要编制和填写。评标办法前附表是对评标办法正文的补充和细化，应对照评标办法正文中同一编号的条</w:t>
      </w:r>
      <w:r>
        <w:rPr>
          <w:rFonts w:hint="eastAsia" w:ascii="宋体" w:hAnsi="宋体" w:eastAsia="宋体" w:cs="宋体"/>
          <w:sz w:val="21"/>
          <w:szCs w:val="21"/>
        </w:rPr>
        <w:t>款一起阅读和理解。如前附表与正文表述不一致时，以前附表的规定为准。</w:t>
      </w:r>
    </w:p>
    <w:p>
      <w:pPr>
        <w:pStyle w:val="5"/>
        <w:spacing w:before="3"/>
        <w:ind w:left="220"/>
        <w:rPr>
          <w:rFonts w:hint="eastAsia" w:ascii="宋体" w:hAnsi="宋体" w:eastAsia="宋体" w:cs="宋体"/>
          <w:sz w:val="21"/>
          <w:szCs w:val="21"/>
        </w:rPr>
      </w:pPr>
      <w:r>
        <w:rPr>
          <w:rFonts w:hint="eastAsia" w:ascii="宋体" w:hAnsi="宋体" w:eastAsia="宋体" w:cs="宋体"/>
          <w:sz w:val="21"/>
          <w:szCs w:val="21"/>
        </w:rPr>
        <w:t>正文内容</w:t>
      </w:r>
    </w:p>
    <w:p>
      <w:pPr>
        <w:pStyle w:val="5"/>
        <w:numPr>
          <w:ilvl w:val="0"/>
          <w:numId w:val="3"/>
        </w:numPr>
        <w:tabs>
          <w:tab w:val="left" w:pos="581"/>
        </w:tabs>
        <w:spacing w:before="160"/>
        <w:ind w:hanging="361"/>
        <w:rPr>
          <w:rFonts w:hint="eastAsia" w:ascii="宋体" w:hAnsi="宋体" w:eastAsia="宋体" w:cs="宋体"/>
          <w:sz w:val="21"/>
          <w:szCs w:val="21"/>
        </w:rPr>
      </w:pPr>
      <w:r>
        <w:rPr>
          <w:rFonts w:hint="eastAsia" w:ascii="宋体" w:hAnsi="宋体" w:eastAsia="宋体" w:cs="宋体"/>
          <w:sz w:val="21"/>
          <w:szCs w:val="21"/>
        </w:rPr>
        <w:t>评标方法</w:t>
      </w:r>
    </w:p>
    <w:p>
      <w:pPr>
        <w:pStyle w:val="6"/>
        <w:spacing w:before="160"/>
        <w:ind w:left="645"/>
        <w:rPr>
          <w:rFonts w:hint="eastAsia" w:ascii="宋体" w:hAnsi="宋体" w:eastAsia="宋体" w:cs="宋体"/>
          <w:sz w:val="21"/>
          <w:szCs w:val="21"/>
        </w:rPr>
      </w:pPr>
      <w:r>
        <w:rPr>
          <w:rFonts w:hint="eastAsia" w:ascii="宋体" w:hAnsi="宋体" w:eastAsia="宋体" w:cs="宋体"/>
          <w:w w:val="95"/>
          <w:sz w:val="21"/>
          <w:szCs w:val="21"/>
        </w:rPr>
        <w:t>本次评标采用合理低价法。评标委员会对满足招标文件实质性要求的投标文件，按照本章第2.2款</w:t>
      </w:r>
    </w:p>
    <w:p>
      <w:pPr>
        <w:rPr>
          <w:rFonts w:hint="eastAsia" w:ascii="宋体" w:hAnsi="宋体" w:eastAsia="宋体" w:cs="宋体"/>
          <w:sz w:val="21"/>
          <w:szCs w:val="21"/>
        </w:rPr>
        <w:sectPr>
          <w:headerReference r:id="rId7" w:type="default"/>
          <w:footerReference r:id="rId8" w:type="default"/>
          <w:pgSz w:w="11910" w:h="16840"/>
          <w:pgMar w:top="1440" w:right="760" w:bottom="1080" w:left="1140" w:header="0" w:footer="811" w:gutter="0"/>
          <w:cols w:space="720" w:num="1"/>
        </w:sectPr>
      </w:pPr>
    </w:p>
    <w:p>
      <w:pPr>
        <w:pStyle w:val="6"/>
        <w:spacing w:before="39" w:line="367" w:lineRule="auto"/>
        <w:ind w:left="220" w:right="232"/>
        <w:jc w:val="both"/>
        <w:rPr>
          <w:rFonts w:hint="eastAsia" w:ascii="宋体" w:hAnsi="宋体" w:eastAsia="宋体" w:cs="宋体"/>
          <w:sz w:val="21"/>
          <w:szCs w:val="21"/>
        </w:rPr>
      </w:pPr>
      <w:r>
        <w:rPr>
          <w:rFonts w:hint="eastAsia" w:ascii="宋体" w:hAnsi="宋体" w:eastAsia="宋体" w:cs="宋体"/>
          <w:w w:val="95"/>
          <w:sz w:val="21"/>
          <w:szCs w:val="21"/>
        </w:rPr>
        <w:t>规定的评分标准进行打分，并按得分由高到低顺序推荐中标候选人，或根据招标人授权直接确定中标人，但投标报价低于其成本的除外。综合评分相等时，评标委员会应按照评标办法前附表规定的优先次</w:t>
      </w:r>
      <w:r>
        <w:rPr>
          <w:rFonts w:hint="eastAsia" w:ascii="宋体" w:hAnsi="宋体" w:eastAsia="宋体" w:cs="宋体"/>
          <w:sz w:val="21"/>
          <w:szCs w:val="21"/>
        </w:rPr>
        <w:t>序推荐中标候选人或确定中标人。</w:t>
      </w:r>
    </w:p>
    <w:p>
      <w:pPr>
        <w:pStyle w:val="5"/>
        <w:numPr>
          <w:ilvl w:val="0"/>
          <w:numId w:val="3"/>
        </w:numPr>
        <w:tabs>
          <w:tab w:val="left" w:pos="581"/>
        </w:tabs>
        <w:spacing w:before="0" w:line="303" w:lineRule="exact"/>
        <w:ind w:hanging="361"/>
        <w:jc w:val="both"/>
        <w:rPr>
          <w:rFonts w:hint="eastAsia" w:ascii="宋体" w:hAnsi="宋体" w:eastAsia="宋体" w:cs="宋体"/>
          <w:sz w:val="21"/>
          <w:szCs w:val="21"/>
        </w:rPr>
      </w:pPr>
      <w:r>
        <w:rPr>
          <w:rFonts w:hint="eastAsia" w:ascii="宋体" w:hAnsi="宋体" w:eastAsia="宋体" w:cs="宋体"/>
          <w:sz w:val="21"/>
          <w:szCs w:val="21"/>
        </w:rPr>
        <w:t>评审标准</w:t>
      </w:r>
    </w:p>
    <w:p>
      <w:pPr>
        <w:pStyle w:val="5"/>
        <w:numPr>
          <w:ilvl w:val="1"/>
          <w:numId w:val="3"/>
        </w:numPr>
        <w:tabs>
          <w:tab w:val="left" w:pos="701"/>
        </w:tabs>
        <w:spacing w:before="161"/>
        <w:ind w:hanging="481"/>
        <w:rPr>
          <w:rFonts w:hint="eastAsia" w:ascii="宋体" w:hAnsi="宋体" w:eastAsia="宋体" w:cs="宋体"/>
          <w:sz w:val="21"/>
          <w:szCs w:val="21"/>
        </w:rPr>
      </w:pPr>
      <w:r>
        <w:rPr>
          <w:rFonts w:hint="eastAsia" w:ascii="宋体" w:hAnsi="宋体" w:eastAsia="宋体" w:cs="宋体"/>
          <w:sz w:val="21"/>
          <w:szCs w:val="21"/>
        </w:rPr>
        <w:t>初步评审标准</w:t>
      </w:r>
    </w:p>
    <w:p>
      <w:pPr>
        <w:pStyle w:val="15"/>
        <w:numPr>
          <w:ilvl w:val="2"/>
          <w:numId w:val="3"/>
        </w:numPr>
        <w:tabs>
          <w:tab w:val="left" w:pos="1272"/>
        </w:tabs>
        <w:spacing w:before="159"/>
        <w:rPr>
          <w:rFonts w:hint="eastAsia" w:ascii="宋体" w:hAnsi="宋体" w:eastAsia="宋体" w:cs="宋体"/>
          <w:sz w:val="21"/>
          <w:szCs w:val="21"/>
        </w:rPr>
      </w:pPr>
      <w:r>
        <w:rPr>
          <w:rFonts w:hint="eastAsia" w:ascii="宋体" w:hAnsi="宋体" w:eastAsia="宋体" w:cs="宋体"/>
          <w:sz w:val="21"/>
          <w:szCs w:val="21"/>
        </w:rPr>
        <w:t>形式评审标准：见评标办法前附表。</w:t>
      </w:r>
    </w:p>
    <w:p>
      <w:pPr>
        <w:pStyle w:val="15"/>
        <w:numPr>
          <w:ilvl w:val="2"/>
          <w:numId w:val="3"/>
        </w:numPr>
        <w:tabs>
          <w:tab w:val="left" w:pos="1272"/>
        </w:tabs>
        <w:spacing w:before="142"/>
        <w:rPr>
          <w:rFonts w:hint="eastAsia" w:ascii="宋体" w:hAnsi="宋体" w:eastAsia="宋体" w:cs="宋体"/>
          <w:sz w:val="21"/>
          <w:szCs w:val="21"/>
        </w:rPr>
      </w:pPr>
      <w:r>
        <w:rPr>
          <w:rFonts w:hint="eastAsia" w:ascii="宋体" w:hAnsi="宋体" w:eastAsia="宋体" w:cs="宋体"/>
          <w:sz w:val="21"/>
          <w:szCs w:val="21"/>
        </w:rPr>
        <w:t>资格评审标准：见评标办法前附表(适用于未进行资格预审的)。</w:t>
      </w:r>
    </w:p>
    <w:p>
      <w:pPr>
        <w:pStyle w:val="15"/>
        <w:numPr>
          <w:ilvl w:val="2"/>
          <w:numId w:val="4"/>
        </w:numPr>
        <w:tabs>
          <w:tab w:val="left" w:pos="1277"/>
        </w:tabs>
        <w:spacing w:before="139" w:line="367" w:lineRule="auto"/>
        <w:ind w:right="232" w:firstLine="420"/>
        <w:rPr>
          <w:rFonts w:hint="eastAsia" w:ascii="宋体" w:hAnsi="宋体" w:eastAsia="宋体" w:cs="宋体"/>
          <w:sz w:val="21"/>
          <w:szCs w:val="21"/>
        </w:rPr>
      </w:pPr>
      <w:r>
        <w:rPr>
          <w:rFonts w:hint="eastAsia" w:ascii="宋体" w:hAnsi="宋体" w:eastAsia="宋体" w:cs="宋体"/>
          <w:w w:val="95"/>
          <w:sz w:val="21"/>
          <w:szCs w:val="21"/>
        </w:rPr>
        <w:t>资格评审标准：见资格预审文件第三章“资格审查办法”详细审查标准(适用于已进行资格</w:t>
      </w:r>
      <w:r>
        <w:rPr>
          <w:rFonts w:hint="eastAsia" w:ascii="宋体" w:hAnsi="宋体" w:eastAsia="宋体" w:cs="宋体"/>
          <w:sz w:val="21"/>
          <w:szCs w:val="21"/>
        </w:rPr>
        <w:t>预审的)。</w:t>
      </w:r>
    </w:p>
    <w:p>
      <w:pPr>
        <w:pStyle w:val="15"/>
        <w:numPr>
          <w:ilvl w:val="2"/>
          <w:numId w:val="4"/>
        </w:numPr>
        <w:tabs>
          <w:tab w:val="left" w:pos="1272"/>
        </w:tabs>
        <w:spacing w:line="267" w:lineRule="exact"/>
        <w:ind w:left="1272" w:hanging="632"/>
        <w:rPr>
          <w:rFonts w:hint="eastAsia" w:ascii="宋体" w:hAnsi="宋体" w:eastAsia="宋体" w:cs="宋体"/>
          <w:sz w:val="21"/>
          <w:szCs w:val="21"/>
        </w:rPr>
      </w:pPr>
      <w:r>
        <w:rPr>
          <w:rFonts w:hint="eastAsia" w:ascii="宋体" w:hAnsi="宋体" w:eastAsia="宋体" w:cs="宋体"/>
          <w:sz w:val="21"/>
          <w:szCs w:val="21"/>
        </w:rPr>
        <w:t>响应性评审标准：见评标办法前附表。</w:t>
      </w:r>
    </w:p>
    <w:p>
      <w:pPr>
        <w:pStyle w:val="5"/>
        <w:numPr>
          <w:ilvl w:val="1"/>
          <w:numId w:val="3"/>
        </w:numPr>
        <w:tabs>
          <w:tab w:val="left" w:pos="701"/>
        </w:tabs>
        <w:spacing w:before="140"/>
        <w:ind w:hanging="481"/>
        <w:rPr>
          <w:rFonts w:hint="eastAsia" w:ascii="宋体" w:hAnsi="宋体" w:eastAsia="宋体" w:cs="宋体"/>
          <w:sz w:val="21"/>
          <w:szCs w:val="21"/>
        </w:rPr>
      </w:pPr>
      <w:r>
        <w:rPr>
          <w:rFonts w:hint="eastAsia" w:ascii="宋体" w:hAnsi="宋体" w:eastAsia="宋体" w:cs="宋体"/>
          <w:sz w:val="21"/>
          <w:szCs w:val="21"/>
        </w:rPr>
        <w:t>分值构成与评分标准</w:t>
      </w:r>
    </w:p>
    <w:p>
      <w:pPr>
        <w:pStyle w:val="15"/>
        <w:numPr>
          <w:ilvl w:val="2"/>
          <w:numId w:val="3"/>
        </w:numPr>
        <w:tabs>
          <w:tab w:val="left" w:pos="1272"/>
        </w:tabs>
        <w:spacing w:before="159"/>
        <w:rPr>
          <w:rFonts w:hint="eastAsia" w:ascii="宋体" w:hAnsi="宋体" w:eastAsia="宋体" w:cs="宋体"/>
          <w:sz w:val="21"/>
          <w:szCs w:val="21"/>
        </w:rPr>
      </w:pPr>
      <w:r>
        <w:rPr>
          <w:rFonts w:hint="eastAsia" w:ascii="宋体" w:hAnsi="宋体" w:eastAsia="宋体" w:cs="宋体"/>
          <w:w w:val="95"/>
          <w:sz w:val="21"/>
          <w:szCs w:val="21"/>
        </w:rPr>
        <w:t>分值构成</w:t>
      </w:r>
    </w:p>
    <w:p>
      <w:pPr>
        <w:pStyle w:val="6"/>
        <w:spacing w:before="141"/>
        <w:ind w:left="640"/>
        <w:rPr>
          <w:rFonts w:hint="eastAsia" w:ascii="宋体" w:hAnsi="宋体" w:eastAsia="宋体" w:cs="宋体"/>
          <w:sz w:val="21"/>
          <w:szCs w:val="21"/>
        </w:rPr>
      </w:pPr>
      <w:r>
        <w:rPr>
          <w:rFonts w:hint="eastAsia" w:ascii="宋体" w:hAnsi="宋体" w:eastAsia="宋体" w:cs="宋体"/>
          <w:w w:val="95"/>
          <w:sz w:val="21"/>
          <w:szCs w:val="21"/>
        </w:rPr>
        <w:t>评标价：见评标办法前附表。</w:t>
      </w:r>
    </w:p>
    <w:p>
      <w:pPr>
        <w:pStyle w:val="15"/>
        <w:numPr>
          <w:ilvl w:val="2"/>
          <w:numId w:val="3"/>
        </w:numPr>
        <w:tabs>
          <w:tab w:val="left" w:pos="1272"/>
        </w:tabs>
        <w:spacing w:before="142"/>
        <w:rPr>
          <w:rFonts w:hint="eastAsia" w:ascii="宋体" w:hAnsi="宋体" w:eastAsia="宋体" w:cs="宋体"/>
          <w:sz w:val="21"/>
          <w:szCs w:val="21"/>
        </w:rPr>
      </w:pPr>
      <w:r>
        <w:rPr>
          <w:rFonts w:hint="eastAsia" w:ascii="宋体" w:hAnsi="宋体" w:eastAsia="宋体" w:cs="宋体"/>
          <w:sz w:val="21"/>
          <w:szCs w:val="21"/>
        </w:rPr>
        <w:t>评标基准价计算</w:t>
      </w:r>
    </w:p>
    <w:p>
      <w:pPr>
        <w:pStyle w:val="6"/>
        <w:spacing w:before="139"/>
        <w:ind w:left="640"/>
        <w:rPr>
          <w:rFonts w:hint="eastAsia" w:ascii="宋体" w:hAnsi="宋体" w:eastAsia="宋体" w:cs="宋体"/>
          <w:sz w:val="21"/>
          <w:szCs w:val="21"/>
        </w:rPr>
      </w:pPr>
      <w:r>
        <w:rPr>
          <w:rFonts w:hint="eastAsia" w:ascii="宋体" w:hAnsi="宋体" w:eastAsia="宋体" w:cs="宋体"/>
          <w:w w:val="95"/>
          <w:sz w:val="21"/>
          <w:szCs w:val="21"/>
        </w:rPr>
        <w:t>评标基准价计算方法：见评标办法前附表。</w:t>
      </w:r>
    </w:p>
    <w:p>
      <w:pPr>
        <w:pStyle w:val="15"/>
        <w:numPr>
          <w:ilvl w:val="2"/>
          <w:numId w:val="3"/>
        </w:numPr>
        <w:tabs>
          <w:tab w:val="left" w:pos="1272"/>
        </w:tabs>
        <w:spacing w:before="141"/>
        <w:rPr>
          <w:rFonts w:hint="eastAsia" w:ascii="宋体" w:hAnsi="宋体" w:eastAsia="宋体" w:cs="宋体"/>
          <w:sz w:val="21"/>
          <w:szCs w:val="21"/>
        </w:rPr>
      </w:pPr>
      <w:r>
        <w:rPr>
          <w:rFonts w:hint="eastAsia" w:ascii="宋体" w:hAnsi="宋体" w:eastAsia="宋体" w:cs="宋体"/>
          <w:w w:val="95"/>
          <w:sz w:val="21"/>
          <w:szCs w:val="21"/>
        </w:rPr>
        <w:t>投标报价的偏差率计算</w:t>
      </w:r>
    </w:p>
    <w:p>
      <w:pPr>
        <w:pStyle w:val="6"/>
        <w:spacing w:before="139"/>
        <w:ind w:left="640"/>
        <w:rPr>
          <w:rFonts w:hint="eastAsia" w:ascii="宋体" w:hAnsi="宋体" w:eastAsia="宋体" w:cs="宋体"/>
          <w:sz w:val="21"/>
          <w:szCs w:val="21"/>
        </w:rPr>
      </w:pPr>
      <w:r>
        <w:rPr>
          <w:rFonts w:hint="eastAsia" w:ascii="宋体" w:hAnsi="宋体" w:eastAsia="宋体" w:cs="宋体"/>
          <w:sz w:val="21"/>
          <w:szCs w:val="21"/>
        </w:rPr>
        <w:t>投标报价的偏差率计算公式：见评标办法前附表。</w:t>
      </w:r>
    </w:p>
    <w:p>
      <w:pPr>
        <w:pStyle w:val="15"/>
        <w:numPr>
          <w:ilvl w:val="2"/>
          <w:numId w:val="3"/>
        </w:numPr>
        <w:tabs>
          <w:tab w:val="left" w:pos="1272"/>
        </w:tabs>
        <w:spacing w:before="141"/>
        <w:rPr>
          <w:rFonts w:hint="eastAsia" w:ascii="宋体" w:hAnsi="宋体" w:eastAsia="宋体" w:cs="宋体"/>
          <w:sz w:val="21"/>
          <w:szCs w:val="21"/>
        </w:rPr>
      </w:pPr>
      <w:r>
        <w:rPr>
          <w:rFonts w:hint="eastAsia" w:ascii="宋体" w:hAnsi="宋体" w:eastAsia="宋体" w:cs="宋体"/>
          <w:sz w:val="21"/>
          <w:szCs w:val="21"/>
        </w:rPr>
        <w:t>评分标准</w:t>
      </w:r>
    </w:p>
    <w:p>
      <w:pPr>
        <w:pStyle w:val="6"/>
        <w:spacing w:before="142"/>
        <w:ind w:left="640"/>
        <w:rPr>
          <w:rFonts w:hint="eastAsia" w:ascii="宋体" w:hAnsi="宋体" w:eastAsia="宋体" w:cs="宋体"/>
          <w:sz w:val="21"/>
          <w:szCs w:val="21"/>
        </w:rPr>
      </w:pPr>
      <w:r>
        <w:rPr>
          <w:rFonts w:hint="eastAsia" w:ascii="宋体" w:hAnsi="宋体" w:eastAsia="宋体" w:cs="宋体"/>
          <w:sz w:val="21"/>
          <w:szCs w:val="21"/>
        </w:rPr>
        <w:t>评标价评分标准：见评标办法前附表。</w:t>
      </w:r>
    </w:p>
    <w:p>
      <w:pPr>
        <w:pStyle w:val="5"/>
        <w:numPr>
          <w:ilvl w:val="0"/>
          <w:numId w:val="3"/>
        </w:numPr>
        <w:tabs>
          <w:tab w:val="left" w:pos="581"/>
        </w:tabs>
        <w:spacing w:before="140"/>
        <w:ind w:hanging="361"/>
        <w:rPr>
          <w:rFonts w:hint="eastAsia" w:ascii="宋体" w:hAnsi="宋体" w:eastAsia="宋体" w:cs="宋体"/>
          <w:sz w:val="21"/>
          <w:szCs w:val="21"/>
        </w:rPr>
      </w:pPr>
      <w:r>
        <w:rPr>
          <w:rFonts w:hint="eastAsia" w:ascii="宋体" w:hAnsi="宋体" w:eastAsia="宋体" w:cs="宋体"/>
          <w:sz w:val="21"/>
          <w:szCs w:val="21"/>
        </w:rPr>
        <w:t>评标程序</w:t>
      </w:r>
    </w:p>
    <w:p>
      <w:pPr>
        <w:pStyle w:val="5"/>
        <w:numPr>
          <w:ilvl w:val="1"/>
          <w:numId w:val="3"/>
        </w:numPr>
        <w:tabs>
          <w:tab w:val="left" w:pos="701"/>
        </w:tabs>
        <w:spacing w:before="160"/>
        <w:ind w:hanging="481"/>
        <w:jc w:val="both"/>
        <w:rPr>
          <w:rFonts w:hint="eastAsia" w:ascii="宋体" w:hAnsi="宋体" w:eastAsia="宋体" w:cs="宋体"/>
          <w:sz w:val="21"/>
          <w:szCs w:val="21"/>
        </w:rPr>
      </w:pPr>
      <w:r>
        <w:rPr>
          <w:rFonts w:hint="eastAsia" w:ascii="宋体" w:hAnsi="宋体" w:eastAsia="宋体" w:cs="宋体"/>
          <w:sz w:val="21"/>
          <w:szCs w:val="21"/>
        </w:rPr>
        <w:t>第一信封初步评审</w:t>
      </w:r>
    </w:p>
    <w:p>
      <w:pPr>
        <w:pStyle w:val="15"/>
        <w:numPr>
          <w:ilvl w:val="2"/>
          <w:numId w:val="3"/>
        </w:numPr>
        <w:tabs>
          <w:tab w:val="left" w:pos="1277"/>
        </w:tabs>
        <w:spacing w:before="160" w:line="364" w:lineRule="auto"/>
        <w:ind w:left="220" w:right="233" w:firstLine="420"/>
        <w:jc w:val="both"/>
        <w:rPr>
          <w:rFonts w:hint="eastAsia" w:ascii="宋体" w:hAnsi="宋体" w:eastAsia="宋体" w:cs="宋体"/>
          <w:sz w:val="21"/>
          <w:szCs w:val="21"/>
        </w:rPr>
      </w:pPr>
      <w:r>
        <w:rPr>
          <w:rFonts w:hint="eastAsia" w:ascii="宋体" w:hAnsi="宋体" w:eastAsia="宋体" w:cs="宋体"/>
          <w:spacing w:val="1"/>
          <w:w w:val="95"/>
          <w:sz w:val="21"/>
          <w:szCs w:val="21"/>
        </w:rPr>
        <w:t>评标委员会可以要求投标人提交第二章“投标人须知”第</w:t>
      </w:r>
      <w:r>
        <w:rPr>
          <w:rFonts w:hint="eastAsia" w:ascii="宋体" w:hAnsi="宋体" w:eastAsia="宋体" w:cs="宋体"/>
          <w:w w:val="95"/>
          <w:sz w:val="21"/>
          <w:szCs w:val="21"/>
        </w:rPr>
        <w:t>3.5.1</w:t>
      </w:r>
      <w:r>
        <w:rPr>
          <w:rFonts w:hint="eastAsia" w:ascii="宋体" w:hAnsi="宋体" w:eastAsia="宋体" w:cs="宋体"/>
          <w:spacing w:val="27"/>
          <w:w w:val="95"/>
          <w:sz w:val="21"/>
          <w:szCs w:val="21"/>
        </w:rPr>
        <w:t>项至第</w:t>
      </w:r>
      <w:r>
        <w:rPr>
          <w:rFonts w:hint="eastAsia" w:ascii="宋体" w:hAnsi="宋体" w:eastAsia="宋体" w:cs="宋体"/>
          <w:w w:val="95"/>
          <w:sz w:val="21"/>
          <w:szCs w:val="21"/>
        </w:rPr>
        <w:t>3.5.5项规定的有关证明和证件的原件，以便核验。评标委员会依据本章第2.1款规定的标准对投标文件第一个信封（商务及技术文件）进行初步评审。有一项不符合评审标准的，评标委员会应否决其投标。(适用于未进行</w:t>
      </w:r>
      <w:r>
        <w:rPr>
          <w:rFonts w:hint="eastAsia" w:ascii="宋体" w:hAnsi="宋体" w:eastAsia="宋体" w:cs="宋体"/>
          <w:sz w:val="21"/>
          <w:szCs w:val="21"/>
        </w:rPr>
        <w:t>资格预审的)</w:t>
      </w:r>
    </w:p>
    <w:p>
      <w:pPr>
        <w:pStyle w:val="6"/>
        <w:spacing w:before="3" w:line="364" w:lineRule="auto"/>
        <w:ind w:left="220" w:right="232" w:firstLine="420"/>
        <w:jc w:val="both"/>
        <w:rPr>
          <w:rFonts w:hint="eastAsia" w:ascii="宋体" w:hAnsi="宋体" w:eastAsia="宋体" w:cs="宋体"/>
          <w:sz w:val="21"/>
          <w:szCs w:val="21"/>
        </w:rPr>
      </w:pPr>
      <w:r>
        <w:rPr>
          <w:rFonts w:hint="eastAsia" w:ascii="宋体" w:hAnsi="宋体" w:eastAsia="宋体" w:cs="宋体"/>
          <w:w w:val="95"/>
          <w:sz w:val="21"/>
          <w:szCs w:val="21"/>
        </w:rPr>
        <w:t>3.1.1</w:t>
      </w:r>
      <w:r>
        <w:rPr>
          <w:rFonts w:hint="eastAsia" w:ascii="宋体" w:hAnsi="宋体" w:eastAsia="宋体" w:cs="宋体"/>
          <w:spacing w:val="1"/>
          <w:w w:val="95"/>
          <w:sz w:val="21"/>
          <w:szCs w:val="21"/>
        </w:rPr>
        <w:t xml:space="preserve"> 评标委员会依据本章第</w:t>
      </w:r>
      <w:r>
        <w:rPr>
          <w:rFonts w:hint="eastAsia" w:ascii="宋体" w:hAnsi="宋体" w:eastAsia="宋体" w:cs="宋体"/>
          <w:w w:val="95"/>
          <w:sz w:val="21"/>
          <w:szCs w:val="21"/>
        </w:rPr>
        <w:t>2.1.1</w:t>
      </w:r>
      <w:r>
        <w:rPr>
          <w:rFonts w:hint="eastAsia" w:ascii="宋体" w:hAnsi="宋体" w:eastAsia="宋体" w:cs="宋体"/>
          <w:spacing w:val="9"/>
          <w:w w:val="95"/>
          <w:sz w:val="21"/>
          <w:szCs w:val="21"/>
        </w:rPr>
        <w:t>项、第</w:t>
      </w:r>
      <w:r>
        <w:rPr>
          <w:rFonts w:hint="eastAsia" w:ascii="宋体" w:hAnsi="宋体" w:eastAsia="宋体" w:cs="宋体"/>
          <w:w w:val="95"/>
          <w:sz w:val="21"/>
          <w:szCs w:val="21"/>
        </w:rPr>
        <w:t>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w:t>
      </w:r>
      <w:r>
        <w:rPr>
          <w:rFonts w:hint="eastAsia" w:ascii="宋体" w:hAnsi="宋体" w:eastAsia="宋体" w:cs="宋体"/>
          <w:sz w:val="21"/>
          <w:szCs w:val="21"/>
        </w:rPr>
        <w:t>(适用于已进行资格预审的)</w:t>
      </w:r>
    </w:p>
    <w:p>
      <w:pPr>
        <w:pStyle w:val="5"/>
        <w:numPr>
          <w:ilvl w:val="1"/>
          <w:numId w:val="3"/>
        </w:numPr>
        <w:tabs>
          <w:tab w:val="left" w:pos="701"/>
        </w:tabs>
        <w:spacing w:before="2"/>
        <w:ind w:hanging="481"/>
        <w:jc w:val="both"/>
        <w:rPr>
          <w:rFonts w:hint="eastAsia" w:ascii="宋体" w:hAnsi="宋体" w:eastAsia="宋体" w:cs="宋体"/>
          <w:sz w:val="21"/>
          <w:szCs w:val="21"/>
        </w:rPr>
      </w:pPr>
      <w:r>
        <w:rPr>
          <w:rFonts w:hint="eastAsia" w:ascii="宋体" w:hAnsi="宋体" w:eastAsia="宋体" w:cs="宋体"/>
          <w:sz w:val="21"/>
          <w:szCs w:val="21"/>
        </w:rPr>
        <w:t>第二个信封开标</w:t>
      </w:r>
    </w:p>
    <w:p>
      <w:pPr>
        <w:pStyle w:val="6"/>
        <w:spacing w:before="159" w:line="367" w:lineRule="auto"/>
        <w:ind w:left="220" w:right="232" w:firstLine="420"/>
        <w:jc w:val="both"/>
        <w:rPr>
          <w:rFonts w:hint="eastAsia" w:ascii="宋体" w:hAnsi="宋体" w:eastAsia="宋体" w:cs="宋体"/>
          <w:sz w:val="21"/>
          <w:szCs w:val="21"/>
        </w:rPr>
      </w:pPr>
      <w:r>
        <w:rPr>
          <w:rFonts w:hint="eastAsia" w:ascii="宋体" w:hAnsi="宋体" w:eastAsia="宋体" w:cs="宋体"/>
          <w:w w:val="95"/>
          <w:sz w:val="21"/>
          <w:szCs w:val="21"/>
        </w:rPr>
        <w:t>第一个信封（商务及技术文件）评审结束后，招标人将按照第二章“投标人须知”第</w:t>
      </w:r>
      <w:r>
        <w:rPr>
          <w:rFonts w:hint="eastAsia" w:ascii="宋体" w:hAnsi="宋体" w:eastAsia="宋体" w:cs="宋体"/>
          <w:spacing w:val="100"/>
          <w:sz w:val="21"/>
          <w:szCs w:val="21"/>
        </w:rPr>
        <w:t xml:space="preserve"> </w:t>
      </w:r>
      <w:r>
        <w:rPr>
          <w:rFonts w:hint="eastAsia" w:ascii="宋体" w:hAnsi="宋体" w:eastAsia="宋体" w:cs="宋体"/>
          <w:w w:val="95"/>
          <w:sz w:val="21"/>
          <w:szCs w:val="21"/>
        </w:rPr>
        <w:t>5.1</w:t>
      </w:r>
      <w:r>
        <w:rPr>
          <w:rFonts w:hint="eastAsia" w:ascii="宋体" w:hAnsi="宋体" w:eastAsia="宋体" w:cs="宋体"/>
          <w:spacing w:val="23"/>
          <w:w w:val="95"/>
          <w:sz w:val="21"/>
          <w:szCs w:val="21"/>
        </w:rPr>
        <w:t xml:space="preserve"> 款规定</w:t>
      </w:r>
      <w:r>
        <w:rPr>
          <w:rFonts w:hint="eastAsia" w:ascii="宋体" w:hAnsi="宋体" w:eastAsia="宋体" w:cs="宋体"/>
          <w:w w:val="95"/>
          <w:sz w:val="21"/>
          <w:szCs w:val="21"/>
        </w:rPr>
        <w:t>的时间和地点对通过投标文件第一个信封（商务及技术文件）评审的投标文件第二个信封（报价文件）</w:t>
      </w:r>
      <w:r>
        <w:rPr>
          <w:rFonts w:hint="eastAsia" w:ascii="宋体" w:hAnsi="宋体" w:eastAsia="宋体" w:cs="宋体"/>
          <w:sz w:val="21"/>
          <w:szCs w:val="21"/>
        </w:rPr>
        <w:t>进行开标。</w:t>
      </w:r>
    </w:p>
    <w:p>
      <w:pPr>
        <w:spacing w:line="367" w:lineRule="auto"/>
        <w:jc w:val="both"/>
        <w:rPr>
          <w:rFonts w:hint="eastAsia" w:ascii="宋体" w:hAnsi="宋体" w:eastAsia="宋体" w:cs="宋体"/>
          <w:sz w:val="21"/>
          <w:szCs w:val="21"/>
        </w:rPr>
        <w:sectPr>
          <w:pgSz w:w="11910" w:h="16840"/>
          <w:pgMar w:top="1400" w:right="760" w:bottom="1080" w:left="1140" w:header="0" w:footer="811" w:gutter="0"/>
          <w:cols w:space="720" w:num="1"/>
        </w:sectPr>
      </w:pPr>
    </w:p>
    <w:p>
      <w:pPr>
        <w:pStyle w:val="5"/>
        <w:numPr>
          <w:ilvl w:val="1"/>
          <w:numId w:val="3"/>
        </w:numPr>
        <w:tabs>
          <w:tab w:val="left" w:pos="701"/>
        </w:tabs>
        <w:spacing w:before="41"/>
        <w:ind w:hanging="481"/>
        <w:rPr>
          <w:rFonts w:hint="eastAsia" w:ascii="宋体" w:hAnsi="宋体" w:eastAsia="宋体" w:cs="宋体"/>
          <w:sz w:val="21"/>
          <w:szCs w:val="21"/>
        </w:rPr>
      </w:pPr>
      <w:r>
        <w:rPr>
          <w:rFonts w:hint="eastAsia" w:ascii="宋体" w:hAnsi="宋体" w:eastAsia="宋体" w:cs="宋体"/>
          <w:sz w:val="21"/>
          <w:szCs w:val="21"/>
        </w:rPr>
        <w:t>第二个信封初步评审</w:t>
      </w:r>
    </w:p>
    <w:p>
      <w:pPr>
        <w:pStyle w:val="15"/>
        <w:numPr>
          <w:ilvl w:val="2"/>
          <w:numId w:val="3"/>
        </w:numPr>
        <w:tabs>
          <w:tab w:val="left" w:pos="1272"/>
        </w:tabs>
        <w:spacing w:before="159" w:line="367" w:lineRule="auto"/>
        <w:ind w:left="220" w:right="335" w:firstLine="420"/>
        <w:rPr>
          <w:rFonts w:hint="eastAsia" w:ascii="宋体" w:hAnsi="宋体" w:eastAsia="宋体" w:cs="宋体"/>
          <w:sz w:val="21"/>
          <w:szCs w:val="21"/>
        </w:rPr>
      </w:pPr>
      <w:r>
        <w:rPr>
          <w:rFonts w:hint="eastAsia" w:ascii="宋体" w:hAnsi="宋体" w:eastAsia="宋体" w:cs="宋体"/>
          <w:w w:val="95"/>
          <w:sz w:val="21"/>
          <w:szCs w:val="21"/>
        </w:rPr>
        <w:t>评标委员会依据本章第2.1.1项、第2.1.3项规定的评审标准对投标文件第二个信封（报价文</w:t>
      </w:r>
      <w:r>
        <w:rPr>
          <w:rFonts w:hint="eastAsia" w:ascii="宋体" w:hAnsi="宋体" w:eastAsia="宋体" w:cs="宋体"/>
          <w:spacing w:val="109"/>
          <w:sz w:val="21"/>
          <w:szCs w:val="21"/>
        </w:rPr>
        <w:t xml:space="preserve"> </w:t>
      </w:r>
      <w:r>
        <w:rPr>
          <w:rFonts w:hint="eastAsia" w:ascii="宋体" w:hAnsi="宋体" w:eastAsia="宋体" w:cs="宋体"/>
          <w:sz w:val="21"/>
          <w:szCs w:val="21"/>
        </w:rPr>
        <w:t>件）进行初步评审。有一项不符合评审标准的，评标委员会应否决其投标。</w:t>
      </w:r>
    </w:p>
    <w:p>
      <w:pPr>
        <w:pStyle w:val="15"/>
        <w:numPr>
          <w:ilvl w:val="2"/>
          <w:numId w:val="3"/>
        </w:numPr>
        <w:tabs>
          <w:tab w:val="left" w:pos="1167"/>
        </w:tabs>
        <w:spacing w:line="364" w:lineRule="auto"/>
        <w:ind w:left="220" w:right="441" w:firstLine="42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"_bookmark8" </w:instrText>
      </w:r>
      <w:r>
        <w:rPr>
          <w:rFonts w:hint="eastAsia" w:ascii="宋体" w:hAnsi="宋体" w:eastAsia="宋体" w:cs="宋体"/>
          <w:sz w:val="21"/>
          <w:szCs w:val="21"/>
        </w:rPr>
        <w:fldChar w:fldCharType="separate"/>
      </w:r>
      <w:r>
        <w:rPr>
          <w:rFonts w:hint="eastAsia" w:ascii="宋体" w:hAnsi="宋体" w:eastAsia="宋体" w:cs="宋体"/>
          <w:position w:val="11"/>
          <w:sz w:val="21"/>
          <w:szCs w:val="21"/>
        </w:rPr>
        <w:t>①</w:t>
      </w:r>
      <w:r>
        <w:rPr>
          <w:rFonts w:hint="eastAsia" w:ascii="宋体" w:hAnsi="宋体" w:eastAsia="宋体" w:cs="宋体"/>
          <w:position w:val="11"/>
          <w:sz w:val="21"/>
          <w:szCs w:val="21"/>
        </w:rPr>
        <w:fldChar w:fldCharType="end"/>
      </w:r>
      <w:r>
        <w:rPr>
          <w:rFonts w:hint="eastAsia" w:ascii="宋体" w:hAnsi="宋体" w:eastAsia="宋体" w:cs="宋体"/>
          <w:spacing w:val="40"/>
          <w:position w:val="11"/>
          <w:sz w:val="21"/>
          <w:szCs w:val="21"/>
        </w:rPr>
        <w:t xml:space="preserve"> </w:t>
      </w:r>
      <w:r>
        <w:rPr>
          <w:rFonts w:hint="eastAsia" w:ascii="宋体" w:hAnsi="宋体" w:eastAsia="宋体" w:cs="宋体"/>
          <w:sz w:val="21"/>
          <w:szCs w:val="21"/>
        </w:rPr>
        <w:t>投标报价有算术错误的，评标委员会按以下原则对投标报价进行修正，修正的价格经投标人书面确认后具有约束力。投标人不接受修正价格的，评标委员会应否决其投标。</w:t>
      </w:r>
    </w:p>
    <w:p>
      <w:pPr>
        <w:pStyle w:val="15"/>
        <w:numPr>
          <w:ilvl w:val="0"/>
          <w:numId w:val="5"/>
        </w:numPr>
        <w:tabs>
          <w:tab w:val="left" w:pos="1167"/>
        </w:tabs>
        <w:ind w:hanging="527"/>
        <w:rPr>
          <w:rFonts w:hint="eastAsia" w:ascii="宋体" w:hAnsi="宋体" w:eastAsia="宋体" w:cs="宋体"/>
          <w:sz w:val="21"/>
          <w:szCs w:val="21"/>
        </w:rPr>
      </w:pPr>
      <w:r>
        <w:rPr>
          <w:rFonts w:hint="eastAsia" w:ascii="宋体" w:hAnsi="宋体" w:eastAsia="宋体" w:cs="宋体"/>
          <w:sz w:val="21"/>
          <w:szCs w:val="21"/>
        </w:rPr>
        <w:t>投标文件中的大写金额与小写金额不一致的，以大写金额为准；</w:t>
      </w:r>
    </w:p>
    <w:p>
      <w:pPr>
        <w:pStyle w:val="15"/>
        <w:numPr>
          <w:ilvl w:val="0"/>
          <w:numId w:val="5"/>
        </w:numPr>
        <w:tabs>
          <w:tab w:val="left" w:pos="1167"/>
        </w:tabs>
        <w:spacing w:before="137" w:line="367" w:lineRule="auto"/>
        <w:ind w:left="220" w:right="441" w:firstLine="420"/>
        <w:rPr>
          <w:rFonts w:hint="eastAsia" w:ascii="宋体" w:hAnsi="宋体" w:eastAsia="宋体" w:cs="宋体"/>
          <w:sz w:val="21"/>
          <w:szCs w:val="21"/>
        </w:rPr>
      </w:pPr>
      <w:r>
        <w:rPr>
          <w:rFonts w:hint="eastAsia" w:ascii="宋体" w:hAnsi="宋体" w:eastAsia="宋体" w:cs="宋体"/>
          <w:w w:val="95"/>
          <w:sz w:val="21"/>
          <w:szCs w:val="21"/>
        </w:rPr>
        <w:t>总价金额与依据单价计算出的结果不一致的，以单价金额为准修正总价，但单价金额小数点</w:t>
      </w:r>
      <w:r>
        <w:rPr>
          <w:rFonts w:hint="eastAsia" w:ascii="宋体" w:hAnsi="宋体" w:eastAsia="宋体" w:cs="宋体"/>
          <w:sz w:val="21"/>
          <w:szCs w:val="21"/>
        </w:rPr>
        <w:t>有明显错误的除外;</w:t>
      </w:r>
    </w:p>
    <w:p>
      <w:pPr>
        <w:pStyle w:val="15"/>
        <w:numPr>
          <w:ilvl w:val="0"/>
          <w:numId w:val="5"/>
        </w:numPr>
        <w:tabs>
          <w:tab w:val="left" w:pos="1167"/>
        </w:tabs>
        <w:spacing w:line="364" w:lineRule="auto"/>
        <w:ind w:left="220" w:right="441" w:firstLine="420"/>
        <w:rPr>
          <w:rFonts w:hint="eastAsia" w:ascii="宋体" w:hAnsi="宋体" w:eastAsia="宋体" w:cs="宋体"/>
          <w:sz w:val="21"/>
          <w:szCs w:val="21"/>
        </w:rPr>
      </w:pPr>
      <w:r>
        <w:rPr>
          <w:rFonts w:hint="eastAsia" w:ascii="宋体" w:hAnsi="宋体" w:eastAsia="宋体" w:cs="宋体"/>
          <w:w w:val="95"/>
          <w:sz w:val="21"/>
          <w:szCs w:val="21"/>
        </w:rPr>
        <w:t>当单价与数量相乘不等于合价时，以单价计算为准，如果单价有明显的小数点位置差错，应</w:t>
      </w:r>
      <w:r>
        <w:rPr>
          <w:rFonts w:hint="eastAsia" w:ascii="宋体" w:hAnsi="宋体" w:eastAsia="宋体" w:cs="宋体"/>
          <w:sz w:val="21"/>
          <w:szCs w:val="21"/>
        </w:rPr>
        <w:t>以标出的合价为准，同时对单价予以修正；</w:t>
      </w:r>
    </w:p>
    <w:p>
      <w:pPr>
        <w:pStyle w:val="15"/>
        <w:numPr>
          <w:ilvl w:val="0"/>
          <w:numId w:val="5"/>
        </w:numPr>
        <w:tabs>
          <w:tab w:val="left" w:pos="1167"/>
        </w:tabs>
        <w:ind w:hanging="527"/>
        <w:rPr>
          <w:rFonts w:hint="eastAsia" w:ascii="宋体" w:hAnsi="宋体" w:eastAsia="宋体" w:cs="宋体"/>
          <w:sz w:val="21"/>
          <w:szCs w:val="21"/>
        </w:rPr>
      </w:pPr>
      <w:r>
        <w:rPr>
          <w:rFonts w:hint="eastAsia" w:ascii="宋体" w:hAnsi="宋体" w:eastAsia="宋体" w:cs="宋体"/>
          <w:sz w:val="21"/>
          <w:szCs w:val="21"/>
        </w:rPr>
        <w:t>当各子目的合价累计不等于总价时，应以各子目合价累计数为准，修正总价。</w:t>
      </w:r>
    </w:p>
    <w:p>
      <w:pPr>
        <w:pStyle w:val="15"/>
        <w:numPr>
          <w:ilvl w:val="2"/>
          <w:numId w:val="3"/>
        </w:numPr>
        <w:tabs>
          <w:tab w:val="left" w:pos="1337"/>
        </w:tabs>
        <w:spacing w:before="139" w:line="364" w:lineRule="auto"/>
        <w:ind w:left="220" w:right="349" w:firstLine="482"/>
        <w:rPr>
          <w:rFonts w:hint="eastAsia" w:ascii="宋体" w:hAnsi="宋体" w:eastAsia="宋体" w:cs="宋体"/>
          <w:sz w:val="21"/>
          <w:szCs w:val="21"/>
        </w:rPr>
      </w:pPr>
      <w:r>
        <w:rPr>
          <w:rFonts w:hint="eastAsia" w:ascii="宋体" w:hAnsi="宋体" w:eastAsia="宋体" w:cs="宋体"/>
          <w:w w:val="95"/>
          <w:sz w:val="21"/>
          <w:szCs w:val="21"/>
        </w:rPr>
        <w:t>工程量清单中的投标报价有其他错误的，评标委员会按以下原则对投标报价进行修正，修</w:t>
      </w:r>
      <w:r>
        <w:rPr>
          <w:rFonts w:hint="eastAsia" w:ascii="宋体" w:hAnsi="宋体" w:eastAsia="宋体" w:cs="宋体"/>
          <w:sz w:val="21"/>
          <w:szCs w:val="21"/>
        </w:rPr>
        <w:t>正的价格经投标人书面确认后具有约束力。投标人不接受修正价格的，评标委员会应否决其投标。</w:t>
      </w:r>
    </w:p>
    <w:p>
      <w:pPr>
        <w:pStyle w:val="15"/>
        <w:numPr>
          <w:ilvl w:val="0"/>
          <w:numId w:val="6"/>
        </w:numPr>
        <w:tabs>
          <w:tab w:val="left" w:pos="1166"/>
        </w:tabs>
        <w:spacing w:before="1" w:line="364" w:lineRule="auto"/>
        <w:ind w:right="335" w:firstLine="420"/>
        <w:rPr>
          <w:rFonts w:hint="eastAsia" w:ascii="宋体" w:hAnsi="宋体" w:eastAsia="宋体" w:cs="宋体"/>
          <w:sz w:val="21"/>
          <w:szCs w:val="21"/>
        </w:rPr>
      </w:pPr>
      <w:r>
        <w:rPr>
          <w:rFonts w:hint="eastAsia" w:ascii="宋体" w:hAnsi="宋体" w:eastAsia="宋体" w:cs="宋体"/>
          <w:sz w:val="21"/>
          <w:szCs w:val="21"/>
        </w:rPr>
        <w:t>在招标人给定的工程量清单中漏报了某个工程子目的单价、合价或总额价，或所报单价、合</w:t>
      </w:r>
      <w:r>
        <w:rPr>
          <w:rFonts w:hint="eastAsia" w:ascii="宋体" w:hAnsi="宋体" w:eastAsia="宋体" w:cs="宋体"/>
          <w:w w:val="95"/>
          <w:sz w:val="21"/>
          <w:szCs w:val="21"/>
        </w:rPr>
        <w:t>价或总额价减少了报价范围，则漏报的工程子目单价、合价和总额价或单价、合价和总额价中减少的报</w:t>
      </w:r>
      <w:r>
        <w:rPr>
          <w:rFonts w:hint="eastAsia" w:ascii="宋体" w:hAnsi="宋体" w:eastAsia="宋体" w:cs="宋体"/>
          <w:sz w:val="21"/>
          <w:szCs w:val="21"/>
        </w:rPr>
        <w:t>价内容视为已含入其他工程子目的单价、合价和总额价之中。</w:t>
      </w:r>
    </w:p>
    <w:p>
      <w:pPr>
        <w:pStyle w:val="15"/>
        <w:numPr>
          <w:ilvl w:val="0"/>
          <w:numId w:val="6"/>
        </w:numPr>
        <w:tabs>
          <w:tab w:val="left" w:pos="1166"/>
        </w:tabs>
        <w:spacing w:before="1" w:line="364" w:lineRule="auto"/>
        <w:ind w:right="335" w:firstLine="420"/>
        <w:rPr>
          <w:rFonts w:hint="eastAsia" w:ascii="宋体" w:hAnsi="宋体" w:eastAsia="宋体" w:cs="宋体"/>
          <w:sz w:val="21"/>
          <w:szCs w:val="21"/>
        </w:rPr>
      </w:pPr>
      <w:r>
        <w:rPr>
          <w:rFonts w:hint="eastAsia" w:ascii="宋体" w:hAnsi="宋体" w:eastAsia="宋体" w:cs="宋体"/>
          <w:sz w:val="21"/>
          <w:szCs w:val="21"/>
        </w:rPr>
        <w:t>在招标人给定的工程量清单中多报了某个工程子目的单价、合价或总额价，或所报单价、合</w:t>
      </w:r>
      <w:r>
        <w:rPr>
          <w:rFonts w:hint="eastAsia" w:ascii="宋体" w:hAnsi="宋体" w:eastAsia="宋体" w:cs="宋体"/>
          <w:w w:val="95"/>
          <w:sz w:val="21"/>
          <w:szCs w:val="21"/>
        </w:rPr>
        <w:t>价或总额价增加了报价范围，则从投标报价中扣除多报的工程子目报价或工程子目报价中增加了报价范</w:t>
      </w:r>
      <w:r>
        <w:rPr>
          <w:rFonts w:hint="eastAsia" w:ascii="宋体" w:hAnsi="宋体" w:eastAsia="宋体" w:cs="宋体"/>
          <w:sz w:val="21"/>
          <w:szCs w:val="21"/>
        </w:rPr>
        <w:t>围的部分报价。</w:t>
      </w:r>
    </w:p>
    <w:p>
      <w:pPr>
        <w:pStyle w:val="15"/>
        <w:numPr>
          <w:ilvl w:val="0"/>
          <w:numId w:val="6"/>
        </w:numPr>
        <w:tabs>
          <w:tab w:val="left" w:pos="1166"/>
        </w:tabs>
        <w:spacing w:before="2" w:line="364" w:lineRule="auto"/>
        <w:ind w:right="442" w:firstLine="420"/>
        <w:rPr>
          <w:rFonts w:hint="eastAsia" w:ascii="宋体" w:hAnsi="宋体" w:eastAsia="宋体" w:cs="宋体"/>
          <w:sz w:val="21"/>
          <w:szCs w:val="21"/>
        </w:rPr>
      </w:pPr>
      <w:r>
        <w:rPr>
          <w:rFonts w:hint="eastAsia" w:ascii="宋体" w:hAnsi="宋体" w:eastAsia="宋体" w:cs="宋体"/>
          <w:w w:val="95"/>
          <w:sz w:val="21"/>
          <w:szCs w:val="21"/>
        </w:rPr>
        <w:t>当单价与数量的乘积与合价(金额)虽然一致，但投标人修改了该子目的工程数量，则其合价</w:t>
      </w:r>
      <w:r>
        <w:rPr>
          <w:rFonts w:hint="eastAsia" w:ascii="宋体" w:hAnsi="宋体" w:eastAsia="宋体" w:cs="宋体"/>
          <w:sz w:val="21"/>
          <w:szCs w:val="21"/>
        </w:rPr>
        <w:t>按招标人给定的工程数量乘以投标人所报单价予以修正。</w:t>
      </w:r>
    </w:p>
    <w:p>
      <w:pPr>
        <w:pStyle w:val="5"/>
        <w:numPr>
          <w:ilvl w:val="2"/>
          <w:numId w:val="3"/>
        </w:numPr>
        <w:tabs>
          <w:tab w:val="left" w:pos="1272"/>
        </w:tabs>
        <w:spacing w:before="2" w:line="364" w:lineRule="auto"/>
        <w:ind w:left="220" w:right="574" w:firstLine="420"/>
        <w:rPr>
          <w:rFonts w:hint="eastAsia" w:ascii="宋体" w:hAnsi="宋体" w:eastAsia="宋体" w:cs="宋体"/>
          <w:w w:val="95"/>
          <w:sz w:val="21"/>
          <w:szCs w:val="21"/>
        </w:rPr>
      </w:pPr>
      <w:r>
        <w:rPr>
          <w:rFonts w:hint="eastAsia" w:ascii="宋体" w:hAnsi="宋体" w:eastAsia="宋体" w:cs="宋体"/>
          <w:w w:val="95"/>
          <w:sz w:val="21"/>
          <w:szCs w:val="21"/>
        </w:rPr>
        <w:t>修正后的最终投标报价若超过最高投标限价（如有），评标委员会应否决其投标。</w:t>
      </w:r>
    </w:p>
    <w:p>
      <w:pPr>
        <w:pStyle w:val="5"/>
        <w:numPr>
          <w:ilvl w:val="2"/>
          <w:numId w:val="3"/>
        </w:numPr>
        <w:tabs>
          <w:tab w:val="left" w:pos="1272"/>
        </w:tabs>
        <w:rPr>
          <w:rFonts w:hint="eastAsia" w:ascii="宋体" w:hAnsi="宋体" w:eastAsia="宋体" w:cs="宋体"/>
          <w:w w:val="95"/>
          <w:sz w:val="21"/>
          <w:szCs w:val="21"/>
        </w:rPr>
      </w:pPr>
      <w:r>
        <w:rPr>
          <w:rFonts w:hint="eastAsia" w:ascii="宋体" w:hAnsi="宋体" w:eastAsia="宋体" w:cs="宋体"/>
          <w:w w:val="95"/>
          <w:sz w:val="21"/>
          <w:szCs w:val="21"/>
        </w:rPr>
        <w:t>修正后的最终投标报价仅作为签订合同的一个依据，不参与评标价得分的计算。</w:t>
      </w:r>
    </w:p>
    <w:p>
      <w:pPr>
        <w:pStyle w:val="5"/>
        <w:numPr>
          <w:ilvl w:val="1"/>
          <w:numId w:val="3"/>
        </w:numPr>
        <w:tabs>
          <w:tab w:val="left" w:pos="701"/>
        </w:tabs>
        <w:spacing w:before="161"/>
        <w:ind w:hanging="481"/>
        <w:rPr>
          <w:rFonts w:hint="eastAsia" w:ascii="宋体" w:hAnsi="宋体" w:eastAsia="宋体" w:cs="宋体"/>
          <w:w w:val="95"/>
          <w:sz w:val="21"/>
          <w:szCs w:val="21"/>
        </w:rPr>
      </w:pPr>
      <w:r>
        <w:rPr>
          <w:rFonts w:hint="eastAsia" w:ascii="宋体" w:hAnsi="宋体" w:eastAsia="宋体" w:cs="宋体"/>
          <w:w w:val="95"/>
          <w:sz w:val="21"/>
          <w:szCs w:val="21"/>
        </w:rPr>
        <w:t>第二个信封详细评审</w:t>
      </w:r>
    </w:p>
    <w:p>
      <w:pPr>
        <w:pStyle w:val="15"/>
        <w:numPr>
          <w:ilvl w:val="2"/>
          <w:numId w:val="3"/>
        </w:numPr>
        <w:tabs>
          <w:tab w:val="left" w:pos="1272"/>
        </w:tabs>
        <w:spacing w:before="159" w:line="364" w:lineRule="auto"/>
        <w:ind w:left="220" w:right="232" w:firstLine="420"/>
        <w:rPr>
          <w:rFonts w:hint="eastAsia" w:ascii="宋体" w:hAnsi="宋体" w:eastAsia="宋体" w:cs="宋体"/>
          <w:sz w:val="21"/>
          <w:szCs w:val="21"/>
        </w:rPr>
      </w:pPr>
      <w:r>
        <w:rPr>
          <w:rFonts w:hint="eastAsia" w:ascii="宋体" w:hAnsi="宋体" w:eastAsia="宋体" w:cs="宋体"/>
          <w:spacing w:val="9"/>
          <w:w w:val="95"/>
          <w:sz w:val="21"/>
          <w:szCs w:val="21"/>
        </w:rPr>
        <w:t xml:space="preserve">评标委员会按本章第 </w:t>
      </w:r>
      <w:r>
        <w:rPr>
          <w:rFonts w:hint="eastAsia" w:ascii="宋体" w:hAnsi="宋体" w:eastAsia="宋体" w:cs="宋体"/>
          <w:w w:val="95"/>
          <w:sz w:val="21"/>
          <w:szCs w:val="21"/>
        </w:rPr>
        <w:t>2.2</w:t>
      </w:r>
      <w:r>
        <w:rPr>
          <w:rFonts w:hint="eastAsia" w:ascii="宋体" w:hAnsi="宋体" w:eastAsia="宋体" w:cs="宋体"/>
          <w:spacing w:val="176"/>
          <w:sz w:val="21"/>
          <w:szCs w:val="21"/>
        </w:rPr>
        <w:t xml:space="preserve"> </w:t>
      </w:r>
      <w:r>
        <w:rPr>
          <w:rFonts w:hint="eastAsia" w:ascii="宋体" w:hAnsi="宋体" w:eastAsia="宋体" w:cs="宋体"/>
          <w:w w:val="95"/>
          <w:sz w:val="21"/>
          <w:szCs w:val="21"/>
        </w:rPr>
        <w:t>款规定的量化因素和分值进行打分，并计算出综合评估得分（即评</w:t>
      </w:r>
      <w:r>
        <w:rPr>
          <w:rFonts w:hint="eastAsia" w:ascii="宋体" w:hAnsi="宋体" w:eastAsia="宋体" w:cs="宋体"/>
          <w:sz w:val="21"/>
          <w:szCs w:val="21"/>
        </w:rPr>
        <w:t>标价得分</w:t>
      </w:r>
      <w:r>
        <w:rPr>
          <w:rFonts w:hint="eastAsia" w:ascii="宋体" w:hAnsi="宋体" w:eastAsia="宋体" w:cs="宋体"/>
          <w:spacing w:val="-104"/>
          <w:sz w:val="21"/>
          <w:szCs w:val="21"/>
        </w:rPr>
        <w:t>）</w:t>
      </w:r>
      <w:r>
        <w:rPr>
          <w:rFonts w:hint="eastAsia" w:ascii="宋体" w:hAnsi="宋体" w:eastAsia="宋体" w:cs="宋体"/>
          <w:sz w:val="21"/>
          <w:szCs w:val="21"/>
        </w:rPr>
        <w:t>。</w:t>
      </w:r>
    </w:p>
    <w:p>
      <w:pPr>
        <w:pStyle w:val="15"/>
        <w:numPr>
          <w:ilvl w:val="2"/>
          <w:numId w:val="3"/>
        </w:numPr>
        <w:tabs>
          <w:tab w:val="left" w:pos="1272"/>
        </w:tabs>
        <w:rPr>
          <w:rFonts w:hint="eastAsia" w:ascii="宋体" w:hAnsi="宋体" w:eastAsia="宋体" w:cs="宋体"/>
          <w:sz w:val="21"/>
          <w:szCs w:val="21"/>
        </w:rPr>
      </w:pPr>
      <w:r>
        <w:rPr>
          <w:rFonts w:hint="eastAsia" w:ascii="宋体" w:hAnsi="宋体" w:eastAsia="宋体" w:cs="宋体"/>
          <w:spacing w:val="-4"/>
          <w:sz w:val="21"/>
          <w:szCs w:val="21"/>
        </w:rPr>
        <w:t>评分分值计算保留小数点后两位，小数点后第三位“四舍五入”。</w:t>
      </w:r>
    </w:p>
    <w:p>
      <w:pPr>
        <w:pStyle w:val="15"/>
        <w:numPr>
          <w:ilvl w:val="2"/>
          <w:numId w:val="3"/>
        </w:numPr>
        <w:tabs>
          <w:tab w:val="left" w:pos="1272"/>
        </w:tabs>
        <w:spacing w:before="142" w:line="364" w:lineRule="auto"/>
        <w:ind w:left="220" w:right="232" w:firstLine="420"/>
        <w:rPr>
          <w:rFonts w:hint="eastAsia" w:ascii="宋体" w:hAnsi="宋体" w:eastAsia="宋体" w:cs="宋体"/>
          <w:sz w:val="21"/>
          <w:szCs w:val="21"/>
        </w:rPr>
      </w:pPr>
      <w:r>
        <w:rPr>
          <w:rFonts w:hint="eastAsia" w:ascii="宋体" w:hAnsi="宋体" w:eastAsia="宋体" w:cs="宋体"/>
          <w:w w:val="95"/>
          <w:sz w:val="21"/>
          <w:szCs w:val="21"/>
        </w:rPr>
        <w:t>评标委员会发现投标人的报价明显低于其他投标报价，使得其投标报价可能低于其个别成本</w:t>
      </w:r>
      <w:r>
        <w:rPr>
          <w:rFonts w:hint="eastAsia" w:ascii="宋体" w:hAnsi="宋体" w:eastAsia="宋体" w:cs="宋体"/>
          <w:spacing w:val="222"/>
          <w:sz w:val="21"/>
          <w:szCs w:val="21"/>
        </w:rPr>
        <w:t xml:space="preserve"> </w:t>
      </w:r>
      <w:r>
        <w:rPr>
          <w:rFonts w:hint="eastAsia" w:ascii="宋体" w:hAnsi="宋体" w:eastAsia="宋体" w:cs="宋体"/>
          <w:w w:val="95"/>
          <w:sz w:val="21"/>
          <w:szCs w:val="21"/>
        </w:rPr>
        <w:t>的，应要求该投标人作出书面说明并提供相应的证明材料。投标人不能合理说明或者不能提供相应证明</w:t>
      </w:r>
    </w:p>
    <w:p>
      <w:pPr>
        <w:pStyle w:val="6"/>
        <w:rPr>
          <w:rFonts w:hint="eastAsia" w:ascii="宋体" w:hAnsi="宋体" w:eastAsia="宋体" w:cs="宋体"/>
          <w:sz w:val="21"/>
          <w:szCs w:val="21"/>
        </w:rPr>
      </w:pPr>
    </w:p>
    <w:p>
      <w:pPr>
        <w:pStyle w:val="6"/>
        <w:spacing w:before="12"/>
        <w:rPr>
          <w:rFonts w:hint="eastAsia" w:ascii="宋体" w:hAnsi="宋体" w:eastAsia="宋体" w:cs="宋体"/>
          <w:sz w:val="21"/>
          <w:szCs w:val="21"/>
        </w:rPr>
      </w:pPr>
    </w:p>
    <w:p>
      <w:pPr>
        <w:ind w:left="220"/>
        <w:rPr>
          <w:rFonts w:hint="eastAsia" w:ascii="宋体" w:hAnsi="宋体" w:eastAsia="宋体" w:cs="宋体"/>
          <w:sz w:val="21"/>
          <w:szCs w:val="21"/>
          <w:vertAlign w:val="superscript"/>
        </w:rPr>
      </w:pPr>
      <w:r>
        <w:rPr>
          <w:rFonts w:hint="eastAsia" w:ascii="宋体" w:hAnsi="宋体" w:eastAsia="宋体" w:cs="宋体"/>
          <w:sz w:val="21"/>
          <w:szCs w:val="21"/>
          <w:vertAlign w:val="superscript"/>
        </w:rPr>
        <w:t>①</w:t>
      </w:r>
      <w:bookmarkStart w:id="11" w:name="_bookmark8"/>
      <w:bookmarkEnd w:id="11"/>
      <w:r>
        <w:rPr>
          <w:rFonts w:hint="eastAsia" w:ascii="宋体" w:hAnsi="宋体" w:eastAsia="宋体" w:cs="宋体"/>
          <w:sz w:val="21"/>
          <w:szCs w:val="21"/>
          <w:vertAlign w:val="superscript"/>
        </w:rPr>
        <w:t>如本项目招标由投标人按照招标人提供的书面工程量清单填写本合同各工程子目的单价、合价和总额价，则评标委员会按照本章第 3.3.2 项和第 3.3.3 项的规定对投标人的投标报价进行修正。如本项目招标由投标人按照招标人提供的工程量</w:t>
      </w:r>
    </w:p>
    <w:p>
      <w:pPr>
        <w:ind w:left="220"/>
        <w:rPr>
          <w:rFonts w:hint="eastAsia" w:ascii="宋体" w:hAnsi="宋体" w:eastAsia="宋体" w:cs="宋体"/>
          <w:sz w:val="21"/>
          <w:szCs w:val="21"/>
          <w:vertAlign w:val="superscript"/>
        </w:rPr>
      </w:pPr>
      <w:r>
        <w:rPr>
          <w:rFonts w:hint="eastAsia" w:ascii="宋体" w:hAnsi="宋体" w:eastAsia="宋体" w:cs="宋体"/>
          <w:sz w:val="21"/>
          <w:szCs w:val="21"/>
          <w:vertAlign w:val="superscript"/>
        </w:rPr>
        <w:t>固化清单电子文件填写工程量，无须按照本章第 3.3.2 项和第 3.3.3 项的规定对投标报价进行修正，第 3.3.2 项至第 3.3.5项内容不适用。</w:t>
      </w:r>
    </w:p>
    <w:p>
      <w:pPr>
        <w:rPr>
          <w:rFonts w:hint="eastAsia" w:ascii="宋体" w:hAnsi="宋体" w:eastAsia="宋体" w:cs="宋体"/>
          <w:sz w:val="21"/>
          <w:szCs w:val="21"/>
        </w:rPr>
        <w:sectPr>
          <w:pgSz w:w="11910" w:h="16840"/>
          <w:pgMar w:top="1400" w:right="760" w:bottom="1080" w:left="1140" w:header="0" w:footer="811" w:gutter="0"/>
          <w:cols w:space="720" w:num="1"/>
        </w:sectPr>
      </w:pPr>
    </w:p>
    <w:p>
      <w:pPr>
        <w:pStyle w:val="6"/>
        <w:spacing w:before="39"/>
        <w:ind w:left="220"/>
        <w:rPr>
          <w:rFonts w:hint="eastAsia" w:ascii="宋体" w:hAnsi="宋体" w:eastAsia="宋体" w:cs="宋体"/>
          <w:sz w:val="21"/>
          <w:szCs w:val="21"/>
        </w:rPr>
      </w:pPr>
      <w:r>
        <w:rPr>
          <w:rFonts w:hint="eastAsia" w:ascii="宋体" w:hAnsi="宋体" w:eastAsia="宋体" w:cs="宋体"/>
          <w:sz w:val="21"/>
          <w:szCs w:val="21"/>
        </w:rPr>
        <w:t>材料的，评标委员会应认定该投标人以低于成本报价竞标，并否决其投标。</w:t>
      </w:r>
    </w:p>
    <w:p>
      <w:pPr>
        <w:pStyle w:val="5"/>
        <w:numPr>
          <w:ilvl w:val="1"/>
          <w:numId w:val="3"/>
        </w:numPr>
        <w:tabs>
          <w:tab w:val="left" w:pos="701"/>
        </w:tabs>
        <w:spacing w:before="143"/>
        <w:ind w:hanging="481"/>
        <w:rPr>
          <w:rFonts w:hint="eastAsia" w:ascii="宋体" w:hAnsi="宋体" w:eastAsia="宋体" w:cs="宋体"/>
          <w:sz w:val="21"/>
          <w:szCs w:val="21"/>
        </w:rPr>
      </w:pPr>
      <w:r>
        <w:rPr>
          <w:rFonts w:hint="eastAsia" w:ascii="宋体" w:hAnsi="宋体" w:eastAsia="宋体" w:cs="宋体"/>
          <w:sz w:val="21"/>
          <w:szCs w:val="21"/>
        </w:rPr>
        <w:t>投标文件相关信息的核查</w:t>
      </w:r>
    </w:p>
    <w:p>
      <w:pPr>
        <w:pStyle w:val="15"/>
        <w:numPr>
          <w:ilvl w:val="2"/>
          <w:numId w:val="3"/>
        </w:numPr>
        <w:tabs>
          <w:tab w:val="left" w:pos="1272"/>
        </w:tabs>
        <w:spacing w:before="159" w:line="364" w:lineRule="auto"/>
        <w:ind w:left="220" w:right="335" w:firstLine="420"/>
        <w:jc w:val="both"/>
        <w:rPr>
          <w:rFonts w:hint="eastAsia" w:ascii="宋体" w:hAnsi="宋体" w:eastAsia="宋体" w:cs="宋体"/>
          <w:sz w:val="21"/>
          <w:szCs w:val="21"/>
        </w:rPr>
      </w:pPr>
      <w:r>
        <w:rPr>
          <w:rFonts w:hint="eastAsia" w:ascii="宋体" w:hAnsi="宋体" w:eastAsia="宋体" w:cs="宋体"/>
          <w:w w:val="95"/>
          <w:sz w:val="21"/>
          <w:szCs w:val="21"/>
        </w:rPr>
        <w:t>在评标过程中，评标委员会应查询交通运输主管部门“公路建设市场信用信息管理系统”，</w:t>
      </w:r>
      <w:r>
        <w:rPr>
          <w:rFonts w:hint="eastAsia" w:ascii="宋体" w:hAnsi="宋体" w:eastAsia="宋体" w:cs="宋体"/>
          <w:spacing w:val="119"/>
          <w:sz w:val="21"/>
          <w:szCs w:val="21"/>
        </w:rPr>
        <w:t xml:space="preserve"> </w:t>
      </w:r>
      <w:r>
        <w:rPr>
          <w:rFonts w:hint="eastAsia" w:ascii="宋体" w:hAnsi="宋体" w:eastAsia="宋体" w:cs="宋体"/>
          <w:w w:val="95"/>
          <w:sz w:val="21"/>
          <w:szCs w:val="21"/>
        </w:rPr>
        <w:t>对投标人的资质、业绩、主要人员资历和目前在岗情况、信用等级等信息进行核实。若投标文件载明的</w:t>
      </w:r>
      <w:r>
        <w:rPr>
          <w:rFonts w:hint="eastAsia" w:ascii="宋体" w:hAnsi="宋体" w:eastAsia="宋体" w:cs="宋体"/>
          <w:spacing w:val="174"/>
          <w:sz w:val="21"/>
          <w:szCs w:val="21"/>
        </w:rPr>
        <w:t xml:space="preserve"> </w:t>
      </w:r>
      <w:r>
        <w:rPr>
          <w:rFonts w:hint="eastAsia" w:ascii="宋体" w:hAnsi="宋体" w:eastAsia="宋体" w:cs="宋体"/>
          <w:w w:val="95"/>
          <w:sz w:val="21"/>
          <w:szCs w:val="21"/>
        </w:rPr>
        <w:t>信息与交通运输主管部门“公路建设市场信用信息管理系统”发布的信息不符，使得投标人的资格条件</w:t>
      </w:r>
      <w:r>
        <w:rPr>
          <w:rFonts w:hint="eastAsia" w:ascii="宋体" w:hAnsi="宋体" w:eastAsia="宋体" w:cs="宋体"/>
          <w:spacing w:val="163"/>
          <w:sz w:val="21"/>
          <w:szCs w:val="21"/>
        </w:rPr>
        <w:t xml:space="preserve"> </w:t>
      </w:r>
      <w:r>
        <w:rPr>
          <w:rFonts w:hint="eastAsia" w:ascii="宋体" w:hAnsi="宋体" w:eastAsia="宋体" w:cs="宋体"/>
          <w:sz w:val="21"/>
          <w:szCs w:val="21"/>
        </w:rPr>
        <w:t>不符合招标文件规定的，评标委员会应当否决其投标。</w:t>
      </w:r>
    </w:p>
    <w:p>
      <w:pPr>
        <w:pStyle w:val="15"/>
        <w:numPr>
          <w:ilvl w:val="2"/>
          <w:numId w:val="3"/>
        </w:numPr>
        <w:tabs>
          <w:tab w:val="left" w:pos="1272"/>
        </w:tabs>
        <w:spacing w:before="1" w:line="367" w:lineRule="auto"/>
        <w:ind w:left="220" w:right="335" w:firstLine="420"/>
        <w:jc w:val="both"/>
        <w:rPr>
          <w:rFonts w:hint="eastAsia" w:ascii="宋体" w:hAnsi="宋体" w:eastAsia="宋体" w:cs="宋体"/>
          <w:sz w:val="21"/>
          <w:szCs w:val="21"/>
        </w:rPr>
      </w:pPr>
      <w:r>
        <w:rPr>
          <w:rFonts w:hint="eastAsia" w:ascii="宋体" w:hAnsi="宋体" w:eastAsia="宋体" w:cs="宋体"/>
          <w:w w:val="95"/>
          <w:sz w:val="21"/>
          <w:szCs w:val="21"/>
        </w:rPr>
        <w:t>评标委员会应对在评标过程中发现的投标人与投标人之间、投标人与招标人之间存在的串通</w:t>
      </w:r>
      <w:r>
        <w:rPr>
          <w:rFonts w:hint="eastAsia" w:ascii="宋体" w:hAnsi="宋体" w:eastAsia="宋体" w:cs="宋体"/>
          <w:spacing w:val="119"/>
          <w:sz w:val="21"/>
          <w:szCs w:val="21"/>
        </w:rPr>
        <w:t xml:space="preserve"> </w:t>
      </w:r>
      <w:r>
        <w:rPr>
          <w:rFonts w:hint="eastAsia" w:ascii="宋体" w:hAnsi="宋体" w:eastAsia="宋体" w:cs="宋体"/>
          <w:w w:val="95"/>
          <w:sz w:val="21"/>
          <w:szCs w:val="21"/>
        </w:rPr>
        <w:t>投标的情形进行评审和认定。投标人存在串通投标、弄虚作假、行贿等违法行为的，评标委员会应否决</w:t>
      </w:r>
      <w:r>
        <w:rPr>
          <w:rFonts w:hint="eastAsia" w:ascii="宋体" w:hAnsi="宋体" w:eastAsia="宋体" w:cs="宋体"/>
          <w:spacing w:val="163"/>
          <w:sz w:val="21"/>
          <w:szCs w:val="21"/>
        </w:rPr>
        <w:t xml:space="preserve"> </w:t>
      </w:r>
      <w:r>
        <w:rPr>
          <w:rFonts w:hint="eastAsia" w:ascii="宋体" w:hAnsi="宋体" w:eastAsia="宋体" w:cs="宋体"/>
          <w:sz w:val="21"/>
          <w:szCs w:val="21"/>
        </w:rPr>
        <w:t>其投标。</w:t>
      </w:r>
    </w:p>
    <w:p>
      <w:pPr>
        <w:pStyle w:val="15"/>
        <w:numPr>
          <w:ilvl w:val="0"/>
          <w:numId w:val="7"/>
        </w:numPr>
        <w:tabs>
          <w:tab w:val="left" w:pos="1170"/>
        </w:tabs>
        <w:spacing w:line="367" w:lineRule="auto"/>
        <w:ind w:right="4321" w:firstLine="0"/>
        <w:rPr>
          <w:rFonts w:hint="eastAsia" w:ascii="宋体" w:hAnsi="宋体" w:eastAsia="宋体" w:cs="宋体"/>
          <w:sz w:val="21"/>
          <w:szCs w:val="21"/>
        </w:rPr>
      </w:pPr>
      <w:r>
        <w:rPr>
          <w:rFonts w:hint="eastAsia" w:ascii="宋体" w:hAnsi="宋体" w:eastAsia="宋体" w:cs="宋体"/>
          <w:sz w:val="21"/>
          <w:szCs w:val="21"/>
        </w:rPr>
        <w:t>有下列情形之一的，属于投标人相互串通投标：</w:t>
      </w:r>
      <w:r>
        <w:rPr>
          <w:rFonts w:hint="eastAsia" w:ascii="宋体" w:hAnsi="宋体" w:eastAsia="宋体" w:cs="宋体"/>
          <w:spacing w:val="1"/>
          <w:sz w:val="21"/>
          <w:szCs w:val="21"/>
        </w:rPr>
        <w:t xml:space="preserve"> </w:t>
      </w:r>
      <w:r>
        <w:rPr>
          <w:rFonts w:hint="eastAsia" w:ascii="宋体" w:hAnsi="宋体" w:eastAsia="宋体" w:cs="宋体"/>
          <w:w w:val="95"/>
          <w:sz w:val="21"/>
          <w:szCs w:val="21"/>
        </w:rPr>
        <w:t>a.投标人之间协商投标报价等投标文件的实质性内容；</w:t>
      </w:r>
      <w:r>
        <w:rPr>
          <w:rFonts w:hint="eastAsia" w:ascii="宋体" w:hAnsi="宋体" w:eastAsia="宋体" w:cs="宋体"/>
          <w:spacing w:val="1"/>
          <w:w w:val="95"/>
          <w:sz w:val="21"/>
          <w:szCs w:val="21"/>
        </w:rPr>
        <w:t xml:space="preserve"> </w:t>
      </w:r>
    </w:p>
    <w:p>
      <w:pPr>
        <w:pStyle w:val="15"/>
        <w:tabs>
          <w:tab w:val="left" w:pos="1170"/>
        </w:tabs>
        <w:spacing w:line="367" w:lineRule="auto"/>
        <w:ind w:left="645" w:right="4321" w:firstLine="0"/>
        <w:rPr>
          <w:rFonts w:hint="eastAsia" w:ascii="宋体" w:hAnsi="宋体" w:eastAsia="宋体" w:cs="宋体"/>
          <w:sz w:val="21"/>
          <w:szCs w:val="21"/>
        </w:rPr>
      </w:pPr>
      <w:r>
        <w:rPr>
          <w:rFonts w:hint="eastAsia" w:ascii="宋体" w:hAnsi="宋体" w:eastAsia="宋体" w:cs="宋体"/>
          <w:sz w:val="21"/>
          <w:szCs w:val="21"/>
        </w:rPr>
        <w:t>b.投标人之间约定中标人；</w:t>
      </w:r>
    </w:p>
    <w:p>
      <w:pPr>
        <w:pStyle w:val="6"/>
        <w:spacing w:line="263" w:lineRule="exact"/>
        <w:ind w:left="645"/>
        <w:rPr>
          <w:rFonts w:hint="eastAsia" w:ascii="宋体" w:hAnsi="宋体" w:eastAsia="宋体" w:cs="宋体"/>
          <w:sz w:val="21"/>
          <w:szCs w:val="21"/>
        </w:rPr>
      </w:pPr>
      <w:r>
        <w:rPr>
          <w:rFonts w:hint="eastAsia" w:ascii="宋体" w:hAnsi="宋体" w:eastAsia="宋体" w:cs="宋体"/>
          <w:sz w:val="21"/>
          <w:szCs w:val="21"/>
        </w:rPr>
        <w:t>c.投标人之间约定部分投标人放弃投标或者中标；</w:t>
      </w:r>
    </w:p>
    <w:p>
      <w:pPr>
        <w:pStyle w:val="6"/>
        <w:spacing w:before="135" w:line="364" w:lineRule="auto"/>
        <w:ind w:left="645" w:right="2221"/>
        <w:rPr>
          <w:rFonts w:hint="eastAsia" w:ascii="宋体" w:hAnsi="宋体" w:eastAsia="宋体" w:cs="宋体"/>
          <w:spacing w:val="52"/>
          <w:w w:val="95"/>
          <w:sz w:val="21"/>
          <w:szCs w:val="21"/>
        </w:rPr>
      </w:pPr>
      <w:r>
        <w:rPr>
          <w:rFonts w:hint="eastAsia" w:ascii="宋体" w:hAnsi="宋体" w:eastAsia="宋体" w:cs="宋体"/>
          <w:w w:val="95"/>
          <w:sz w:val="21"/>
          <w:szCs w:val="21"/>
        </w:rPr>
        <w:t>d.属于同一集团、协会、商会等组织成员的投标人按照该组织要求协同投标；</w:t>
      </w:r>
      <w:r>
        <w:rPr>
          <w:rFonts w:hint="eastAsia" w:ascii="宋体" w:hAnsi="宋体" w:eastAsia="宋体" w:cs="宋体"/>
          <w:spacing w:val="52"/>
          <w:w w:val="95"/>
          <w:sz w:val="21"/>
          <w:szCs w:val="21"/>
        </w:rPr>
        <w:t xml:space="preserve"> </w:t>
      </w:r>
    </w:p>
    <w:p>
      <w:pPr>
        <w:pStyle w:val="6"/>
        <w:spacing w:before="135" w:line="364" w:lineRule="auto"/>
        <w:ind w:left="645" w:right="2221"/>
        <w:rPr>
          <w:rFonts w:hint="eastAsia" w:ascii="宋体" w:hAnsi="宋体" w:eastAsia="宋体" w:cs="宋体"/>
          <w:sz w:val="21"/>
          <w:szCs w:val="21"/>
        </w:rPr>
      </w:pPr>
      <w:r>
        <w:rPr>
          <w:rFonts w:hint="eastAsia" w:ascii="宋体" w:hAnsi="宋体" w:eastAsia="宋体" w:cs="宋体"/>
          <w:sz w:val="21"/>
          <w:szCs w:val="21"/>
        </w:rPr>
        <w:t>e.投标人之间为谋取中标或排斥特定投标人而采取的其他联合行动。</w:t>
      </w:r>
    </w:p>
    <w:p>
      <w:pPr>
        <w:pStyle w:val="15"/>
        <w:numPr>
          <w:ilvl w:val="0"/>
          <w:numId w:val="7"/>
        </w:numPr>
        <w:tabs>
          <w:tab w:val="left" w:pos="1118"/>
        </w:tabs>
        <w:spacing w:before="1" w:line="364" w:lineRule="auto"/>
        <w:ind w:left="592" w:right="4480" w:firstLine="0"/>
        <w:rPr>
          <w:rFonts w:hint="eastAsia" w:ascii="宋体" w:hAnsi="宋体" w:eastAsia="宋体" w:cs="宋体"/>
          <w:sz w:val="21"/>
          <w:szCs w:val="21"/>
        </w:rPr>
      </w:pPr>
      <w:r>
        <w:rPr>
          <w:rFonts w:hint="eastAsia" w:ascii="宋体" w:hAnsi="宋体" w:eastAsia="宋体" w:cs="宋体"/>
          <w:w w:val="95"/>
          <w:sz w:val="21"/>
          <w:szCs w:val="21"/>
        </w:rPr>
        <w:t>有下列情形之一的，视为投标人相互串通投标：</w:t>
      </w:r>
      <w:r>
        <w:rPr>
          <w:rFonts w:hint="eastAsia" w:ascii="宋体" w:hAnsi="宋体" w:eastAsia="宋体" w:cs="宋体"/>
          <w:spacing w:val="1"/>
          <w:w w:val="95"/>
          <w:sz w:val="21"/>
          <w:szCs w:val="21"/>
        </w:rPr>
        <w:t xml:space="preserve"> </w:t>
      </w:r>
    </w:p>
    <w:p>
      <w:pPr>
        <w:pStyle w:val="15"/>
        <w:tabs>
          <w:tab w:val="left" w:pos="1118"/>
        </w:tabs>
        <w:spacing w:before="1" w:line="364" w:lineRule="auto"/>
        <w:ind w:left="592" w:right="4480" w:firstLine="0"/>
        <w:rPr>
          <w:rFonts w:hint="eastAsia" w:ascii="宋体" w:hAnsi="宋体" w:eastAsia="宋体" w:cs="宋体"/>
          <w:sz w:val="21"/>
          <w:szCs w:val="21"/>
        </w:rPr>
      </w:pPr>
      <w:r>
        <w:rPr>
          <w:rFonts w:hint="eastAsia" w:ascii="宋体" w:hAnsi="宋体" w:eastAsia="宋体" w:cs="宋体"/>
          <w:sz w:val="21"/>
          <w:szCs w:val="21"/>
        </w:rPr>
        <w:t>a.不同投标人的投标文件由同一单位或者个人编制；</w:t>
      </w:r>
      <w:r>
        <w:rPr>
          <w:rFonts w:hint="eastAsia" w:ascii="宋体" w:hAnsi="宋体" w:eastAsia="宋体" w:cs="宋体"/>
          <w:spacing w:val="1"/>
          <w:sz w:val="21"/>
          <w:szCs w:val="21"/>
        </w:rPr>
        <w:t xml:space="preserve"> </w:t>
      </w:r>
      <w:r>
        <w:rPr>
          <w:rFonts w:hint="eastAsia" w:ascii="宋体" w:hAnsi="宋体" w:eastAsia="宋体" w:cs="宋体"/>
          <w:sz w:val="21"/>
          <w:szCs w:val="21"/>
        </w:rPr>
        <w:t>b.不同投标人委托同一单位或者个人办理投标事宜；</w:t>
      </w:r>
    </w:p>
    <w:p>
      <w:pPr>
        <w:pStyle w:val="6"/>
        <w:spacing w:before="2"/>
        <w:ind w:left="592"/>
        <w:rPr>
          <w:rFonts w:hint="eastAsia" w:ascii="宋体" w:hAnsi="宋体" w:eastAsia="宋体" w:cs="宋体"/>
          <w:sz w:val="21"/>
          <w:szCs w:val="21"/>
        </w:rPr>
      </w:pPr>
      <w:r>
        <w:rPr>
          <w:rFonts w:hint="eastAsia" w:ascii="宋体" w:hAnsi="宋体" w:eastAsia="宋体" w:cs="宋体"/>
          <w:sz w:val="21"/>
          <w:szCs w:val="21"/>
        </w:rPr>
        <w:t>c.不同投标人的投标文件载明的项目管理成员为同一人；</w:t>
      </w:r>
    </w:p>
    <w:p>
      <w:pPr>
        <w:pStyle w:val="6"/>
        <w:spacing w:before="141" w:line="364" w:lineRule="auto"/>
        <w:ind w:left="592" w:right="3622"/>
        <w:rPr>
          <w:rFonts w:hint="eastAsia" w:ascii="宋体" w:hAnsi="宋体" w:eastAsia="宋体" w:cs="宋体"/>
          <w:spacing w:val="1"/>
          <w:w w:val="95"/>
          <w:sz w:val="21"/>
          <w:szCs w:val="21"/>
        </w:rPr>
      </w:pPr>
      <w:r>
        <w:rPr>
          <w:rFonts w:hint="eastAsia" w:ascii="宋体" w:hAnsi="宋体" w:eastAsia="宋体" w:cs="宋体"/>
          <w:w w:val="95"/>
          <w:sz w:val="21"/>
          <w:szCs w:val="21"/>
        </w:rPr>
        <w:t>d.不同投标人的投标文件异常一致或者投标报价呈规律性差异；</w:t>
      </w:r>
      <w:r>
        <w:rPr>
          <w:rFonts w:hint="eastAsia" w:ascii="宋体" w:hAnsi="宋体" w:eastAsia="宋体" w:cs="宋体"/>
          <w:spacing w:val="1"/>
          <w:w w:val="95"/>
          <w:sz w:val="21"/>
          <w:szCs w:val="21"/>
        </w:rPr>
        <w:t xml:space="preserve"> </w:t>
      </w:r>
    </w:p>
    <w:p>
      <w:pPr>
        <w:pStyle w:val="6"/>
        <w:spacing w:before="141" w:line="364" w:lineRule="auto"/>
        <w:ind w:left="592" w:right="3622"/>
        <w:rPr>
          <w:rFonts w:hint="eastAsia" w:ascii="宋体" w:hAnsi="宋体" w:eastAsia="宋体" w:cs="宋体"/>
          <w:sz w:val="21"/>
          <w:szCs w:val="21"/>
        </w:rPr>
      </w:pPr>
      <w:r>
        <w:rPr>
          <w:rFonts w:hint="eastAsia" w:ascii="宋体" w:hAnsi="宋体" w:eastAsia="宋体" w:cs="宋体"/>
          <w:sz w:val="21"/>
          <w:szCs w:val="21"/>
        </w:rPr>
        <w:t>e.不同投标人的投标文件相互混装；</w:t>
      </w:r>
    </w:p>
    <w:p>
      <w:pPr>
        <w:pStyle w:val="6"/>
        <w:ind w:left="592"/>
        <w:rPr>
          <w:rFonts w:hint="eastAsia" w:ascii="宋体" w:hAnsi="宋体" w:eastAsia="宋体" w:cs="宋体"/>
          <w:sz w:val="21"/>
          <w:szCs w:val="21"/>
        </w:rPr>
      </w:pPr>
      <w:r>
        <w:rPr>
          <w:rFonts w:hint="eastAsia" w:ascii="宋体" w:hAnsi="宋体" w:eastAsia="宋体" w:cs="宋体"/>
          <w:sz w:val="21"/>
          <w:szCs w:val="21"/>
        </w:rPr>
        <w:t>f.不同投标人的投标保证金从同一单位或者个人的账户转出。</w:t>
      </w:r>
    </w:p>
    <w:p>
      <w:pPr>
        <w:pStyle w:val="15"/>
        <w:numPr>
          <w:ilvl w:val="0"/>
          <w:numId w:val="7"/>
        </w:numPr>
        <w:tabs>
          <w:tab w:val="left" w:pos="1118"/>
        </w:tabs>
        <w:spacing w:before="139"/>
        <w:ind w:left="1117" w:hanging="526"/>
        <w:rPr>
          <w:rFonts w:hint="eastAsia" w:ascii="宋体" w:hAnsi="宋体" w:eastAsia="宋体" w:cs="宋体"/>
          <w:sz w:val="21"/>
          <w:szCs w:val="21"/>
        </w:rPr>
      </w:pPr>
      <w:r>
        <w:rPr>
          <w:rFonts w:hint="eastAsia" w:ascii="宋体" w:hAnsi="宋体" w:eastAsia="宋体" w:cs="宋体"/>
          <w:sz w:val="21"/>
          <w:szCs w:val="21"/>
        </w:rPr>
        <w:t>有下列情形之一的，属于招标人与投标人串通投标：</w:t>
      </w:r>
    </w:p>
    <w:p>
      <w:pPr>
        <w:pStyle w:val="15"/>
        <w:numPr>
          <w:ilvl w:val="0"/>
          <w:numId w:val="8"/>
        </w:numPr>
        <w:tabs>
          <w:tab w:val="left" w:pos="804"/>
        </w:tabs>
        <w:spacing w:before="142"/>
        <w:rPr>
          <w:rFonts w:hint="eastAsia" w:ascii="宋体" w:hAnsi="宋体" w:eastAsia="宋体" w:cs="宋体"/>
          <w:sz w:val="21"/>
          <w:szCs w:val="21"/>
        </w:rPr>
      </w:pPr>
      <w:r>
        <w:rPr>
          <w:rFonts w:hint="eastAsia" w:ascii="宋体" w:hAnsi="宋体" w:eastAsia="宋体" w:cs="宋体"/>
          <w:sz w:val="21"/>
          <w:szCs w:val="21"/>
        </w:rPr>
        <w:t>招标人在开标前开启投标文件并将有关信息泄露给其他投标人;</w:t>
      </w:r>
    </w:p>
    <w:p>
      <w:pPr>
        <w:pStyle w:val="15"/>
        <w:numPr>
          <w:ilvl w:val="0"/>
          <w:numId w:val="8"/>
        </w:numPr>
        <w:tabs>
          <w:tab w:val="left" w:pos="804"/>
        </w:tabs>
        <w:spacing w:before="141" w:line="364" w:lineRule="auto"/>
        <w:ind w:left="592" w:right="3112" w:firstLine="0"/>
        <w:rPr>
          <w:rFonts w:hint="eastAsia" w:ascii="宋体" w:hAnsi="宋体" w:eastAsia="宋体" w:cs="宋体"/>
          <w:sz w:val="21"/>
          <w:szCs w:val="21"/>
        </w:rPr>
      </w:pPr>
      <w:r>
        <w:rPr>
          <w:rFonts w:hint="eastAsia" w:ascii="宋体" w:hAnsi="宋体" w:eastAsia="宋体" w:cs="宋体"/>
          <w:w w:val="95"/>
          <w:sz w:val="21"/>
          <w:szCs w:val="21"/>
        </w:rPr>
        <w:t>招标人直接或者间接向投标人泄露标底、评标委员会成员等信息；</w:t>
      </w:r>
      <w:r>
        <w:rPr>
          <w:rFonts w:hint="eastAsia" w:ascii="宋体" w:hAnsi="宋体" w:eastAsia="宋体" w:cs="宋体"/>
          <w:spacing w:val="1"/>
          <w:w w:val="95"/>
          <w:sz w:val="21"/>
          <w:szCs w:val="21"/>
        </w:rPr>
        <w:t xml:space="preserve"> </w:t>
      </w:r>
    </w:p>
    <w:p>
      <w:pPr>
        <w:pStyle w:val="15"/>
        <w:tabs>
          <w:tab w:val="left" w:pos="804"/>
        </w:tabs>
        <w:spacing w:before="141" w:line="364" w:lineRule="auto"/>
        <w:ind w:left="592" w:right="3112" w:firstLine="0"/>
        <w:rPr>
          <w:rFonts w:hint="eastAsia" w:ascii="宋体" w:hAnsi="宋体" w:eastAsia="宋体" w:cs="宋体"/>
          <w:sz w:val="21"/>
          <w:szCs w:val="21"/>
        </w:rPr>
      </w:pPr>
      <w:r>
        <w:rPr>
          <w:rFonts w:hint="eastAsia" w:ascii="宋体" w:hAnsi="宋体" w:eastAsia="宋体" w:cs="宋体"/>
          <w:sz w:val="21"/>
          <w:szCs w:val="21"/>
        </w:rPr>
        <w:t>c.招标人明示或者暗示投标人压低或者抬高投标报价；</w:t>
      </w:r>
    </w:p>
    <w:p>
      <w:pPr>
        <w:pStyle w:val="15"/>
        <w:numPr>
          <w:ilvl w:val="0"/>
          <w:numId w:val="9"/>
        </w:numPr>
        <w:tabs>
          <w:tab w:val="left" w:pos="804"/>
        </w:tabs>
        <w:spacing w:before="1"/>
        <w:rPr>
          <w:rFonts w:hint="eastAsia" w:ascii="宋体" w:hAnsi="宋体" w:eastAsia="宋体" w:cs="宋体"/>
          <w:sz w:val="21"/>
          <w:szCs w:val="21"/>
        </w:rPr>
      </w:pPr>
      <w:r>
        <w:rPr>
          <w:rFonts w:hint="eastAsia" w:ascii="宋体" w:hAnsi="宋体" w:eastAsia="宋体" w:cs="宋体"/>
          <w:sz w:val="21"/>
          <w:szCs w:val="21"/>
        </w:rPr>
        <w:t>招标人授意投标人撤换、修改投标文件；</w:t>
      </w:r>
    </w:p>
    <w:p>
      <w:pPr>
        <w:pStyle w:val="15"/>
        <w:numPr>
          <w:ilvl w:val="0"/>
          <w:numId w:val="9"/>
        </w:numPr>
        <w:tabs>
          <w:tab w:val="left" w:pos="804"/>
        </w:tabs>
        <w:spacing w:before="141"/>
        <w:rPr>
          <w:rFonts w:hint="eastAsia" w:ascii="宋体" w:hAnsi="宋体" w:eastAsia="宋体" w:cs="宋体"/>
          <w:sz w:val="21"/>
          <w:szCs w:val="21"/>
        </w:rPr>
      </w:pPr>
      <w:r>
        <w:rPr>
          <w:rFonts w:hint="eastAsia" w:ascii="宋体" w:hAnsi="宋体" w:eastAsia="宋体" w:cs="宋体"/>
          <w:sz w:val="21"/>
          <w:szCs w:val="21"/>
        </w:rPr>
        <w:t>招标人明示或者暗示投标人为特定投标人中标提供方便；</w:t>
      </w:r>
    </w:p>
    <w:p>
      <w:pPr>
        <w:pStyle w:val="15"/>
        <w:numPr>
          <w:ilvl w:val="0"/>
          <w:numId w:val="9"/>
        </w:numPr>
        <w:tabs>
          <w:tab w:val="left" w:pos="804"/>
        </w:tabs>
        <w:spacing w:before="139"/>
        <w:rPr>
          <w:rFonts w:hint="eastAsia" w:ascii="宋体" w:hAnsi="宋体" w:eastAsia="宋体" w:cs="宋体"/>
          <w:sz w:val="21"/>
          <w:szCs w:val="21"/>
        </w:rPr>
      </w:pPr>
      <w:r>
        <w:rPr>
          <w:rFonts w:hint="eastAsia" w:ascii="宋体" w:hAnsi="宋体" w:eastAsia="宋体" w:cs="宋体"/>
          <w:sz w:val="21"/>
          <w:szCs w:val="21"/>
        </w:rPr>
        <w:t>招标人与投标人为谋求特定投标人中标而采取的其他串通行为。</w:t>
      </w:r>
    </w:p>
    <w:p>
      <w:pPr>
        <w:pStyle w:val="15"/>
        <w:numPr>
          <w:ilvl w:val="0"/>
          <w:numId w:val="7"/>
        </w:numPr>
        <w:tabs>
          <w:tab w:val="left" w:pos="1118"/>
        </w:tabs>
        <w:spacing w:before="141"/>
        <w:ind w:left="1117" w:hanging="526"/>
        <w:rPr>
          <w:rFonts w:hint="eastAsia" w:ascii="宋体" w:hAnsi="宋体" w:eastAsia="宋体" w:cs="宋体"/>
          <w:sz w:val="21"/>
          <w:szCs w:val="21"/>
        </w:rPr>
      </w:pPr>
      <w:r>
        <w:rPr>
          <w:rFonts w:hint="eastAsia" w:ascii="宋体" w:hAnsi="宋体" w:eastAsia="宋体" w:cs="宋体"/>
          <w:sz w:val="21"/>
          <w:szCs w:val="21"/>
        </w:rPr>
        <w:t>投标人有下列情形之一的，属于弄虚作假的行为：</w:t>
      </w:r>
    </w:p>
    <w:p>
      <w:pPr>
        <w:pStyle w:val="6"/>
        <w:spacing w:before="139" w:line="367" w:lineRule="auto"/>
        <w:ind w:left="592" w:right="3906"/>
        <w:rPr>
          <w:rFonts w:hint="eastAsia" w:ascii="宋体" w:hAnsi="宋体" w:eastAsia="宋体" w:cs="宋体"/>
          <w:sz w:val="21"/>
          <w:szCs w:val="21"/>
        </w:rPr>
      </w:pPr>
      <w:r>
        <w:rPr>
          <w:rFonts w:hint="eastAsia" w:ascii="宋体" w:hAnsi="宋体" w:eastAsia="宋体" w:cs="宋体"/>
          <w:w w:val="95"/>
          <w:sz w:val="21"/>
          <w:szCs w:val="21"/>
        </w:rPr>
        <w:t>a.使用通过受让或者租借等方式获取的资格、资质证书投标；</w:t>
      </w:r>
      <w:r>
        <w:rPr>
          <w:rFonts w:hint="eastAsia" w:ascii="宋体" w:hAnsi="宋体" w:eastAsia="宋体" w:cs="宋体"/>
          <w:spacing w:val="1"/>
          <w:w w:val="95"/>
          <w:sz w:val="21"/>
          <w:szCs w:val="21"/>
        </w:rPr>
        <w:t xml:space="preserve"> </w:t>
      </w:r>
      <w:r>
        <w:rPr>
          <w:rFonts w:hint="eastAsia" w:ascii="宋体" w:hAnsi="宋体" w:eastAsia="宋体" w:cs="宋体"/>
          <w:sz w:val="21"/>
          <w:szCs w:val="21"/>
        </w:rPr>
        <w:t>b.使用伪造、变造的许可证件；</w:t>
      </w:r>
    </w:p>
    <w:p>
      <w:pPr>
        <w:pStyle w:val="15"/>
        <w:numPr>
          <w:ilvl w:val="0"/>
          <w:numId w:val="10"/>
        </w:numPr>
        <w:tabs>
          <w:tab w:val="left" w:pos="804"/>
        </w:tabs>
        <w:spacing w:line="267" w:lineRule="exact"/>
        <w:rPr>
          <w:rFonts w:hint="eastAsia" w:ascii="宋体" w:hAnsi="宋体" w:eastAsia="宋体" w:cs="宋体"/>
          <w:sz w:val="21"/>
          <w:szCs w:val="21"/>
        </w:rPr>
      </w:pPr>
      <w:r>
        <w:rPr>
          <w:rFonts w:hint="eastAsia" w:ascii="宋体" w:hAnsi="宋体" w:eastAsia="宋体" w:cs="宋体"/>
          <w:sz w:val="21"/>
          <w:szCs w:val="21"/>
        </w:rPr>
        <w:t>提供虚假的财务状况或者业绩；</w:t>
      </w:r>
    </w:p>
    <w:p>
      <w:pPr>
        <w:pStyle w:val="15"/>
        <w:numPr>
          <w:ilvl w:val="0"/>
          <w:numId w:val="10"/>
        </w:numPr>
        <w:tabs>
          <w:tab w:val="left" w:pos="804"/>
        </w:tabs>
        <w:spacing w:before="139"/>
        <w:rPr>
          <w:rFonts w:hint="eastAsia" w:ascii="宋体" w:hAnsi="宋体" w:eastAsia="宋体" w:cs="宋体"/>
          <w:sz w:val="21"/>
          <w:szCs w:val="21"/>
        </w:rPr>
      </w:pPr>
      <w:r>
        <w:rPr>
          <w:rFonts w:hint="eastAsia" w:ascii="宋体" w:hAnsi="宋体" w:eastAsia="宋体" w:cs="宋体"/>
          <w:sz w:val="21"/>
          <w:szCs w:val="21"/>
        </w:rPr>
        <w:t>提供虚假的项目负责人或者主要技术人员简历、劳动关系证明；</w:t>
      </w:r>
    </w:p>
    <w:p>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816"/>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815"/>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815"/>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4211F"/>
    <w:multiLevelType w:val="singleLevel"/>
    <w:tmpl w:val="F3E4211F"/>
    <w:lvl w:ilvl="0" w:tentative="0">
      <w:start w:val="3"/>
      <w:numFmt w:val="chineseCounting"/>
      <w:suff w:val="nothing"/>
      <w:lvlText w:val="%1、"/>
      <w:lvlJc w:val="left"/>
      <w:rPr>
        <w:rFonts w:hint="eastAsia"/>
      </w:rPr>
    </w:lvl>
  </w:abstractNum>
  <w:abstractNum w:abstractNumId="1">
    <w:nsid w:val="09B64C6A"/>
    <w:multiLevelType w:val="multilevel"/>
    <w:tmpl w:val="09B64C6A"/>
    <w:lvl w:ilvl="0" w:tentative="0">
      <w:start w:val="3"/>
      <w:numFmt w:val="lowerLetter"/>
      <w:lvlText w:val="%1."/>
      <w:lvlJc w:val="left"/>
      <w:pPr>
        <w:ind w:left="804" w:hanging="212"/>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720" w:hanging="212"/>
      </w:pPr>
      <w:rPr>
        <w:rFonts w:hint="default"/>
        <w:lang w:val="en-US" w:eastAsia="zh-CN" w:bidi="ar-SA"/>
      </w:rPr>
    </w:lvl>
    <w:lvl w:ilvl="2" w:tentative="0">
      <w:start w:val="0"/>
      <w:numFmt w:val="bullet"/>
      <w:lvlText w:val="•"/>
      <w:lvlJc w:val="left"/>
      <w:pPr>
        <w:ind w:left="2641" w:hanging="212"/>
      </w:pPr>
      <w:rPr>
        <w:rFonts w:hint="default"/>
        <w:lang w:val="en-US" w:eastAsia="zh-CN" w:bidi="ar-SA"/>
      </w:rPr>
    </w:lvl>
    <w:lvl w:ilvl="3" w:tentative="0">
      <w:start w:val="0"/>
      <w:numFmt w:val="bullet"/>
      <w:lvlText w:val="•"/>
      <w:lvlJc w:val="left"/>
      <w:pPr>
        <w:ind w:left="3562" w:hanging="212"/>
      </w:pPr>
      <w:rPr>
        <w:rFonts w:hint="default"/>
        <w:lang w:val="en-US" w:eastAsia="zh-CN" w:bidi="ar-SA"/>
      </w:rPr>
    </w:lvl>
    <w:lvl w:ilvl="4" w:tentative="0">
      <w:start w:val="0"/>
      <w:numFmt w:val="bullet"/>
      <w:lvlText w:val="•"/>
      <w:lvlJc w:val="left"/>
      <w:pPr>
        <w:ind w:left="4482" w:hanging="212"/>
      </w:pPr>
      <w:rPr>
        <w:rFonts w:hint="default"/>
        <w:lang w:val="en-US" w:eastAsia="zh-CN" w:bidi="ar-SA"/>
      </w:rPr>
    </w:lvl>
    <w:lvl w:ilvl="5" w:tentative="0">
      <w:start w:val="0"/>
      <w:numFmt w:val="bullet"/>
      <w:lvlText w:val="•"/>
      <w:lvlJc w:val="left"/>
      <w:pPr>
        <w:ind w:left="5403" w:hanging="212"/>
      </w:pPr>
      <w:rPr>
        <w:rFonts w:hint="default"/>
        <w:lang w:val="en-US" w:eastAsia="zh-CN" w:bidi="ar-SA"/>
      </w:rPr>
    </w:lvl>
    <w:lvl w:ilvl="6" w:tentative="0">
      <w:start w:val="0"/>
      <w:numFmt w:val="bullet"/>
      <w:lvlText w:val="•"/>
      <w:lvlJc w:val="left"/>
      <w:pPr>
        <w:ind w:left="6324" w:hanging="212"/>
      </w:pPr>
      <w:rPr>
        <w:rFonts w:hint="default"/>
        <w:lang w:val="en-US" w:eastAsia="zh-CN" w:bidi="ar-SA"/>
      </w:rPr>
    </w:lvl>
    <w:lvl w:ilvl="7" w:tentative="0">
      <w:start w:val="0"/>
      <w:numFmt w:val="bullet"/>
      <w:lvlText w:val="•"/>
      <w:lvlJc w:val="left"/>
      <w:pPr>
        <w:ind w:left="7244" w:hanging="212"/>
      </w:pPr>
      <w:rPr>
        <w:rFonts w:hint="default"/>
        <w:lang w:val="en-US" w:eastAsia="zh-CN" w:bidi="ar-SA"/>
      </w:rPr>
    </w:lvl>
    <w:lvl w:ilvl="8" w:tentative="0">
      <w:start w:val="0"/>
      <w:numFmt w:val="bullet"/>
      <w:lvlText w:val="•"/>
      <w:lvlJc w:val="left"/>
      <w:pPr>
        <w:ind w:left="8165" w:hanging="212"/>
      </w:pPr>
      <w:rPr>
        <w:rFonts w:hint="default"/>
        <w:lang w:val="en-US" w:eastAsia="zh-CN" w:bidi="ar-SA"/>
      </w:rPr>
    </w:lvl>
  </w:abstractNum>
  <w:abstractNum w:abstractNumId="2">
    <w:nsid w:val="0D4A0F6A"/>
    <w:multiLevelType w:val="multilevel"/>
    <w:tmpl w:val="0D4A0F6A"/>
    <w:lvl w:ilvl="0" w:tentative="0">
      <w:start w:val="2"/>
      <w:numFmt w:val="decimal"/>
      <w:lvlText w:val="%1"/>
      <w:lvlJc w:val="left"/>
      <w:pPr>
        <w:ind w:left="220" w:hanging="636"/>
      </w:pPr>
      <w:rPr>
        <w:rFonts w:hint="default"/>
        <w:lang w:val="en-US" w:eastAsia="zh-CN" w:bidi="ar-SA"/>
      </w:rPr>
    </w:lvl>
    <w:lvl w:ilvl="1" w:tentative="0">
      <w:start w:val="1"/>
      <w:numFmt w:val="decimal"/>
      <w:lvlText w:val="%1.%2"/>
      <w:lvlJc w:val="left"/>
      <w:pPr>
        <w:ind w:left="220" w:hanging="636"/>
      </w:pPr>
      <w:rPr>
        <w:rFonts w:hint="default"/>
        <w:lang w:val="en-US" w:eastAsia="zh-CN" w:bidi="ar-SA"/>
      </w:rPr>
    </w:lvl>
    <w:lvl w:ilvl="2" w:tentative="0">
      <w:start w:val="2"/>
      <w:numFmt w:val="decimal"/>
      <w:lvlText w:val="%1.%2.%3"/>
      <w:lvlJc w:val="left"/>
      <w:pPr>
        <w:ind w:left="220" w:hanging="636"/>
      </w:pPr>
      <w:rPr>
        <w:rFonts w:hint="default" w:ascii="宋体" w:hAnsi="宋体" w:eastAsia="宋体" w:cs="宋体"/>
        <w:spacing w:val="-2"/>
        <w:w w:val="99"/>
        <w:sz w:val="21"/>
        <w:szCs w:val="21"/>
        <w:lang w:val="en-US" w:eastAsia="zh-CN" w:bidi="ar-SA"/>
      </w:rPr>
    </w:lvl>
    <w:lvl w:ilvl="3" w:tentative="0">
      <w:start w:val="0"/>
      <w:numFmt w:val="bullet"/>
      <w:lvlText w:val="•"/>
      <w:lvlJc w:val="left"/>
      <w:pPr>
        <w:ind w:left="3156" w:hanging="636"/>
      </w:pPr>
      <w:rPr>
        <w:rFonts w:hint="default"/>
        <w:lang w:val="en-US" w:eastAsia="zh-CN" w:bidi="ar-SA"/>
      </w:rPr>
    </w:lvl>
    <w:lvl w:ilvl="4" w:tentative="0">
      <w:start w:val="0"/>
      <w:numFmt w:val="bullet"/>
      <w:lvlText w:val="•"/>
      <w:lvlJc w:val="left"/>
      <w:pPr>
        <w:ind w:left="4134" w:hanging="636"/>
      </w:pPr>
      <w:rPr>
        <w:rFonts w:hint="default"/>
        <w:lang w:val="en-US" w:eastAsia="zh-CN" w:bidi="ar-SA"/>
      </w:rPr>
    </w:lvl>
    <w:lvl w:ilvl="5" w:tentative="0">
      <w:start w:val="0"/>
      <w:numFmt w:val="bullet"/>
      <w:lvlText w:val="•"/>
      <w:lvlJc w:val="left"/>
      <w:pPr>
        <w:ind w:left="5113" w:hanging="636"/>
      </w:pPr>
      <w:rPr>
        <w:rFonts w:hint="default"/>
        <w:lang w:val="en-US" w:eastAsia="zh-CN" w:bidi="ar-SA"/>
      </w:rPr>
    </w:lvl>
    <w:lvl w:ilvl="6" w:tentative="0">
      <w:start w:val="0"/>
      <w:numFmt w:val="bullet"/>
      <w:lvlText w:val="•"/>
      <w:lvlJc w:val="left"/>
      <w:pPr>
        <w:ind w:left="6092" w:hanging="636"/>
      </w:pPr>
      <w:rPr>
        <w:rFonts w:hint="default"/>
        <w:lang w:val="en-US" w:eastAsia="zh-CN" w:bidi="ar-SA"/>
      </w:rPr>
    </w:lvl>
    <w:lvl w:ilvl="7" w:tentative="0">
      <w:start w:val="0"/>
      <w:numFmt w:val="bullet"/>
      <w:lvlText w:val="•"/>
      <w:lvlJc w:val="left"/>
      <w:pPr>
        <w:ind w:left="7070" w:hanging="636"/>
      </w:pPr>
      <w:rPr>
        <w:rFonts w:hint="default"/>
        <w:lang w:val="en-US" w:eastAsia="zh-CN" w:bidi="ar-SA"/>
      </w:rPr>
    </w:lvl>
    <w:lvl w:ilvl="8" w:tentative="0">
      <w:start w:val="0"/>
      <w:numFmt w:val="bullet"/>
      <w:lvlText w:val="•"/>
      <w:lvlJc w:val="left"/>
      <w:pPr>
        <w:ind w:left="8049" w:hanging="636"/>
      </w:pPr>
      <w:rPr>
        <w:rFonts w:hint="default"/>
        <w:lang w:val="en-US" w:eastAsia="zh-CN" w:bidi="ar-SA"/>
      </w:rPr>
    </w:lvl>
  </w:abstractNum>
  <w:abstractNum w:abstractNumId="3">
    <w:nsid w:val="0FA73087"/>
    <w:multiLevelType w:val="multilevel"/>
    <w:tmpl w:val="0FA73087"/>
    <w:lvl w:ilvl="0" w:tentative="0">
      <w:start w:val="1"/>
      <w:numFmt w:val="lowerLetter"/>
      <w:lvlText w:val="%1."/>
      <w:lvlJc w:val="left"/>
      <w:pPr>
        <w:ind w:left="804" w:hanging="212"/>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720" w:hanging="212"/>
      </w:pPr>
      <w:rPr>
        <w:rFonts w:hint="default"/>
        <w:lang w:val="en-US" w:eastAsia="zh-CN" w:bidi="ar-SA"/>
      </w:rPr>
    </w:lvl>
    <w:lvl w:ilvl="2" w:tentative="0">
      <w:start w:val="0"/>
      <w:numFmt w:val="bullet"/>
      <w:lvlText w:val="•"/>
      <w:lvlJc w:val="left"/>
      <w:pPr>
        <w:ind w:left="2641" w:hanging="212"/>
      </w:pPr>
      <w:rPr>
        <w:rFonts w:hint="default"/>
        <w:lang w:val="en-US" w:eastAsia="zh-CN" w:bidi="ar-SA"/>
      </w:rPr>
    </w:lvl>
    <w:lvl w:ilvl="3" w:tentative="0">
      <w:start w:val="0"/>
      <w:numFmt w:val="bullet"/>
      <w:lvlText w:val="•"/>
      <w:lvlJc w:val="left"/>
      <w:pPr>
        <w:ind w:left="3562" w:hanging="212"/>
      </w:pPr>
      <w:rPr>
        <w:rFonts w:hint="default"/>
        <w:lang w:val="en-US" w:eastAsia="zh-CN" w:bidi="ar-SA"/>
      </w:rPr>
    </w:lvl>
    <w:lvl w:ilvl="4" w:tentative="0">
      <w:start w:val="0"/>
      <w:numFmt w:val="bullet"/>
      <w:lvlText w:val="•"/>
      <w:lvlJc w:val="left"/>
      <w:pPr>
        <w:ind w:left="4482" w:hanging="212"/>
      </w:pPr>
      <w:rPr>
        <w:rFonts w:hint="default"/>
        <w:lang w:val="en-US" w:eastAsia="zh-CN" w:bidi="ar-SA"/>
      </w:rPr>
    </w:lvl>
    <w:lvl w:ilvl="5" w:tentative="0">
      <w:start w:val="0"/>
      <w:numFmt w:val="bullet"/>
      <w:lvlText w:val="•"/>
      <w:lvlJc w:val="left"/>
      <w:pPr>
        <w:ind w:left="5403" w:hanging="212"/>
      </w:pPr>
      <w:rPr>
        <w:rFonts w:hint="default"/>
        <w:lang w:val="en-US" w:eastAsia="zh-CN" w:bidi="ar-SA"/>
      </w:rPr>
    </w:lvl>
    <w:lvl w:ilvl="6" w:tentative="0">
      <w:start w:val="0"/>
      <w:numFmt w:val="bullet"/>
      <w:lvlText w:val="•"/>
      <w:lvlJc w:val="left"/>
      <w:pPr>
        <w:ind w:left="6324" w:hanging="212"/>
      </w:pPr>
      <w:rPr>
        <w:rFonts w:hint="default"/>
        <w:lang w:val="en-US" w:eastAsia="zh-CN" w:bidi="ar-SA"/>
      </w:rPr>
    </w:lvl>
    <w:lvl w:ilvl="7" w:tentative="0">
      <w:start w:val="0"/>
      <w:numFmt w:val="bullet"/>
      <w:lvlText w:val="•"/>
      <w:lvlJc w:val="left"/>
      <w:pPr>
        <w:ind w:left="7244" w:hanging="212"/>
      </w:pPr>
      <w:rPr>
        <w:rFonts w:hint="default"/>
        <w:lang w:val="en-US" w:eastAsia="zh-CN" w:bidi="ar-SA"/>
      </w:rPr>
    </w:lvl>
    <w:lvl w:ilvl="8" w:tentative="0">
      <w:start w:val="0"/>
      <w:numFmt w:val="bullet"/>
      <w:lvlText w:val="•"/>
      <w:lvlJc w:val="left"/>
      <w:pPr>
        <w:ind w:left="8165" w:hanging="212"/>
      </w:pPr>
      <w:rPr>
        <w:rFonts w:hint="default"/>
        <w:lang w:val="en-US" w:eastAsia="zh-CN" w:bidi="ar-SA"/>
      </w:rPr>
    </w:lvl>
  </w:abstractNum>
  <w:abstractNum w:abstractNumId="4">
    <w:nsid w:val="27E65FAE"/>
    <w:multiLevelType w:val="multilevel"/>
    <w:tmpl w:val="27E65FAE"/>
    <w:lvl w:ilvl="0" w:tentative="0">
      <w:start w:val="1"/>
      <w:numFmt w:val="decimal"/>
      <w:lvlText w:val="%1."/>
      <w:lvlJc w:val="left"/>
      <w:pPr>
        <w:ind w:left="580" w:hanging="360"/>
      </w:pPr>
      <w:rPr>
        <w:rFonts w:hint="default" w:ascii="宋体" w:hAnsi="宋体" w:eastAsia="宋体" w:cs="宋体"/>
        <w:spacing w:val="0"/>
        <w:w w:val="100"/>
        <w:sz w:val="24"/>
        <w:szCs w:val="24"/>
        <w:lang w:val="en-US" w:eastAsia="zh-CN" w:bidi="ar-SA"/>
      </w:rPr>
    </w:lvl>
    <w:lvl w:ilvl="1" w:tentative="0">
      <w:start w:val="1"/>
      <w:numFmt w:val="decimal"/>
      <w:lvlText w:val="%1.%2"/>
      <w:lvlJc w:val="left"/>
      <w:pPr>
        <w:ind w:left="700" w:hanging="480"/>
      </w:pPr>
      <w:rPr>
        <w:rFonts w:hint="default" w:ascii="宋体" w:hAnsi="宋体" w:eastAsia="宋体" w:cs="宋体"/>
        <w:spacing w:val="0"/>
        <w:w w:val="100"/>
        <w:sz w:val="24"/>
        <w:szCs w:val="24"/>
        <w:lang w:val="en-US" w:eastAsia="zh-CN" w:bidi="ar-SA"/>
      </w:rPr>
    </w:lvl>
    <w:lvl w:ilvl="2" w:tentative="0">
      <w:start w:val="1"/>
      <w:numFmt w:val="decimal"/>
      <w:lvlText w:val="%1.%2.%3"/>
      <w:lvlJc w:val="left"/>
      <w:pPr>
        <w:ind w:left="1272" w:hanging="632"/>
      </w:pPr>
      <w:rPr>
        <w:rFonts w:hint="default" w:ascii="宋体" w:hAnsi="宋体" w:eastAsia="宋体" w:cs="宋体"/>
        <w:spacing w:val="-2"/>
        <w:w w:val="99"/>
        <w:sz w:val="21"/>
        <w:szCs w:val="21"/>
        <w:lang w:val="en-US" w:eastAsia="zh-CN" w:bidi="ar-SA"/>
      </w:rPr>
    </w:lvl>
    <w:lvl w:ilvl="3" w:tentative="0">
      <w:start w:val="0"/>
      <w:numFmt w:val="bullet"/>
      <w:lvlText w:val="•"/>
      <w:lvlJc w:val="left"/>
      <w:pPr>
        <w:ind w:left="1280" w:hanging="632"/>
      </w:pPr>
      <w:rPr>
        <w:rFonts w:hint="default"/>
        <w:lang w:val="en-US" w:eastAsia="zh-CN" w:bidi="ar-SA"/>
      </w:rPr>
    </w:lvl>
    <w:lvl w:ilvl="4" w:tentative="0">
      <w:start w:val="0"/>
      <w:numFmt w:val="bullet"/>
      <w:lvlText w:val="•"/>
      <w:lvlJc w:val="left"/>
      <w:pPr>
        <w:ind w:left="2526" w:hanging="632"/>
      </w:pPr>
      <w:rPr>
        <w:rFonts w:hint="default"/>
        <w:lang w:val="en-US" w:eastAsia="zh-CN" w:bidi="ar-SA"/>
      </w:rPr>
    </w:lvl>
    <w:lvl w:ilvl="5" w:tentative="0">
      <w:start w:val="0"/>
      <w:numFmt w:val="bullet"/>
      <w:lvlText w:val="•"/>
      <w:lvlJc w:val="left"/>
      <w:pPr>
        <w:ind w:left="3773" w:hanging="632"/>
      </w:pPr>
      <w:rPr>
        <w:rFonts w:hint="default"/>
        <w:lang w:val="en-US" w:eastAsia="zh-CN" w:bidi="ar-SA"/>
      </w:rPr>
    </w:lvl>
    <w:lvl w:ilvl="6" w:tentative="0">
      <w:start w:val="0"/>
      <w:numFmt w:val="bullet"/>
      <w:lvlText w:val="•"/>
      <w:lvlJc w:val="left"/>
      <w:pPr>
        <w:ind w:left="5020" w:hanging="632"/>
      </w:pPr>
      <w:rPr>
        <w:rFonts w:hint="default"/>
        <w:lang w:val="en-US" w:eastAsia="zh-CN" w:bidi="ar-SA"/>
      </w:rPr>
    </w:lvl>
    <w:lvl w:ilvl="7" w:tentative="0">
      <w:start w:val="0"/>
      <w:numFmt w:val="bullet"/>
      <w:lvlText w:val="•"/>
      <w:lvlJc w:val="left"/>
      <w:pPr>
        <w:ind w:left="6266" w:hanging="632"/>
      </w:pPr>
      <w:rPr>
        <w:rFonts w:hint="default"/>
        <w:lang w:val="en-US" w:eastAsia="zh-CN" w:bidi="ar-SA"/>
      </w:rPr>
    </w:lvl>
    <w:lvl w:ilvl="8" w:tentative="0">
      <w:start w:val="0"/>
      <w:numFmt w:val="bullet"/>
      <w:lvlText w:val="•"/>
      <w:lvlJc w:val="left"/>
      <w:pPr>
        <w:ind w:left="7513" w:hanging="632"/>
      </w:pPr>
      <w:rPr>
        <w:rFonts w:hint="default"/>
        <w:lang w:val="en-US" w:eastAsia="zh-CN" w:bidi="ar-SA"/>
      </w:rPr>
    </w:lvl>
  </w:abstractNum>
  <w:abstractNum w:abstractNumId="5">
    <w:nsid w:val="37BC680A"/>
    <w:multiLevelType w:val="multilevel"/>
    <w:tmpl w:val="37BC680A"/>
    <w:lvl w:ilvl="0" w:tentative="0">
      <w:start w:val="1"/>
      <w:numFmt w:val="decimal"/>
      <w:lvlText w:val="（%1）"/>
      <w:lvlJc w:val="left"/>
      <w:pPr>
        <w:ind w:left="1166" w:hanging="526"/>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2044" w:hanging="526"/>
      </w:pPr>
      <w:rPr>
        <w:rFonts w:hint="default"/>
        <w:lang w:val="en-US" w:eastAsia="zh-CN" w:bidi="ar-SA"/>
      </w:rPr>
    </w:lvl>
    <w:lvl w:ilvl="2" w:tentative="0">
      <w:start w:val="0"/>
      <w:numFmt w:val="bullet"/>
      <w:lvlText w:val="•"/>
      <w:lvlJc w:val="left"/>
      <w:pPr>
        <w:ind w:left="2929" w:hanging="526"/>
      </w:pPr>
      <w:rPr>
        <w:rFonts w:hint="default"/>
        <w:lang w:val="en-US" w:eastAsia="zh-CN" w:bidi="ar-SA"/>
      </w:rPr>
    </w:lvl>
    <w:lvl w:ilvl="3" w:tentative="0">
      <w:start w:val="0"/>
      <w:numFmt w:val="bullet"/>
      <w:lvlText w:val="•"/>
      <w:lvlJc w:val="left"/>
      <w:pPr>
        <w:ind w:left="3814" w:hanging="526"/>
      </w:pPr>
      <w:rPr>
        <w:rFonts w:hint="default"/>
        <w:lang w:val="en-US" w:eastAsia="zh-CN" w:bidi="ar-SA"/>
      </w:rPr>
    </w:lvl>
    <w:lvl w:ilvl="4" w:tentative="0">
      <w:start w:val="0"/>
      <w:numFmt w:val="bullet"/>
      <w:lvlText w:val="•"/>
      <w:lvlJc w:val="left"/>
      <w:pPr>
        <w:ind w:left="4698" w:hanging="526"/>
      </w:pPr>
      <w:rPr>
        <w:rFonts w:hint="default"/>
        <w:lang w:val="en-US" w:eastAsia="zh-CN" w:bidi="ar-SA"/>
      </w:rPr>
    </w:lvl>
    <w:lvl w:ilvl="5" w:tentative="0">
      <w:start w:val="0"/>
      <w:numFmt w:val="bullet"/>
      <w:lvlText w:val="•"/>
      <w:lvlJc w:val="left"/>
      <w:pPr>
        <w:ind w:left="5583" w:hanging="526"/>
      </w:pPr>
      <w:rPr>
        <w:rFonts w:hint="default"/>
        <w:lang w:val="en-US" w:eastAsia="zh-CN" w:bidi="ar-SA"/>
      </w:rPr>
    </w:lvl>
    <w:lvl w:ilvl="6" w:tentative="0">
      <w:start w:val="0"/>
      <w:numFmt w:val="bullet"/>
      <w:lvlText w:val="•"/>
      <w:lvlJc w:val="left"/>
      <w:pPr>
        <w:ind w:left="6468" w:hanging="526"/>
      </w:pPr>
      <w:rPr>
        <w:rFonts w:hint="default"/>
        <w:lang w:val="en-US" w:eastAsia="zh-CN" w:bidi="ar-SA"/>
      </w:rPr>
    </w:lvl>
    <w:lvl w:ilvl="7" w:tentative="0">
      <w:start w:val="0"/>
      <w:numFmt w:val="bullet"/>
      <w:lvlText w:val="•"/>
      <w:lvlJc w:val="left"/>
      <w:pPr>
        <w:ind w:left="7352" w:hanging="526"/>
      </w:pPr>
      <w:rPr>
        <w:rFonts w:hint="default"/>
        <w:lang w:val="en-US" w:eastAsia="zh-CN" w:bidi="ar-SA"/>
      </w:rPr>
    </w:lvl>
    <w:lvl w:ilvl="8" w:tentative="0">
      <w:start w:val="0"/>
      <w:numFmt w:val="bullet"/>
      <w:lvlText w:val="•"/>
      <w:lvlJc w:val="left"/>
      <w:pPr>
        <w:ind w:left="8237" w:hanging="526"/>
      </w:pPr>
      <w:rPr>
        <w:rFonts w:hint="default"/>
        <w:lang w:val="en-US" w:eastAsia="zh-CN" w:bidi="ar-SA"/>
      </w:rPr>
    </w:lvl>
  </w:abstractNum>
  <w:abstractNum w:abstractNumId="6">
    <w:nsid w:val="389B4D28"/>
    <w:multiLevelType w:val="multilevel"/>
    <w:tmpl w:val="389B4D28"/>
    <w:lvl w:ilvl="0" w:tentative="0">
      <w:start w:val="1"/>
      <w:numFmt w:val="decimal"/>
      <w:lvlText w:val="（%1）"/>
      <w:lvlJc w:val="left"/>
      <w:pPr>
        <w:ind w:left="645" w:hanging="525"/>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576" w:hanging="525"/>
      </w:pPr>
      <w:rPr>
        <w:rFonts w:hint="default"/>
        <w:lang w:val="en-US" w:eastAsia="zh-CN" w:bidi="ar-SA"/>
      </w:rPr>
    </w:lvl>
    <w:lvl w:ilvl="2" w:tentative="0">
      <w:start w:val="0"/>
      <w:numFmt w:val="bullet"/>
      <w:lvlText w:val="•"/>
      <w:lvlJc w:val="left"/>
      <w:pPr>
        <w:ind w:left="2513" w:hanging="525"/>
      </w:pPr>
      <w:rPr>
        <w:rFonts w:hint="default"/>
        <w:lang w:val="en-US" w:eastAsia="zh-CN" w:bidi="ar-SA"/>
      </w:rPr>
    </w:lvl>
    <w:lvl w:ilvl="3" w:tentative="0">
      <w:start w:val="0"/>
      <w:numFmt w:val="bullet"/>
      <w:lvlText w:val="•"/>
      <w:lvlJc w:val="left"/>
      <w:pPr>
        <w:ind w:left="3450" w:hanging="525"/>
      </w:pPr>
      <w:rPr>
        <w:rFonts w:hint="default"/>
        <w:lang w:val="en-US" w:eastAsia="zh-CN" w:bidi="ar-SA"/>
      </w:rPr>
    </w:lvl>
    <w:lvl w:ilvl="4" w:tentative="0">
      <w:start w:val="0"/>
      <w:numFmt w:val="bullet"/>
      <w:lvlText w:val="•"/>
      <w:lvlJc w:val="left"/>
      <w:pPr>
        <w:ind w:left="4386" w:hanging="525"/>
      </w:pPr>
      <w:rPr>
        <w:rFonts w:hint="default"/>
        <w:lang w:val="en-US" w:eastAsia="zh-CN" w:bidi="ar-SA"/>
      </w:rPr>
    </w:lvl>
    <w:lvl w:ilvl="5" w:tentative="0">
      <w:start w:val="0"/>
      <w:numFmt w:val="bullet"/>
      <w:lvlText w:val="•"/>
      <w:lvlJc w:val="left"/>
      <w:pPr>
        <w:ind w:left="5323" w:hanging="525"/>
      </w:pPr>
      <w:rPr>
        <w:rFonts w:hint="default"/>
        <w:lang w:val="en-US" w:eastAsia="zh-CN" w:bidi="ar-SA"/>
      </w:rPr>
    </w:lvl>
    <w:lvl w:ilvl="6" w:tentative="0">
      <w:start w:val="0"/>
      <w:numFmt w:val="bullet"/>
      <w:lvlText w:val="•"/>
      <w:lvlJc w:val="left"/>
      <w:pPr>
        <w:ind w:left="6260" w:hanging="525"/>
      </w:pPr>
      <w:rPr>
        <w:rFonts w:hint="default"/>
        <w:lang w:val="en-US" w:eastAsia="zh-CN" w:bidi="ar-SA"/>
      </w:rPr>
    </w:lvl>
    <w:lvl w:ilvl="7" w:tentative="0">
      <w:start w:val="0"/>
      <w:numFmt w:val="bullet"/>
      <w:lvlText w:val="•"/>
      <w:lvlJc w:val="left"/>
      <w:pPr>
        <w:ind w:left="7196" w:hanging="525"/>
      </w:pPr>
      <w:rPr>
        <w:rFonts w:hint="default"/>
        <w:lang w:val="en-US" w:eastAsia="zh-CN" w:bidi="ar-SA"/>
      </w:rPr>
    </w:lvl>
    <w:lvl w:ilvl="8" w:tentative="0">
      <w:start w:val="0"/>
      <w:numFmt w:val="bullet"/>
      <w:lvlText w:val="•"/>
      <w:lvlJc w:val="left"/>
      <w:pPr>
        <w:ind w:left="8133" w:hanging="525"/>
      </w:pPr>
      <w:rPr>
        <w:rFonts w:hint="default"/>
        <w:lang w:val="en-US" w:eastAsia="zh-CN" w:bidi="ar-SA"/>
      </w:rPr>
    </w:lvl>
  </w:abstractNum>
  <w:abstractNum w:abstractNumId="7">
    <w:nsid w:val="5A233659"/>
    <w:multiLevelType w:val="multilevel"/>
    <w:tmpl w:val="5A233659"/>
    <w:lvl w:ilvl="0" w:tentative="0">
      <w:start w:val="4"/>
      <w:numFmt w:val="lowerLetter"/>
      <w:lvlText w:val="%1."/>
      <w:lvlJc w:val="left"/>
      <w:pPr>
        <w:ind w:left="804" w:hanging="212"/>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720" w:hanging="212"/>
      </w:pPr>
      <w:rPr>
        <w:rFonts w:hint="default"/>
        <w:lang w:val="en-US" w:eastAsia="zh-CN" w:bidi="ar-SA"/>
      </w:rPr>
    </w:lvl>
    <w:lvl w:ilvl="2" w:tentative="0">
      <w:start w:val="0"/>
      <w:numFmt w:val="bullet"/>
      <w:lvlText w:val="•"/>
      <w:lvlJc w:val="left"/>
      <w:pPr>
        <w:ind w:left="2641" w:hanging="212"/>
      </w:pPr>
      <w:rPr>
        <w:rFonts w:hint="default"/>
        <w:lang w:val="en-US" w:eastAsia="zh-CN" w:bidi="ar-SA"/>
      </w:rPr>
    </w:lvl>
    <w:lvl w:ilvl="3" w:tentative="0">
      <w:start w:val="0"/>
      <w:numFmt w:val="bullet"/>
      <w:lvlText w:val="•"/>
      <w:lvlJc w:val="left"/>
      <w:pPr>
        <w:ind w:left="3562" w:hanging="212"/>
      </w:pPr>
      <w:rPr>
        <w:rFonts w:hint="default"/>
        <w:lang w:val="en-US" w:eastAsia="zh-CN" w:bidi="ar-SA"/>
      </w:rPr>
    </w:lvl>
    <w:lvl w:ilvl="4" w:tentative="0">
      <w:start w:val="0"/>
      <w:numFmt w:val="bullet"/>
      <w:lvlText w:val="•"/>
      <w:lvlJc w:val="left"/>
      <w:pPr>
        <w:ind w:left="4482" w:hanging="212"/>
      </w:pPr>
      <w:rPr>
        <w:rFonts w:hint="default"/>
        <w:lang w:val="en-US" w:eastAsia="zh-CN" w:bidi="ar-SA"/>
      </w:rPr>
    </w:lvl>
    <w:lvl w:ilvl="5" w:tentative="0">
      <w:start w:val="0"/>
      <w:numFmt w:val="bullet"/>
      <w:lvlText w:val="•"/>
      <w:lvlJc w:val="left"/>
      <w:pPr>
        <w:ind w:left="5403" w:hanging="212"/>
      </w:pPr>
      <w:rPr>
        <w:rFonts w:hint="default"/>
        <w:lang w:val="en-US" w:eastAsia="zh-CN" w:bidi="ar-SA"/>
      </w:rPr>
    </w:lvl>
    <w:lvl w:ilvl="6" w:tentative="0">
      <w:start w:val="0"/>
      <w:numFmt w:val="bullet"/>
      <w:lvlText w:val="•"/>
      <w:lvlJc w:val="left"/>
      <w:pPr>
        <w:ind w:left="6324" w:hanging="212"/>
      </w:pPr>
      <w:rPr>
        <w:rFonts w:hint="default"/>
        <w:lang w:val="en-US" w:eastAsia="zh-CN" w:bidi="ar-SA"/>
      </w:rPr>
    </w:lvl>
    <w:lvl w:ilvl="7" w:tentative="0">
      <w:start w:val="0"/>
      <w:numFmt w:val="bullet"/>
      <w:lvlText w:val="•"/>
      <w:lvlJc w:val="left"/>
      <w:pPr>
        <w:ind w:left="7244" w:hanging="212"/>
      </w:pPr>
      <w:rPr>
        <w:rFonts w:hint="default"/>
        <w:lang w:val="en-US" w:eastAsia="zh-CN" w:bidi="ar-SA"/>
      </w:rPr>
    </w:lvl>
    <w:lvl w:ilvl="8" w:tentative="0">
      <w:start w:val="0"/>
      <w:numFmt w:val="bullet"/>
      <w:lvlText w:val="•"/>
      <w:lvlJc w:val="left"/>
      <w:pPr>
        <w:ind w:left="8165" w:hanging="212"/>
      </w:pPr>
      <w:rPr>
        <w:rFonts w:hint="default"/>
        <w:lang w:val="en-US" w:eastAsia="zh-CN" w:bidi="ar-SA"/>
      </w:rPr>
    </w:lvl>
  </w:abstractNum>
  <w:abstractNum w:abstractNumId="8">
    <w:nsid w:val="5A3389DB"/>
    <w:multiLevelType w:val="singleLevel"/>
    <w:tmpl w:val="5A3389DB"/>
    <w:lvl w:ilvl="0" w:tentative="0">
      <w:start w:val="1"/>
      <w:numFmt w:val="decimal"/>
      <w:suff w:val="nothing"/>
      <w:lvlText w:val="%1、"/>
      <w:lvlJc w:val="left"/>
    </w:lvl>
  </w:abstractNum>
  <w:abstractNum w:abstractNumId="9">
    <w:nsid w:val="614B40FB"/>
    <w:multiLevelType w:val="multilevel"/>
    <w:tmpl w:val="614B40FB"/>
    <w:lvl w:ilvl="0" w:tentative="0">
      <w:start w:val="1"/>
      <w:numFmt w:val="decimal"/>
      <w:lvlText w:val="（%1）"/>
      <w:lvlJc w:val="left"/>
      <w:pPr>
        <w:ind w:left="220" w:hanging="525"/>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1198" w:hanging="525"/>
      </w:pPr>
      <w:rPr>
        <w:rFonts w:hint="default"/>
        <w:lang w:val="en-US" w:eastAsia="zh-CN" w:bidi="ar-SA"/>
      </w:rPr>
    </w:lvl>
    <w:lvl w:ilvl="2" w:tentative="0">
      <w:start w:val="0"/>
      <w:numFmt w:val="bullet"/>
      <w:lvlText w:val="•"/>
      <w:lvlJc w:val="left"/>
      <w:pPr>
        <w:ind w:left="2177" w:hanging="525"/>
      </w:pPr>
      <w:rPr>
        <w:rFonts w:hint="default"/>
        <w:lang w:val="en-US" w:eastAsia="zh-CN" w:bidi="ar-SA"/>
      </w:rPr>
    </w:lvl>
    <w:lvl w:ilvl="3" w:tentative="0">
      <w:start w:val="0"/>
      <w:numFmt w:val="bullet"/>
      <w:lvlText w:val="•"/>
      <w:lvlJc w:val="left"/>
      <w:pPr>
        <w:ind w:left="3156" w:hanging="525"/>
      </w:pPr>
      <w:rPr>
        <w:rFonts w:hint="default"/>
        <w:lang w:val="en-US" w:eastAsia="zh-CN" w:bidi="ar-SA"/>
      </w:rPr>
    </w:lvl>
    <w:lvl w:ilvl="4" w:tentative="0">
      <w:start w:val="0"/>
      <w:numFmt w:val="bullet"/>
      <w:lvlText w:val="•"/>
      <w:lvlJc w:val="left"/>
      <w:pPr>
        <w:ind w:left="4134" w:hanging="525"/>
      </w:pPr>
      <w:rPr>
        <w:rFonts w:hint="default"/>
        <w:lang w:val="en-US" w:eastAsia="zh-CN" w:bidi="ar-SA"/>
      </w:rPr>
    </w:lvl>
    <w:lvl w:ilvl="5" w:tentative="0">
      <w:start w:val="0"/>
      <w:numFmt w:val="bullet"/>
      <w:lvlText w:val="•"/>
      <w:lvlJc w:val="left"/>
      <w:pPr>
        <w:ind w:left="5113" w:hanging="525"/>
      </w:pPr>
      <w:rPr>
        <w:rFonts w:hint="default"/>
        <w:lang w:val="en-US" w:eastAsia="zh-CN" w:bidi="ar-SA"/>
      </w:rPr>
    </w:lvl>
    <w:lvl w:ilvl="6" w:tentative="0">
      <w:start w:val="0"/>
      <w:numFmt w:val="bullet"/>
      <w:lvlText w:val="•"/>
      <w:lvlJc w:val="left"/>
      <w:pPr>
        <w:ind w:left="6092" w:hanging="525"/>
      </w:pPr>
      <w:rPr>
        <w:rFonts w:hint="default"/>
        <w:lang w:val="en-US" w:eastAsia="zh-CN" w:bidi="ar-SA"/>
      </w:rPr>
    </w:lvl>
    <w:lvl w:ilvl="7" w:tentative="0">
      <w:start w:val="0"/>
      <w:numFmt w:val="bullet"/>
      <w:lvlText w:val="•"/>
      <w:lvlJc w:val="left"/>
      <w:pPr>
        <w:ind w:left="7070" w:hanging="525"/>
      </w:pPr>
      <w:rPr>
        <w:rFonts w:hint="default"/>
        <w:lang w:val="en-US" w:eastAsia="zh-CN" w:bidi="ar-SA"/>
      </w:rPr>
    </w:lvl>
    <w:lvl w:ilvl="8" w:tentative="0">
      <w:start w:val="0"/>
      <w:numFmt w:val="bullet"/>
      <w:lvlText w:val="•"/>
      <w:lvlJc w:val="left"/>
      <w:pPr>
        <w:ind w:left="8049" w:hanging="525"/>
      </w:pPr>
      <w:rPr>
        <w:rFonts w:hint="default"/>
        <w:lang w:val="en-US" w:eastAsia="zh-CN" w:bidi="ar-SA"/>
      </w:rPr>
    </w:lvl>
  </w:abstractNum>
  <w:num w:numId="1">
    <w:abstractNumId w:val="0"/>
  </w:num>
  <w:num w:numId="2">
    <w:abstractNumId w:val="8"/>
  </w:num>
  <w:num w:numId="3">
    <w:abstractNumId w:val="4"/>
  </w:num>
  <w:num w:numId="4">
    <w:abstractNumId w:val="2"/>
  </w:num>
  <w:num w:numId="5">
    <w:abstractNumId w:val="5"/>
  </w:num>
  <w:num w:numId="6">
    <w:abstractNumId w:val="9"/>
  </w:num>
  <w:num w:numId="7">
    <w:abstractNumId w:val="6"/>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MGEwZDUzMjFlZmU0NmYxZTg1MDIzNDllMGY3OTQifQ=="/>
  </w:docVars>
  <w:rsids>
    <w:rsidRoot w:val="406777B4"/>
    <w:rsid w:val="049A7BD3"/>
    <w:rsid w:val="0DE34A68"/>
    <w:rsid w:val="2D9E7E85"/>
    <w:rsid w:val="346278FD"/>
    <w:rsid w:val="3C263B43"/>
    <w:rsid w:val="406777B4"/>
    <w:rsid w:val="46B84187"/>
    <w:rsid w:val="59E15E56"/>
    <w:rsid w:val="73492E90"/>
    <w:rsid w:val="7FB4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9"/>
    <w:pPr>
      <w:ind w:left="1026" w:right="1076"/>
      <w:jc w:val="center"/>
      <w:outlineLvl w:val="0"/>
    </w:pPr>
    <w:rPr>
      <w:sz w:val="72"/>
      <w:szCs w:val="72"/>
    </w:rPr>
  </w:style>
  <w:style w:type="paragraph" w:styleId="3">
    <w:name w:val="heading 2"/>
    <w:basedOn w:val="1"/>
    <w:next w:val="1"/>
    <w:unhideWhenUsed/>
    <w:qFormat/>
    <w:uiPriority w:val="0"/>
    <w:pPr>
      <w:spacing w:before="22"/>
      <w:ind w:left="1144" w:right="1155"/>
      <w:jc w:val="center"/>
      <w:outlineLvl w:val="1"/>
    </w:pPr>
    <w:rPr>
      <w:sz w:val="44"/>
      <w:szCs w:val="44"/>
    </w:rPr>
  </w:style>
  <w:style w:type="paragraph" w:styleId="4">
    <w:name w:val="heading 4"/>
    <w:basedOn w:val="1"/>
    <w:next w:val="1"/>
    <w:unhideWhenUsed/>
    <w:qFormat/>
    <w:uiPriority w:val="9"/>
    <w:pPr>
      <w:spacing w:before="43"/>
      <w:ind w:right="10"/>
      <w:jc w:val="center"/>
      <w:outlineLvl w:val="3"/>
    </w:pPr>
    <w:rPr>
      <w:sz w:val="30"/>
      <w:szCs w:val="30"/>
    </w:rPr>
  </w:style>
  <w:style w:type="paragraph" w:styleId="5">
    <w:name w:val="heading 8"/>
    <w:basedOn w:val="1"/>
    <w:next w:val="1"/>
    <w:qFormat/>
    <w:uiPriority w:val="1"/>
    <w:pPr>
      <w:spacing w:before="1"/>
      <w:ind w:left="440"/>
      <w:outlineLvl w:val="7"/>
    </w:pPr>
    <w:rPr>
      <w:sz w:val="24"/>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1"/>
    <w:rPr>
      <w:sz w:val="21"/>
      <w:szCs w:val="21"/>
    </w:rPr>
  </w:style>
  <w:style w:type="paragraph" w:styleId="7">
    <w:name w:val="Body Text Indent"/>
    <w:basedOn w:val="1"/>
    <w:qFormat/>
    <w:uiPriority w:val="0"/>
    <w:pPr>
      <w:ind w:firstLine="648"/>
    </w:pPr>
    <w:rPr>
      <w:sz w:val="32"/>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7"/>
    <w:next w:val="1"/>
    <w:qFormat/>
    <w:uiPriority w:val="0"/>
    <w:pPr>
      <w:ind w:firstLine="420" w:firstLineChars="200"/>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Table Paragraph"/>
    <w:basedOn w:val="1"/>
    <w:qFormat/>
    <w:uiPriority w:val="1"/>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220" w:firstLine="420"/>
    </w:pPr>
  </w:style>
  <w:style w:type="paragraph" w:customStyle="1" w:styleId="16">
    <w:name w:val="首行缩进"/>
    <w:basedOn w:val="1"/>
    <w:qFormat/>
    <w:uiPriority w:val="0"/>
    <w:pPr>
      <w:spacing w:line="360" w:lineRule="auto"/>
      <w:ind w:left="210" w:leftChars="100"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2023-03-15T09:39:00Z</dcterms:created>
  <dc:creator>　</dc:creator>
  <cp:lastModifiedBy>　</cp:lastModifiedBy>
  <dcterms:modified xsi:type="dcterms:W3CDTF">2023-09-18T02:49:31Z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71454BB53B46439C89B45F8AFE841F8F</vt:lpwstr>
  </property>
</Properties>
</file>