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bCs/>
          <w:color w:val="000000"/>
          <w:sz w:val="36"/>
          <w:szCs w:val="36"/>
          <w:highlight w:val="none"/>
          <w:lang w:val="en-US" w:eastAsia="zh-CN"/>
        </w:rPr>
      </w:pPr>
      <w:bookmarkStart w:id="0" w:name="_Hlk129192395"/>
      <w:r>
        <w:rPr>
          <w:rFonts w:hint="eastAsia" w:ascii="方正小标宋简体" w:hAnsi="方正小标宋简体" w:eastAsia="方正小标宋简体" w:cs="方正小标宋简体"/>
          <w:color w:val="000000" w:themeColor="text1"/>
          <w:sz w:val="28"/>
          <w:szCs w:val="28"/>
          <w:lang w:val="en-US" w:eastAsia="zh-CN" w:bidi="ar-SA"/>
          <w14:textFill>
            <w14:solidFill>
              <w14:schemeClr w14:val="tx1"/>
            </w14:solidFill>
          </w14:textFill>
        </w:rPr>
        <w:t>宁夏公路管理中心银川分中心公路安全生命防护提升</w:t>
      </w:r>
    </w:p>
    <w:p>
      <w:pPr>
        <w:keepNext w:val="0"/>
        <w:keepLines w:val="0"/>
        <w:pageBreakBefore w:val="0"/>
        <w:widowControl w:val="0"/>
        <w:kinsoku/>
        <w:wordWrap/>
        <w:overflowPunct/>
        <w:topLinePunct w:val="0"/>
        <w:autoSpaceDE w:val="0"/>
        <w:autoSpaceDN w:val="0"/>
        <w:bidi w:val="0"/>
        <w:adjustRightInd/>
        <w:snapToGrid/>
        <w:spacing w:before="75" w:line="240" w:lineRule="auto"/>
        <w:ind w:left="136"/>
        <w:jc w:val="center"/>
        <w:textAlignment w:val="auto"/>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lang w:val="en-US" w:eastAsia="zh-CN" w:bidi="ar-SA"/>
          <w14:textFill>
            <w14:solidFill>
              <w14:schemeClr w14:val="tx1"/>
            </w14:solidFill>
          </w14:textFill>
        </w:rPr>
        <w:t>关键</w:t>
      </w:r>
      <w:r>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t>内容</w:t>
      </w:r>
    </w:p>
    <w:p>
      <w:pPr>
        <w:keepNext w:val="0"/>
        <w:keepLines w:val="0"/>
        <w:pageBreakBefore w:val="0"/>
        <w:numPr>
          <w:ilvl w:val="0"/>
          <w:numId w:val="1"/>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lang w:eastAsia="zh-CN"/>
          <w14:textFill>
            <w14:solidFill>
              <w14:schemeClr w14:val="tx1"/>
            </w14:solidFill>
          </w14:textFill>
        </w:rPr>
        <w:t>项目</w:t>
      </w:r>
      <w:r>
        <w:rPr>
          <w:rFonts w:hint="eastAsia" w:ascii="宋体" w:hAnsi="宋体" w:eastAsia="宋体" w:cs="宋体"/>
          <w:b/>
          <w:bCs/>
          <w:color w:val="000000" w:themeColor="text1"/>
          <w:sz w:val="24"/>
          <w:szCs w:val="24"/>
          <w:highlight w:val="none"/>
          <w14:textFill>
            <w14:solidFill>
              <w14:schemeClr w14:val="tx1"/>
            </w14:solidFill>
          </w14:textFill>
        </w:rPr>
        <w:t>概况</w:t>
      </w:r>
      <w:bookmarkEnd w:id="0"/>
    </w:p>
    <w:p>
      <w:pPr>
        <w:spacing w:line="360" w:lineRule="auto"/>
        <w:ind w:firstLine="44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2"/>
          <w:szCs w:val="22"/>
          <w:highlight w:val="none"/>
          <w:lang w:val="en-US" w:eastAsia="zh-CN"/>
        </w:rPr>
        <w:t>本工程为宁夏公路管理中心银川分中心公路安全生命防护提升，主要涉及银川分中心辖养范围内的国道和省道，工程主要内容为提升公路防护能力增设波形梁护栏，并将原有的部分A级（双波）、B级护栏更换为Gr-A-4E 级波形梁护栏（三波），新做标线、标志牌、主动防护网、防落物网、附着式轮廓标、爆闪灯等安全设施。主要工程量有：增设护栏约9700m，护栏端头约2000m，热熔标线约13000㎡，主动防护网SNS防护约700㎡等。</w:t>
      </w: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rPr>
          <w:rFonts w:hint="eastAsia"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二、对投标人的全部资格条件要求</w:t>
      </w:r>
    </w:p>
    <w:p>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496" w:firstLineChars="200"/>
        <w:textAlignment w:val="auto"/>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详见招标公告。</w:t>
      </w: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rPr>
          <w:rFonts w:hint="eastAsia"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三、招标人联系方式</w:t>
      </w:r>
    </w:p>
    <w:p>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496" w:firstLineChars="200"/>
        <w:textAlignment w:val="auto"/>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招标人：宁夏公路管理中心银川分中心</w:t>
      </w:r>
    </w:p>
    <w:p>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496" w:firstLineChars="200"/>
        <w:textAlignment w:val="auto"/>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地 址：银川市兴庆区青银高速公路银川东收费站北侧大楼</w:t>
      </w:r>
    </w:p>
    <w:p>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496" w:firstLineChars="200"/>
        <w:textAlignment w:val="auto"/>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邮政编码：</w:t>
      </w:r>
      <w:bookmarkStart w:id="1" w:name="EB9044a0055a56427993b0a720754af836"/>
      <w:r>
        <w:rPr>
          <w:rFonts w:hint="eastAsia" w:ascii="宋体" w:hAnsi="宋体" w:eastAsia="宋体" w:cs="宋体"/>
          <w:spacing w:val="9"/>
          <w:sz w:val="23"/>
          <w:szCs w:val="23"/>
          <w:lang w:val="en-US" w:eastAsia="zh-CN"/>
        </w:rPr>
        <w:t>751300</w:t>
      </w:r>
      <w:bookmarkEnd w:id="1"/>
    </w:p>
    <w:p>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496" w:firstLineChars="200"/>
        <w:textAlignment w:val="auto"/>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联系人：</w:t>
      </w:r>
      <w:r>
        <w:rPr>
          <w:rFonts w:hint="eastAsia" w:cs="宋体"/>
          <w:spacing w:val="9"/>
          <w:sz w:val="23"/>
          <w:szCs w:val="23"/>
          <w:lang w:val="en-US" w:eastAsia="zh-CN"/>
        </w:rPr>
        <w:t>戴</w:t>
      </w:r>
      <w:r>
        <w:rPr>
          <w:rFonts w:hint="eastAsia" w:ascii="宋体" w:hAnsi="宋体" w:eastAsia="宋体" w:cs="宋体"/>
          <w:spacing w:val="9"/>
          <w:sz w:val="23"/>
          <w:szCs w:val="23"/>
          <w:lang w:val="en-US" w:eastAsia="zh-CN"/>
        </w:rPr>
        <w:t>先生</w:t>
      </w:r>
    </w:p>
    <w:p>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496" w:firstLineChars="200"/>
        <w:textAlignment w:val="auto"/>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电话：</w:t>
      </w:r>
      <w:bookmarkStart w:id="2" w:name="EBab9777d2520042d7bdff45c616023cf1"/>
      <w:r>
        <w:rPr>
          <w:rFonts w:hint="eastAsia" w:ascii="宋体" w:hAnsi="宋体" w:eastAsia="宋体" w:cs="宋体"/>
          <w:spacing w:val="9"/>
          <w:sz w:val="23"/>
          <w:szCs w:val="23"/>
          <w:lang w:val="en-US" w:eastAsia="zh-CN"/>
        </w:rPr>
        <w:t>0951-</w:t>
      </w:r>
      <w:bookmarkEnd w:id="2"/>
      <w:r>
        <w:rPr>
          <w:rFonts w:hint="eastAsia" w:ascii="宋体" w:hAnsi="宋体" w:eastAsia="宋体" w:cs="宋体"/>
          <w:spacing w:val="9"/>
          <w:sz w:val="23"/>
          <w:szCs w:val="23"/>
          <w:lang w:val="en-US" w:eastAsia="zh-CN"/>
        </w:rPr>
        <w:t>6153780</w:t>
      </w: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rPr>
          <w:rFonts w:hint="eastAsia"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四、资格审查办法</w:t>
      </w:r>
    </w:p>
    <w:p>
      <w:pPr>
        <w:spacing w:before="75" w:line="181" w:lineRule="auto"/>
        <w:jc w:val="center"/>
        <w:outlineLvl w:val="1"/>
        <w:rPr>
          <w:rFonts w:ascii="宋体" w:hAnsi="宋体" w:eastAsia="宋体" w:cs="宋体"/>
          <w:sz w:val="32"/>
          <w:szCs w:val="32"/>
        </w:rPr>
      </w:pPr>
      <w:r>
        <w:rPr>
          <w:rFonts w:ascii="宋体" w:hAnsi="宋体" w:eastAsia="宋体" w:cs="宋体"/>
          <w:spacing w:val="4"/>
          <w:sz w:val="28"/>
          <w:szCs w:val="28"/>
        </w:rPr>
        <w:t>附录</w:t>
      </w:r>
      <w:r>
        <w:rPr>
          <w:rFonts w:ascii="宋体" w:hAnsi="宋体" w:eastAsia="宋体" w:cs="宋体"/>
          <w:spacing w:val="-9"/>
          <w:sz w:val="28"/>
          <w:szCs w:val="28"/>
        </w:rPr>
        <w:t xml:space="preserve"> </w:t>
      </w:r>
      <w:r>
        <w:rPr>
          <w:rFonts w:ascii="宋体" w:hAnsi="宋体" w:eastAsia="宋体" w:cs="宋体"/>
          <w:spacing w:val="4"/>
          <w:sz w:val="28"/>
          <w:szCs w:val="28"/>
        </w:rPr>
        <w:t>1</w:t>
      </w:r>
      <w:r>
        <w:rPr>
          <w:rFonts w:ascii="宋体" w:hAnsi="宋体" w:eastAsia="宋体" w:cs="宋体"/>
          <w:spacing w:val="-14"/>
          <w:sz w:val="28"/>
          <w:szCs w:val="28"/>
        </w:rPr>
        <w:t xml:space="preserve"> </w:t>
      </w:r>
      <w:r>
        <w:rPr>
          <w:rFonts w:ascii="宋体" w:hAnsi="宋体" w:eastAsia="宋体" w:cs="宋体"/>
          <w:spacing w:val="4"/>
          <w:sz w:val="28"/>
          <w:szCs w:val="28"/>
        </w:rPr>
        <w:t>资格审查条件(资质最低条件)</w:t>
      </w:r>
    </w:p>
    <w:p/>
    <w:p>
      <w:pPr>
        <w:spacing w:line="192" w:lineRule="exact"/>
      </w:pPr>
    </w:p>
    <w:tbl>
      <w:tblPr>
        <w:tblStyle w:val="15"/>
        <w:tblW w:w="87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8733" w:type="dxa"/>
            <w:noWrap w:val="0"/>
            <w:vAlign w:val="center"/>
          </w:tcPr>
          <w:p>
            <w:pPr>
              <w:spacing w:before="16" w:line="189" w:lineRule="auto"/>
              <w:jc w:val="center"/>
              <w:rPr>
                <w:rFonts w:ascii="宋体" w:hAnsi="宋体" w:eastAsia="宋体" w:cs="宋体"/>
                <w:sz w:val="20"/>
                <w:szCs w:val="20"/>
              </w:rPr>
            </w:pPr>
            <w:r>
              <w:rPr>
                <w:rFonts w:ascii="宋体" w:hAnsi="宋体" w:eastAsia="宋体" w:cs="宋体"/>
                <w:spacing w:val="-5"/>
                <w:sz w:val="20"/>
                <w:szCs w:val="20"/>
              </w:rPr>
              <w:t>施工企业资质等级要求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2" w:hRule="atLeast"/>
        </w:trPr>
        <w:tc>
          <w:tcPr>
            <w:tcW w:w="8733" w:type="dxa"/>
            <w:noWrap w:val="0"/>
            <w:vAlign w:val="top"/>
          </w:tcPr>
          <w:p>
            <w:pPr>
              <w:numPr>
                <w:ilvl w:val="0"/>
                <w:numId w:val="0"/>
              </w:numPr>
              <w:snapToGrid w:val="0"/>
              <w:spacing w:line="36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1、投标人具有法人或其他组织资格；持有工商行政管理部门核发的有效企业营业执照或事业单位法人证书或社会团体法人登记证书；</w:t>
            </w:r>
          </w:p>
          <w:p>
            <w:pPr>
              <w:numPr>
                <w:ilvl w:val="0"/>
                <w:numId w:val="0"/>
              </w:numPr>
              <w:snapToGrid w:val="0"/>
              <w:spacing w:line="360" w:lineRule="auto"/>
              <w:rPr>
                <w:rFonts w:hint="eastAsia" w:ascii="宋体" w:hAnsi="宋体" w:eastAsia="宋体" w:cs="宋体"/>
                <w:sz w:val="20"/>
                <w:szCs w:val="20"/>
                <w:lang w:val="en-US" w:eastAsia="zh-CN"/>
              </w:rPr>
            </w:pPr>
            <w:r>
              <w:rPr>
                <w:rFonts w:hint="eastAsia" w:ascii="宋体" w:hAnsi="宋体" w:eastAsia="宋体" w:cs="宋体"/>
                <w:color w:val="000000"/>
                <w:sz w:val="20"/>
                <w:szCs w:val="20"/>
                <w:lang w:val="en-US" w:eastAsia="zh-CN"/>
              </w:rPr>
              <w:t>2、具备交通行政主管部门颁发的公路养护工程二类甲级及二类乙级资质或交通安全设施养护资质（资质证书中从业范围应为可以承担各等级公路交通安全设施的各类养护工程）且在有效期内，具备建设主管部门颁发的有效安全生产许可证，并在人员、设备、资金等方面具有相应的施工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5" w:hRule="atLeast"/>
        </w:trPr>
        <w:tc>
          <w:tcPr>
            <w:tcW w:w="8733" w:type="dxa"/>
            <w:noWrap w:val="0"/>
            <w:vAlign w:val="top"/>
          </w:tcPr>
          <w:p>
            <w:pPr>
              <w:bidi w:val="0"/>
              <w:spacing w:line="360" w:lineRule="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注：</w:t>
            </w:r>
          </w:p>
          <w:p>
            <w:pPr>
              <w:bidi w:val="0"/>
              <w:spacing w:line="360" w:lineRule="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修改补充投标人须知正文第3.5.1项：</w:t>
            </w:r>
          </w:p>
          <w:p>
            <w:pPr>
              <w:bidi w:val="0"/>
              <w:spacing w:line="360" w:lineRule="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投标人基本情况表”应附企业营业执照和组织机构代码证（按照“三证合一”或“五证合一”登记制度进行登记的，可仅提供营业执照，下同）、施工资质证书、安全生产许可证、基本账户开户银行提供的开户或账户信息证明的彩色复印件。</w:t>
            </w:r>
          </w:p>
          <w:p>
            <w:pPr>
              <w:bidi w:val="0"/>
              <w:spacing w:line="360" w:lineRule="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企业法人营业执照和组织机构代码证、施工资质证书、安全生产许可证的扫描件应提供全本（证书封面、封底、空白页除外），应包括投标人名称、投标人其他相关信息、颁发机构名称、投标人信息变更情况等关键页在内。</w:t>
            </w:r>
          </w:p>
          <w:p>
            <w:pPr>
              <w:bidi w:val="0"/>
              <w:spacing w:line="360" w:lineRule="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（3）对于法人发生重组或变更的投标人，应在投标文件中提供附有法人重组或变更时相关部门的合法批件、变更时的企业法人营业执照和资质证书的变更记录彩色扫描件。</w:t>
            </w:r>
          </w:p>
          <w:p>
            <w:pPr>
              <w:bidi w:val="0"/>
              <w:spacing w:line="360" w:lineRule="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复印件。</w:t>
            </w:r>
          </w:p>
          <w:p>
            <w:pPr>
              <w:keepNext w:val="0"/>
              <w:keepLines w:val="0"/>
              <w:pageBreakBefore w:val="0"/>
              <w:widowControl/>
              <w:kinsoku w:val="0"/>
              <w:wordWrap/>
              <w:overflowPunct/>
              <w:topLinePunct w:val="0"/>
              <w:autoSpaceDE w:val="0"/>
              <w:autoSpaceDN w:val="0"/>
              <w:bidi w:val="0"/>
              <w:adjustRightInd w:val="0"/>
              <w:snapToGrid w:val="0"/>
              <w:spacing w:before="3" w:line="288" w:lineRule="auto"/>
              <w:ind w:right="68"/>
              <w:jc w:val="both"/>
              <w:textAlignment w:val="baseline"/>
              <w:rPr>
                <w:rFonts w:ascii="宋体" w:hAnsi="宋体" w:eastAsia="宋体" w:cs="宋体"/>
                <w:sz w:val="20"/>
                <w:szCs w:val="20"/>
              </w:rPr>
            </w:pPr>
            <w:r>
              <w:rPr>
                <w:rFonts w:hint="eastAsia" w:ascii="宋体" w:hAnsi="宋体" w:eastAsia="宋体" w:cs="宋体"/>
                <w:sz w:val="20"/>
                <w:szCs w:val="20"/>
                <w:highlight w:val="none"/>
                <w:lang w:val="en-US" w:eastAsia="zh-CN"/>
              </w:rPr>
              <w:t>（5）招标文件中其他地方与此处不一致时，以此处为准。</w:t>
            </w:r>
          </w:p>
        </w:tc>
      </w:tr>
    </w:tbl>
    <w:p>
      <w:pPr>
        <w:spacing w:before="75" w:line="181" w:lineRule="auto"/>
        <w:jc w:val="center"/>
        <w:outlineLvl w:val="1"/>
        <w:rPr>
          <w:rFonts w:ascii="宋体" w:hAnsi="宋体" w:eastAsia="宋体" w:cs="宋体"/>
          <w:spacing w:val="5"/>
          <w:sz w:val="28"/>
          <w:szCs w:val="28"/>
        </w:rPr>
      </w:pPr>
      <w:bookmarkStart w:id="3" w:name="_bookmark4"/>
      <w:bookmarkEnd w:id="3"/>
      <w:bookmarkStart w:id="4" w:name="_Toc23661"/>
    </w:p>
    <w:p>
      <w:pPr>
        <w:spacing w:before="75" w:line="181" w:lineRule="auto"/>
        <w:jc w:val="center"/>
        <w:outlineLvl w:val="1"/>
      </w:pPr>
      <w:r>
        <w:rPr>
          <w:rFonts w:ascii="宋体" w:hAnsi="宋体" w:eastAsia="宋体" w:cs="宋体"/>
          <w:spacing w:val="5"/>
          <w:sz w:val="28"/>
          <w:szCs w:val="28"/>
        </w:rPr>
        <w:t>附录</w:t>
      </w:r>
      <w:r>
        <w:rPr>
          <w:rFonts w:ascii="宋体" w:hAnsi="宋体" w:eastAsia="宋体" w:cs="宋体"/>
          <w:spacing w:val="-26"/>
          <w:sz w:val="28"/>
          <w:szCs w:val="28"/>
        </w:rPr>
        <w:t xml:space="preserve"> </w:t>
      </w:r>
      <w:r>
        <w:rPr>
          <w:rFonts w:ascii="宋体" w:hAnsi="宋体" w:eastAsia="宋体" w:cs="宋体"/>
          <w:spacing w:val="5"/>
          <w:sz w:val="28"/>
          <w:szCs w:val="28"/>
        </w:rPr>
        <w:t>2</w:t>
      </w:r>
      <w:r>
        <w:rPr>
          <w:rFonts w:ascii="宋体" w:hAnsi="宋体" w:eastAsia="宋体" w:cs="宋体"/>
          <w:spacing w:val="-14"/>
          <w:sz w:val="28"/>
          <w:szCs w:val="28"/>
        </w:rPr>
        <w:t xml:space="preserve"> </w:t>
      </w:r>
      <w:r>
        <w:rPr>
          <w:rFonts w:ascii="宋体" w:hAnsi="宋体" w:eastAsia="宋体" w:cs="宋体"/>
          <w:spacing w:val="5"/>
          <w:sz w:val="28"/>
          <w:szCs w:val="28"/>
        </w:rPr>
        <w:t>资格审查条件(财务最低要求)</w:t>
      </w:r>
      <w:bookmarkEnd w:id="4"/>
    </w:p>
    <w:p>
      <w:pPr>
        <w:spacing w:line="192" w:lineRule="exact"/>
      </w:pPr>
    </w:p>
    <w:tbl>
      <w:tblPr>
        <w:tblStyle w:val="15"/>
        <w:tblW w:w="87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8739" w:type="dxa"/>
            <w:noWrap w:val="0"/>
            <w:vAlign w:val="top"/>
          </w:tcPr>
          <w:p>
            <w:pPr>
              <w:spacing w:before="17" w:line="189" w:lineRule="auto"/>
              <w:ind w:firstLine="4350"/>
              <w:rPr>
                <w:rFonts w:ascii="宋体" w:hAnsi="宋体" w:eastAsia="宋体" w:cs="宋体"/>
                <w:sz w:val="20"/>
                <w:szCs w:val="20"/>
              </w:rPr>
            </w:pPr>
            <w:r>
              <w:rPr>
                <w:rFonts w:ascii="宋体" w:hAnsi="宋体" w:eastAsia="宋体" w:cs="宋体"/>
                <w:spacing w:val="-5"/>
                <w:sz w:val="20"/>
                <w:szCs w:val="20"/>
              </w:rPr>
              <w:t>财务要求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5" w:hRule="atLeast"/>
        </w:trPr>
        <w:tc>
          <w:tcPr>
            <w:tcW w:w="8739"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0"/>
                <w:szCs w:val="20"/>
                <w:highlight w:val="none"/>
                <w:lang w:val="en-US" w:eastAsia="zh-CN" w:bidi="ar"/>
              </w:rPr>
            </w:pPr>
            <w:r>
              <w:rPr>
                <w:rFonts w:hint="eastAsia" w:ascii="宋体" w:hAnsi="宋体" w:eastAsia="宋体" w:cs="宋体"/>
                <w:snapToGrid w:val="0"/>
                <w:color w:val="auto"/>
                <w:kern w:val="0"/>
                <w:sz w:val="20"/>
                <w:szCs w:val="20"/>
                <w:lang w:val="en-US" w:eastAsia="zh-CN" w:bidi="ar"/>
              </w:rPr>
              <w:t>投标人须提</w:t>
            </w:r>
            <w:r>
              <w:rPr>
                <w:rFonts w:hint="eastAsia" w:ascii="宋体" w:hAnsi="宋体" w:eastAsia="宋体" w:cs="宋体"/>
                <w:snapToGrid w:val="0"/>
                <w:color w:val="auto"/>
                <w:kern w:val="0"/>
                <w:sz w:val="20"/>
                <w:szCs w:val="20"/>
                <w:highlight w:val="none"/>
                <w:lang w:val="en-US" w:eastAsia="zh-CN" w:bidi="ar"/>
              </w:rPr>
              <w:t>交近三年（2020年、2021年、2022年）经审计的财务报表，并满足以下要求：</w:t>
            </w:r>
          </w:p>
          <w:p>
            <w:pPr>
              <w:pStyle w:val="13"/>
              <w:numPr>
                <w:ilvl w:val="0"/>
                <w:numId w:val="0"/>
              </w:numPr>
              <w:tabs>
                <w:tab w:val="left" w:pos="747"/>
              </w:tabs>
              <w:spacing w:before="2" w:line="364" w:lineRule="auto"/>
              <w:ind w:right="78" w:rightChars="0"/>
              <w:rPr>
                <w:rFonts w:hint="eastAsia" w:ascii="宋体" w:hAnsi="宋体" w:eastAsia="宋体" w:cs="宋体"/>
                <w:color w:val="000000"/>
                <w:spacing w:val="-7"/>
                <w:sz w:val="20"/>
                <w:szCs w:val="20"/>
                <w:highlight w:val="none"/>
              </w:rPr>
            </w:pPr>
            <w:r>
              <w:rPr>
                <w:rFonts w:hint="eastAsia" w:ascii="宋体" w:hAnsi="宋体" w:eastAsia="宋体" w:cs="宋体"/>
                <w:color w:val="000000"/>
                <w:spacing w:val="-7"/>
                <w:sz w:val="20"/>
                <w:szCs w:val="20"/>
                <w:highlight w:val="none"/>
                <w:lang w:val="en-US" w:eastAsia="zh-CN"/>
              </w:rPr>
              <w:t>1.</w:t>
            </w:r>
            <w:r>
              <w:rPr>
                <w:rFonts w:hint="eastAsia" w:ascii="宋体" w:hAnsi="宋体" w:eastAsia="宋体" w:cs="宋体"/>
                <w:color w:val="000000"/>
                <w:spacing w:val="-7"/>
                <w:sz w:val="20"/>
                <w:szCs w:val="20"/>
                <w:highlight w:val="none"/>
              </w:rPr>
              <w:t>投标人在近 3 年（2020年、2021年、202</w:t>
            </w:r>
            <w:r>
              <w:rPr>
                <w:rFonts w:hint="eastAsia" w:ascii="宋体" w:hAnsi="宋体" w:eastAsia="宋体" w:cs="宋体"/>
                <w:color w:val="000000"/>
                <w:spacing w:val="-7"/>
                <w:sz w:val="20"/>
                <w:szCs w:val="20"/>
                <w:highlight w:val="none"/>
                <w:lang w:val="en-US" w:eastAsia="zh-CN"/>
              </w:rPr>
              <w:t>2</w:t>
            </w:r>
            <w:r>
              <w:rPr>
                <w:rFonts w:hint="eastAsia" w:ascii="宋体" w:hAnsi="宋体" w:eastAsia="宋体" w:cs="宋体"/>
                <w:color w:val="000000"/>
                <w:spacing w:val="-7"/>
                <w:sz w:val="20"/>
                <w:szCs w:val="20"/>
                <w:highlight w:val="none"/>
              </w:rPr>
              <w:t>年）每一年度末的流动资产与流动负债比均不小于 1；</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color w:val="auto"/>
                <w:sz w:val="20"/>
                <w:szCs w:val="20"/>
              </w:rPr>
            </w:pPr>
            <w:r>
              <w:rPr>
                <w:rFonts w:hint="eastAsia" w:ascii="宋体" w:hAnsi="宋体" w:eastAsia="宋体" w:cs="宋体"/>
                <w:color w:val="000000"/>
                <w:spacing w:val="-7"/>
                <w:sz w:val="20"/>
                <w:szCs w:val="20"/>
                <w:highlight w:val="none"/>
                <w:lang w:val="en-US" w:eastAsia="zh-CN"/>
              </w:rPr>
              <w:t>2.</w:t>
            </w:r>
            <w:r>
              <w:rPr>
                <w:rFonts w:hint="eastAsia" w:ascii="宋体" w:hAnsi="宋体" w:eastAsia="宋体" w:cs="宋体"/>
                <w:color w:val="000000"/>
                <w:spacing w:val="-7"/>
                <w:sz w:val="20"/>
                <w:szCs w:val="20"/>
                <w:highlight w:val="none"/>
              </w:rPr>
              <w:t>投标人提供近 3 年（2020年、2021年、202</w:t>
            </w:r>
            <w:r>
              <w:rPr>
                <w:rFonts w:hint="eastAsia" w:ascii="宋体" w:hAnsi="宋体" w:eastAsia="宋体" w:cs="宋体"/>
                <w:color w:val="000000"/>
                <w:spacing w:val="-7"/>
                <w:sz w:val="20"/>
                <w:szCs w:val="20"/>
                <w:highlight w:val="none"/>
                <w:lang w:val="en-US" w:eastAsia="zh-CN"/>
              </w:rPr>
              <w:t>2</w:t>
            </w:r>
            <w:r>
              <w:rPr>
                <w:rFonts w:hint="eastAsia" w:ascii="宋体" w:hAnsi="宋体" w:eastAsia="宋体" w:cs="宋体"/>
                <w:color w:val="000000"/>
                <w:spacing w:val="-7"/>
                <w:sz w:val="20"/>
                <w:szCs w:val="20"/>
                <w:highlight w:val="none"/>
              </w:rPr>
              <w:t>年）经审计的财务报表</w:t>
            </w:r>
            <w:r>
              <w:rPr>
                <w:rFonts w:hint="eastAsia" w:ascii="宋体" w:hAnsi="宋体" w:eastAsia="宋体" w:cs="宋体"/>
                <w:color w:val="000000"/>
                <w:w w:val="95"/>
                <w:sz w:val="20"/>
                <w:szCs w:val="20"/>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9" w:hRule="atLeast"/>
        </w:trPr>
        <w:tc>
          <w:tcPr>
            <w:tcW w:w="8739" w:type="dxa"/>
            <w:noWrap w:val="0"/>
            <w:vAlign w:val="top"/>
          </w:tcPr>
          <w:p>
            <w:pPr>
              <w:spacing w:line="36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注：</w:t>
            </w:r>
          </w:p>
          <w:p>
            <w:pPr>
              <w:spacing w:line="36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修改补充投标人须知正文第3.5.2项：</w:t>
            </w:r>
          </w:p>
          <w:p>
            <w:pPr>
              <w:spacing w:line="36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（1）投标人应在投标文件中附近3个会计年度经会计师事务所或审计机构审计的财务会计报表，包括资产负债表、现金流量表、利润表和财务情况说明书的彩色影印件。</w:t>
            </w:r>
          </w:p>
          <w:p>
            <w:pPr>
              <w:spacing w:line="36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（2）投标人的成立时间少于规定年份的可以对本项目投标，应提供成立以来的财务状况表，且投标人所提供的财务报表均需满足以上要求。</w:t>
            </w:r>
          </w:p>
          <w:p>
            <w:pPr>
              <w:spacing w:line="36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（3）投标人如为集团公司，财务会计报表指合并财务会计报表；</w:t>
            </w:r>
          </w:p>
          <w:p>
            <w:pPr>
              <w:bidi w:val="0"/>
              <w:spacing w:line="360" w:lineRule="auto"/>
              <w:rPr>
                <w:rFonts w:ascii="宋体" w:hAnsi="宋体" w:eastAsia="宋体" w:cs="宋体"/>
                <w:color w:val="auto"/>
                <w:sz w:val="20"/>
                <w:szCs w:val="20"/>
              </w:rPr>
            </w:pPr>
            <w:r>
              <w:rPr>
                <w:rFonts w:hint="eastAsia" w:ascii="宋体" w:hAnsi="宋体" w:eastAsia="宋体" w:cs="宋体"/>
                <w:color w:val="auto"/>
                <w:sz w:val="20"/>
                <w:szCs w:val="20"/>
                <w:lang w:eastAsia="zh-CN"/>
              </w:rPr>
              <w:t>（4）招标文件中其他地方与此处不一致时，以此处为准。</w:t>
            </w:r>
          </w:p>
        </w:tc>
      </w:tr>
    </w:tbl>
    <w:p>
      <w:pPr>
        <w:spacing w:before="75" w:line="181" w:lineRule="auto"/>
        <w:jc w:val="center"/>
        <w:outlineLvl w:val="1"/>
        <w:rPr>
          <w:rFonts w:ascii="宋体" w:hAnsi="宋体" w:eastAsia="宋体" w:cs="宋体"/>
          <w:sz w:val="28"/>
          <w:szCs w:val="28"/>
        </w:rPr>
      </w:pPr>
      <w:bookmarkStart w:id="5" w:name="_bookmark5"/>
      <w:bookmarkEnd w:id="5"/>
      <w:bookmarkStart w:id="6" w:name="_Toc32346"/>
      <w:r>
        <w:rPr>
          <w:rFonts w:ascii="宋体" w:hAnsi="宋体" w:eastAsia="宋体" w:cs="宋体"/>
          <w:spacing w:val="5"/>
          <w:sz w:val="28"/>
          <w:szCs w:val="28"/>
        </w:rPr>
        <w:t>附录</w:t>
      </w:r>
      <w:r>
        <w:rPr>
          <w:rFonts w:ascii="宋体" w:hAnsi="宋体" w:eastAsia="宋体" w:cs="宋体"/>
          <w:spacing w:val="-26"/>
          <w:sz w:val="28"/>
          <w:szCs w:val="28"/>
        </w:rPr>
        <w:t xml:space="preserve"> </w:t>
      </w:r>
      <w:r>
        <w:rPr>
          <w:rFonts w:ascii="宋体" w:hAnsi="宋体" w:eastAsia="宋体" w:cs="宋体"/>
          <w:spacing w:val="5"/>
          <w:sz w:val="28"/>
          <w:szCs w:val="28"/>
        </w:rPr>
        <w:t>3</w:t>
      </w:r>
      <w:r>
        <w:rPr>
          <w:rFonts w:ascii="宋体" w:hAnsi="宋体" w:eastAsia="宋体" w:cs="宋体"/>
          <w:spacing w:val="-14"/>
          <w:sz w:val="28"/>
          <w:szCs w:val="28"/>
        </w:rPr>
        <w:t xml:space="preserve"> </w:t>
      </w:r>
      <w:r>
        <w:rPr>
          <w:rFonts w:ascii="宋体" w:hAnsi="宋体" w:eastAsia="宋体" w:cs="宋体"/>
          <w:spacing w:val="5"/>
          <w:sz w:val="28"/>
          <w:szCs w:val="28"/>
        </w:rPr>
        <w:t>资格审查条件(业绩最低要求)</w:t>
      </w:r>
      <w:bookmarkEnd w:id="6"/>
    </w:p>
    <w:p>
      <w:pPr>
        <w:spacing w:line="192" w:lineRule="exact"/>
      </w:pPr>
    </w:p>
    <w:tbl>
      <w:tblPr>
        <w:tblStyle w:val="15"/>
        <w:tblW w:w="86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8643" w:type="dxa"/>
            <w:noWrap w:val="0"/>
            <w:vAlign w:val="center"/>
          </w:tcPr>
          <w:p>
            <w:pPr>
              <w:spacing w:before="16" w:line="189" w:lineRule="auto"/>
              <w:jc w:val="center"/>
              <w:rPr>
                <w:rFonts w:ascii="宋体" w:hAnsi="宋体" w:eastAsia="宋体" w:cs="宋体"/>
                <w:sz w:val="20"/>
                <w:szCs w:val="20"/>
              </w:rPr>
            </w:pPr>
            <w:r>
              <w:rPr>
                <w:rFonts w:ascii="宋体" w:hAnsi="宋体" w:eastAsia="宋体" w:cs="宋体"/>
                <w:spacing w:val="-5"/>
                <w:sz w:val="20"/>
                <w:szCs w:val="20"/>
              </w:rPr>
              <w:t>业绩要求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8643"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color w:val="auto"/>
                <w:sz w:val="20"/>
                <w:szCs w:val="20"/>
              </w:rPr>
            </w:pPr>
            <w:r>
              <w:rPr>
                <w:rFonts w:hint="eastAsia" w:ascii="宋体" w:hAnsi="宋体" w:eastAsia="宋体" w:cs="宋体"/>
                <w:b w:val="0"/>
                <w:bCs w:val="0"/>
                <w:sz w:val="20"/>
                <w:szCs w:val="20"/>
                <w:highlight w:val="none"/>
                <w:lang w:val="en-US" w:eastAsia="zh-CN"/>
              </w:rPr>
              <w:t>投标人在近三年内（指2020年9月15日至2023年10月</w:t>
            </w:r>
            <w:r>
              <w:rPr>
                <w:rFonts w:hint="eastAsia" w:cs="宋体"/>
                <w:b w:val="0"/>
                <w:bCs w:val="0"/>
                <w:sz w:val="20"/>
                <w:szCs w:val="20"/>
                <w:highlight w:val="none"/>
                <w:lang w:val="en-US" w:eastAsia="zh-CN"/>
              </w:rPr>
              <w:t>07</w:t>
            </w:r>
            <w:r>
              <w:rPr>
                <w:rFonts w:hint="eastAsia" w:ascii="宋体" w:hAnsi="宋体" w:eastAsia="宋体" w:cs="宋体"/>
                <w:b w:val="0"/>
                <w:bCs w:val="0"/>
                <w:sz w:val="20"/>
                <w:szCs w:val="20"/>
                <w:highlight w:val="none"/>
                <w:lang w:val="en-US" w:eastAsia="zh-CN"/>
              </w:rPr>
              <w:t>日，以交工日期为准）至少完成过1个合同金额不少于316万的</w:t>
            </w:r>
            <w:r>
              <w:rPr>
                <w:rFonts w:hint="default" w:ascii="宋体" w:hAnsi="宋体" w:eastAsia="宋体" w:cs="宋体"/>
                <w:b w:val="0"/>
                <w:bCs w:val="0"/>
                <w:sz w:val="20"/>
                <w:szCs w:val="20"/>
                <w:highlight w:val="none"/>
                <w:lang w:val="en-US" w:eastAsia="zh-CN"/>
              </w:rPr>
              <w:t>一级及以上等级公路交通安全设施养护工程施工业绩，且该施工业绩是以投标人名义签署的合同业绩。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4" w:hRule="atLeast"/>
        </w:trPr>
        <w:tc>
          <w:tcPr>
            <w:tcW w:w="8643"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注：</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修改补充投标人须知正文第 3.5.3 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1）投标人应按资格审查资料中的表（四）（近年完成的类似项目情况表）填写所提供的业绩，提供的每个业绩均应填写，未按照表（四）（近年完成的类似项目情况表）规定的格式填报的业绩，其业绩审查将不予认可。</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2）投标人填报的类似项目应是已列入交通运输部或省级交通运输主管部门主管的“公路建设市场信用信息管理系统”并公开的主包已建业绩或分包已建业绩。且登记的信息能够反映项目时间、工程内容、公路等级、合同金额、交工日期等招标文件规定的业绩最低要求。“近年完成的类似项目情况表”应附在交通运输部“全国公路建设市场信用信息管系统”(网址:http://glxy.mot.gov.cn/BM/)中查询到的企业“业绩信息”相关项目网图复印件,即包括“项目名称”“项目类型”“合同价”“主要工程量”“人员履约信息”等栏目在内的项目详细信息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材料。如投标人未提供相关项目网页截图或相关项目网页截图中的信息无法证实投标人满足招标文件规定的资格审查条件(业绩最低要求),则该项目业绩不予认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sz w:val="20"/>
                <w:szCs w:val="20"/>
                <w:highlight w:val="none"/>
                <w:lang w:val="en-US" w:eastAsia="zh-CN"/>
              </w:rPr>
              <w:t>（3）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w:t>
            </w:r>
            <w:r>
              <w:rPr>
                <w:rFonts w:hint="eastAsia" w:ascii="宋体" w:hAnsi="宋体" w:eastAsia="宋体" w:cs="宋体"/>
                <w:b w:val="0"/>
                <w:bCs w:val="0"/>
                <w:color w:val="auto"/>
                <w:sz w:val="20"/>
                <w:szCs w:val="20"/>
                <w:highlight w:val="none"/>
                <w:lang w:val="en-US" w:eastAsia="zh-CN"/>
              </w:rPr>
              <w:t>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w:t>
            </w:r>
          </w:p>
          <w:p>
            <w:pPr>
              <w:pStyle w:val="8"/>
              <w:ind w:left="0" w:leftChars="0" w:firstLine="0" w:firstLineChars="0"/>
              <w:rPr>
                <w:rFonts w:hint="eastAsia"/>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（4）业绩证明材料中需体现出公路交通安全设施养护工程施工业绩（养护工程施工包含公路交通安全设施养护工程内容，则此业绩也予以认可），否则业绩不予认可。</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（5）投标人提供的施工业绩应是以投标人名义签署的合同业绩，其母公司及下属专业单位签署合同的业绩、联合体业绩在资格审查中均不予认可。</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（6）投标人提供的业绩达不到附录 3 业绩最低要求的，其资格审查不予通过。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（7）宁夏公路建设市场信息管理系统已正常开启，由于端口号变化，本系统的登录地址变更为：https://222.75.70.115:8084/CISS/main/home/，如投标人需要，请正确登陆。</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color w:val="auto"/>
                <w:sz w:val="20"/>
                <w:szCs w:val="20"/>
              </w:rPr>
            </w:pPr>
            <w:r>
              <w:rPr>
                <w:rFonts w:hint="eastAsia" w:ascii="宋体" w:hAnsi="宋体" w:eastAsia="宋体" w:cs="宋体"/>
                <w:b w:val="0"/>
                <w:bCs w:val="0"/>
                <w:sz w:val="20"/>
                <w:szCs w:val="20"/>
                <w:highlight w:val="none"/>
                <w:lang w:val="en-US" w:eastAsia="zh-CN"/>
              </w:rPr>
              <w:t>（8）招标文件中其他地方与此处不一致时，以此处为准。</w:t>
            </w:r>
          </w:p>
        </w:tc>
      </w:tr>
    </w:tbl>
    <w:p>
      <w:pPr>
        <w:spacing w:before="74" w:line="181" w:lineRule="auto"/>
        <w:jc w:val="center"/>
        <w:outlineLvl w:val="1"/>
        <w:rPr>
          <w:rFonts w:ascii="宋体" w:hAnsi="宋体" w:eastAsia="宋体" w:cs="宋体"/>
          <w:spacing w:val="4"/>
          <w:sz w:val="32"/>
          <w:szCs w:val="32"/>
        </w:rPr>
      </w:pPr>
      <w:bookmarkStart w:id="7" w:name="_bookmark6"/>
      <w:bookmarkEnd w:id="7"/>
      <w:bookmarkStart w:id="8" w:name="_Toc10802"/>
    </w:p>
    <w:p>
      <w:pPr>
        <w:spacing w:before="74" w:line="181" w:lineRule="auto"/>
        <w:jc w:val="center"/>
        <w:outlineLvl w:val="1"/>
      </w:pPr>
      <w:r>
        <w:rPr>
          <w:rFonts w:ascii="宋体" w:hAnsi="宋体" w:eastAsia="宋体" w:cs="宋体"/>
          <w:spacing w:val="4"/>
          <w:sz w:val="28"/>
          <w:szCs w:val="28"/>
        </w:rPr>
        <w:t>附录</w:t>
      </w:r>
      <w:r>
        <w:rPr>
          <w:rFonts w:ascii="宋体" w:hAnsi="宋体" w:eastAsia="宋体" w:cs="宋体"/>
          <w:spacing w:val="-23"/>
          <w:sz w:val="28"/>
          <w:szCs w:val="28"/>
        </w:rPr>
        <w:t xml:space="preserve"> </w:t>
      </w:r>
      <w:r>
        <w:rPr>
          <w:rFonts w:ascii="宋体" w:hAnsi="宋体" w:eastAsia="宋体" w:cs="宋体"/>
          <w:spacing w:val="4"/>
          <w:sz w:val="28"/>
          <w:szCs w:val="28"/>
        </w:rPr>
        <w:t>4</w:t>
      </w:r>
      <w:r>
        <w:rPr>
          <w:rFonts w:ascii="宋体" w:hAnsi="宋体" w:eastAsia="宋体" w:cs="宋体"/>
          <w:spacing w:val="-14"/>
          <w:sz w:val="28"/>
          <w:szCs w:val="28"/>
        </w:rPr>
        <w:t xml:space="preserve"> </w:t>
      </w:r>
      <w:r>
        <w:rPr>
          <w:rFonts w:ascii="宋体" w:hAnsi="宋体" w:eastAsia="宋体" w:cs="宋体"/>
          <w:spacing w:val="4"/>
          <w:sz w:val="28"/>
          <w:szCs w:val="28"/>
        </w:rPr>
        <w:t>资格审查条件(信誉最低要求）</w:t>
      </w:r>
      <w:bookmarkEnd w:id="8"/>
    </w:p>
    <w:tbl>
      <w:tblPr>
        <w:tblStyle w:val="15"/>
        <w:tblpPr w:leftFromText="180" w:rightFromText="180" w:vertAnchor="text" w:horzAnchor="page" w:tblpX="1862" w:tblpY="182"/>
        <w:tblOverlap w:val="never"/>
        <w:tblW w:w="867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670" w:type="dxa"/>
            <w:noWrap w:val="0"/>
            <w:vAlign w:val="center"/>
          </w:tcPr>
          <w:p>
            <w:pPr>
              <w:spacing w:before="16" w:line="189" w:lineRule="auto"/>
              <w:ind w:firstLine="4349"/>
              <w:jc w:val="both"/>
              <w:rPr>
                <w:rFonts w:ascii="宋体" w:hAnsi="宋体" w:eastAsia="宋体" w:cs="宋体"/>
                <w:sz w:val="20"/>
                <w:szCs w:val="20"/>
              </w:rPr>
            </w:pPr>
            <w:r>
              <w:rPr>
                <w:rFonts w:ascii="宋体" w:hAnsi="宋体" w:eastAsia="宋体" w:cs="宋体"/>
                <w:spacing w:val="-5"/>
                <w:sz w:val="20"/>
                <w:szCs w:val="20"/>
              </w:rPr>
              <w:t>信誉要求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2" w:hRule="atLeast"/>
        </w:trPr>
        <w:tc>
          <w:tcPr>
            <w:tcW w:w="867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1</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未被省级及以上交通运输主管部门取消招标项目所在地的投标资格；</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2</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未被责令停业，暂扣或吊销执照，或吊销资质证书；</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0"/>
                <w:szCs w:val="20"/>
                <w:highlight w:val="none"/>
              </w:rPr>
            </w:pP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3</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未进入清算程序，或被宣告</w:t>
            </w:r>
            <w:r>
              <w:rPr>
                <w:rFonts w:hint="eastAsia" w:ascii="宋体" w:hAnsi="宋体" w:eastAsia="宋体" w:cs="宋体"/>
                <w:color w:val="auto"/>
                <w:sz w:val="20"/>
                <w:szCs w:val="20"/>
                <w:highlight w:val="none"/>
              </w:rPr>
              <w:t>破产，或其他丧失履约能力的情形；</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4</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在国家企业信用信息公示系统中未被列入严重违法失信企业名单；</w:t>
            </w:r>
            <w:bookmarkStart w:id="12" w:name="_GoBack"/>
            <w:bookmarkEnd w:id="12"/>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5</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在“信用中国”、“信用宁夏”网站中未被列入失信被执行人、企业经营异常名录、重大税收违法案件当事人名单；</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6</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在“中国执行信息公开网”中未被列入失信被执行人名单；</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7</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投标人及其法定代表人、拟委任的项目经理</w:t>
            </w:r>
            <w:r>
              <w:rPr>
                <w:rFonts w:hint="eastAsia" w:ascii="宋体" w:hAnsi="宋体" w:eastAsia="宋体" w:cs="宋体"/>
                <w:color w:val="auto"/>
                <w:sz w:val="20"/>
                <w:szCs w:val="20"/>
                <w:highlight w:val="none"/>
                <w:lang w:eastAsia="zh-CN"/>
              </w:rPr>
              <w:t>、项目总工</w:t>
            </w:r>
            <w:r>
              <w:rPr>
                <w:rFonts w:hint="eastAsia" w:ascii="宋体" w:hAnsi="宋体" w:eastAsia="宋体" w:cs="宋体"/>
                <w:color w:val="auto"/>
                <w:sz w:val="20"/>
                <w:szCs w:val="20"/>
                <w:highlight w:val="none"/>
              </w:rPr>
              <w:t>自</w:t>
            </w:r>
            <w:r>
              <w:rPr>
                <w:rFonts w:hint="eastAsia" w:ascii="宋体" w:hAnsi="宋体" w:eastAsia="宋体" w:cs="宋体"/>
                <w:color w:val="auto"/>
                <w:sz w:val="20"/>
                <w:szCs w:val="20"/>
                <w:highlight w:val="none"/>
                <w:lang w:val="en-US" w:eastAsia="zh-CN"/>
              </w:rPr>
              <w:t>2020年09月15日</w:t>
            </w:r>
            <w:r>
              <w:rPr>
                <w:rFonts w:hint="eastAsia" w:ascii="宋体" w:hAnsi="宋体" w:eastAsia="宋体" w:cs="宋体"/>
                <w:color w:val="auto"/>
                <w:sz w:val="20"/>
                <w:szCs w:val="20"/>
                <w:highlight w:val="none"/>
              </w:rPr>
              <w:t>以来无行贿犯罪行为</w:t>
            </w:r>
            <w:r>
              <w:rPr>
                <w:rFonts w:hint="eastAsia" w:ascii="宋体" w:hAnsi="宋体" w:eastAsia="宋体" w:cs="宋体"/>
                <w:color w:val="auto"/>
                <w:sz w:val="20"/>
                <w:szCs w:val="20"/>
                <w:highlight w:val="none"/>
                <w:lang w:eastAsia="zh-CN"/>
              </w:rPr>
              <w:t>（附承诺函）</w:t>
            </w:r>
            <w:r>
              <w:rPr>
                <w:rFonts w:hint="eastAsia" w:ascii="宋体" w:hAnsi="宋体" w:eastAsia="宋体" w:cs="宋体"/>
                <w:color w:val="auto"/>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8</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未在宁夏人力资源社会保障部门门户网站或“信用中国”网站或国家企业信用信息公示系统或地方信用信息共享平台存在拖欠农民工工资违法失信行为的，或查询到存在拖欠农民工工资违法失信行为但已由处罚机关出具了已不再拖欠农民工资证明书的；</w:t>
            </w:r>
          </w:p>
          <w:p>
            <w:pPr>
              <w:bidi w:val="0"/>
              <w:spacing w:line="360" w:lineRule="auto"/>
              <w:jc w:val="both"/>
              <w:rPr>
                <w:rFonts w:ascii="宋体" w:hAnsi="宋体" w:eastAsia="宋体" w:cs="宋体"/>
                <w:sz w:val="20"/>
                <w:szCs w:val="20"/>
              </w:rPr>
            </w:pPr>
            <w:r>
              <w:rPr>
                <w:rFonts w:hint="eastAsia" w:ascii="宋体" w:hAnsi="宋体" w:eastAsia="宋体" w:cs="宋体"/>
                <w:sz w:val="20"/>
                <w:szCs w:val="20"/>
                <w:highlight w:val="none"/>
              </w:rPr>
              <w:t>（9）不存在法律法规或投标人须知前附表规定的其他不合格情形。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8670" w:type="dxa"/>
            <w:noWrap w:val="0"/>
            <w:vAlign w:val="center"/>
          </w:tcPr>
          <w:p>
            <w:pPr>
              <w:bidi w:val="0"/>
              <w:spacing w:line="360" w:lineRule="auto"/>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注：1.投标人提供“投标人信誉情况表”时，按照以上内容及投标文件格式中的要求提供证明资料。</w:t>
            </w:r>
          </w:p>
          <w:p>
            <w:pPr>
              <w:bidi w:val="0"/>
              <w:spacing w:line="360" w:lineRule="auto"/>
              <w:jc w:val="both"/>
              <w:rPr>
                <w:rFonts w:hint="eastAsia" w:ascii="宋体" w:hAnsi="宋体" w:eastAsia="宋体" w:cs="宋体"/>
                <w:sz w:val="20"/>
                <w:szCs w:val="20"/>
              </w:rPr>
            </w:pPr>
            <w:r>
              <w:rPr>
                <w:rFonts w:hint="eastAsia" w:ascii="宋体" w:hAnsi="宋体" w:eastAsia="宋体" w:cs="宋体"/>
                <w:sz w:val="20"/>
                <w:szCs w:val="20"/>
                <w:lang w:eastAsia="zh-CN"/>
              </w:rPr>
              <w:t>2.招标文件中其他地方与此处不一致时，以此处为准。</w:t>
            </w:r>
          </w:p>
        </w:tc>
      </w:tr>
    </w:tbl>
    <w:p>
      <w:pPr>
        <w:spacing w:before="75" w:line="181" w:lineRule="auto"/>
        <w:jc w:val="center"/>
        <w:outlineLvl w:val="1"/>
        <w:rPr>
          <w:rFonts w:ascii="宋体" w:hAnsi="宋体" w:eastAsia="宋体" w:cs="宋体"/>
          <w:spacing w:val="6"/>
          <w:sz w:val="32"/>
          <w:szCs w:val="32"/>
        </w:rPr>
      </w:pPr>
      <w:bookmarkStart w:id="9" w:name="_bookmark7"/>
      <w:bookmarkEnd w:id="9"/>
      <w:bookmarkStart w:id="10" w:name="_Toc22401"/>
    </w:p>
    <w:p>
      <w:pPr>
        <w:spacing w:before="75" w:line="181" w:lineRule="auto"/>
        <w:jc w:val="center"/>
        <w:outlineLvl w:val="1"/>
      </w:pPr>
      <w:r>
        <w:rPr>
          <w:rFonts w:ascii="宋体" w:hAnsi="宋体" w:eastAsia="宋体" w:cs="宋体"/>
          <w:spacing w:val="6"/>
          <w:sz w:val="28"/>
          <w:szCs w:val="28"/>
        </w:rPr>
        <w:t>附录</w:t>
      </w:r>
      <w:r>
        <w:rPr>
          <w:rFonts w:ascii="宋体" w:hAnsi="宋体" w:eastAsia="宋体" w:cs="宋体"/>
          <w:spacing w:val="-13"/>
          <w:sz w:val="28"/>
          <w:szCs w:val="28"/>
        </w:rPr>
        <w:t xml:space="preserve"> </w:t>
      </w:r>
      <w:r>
        <w:rPr>
          <w:rFonts w:ascii="宋体" w:hAnsi="宋体" w:eastAsia="宋体" w:cs="宋体"/>
          <w:spacing w:val="6"/>
          <w:sz w:val="28"/>
          <w:szCs w:val="28"/>
        </w:rPr>
        <w:t>5</w:t>
      </w:r>
      <w:r>
        <w:rPr>
          <w:rFonts w:ascii="宋体" w:hAnsi="宋体" w:eastAsia="宋体" w:cs="宋体"/>
          <w:spacing w:val="-14"/>
          <w:sz w:val="28"/>
          <w:szCs w:val="28"/>
        </w:rPr>
        <w:t xml:space="preserve"> </w:t>
      </w:r>
      <w:r>
        <w:rPr>
          <w:rFonts w:ascii="宋体" w:hAnsi="宋体" w:eastAsia="宋体" w:cs="宋体"/>
          <w:spacing w:val="6"/>
          <w:sz w:val="28"/>
          <w:szCs w:val="28"/>
        </w:rPr>
        <w:t>资格审查条件(项目经理和项目总工最低要求)</w:t>
      </w:r>
      <w:bookmarkEnd w:id="10"/>
    </w:p>
    <w:p>
      <w:pPr>
        <w:spacing w:line="192" w:lineRule="exact"/>
      </w:pPr>
    </w:p>
    <w:tbl>
      <w:tblPr>
        <w:tblStyle w:val="15"/>
        <w:tblW w:w="9113" w:type="dxa"/>
        <w:tblInd w:w="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8"/>
        <w:gridCol w:w="645"/>
        <w:gridCol w:w="5175"/>
        <w:gridCol w:w="23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968" w:type="dxa"/>
            <w:noWrap w:val="0"/>
            <w:vAlign w:val="center"/>
          </w:tcPr>
          <w:p>
            <w:pPr>
              <w:spacing w:before="16" w:line="189" w:lineRule="auto"/>
              <w:jc w:val="center"/>
              <w:rPr>
                <w:rFonts w:hint="eastAsia" w:ascii="宋体" w:hAnsi="宋体" w:eastAsia="宋体" w:cs="宋体"/>
                <w:sz w:val="20"/>
                <w:szCs w:val="20"/>
              </w:rPr>
            </w:pPr>
            <w:r>
              <w:rPr>
                <w:rFonts w:hint="eastAsia" w:ascii="宋体" w:hAnsi="宋体" w:eastAsia="宋体" w:cs="宋体"/>
                <w:spacing w:val="-6"/>
                <w:sz w:val="20"/>
                <w:szCs w:val="20"/>
              </w:rPr>
              <w:t>人员</w:t>
            </w:r>
          </w:p>
        </w:tc>
        <w:tc>
          <w:tcPr>
            <w:tcW w:w="645" w:type="dxa"/>
            <w:noWrap w:val="0"/>
            <w:vAlign w:val="center"/>
          </w:tcPr>
          <w:p>
            <w:pPr>
              <w:spacing w:before="16" w:line="189" w:lineRule="auto"/>
              <w:jc w:val="center"/>
              <w:rPr>
                <w:rFonts w:hint="eastAsia" w:ascii="宋体" w:hAnsi="宋体" w:eastAsia="宋体" w:cs="宋体"/>
                <w:sz w:val="20"/>
                <w:szCs w:val="20"/>
              </w:rPr>
            </w:pPr>
            <w:r>
              <w:rPr>
                <w:rFonts w:hint="eastAsia" w:ascii="宋体" w:hAnsi="宋体" w:eastAsia="宋体" w:cs="宋体"/>
                <w:spacing w:val="-6"/>
                <w:sz w:val="20"/>
                <w:szCs w:val="20"/>
              </w:rPr>
              <w:t>数量</w:t>
            </w:r>
          </w:p>
        </w:tc>
        <w:tc>
          <w:tcPr>
            <w:tcW w:w="5175" w:type="dxa"/>
            <w:noWrap w:val="0"/>
            <w:vAlign w:val="center"/>
          </w:tcPr>
          <w:p>
            <w:pPr>
              <w:spacing w:before="16" w:line="189" w:lineRule="auto"/>
              <w:jc w:val="center"/>
              <w:rPr>
                <w:rFonts w:hint="eastAsia" w:ascii="宋体" w:hAnsi="宋体" w:eastAsia="宋体" w:cs="宋体"/>
                <w:sz w:val="20"/>
                <w:szCs w:val="20"/>
              </w:rPr>
            </w:pPr>
            <w:r>
              <w:rPr>
                <w:rFonts w:hint="eastAsia" w:ascii="宋体" w:hAnsi="宋体" w:eastAsia="宋体" w:cs="宋体"/>
                <w:spacing w:val="-7"/>
                <w:sz w:val="20"/>
                <w:szCs w:val="20"/>
              </w:rPr>
              <w:t>资格要求</w:t>
            </w:r>
          </w:p>
        </w:tc>
        <w:tc>
          <w:tcPr>
            <w:tcW w:w="2325" w:type="dxa"/>
            <w:noWrap w:val="0"/>
            <w:vAlign w:val="center"/>
          </w:tcPr>
          <w:p>
            <w:pPr>
              <w:spacing w:before="16" w:line="189" w:lineRule="auto"/>
              <w:jc w:val="center"/>
              <w:rPr>
                <w:rFonts w:hint="eastAsia" w:ascii="宋体" w:hAnsi="宋体" w:eastAsia="宋体" w:cs="宋体"/>
                <w:sz w:val="20"/>
                <w:szCs w:val="20"/>
              </w:rPr>
            </w:pPr>
            <w:r>
              <w:rPr>
                <w:rFonts w:hint="eastAsia" w:ascii="宋体" w:hAnsi="宋体" w:eastAsia="宋体" w:cs="宋体"/>
                <w:spacing w:val="-5"/>
                <w:sz w:val="20"/>
                <w:szCs w:val="20"/>
              </w:rPr>
              <w:t>在岗要求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0" w:hRule="atLeast"/>
        </w:trPr>
        <w:tc>
          <w:tcPr>
            <w:tcW w:w="968" w:type="dxa"/>
            <w:noWrap w:val="0"/>
            <w:vAlign w:val="center"/>
          </w:tcPr>
          <w:p>
            <w:pPr>
              <w:spacing w:before="75" w:line="181" w:lineRule="auto"/>
              <w:jc w:val="center"/>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项目经理</w:t>
            </w:r>
          </w:p>
        </w:tc>
        <w:tc>
          <w:tcPr>
            <w:tcW w:w="645" w:type="dxa"/>
            <w:noWrap w:val="0"/>
            <w:vAlign w:val="center"/>
          </w:tcPr>
          <w:p>
            <w:pPr>
              <w:spacing w:before="74" w:line="18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51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具有公路工程相关专业中级及以上职称，并具有住建部颁发的公路工程专业二级及以上注册建造师证注册建造师证，持有交通运输主管部门或建设主管部门颁发的 B类安全生产考核证书。近三年（2020年09月15日至2023年10月07日</w:t>
            </w:r>
            <w:r>
              <w:rPr>
                <w:rFonts w:hint="eastAsia" w:ascii="宋体" w:hAnsi="宋体" w:eastAsia="宋体" w:cs="宋体"/>
                <w:color w:val="auto"/>
                <w:sz w:val="20"/>
                <w:szCs w:val="20"/>
                <w:highlight w:val="none"/>
                <w:lang w:val="en-US" w:eastAsia="zh-CN"/>
              </w:rPr>
              <w:t>，以交工日期为准）内，担任过一级及以上等级公路交通安全设施养护工程施工的项目经理（项目负责人）职务，业绩数量至少为1个（如为项目副经理职务业绩数量至少为2个）</w:t>
            </w:r>
          </w:p>
        </w:tc>
        <w:tc>
          <w:tcPr>
            <w:tcW w:w="2325" w:type="dxa"/>
            <w:vMerge w:val="restart"/>
            <w:tcBorders>
              <w:bottom w:val="nil"/>
            </w:tcBorders>
            <w:noWrap w:val="0"/>
            <w:vAlign w:val="center"/>
          </w:tcPr>
          <w:p>
            <w:pPr>
              <w:spacing w:before="74" w:line="304" w:lineRule="auto"/>
              <w:ind w:right="178"/>
              <w:jc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无在岗项目是指：①目前未在其他项目上中标或任职；②在其他项目上中标或已任职，且中标或已任职项目的合同工期与本项目的工期重叠，但本项目中标后能够从该项目上撤离。则投标人必须在本次投标文件中提供书面承诺原件，承诺的内容为上述人员能够从中标项目或已任职项目上撤离。未填写在岗要求或未提供承诺证明材料的，其资格审查不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968" w:type="dxa"/>
            <w:noWrap w:val="0"/>
            <w:vAlign w:val="center"/>
          </w:tcPr>
          <w:p>
            <w:pPr>
              <w:spacing w:before="75" w:line="181" w:lineRule="auto"/>
              <w:jc w:val="center"/>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项目总工</w:t>
            </w:r>
          </w:p>
        </w:tc>
        <w:tc>
          <w:tcPr>
            <w:tcW w:w="645" w:type="dxa"/>
            <w:noWrap w:val="0"/>
            <w:vAlign w:val="center"/>
          </w:tcPr>
          <w:p>
            <w:pPr>
              <w:spacing w:before="75" w:line="18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51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具有公路工程相关专业中级及以上职称，近三年内（指2020年09月15日至2023年10月07日</w:t>
            </w:r>
            <w:r>
              <w:rPr>
                <w:rFonts w:hint="eastAsia" w:ascii="宋体" w:hAnsi="宋体" w:eastAsia="宋体" w:cs="宋体"/>
                <w:color w:val="auto"/>
                <w:sz w:val="20"/>
                <w:szCs w:val="20"/>
                <w:highlight w:val="none"/>
                <w:lang w:val="en-US" w:eastAsia="zh-CN"/>
              </w:rPr>
              <w:t>，以交工日期为准），担任过一级及以上等级公路交通安全设施养护工程施工的项目总工（技术负责人） 职务，业绩数量至少为1个（如为项目副总工职务业绩数量至少为 2个）</w:t>
            </w:r>
          </w:p>
        </w:tc>
        <w:tc>
          <w:tcPr>
            <w:tcW w:w="2325" w:type="dxa"/>
            <w:vMerge w:val="continue"/>
            <w:tcBorders>
              <w:top w:val="nil"/>
            </w:tcBorders>
            <w:noWrap w:val="0"/>
            <w:vAlign w:val="top"/>
          </w:tcPr>
          <w:p>
            <w:pPr>
              <w:rPr>
                <w:rFonts w:hint="eastAsia" w:ascii="宋体" w:hAnsi="宋体" w:eastAsia="宋体" w:cs="宋体"/>
                <w:color w:val="auto"/>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6" w:hRule="atLeast"/>
        </w:trPr>
        <w:tc>
          <w:tcPr>
            <w:tcW w:w="9113" w:type="dxa"/>
            <w:gridSpan w:val="4"/>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注：</w:t>
            </w:r>
          </w:p>
          <w:p>
            <w:pPr>
              <w:bidi w:val="0"/>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修改补充投标人须知正文第3.5.5项：</w:t>
            </w:r>
          </w:p>
          <w:p>
            <w:pPr>
              <w:bidi w:val="0"/>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（1）投标人应按资格审查资料表（六）拟委任的项目经理和项目总工资历表的格式要求分别填写项目经理和项目总工（技术负责人）的资历，还应后附相关资格证明材料的彩色扫描件。</w:t>
            </w:r>
          </w:p>
          <w:p>
            <w:pPr>
              <w:bidi w:val="0"/>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项目经理须提供的资格证明材料：身份证、职称资格证书、建造师注册证书、安全生产考核合格证书、建造师注册证书及安全生产考核合格证书在政府相关部门网站上公开信息的网页截图、投标人所属社保机构出具的202</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年</w:t>
            </w:r>
            <w:r>
              <w:rPr>
                <w:rFonts w:hint="eastAsia" w:ascii="宋体" w:hAnsi="宋体" w:eastAsia="宋体" w:cs="宋体"/>
                <w:color w:val="auto"/>
                <w:sz w:val="20"/>
                <w:szCs w:val="20"/>
                <w:highlight w:val="none"/>
                <w:lang w:val="en-US" w:eastAsia="zh-CN"/>
              </w:rPr>
              <w:t>03</w:t>
            </w:r>
            <w:r>
              <w:rPr>
                <w:rFonts w:hint="eastAsia" w:ascii="宋体" w:hAnsi="宋体" w:eastAsia="宋体" w:cs="宋体"/>
                <w:color w:val="auto"/>
                <w:sz w:val="20"/>
                <w:szCs w:val="20"/>
                <w:highlight w:val="none"/>
                <w:lang w:eastAsia="zh-CN"/>
              </w:rPr>
              <w:t>月至今任意连续3个月社保缴费证明或其他能够证明参加社保的有效证明材料（</w:t>
            </w:r>
            <w:r>
              <w:rPr>
                <w:rFonts w:hint="eastAsia" w:ascii="宋体" w:hAnsi="宋体" w:eastAsia="宋体" w:cs="宋体"/>
                <w:color w:val="auto"/>
                <w:sz w:val="20"/>
                <w:szCs w:val="20"/>
                <w:highlight w:val="none"/>
                <w:lang w:val="en-US" w:eastAsia="zh-CN"/>
              </w:rPr>
              <w:t>明确显示出已缴纳或已到账</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以及</w:t>
            </w:r>
            <w:r>
              <w:rPr>
                <w:rFonts w:hint="eastAsia" w:ascii="宋体" w:hAnsi="宋体" w:eastAsia="宋体" w:cs="宋体"/>
                <w:color w:val="auto"/>
                <w:sz w:val="20"/>
                <w:szCs w:val="20"/>
                <w:highlight w:val="none"/>
                <w:lang w:eastAsia="zh-CN"/>
              </w:rPr>
              <w:t>人员相关业绩的网页截图、在岗撤离承诺书（如需、格式自拟）。</w:t>
            </w:r>
          </w:p>
          <w:p>
            <w:pPr>
              <w:bidi w:val="0"/>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（3）项目总工（技术负责人）须提供的资格证明材料：身份证、职称资格证书、投标人所属社保机构出具的202</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年</w:t>
            </w:r>
            <w:r>
              <w:rPr>
                <w:rFonts w:hint="eastAsia" w:ascii="宋体" w:hAnsi="宋体" w:eastAsia="宋体" w:cs="宋体"/>
                <w:color w:val="auto"/>
                <w:sz w:val="20"/>
                <w:szCs w:val="20"/>
                <w:highlight w:val="none"/>
                <w:lang w:val="en-US" w:eastAsia="zh-CN"/>
              </w:rPr>
              <w:t>03</w:t>
            </w:r>
            <w:r>
              <w:rPr>
                <w:rFonts w:hint="eastAsia" w:ascii="宋体" w:hAnsi="宋体" w:eastAsia="宋体" w:cs="宋体"/>
                <w:color w:val="auto"/>
                <w:sz w:val="20"/>
                <w:szCs w:val="20"/>
                <w:highlight w:val="none"/>
                <w:lang w:eastAsia="zh-CN"/>
              </w:rPr>
              <w:t>月至今任意连续3个月社保缴费证明或其他能够证明参加社保的有效证明材料</w:t>
            </w:r>
            <w:r>
              <w:rPr>
                <w:rFonts w:hint="eastAsia" w:ascii="宋体" w:hAnsi="宋体" w:eastAsia="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lang w:val="en-US" w:eastAsia="zh-CN"/>
              </w:rPr>
              <w:t>明确显示出已缴纳或已到账</w:t>
            </w:r>
            <w:r>
              <w:rPr>
                <w:rFonts w:hint="eastAsia" w:ascii="宋体" w:hAnsi="宋体" w:eastAsia="宋体" w:cs="宋体"/>
                <w:b w:val="0"/>
                <w:bCs w:val="0"/>
                <w:color w:val="auto"/>
                <w:sz w:val="20"/>
                <w:szCs w:val="20"/>
                <w:highlight w:val="none"/>
                <w:lang w:eastAsia="zh-CN"/>
              </w:rPr>
              <w:t>）</w:t>
            </w:r>
            <w:r>
              <w:rPr>
                <w:rFonts w:hint="eastAsia" w:ascii="宋体" w:hAnsi="宋体" w:eastAsia="宋体" w:cs="宋体"/>
                <w:color w:val="auto"/>
                <w:sz w:val="20"/>
                <w:szCs w:val="20"/>
                <w:highlight w:val="none"/>
                <w:lang w:val="en-US" w:eastAsia="zh-CN"/>
              </w:rPr>
              <w:t>以及</w:t>
            </w:r>
            <w:r>
              <w:rPr>
                <w:rFonts w:hint="eastAsia" w:ascii="宋体" w:hAnsi="宋体" w:eastAsia="宋体" w:cs="宋体"/>
                <w:color w:val="auto"/>
                <w:sz w:val="20"/>
                <w:szCs w:val="20"/>
                <w:highlight w:val="none"/>
                <w:lang w:eastAsia="zh-CN"/>
              </w:rPr>
              <w:t>相关业绩的网页截图、在岗撤离承诺书（如需、格式自拟）。</w:t>
            </w:r>
          </w:p>
          <w:p>
            <w:pPr>
              <w:bidi w:val="0"/>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项目经理和项目总工（技术负责人）其他要求：必须是在投标人单位参加社会保险的全日制从业人员；注册建造师证书注册的单位必须为投标人，社保缴费单位与投标人名称必须一致；所有证件需清楚地反映有效期、年检情况及单位变更情况信息（如有）；所附人员的各类证书、证照以及各种证明材料中该人员的姓名应完全一致（除曾用名）。</w:t>
            </w:r>
          </w:p>
          <w:p>
            <w:pPr>
              <w:bidi w:val="0"/>
              <w:spacing w:line="360" w:lineRule="auto"/>
              <w:jc w:val="both"/>
              <w:rPr>
                <w:rFonts w:hint="eastAsia" w:ascii="宋体" w:hAnsi="宋体" w:eastAsia="宋体" w:cs="宋体"/>
                <w:snapToGrid w:val="0"/>
                <w:color w:val="auto"/>
                <w:kern w:val="0"/>
                <w:sz w:val="20"/>
                <w:szCs w:val="20"/>
                <w:highlight w:val="none"/>
                <w:lang w:eastAsia="zh-CN"/>
              </w:rPr>
            </w:pPr>
            <w:r>
              <w:rPr>
                <w:rFonts w:hint="eastAsia" w:ascii="宋体" w:hAnsi="宋体" w:eastAsia="宋体" w:cs="宋体"/>
                <w:snapToGrid w:val="0"/>
                <w:color w:val="auto"/>
                <w:kern w:val="0"/>
                <w:sz w:val="20"/>
                <w:szCs w:val="20"/>
                <w:highlight w:val="none"/>
                <w:lang w:eastAsia="zh-CN"/>
              </w:rPr>
              <w:t>（5）拟委任的项目经理和项目总工资历表”还应附交通运输部“全国公路建设市场信用信息管理系统”中载明的、能够证明项目经理和项目总工具有相关业绩的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资料。如投标人未提供相关业绩网页截图或相关业绩网页截图中的信息无法证实投标人满足招标文件规定的资格审查条件(项目经理和项目总工最低要求)，则该项目业绩不予认定。其他要求同《公路工程标准施工招标文件》(2018年版)。</w:t>
            </w:r>
          </w:p>
          <w:p>
            <w:pPr>
              <w:bidi w:val="0"/>
              <w:spacing w:line="360" w:lineRule="auto"/>
              <w:jc w:val="both"/>
              <w:rPr>
                <w:rFonts w:hint="eastAsia" w:ascii="宋体" w:hAnsi="宋体" w:eastAsia="宋体" w:cs="宋体"/>
                <w:snapToGrid w:val="0"/>
                <w:color w:val="auto"/>
                <w:kern w:val="0"/>
                <w:sz w:val="20"/>
                <w:szCs w:val="20"/>
                <w:highlight w:val="none"/>
                <w:lang w:eastAsia="zh-CN"/>
              </w:rPr>
            </w:pPr>
            <w:r>
              <w:rPr>
                <w:rFonts w:hint="eastAsia" w:ascii="宋体" w:hAnsi="宋体" w:eastAsia="宋体" w:cs="宋体"/>
                <w:snapToGrid w:val="0"/>
                <w:color w:val="auto"/>
                <w:kern w:val="0"/>
                <w:sz w:val="20"/>
                <w:szCs w:val="20"/>
                <w:highlight w:val="none"/>
                <w:lang w:eastAsia="zh-CN"/>
              </w:rPr>
              <w:t>（</w:t>
            </w:r>
            <w:r>
              <w:rPr>
                <w:rFonts w:hint="eastAsia" w:ascii="宋体" w:hAnsi="宋体" w:eastAsia="宋体" w:cs="宋体"/>
                <w:snapToGrid w:val="0"/>
                <w:color w:val="auto"/>
                <w:kern w:val="0"/>
                <w:sz w:val="20"/>
                <w:szCs w:val="20"/>
                <w:highlight w:val="none"/>
                <w:lang w:val="en-US" w:eastAsia="zh-CN"/>
              </w:rPr>
              <w:t>6</w:t>
            </w:r>
            <w:r>
              <w:rPr>
                <w:rFonts w:hint="eastAsia" w:ascii="宋体" w:hAnsi="宋体" w:eastAsia="宋体" w:cs="宋体"/>
                <w:snapToGrid w:val="0"/>
                <w:color w:val="auto"/>
                <w:kern w:val="0"/>
                <w:sz w:val="20"/>
                <w:szCs w:val="20"/>
                <w:highlight w:val="none"/>
                <w:lang w:eastAsia="zh-CN"/>
              </w:rPr>
              <w:t>）人员业绩证明材料中需体现出公路交通安全设施养护工程施工业绩（养护工程施工包含公路交通安全设施养护工程内容，则此业绩也予以认可），否则业绩不予认可。</w:t>
            </w:r>
          </w:p>
          <w:p>
            <w:pPr>
              <w:bidi w:val="0"/>
              <w:spacing w:line="360" w:lineRule="auto"/>
              <w:jc w:val="both"/>
              <w:rPr>
                <w:rFonts w:hint="eastAsia" w:ascii="宋体" w:hAnsi="宋体" w:eastAsia="宋体" w:cs="宋体"/>
                <w:snapToGrid w:val="0"/>
                <w:color w:val="auto"/>
                <w:kern w:val="0"/>
                <w:sz w:val="20"/>
                <w:szCs w:val="20"/>
                <w:highlight w:val="none"/>
                <w:lang w:eastAsia="zh-CN"/>
              </w:rPr>
            </w:pPr>
            <w:r>
              <w:rPr>
                <w:rFonts w:hint="eastAsia" w:ascii="宋体" w:hAnsi="宋体" w:eastAsia="宋体" w:cs="宋体"/>
                <w:snapToGrid w:val="0"/>
                <w:color w:val="auto"/>
                <w:kern w:val="0"/>
                <w:sz w:val="20"/>
                <w:szCs w:val="20"/>
                <w:highlight w:val="none"/>
                <w:lang w:eastAsia="zh-CN"/>
              </w:rPr>
              <w:t>（</w:t>
            </w:r>
            <w:r>
              <w:rPr>
                <w:rFonts w:hint="eastAsia" w:ascii="宋体" w:hAnsi="宋体" w:eastAsia="宋体" w:cs="宋体"/>
                <w:snapToGrid w:val="0"/>
                <w:color w:val="auto"/>
                <w:kern w:val="0"/>
                <w:sz w:val="20"/>
                <w:szCs w:val="20"/>
                <w:highlight w:val="none"/>
                <w:lang w:val="en-US" w:eastAsia="zh-CN"/>
              </w:rPr>
              <w:t>7</w:t>
            </w:r>
            <w:r>
              <w:rPr>
                <w:rFonts w:hint="eastAsia" w:ascii="宋体" w:hAnsi="宋体" w:eastAsia="宋体" w:cs="宋体"/>
                <w:snapToGrid w:val="0"/>
                <w:color w:val="auto"/>
                <w:kern w:val="0"/>
                <w:sz w:val="20"/>
                <w:szCs w:val="20"/>
                <w:highlight w:val="none"/>
                <w:lang w:eastAsia="zh-CN"/>
              </w:rPr>
              <w:t>）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bidi w:val="0"/>
              <w:spacing w:line="360" w:lineRule="auto"/>
              <w:jc w:val="both"/>
              <w:rPr>
                <w:rFonts w:hint="eastAsia" w:ascii="宋体" w:hAnsi="宋体" w:eastAsia="宋体" w:cs="宋体"/>
                <w:snapToGrid w:val="0"/>
                <w:color w:val="auto"/>
                <w:kern w:val="0"/>
                <w:sz w:val="20"/>
                <w:szCs w:val="20"/>
                <w:highlight w:val="none"/>
                <w:lang w:eastAsia="zh-CN"/>
              </w:rPr>
            </w:pPr>
            <w:r>
              <w:rPr>
                <w:rFonts w:hint="eastAsia" w:ascii="宋体" w:hAnsi="宋体" w:eastAsia="宋体" w:cs="宋体"/>
                <w:snapToGrid w:val="0"/>
                <w:color w:val="auto"/>
                <w:kern w:val="0"/>
                <w:sz w:val="20"/>
                <w:szCs w:val="20"/>
                <w:highlight w:val="none"/>
                <w:lang w:eastAsia="zh-CN"/>
              </w:rPr>
              <w:t>（</w:t>
            </w:r>
            <w:r>
              <w:rPr>
                <w:rFonts w:hint="eastAsia" w:ascii="宋体" w:hAnsi="宋体" w:eastAsia="宋体" w:cs="宋体"/>
                <w:snapToGrid w:val="0"/>
                <w:color w:val="auto"/>
                <w:kern w:val="0"/>
                <w:sz w:val="20"/>
                <w:szCs w:val="20"/>
                <w:highlight w:val="none"/>
                <w:lang w:val="en-US" w:eastAsia="zh-CN"/>
              </w:rPr>
              <w:t>8</w:t>
            </w:r>
            <w:r>
              <w:rPr>
                <w:rFonts w:hint="eastAsia" w:ascii="宋体" w:hAnsi="宋体" w:eastAsia="宋体" w:cs="宋体"/>
                <w:snapToGrid w:val="0"/>
                <w:color w:val="auto"/>
                <w:kern w:val="0"/>
                <w:sz w:val="20"/>
                <w:szCs w:val="20"/>
                <w:highlight w:val="none"/>
                <w:lang w:eastAsia="zh-CN"/>
              </w:rPr>
              <w:t>）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按照交通运输部关于修订《公路施工企业信用评价规则（试行）》的通知（交公路规〔2021〕4号）或宁夏交通运输厅关于印发《宁夏回族自治区公路建设与养护市场信用评价管理办法（试行）》的通知（宁交规发〔2021〕5号）相关规定进行信用等级评价， 同时将评价结果上报宁夏交通运输厅，并在交通运输厅网站予以公布。</w:t>
            </w:r>
          </w:p>
          <w:p>
            <w:pPr>
              <w:bidi w:val="0"/>
              <w:spacing w:line="360" w:lineRule="auto"/>
              <w:jc w:val="both"/>
              <w:rPr>
                <w:rFonts w:hint="eastAsia" w:ascii="宋体" w:hAnsi="宋体" w:eastAsia="宋体" w:cs="宋体"/>
                <w:snapToGrid w:val="0"/>
                <w:color w:val="auto"/>
                <w:kern w:val="0"/>
                <w:sz w:val="20"/>
                <w:szCs w:val="20"/>
                <w:highlight w:val="none"/>
                <w:lang w:eastAsia="zh-CN"/>
              </w:rPr>
            </w:pPr>
            <w:r>
              <w:rPr>
                <w:rFonts w:hint="eastAsia" w:ascii="宋体" w:hAnsi="宋体" w:eastAsia="宋体" w:cs="宋体"/>
                <w:snapToGrid w:val="0"/>
                <w:color w:val="auto"/>
                <w:kern w:val="0"/>
                <w:sz w:val="20"/>
                <w:szCs w:val="20"/>
                <w:highlight w:val="none"/>
                <w:lang w:eastAsia="zh-CN"/>
              </w:rPr>
              <w:t>（</w:t>
            </w:r>
            <w:r>
              <w:rPr>
                <w:rFonts w:hint="eastAsia" w:ascii="宋体" w:hAnsi="宋体" w:eastAsia="宋体" w:cs="宋体"/>
                <w:snapToGrid w:val="0"/>
                <w:color w:val="auto"/>
                <w:kern w:val="0"/>
                <w:sz w:val="20"/>
                <w:szCs w:val="20"/>
                <w:highlight w:val="none"/>
                <w:lang w:val="en-US" w:eastAsia="zh-CN"/>
              </w:rPr>
              <w:t>9</w:t>
            </w:r>
            <w:r>
              <w:rPr>
                <w:rFonts w:hint="eastAsia" w:ascii="宋体" w:hAnsi="宋体" w:eastAsia="宋体" w:cs="宋体"/>
                <w:snapToGrid w:val="0"/>
                <w:color w:val="auto"/>
                <w:kern w:val="0"/>
                <w:sz w:val="20"/>
                <w:szCs w:val="20"/>
                <w:highlight w:val="none"/>
                <w:lang w:eastAsia="zh-CN"/>
              </w:rPr>
              <w:t>）对投标人所提供的人员业绩，如通过上述网站查询后结果与投标人自行提供结果不符，则</w:t>
            </w:r>
          </w:p>
          <w:p>
            <w:pPr>
              <w:bidi w:val="0"/>
              <w:spacing w:line="360" w:lineRule="auto"/>
              <w:jc w:val="both"/>
              <w:rPr>
                <w:rFonts w:hint="eastAsia" w:ascii="宋体" w:hAnsi="宋体" w:eastAsia="宋体" w:cs="宋体"/>
                <w:snapToGrid w:val="0"/>
                <w:color w:val="auto"/>
                <w:kern w:val="0"/>
                <w:sz w:val="20"/>
                <w:szCs w:val="20"/>
                <w:highlight w:val="none"/>
                <w:lang w:eastAsia="zh-CN"/>
              </w:rPr>
            </w:pPr>
            <w:r>
              <w:rPr>
                <w:rFonts w:hint="eastAsia" w:ascii="宋体" w:hAnsi="宋体" w:eastAsia="宋体" w:cs="宋体"/>
                <w:snapToGrid w:val="0"/>
                <w:color w:val="auto"/>
                <w:kern w:val="0"/>
                <w:sz w:val="20"/>
                <w:szCs w:val="20"/>
                <w:highlight w:val="none"/>
                <w:lang w:eastAsia="zh-CN"/>
              </w:rPr>
              <w:t>对应业绩将不予认定。投标人对其递交投标文件中所有证明材料的真实性负责，若招标人收到反映投标人提供了虚假材料、不实信息或隐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w:t>
            </w:r>
          </w:p>
          <w:p>
            <w:pPr>
              <w:bidi w:val="0"/>
              <w:spacing w:line="360" w:lineRule="auto"/>
              <w:jc w:val="both"/>
              <w:rPr>
                <w:rFonts w:hint="eastAsia" w:ascii="宋体" w:hAnsi="宋体" w:eastAsia="宋体" w:cs="宋体"/>
                <w:color w:val="auto"/>
                <w:sz w:val="20"/>
                <w:szCs w:val="20"/>
              </w:rPr>
            </w:pPr>
            <w:r>
              <w:rPr>
                <w:rFonts w:hint="eastAsia" w:ascii="宋体" w:hAnsi="宋体" w:eastAsia="宋体" w:cs="宋体"/>
                <w:snapToGrid w:val="0"/>
                <w:color w:val="auto"/>
                <w:kern w:val="0"/>
                <w:sz w:val="20"/>
                <w:szCs w:val="20"/>
                <w:highlight w:val="none"/>
                <w:lang w:eastAsia="zh-CN"/>
              </w:rPr>
              <w:t>（</w:t>
            </w:r>
            <w:r>
              <w:rPr>
                <w:rFonts w:hint="eastAsia" w:ascii="宋体" w:hAnsi="宋体" w:eastAsia="宋体" w:cs="宋体"/>
                <w:snapToGrid w:val="0"/>
                <w:color w:val="auto"/>
                <w:kern w:val="0"/>
                <w:sz w:val="20"/>
                <w:szCs w:val="20"/>
                <w:highlight w:val="none"/>
                <w:lang w:val="en-US" w:eastAsia="zh-CN"/>
              </w:rPr>
              <w:t>10</w:t>
            </w:r>
            <w:r>
              <w:rPr>
                <w:rFonts w:hint="eastAsia" w:ascii="宋体" w:hAnsi="宋体" w:eastAsia="宋体" w:cs="宋体"/>
                <w:snapToGrid w:val="0"/>
                <w:color w:val="auto"/>
                <w:kern w:val="0"/>
                <w:sz w:val="20"/>
                <w:szCs w:val="20"/>
                <w:highlight w:val="none"/>
                <w:lang w:eastAsia="zh-CN"/>
              </w:rPr>
              <w:t>）招标文件中其他地方与此处不一致时，以此处为准。</w:t>
            </w:r>
          </w:p>
        </w:tc>
      </w:tr>
    </w:tbl>
    <w:p>
      <w:pPr>
        <w:keepNext w:val="0"/>
        <w:keepLines w:val="0"/>
        <w:widowControl/>
        <w:numPr>
          <w:ilvl w:val="0"/>
          <w:numId w:val="0"/>
        </w:numPr>
        <w:suppressLineNumbers w:val="0"/>
        <w:jc w:val="left"/>
        <w:rPr>
          <w:rFonts w:hint="eastAsia" w:ascii="宋体" w:hAnsi="宋体" w:eastAsia="宋体" w:cs="宋体"/>
          <w:b/>
          <w:bCs/>
          <w:color w:val="000000" w:themeColor="text1"/>
          <w:kern w:val="0"/>
          <w:sz w:val="20"/>
          <w:szCs w:val="20"/>
          <w:lang w:val="en-US" w:eastAsia="zh-CN" w:bidi="ar"/>
          <w14:textFill>
            <w14:solidFill>
              <w14:schemeClr w14:val="tx1"/>
            </w14:solidFill>
          </w14:textFill>
        </w:rPr>
      </w:pPr>
      <w:bookmarkStart w:id="11" w:name="_bookmark3"/>
      <w:bookmarkEnd w:id="11"/>
    </w:p>
    <w:p>
      <w:pPr>
        <w:keepNext w:val="0"/>
        <w:keepLines w:val="0"/>
        <w:widowControl/>
        <w:numPr>
          <w:ilvl w:val="0"/>
          <w:numId w:val="0"/>
        </w:numPr>
        <w:suppressLineNumbers w:val="0"/>
        <w:jc w:val="left"/>
        <w:rPr>
          <w:color w:val="000000" w:themeColor="text1"/>
          <w14:textFill>
            <w14:solidFill>
              <w14:schemeClr w14:val="tx1"/>
            </w14:solidFill>
          </w14:textFill>
        </w:rPr>
      </w:pPr>
      <w:r>
        <w:rPr>
          <w:rFonts w:hint="eastAsia" w:cs="宋体"/>
          <w:b/>
          <w:bCs/>
          <w:color w:val="000000" w:themeColor="text1"/>
          <w:kern w:val="0"/>
          <w:sz w:val="24"/>
          <w:szCs w:val="24"/>
          <w:lang w:val="en-US" w:eastAsia="zh-CN" w:bidi="ar"/>
          <w14:textFill>
            <w14:solidFill>
              <w14:schemeClr w14:val="tx1"/>
            </w14:solidFill>
          </w14:textFill>
        </w:rPr>
        <w:t>四、</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评标办法全文 </w:t>
      </w:r>
    </w:p>
    <w:p>
      <w:pPr>
        <w:spacing w:line="58" w:lineRule="auto"/>
        <w:rPr>
          <w:sz w:val="2"/>
        </w:rPr>
      </w:pPr>
    </w:p>
    <w:tbl>
      <w:tblPr>
        <w:tblStyle w:val="15"/>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01"/>
        <w:gridCol w:w="6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514" w:type="dxa"/>
            <w:gridSpan w:val="2"/>
            <w:noWrap w:val="0"/>
            <w:vAlign w:val="top"/>
          </w:tcPr>
          <w:p>
            <w:pPr>
              <w:spacing w:before="122" w:line="186" w:lineRule="auto"/>
              <w:ind w:firstLine="688"/>
              <w:rPr>
                <w:rFonts w:hint="eastAsia" w:ascii="宋体" w:hAnsi="宋体" w:eastAsia="宋体" w:cs="宋体"/>
                <w:sz w:val="20"/>
                <w:szCs w:val="20"/>
              </w:rPr>
            </w:pPr>
            <w:r>
              <w:rPr>
                <w:rFonts w:hint="eastAsia" w:ascii="宋体" w:hAnsi="宋体" w:eastAsia="宋体" w:cs="宋体"/>
                <w:spacing w:val="-2"/>
                <w:sz w:val="20"/>
                <w:szCs w:val="20"/>
              </w:rPr>
              <w:t>条款号</w:t>
            </w:r>
          </w:p>
        </w:tc>
        <w:tc>
          <w:tcPr>
            <w:tcW w:w="6384" w:type="dxa"/>
            <w:noWrap w:val="0"/>
            <w:vAlign w:val="top"/>
          </w:tcPr>
          <w:p>
            <w:pPr>
              <w:spacing w:before="122" w:line="186" w:lineRule="auto"/>
              <w:ind w:firstLine="2502"/>
              <w:rPr>
                <w:rFonts w:hint="eastAsia" w:ascii="宋体" w:hAnsi="宋体" w:eastAsia="宋体" w:cs="宋体"/>
                <w:sz w:val="20"/>
                <w:szCs w:val="20"/>
              </w:rPr>
            </w:pPr>
            <w:r>
              <w:rPr>
                <w:rFonts w:hint="eastAsia" w:ascii="宋体" w:hAnsi="宋体" w:eastAsia="宋体" w:cs="宋体"/>
                <w:sz w:val="20"/>
                <w:szCs w:val="20"/>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13" w:type="dxa"/>
            <w:noWrap w:val="0"/>
            <w:vAlign w:val="center"/>
          </w:tcPr>
          <w:p>
            <w:pPr>
              <w:spacing w:before="6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501" w:type="dxa"/>
            <w:noWrap w:val="0"/>
            <w:vAlign w:val="center"/>
          </w:tcPr>
          <w:p>
            <w:pPr>
              <w:spacing w:before="69" w:line="240" w:lineRule="auto"/>
              <w:jc w:val="center"/>
              <w:rPr>
                <w:rFonts w:hint="eastAsia" w:ascii="宋体" w:hAnsi="宋体" w:eastAsia="宋体" w:cs="宋体"/>
                <w:color w:val="auto"/>
                <w:sz w:val="20"/>
                <w:szCs w:val="20"/>
              </w:rPr>
            </w:pPr>
            <w:r>
              <w:rPr>
                <w:rFonts w:hint="eastAsia" w:ascii="宋体" w:hAnsi="宋体" w:eastAsia="宋体" w:cs="宋体"/>
                <w:color w:val="auto"/>
                <w:spacing w:val="-1"/>
                <w:sz w:val="20"/>
                <w:szCs w:val="20"/>
              </w:rPr>
              <w:t>评标方法</w:t>
            </w:r>
          </w:p>
        </w:tc>
        <w:tc>
          <w:tcPr>
            <w:tcW w:w="6384" w:type="dxa"/>
            <w:noWrap w:val="0"/>
            <w:vAlign w:val="top"/>
          </w:tcPr>
          <w:p>
            <w:pPr>
              <w:spacing w:line="360" w:lineRule="auto"/>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eastAsia="zh-CN"/>
              </w:rPr>
              <w:t>评标价得分</w:t>
            </w:r>
            <w:r>
              <w:rPr>
                <w:rFonts w:hint="eastAsia" w:ascii="宋体" w:hAnsi="宋体" w:eastAsia="宋体" w:cs="宋体"/>
                <w:color w:val="auto"/>
                <w:sz w:val="20"/>
                <w:szCs w:val="20"/>
                <w:highlight w:val="none"/>
              </w:rPr>
              <w:t xml:space="preserve">相等时，评标委员会依次按照以下优先顺序推荐中标候选人或确定中标人： </w:t>
            </w:r>
          </w:p>
          <w:p>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（1）评标价低的投标人优先； </w:t>
            </w:r>
          </w:p>
          <w:p>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（2）202</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年度被宁夏交通运输厅评为较高信用等级的投标人优先：以《自治区交通运输厅关于公布202</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年宁夏公路建设市场从业单位信用等级评价结果的通知》（宁交函[202</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98</w:t>
            </w:r>
            <w:r>
              <w:rPr>
                <w:rFonts w:hint="eastAsia" w:ascii="宋体" w:hAnsi="宋体" w:eastAsia="宋体" w:cs="宋体"/>
                <w:color w:val="auto"/>
                <w:sz w:val="20"/>
                <w:szCs w:val="20"/>
                <w:highlight w:val="none"/>
              </w:rPr>
              <w:t>号）文件中的信用评价等级为准；</w:t>
            </w:r>
          </w:p>
          <w:p>
            <w:pPr>
              <w:spacing w:line="360" w:lineRule="auto"/>
              <w:rPr>
                <w:rFonts w:hint="eastAsia" w:ascii="宋体" w:hAnsi="宋体" w:eastAsia="宋体" w:cs="宋体"/>
                <w:color w:val="auto"/>
                <w:sz w:val="20"/>
                <w:szCs w:val="20"/>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由评标委员会根据施工组织设计的编制情况投票确定其推荐排序。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1013" w:type="dxa"/>
            <w:noWrap w:val="0"/>
            <w:vAlign w:val="top"/>
          </w:tcPr>
          <w:p>
            <w:pPr>
              <w:spacing w:line="250" w:lineRule="auto"/>
              <w:rPr>
                <w:rFonts w:hint="eastAsia" w:ascii="宋体" w:hAnsi="宋体" w:eastAsia="宋体" w:cs="宋体"/>
                <w:color w:val="auto"/>
                <w:sz w:val="20"/>
                <w:szCs w:val="20"/>
              </w:rPr>
            </w:pPr>
          </w:p>
          <w:p>
            <w:pPr>
              <w:spacing w:line="250" w:lineRule="auto"/>
              <w:rPr>
                <w:rFonts w:hint="eastAsia" w:ascii="宋体" w:hAnsi="宋体" w:eastAsia="宋体" w:cs="宋体"/>
                <w:color w:val="auto"/>
                <w:sz w:val="20"/>
                <w:szCs w:val="20"/>
              </w:rPr>
            </w:pPr>
          </w:p>
          <w:p>
            <w:pPr>
              <w:spacing w:line="250" w:lineRule="auto"/>
              <w:rPr>
                <w:rFonts w:hint="eastAsia" w:ascii="宋体" w:hAnsi="宋体" w:eastAsia="宋体" w:cs="宋体"/>
                <w:color w:val="auto"/>
                <w:sz w:val="20"/>
                <w:szCs w:val="20"/>
              </w:rPr>
            </w:pPr>
          </w:p>
          <w:p>
            <w:pPr>
              <w:spacing w:line="251" w:lineRule="auto"/>
              <w:rPr>
                <w:rFonts w:hint="eastAsia" w:ascii="宋体" w:hAnsi="宋体" w:eastAsia="宋体" w:cs="宋体"/>
                <w:color w:val="auto"/>
                <w:sz w:val="20"/>
                <w:szCs w:val="20"/>
              </w:rPr>
            </w:pPr>
          </w:p>
          <w:p>
            <w:pPr>
              <w:spacing w:line="251" w:lineRule="auto"/>
              <w:rPr>
                <w:rFonts w:hint="eastAsia" w:ascii="宋体" w:hAnsi="宋体" w:eastAsia="宋体" w:cs="宋体"/>
                <w:color w:val="auto"/>
                <w:sz w:val="20"/>
                <w:szCs w:val="20"/>
              </w:rPr>
            </w:pPr>
          </w:p>
          <w:p>
            <w:pPr>
              <w:spacing w:line="251" w:lineRule="auto"/>
              <w:rPr>
                <w:rFonts w:hint="eastAsia" w:ascii="宋体" w:hAnsi="宋体" w:eastAsia="宋体" w:cs="宋体"/>
                <w:color w:val="auto"/>
                <w:sz w:val="20"/>
                <w:szCs w:val="20"/>
              </w:rPr>
            </w:pPr>
          </w:p>
          <w:p>
            <w:pPr>
              <w:spacing w:line="251" w:lineRule="auto"/>
              <w:rPr>
                <w:rFonts w:hint="eastAsia" w:ascii="宋体" w:hAnsi="宋体" w:eastAsia="宋体" w:cs="宋体"/>
                <w:color w:val="auto"/>
                <w:sz w:val="20"/>
                <w:szCs w:val="20"/>
              </w:rPr>
            </w:pPr>
          </w:p>
          <w:p>
            <w:pPr>
              <w:spacing w:line="251" w:lineRule="auto"/>
              <w:rPr>
                <w:rFonts w:hint="eastAsia" w:ascii="宋体" w:hAnsi="宋体" w:eastAsia="宋体" w:cs="宋体"/>
                <w:color w:val="auto"/>
                <w:sz w:val="20"/>
                <w:szCs w:val="20"/>
              </w:rPr>
            </w:pPr>
          </w:p>
          <w:p>
            <w:pPr>
              <w:spacing w:line="251" w:lineRule="auto"/>
              <w:rPr>
                <w:rFonts w:hint="eastAsia" w:ascii="宋体" w:hAnsi="宋体" w:eastAsia="宋体" w:cs="宋体"/>
                <w:color w:val="auto"/>
                <w:sz w:val="20"/>
                <w:szCs w:val="20"/>
              </w:rPr>
            </w:pPr>
          </w:p>
          <w:p>
            <w:pPr>
              <w:spacing w:line="251" w:lineRule="auto"/>
              <w:rPr>
                <w:rFonts w:hint="eastAsia" w:ascii="宋体" w:hAnsi="宋体" w:eastAsia="宋体" w:cs="宋体"/>
                <w:color w:val="auto"/>
                <w:sz w:val="20"/>
                <w:szCs w:val="20"/>
              </w:rPr>
            </w:pPr>
          </w:p>
          <w:p>
            <w:pPr>
              <w:spacing w:line="251" w:lineRule="auto"/>
              <w:rPr>
                <w:rFonts w:hint="eastAsia" w:ascii="宋体" w:hAnsi="宋体" w:eastAsia="宋体" w:cs="宋体"/>
                <w:color w:val="auto"/>
                <w:sz w:val="20"/>
                <w:szCs w:val="20"/>
              </w:rPr>
            </w:pPr>
          </w:p>
          <w:p>
            <w:pPr>
              <w:spacing w:line="251" w:lineRule="auto"/>
              <w:rPr>
                <w:rFonts w:hint="eastAsia" w:ascii="宋体" w:hAnsi="宋体" w:eastAsia="宋体" w:cs="宋体"/>
                <w:color w:val="auto"/>
                <w:sz w:val="20"/>
                <w:szCs w:val="20"/>
              </w:rPr>
            </w:pPr>
          </w:p>
          <w:p>
            <w:pPr>
              <w:spacing w:line="251" w:lineRule="auto"/>
              <w:rPr>
                <w:rFonts w:hint="eastAsia" w:ascii="宋体" w:hAnsi="宋体" w:eastAsia="宋体" w:cs="宋体"/>
                <w:color w:val="auto"/>
                <w:sz w:val="20"/>
                <w:szCs w:val="20"/>
              </w:rPr>
            </w:pPr>
          </w:p>
          <w:p>
            <w:pPr>
              <w:spacing w:before="60" w:line="360" w:lineRule="exact"/>
              <w:ind w:firstLine="157"/>
              <w:rPr>
                <w:rFonts w:hint="eastAsia" w:ascii="宋体" w:hAnsi="宋体" w:eastAsia="宋体" w:cs="宋体"/>
                <w:color w:val="auto"/>
                <w:sz w:val="20"/>
                <w:szCs w:val="20"/>
              </w:rPr>
            </w:pPr>
            <w:r>
              <w:rPr>
                <w:rFonts w:hint="eastAsia" w:ascii="宋体" w:hAnsi="宋体" w:eastAsia="宋体" w:cs="宋体"/>
                <w:color w:val="auto"/>
                <w:spacing w:val="-1"/>
                <w:position w:val="13"/>
                <w:sz w:val="20"/>
                <w:szCs w:val="20"/>
              </w:rPr>
              <w:t>2.1.1</w:t>
            </w:r>
          </w:p>
          <w:p>
            <w:pPr>
              <w:spacing w:line="204" w:lineRule="auto"/>
              <w:ind w:firstLine="157"/>
              <w:rPr>
                <w:rFonts w:hint="eastAsia" w:ascii="宋体" w:hAnsi="宋体" w:eastAsia="宋体" w:cs="宋体"/>
                <w:color w:val="auto"/>
                <w:sz w:val="20"/>
                <w:szCs w:val="20"/>
              </w:rPr>
            </w:pPr>
          </w:p>
        </w:tc>
        <w:tc>
          <w:tcPr>
            <w:tcW w:w="1501" w:type="dxa"/>
            <w:noWrap w:val="0"/>
            <w:vAlign w:val="top"/>
          </w:tcPr>
          <w:p>
            <w:pPr>
              <w:spacing w:line="254" w:lineRule="auto"/>
              <w:rPr>
                <w:rFonts w:hint="eastAsia" w:ascii="宋体" w:hAnsi="宋体" w:eastAsia="宋体" w:cs="宋体"/>
                <w:color w:val="auto"/>
                <w:sz w:val="20"/>
                <w:szCs w:val="20"/>
              </w:rPr>
            </w:pPr>
          </w:p>
          <w:p>
            <w:pPr>
              <w:spacing w:line="254" w:lineRule="auto"/>
              <w:rPr>
                <w:rFonts w:hint="eastAsia" w:ascii="宋体" w:hAnsi="宋体" w:eastAsia="宋体" w:cs="宋体"/>
                <w:color w:val="auto"/>
                <w:sz w:val="20"/>
                <w:szCs w:val="20"/>
              </w:rPr>
            </w:pPr>
          </w:p>
          <w:p>
            <w:pPr>
              <w:spacing w:line="254" w:lineRule="auto"/>
              <w:rPr>
                <w:rFonts w:hint="eastAsia" w:ascii="宋体" w:hAnsi="宋体" w:eastAsia="宋体" w:cs="宋体"/>
                <w:color w:val="auto"/>
                <w:sz w:val="20"/>
                <w:szCs w:val="20"/>
              </w:rPr>
            </w:pPr>
          </w:p>
          <w:p>
            <w:pPr>
              <w:spacing w:line="254" w:lineRule="auto"/>
              <w:rPr>
                <w:rFonts w:hint="eastAsia" w:ascii="宋体" w:hAnsi="宋体" w:eastAsia="宋体" w:cs="宋体"/>
                <w:color w:val="auto"/>
                <w:sz w:val="20"/>
                <w:szCs w:val="20"/>
              </w:rPr>
            </w:pPr>
          </w:p>
          <w:p>
            <w:pPr>
              <w:spacing w:line="254" w:lineRule="auto"/>
              <w:rPr>
                <w:rFonts w:hint="eastAsia" w:ascii="宋体" w:hAnsi="宋体" w:eastAsia="宋体" w:cs="宋体"/>
                <w:color w:val="auto"/>
                <w:sz w:val="20"/>
                <w:szCs w:val="20"/>
              </w:rPr>
            </w:pPr>
          </w:p>
          <w:p>
            <w:pPr>
              <w:spacing w:line="254" w:lineRule="auto"/>
              <w:rPr>
                <w:rFonts w:hint="eastAsia" w:ascii="宋体" w:hAnsi="宋体" w:eastAsia="宋体" w:cs="宋体"/>
                <w:color w:val="auto"/>
                <w:sz w:val="20"/>
                <w:szCs w:val="20"/>
              </w:rPr>
            </w:pPr>
          </w:p>
          <w:p>
            <w:pPr>
              <w:spacing w:line="254" w:lineRule="auto"/>
              <w:rPr>
                <w:rFonts w:hint="eastAsia" w:ascii="宋体" w:hAnsi="宋体" w:eastAsia="宋体" w:cs="宋体"/>
                <w:color w:val="auto"/>
                <w:sz w:val="20"/>
                <w:szCs w:val="20"/>
              </w:rPr>
            </w:pPr>
          </w:p>
          <w:p>
            <w:pPr>
              <w:spacing w:line="255" w:lineRule="auto"/>
              <w:rPr>
                <w:rFonts w:hint="eastAsia" w:ascii="宋体" w:hAnsi="宋体" w:eastAsia="宋体" w:cs="宋体"/>
                <w:color w:val="auto"/>
                <w:sz w:val="20"/>
                <w:szCs w:val="20"/>
              </w:rPr>
            </w:pPr>
          </w:p>
          <w:p>
            <w:pPr>
              <w:spacing w:line="255" w:lineRule="auto"/>
              <w:rPr>
                <w:rFonts w:hint="eastAsia" w:ascii="宋体" w:hAnsi="宋体" w:eastAsia="宋体" w:cs="宋体"/>
                <w:color w:val="auto"/>
                <w:sz w:val="20"/>
                <w:szCs w:val="20"/>
              </w:rPr>
            </w:pPr>
          </w:p>
          <w:p>
            <w:pPr>
              <w:spacing w:line="255" w:lineRule="auto"/>
              <w:rPr>
                <w:rFonts w:hint="eastAsia" w:ascii="宋体" w:hAnsi="宋体" w:eastAsia="宋体" w:cs="宋体"/>
                <w:color w:val="auto"/>
                <w:sz w:val="20"/>
                <w:szCs w:val="20"/>
              </w:rPr>
            </w:pPr>
          </w:p>
          <w:p>
            <w:pPr>
              <w:spacing w:line="255" w:lineRule="auto"/>
              <w:rPr>
                <w:rFonts w:hint="eastAsia" w:ascii="宋体" w:hAnsi="宋体" w:eastAsia="宋体" w:cs="宋体"/>
                <w:color w:val="auto"/>
                <w:sz w:val="20"/>
                <w:szCs w:val="20"/>
              </w:rPr>
            </w:pPr>
          </w:p>
          <w:p>
            <w:pPr>
              <w:spacing w:line="255" w:lineRule="auto"/>
              <w:rPr>
                <w:rFonts w:hint="eastAsia" w:ascii="宋体" w:hAnsi="宋体" w:eastAsia="宋体" w:cs="宋体"/>
                <w:color w:val="auto"/>
                <w:sz w:val="20"/>
                <w:szCs w:val="20"/>
              </w:rPr>
            </w:pPr>
          </w:p>
          <w:p>
            <w:pPr>
              <w:spacing w:before="69" w:line="316" w:lineRule="auto"/>
              <w:ind w:left="213" w:right="208" w:firstLine="3"/>
              <w:rPr>
                <w:rFonts w:hint="eastAsia" w:ascii="宋体" w:hAnsi="宋体" w:eastAsia="宋体" w:cs="宋体"/>
                <w:color w:val="auto"/>
                <w:sz w:val="20"/>
                <w:szCs w:val="20"/>
              </w:rPr>
            </w:pPr>
            <w:r>
              <w:rPr>
                <w:rFonts w:hint="eastAsia" w:ascii="宋体" w:hAnsi="宋体" w:eastAsia="宋体" w:cs="宋体"/>
                <w:color w:val="auto"/>
                <w:spacing w:val="-3"/>
                <w:sz w:val="20"/>
                <w:szCs w:val="20"/>
              </w:rPr>
              <w:t>形式评审</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2"/>
                <w:sz w:val="20"/>
                <w:szCs w:val="20"/>
              </w:rPr>
              <w:t>与响应性</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2"/>
                <w:sz w:val="20"/>
                <w:szCs w:val="20"/>
              </w:rPr>
              <w:t>评审标准</w:t>
            </w:r>
          </w:p>
        </w:tc>
        <w:tc>
          <w:tcPr>
            <w:tcW w:w="6384" w:type="dxa"/>
            <w:noWrap w:val="0"/>
            <w:vAlign w:val="top"/>
          </w:tcPr>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第一个信封（商务及技术文件）评审标准：</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(1)投标文件按照招标文件规定的格式、内容填写，字迹清晰可辨：</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a.投标函按招标文件规定填报了项目名称、</w:t>
            </w:r>
            <w:r>
              <w:rPr>
                <w:rFonts w:hint="eastAsia" w:ascii="宋体" w:hAnsi="宋体" w:eastAsia="宋体" w:cs="宋体"/>
                <w:color w:val="auto"/>
                <w:sz w:val="20"/>
                <w:szCs w:val="20"/>
                <w:highlight w:val="none"/>
                <w:lang w:eastAsia="zh-CN"/>
              </w:rPr>
              <w:t>标段号</w:t>
            </w:r>
            <w:r>
              <w:rPr>
                <w:rFonts w:hint="eastAsia" w:ascii="宋体" w:hAnsi="宋体" w:eastAsia="宋体" w:cs="宋体"/>
                <w:color w:val="auto"/>
                <w:sz w:val="20"/>
                <w:szCs w:val="20"/>
                <w:highlight w:val="none"/>
              </w:rPr>
              <w:t>、补遗书编号（如有）、工期、工程质量要求、安全目标等；</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b.投标函附录的所有内容和数据均符合招标文件规定；</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c.投标文件中有承诺函、规范投标行为承诺函、使用农民工承诺等内容，其内容文字与招标文件规定一致，未进行修改和删减且签字盖章齐全；</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d.按照招标文件规定的格式、内容编制了施工组织设计及项目管理机构相关图表；</w:t>
            </w:r>
          </w:p>
          <w:p>
            <w:pPr>
              <w:numPr>
                <w:ilvl w:val="0"/>
                <w:numId w:val="0"/>
              </w:numPr>
              <w:bidi w:val="0"/>
              <w:spacing w:line="360" w:lineRule="auto"/>
              <w:ind w:leftChars="0" w:right="0" w:rightChars="0"/>
              <w:jc w:val="both"/>
              <w:rPr>
                <w:rFonts w:hint="eastAsia"/>
                <w:color w:val="auto"/>
                <w:sz w:val="20"/>
                <w:szCs w:val="20"/>
              </w:rPr>
            </w:pPr>
            <w:r>
              <w:rPr>
                <w:rFonts w:hint="eastAsia" w:ascii="宋体" w:hAnsi="宋体" w:eastAsia="宋体" w:cs="宋体"/>
                <w:color w:val="auto"/>
                <w:sz w:val="20"/>
                <w:szCs w:val="20"/>
                <w:highlight w:val="none"/>
              </w:rPr>
              <w:t>e.投标文件组成齐全完整，内容均按规定填写，按招标文件规定的形式装订。</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(2)投标文件上法定代表人或其授权代理人的签字、投标人的单位章盖章齐全，符合招标文件规定。</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)投标人法定代表人授权代理人签署投标文件的，需提交授权委托书，且授权人和被授权人均在授权委托书上亲笔签名。</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)投标人法定代表人亲自签署投标文件的，提供了法定代表人身份证明，且法定代表人在法定代表人身份证明上签名。</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)本项目不接受联合体投标。</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)本项目不允许分包。</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7</w:t>
            </w:r>
            <w:r>
              <w:rPr>
                <w:rFonts w:hint="eastAsia" w:ascii="宋体" w:hAnsi="宋体" w:eastAsia="宋体" w:cs="宋体"/>
                <w:color w:val="auto"/>
                <w:sz w:val="20"/>
                <w:szCs w:val="20"/>
                <w:highlight w:val="none"/>
              </w:rPr>
              <w:t>)同一投标人未提交两个以上不同的投标文件。</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)投标文件中未出现有关投标报价的内容。</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9</w:t>
            </w:r>
            <w:r>
              <w:rPr>
                <w:rFonts w:hint="eastAsia" w:ascii="宋体" w:hAnsi="宋体" w:eastAsia="宋体" w:cs="宋体"/>
                <w:color w:val="auto"/>
                <w:sz w:val="20"/>
                <w:szCs w:val="20"/>
                <w:highlight w:val="none"/>
              </w:rPr>
              <w:t>)投标文件载明的招标项目完成期限未超过招标文件规定的时限。</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0</w:t>
            </w:r>
            <w:r>
              <w:rPr>
                <w:rFonts w:hint="eastAsia" w:ascii="宋体" w:hAnsi="宋体" w:eastAsia="宋体" w:cs="宋体"/>
                <w:color w:val="auto"/>
                <w:sz w:val="20"/>
                <w:szCs w:val="20"/>
                <w:highlight w:val="none"/>
              </w:rPr>
              <w:t>)投标文件对招标文件的实质性要求和条件作出了响应。</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)权利义务符合招标文件规定：</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a.投标人应接受招标文件规定的风险划分原则，未提出新的风险划分办法；</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b.投标人未增加发包人的责任范围，或减少投标人义务；</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c.投标人未提出不同的工程验收、计量、支付办法；</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d.投标人对合同纠纷、事故处理办法未提出异议；</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e.投标人在投标活动中无欺诈行为；</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f.投标人未对合同条款有重要保留。</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（1</w:t>
            </w:r>
            <w:r>
              <w:rPr>
                <w:rFonts w:hint="eastAsia" w:ascii="宋体" w:hAnsi="宋体" w:eastAsia="宋体" w:cs="宋体"/>
                <w:snapToGrid w:val="0"/>
                <w:color w:val="auto"/>
                <w:kern w:val="0"/>
                <w:sz w:val="20"/>
                <w:szCs w:val="20"/>
                <w:highlight w:val="none"/>
                <w:lang w:val="en-US" w:eastAsia="zh-CN"/>
              </w:rPr>
              <w:t>3</w:t>
            </w:r>
            <w:r>
              <w:rPr>
                <w:rFonts w:hint="eastAsia" w:ascii="宋体" w:hAnsi="宋体" w:eastAsia="宋体" w:cs="宋体"/>
                <w:snapToGrid w:val="0"/>
                <w:color w:val="auto"/>
                <w:kern w:val="0"/>
                <w:sz w:val="20"/>
                <w:szCs w:val="20"/>
                <w:highlight w:val="none"/>
              </w:rPr>
              <w:t>）围标、串标审查：如果有证据显示投标人以他人名义投标、与他人串通投标、以行贿手段谋取中标，以及投标弄虚作假的，评标委员会应对该投标文件作无效投标处理。</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（1</w:t>
            </w:r>
            <w:r>
              <w:rPr>
                <w:rFonts w:hint="eastAsia" w:ascii="宋体" w:hAnsi="宋体" w:eastAsia="宋体" w:cs="宋体"/>
                <w:snapToGrid w:val="0"/>
                <w:color w:val="auto"/>
                <w:kern w:val="0"/>
                <w:sz w:val="20"/>
                <w:szCs w:val="20"/>
                <w:highlight w:val="none"/>
                <w:lang w:val="en-US" w:eastAsia="zh-CN"/>
              </w:rPr>
              <w:t>4</w:t>
            </w:r>
            <w:r>
              <w:rPr>
                <w:rFonts w:hint="eastAsia" w:ascii="宋体" w:hAnsi="宋体" w:eastAsia="宋体" w:cs="宋体"/>
                <w:snapToGrid w:val="0"/>
                <w:color w:val="auto"/>
                <w:kern w:val="0"/>
                <w:sz w:val="20"/>
                <w:szCs w:val="20"/>
                <w:highlight w:val="none"/>
              </w:rPr>
              <w:t>）评标委员会要对投标人的财务能力、管理水平和以往施工业绩及履约信誉进行详细评审。如发现投标文件有以下情况之一的，评标委员会将对其作无效投标处理：</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a.承诺的质量标准低于招标文件或国家强制性标准要求；</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b.提供虚假施工业绩及履约信誉证明材料。</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lang w:eastAsia="zh-CN"/>
              </w:rPr>
              <w:t>（</w:t>
            </w:r>
            <w:r>
              <w:rPr>
                <w:rFonts w:hint="eastAsia" w:ascii="宋体" w:hAnsi="宋体" w:eastAsia="宋体" w:cs="宋体"/>
                <w:snapToGrid w:val="0"/>
                <w:color w:val="auto"/>
                <w:kern w:val="0"/>
                <w:sz w:val="20"/>
                <w:szCs w:val="20"/>
                <w:highlight w:val="none"/>
                <w:lang w:val="en-US" w:eastAsia="zh-CN"/>
              </w:rPr>
              <w:t>15</w:t>
            </w:r>
            <w:r>
              <w:rPr>
                <w:rFonts w:hint="eastAsia" w:ascii="宋体" w:hAnsi="宋体" w:eastAsia="宋体" w:cs="宋体"/>
                <w:snapToGrid w:val="0"/>
                <w:color w:val="auto"/>
                <w:kern w:val="0"/>
                <w:sz w:val="20"/>
                <w:szCs w:val="20"/>
                <w:highlight w:val="none"/>
                <w:lang w:eastAsia="zh-CN"/>
              </w:rPr>
              <w:t>）</w:t>
            </w:r>
            <w:r>
              <w:rPr>
                <w:rFonts w:hint="eastAsia" w:ascii="宋体" w:hAnsi="宋体" w:eastAsia="宋体" w:cs="宋体"/>
                <w:snapToGrid w:val="0"/>
                <w:color w:val="auto"/>
                <w:kern w:val="0"/>
                <w:sz w:val="20"/>
                <w:szCs w:val="20"/>
                <w:highlight w:val="none"/>
              </w:rPr>
              <w:t>投标文件和提交方式要满足投标人须知之规定。</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（1</w:t>
            </w:r>
            <w:r>
              <w:rPr>
                <w:rFonts w:hint="eastAsia" w:ascii="宋体" w:hAnsi="宋体" w:eastAsia="宋体" w:cs="宋体"/>
                <w:snapToGrid w:val="0"/>
                <w:color w:val="auto"/>
                <w:kern w:val="0"/>
                <w:sz w:val="20"/>
                <w:szCs w:val="20"/>
                <w:highlight w:val="none"/>
                <w:lang w:val="en-US" w:eastAsia="zh-CN"/>
              </w:rPr>
              <w:t>6</w:t>
            </w:r>
            <w:r>
              <w:rPr>
                <w:rFonts w:hint="eastAsia" w:ascii="宋体" w:hAnsi="宋体" w:eastAsia="宋体" w:cs="宋体"/>
                <w:snapToGrid w:val="0"/>
                <w:color w:val="auto"/>
                <w:kern w:val="0"/>
                <w:sz w:val="20"/>
                <w:szCs w:val="20"/>
                <w:highlight w:val="none"/>
              </w:rPr>
              <w:t>）按评标委员会要求澄清、说明或补正的。</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（1</w:t>
            </w:r>
            <w:r>
              <w:rPr>
                <w:rFonts w:hint="eastAsia" w:ascii="宋体" w:hAnsi="宋体" w:eastAsia="宋体" w:cs="宋体"/>
                <w:snapToGrid w:val="0"/>
                <w:color w:val="auto"/>
                <w:kern w:val="0"/>
                <w:sz w:val="20"/>
                <w:szCs w:val="20"/>
                <w:highlight w:val="none"/>
                <w:lang w:val="en-US" w:eastAsia="zh-CN"/>
              </w:rPr>
              <w:t>7</w:t>
            </w:r>
            <w:r>
              <w:rPr>
                <w:rFonts w:hint="eastAsia" w:ascii="宋体" w:hAnsi="宋体" w:eastAsia="宋体" w:cs="宋体"/>
                <w:snapToGrid w:val="0"/>
                <w:color w:val="auto"/>
                <w:kern w:val="0"/>
                <w:sz w:val="20"/>
                <w:szCs w:val="20"/>
                <w:highlight w:val="none"/>
              </w:rPr>
              <w:t>）未附有招标人不能接受的其他条件。</w:t>
            </w:r>
          </w:p>
          <w:p>
            <w:pPr>
              <w:pStyle w:val="8"/>
              <w:spacing w:line="360" w:lineRule="auto"/>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第二个信封（报价文件）评审标准：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投标文件按照招标文件规定的格式、内容填写</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字迹清晰可辨：</w:t>
            </w:r>
          </w:p>
          <w:p>
            <w:pPr>
              <w:numPr>
                <w:ilvl w:val="0"/>
                <w:numId w:val="0"/>
              </w:numPr>
              <w:bidi w:val="0"/>
              <w:spacing w:line="360" w:lineRule="auto"/>
              <w:ind w:leftChars="0" w:right="0" w:rightChars="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rPr>
              <w:t>投标函按招标文件规定填报了项目名称、标段号、补遗书编号（如有）、投标价（包括大写金额和小写金额）；</w:t>
            </w:r>
          </w:p>
          <w:p>
            <w:pPr>
              <w:numPr>
                <w:ilvl w:val="0"/>
                <w:numId w:val="0"/>
              </w:numPr>
              <w:bidi w:val="0"/>
              <w:spacing w:line="360" w:lineRule="auto"/>
              <w:ind w:leftChars="0" w:right="0" w:rightChars="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b</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rPr>
              <w:t>已标价工程量清单说明、投标报价说明、计日工说明、其他说明以及工程量清 单表中文字与招标文件规定一致，未进行实质性修改和删减</w:t>
            </w:r>
            <w:r>
              <w:rPr>
                <w:rFonts w:hint="eastAsia" w:ascii="宋体" w:hAnsi="宋体" w:eastAsia="宋体" w:cs="宋体"/>
                <w:color w:val="auto"/>
                <w:sz w:val="20"/>
                <w:szCs w:val="20"/>
                <w:highlight w:val="none"/>
                <w:lang w:eastAsia="zh-CN"/>
              </w:rPr>
              <w:t>；</w:t>
            </w:r>
          </w:p>
          <w:p>
            <w:pPr>
              <w:numPr>
                <w:ilvl w:val="0"/>
                <w:numId w:val="0"/>
              </w:numPr>
              <w:bidi w:val="0"/>
              <w:spacing w:line="360" w:lineRule="auto"/>
              <w:ind w:leftChars="0" w:right="0" w:rightChars="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c</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rPr>
              <w:t>投标文件组成齐全完整，内容均按规定填写。</w:t>
            </w:r>
          </w:p>
          <w:p>
            <w:pPr>
              <w:numPr>
                <w:ilvl w:val="0"/>
                <w:numId w:val="0"/>
              </w:numPr>
              <w:bidi w:val="0"/>
              <w:spacing w:line="360" w:lineRule="auto"/>
              <w:ind w:leftChars="0" w:right="0" w:rightChars="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（2）投标文件上法定代表人或其授权代理人的签字、投标人的单位章盖章齐全，符合招标文件规定</w:t>
            </w:r>
            <w:r>
              <w:rPr>
                <w:rFonts w:hint="eastAsia" w:ascii="宋体" w:hAnsi="宋体" w:eastAsia="宋体" w:cs="宋体"/>
                <w:color w:val="auto"/>
                <w:sz w:val="20"/>
                <w:szCs w:val="20"/>
                <w:highlight w:val="none"/>
                <w:lang w:eastAsia="zh-CN"/>
              </w:rPr>
              <w:t>。</w:t>
            </w:r>
          </w:p>
          <w:p>
            <w:pPr>
              <w:numPr>
                <w:ilvl w:val="0"/>
                <w:numId w:val="0"/>
              </w:numPr>
              <w:bidi w:val="0"/>
              <w:spacing w:line="360" w:lineRule="auto"/>
              <w:ind w:leftChars="0" w:right="0" w:rightChars="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）投标报价中报价满足投标人须知的要求及满足以下要求：</w:t>
            </w:r>
          </w:p>
          <w:p>
            <w:pPr>
              <w:numPr>
                <w:ilvl w:val="0"/>
                <w:numId w:val="0"/>
              </w:numPr>
              <w:bidi w:val="0"/>
              <w:spacing w:line="360" w:lineRule="auto"/>
              <w:ind w:leftChars="0" w:right="0" w:rightChars="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rPr>
              <w:t>投标报价的大写金额能确定具体数值；</w:t>
            </w:r>
          </w:p>
          <w:p>
            <w:pPr>
              <w:numPr>
                <w:ilvl w:val="0"/>
                <w:numId w:val="0"/>
              </w:numPr>
              <w:bidi w:val="0"/>
              <w:spacing w:line="360" w:lineRule="auto"/>
              <w:ind w:leftChars="0" w:right="0" w:rightChars="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rPr>
              <w:t>投标报价未超过招标文件设定的最高投标限价；</w:t>
            </w:r>
          </w:p>
          <w:p>
            <w:pPr>
              <w:numPr>
                <w:ilvl w:val="0"/>
                <w:numId w:val="0"/>
              </w:numPr>
              <w:bidi w:val="0"/>
              <w:spacing w:line="360" w:lineRule="auto"/>
              <w:ind w:leftChars="0" w:right="0" w:rightChars="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c</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rPr>
              <w:t>投标报价大写金额无错误且可唱出；</w:t>
            </w:r>
          </w:p>
          <w:p>
            <w:pPr>
              <w:numPr>
                <w:ilvl w:val="0"/>
                <w:numId w:val="0"/>
              </w:numPr>
              <w:bidi w:val="0"/>
              <w:spacing w:line="360" w:lineRule="auto"/>
              <w:ind w:leftChars="0" w:right="0" w:rightChars="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d</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rPr>
              <w:t>未提交调价函；</w:t>
            </w:r>
          </w:p>
          <w:p>
            <w:pPr>
              <w:numPr>
                <w:ilvl w:val="0"/>
                <w:numId w:val="0"/>
              </w:numPr>
              <w:bidi w:val="0"/>
              <w:spacing w:line="360" w:lineRule="auto"/>
              <w:ind w:leftChars="0" w:right="0" w:rightChars="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e</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rPr>
              <w:t>同一投标人未提交两个以上不同的投标报价；</w:t>
            </w:r>
          </w:p>
          <w:p>
            <w:pPr>
              <w:pStyle w:val="8"/>
              <w:spacing w:line="36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）投标文件未附有招标人不能接受的其他条件。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1013" w:type="dxa"/>
            <w:noWrap w:val="0"/>
            <w:vAlign w:val="center"/>
          </w:tcPr>
          <w:p>
            <w:pPr>
              <w:spacing w:line="204" w:lineRule="auto"/>
              <w:ind w:firstLine="157"/>
              <w:jc w:val="center"/>
              <w:rPr>
                <w:rFonts w:hint="default" w:ascii="宋体" w:hAnsi="宋体" w:eastAsia="宋体" w:cs="宋体"/>
                <w:color w:val="auto"/>
                <w:spacing w:val="-1"/>
                <w:sz w:val="20"/>
                <w:szCs w:val="20"/>
                <w:lang w:val="en-US" w:eastAsia="zh-CN"/>
              </w:rPr>
            </w:pPr>
            <w:r>
              <w:rPr>
                <w:rFonts w:hint="eastAsia" w:ascii="宋体" w:hAnsi="宋体" w:eastAsia="宋体" w:cs="宋体"/>
                <w:color w:val="auto"/>
                <w:spacing w:val="-1"/>
                <w:sz w:val="20"/>
                <w:szCs w:val="20"/>
                <w:lang w:val="en-US" w:eastAsia="zh-CN"/>
              </w:rPr>
              <w:t>2.1.2</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资格评</w:t>
            </w:r>
          </w:p>
          <w:p>
            <w:pPr>
              <w:spacing w:before="69" w:line="316" w:lineRule="auto"/>
              <w:ind w:left="213" w:right="208" w:firstLine="3"/>
              <w:jc w:val="center"/>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审标准</w:t>
            </w:r>
          </w:p>
        </w:tc>
        <w:tc>
          <w:tcPr>
            <w:tcW w:w="6384" w:type="dxa"/>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2" w:firstLineChars="76"/>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投标人具备有效的营业执照、组织机构代码证、税务登记证（或三证合一的营业执照）、资质证书、安全生产许可证、基本账户开户许可证等招标文件要求提交的证照，且所有证照在正本中均为彩色扫描件或彩色复印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2" w:firstLineChars="76"/>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投标人的资质等级符合招标文件投标人须知附录1（包括小注）规定；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2" w:firstLineChars="76"/>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投标人的财务状况符合招标文件投标人须知附录2（包括小注）规定；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2" w:firstLineChars="76"/>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投标人的业绩符合招标文件投标人须知附录3（包括小注）规定；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2" w:firstLineChars="76"/>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投标人的信誉符合招标文件投标人须知附录4（包括小注）规定；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2" w:firstLineChars="76"/>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投标人的项目经理和项目总工符合招标文件附录5（包括小注）规定；</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152" w:firstLineChars="76"/>
              <w:jc w:val="both"/>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highlight w:val="none"/>
                <w:lang w:val="en-US" w:eastAsia="zh-CN"/>
              </w:rPr>
              <w:t>7.</w:t>
            </w:r>
            <w:r>
              <w:rPr>
                <w:rFonts w:hint="eastAsia" w:ascii="宋体" w:hAnsi="宋体" w:eastAsia="宋体" w:cs="宋体"/>
                <w:color w:val="auto"/>
                <w:sz w:val="20"/>
                <w:szCs w:val="20"/>
                <w:highlight w:val="none"/>
              </w:rPr>
              <w:t>投标人不存在第二章“投标人须知”第1.4.3项或第1.4.4项规定的任何一种情形。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宋体" w:hAnsi="宋体" w:eastAsia="宋体" w:cs="宋体"/>
                <w:color w:val="auto"/>
                <w:spacing w:val="-1"/>
                <w:sz w:val="20"/>
                <w:szCs w:val="20"/>
                <w:lang w:val="en-US" w:eastAsia="zh-CN"/>
              </w:rPr>
            </w:pPr>
            <w:r>
              <w:rPr>
                <w:rFonts w:hint="eastAsia" w:ascii="宋体" w:hAnsi="宋体" w:eastAsia="宋体" w:cs="宋体"/>
                <w:color w:val="auto"/>
                <w:spacing w:val="-1"/>
                <w:sz w:val="20"/>
                <w:szCs w:val="20"/>
                <w:lang w:val="en-US" w:eastAsia="zh-CN"/>
              </w:rPr>
              <w:t>2.2.1</w:t>
            </w:r>
          </w:p>
        </w:tc>
        <w:tc>
          <w:tcPr>
            <w:tcW w:w="1501" w:type="dxa"/>
            <w:noWrap w:val="0"/>
            <w:vAlign w:val="center"/>
          </w:tcPr>
          <w:p>
            <w:pPr>
              <w:spacing w:before="69" w:line="316" w:lineRule="auto"/>
              <w:ind w:left="213" w:right="208" w:firstLine="3"/>
              <w:jc w:val="both"/>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分值构成</w:t>
            </w:r>
          </w:p>
          <w:p>
            <w:pPr>
              <w:spacing w:before="69" w:line="316" w:lineRule="auto"/>
              <w:ind w:right="208"/>
              <w:jc w:val="center"/>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（总分100分）</w:t>
            </w:r>
          </w:p>
        </w:tc>
        <w:tc>
          <w:tcPr>
            <w:tcW w:w="6384" w:type="dxa"/>
            <w:noWrap w:val="0"/>
            <w:vAlign w:val="center"/>
          </w:tcPr>
          <w:p>
            <w:pPr>
              <w:pStyle w:val="8"/>
              <w:ind w:left="0" w:leftChars="0" w:firstLine="0" w:firstLineChars="0"/>
              <w:jc w:val="both"/>
              <w:rPr>
                <w:rFonts w:hint="eastAsia" w:ascii="宋体" w:hAnsi="宋体" w:eastAsia="宋体" w:cs="宋体"/>
                <w:color w:val="auto"/>
                <w:sz w:val="20"/>
                <w:szCs w:val="20"/>
              </w:rPr>
            </w:pPr>
            <w:r>
              <w:rPr>
                <w:rFonts w:hint="eastAsia" w:ascii="宋体" w:hAnsi="宋体" w:eastAsia="宋体" w:cs="宋体"/>
                <w:color w:val="auto"/>
                <w:sz w:val="20"/>
                <w:szCs w:val="20"/>
              </w:rPr>
              <w:t>评标价：100分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宋体" w:hAnsi="宋体" w:eastAsia="宋体" w:cs="宋体"/>
                <w:color w:val="auto"/>
                <w:spacing w:val="-1"/>
                <w:sz w:val="20"/>
                <w:szCs w:val="20"/>
                <w:lang w:val="en-US" w:eastAsia="zh-CN"/>
              </w:rPr>
            </w:pPr>
            <w:r>
              <w:rPr>
                <w:rFonts w:hint="eastAsia" w:ascii="宋体" w:hAnsi="宋体" w:eastAsia="宋体" w:cs="宋体"/>
                <w:color w:val="auto"/>
                <w:spacing w:val="-1"/>
                <w:sz w:val="20"/>
                <w:szCs w:val="20"/>
                <w:lang w:val="en-US" w:eastAsia="zh-CN"/>
              </w:rPr>
              <w:t>2.2.2</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评标基准价计算方法</w:t>
            </w:r>
          </w:p>
          <w:p>
            <w:pPr>
              <w:spacing w:before="69" w:line="316" w:lineRule="auto"/>
              <w:ind w:left="213" w:right="208" w:firstLine="3"/>
              <w:jc w:val="center"/>
              <w:rPr>
                <w:rFonts w:hint="eastAsia" w:ascii="宋体" w:hAnsi="宋体" w:eastAsia="宋体" w:cs="宋体"/>
                <w:color w:val="auto"/>
                <w:spacing w:val="-3"/>
                <w:sz w:val="20"/>
                <w:szCs w:val="20"/>
              </w:rPr>
            </w:pPr>
          </w:p>
        </w:tc>
        <w:tc>
          <w:tcPr>
            <w:tcW w:w="63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一、计算公式字母含义</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 xml:space="preserve">1. P为评标基准价；    </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2. Di为评标价：Di＝投标函文字报价；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3. N为有效评标价的数量（有效评标价：除第一信封经评标委员会否决的投标人及第二信封开标现场被宣布为不进入评标基准价计算的评标价之外，剩余所有投标人的评标价均为有效评标价）；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4. K为评标基准价系数：K值取值范围为0.980、0.985、0.990、0.995、1.000共5个数值，在开标现场由投标人代表随机抽取一个K值，并当场公布（（K值每组只抽一次，组内各标段不再抽取）；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5. n1为去掉最高有效评标价的数量，n2为去掉最低有效评标价的数量（n1、n2的取值组内各标段分别抽取）。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n1、n2的取值方法：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当N＜6时，n1、n2均取0；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当6≤N＜10，n1、n2均取1；</w:t>
            </w:r>
          </w:p>
          <w:p>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both"/>
              <w:textAlignment w:val="baseline"/>
              <w:rPr>
                <w:rFonts w:hint="eastAsia"/>
                <w:color w:val="auto"/>
                <w:sz w:val="20"/>
                <w:szCs w:val="20"/>
                <w:lang w:eastAsia="zh-CN"/>
              </w:rPr>
            </w:pPr>
            <w:r>
              <w:rPr>
                <w:rFonts w:hint="eastAsia" w:ascii="宋体" w:hAnsi="宋体" w:eastAsia="宋体" w:cs="宋体"/>
                <w:color w:val="auto"/>
                <w:sz w:val="20"/>
                <w:szCs w:val="20"/>
                <w:lang w:eastAsia="zh-CN"/>
              </w:rPr>
              <w:t>当N≥10时，n1在取值区间1～M-1中现场随机抽取，n2在取值区间1～M+1中现场随机抽取，M=N/4，M去尾取整数。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宋体" w:hAnsi="宋体" w:eastAsia="宋体" w:cs="宋体"/>
                <w:color w:val="auto"/>
                <w:spacing w:val="-1"/>
                <w:sz w:val="20"/>
                <w:szCs w:val="20"/>
                <w:lang w:val="en-US" w:eastAsia="zh-CN"/>
              </w:rPr>
            </w:pPr>
            <w:r>
              <w:rPr>
                <w:rFonts w:hint="eastAsia" w:ascii="宋体" w:hAnsi="宋体" w:eastAsia="宋体" w:cs="宋体"/>
                <w:color w:val="auto"/>
                <w:spacing w:val="-1"/>
                <w:sz w:val="20"/>
                <w:szCs w:val="20"/>
                <w:lang w:val="en-US" w:eastAsia="zh-CN"/>
              </w:rPr>
              <w:t>2.2.3</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评标基准价计算方法</w:t>
            </w:r>
          </w:p>
        </w:tc>
        <w:tc>
          <w:tcPr>
            <w:tcW w:w="63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rPr>
              <w:t>二</w:t>
            </w:r>
            <w:r>
              <w:rPr>
                <w:rFonts w:hint="eastAsia" w:ascii="宋体" w:hAnsi="宋体" w:eastAsia="宋体" w:cs="宋体"/>
                <w:color w:val="auto"/>
                <w:sz w:val="20"/>
                <w:szCs w:val="20"/>
                <w:lang w:eastAsia="zh-CN"/>
              </w:rPr>
              <w:t>、评标基准价计算方法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以下三种评标基准价计算方法，招标人在开标现场随机抽取其中一种方法作为当次招标评标基准价的计算方法，按已抽取的评标基准价计算方法抽取相关计算参数。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评标基准价方法1（平均值随机系数法）：有效评标价去掉n1个最高评标价和n2个最低评标价后取平均值，乘以评标基准价系数K作为评标基准价Ｐ。</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70485</wp:posOffset>
                  </wp:positionH>
                  <wp:positionV relativeFrom="paragraph">
                    <wp:posOffset>17145</wp:posOffset>
                  </wp:positionV>
                  <wp:extent cx="3862705" cy="735965"/>
                  <wp:effectExtent l="0" t="0" r="4445" b="6985"/>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6"/>
                          <a:stretch>
                            <a:fillRect/>
                          </a:stretch>
                        </pic:blipFill>
                        <pic:spPr>
                          <a:xfrm>
                            <a:off x="0" y="0"/>
                            <a:ext cx="3862705" cy="735965"/>
                          </a:xfrm>
                          <a:prstGeom prst="rect">
                            <a:avLst/>
                          </a:prstGeom>
                          <a:noFill/>
                          <a:ln>
                            <a:noFill/>
                          </a:ln>
                        </pic:spPr>
                      </pic:pic>
                    </a:graphicData>
                  </a:graphic>
                </wp:anchor>
              </w:drawing>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评标基准价方法2（价差随机系数法）：先去掉n1个最高有效评标价和n2个最低有效评标价，用剩余有效评标价中最大评标价与最小评标价之差与调整系数乘积加最小评标价作为评标基准价。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P＝（Dmax - Dmin）×  Ks  +  Dmin</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式中：Dmax为去掉n1个最高有效评标价后的最大评标价数值。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Dmin为去掉n2个最低有效评标价后的最小评标价数值。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Ks为随机调整系数：Ks＝（X+Y/10）/10,其中X、Y为开标现场抽取的两个系数，各设5个数值，分别为2、3、4、5、6。</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评标基准价方法3（随机权重法）：先去掉n1个最高有效评标价和n2个最低有效评标价后的平均值，用最高投标限价与平均值的权值之和作为评标基准价。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P =D平均×K1×Q1 + B上限×K2 ×Q2</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式中：D平均为去掉n1个最高评标价和n2个最低评标价后的平均值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B上限为投标最高限价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K1、K2、Q1 、Q2权重系数：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Q2 = 1- Q1， Q1取值范围30%～70%；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K1 的取值范围为 95%～100%；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K2 的取值范围为(85%+E%)～(90%+E%)，其中E为0至5的自然数，由招标人在编制招标文件时结合项目实际自行选取E值后明确K2的取值范围，本项目E=3。</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Q1值、K1值、K2值均在第二信封开标现场随机抽取确定。Q1取值的步长不大于1%，K1和K2取值的步长不大于0.5%。</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Q1取值的步长现场从0.1%、0.2%、0.3%、0.4%、0.5%、0.6%、0.7%、0.8%、0.9%、1.0%共10个数值中随机抽取，K1 和K2 取值的步长现场从0.1%、0.2%、0.3%、0.4%、0.5%共5个数值中随机抽取。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eastAsia="zh-CN"/>
              </w:rPr>
              <w:t>Q1值、K1值、K2值的抽取，如项目分组招标，对应系数按照组进行抽取；如未分组，对应系数按照标段进行抽取。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0"/>
                <w:szCs w:val="20"/>
                <w:lang w:val="en-US" w:eastAsia="zh-CN"/>
              </w:rPr>
            </w:pPr>
            <w:r>
              <w:rPr>
                <w:rFonts w:hint="eastAsia" w:ascii="宋体" w:hAnsi="宋体" w:eastAsia="宋体" w:cs="宋体"/>
                <w:color w:val="auto"/>
                <w:spacing w:val="-1"/>
                <w:sz w:val="20"/>
                <w:szCs w:val="20"/>
                <w:lang w:eastAsia="zh-CN"/>
              </w:rPr>
              <w:t>条款号</w:t>
            </w:r>
          </w:p>
        </w:tc>
        <w:tc>
          <w:tcPr>
            <w:tcW w:w="1501" w:type="dxa"/>
            <w:noWrap w:val="0"/>
            <w:vAlign w:val="center"/>
          </w:tcPr>
          <w:p>
            <w:pPr>
              <w:spacing w:before="69" w:line="316" w:lineRule="auto"/>
              <w:ind w:left="213" w:leftChars="0" w:right="208" w:rightChars="0" w:firstLine="3" w:firstLineChars="0"/>
              <w:jc w:val="center"/>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条款内容</w:t>
            </w:r>
          </w:p>
        </w:tc>
        <w:tc>
          <w:tcPr>
            <w:tcW w:w="6384" w:type="dxa"/>
            <w:noWrap w:val="0"/>
            <w:vAlign w:val="center"/>
          </w:tcPr>
          <w:p>
            <w:pPr>
              <w:bidi w:val="0"/>
              <w:rPr>
                <w:rFonts w:hint="eastAsia" w:ascii="宋体" w:hAnsi="宋体" w:eastAsia="宋体" w:cs="宋体"/>
                <w:color w:val="auto"/>
                <w:sz w:val="20"/>
                <w:szCs w:val="20"/>
              </w:rPr>
            </w:pPr>
            <w:r>
              <w:rPr>
                <w:rFonts w:hint="eastAsia" w:ascii="宋体" w:hAnsi="宋体" w:eastAsia="宋体" w:cs="宋体"/>
                <w:color w:val="auto"/>
                <w:sz w:val="20"/>
                <w:szCs w:val="2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top"/>
          </w:tcPr>
          <w:p>
            <w:pPr>
              <w:pStyle w:val="13"/>
              <w:spacing w:before="4" w:line="360" w:lineRule="auto"/>
              <w:rPr>
                <w:rFonts w:hint="eastAsia" w:ascii="宋体" w:hAnsi="宋体" w:eastAsia="宋体" w:cs="宋体"/>
                <w:snapToGrid w:val="0"/>
                <w:color w:val="auto"/>
                <w:spacing w:val="-3"/>
                <w:kern w:val="0"/>
                <w:sz w:val="20"/>
                <w:szCs w:val="20"/>
              </w:rPr>
            </w:pPr>
          </w:p>
          <w:p>
            <w:pPr>
              <w:pStyle w:val="13"/>
              <w:spacing w:line="360" w:lineRule="auto"/>
              <w:ind w:left="99" w:leftChars="0" w:right="97" w:rightChars="0"/>
              <w:jc w:val="center"/>
              <w:rPr>
                <w:rFonts w:hint="eastAsia" w:ascii="宋体" w:hAnsi="宋体" w:eastAsia="宋体" w:cs="宋体"/>
                <w:snapToGrid w:val="0"/>
                <w:color w:val="auto"/>
                <w:spacing w:val="-3"/>
                <w:kern w:val="0"/>
                <w:sz w:val="20"/>
                <w:szCs w:val="20"/>
                <w:lang w:eastAsia="zh-CN"/>
              </w:rPr>
            </w:pPr>
            <w:r>
              <w:rPr>
                <w:rFonts w:hint="eastAsia" w:ascii="宋体" w:hAnsi="宋体" w:eastAsia="宋体" w:cs="宋体"/>
                <w:snapToGrid w:val="0"/>
                <w:color w:val="auto"/>
                <w:spacing w:val="-3"/>
                <w:kern w:val="0"/>
                <w:sz w:val="20"/>
                <w:szCs w:val="20"/>
              </w:rPr>
              <w:t>2.2.1</w:t>
            </w:r>
          </w:p>
        </w:tc>
        <w:tc>
          <w:tcPr>
            <w:tcW w:w="1501" w:type="dxa"/>
            <w:noWrap w:val="0"/>
            <w:vAlign w:val="top"/>
          </w:tcPr>
          <w:p>
            <w:pPr>
              <w:pStyle w:val="13"/>
              <w:spacing w:before="102" w:line="360" w:lineRule="auto"/>
              <w:ind w:left="170" w:right="168"/>
              <w:jc w:val="both"/>
              <w:rPr>
                <w:rFonts w:hint="eastAsia" w:ascii="宋体" w:hAnsi="宋体" w:eastAsia="宋体" w:cs="宋体"/>
                <w:snapToGrid w:val="0"/>
                <w:color w:val="auto"/>
                <w:spacing w:val="-3"/>
                <w:kern w:val="0"/>
                <w:sz w:val="20"/>
                <w:szCs w:val="20"/>
              </w:rPr>
            </w:pPr>
            <w:r>
              <w:rPr>
                <w:rFonts w:hint="eastAsia" w:ascii="宋体" w:hAnsi="宋体" w:eastAsia="宋体" w:cs="宋体"/>
                <w:snapToGrid w:val="0"/>
                <w:color w:val="auto"/>
                <w:spacing w:val="-3"/>
                <w:kern w:val="0"/>
                <w:sz w:val="20"/>
                <w:szCs w:val="20"/>
              </w:rPr>
              <w:t>分值构成</w:t>
            </w:r>
          </w:p>
          <w:p>
            <w:pPr>
              <w:pStyle w:val="13"/>
              <w:spacing w:before="5" w:line="360" w:lineRule="auto"/>
              <w:ind w:left="170" w:right="166"/>
              <w:jc w:val="both"/>
              <w:rPr>
                <w:rFonts w:hint="eastAsia" w:ascii="宋体" w:hAnsi="宋体" w:eastAsia="宋体" w:cs="宋体"/>
                <w:snapToGrid w:val="0"/>
                <w:color w:val="auto"/>
                <w:spacing w:val="-3"/>
                <w:kern w:val="0"/>
                <w:sz w:val="20"/>
                <w:szCs w:val="20"/>
              </w:rPr>
            </w:pPr>
            <w:r>
              <w:rPr>
                <w:rFonts w:hint="eastAsia" w:ascii="宋体" w:hAnsi="宋体" w:eastAsia="宋体" w:cs="宋体"/>
                <w:snapToGrid w:val="0"/>
                <w:color w:val="auto"/>
                <w:spacing w:val="-3"/>
                <w:kern w:val="0"/>
                <w:sz w:val="20"/>
                <w:szCs w:val="20"/>
              </w:rPr>
              <w:t>（总分</w:t>
            </w:r>
          </w:p>
          <w:p>
            <w:pPr>
              <w:pStyle w:val="13"/>
              <w:spacing w:before="2" w:line="360" w:lineRule="auto"/>
              <w:ind w:left="112" w:leftChars="0"/>
              <w:rPr>
                <w:rFonts w:hint="eastAsia" w:ascii="宋体" w:hAnsi="宋体" w:eastAsia="宋体" w:cs="宋体"/>
                <w:snapToGrid w:val="0"/>
                <w:color w:val="auto"/>
                <w:spacing w:val="-3"/>
                <w:kern w:val="0"/>
                <w:sz w:val="20"/>
                <w:szCs w:val="20"/>
              </w:rPr>
            </w:pPr>
            <w:r>
              <w:rPr>
                <w:rFonts w:hint="eastAsia" w:ascii="宋体" w:hAnsi="宋体" w:eastAsia="宋体" w:cs="宋体"/>
                <w:snapToGrid w:val="0"/>
                <w:color w:val="auto"/>
                <w:spacing w:val="-3"/>
                <w:kern w:val="0"/>
                <w:sz w:val="20"/>
                <w:szCs w:val="20"/>
              </w:rPr>
              <w:t>100.0 分）</w:t>
            </w:r>
          </w:p>
        </w:tc>
        <w:tc>
          <w:tcPr>
            <w:tcW w:w="6384" w:type="dxa"/>
            <w:noWrap w:val="0"/>
            <w:vAlign w:val="top"/>
          </w:tcPr>
          <w:p>
            <w:pPr>
              <w:pStyle w:val="13"/>
              <w:spacing w:before="4" w:line="360" w:lineRule="auto"/>
              <w:rPr>
                <w:color w:val="auto"/>
                <w:sz w:val="20"/>
                <w:szCs w:val="20"/>
              </w:rPr>
            </w:pPr>
          </w:p>
          <w:p>
            <w:pPr>
              <w:pStyle w:val="13"/>
              <w:spacing w:line="360" w:lineRule="auto"/>
              <w:ind w:left="108" w:leftChars="0"/>
              <w:rPr>
                <w:rFonts w:hint="eastAsia" w:ascii="宋体" w:hAnsi="宋体" w:eastAsia="宋体" w:cs="宋体"/>
                <w:color w:val="auto"/>
                <w:sz w:val="20"/>
                <w:szCs w:val="20"/>
              </w:rPr>
            </w:pPr>
            <w:r>
              <w:rPr>
                <w:rFonts w:hint="eastAsia" w:ascii="宋体" w:hAnsi="宋体" w:eastAsia="宋体" w:cs="宋体"/>
                <w:snapToGrid w:val="0"/>
                <w:color w:val="auto"/>
                <w:kern w:val="0"/>
                <w:sz w:val="20"/>
                <w:szCs w:val="20"/>
                <w:lang w:eastAsia="zh-CN"/>
              </w:rPr>
              <w:t>评标价：100.0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top"/>
          </w:tcPr>
          <w:p>
            <w:pPr>
              <w:pStyle w:val="13"/>
              <w:spacing w:before="5" w:line="360" w:lineRule="auto"/>
              <w:rPr>
                <w:color w:val="auto"/>
                <w:sz w:val="20"/>
                <w:szCs w:val="20"/>
              </w:rPr>
            </w:pPr>
          </w:p>
          <w:p>
            <w:pPr>
              <w:pStyle w:val="13"/>
              <w:spacing w:line="360" w:lineRule="auto"/>
              <w:ind w:left="119" w:leftChars="0"/>
              <w:jc w:val="center"/>
              <w:rPr>
                <w:color w:val="auto"/>
                <w:sz w:val="20"/>
                <w:szCs w:val="20"/>
              </w:rPr>
            </w:pPr>
            <w:r>
              <w:rPr>
                <w:color w:val="auto"/>
                <w:sz w:val="20"/>
                <w:szCs w:val="20"/>
              </w:rPr>
              <w:t>2.2.3</w:t>
            </w:r>
          </w:p>
        </w:tc>
        <w:tc>
          <w:tcPr>
            <w:tcW w:w="1501" w:type="dxa"/>
            <w:noWrap w:val="0"/>
            <w:vAlign w:val="top"/>
          </w:tcPr>
          <w:p>
            <w:pPr>
              <w:pStyle w:val="13"/>
              <w:spacing w:before="103" w:line="360" w:lineRule="auto"/>
              <w:ind w:left="191" w:leftChars="0" w:right="186" w:rightChars="0"/>
              <w:jc w:val="both"/>
              <w:rPr>
                <w:color w:val="auto"/>
                <w:spacing w:val="-2"/>
                <w:sz w:val="20"/>
                <w:szCs w:val="20"/>
              </w:rPr>
            </w:pPr>
            <w:r>
              <w:rPr>
                <w:color w:val="auto"/>
                <w:spacing w:val="-2"/>
                <w:sz w:val="20"/>
                <w:szCs w:val="20"/>
              </w:rPr>
              <w:t>评标价的偏差率计</w:t>
            </w:r>
            <w:r>
              <w:rPr>
                <w:color w:val="auto"/>
                <w:sz w:val="20"/>
                <w:szCs w:val="20"/>
              </w:rPr>
              <w:t>算公式</w:t>
            </w:r>
          </w:p>
        </w:tc>
        <w:tc>
          <w:tcPr>
            <w:tcW w:w="6384" w:type="dxa"/>
            <w:noWrap w:val="0"/>
            <w:vAlign w:val="top"/>
          </w:tcPr>
          <w:p>
            <w:pPr>
              <w:pStyle w:val="13"/>
              <w:spacing w:before="9" w:line="360" w:lineRule="auto"/>
              <w:rPr>
                <w:rFonts w:hint="eastAsia" w:ascii="宋体" w:hAnsi="宋体" w:eastAsia="宋体" w:cs="宋体"/>
                <w:snapToGrid w:val="0"/>
                <w:color w:val="auto"/>
                <w:kern w:val="0"/>
                <w:sz w:val="20"/>
                <w:szCs w:val="20"/>
                <w:lang w:eastAsia="zh-CN"/>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color w:val="auto"/>
                <w:w w:val="95"/>
                <w:sz w:val="20"/>
                <w:szCs w:val="20"/>
              </w:rPr>
            </w:pPr>
            <w:r>
              <w:rPr>
                <w:rFonts w:hint="eastAsia" w:ascii="宋体" w:hAnsi="宋体" w:eastAsia="宋体" w:cs="宋体"/>
                <w:snapToGrid w:val="0"/>
                <w:color w:val="auto"/>
                <w:kern w:val="0"/>
                <w:sz w:val="20"/>
                <w:szCs w:val="20"/>
                <w:lang w:eastAsia="zh-CN"/>
              </w:rPr>
              <w:t>偏差率=100%×（投标人评标价－评标基准价）/评标基准价偏差率保留 2 位小数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013" w:type="dxa"/>
            <w:noWrap w:val="0"/>
            <w:vAlign w:val="center"/>
          </w:tcPr>
          <w:p>
            <w:pPr>
              <w:pStyle w:val="13"/>
              <w:spacing w:line="360" w:lineRule="auto"/>
              <w:jc w:val="center"/>
              <w:rPr>
                <w:rFonts w:hint="eastAsia" w:ascii="宋体" w:hAnsi="宋体" w:eastAsia="宋体" w:cs="宋体"/>
                <w:snapToGrid w:val="0"/>
                <w:color w:val="auto"/>
                <w:spacing w:val="-3"/>
                <w:kern w:val="0"/>
                <w:sz w:val="20"/>
                <w:szCs w:val="20"/>
              </w:rPr>
            </w:pPr>
            <w:r>
              <w:rPr>
                <w:rFonts w:hint="eastAsia" w:ascii="宋体" w:hAnsi="宋体" w:eastAsia="宋体" w:cs="宋体"/>
                <w:snapToGrid w:val="0"/>
                <w:color w:val="auto"/>
                <w:spacing w:val="-3"/>
                <w:kern w:val="0"/>
                <w:sz w:val="20"/>
                <w:szCs w:val="20"/>
              </w:rPr>
              <w:t>条款号</w:t>
            </w:r>
          </w:p>
        </w:tc>
        <w:tc>
          <w:tcPr>
            <w:tcW w:w="1501" w:type="dxa"/>
            <w:noWrap w:val="0"/>
            <w:vAlign w:val="center"/>
          </w:tcPr>
          <w:p>
            <w:pPr>
              <w:pStyle w:val="13"/>
              <w:spacing w:line="360" w:lineRule="auto"/>
              <w:jc w:val="center"/>
              <w:rPr>
                <w:rFonts w:hint="eastAsia" w:ascii="宋体" w:hAnsi="宋体" w:eastAsia="宋体" w:cs="宋体"/>
                <w:snapToGrid w:val="0"/>
                <w:color w:val="auto"/>
                <w:spacing w:val="-3"/>
                <w:kern w:val="0"/>
                <w:sz w:val="20"/>
                <w:szCs w:val="20"/>
              </w:rPr>
            </w:pPr>
            <w:r>
              <w:rPr>
                <w:rFonts w:hint="eastAsia" w:ascii="宋体" w:hAnsi="宋体" w:eastAsia="宋体" w:cs="宋体"/>
                <w:snapToGrid w:val="0"/>
                <w:color w:val="auto"/>
                <w:spacing w:val="-3"/>
                <w:kern w:val="0"/>
                <w:sz w:val="20"/>
                <w:szCs w:val="20"/>
              </w:rPr>
              <w:t>评分因素</w:t>
            </w:r>
          </w:p>
        </w:tc>
        <w:tc>
          <w:tcPr>
            <w:tcW w:w="6384" w:type="dxa"/>
            <w:noWrap w:val="0"/>
            <w:vAlign w:val="center"/>
          </w:tcPr>
          <w:p>
            <w:pPr>
              <w:pStyle w:val="13"/>
              <w:spacing w:line="360" w:lineRule="auto"/>
              <w:jc w:val="center"/>
              <w:rPr>
                <w:rFonts w:hint="eastAsia" w:ascii="宋体" w:hAnsi="宋体" w:eastAsia="宋体" w:cs="宋体"/>
                <w:snapToGrid w:val="0"/>
                <w:color w:val="auto"/>
                <w:spacing w:val="-3"/>
                <w:kern w:val="0"/>
                <w:sz w:val="20"/>
                <w:szCs w:val="20"/>
              </w:rPr>
            </w:pPr>
            <w:r>
              <w:rPr>
                <w:rFonts w:hint="eastAsia" w:ascii="宋体" w:hAnsi="宋体" w:eastAsia="宋体" w:cs="宋体"/>
                <w:snapToGrid w:val="0"/>
                <w:color w:val="auto"/>
                <w:spacing w:val="-3"/>
                <w:kern w:val="0"/>
                <w:sz w:val="20"/>
                <w:szCs w:val="20"/>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top"/>
          </w:tcPr>
          <w:p>
            <w:pPr>
              <w:pStyle w:val="13"/>
              <w:spacing w:line="360" w:lineRule="auto"/>
              <w:rPr>
                <w:color w:val="auto"/>
                <w:sz w:val="20"/>
                <w:szCs w:val="20"/>
              </w:rPr>
            </w:pPr>
          </w:p>
          <w:p>
            <w:pPr>
              <w:pStyle w:val="13"/>
              <w:spacing w:line="360" w:lineRule="auto"/>
              <w:rPr>
                <w:color w:val="auto"/>
                <w:sz w:val="20"/>
                <w:szCs w:val="20"/>
              </w:rPr>
            </w:pPr>
          </w:p>
          <w:p>
            <w:pPr>
              <w:pStyle w:val="13"/>
              <w:spacing w:line="360" w:lineRule="auto"/>
              <w:rPr>
                <w:color w:val="auto"/>
                <w:sz w:val="20"/>
                <w:szCs w:val="20"/>
              </w:rPr>
            </w:pPr>
          </w:p>
          <w:p>
            <w:pPr>
              <w:pStyle w:val="13"/>
              <w:spacing w:before="5" w:line="360" w:lineRule="auto"/>
              <w:rPr>
                <w:color w:val="auto"/>
                <w:sz w:val="20"/>
                <w:szCs w:val="20"/>
              </w:rPr>
            </w:pPr>
          </w:p>
          <w:p>
            <w:pPr>
              <w:pStyle w:val="13"/>
              <w:spacing w:line="360" w:lineRule="auto"/>
              <w:ind w:left="87" w:leftChars="0" w:right="84" w:rightChars="0"/>
              <w:jc w:val="center"/>
              <w:rPr>
                <w:color w:val="auto"/>
                <w:w w:val="65"/>
                <w:sz w:val="20"/>
                <w:szCs w:val="20"/>
              </w:rPr>
            </w:pPr>
            <w:r>
              <w:rPr>
                <w:color w:val="auto"/>
                <w:sz w:val="20"/>
                <w:szCs w:val="20"/>
              </w:rPr>
              <w:t>2.2.4</w:t>
            </w:r>
          </w:p>
        </w:tc>
        <w:tc>
          <w:tcPr>
            <w:tcW w:w="1501" w:type="dxa"/>
            <w:noWrap w:val="0"/>
            <w:vAlign w:val="top"/>
          </w:tcPr>
          <w:p>
            <w:pPr>
              <w:pStyle w:val="13"/>
              <w:spacing w:line="360" w:lineRule="auto"/>
              <w:rPr>
                <w:color w:val="auto"/>
                <w:sz w:val="20"/>
                <w:szCs w:val="20"/>
              </w:rPr>
            </w:pPr>
          </w:p>
          <w:p>
            <w:pPr>
              <w:pStyle w:val="13"/>
              <w:spacing w:line="360" w:lineRule="auto"/>
              <w:rPr>
                <w:color w:val="auto"/>
                <w:sz w:val="20"/>
                <w:szCs w:val="20"/>
              </w:rPr>
            </w:pPr>
          </w:p>
          <w:p>
            <w:pPr>
              <w:pStyle w:val="13"/>
              <w:spacing w:before="135" w:line="360" w:lineRule="auto"/>
              <w:ind w:left="161" w:leftChars="0" w:right="158" w:rightChars="0"/>
              <w:jc w:val="center"/>
              <w:rPr>
                <w:color w:val="auto"/>
                <w:spacing w:val="-2"/>
                <w:sz w:val="20"/>
                <w:szCs w:val="20"/>
              </w:rPr>
            </w:pPr>
            <w:r>
              <w:rPr>
                <w:color w:val="auto"/>
                <w:spacing w:val="-4"/>
                <w:sz w:val="20"/>
                <w:szCs w:val="20"/>
              </w:rPr>
              <w:t>第二信封评标</w:t>
            </w:r>
            <w:r>
              <w:rPr>
                <w:color w:val="auto"/>
                <w:sz w:val="20"/>
                <w:szCs w:val="20"/>
              </w:rPr>
              <w:t>价</w:t>
            </w:r>
          </w:p>
        </w:tc>
        <w:tc>
          <w:tcPr>
            <w:tcW w:w="6384" w:type="dxa"/>
            <w:noWrap w:val="0"/>
            <w:vAlign w:val="top"/>
          </w:tcPr>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 xml:space="preserve">评标价得分计算公式示例: </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 xml:space="preserve">(1)如果投标人的评标价&gt;评标基准价,则评标价得分=100-偏差率×100×E1； </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 xml:space="preserve">(2)如果投标的人评标价≤评标基准价,则评标价得分=100+偏差率×100×E2； </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其中:E1 是评标价每高于评标基准价1个百分点的扣分值；E2 是评标价每低于评标基准价1个百分点的扣分值；招标人可依据招标项目具体特点和实际需要设置E1、E2，但E1大于E2。</w:t>
            </w:r>
          </w:p>
          <w:p>
            <w:pPr>
              <w:pStyle w:val="13"/>
              <w:spacing w:before="9" w:line="360" w:lineRule="auto"/>
              <w:rPr>
                <w:color w:val="auto"/>
                <w:sz w:val="20"/>
                <w:szCs w:val="20"/>
              </w:rPr>
            </w:pPr>
            <w:r>
              <w:rPr>
                <w:rFonts w:hint="eastAsia" w:ascii="宋体" w:hAnsi="宋体" w:eastAsia="宋体" w:cs="宋体"/>
                <w:snapToGrid w:val="0"/>
                <w:color w:val="auto"/>
                <w:kern w:val="0"/>
                <w:sz w:val="20"/>
                <w:szCs w:val="20"/>
                <w:lang w:eastAsia="zh-CN"/>
              </w:rPr>
              <w:t>本项目E1=2、E2=1。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98" w:type="dxa"/>
            <w:gridSpan w:val="3"/>
            <w:noWrap w:val="0"/>
            <w:vAlign w:val="top"/>
          </w:tcPr>
          <w:p>
            <w:pPr>
              <w:pStyle w:val="13"/>
              <w:spacing w:line="360" w:lineRule="auto"/>
              <w:ind w:left="317" w:leftChars="0"/>
              <w:rPr>
                <w:rFonts w:hint="eastAsia"/>
                <w:color w:val="auto"/>
                <w:sz w:val="20"/>
                <w:szCs w:val="20"/>
              </w:rPr>
            </w:pPr>
            <w:r>
              <w:rPr>
                <w:color w:val="auto"/>
                <w:sz w:val="20"/>
                <w:szCs w:val="20"/>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013" w:type="dxa"/>
            <w:noWrap w:val="0"/>
            <w:vAlign w:val="center"/>
          </w:tcPr>
          <w:p>
            <w:pPr>
              <w:pStyle w:val="13"/>
              <w:spacing w:line="360" w:lineRule="auto"/>
              <w:jc w:val="center"/>
              <w:rPr>
                <w:rFonts w:hint="eastAsia" w:ascii="宋体" w:hAnsi="宋体" w:eastAsia="宋体" w:cs="宋体"/>
                <w:snapToGrid w:val="0"/>
                <w:color w:val="auto"/>
                <w:spacing w:val="-3"/>
                <w:kern w:val="0"/>
                <w:sz w:val="20"/>
                <w:szCs w:val="20"/>
                <w:lang w:val="en-US" w:eastAsia="zh-CN"/>
              </w:rPr>
            </w:pPr>
            <w:r>
              <w:rPr>
                <w:rFonts w:hint="eastAsia" w:ascii="宋体" w:hAnsi="宋体" w:eastAsia="宋体" w:cs="宋体"/>
                <w:snapToGrid w:val="0"/>
                <w:color w:val="auto"/>
                <w:spacing w:val="-3"/>
                <w:kern w:val="0"/>
                <w:sz w:val="20"/>
                <w:szCs w:val="20"/>
              </w:rPr>
              <w:t>条款号</w:t>
            </w:r>
          </w:p>
        </w:tc>
        <w:tc>
          <w:tcPr>
            <w:tcW w:w="7885" w:type="dxa"/>
            <w:gridSpan w:val="2"/>
            <w:noWrap w:val="0"/>
            <w:vAlign w:val="center"/>
          </w:tcPr>
          <w:p>
            <w:pPr>
              <w:pStyle w:val="13"/>
              <w:spacing w:line="360" w:lineRule="auto"/>
              <w:jc w:val="center"/>
              <w:rPr>
                <w:rFonts w:hint="eastAsia" w:ascii="宋体" w:hAnsi="宋体" w:eastAsia="宋体" w:cs="宋体"/>
                <w:snapToGrid w:val="0"/>
                <w:color w:val="auto"/>
                <w:spacing w:val="-3"/>
                <w:kern w:val="0"/>
                <w:sz w:val="20"/>
                <w:szCs w:val="20"/>
                <w:lang w:eastAsia="zh-CN"/>
              </w:rPr>
            </w:pPr>
            <w:r>
              <w:rPr>
                <w:rFonts w:hint="eastAsia" w:ascii="宋体" w:hAnsi="宋体" w:eastAsia="宋体" w:cs="宋体"/>
                <w:snapToGrid w:val="0"/>
                <w:color w:val="auto"/>
                <w:spacing w:val="-3"/>
                <w:kern w:val="0"/>
                <w:sz w:val="20"/>
                <w:szCs w:val="2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0"/>
                <w:szCs w:val="20"/>
                <w:lang w:val="en-US" w:eastAsia="zh-CN"/>
              </w:rPr>
            </w:pPr>
          </w:p>
        </w:tc>
        <w:tc>
          <w:tcPr>
            <w:tcW w:w="7885" w:type="dxa"/>
            <w:gridSpan w:val="2"/>
            <w:noWrap w:val="0"/>
            <w:vAlign w:val="center"/>
          </w:tcPr>
          <w:p>
            <w:pPr>
              <w:pStyle w:val="13"/>
              <w:numPr>
                <w:ilvl w:val="0"/>
                <w:numId w:val="2"/>
              </w:numPr>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评标办法</w:t>
            </w:r>
          </w:p>
          <w:p>
            <w:pPr>
              <w:pStyle w:val="13"/>
              <w:numPr>
                <w:ilvl w:val="0"/>
                <w:numId w:val="0"/>
              </w:numPr>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本条细化为：</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本次评标采用双信封形式合理低价法。</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val="en-US" w:eastAsia="zh-CN"/>
              </w:rPr>
              <w:t>1.1</w:t>
            </w:r>
            <w:r>
              <w:rPr>
                <w:rFonts w:hint="eastAsia" w:ascii="宋体" w:hAnsi="宋体" w:eastAsia="宋体" w:cs="宋体"/>
                <w:snapToGrid w:val="0"/>
                <w:color w:val="auto"/>
                <w:kern w:val="0"/>
                <w:sz w:val="20"/>
                <w:szCs w:val="20"/>
                <w:lang w:eastAsia="zh-CN"/>
              </w:rPr>
              <w:t>评标委员会首先对投标文件第一个信封（商务与技术文件）进行初步评审（形式评审与响应性评审、资格评审），通过第一个信封初步评审后的投标文件方可进入第二个信封的开标。</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val="en-US" w:eastAsia="zh-CN"/>
              </w:rPr>
              <w:t>1.2</w:t>
            </w:r>
            <w:r>
              <w:rPr>
                <w:rFonts w:hint="eastAsia" w:ascii="宋体" w:hAnsi="宋体" w:eastAsia="宋体" w:cs="宋体"/>
                <w:snapToGrid w:val="0"/>
                <w:color w:val="auto"/>
                <w:kern w:val="0"/>
                <w:sz w:val="20"/>
                <w:szCs w:val="20"/>
                <w:lang w:eastAsia="zh-CN"/>
              </w:rPr>
              <w:t>第二个信封的开标在监督部门的监督下进行，未通过第一个信封初步评审投标人的第二个信封电子文件不予读取。</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val="en-US" w:eastAsia="zh-CN"/>
              </w:rPr>
              <w:t>1.3</w:t>
            </w:r>
            <w:r>
              <w:rPr>
                <w:rFonts w:hint="eastAsia" w:ascii="宋体" w:hAnsi="宋体" w:eastAsia="宋体" w:cs="宋体"/>
                <w:snapToGrid w:val="0"/>
                <w:color w:val="auto"/>
                <w:kern w:val="0"/>
                <w:sz w:val="20"/>
                <w:szCs w:val="20"/>
                <w:lang w:eastAsia="zh-CN"/>
              </w:rPr>
              <w:t>评标委员会对投标文件第二个信封进行形式和响应性评审，并按照本章第 2.2 款规定的评分标准进行评分，然后按最终得分（最终得分即评标价得分加信用加分）由高到低顺序确定中标候选人推荐排序，但投标报价低于其成本的除外。</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当两家及以上投标人在标段中的最终得分相等时，若评标价不相等，以评标价较低者优先；当两家及以上投标人在标段中的最终得分相等且评标价也相等时，若各投标人工程量清单子目单价也相同时，视为串标，其投标均被否决。</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val="en-US" w:eastAsia="zh-CN"/>
              </w:rPr>
              <w:t>1.4</w:t>
            </w:r>
            <w:r>
              <w:rPr>
                <w:rFonts w:hint="eastAsia" w:ascii="宋体" w:hAnsi="宋体" w:eastAsia="宋体" w:cs="宋体"/>
                <w:snapToGrid w:val="0"/>
                <w:color w:val="auto"/>
                <w:kern w:val="0"/>
                <w:sz w:val="20"/>
                <w:szCs w:val="20"/>
                <w:lang w:eastAsia="zh-CN"/>
              </w:rPr>
              <w:t>评标委员会将按照本条第1条中确定的先后排序依次推荐第一、第二、第三中标候选人。</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val="en-US" w:eastAsia="zh-CN"/>
              </w:rPr>
              <w:t>1.5</w:t>
            </w:r>
            <w:r>
              <w:rPr>
                <w:rFonts w:hint="eastAsia" w:ascii="宋体" w:hAnsi="宋体" w:eastAsia="宋体" w:cs="宋体"/>
                <w:snapToGrid w:val="0"/>
                <w:color w:val="auto"/>
                <w:kern w:val="0"/>
                <w:sz w:val="20"/>
                <w:szCs w:val="20"/>
                <w:lang w:eastAsia="zh-CN"/>
              </w:rPr>
              <w:t>通过第一个信封评审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val="en-US" w:eastAsia="zh-CN"/>
              </w:rPr>
              <w:t>1.6</w:t>
            </w:r>
            <w:r>
              <w:rPr>
                <w:rFonts w:hint="eastAsia" w:ascii="宋体" w:hAnsi="宋体" w:eastAsia="宋体" w:cs="宋体"/>
                <w:snapToGrid w:val="0"/>
                <w:color w:val="auto"/>
                <w:kern w:val="0"/>
                <w:sz w:val="20"/>
                <w:szCs w:val="20"/>
                <w:lang w:eastAsia="zh-CN"/>
              </w:rPr>
              <w:t>在评审过程中评标委员会认为投标人有围标串标、哄抬或压低标价谋取中标的嫌疑，评标委员会有权做出废标或重新招标。</w:t>
            </w:r>
          </w:p>
          <w:p>
            <w:pPr>
              <w:pStyle w:val="13"/>
              <w:spacing w:before="9" w:line="360" w:lineRule="auto"/>
              <w:rPr>
                <w:rFonts w:hint="eastAsia" w:ascii="宋体" w:hAnsi="宋体" w:eastAsia="宋体" w:cs="宋体"/>
                <w:color w:val="auto"/>
                <w:sz w:val="20"/>
                <w:szCs w:val="20"/>
              </w:rPr>
            </w:pPr>
            <w:r>
              <w:rPr>
                <w:rFonts w:hint="eastAsia" w:ascii="宋体" w:hAnsi="宋体" w:eastAsia="宋体" w:cs="宋体"/>
                <w:snapToGrid w:val="0"/>
                <w:color w:val="auto"/>
                <w:kern w:val="0"/>
                <w:sz w:val="20"/>
                <w:szCs w:val="20"/>
                <w:lang w:eastAsia="zh-CN"/>
              </w:rPr>
              <w:t>通过第一个信封评审的投标人少于3个的，评标委员会可以否决全部投标；未否决全部投标的，评标委员会应当在评标报告中阐明理由，招标人将按规定的程序进行第二个信封（报价文件）开标，但评标委员会在进行第二个信封评审时仍有权否决全部投标；评标委员会未在第二个信封评审时否决全部投标的，应当在评标报告中阐明理由并推荐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0"/>
                <w:szCs w:val="20"/>
                <w:lang w:val="en-US" w:eastAsia="zh-CN"/>
              </w:rPr>
            </w:pPr>
          </w:p>
        </w:tc>
        <w:tc>
          <w:tcPr>
            <w:tcW w:w="7885" w:type="dxa"/>
            <w:gridSpan w:val="2"/>
            <w:noWrap w:val="0"/>
            <w:vAlign w:val="center"/>
          </w:tcPr>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3.5.2 条细化为：</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（1）有下列情形之一的，属于投标人相互串通投标： a.投标人之间协商投标报价等投标文件的实质性内容； b.投标人之间约定中标人；</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c.投标人之间约定部分投标人放弃投标或者中标；</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 xml:space="preserve">d.属于同一集团、协会、商会等组织成员的投标人按照该组织要求协同投标； </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e.投标人之间为谋取中标或排斥特定投标人而采取的其他联合行动。</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（2）有下列情形之一的，视为投标人相互串通投标： a.不同投标人的投标文件由同一单位或者个人编制； b.不同投标人委托同一单位或者个人办理投标事宜；</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c.不同投标人的投标文件载明的项目管理成员为同一人；</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d.不同投标人的投标文件异常一致或者投标报价呈规律性差异； e.不同投标人的投标文件相互混装；</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f.不同投标人的投标保证金从同一单位或者个人的账户转出。 g.不同投标人编制的投标文件存在两处以上相同错误的；</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h.不同投标人的投标文件由同一投标人编制或者打印、复印的； i.不同投标人的投标文件由同一投标人送达或者分发的；</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参加投标活动的人员为同一项目其他投标人的在职人员的；</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不同投标人的法定代表人或者委托代理人、项目负责人、项目总监等人员有在同一单位缴纳社会保险的；</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不同投标人的投标保证金由同一自然人、法人、其他组织账户或者同一账户资金缴纳，或者不同投标人的投标保证金从各自的基本账户转出，但所需资金来自同一自然人、法人或者其他组织账户的；</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不同投标人参与同一项目招标投标活动中，使用的计算机网卡 MAC 地址、CPU序列号、硬盘序列号、加密锁序列号等信息相同的。</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（3）有下列情形之一的，属于招标人与投标人串通投标：</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a.招标人在开标前开启投标文件并将有关信息泄露给其他投标人；</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b.招标人直接或者间接向投标人泄露标底、评标委员会成员等信息； c.招标人明示或者暗示投标人压低或者抬高投标报价；</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招标人授意投标人撤换、修改投标文件；</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招标人明示或者暗示投标人为特定投标人中标提供方便；</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招标人与投标人为谋求特定投标人中标而采取的其他串通行为。</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（4）有下列情形之一的，应当视为招标人、招标代理机构、评标委员会成员与投标人串通投标：</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招标人、招标代理机构故意损毁、篡改特定的投标文件内容，或者在资格预审时损毁、篡改特定的资格预审申请文件内容的；</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招标人、招标代理机构、评标委员会成员直接或者间接向投标人或者投标人的利害关系人泄漏获取资格预审文件或者通过资格预审的申请人的名称、数量的；或者泄漏获取招标文件的潜在投标人的名称、数量的；</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招标人、招标代理机构、评标委员会成员直接或者间接向投标人或者投标人的利害关系人泄漏资格审查或者评标情况的；</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招标人、招标代理机构以胁迫、劝退、利诱等方式，使特定投标人以外的其他投标人放弃投标或者中标人放弃中标的；</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在依法必须进行招标的项目的中标人确定前，投标人已经开展该项目招标范围内的工作  的。</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（5）投标人有下列情形之一的，属于弄虚作假的行为：</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a.使用通过受让或者租借等方式获取的资格、资质证书投标； b.使用伪造、变造的许可证件；</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c.提供虚假的财务状况或者业绩、荣誉；</w:t>
            </w:r>
          </w:p>
          <w:p>
            <w:pPr>
              <w:pStyle w:val="13"/>
              <w:spacing w:before="9" w:line="360" w:lineRule="auto"/>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d.提供虚假的项目负责人或主要技术人员简历、劳动关系证明； e.提供虚假的信用状况；</w:t>
            </w:r>
          </w:p>
          <w:p>
            <w:pPr>
              <w:pStyle w:val="13"/>
              <w:spacing w:before="9" w:line="360" w:lineRule="auto"/>
              <w:rPr>
                <w:color w:val="auto"/>
                <w:sz w:val="20"/>
                <w:szCs w:val="20"/>
              </w:rPr>
            </w:pPr>
            <w:r>
              <w:rPr>
                <w:rFonts w:hint="eastAsia" w:ascii="宋体" w:hAnsi="宋体" w:eastAsia="宋体" w:cs="宋体"/>
                <w:snapToGrid w:val="0"/>
                <w:color w:val="auto"/>
                <w:kern w:val="0"/>
                <w:sz w:val="20"/>
                <w:szCs w:val="20"/>
                <w:lang w:eastAsia="zh-CN"/>
              </w:rPr>
              <w:t>f.其他弄虚作假的行为。</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3717290</wp:posOffset>
              </wp:positionH>
              <wp:positionV relativeFrom="page">
                <wp:posOffset>10006330</wp:posOffset>
              </wp:positionV>
              <wp:extent cx="192405" cy="139700"/>
              <wp:effectExtent l="0" t="0" r="0" b="0"/>
              <wp:wrapNone/>
              <wp:docPr id="298" name="文本框 172"/>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wps:txbx>
                    <wps:bodyPr lIns="0" tIns="0" rIns="0" bIns="0" upright="1"/>
                  </wps:wsp>
                </a:graphicData>
              </a:graphic>
            </wp:anchor>
          </w:drawing>
        </mc:Choice>
        <mc:Fallback>
          <w:pict>
            <v:shape id="文本框 172" o:spid="_x0000_s1026" o:spt="202" type="#_x0000_t202" style="position:absolute;left:0pt;margin-left:292.7pt;margin-top:787.9pt;height:11pt;width:15.15pt;mso-position-horizontal-relative:page;mso-position-vertical-relative:page;z-index:-251656192;mso-width-relative:page;mso-height-relative:page;" filled="f" stroked="f" coordsize="21600,21600" o:gfxdata="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ZdS5doAAAANAQAADwAAAAAAAAABACAAAAAiAAAAZHJzL2Rvd25yZXYueG1s&#10;UEsBAhQAFAAAAAgAh07iQD5tjJy9AQAAdQ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94998"/>
    <w:multiLevelType w:val="singleLevel"/>
    <w:tmpl w:val="D5894998"/>
    <w:lvl w:ilvl="0" w:tentative="0">
      <w:start w:val="1"/>
      <w:numFmt w:val="chineseCounting"/>
      <w:suff w:val="nothing"/>
      <w:lvlText w:val="%1、"/>
      <w:lvlJc w:val="left"/>
      <w:rPr>
        <w:rFonts w:hint="eastAsia"/>
      </w:rPr>
    </w:lvl>
  </w:abstractNum>
  <w:abstractNum w:abstractNumId="1">
    <w:nsid w:val="5A3389DB"/>
    <w:multiLevelType w:val="singleLevel"/>
    <w:tmpl w:val="5A3389D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YmEzOTBiZWMxOTVkNzhkY2UyM2M3OTY2MWZjYzQifQ=="/>
    <w:docVar w:name="KSO_WPS_MARK_KEY" w:val="42746730-c1d7-405f-9cd1-0f419a992e20"/>
  </w:docVars>
  <w:rsids>
    <w:rsidRoot w:val="4E206712"/>
    <w:rsid w:val="00387F8B"/>
    <w:rsid w:val="01D63C01"/>
    <w:rsid w:val="02B7449E"/>
    <w:rsid w:val="02D2752A"/>
    <w:rsid w:val="032D29B2"/>
    <w:rsid w:val="04460CB5"/>
    <w:rsid w:val="053242B0"/>
    <w:rsid w:val="05955654"/>
    <w:rsid w:val="05EA2DDC"/>
    <w:rsid w:val="08844E22"/>
    <w:rsid w:val="09C3197A"/>
    <w:rsid w:val="0AF049F1"/>
    <w:rsid w:val="0B01445B"/>
    <w:rsid w:val="0B10295D"/>
    <w:rsid w:val="0C5B40EC"/>
    <w:rsid w:val="0CA710DF"/>
    <w:rsid w:val="0D183D8B"/>
    <w:rsid w:val="0D5D6093"/>
    <w:rsid w:val="0DFF6240"/>
    <w:rsid w:val="0E0D7668"/>
    <w:rsid w:val="0E914C10"/>
    <w:rsid w:val="0F6A2898"/>
    <w:rsid w:val="10F260A2"/>
    <w:rsid w:val="113B1370"/>
    <w:rsid w:val="11E46932"/>
    <w:rsid w:val="139E6B6E"/>
    <w:rsid w:val="14681327"/>
    <w:rsid w:val="14B922F8"/>
    <w:rsid w:val="167518D5"/>
    <w:rsid w:val="16AE7A12"/>
    <w:rsid w:val="17773DA4"/>
    <w:rsid w:val="17B4314C"/>
    <w:rsid w:val="18795D58"/>
    <w:rsid w:val="18C35610"/>
    <w:rsid w:val="198C6648"/>
    <w:rsid w:val="19E52AA1"/>
    <w:rsid w:val="1A5D1977"/>
    <w:rsid w:val="1AA93651"/>
    <w:rsid w:val="1AB33290"/>
    <w:rsid w:val="1C25283A"/>
    <w:rsid w:val="1C9B0535"/>
    <w:rsid w:val="1D623D91"/>
    <w:rsid w:val="1DE36DAB"/>
    <w:rsid w:val="1F536EA5"/>
    <w:rsid w:val="1F72557D"/>
    <w:rsid w:val="20A35C0A"/>
    <w:rsid w:val="21442F49"/>
    <w:rsid w:val="215F3F86"/>
    <w:rsid w:val="23353491"/>
    <w:rsid w:val="24977834"/>
    <w:rsid w:val="272E26D1"/>
    <w:rsid w:val="27C46B92"/>
    <w:rsid w:val="288307FB"/>
    <w:rsid w:val="28D42E04"/>
    <w:rsid w:val="29680470"/>
    <w:rsid w:val="29FC6AB7"/>
    <w:rsid w:val="2A1A6F3D"/>
    <w:rsid w:val="2A376699"/>
    <w:rsid w:val="2ACE536A"/>
    <w:rsid w:val="2B065713"/>
    <w:rsid w:val="2DCE51F6"/>
    <w:rsid w:val="2E2565FF"/>
    <w:rsid w:val="2E9922F0"/>
    <w:rsid w:val="30913CD1"/>
    <w:rsid w:val="3138414C"/>
    <w:rsid w:val="319F5F79"/>
    <w:rsid w:val="31F43D52"/>
    <w:rsid w:val="31F7433A"/>
    <w:rsid w:val="32002139"/>
    <w:rsid w:val="320329AC"/>
    <w:rsid w:val="33AD497E"/>
    <w:rsid w:val="33D740F0"/>
    <w:rsid w:val="34043AD5"/>
    <w:rsid w:val="3422536C"/>
    <w:rsid w:val="35101668"/>
    <w:rsid w:val="35932433"/>
    <w:rsid w:val="35DC154A"/>
    <w:rsid w:val="36356C97"/>
    <w:rsid w:val="38F815D3"/>
    <w:rsid w:val="397536BE"/>
    <w:rsid w:val="3AAD4D50"/>
    <w:rsid w:val="3C362D74"/>
    <w:rsid w:val="3CA1529C"/>
    <w:rsid w:val="3D962926"/>
    <w:rsid w:val="3DF94651"/>
    <w:rsid w:val="3E6678A1"/>
    <w:rsid w:val="3E8912B2"/>
    <w:rsid w:val="3FFC4F9B"/>
    <w:rsid w:val="40BA692C"/>
    <w:rsid w:val="41166258"/>
    <w:rsid w:val="41941A91"/>
    <w:rsid w:val="431515CC"/>
    <w:rsid w:val="445D419E"/>
    <w:rsid w:val="457800AC"/>
    <w:rsid w:val="462A00B0"/>
    <w:rsid w:val="466405CE"/>
    <w:rsid w:val="46AB11F1"/>
    <w:rsid w:val="47292039"/>
    <w:rsid w:val="485B27A2"/>
    <w:rsid w:val="48EC6F0F"/>
    <w:rsid w:val="4B484CD6"/>
    <w:rsid w:val="4B74278B"/>
    <w:rsid w:val="4BA15B30"/>
    <w:rsid w:val="4CBB4158"/>
    <w:rsid w:val="4DC129A5"/>
    <w:rsid w:val="4E206712"/>
    <w:rsid w:val="4E4B32B9"/>
    <w:rsid w:val="4E6631BA"/>
    <w:rsid w:val="4EC07803"/>
    <w:rsid w:val="4F532DAD"/>
    <w:rsid w:val="4F806F93"/>
    <w:rsid w:val="50123E6B"/>
    <w:rsid w:val="50485D02"/>
    <w:rsid w:val="50A05B3E"/>
    <w:rsid w:val="50D457E8"/>
    <w:rsid w:val="515C37CB"/>
    <w:rsid w:val="51807222"/>
    <w:rsid w:val="521B4778"/>
    <w:rsid w:val="52957C34"/>
    <w:rsid w:val="53681BDD"/>
    <w:rsid w:val="5479292E"/>
    <w:rsid w:val="553700F3"/>
    <w:rsid w:val="553E5926"/>
    <w:rsid w:val="55AF26BC"/>
    <w:rsid w:val="55BA1450"/>
    <w:rsid w:val="5616545C"/>
    <w:rsid w:val="56DC53F6"/>
    <w:rsid w:val="571E5A0F"/>
    <w:rsid w:val="5827444F"/>
    <w:rsid w:val="59725B9E"/>
    <w:rsid w:val="5A386DE8"/>
    <w:rsid w:val="5A9E3078"/>
    <w:rsid w:val="5B136F0D"/>
    <w:rsid w:val="5B8F47E5"/>
    <w:rsid w:val="5BDF6D8E"/>
    <w:rsid w:val="5C0D48E7"/>
    <w:rsid w:val="5D995DEF"/>
    <w:rsid w:val="5DAB78D0"/>
    <w:rsid w:val="5E71274B"/>
    <w:rsid w:val="5F831CD0"/>
    <w:rsid w:val="5FAB3BB8"/>
    <w:rsid w:val="5FB76A00"/>
    <w:rsid w:val="605E0C2A"/>
    <w:rsid w:val="609D1752"/>
    <w:rsid w:val="63F422FF"/>
    <w:rsid w:val="64204D90"/>
    <w:rsid w:val="64216B3E"/>
    <w:rsid w:val="6764782D"/>
    <w:rsid w:val="6880291B"/>
    <w:rsid w:val="68A8338A"/>
    <w:rsid w:val="694F3806"/>
    <w:rsid w:val="69FA1D63"/>
    <w:rsid w:val="6A372C18"/>
    <w:rsid w:val="6BC55102"/>
    <w:rsid w:val="6C2C23C0"/>
    <w:rsid w:val="6CD30D33"/>
    <w:rsid w:val="6D2154B9"/>
    <w:rsid w:val="6E0F1600"/>
    <w:rsid w:val="6E0F17B6"/>
    <w:rsid w:val="6EE11C79"/>
    <w:rsid w:val="6F742218"/>
    <w:rsid w:val="70D13822"/>
    <w:rsid w:val="71B2527A"/>
    <w:rsid w:val="71F94C57"/>
    <w:rsid w:val="723E08BB"/>
    <w:rsid w:val="73E93F75"/>
    <w:rsid w:val="74086EB5"/>
    <w:rsid w:val="74626AE3"/>
    <w:rsid w:val="74F55BA9"/>
    <w:rsid w:val="75E05AF9"/>
    <w:rsid w:val="76375D4D"/>
    <w:rsid w:val="76BF021D"/>
    <w:rsid w:val="76BF646F"/>
    <w:rsid w:val="76DE441B"/>
    <w:rsid w:val="78BE62B2"/>
    <w:rsid w:val="78F50FB3"/>
    <w:rsid w:val="79F77CCE"/>
    <w:rsid w:val="7A227E2A"/>
    <w:rsid w:val="7B4A3551"/>
    <w:rsid w:val="7C5007DA"/>
    <w:rsid w:val="7C713F97"/>
    <w:rsid w:val="7C72007E"/>
    <w:rsid w:val="7CAE00C5"/>
    <w:rsid w:val="7DD60C52"/>
    <w:rsid w:val="7F392B36"/>
    <w:rsid w:val="7F9B3AAA"/>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zh-CN" w:bidi="ar-SA"/>
    </w:rPr>
  </w:style>
  <w:style w:type="paragraph" w:styleId="3">
    <w:name w:val="heading 4"/>
    <w:basedOn w:val="1"/>
    <w:next w:val="1"/>
    <w:unhideWhenUsed/>
    <w:qFormat/>
    <w:uiPriority w:val="9"/>
    <w:pPr>
      <w:spacing w:before="43"/>
      <w:ind w:right="10"/>
      <w:jc w:val="center"/>
      <w:outlineLvl w:val="3"/>
    </w:pPr>
    <w:rPr>
      <w:sz w:val="30"/>
      <w:szCs w:val="30"/>
    </w:rPr>
  </w:style>
  <w:style w:type="paragraph" w:styleId="4">
    <w:name w:val="heading 8"/>
    <w:basedOn w:val="1"/>
    <w:next w:val="1"/>
    <w:qFormat/>
    <w:uiPriority w:val="1"/>
    <w:pPr>
      <w:spacing w:before="1"/>
      <w:ind w:left="440"/>
      <w:outlineLvl w:val="7"/>
    </w:pPr>
    <w:rPr>
      <w:sz w:val="24"/>
      <w:szCs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w:basedOn w:val="1"/>
    <w:next w:val="1"/>
    <w:qFormat/>
    <w:uiPriority w:val="1"/>
    <w:rPr>
      <w:sz w:val="21"/>
      <w:szCs w:val="21"/>
    </w:rPr>
  </w:style>
  <w:style w:type="paragraph" w:styleId="6">
    <w:name w:val="Body Text Indent"/>
    <w:basedOn w:val="1"/>
    <w:qFormat/>
    <w:uiPriority w:val="0"/>
    <w:pPr>
      <w:ind w:firstLine="648"/>
    </w:pPr>
    <w:rPr>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6"/>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Table Paragraph"/>
    <w:basedOn w:val="1"/>
    <w:qFormat/>
    <w:uiPriority w:val="1"/>
  </w:style>
  <w:style w:type="paragraph" w:styleId="14">
    <w:name w:val="List Paragraph"/>
    <w:basedOn w:val="1"/>
    <w:qFormat/>
    <w:uiPriority w:val="1"/>
    <w:pPr>
      <w:ind w:left="220" w:firstLine="420"/>
    </w:pPr>
  </w:style>
  <w:style w:type="table" w:customStyle="1" w:styleId="15">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16">
    <w:name w:val="Heading 8"/>
    <w:basedOn w:val="1"/>
    <w:qFormat/>
    <w:uiPriority w:val="1"/>
    <w:pPr>
      <w:outlineLvl w:val="8"/>
    </w:pPr>
    <w:rPr>
      <w:sz w:val="28"/>
      <w:szCs w:val="28"/>
    </w:rPr>
  </w:style>
  <w:style w:type="paragraph" w:customStyle="1" w:styleId="17">
    <w:name w:val="Heading 9"/>
    <w:basedOn w:val="1"/>
    <w:qFormat/>
    <w:uiPriority w:val="1"/>
    <w:pPr>
      <w:ind w:left="239"/>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19636</Words>
  <Characters>21278</Characters>
  <Lines>0</Lines>
  <Paragraphs>0</Paragraphs>
  <TotalTime>2</TotalTime>
  <ScaleCrop>false</ScaleCrop>
  <LinksUpToDate>false</LinksUpToDate>
  <CharactersWithSpaces>22919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2023-03-15T09:49:00Z</dcterms:created>
  <dc:creator>Administrator</dc:creator>
  <cp:lastModifiedBy>淡然</cp:lastModifiedBy>
  <dcterms:modified xsi:type="dcterms:W3CDTF">2023-09-15T12:56:39Z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BCEA27D18C6D4235BEA9A715B79B4E5F_13</vt:lpwstr>
  </property>
</Properties>
</file>