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autoSpaceDN/>
        <w:spacing w:before="0" w:line="360" w:lineRule="auto"/>
        <w:ind w:left="0" w:right="-526" w:rightChars="-239"/>
        <w:rPr>
          <w:b/>
          <w:bCs/>
          <w:sz w:val="21"/>
          <w:szCs w:val="21"/>
        </w:rPr>
      </w:pPr>
      <w:r>
        <w:rPr>
          <w:rFonts w:hint="eastAsia" w:ascii="仿宋" w:hAnsi="仿宋" w:cs="仿宋"/>
          <w:color w:val="000000"/>
          <w:sz w:val="28"/>
          <w:szCs w:val="28"/>
        </w:rPr>
        <w:t>宁夏公路管理中心银川分中心2023年职工健康体检项目关键内容</w:t>
      </w:r>
    </w:p>
    <w:p>
      <w:pPr>
        <w:widowControl/>
        <w:spacing w:line="360" w:lineRule="auto"/>
        <w:ind w:left="285"/>
        <w:rPr>
          <w:b/>
          <w:bCs/>
          <w:sz w:val="21"/>
          <w:szCs w:val="21"/>
        </w:rPr>
      </w:pPr>
      <w:r>
        <w:rPr>
          <w:rFonts w:hint="eastAsia"/>
          <w:b/>
          <w:bCs/>
          <w:sz w:val="21"/>
          <w:szCs w:val="21"/>
        </w:rPr>
        <w:t>一、项目概况</w:t>
      </w:r>
    </w:p>
    <w:p>
      <w:pPr>
        <w:widowControl/>
        <w:spacing w:line="360" w:lineRule="auto"/>
        <w:ind w:firstLine="420" w:firstLineChars="200"/>
        <w:rPr>
          <w:sz w:val="21"/>
          <w:szCs w:val="21"/>
        </w:rPr>
      </w:pPr>
      <w:r>
        <w:rPr>
          <w:rFonts w:hint="eastAsia"/>
          <w:sz w:val="21"/>
          <w:szCs w:val="21"/>
        </w:rPr>
        <w:t>本次招标共划分为1个标段，具体内容如下：</w:t>
      </w:r>
    </w:p>
    <w:p>
      <w:pPr>
        <w:widowControl/>
        <w:spacing w:line="360" w:lineRule="auto"/>
        <w:ind w:firstLine="420" w:firstLineChars="200"/>
        <w:rPr>
          <w:sz w:val="21"/>
          <w:szCs w:val="21"/>
        </w:rPr>
      </w:pPr>
      <w:r>
        <w:rPr>
          <w:rFonts w:hint="eastAsia"/>
          <w:sz w:val="21"/>
          <w:szCs w:val="21"/>
        </w:rPr>
        <w:t>宁夏公路管理中心银川分中心2023年职工健康体检项目，为全面掌握职工身体健康情况，本次体检人数预计为590人，其中男体检人数约355人，女体检人数约235人。</w:t>
      </w:r>
    </w:p>
    <w:p>
      <w:pPr>
        <w:widowControl/>
        <w:spacing w:line="360" w:lineRule="auto"/>
        <w:rPr>
          <w:b/>
          <w:bCs/>
          <w:sz w:val="21"/>
          <w:szCs w:val="21"/>
        </w:rPr>
      </w:pPr>
      <w:r>
        <w:rPr>
          <w:rFonts w:hint="eastAsia"/>
          <w:b/>
          <w:bCs/>
          <w:sz w:val="21"/>
          <w:szCs w:val="21"/>
        </w:rPr>
        <w:t xml:space="preserve">二、对投标人的全部资格条件要求 </w:t>
      </w:r>
    </w:p>
    <w:p>
      <w:pPr>
        <w:autoSpaceDE/>
        <w:autoSpaceDN/>
        <w:spacing w:line="360" w:lineRule="auto"/>
        <w:ind w:firstLine="420" w:firstLineChars="200"/>
        <w:rPr>
          <w:b/>
          <w:bCs/>
          <w:sz w:val="21"/>
          <w:szCs w:val="21"/>
        </w:rPr>
      </w:pPr>
      <w:r>
        <w:rPr>
          <w:rFonts w:hint="eastAsia"/>
          <w:sz w:val="21"/>
          <w:szCs w:val="21"/>
        </w:rPr>
        <w:t xml:space="preserve">详见磋商公告。 </w:t>
      </w:r>
    </w:p>
    <w:p>
      <w:pPr>
        <w:widowControl/>
        <w:numPr>
          <w:ilvl w:val="0"/>
          <w:numId w:val="1"/>
        </w:num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招标人联系方式</w:t>
      </w:r>
    </w:p>
    <w:p>
      <w:pPr>
        <w:widowControl/>
        <w:spacing w:line="360" w:lineRule="auto"/>
        <w:ind w:firstLine="420" w:firstLineChars="200"/>
        <w:rPr>
          <w:sz w:val="21"/>
          <w:szCs w:val="21"/>
        </w:rPr>
      </w:pPr>
      <w:r>
        <w:rPr>
          <w:rFonts w:hint="eastAsia"/>
          <w:sz w:val="21"/>
          <w:szCs w:val="21"/>
        </w:rPr>
        <w:t>名称：宁夏公路管理中心银川分中心　　　　</w:t>
      </w:r>
    </w:p>
    <w:p>
      <w:pPr>
        <w:widowControl/>
        <w:spacing w:line="360" w:lineRule="auto"/>
        <w:ind w:firstLine="420" w:firstLineChars="200"/>
        <w:rPr>
          <w:sz w:val="21"/>
          <w:szCs w:val="21"/>
        </w:rPr>
      </w:pPr>
      <w:r>
        <w:rPr>
          <w:rFonts w:hint="eastAsia"/>
          <w:sz w:val="21"/>
          <w:szCs w:val="21"/>
        </w:rPr>
        <w:t>地址：宁夏回族自治区银川市兴庆区银古路银川东收费站北侧大楼</w:t>
      </w:r>
    </w:p>
    <w:p>
      <w:pPr>
        <w:widowControl/>
        <w:spacing w:line="360" w:lineRule="auto"/>
        <w:ind w:firstLine="420" w:firstLineChars="200"/>
        <w:rPr>
          <w:sz w:val="21"/>
          <w:szCs w:val="21"/>
        </w:rPr>
      </w:pPr>
      <w:r>
        <w:rPr>
          <w:rFonts w:hint="eastAsia"/>
          <w:sz w:val="21"/>
          <w:szCs w:val="21"/>
        </w:rPr>
        <w:t>联系人：王先生　　　　　　　　</w:t>
      </w:r>
    </w:p>
    <w:p>
      <w:pPr>
        <w:widowControl/>
        <w:spacing w:line="360" w:lineRule="auto"/>
        <w:ind w:firstLine="420" w:firstLineChars="200"/>
        <w:rPr>
          <w:sz w:val="21"/>
          <w:szCs w:val="21"/>
        </w:rPr>
      </w:pPr>
      <w:r>
        <w:rPr>
          <w:rFonts w:hint="eastAsia"/>
          <w:sz w:val="21"/>
          <w:szCs w:val="21"/>
        </w:rPr>
        <w:t xml:space="preserve">联系方式：0951-6153670 </w:t>
      </w:r>
      <w:bookmarkStart w:id="0" w:name="_Toc28359086"/>
      <w:bookmarkStart w:id="1" w:name="_Toc28359009"/>
    </w:p>
    <w:p>
      <w:pPr>
        <w:widowControl/>
        <w:spacing w:line="360" w:lineRule="auto"/>
        <w:ind w:firstLine="420" w:firstLineChars="200"/>
        <w:rPr>
          <w:sz w:val="21"/>
          <w:szCs w:val="21"/>
        </w:rPr>
      </w:pPr>
      <w:r>
        <w:rPr>
          <w:rFonts w:hint="eastAsia"/>
          <w:sz w:val="21"/>
          <w:szCs w:val="21"/>
        </w:rPr>
        <w:t>2.采购代理机构信息（如有）</w:t>
      </w:r>
      <w:bookmarkEnd w:id="0"/>
      <w:bookmarkEnd w:id="1"/>
    </w:p>
    <w:p>
      <w:pPr>
        <w:widowControl/>
        <w:spacing w:line="360" w:lineRule="auto"/>
        <w:ind w:firstLine="420" w:firstLineChars="200"/>
        <w:rPr>
          <w:sz w:val="21"/>
          <w:szCs w:val="21"/>
        </w:rPr>
      </w:pPr>
      <w:bookmarkStart w:id="2" w:name="_Toc28359087"/>
      <w:bookmarkStart w:id="3" w:name="_Toc28359010"/>
      <w:r>
        <w:rPr>
          <w:rFonts w:hint="eastAsia"/>
          <w:sz w:val="21"/>
          <w:szCs w:val="21"/>
        </w:rPr>
        <w:t>名称：宁夏汇程国际招标有限公司</w:t>
      </w:r>
    </w:p>
    <w:p>
      <w:pPr>
        <w:widowControl/>
        <w:spacing w:line="360" w:lineRule="auto"/>
        <w:ind w:firstLine="420" w:firstLineChars="200"/>
        <w:rPr>
          <w:sz w:val="21"/>
          <w:szCs w:val="21"/>
        </w:rPr>
      </w:pPr>
      <w:r>
        <w:rPr>
          <w:rFonts w:hint="eastAsia"/>
          <w:sz w:val="21"/>
          <w:szCs w:val="21"/>
        </w:rPr>
        <w:t>地址：</w:t>
      </w:r>
      <w:bookmarkEnd w:id="2"/>
      <w:bookmarkEnd w:id="3"/>
      <w:r>
        <w:rPr>
          <w:rFonts w:hint="eastAsia"/>
          <w:sz w:val="21"/>
          <w:szCs w:val="21"/>
        </w:rPr>
        <w:t>银川市金凤区鸿曦悦海湾C区1号楼2层　</w:t>
      </w:r>
    </w:p>
    <w:p>
      <w:pPr>
        <w:widowControl/>
        <w:spacing w:line="360" w:lineRule="auto"/>
        <w:ind w:firstLine="420" w:firstLineChars="200"/>
        <w:rPr>
          <w:sz w:val="21"/>
          <w:szCs w:val="21"/>
        </w:rPr>
      </w:pPr>
      <w:r>
        <w:rPr>
          <w:rFonts w:hint="eastAsia"/>
          <w:sz w:val="21"/>
          <w:szCs w:val="21"/>
        </w:rPr>
        <w:t>联系人：张欣、开博辉、毛利</w:t>
      </w:r>
    </w:p>
    <w:p>
      <w:pPr>
        <w:widowControl/>
        <w:spacing w:line="360" w:lineRule="auto"/>
        <w:ind w:firstLine="420" w:firstLineChars="200"/>
        <w:rPr>
          <w:sz w:val="21"/>
          <w:szCs w:val="21"/>
        </w:rPr>
      </w:pPr>
      <w:r>
        <w:rPr>
          <w:rFonts w:hint="eastAsia"/>
          <w:sz w:val="21"/>
          <w:szCs w:val="21"/>
        </w:rPr>
        <w:t>电话：0951-6150811、15209510911、17395195455　　</w:t>
      </w:r>
    </w:p>
    <w:p>
      <w:pPr>
        <w:widowControl/>
        <w:spacing w:line="360" w:lineRule="auto"/>
        <w:rPr>
          <w:sz w:val="21"/>
          <w:szCs w:val="21"/>
        </w:rPr>
      </w:pPr>
      <w:r>
        <w:rPr>
          <w:rFonts w:hint="eastAsia"/>
          <w:b/>
          <w:bCs/>
          <w:color w:val="000000"/>
          <w:sz w:val="21"/>
          <w:szCs w:val="21"/>
          <w:lang w:bidi="ar"/>
        </w:rPr>
        <w:t>四、资格审查办法</w:t>
      </w:r>
    </w:p>
    <w:p>
      <w:pPr>
        <w:widowControl/>
        <w:spacing w:line="360" w:lineRule="auto"/>
        <w:ind w:firstLine="420" w:firstLineChars="200"/>
        <w:rPr>
          <w:sz w:val="21"/>
          <w:szCs w:val="21"/>
        </w:rPr>
      </w:pPr>
      <w:r>
        <w:rPr>
          <w:rFonts w:hint="eastAsia"/>
          <w:sz w:val="21"/>
          <w:szCs w:val="21"/>
        </w:rPr>
        <w:t>1、满足《中华人民共和国政府采购法》第二十二条规定：</w:t>
      </w:r>
    </w:p>
    <w:p>
      <w:pPr>
        <w:widowControl/>
        <w:spacing w:line="360" w:lineRule="auto"/>
        <w:ind w:firstLine="420" w:firstLineChars="200"/>
        <w:rPr>
          <w:sz w:val="21"/>
          <w:szCs w:val="21"/>
        </w:rPr>
      </w:pPr>
      <w:r>
        <w:rPr>
          <w:rFonts w:hint="eastAsia"/>
          <w:sz w:val="21"/>
          <w:szCs w:val="21"/>
        </w:rPr>
        <w:t>2、落实政府采购政策需满足的资格要求：</w:t>
      </w:r>
    </w:p>
    <w:p>
      <w:pPr>
        <w:widowControl/>
        <w:spacing w:line="360" w:lineRule="auto"/>
        <w:ind w:firstLine="420" w:firstLineChars="200"/>
        <w:rPr>
          <w:sz w:val="21"/>
          <w:szCs w:val="21"/>
        </w:rPr>
      </w:pPr>
      <w:r>
        <w:rPr>
          <w:rFonts w:hint="eastAsia"/>
          <w:sz w:val="21"/>
          <w:szCs w:val="21"/>
        </w:rPr>
        <w:t>（1）①根据工信部等部委发布的《关于印发中小企业划型标准规定的通知》（工信部联企业［2011］300号，按照本次采购标的所属行业的划型标准，符合条件的中小企业应提供《中小企业声明函》；</w:t>
      </w:r>
    </w:p>
    <w:p>
      <w:pPr>
        <w:widowControl/>
        <w:spacing w:line="360" w:lineRule="auto"/>
        <w:ind w:firstLine="420" w:firstLineChars="200"/>
        <w:rPr>
          <w:sz w:val="21"/>
          <w:szCs w:val="21"/>
        </w:rPr>
      </w:pPr>
      <w:r>
        <w:rPr>
          <w:rFonts w:hint="eastAsia"/>
          <w:sz w:val="21"/>
          <w:szCs w:val="21"/>
        </w:rPr>
        <w:t>②根据财政部发布的《政府采购促进中小企业发展管理办法》(财库（2020)46号）及《宁夏回族自治区政府采购促进中小企业发展管理办法实施细则》（宁财规发〔2021〕2号）规定，中小微企业参加宁夏政府采购招投标活动，本项目对小型和微型企业产品的价格给予10%的扣除，用扣除后的价格参与评审；</w:t>
      </w:r>
    </w:p>
    <w:p>
      <w:pPr>
        <w:widowControl/>
        <w:spacing w:line="360" w:lineRule="auto"/>
        <w:ind w:firstLine="420" w:firstLineChars="200"/>
        <w:rPr>
          <w:sz w:val="21"/>
          <w:szCs w:val="21"/>
        </w:rPr>
      </w:pPr>
      <w:r>
        <w:rPr>
          <w:rFonts w:hint="eastAsia"/>
          <w:sz w:val="21"/>
          <w:szCs w:val="21"/>
        </w:rPr>
        <w:t>③提供由省级以上监狱管理局、戒毒管理局（含新疆生产建设兵团）出具的属于监狱企业证明文件的，本项目对小型和微型企业产品的价格给予10%的扣除，用扣除后的价格参与评审；</w:t>
      </w:r>
    </w:p>
    <w:p>
      <w:pPr>
        <w:widowControl/>
        <w:spacing w:line="360" w:lineRule="auto"/>
        <w:ind w:firstLine="420" w:firstLineChars="200"/>
        <w:rPr>
          <w:sz w:val="21"/>
          <w:szCs w:val="21"/>
        </w:rPr>
      </w:pPr>
      <w:r>
        <w:rPr>
          <w:rFonts w:hint="eastAsia"/>
          <w:sz w:val="21"/>
          <w:szCs w:val="21"/>
        </w:rPr>
        <w:t>④符合享受政府采购支持政策的残疾人福利性单位条件且提供《残疾人福利性单位声明函》的，本项目对小型和微型企业产品的价格给予10%的扣除，用扣除后的价格参与评审；供应商如符合以上政策标准，应提供声明函，未提供者不予以认定（自然人无须提供以上声明函）。</w:t>
      </w:r>
    </w:p>
    <w:p>
      <w:pPr>
        <w:widowControl/>
        <w:spacing w:line="360" w:lineRule="auto"/>
        <w:ind w:firstLine="420" w:firstLineChars="200"/>
        <w:rPr>
          <w:sz w:val="21"/>
          <w:szCs w:val="21"/>
        </w:rPr>
      </w:pPr>
      <w:r>
        <w:rPr>
          <w:rFonts w:hint="eastAsia"/>
          <w:sz w:val="21"/>
          <w:szCs w:val="21"/>
        </w:rPr>
        <w:t>（2）凡在宁夏回族自治区境内注册的中小微企业，不分政府采购项目的资金性质（含财政性资金和单位自有资金）、不分合同金额，在取得政府采购中标通知书及合同后，均可按照《宁夏回族自治区政府采购合同线上信用融资管理暂行办法》（宁财规发【2021】10号）的通知办理融资业务。</w:t>
      </w:r>
    </w:p>
    <w:p>
      <w:pPr>
        <w:widowControl/>
        <w:spacing w:line="360" w:lineRule="auto"/>
        <w:ind w:firstLine="420" w:firstLineChars="200"/>
        <w:rPr>
          <w:sz w:val="21"/>
          <w:szCs w:val="21"/>
        </w:rPr>
      </w:pPr>
      <w:r>
        <w:rPr>
          <w:rFonts w:hint="eastAsia"/>
          <w:sz w:val="21"/>
          <w:szCs w:val="21"/>
        </w:rPr>
        <w:t>3、本项目的特定资格要求：</w:t>
      </w:r>
    </w:p>
    <w:p>
      <w:pPr>
        <w:widowControl/>
        <w:spacing w:line="360" w:lineRule="auto"/>
        <w:ind w:firstLine="420" w:firstLineChars="200"/>
        <w:rPr>
          <w:sz w:val="21"/>
          <w:szCs w:val="21"/>
        </w:rPr>
      </w:pPr>
      <w:r>
        <w:rPr>
          <w:rFonts w:hint="eastAsia"/>
          <w:sz w:val="21"/>
          <w:szCs w:val="21"/>
        </w:rPr>
        <w:t>（1）供应商应为国家卫生</w:t>
      </w:r>
      <w:r>
        <w:rPr>
          <w:rFonts w:hint="eastAsia"/>
          <w:sz w:val="21"/>
          <w:szCs w:val="21"/>
          <w:lang w:eastAsia="zh-CN"/>
        </w:rPr>
        <w:t>健康</w:t>
      </w:r>
      <w:bookmarkStart w:id="4" w:name="_GoBack"/>
      <w:bookmarkEnd w:id="4"/>
      <w:r>
        <w:rPr>
          <w:rFonts w:hint="eastAsia"/>
          <w:sz w:val="21"/>
          <w:szCs w:val="21"/>
        </w:rPr>
        <w:t>委员会批准的正规综合医院或民营体检机构，具有中华人民共和国卫生行政主管部门认可的《医疗机构执业许可证》；</w:t>
      </w:r>
    </w:p>
    <w:p>
      <w:pPr>
        <w:widowControl/>
        <w:spacing w:line="360" w:lineRule="auto"/>
        <w:ind w:firstLine="420" w:firstLineChars="200"/>
        <w:rPr>
          <w:sz w:val="21"/>
          <w:szCs w:val="21"/>
        </w:rPr>
      </w:pPr>
      <w:r>
        <w:rPr>
          <w:rFonts w:hint="eastAsia"/>
          <w:sz w:val="21"/>
          <w:szCs w:val="21"/>
        </w:rPr>
        <w:t>（2）招标代理机构将在资格审查结束前对参与本次招标项目的投标供应商“信用中国”网站和“中国政府采购网”是否存在不良信用记录进行查询，对列入失信被执行人、重大税收违法案件当事人名单、政府采购严重违法失信行为记录名单及其他不符合《中华人民共和国政府采购法》第二十二条规定条件的供应商，采购人将拒绝其参与政府采购活动。查询记录及相关证据将打印纸质版与其他采购文件一并留档保存，信用记录查询截止时间为评审活动开始之前。</w:t>
      </w:r>
    </w:p>
    <w:p>
      <w:pPr>
        <w:widowControl/>
        <w:spacing w:line="360" w:lineRule="auto"/>
        <w:ind w:firstLine="420" w:firstLineChars="200"/>
        <w:rPr>
          <w:sz w:val="21"/>
          <w:szCs w:val="21"/>
        </w:rPr>
      </w:pPr>
      <w:r>
        <w:rPr>
          <w:rFonts w:hint="eastAsia"/>
          <w:sz w:val="21"/>
          <w:szCs w:val="21"/>
        </w:rPr>
        <w:t>四、评标办法全文</w:t>
      </w:r>
    </w:p>
    <w:p>
      <w:pPr>
        <w:widowControl/>
        <w:spacing w:line="360" w:lineRule="auto"/>
        <w:ind w:firstLine="420" w:firstLineChars="200"/>
        <w:rPr>
          <w:sz w:val="21"/>
          <w:szCs w:val="21"/>
        </w:rPr>
      </w:pPr>
      <w:r>
        <w:rPr>
          <w:rFonts w:hint="eastAsia"/>
          <w:sz w:val="21"/>
          <w:szCs w:val="21"/>
        </w:rPr>
        <w:t>评标办法前附表</w:t>
      </w:r>
    </w:p>
    <w:tbl>
      <w:tblPr>
        <w:tblStyle w:val="1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68"/>
        <w:gridCol w:w="973"/>
        <w:gridCol w:w="1633"/>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5" w:type="dxa"/>
            <w:vAlign w:val="center"/>
          </w:tcPr>
          <w:p>
            <w:pPr>
              <w:widowControl/>
              <w:spacing w:line="360" w:lineRule="auto"/>
              <w:jc w:val="center"/>
              <w:rPr>
                <w:sz w:val="21"/>
                <w:szCs w:val="21"/>
              </w:rPr>
            </w:pPr>
            <w:r>
              <w:rPr>
                <w:rFonts w:hint="eastAsia"/>
                <w:sz w:val="21"/>
                <w:szCs w:val="21"/>
              </w:rPr>
              <w:t>序号</w:t>
            </w:r>
          </w:p>
        </w:tc>
        <w:tc>
          <w:tcPr>
            <w:tcW w:w="1068" w:type="dxa"/>
            <w:vAlign w:val="center"/>
          </w:tcPr>
          <w:p>
            <w:pPr>
              <w:widowControl/>
              <w:spacing w:line="360" w:lineRule="auto"/>
              <w:jc w:val="center"/>
              <w:rPr>
                <w:sz w:val="21"/>
                <w:szCs w:val="21"/>
              </w:rPr>
            </w:pPr>
            <w:r>
              <w:rPr>
                <w:rFonts w:hint="eastAsia"/>
                <w:sz w:val="21"/>
                <w:szCs w:val="21"/>
              </w:rPr>
              <w:t>评审项目</w:t>
            </w:r>
          </w:p>
        </w:tc>
        <w:tc>
          <w:tcPr>
            <w:tcW w:w="973" w:type="dxa"/>
            <w:vAlign w:val="center"/>
          </w:tcPr>
          <w:p>
            <w:pPr>
              <w:widowControl/>
              <w:spacing w:line="360" w:lineRule="auto"/>
              <w:jc w:val="center"/>
              <w:rPr>
                <w:sz w:val="21"/>
                <w:szCs w:val="21"/>
              </w:rPr>
            </w:pPr>
            <w:r>
              <w:rPr>
                <w:rFonts w:hint="eastAsia"/>
                <w:sz w:val="21"/>
                <w:szCs w:val="21"/>
              </w:rPr>
              <w:t>标准分</w:t>
            </w:r>
          </w:p>
        </w:tc>
        <w:tc>
          <w:tcPr>
            <w:tcW w:w="6585" w:type="dxa"/>
            <w:gridSpan w:val="2"/>
            <w:vAlign w:val="center"/>
          </w:tcPr>
          <w:p>
            <w:pPr>
              <w:widowControl/>
              <w:spacing w:line="360" w:lineRule="auto"/>
              <w:jc w:val="center"/>
              <w:rPr>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85" w:type="dxa"/>
            <w:vAlign w:val="center"/>
          </w:tcPr>
          <w:p>
            <w:pPr>
              <w:widowControl/>
              <w:spacing w:line="360" w:lineRule="auto"/>
              <w:ind w:firstLine="420" w:firstLineChars="200"/>
              <w:rPr>
                <w:sz w:val="21"/>
                <w:szCs w:val="21"/>
              </w:rPr>
            </w:pPr>
            <w:r>
              <w:rPr>
                <w:rFonts w:hint="eastAsia"/>
                <w:sz w:val="21"/>
                <w:szCs w:val="21"/>
              </w:rPr>
              <w:t>1</w:t>
            </w:r>
          </w:p>
        </w:tc>
        <w:tc>
          <w:tcPr>
            <w:tcW w:w="1068" w:type="dxa"/>
            <w:vAlign w:val="center"/>
          </w:tcPr>
          <w:p>
            <w:pPr>
              <w:widowControl/>
              <w:spacing w:line="360" w:lineRule="auto"/>
              <w:jc w:val="center"/>
              <w:rPr>
                <w:sz w:val="21"/>
                <w:szCs w:val="21"/>
              </w:rPr>
            </w:pPr>
            <w:r>
              <w:rPr>
                <w:rFonts w:hint="eastAsia"/>
                <w:sz w:val="21"/>
                <w:szCs w:val="21"/>
              </w:rPr>
              <w:t>磋商报价</w:t>
            </w:r>
          </w:p>
        </w:tc>
        <w:tc>
          <w:tcPr>
            <w:tcW w:w="973" w:type="dxa"/>
            <w:vAlign w:val="center"/>
          </w:tcPr>
          <w:p>
            <w:pPr>
              <w:widowControl/>
              <w:spacing w:line="360" w:lineRule="auto"/>
              <w:jc w:val="center"/>
              <w:rPr>
                <w:sz w:val="21"/>
                <w:szCs w:val="21"/>
              </w:rPr>
            </w:pPr>
            <w:r>
              <w:rPr>
                <w:rFonts w:hint="eastAsia"/>
                <w:sz w:val="21"/>
                <w:szCs w:val="21"/>
              </w:rPr>
              <w:t>15分</w:t>
            </w:r>
          </w:p>
        </w:tc>
        <w:tc>
          <w:tcPr>
            <w:tcW w:w="6585" w:type="dxa"/>
            <w:gridSpan w:val="2"/>
            <w:vAlign w:val="center"/>
          </w:tcPr>
          <w:p>
            <w:pPr>
              <w:widowControl/>
              <w:spacing w:line="360" w:lineRule="auto"/>
              <w:ind w:firstLine="420" w:firstLineChars="200"/>
              <w:jc w:val="center"/>
              <w:rPr>
                <w:sz w:val="21"/>
                <w:szCs w:val="21"/>
              </w:rPr>
            </w:pPr>
            <w:r>
              <w:rPr>
                <w:rFonts w:hint="eastAsia"/>
                <w:sz w:val="21"/>
                <w:szCs w:val="21"/>
              </w:rPr>
              <w:t>按满足磋商文件要求且第二次报价（最终报价）的最低磋商报价折扣率为评标基准价，其价格分为满分15分；其他供应商磋商报价得分按以下公式计算：</w:t>
            </w:r>
          </w:p>
          <w:p>
            <w:pPr>
              <w:widowControl/>
              <w:spacing w:line="360" w:lineRule="auto"/>
              <w:ind w:firstLine="420" w:firstLineChars="200"/>
              <w:jc w:val="center"/>
              <w:rPr>
                <w:sz w:val="21"/>
                <w:szCs w:val="21"/>
              </w:rPr>
            </w:pPr>
            <w:r>
              <w:rPr>
                <w:rFonts w:hint="eastAsia"/>
                <w:sz w:val="21"/>
                <w:szCs w:val="21"/>
              </w:rPr>
              <w:t>磋商报价得分＝（磋商基准价/磋商报价）×15。</w:t>
            </w:r>
          </w:p>
          <w:p>
            <w:pPr>
              <w:widowControl/>
              <w:spacing w:line="360" w:lineRule="auto"/>
              <w:ind w:firstLine="420" w:firstLineChars="200"/>
              <w:jc w:val="center"/>
              <w:rPr>
                <w:sz w:val="21"/>
                <w:szCs w:val="21"/>
              </w:rPr>
            </w:pPr>
            <w:r>
              <w:rPr>
                <w:rFonts w:hint="eastAsia"/>
                <w:sz w:val="21"/>
                <w:szCs w:val="21"/>
              </w:rPr>
              <w:t>注：供应商必须综合考虑各项单价，确定磋商综合折扣率，否则为无效投标。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785" w:type="dxa"/>
            <w:vAlign w:val="center"/>
          </w:tcPr>
          <w:p>
            <w:pPr>
              <w:widowControl/>
              <w:spacing w:line="360" w:lineRule="auto"/>
              <w:ind w:firstLine="420" w:firstLineChars="200"/>
              <w:rPr>
                <w:sz w:val="21"/>
                <w:szCs w:val="21"/>
              </w:rPr>
            </w:pPr>
            <w:r>
              <w:rPr>
                <w:rFonts w:hint="eastAsia"/>
                <w:sz w:val="21"/>
                <w:szCs w:val="21"/>
              </w:rPr>
              <w:t>2</w:t>
            </w:r>
          </w:p>
        </w:tc>
        <w:tc>
          <w:tcPr>
            <w:tcW w:w="1068" w:type="dxa"/>
            <w:vAlign w:val="center"/>
          </w:tcPr>
          <w:p>
            <w:pPr>
              <w:widowControl/>
              <w:spacing w:line="360" w:lineRule="auto"/>
              <w:jc w:val="center"/>
              <w:rPr>
                <w:sz w:val="21"/>
                <w:szCs w:val="21"/>
              </w:rPr>
            </w:pPr>
            <w:r>
              <w:rPr>
                <w:rFonts w:hint="eastAsia"/>
                <w:sz w:val="21"/>
                <w:szCs w:val="21"/>
              </w:rPr>
              <w:t>业绩</w:t>
            </w:r>
          </w:p>
        </w:tc>
        <w:tc>
          <w:tcPr>
            <w:tcW w:w="973" w:type="dxa"/>
            <w:vAlign w:val="center"/>
          </w:tcPr>
          <w:p>
            <w:pPr>
              <w:widowControl/>
              <w:spacing w:line="360" w:lineRule="auto"/>
              <w:jc w:val="center"/>
              <w:rPr>
                <w:sz w:val="21"/>
                <w:szCs w:val="21"/>
              </w:rPr>
            </w:pPr>
            <w:r>
              <w:rPr>
                <w:rFonts w:hint="eastAsia"/>
                <w:sz w:val="21"/>
                <w:szCs w:val="21"/>
              </w:rPr>
              <w:t>10分</w:t>
            </w:r>
          </w:p>
        </w:tc>
        <w:tc>
          <w:tcPr>
            <w:tcW w:w="6585" w:type="dxa"/>
            <w:gridSpan w:val="2"/>
            <w:vAlign w:val="center"/>
          </w:tcPr>
          <w:p>
            <w:pPr>
              <w:widowControl/>
              <w:spacing w:line="360" w:lineRule="auto"/>
              <w:ind w:firstLine="420" w:firstLineChars="200"/>
              <w:jc w:val="center"/>
              <w:rPr>
                <w:sz w:val="21"/>
                <w:szCs w:val="21"/>
              </w:rPr>
            </w:pPr>
            <w:r>
              <w:rPr>
                <w:rFonts w:hint="eastAsia"/>
                <w:sz w:val="21"/>
                <w:szCs w:val="21"/>
              </w:rPr>
              <w:t>磋商企业近三年（2020年6月至响应文件递交截止时间）内有一项类似业绩的得 6 分，每增加一项业绩加2分，得够标准分为止。（须在响应文件中附中标通知书或合同复印件并加盖公章，否则不得分）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5" w:type="dxa"/>
            <w:vAlign w:val="center"/>
          </w:tcPr>
          <w:p>
            <w:pPr>
              <w:widowControl/>
              <w:spacing w:line="360" w:lineRule="auto"/>
              <w:ind w:firstLine="420" w:firstLineChars="200"/>
              <w:rPr>
                <w:sz w:val="21"/>
                <w:szCs w:val="21"/>
              </w:rPr>
            </w:pPr>
            <w:r>
              <w:rPr>
                <w:rFonts w:hint="eastAsia"/>
                <w:sz w:val="21"/>
                <w:szCs w:val="21"/>
              </w:rPr>
              <w:t>3</w:t>
            </w:r>
          </w:p>
        </w:tc>
        <w:tc>
          <w:tcPr>
            <w:tcW w:w="1068" w:type="dxa"/>
            <w:vAlign w:val="center"/>
          </w:tcPr>
          <w:p>
            <w:pPr>
              <w:widowControl/>
              <w:spacing w:line="360" w:lineRule="auto"/>
              <w:jc w:val="center"/>
              <w:rPr>
                <w:sz w:val="21"/>
                <w:szCs w:val="21"/>
              </w:rPr>
            </w:pPr>
            <w:r>
              <w:rPr>
                <w:rFonts w:hint="eastAsia"/>
                <w:sz w:val="21"/>
                <w:szCs w:val="21"/>
              </w:rPr>
              <w:t>商务条款</w:t>
            </w:r>
          </w:p>
        </w:tc>
        <w:tc>
          <w:tcPr>
            <w:tcW w:w="973" w:type="dxa"/>
            <w:vAlign w:val="center"/>
          </w:tcPr>
          <w:p>
            <w:pPr>
              <w:widowControl/>
              <w:spacing w:line="360" w:lineRule="auto"/>
              <w:jc w:val="center"/>
              <w:rPr>
                <w:sz w:val="21"/>
                <w:szCs w:val="21"/>
              </w:rPr>
            </w:pPr>
            <w:r>
              <w:rPr>
                <w:rFonts w:hint="eastAsia"/>
                <w:sz w:val="21"/>
                <w:szCs w:val="21"/>
              </w:rPr>
              <w:t>10分</w:t>
            </w:r>
          </w:p>
        </w:tc>
        <w:tc>
          <w:tcPr>
            <w:tcW w:w="6585" w:type="dxa"/>
            <w:gridSpan w:val="2"/>
            <w:vAlign w:val="center"/>
          </w:tcPr>
          <w:p>
            <w:pPr>
              <w:widowControl/>
              <w:spacing w:line="360" w:lineRule="auto"/>
              <w:ind w:firstLine="420" w:firstLineChars="200"/>
              <w:jc w:val="center"/>
              <w:rPr>
                <w:sz w:val="21"/>
                <w:szCs w:val="21"/>
              </w:rPr>
            </w:pPr>
            <w:r>
              <w:rPr>
                <w:rFonts w:hint="eastAsia"/>
                <w:sz w:val="21"/>
                <w:szCs w:val="21"/>
              </w:rPr>
              <w:t>不能实质性满足磋商文件重要商务条款要求的为无效标书。满足磋商文件重要商务条款要求的得 6分，以此为基础，磋商企业重要商务条款优于磋商文件规定的相应商务条款的，每有一项加 1 分，磋商企业一般商务条款优于磋商文件规定的相应商务条款的，每有一项加 0.5分，两项加分至标准分时为止。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5" w:type="dxa"/>
            <w:vAlign w:val="center"/>
          </w:tcPr>
          <w:p>
            <w:pPr>
              <w:widowControl/>
              <w:spacing w:line="360" w:lineRule="auto"/>
              <w:ind w:firstLine="420" w:firstLineChars="200"/>
              <w:rPr>
                <w:sz w:val="21"/>
                <w:szCs w:val="21"/>
              </w:rPr>
            </w:pPr>
            <w:r>
              <w:rPr>
                <w:rFonts w:hint="eastAsia"/>
                <w:sz w:val="21"/>
                <w:szCs w:val="21"/>
              </w:rPr>
              <w:t>4</w:t>
            </w:r>
          </w:p>
        </w:tc>
        <w:tc>
          <w:tcPr>
            <w:tcW w:w="1068" w:type="dxa"/>
            <w:vAlign w:val="center"/>
          </w:tcPr>
          <w:p>
            <w:pPr>
              <w:jc w:val="center"/>
              <w:rPr>
                <w:szCs w:val="21"/>
              </w:rPr>
            </w:pPr>
            <w:r>
              <w:rPr>
                <w:rFonts w:hint="eastAsia"/>
              </w:rPr>
              <w:t>执检医（技）师</w:t>
            </w:r>
          </w:p>
        </w:tc>
        <w:tc>
          <w:tcPr>
            <w:tcW w:w="973" w:type="dxa"/>
            <w:vAlign w:val="center"/>
          </w:tcPr>
          <w:p>
            <w:pPr>
              <w:widowControl/>
              <w:spacing w:line="360" w:lineRule="auto"/>
              <w:jc w:val="center"/>
              <w:rPr>
                <w:sz w:val="21"/>
                <w:szCs w:val="21"/>
              </w:rPr>
            </w:pPr>
            <w:r>
              <w:rPr>
                <w:rFonts w:hint="eastAsia"/>
                <w:sz w:val="21"/>
                <w:szCs w:val="21"/>
              </w:rPr>
              <w:t>10分</w:t>
            </w:r>
          </w:p>
        </w:tc>
        <w:tc>
          <w:tcPr>
            <w:tcW w:w="6585" w:type="dxa"/>
            <w:gridSpan w:val="2"/>
            <w:vAlign w:val="center"/>
          </w:tcPr>
          <w:p>
            <w:pPr>
              <w:widowControl/>
              <w:spacing w:line="360" w:lineRule="auto"/>
              <w:ind w:firstLine="420" w:firstLineChars="200"/>
              <w:jc w:val="center"/>
              <w:rPr>
                <w:sz w:val="21"/>
                <w:szCs w:val="21"/>
              </w:rPr>
            </w:pPr>
            <w:r>
              <w:rPr>
                <w:rFonts w:hint="eastAsia"/>
                <w:sz w:val="21"/>
                <w:szCs w:val="21"/>
              </w:rPr>
              <w:t>提供的执检医（技）师中：有6名以上（不含6名）为副主任医师或以上的得10分；有4-6名（含4名）为副主任医师或以上的得8分；有4名以下（不含4名）为副主任医师或以上的得6分。</w:t>
            </w:r>
          </w:p>
          <w:p>
            <w:pPr>
              <w:widowControl/>
              <w:spacing w:line="360" w:lineRule="auto"/>
              <w:ind w:firstLine="420" w:firstLineChars="200"/>
              <w:jc w:val="center"/>
              <w:rPr>
                <w:sz w:val="21"/>
                <w:szCs w:val="21"/>
              </w:rPr>
            </w:pPr>
            <w:r>
              <w:rPr>
                <w:rFonts w:hint="eastAsia"/>
                <w:sz w:val="21"/>
                <w:szCs w:val="21"/>
              </w:rPr>
              <w:t>注：响应文件中须附人员相关资格证书复印件并加盖公章，否则不得分。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left w:val="single" w:color="auto" w:sz="4" w:space="0"/>
            </w:tcBorders>
            <w:vAlign w:val="center"/>
          </w:tcPr>
          <w:p>
            <w:pPr>
              <w:widowControl/>
              <w:spacing w:line="360" w:lineRule="auto"/>
              <w:ind w:firstLine="420" w:firstLineChars="200"/>
              <w:rPr>
                <w:sz w:val="21"/>
                <w:szCs w:val="21"/>
              </w:rPr>
            </w:pPr>
            <w:r>
              <w:rPr>
                <w:rFonts w:hint="eastAsia"/>
                <w:sz w:val="21"/>
                <w:szCs w:val="21"/>
              </w:rPr>
              <w:t>5</w:t>
            </w:r>
          </w:p>
        </w:tc>
        <w:tc>
          <w:tcPr>
            <w:tcW w:w="1068" w:type="dxa"/>
            <w:vMerge w:val="restart"/>
            <w:vAlign w:val="center"/>
          </w:tcPr>
          <w:p>
            <w:pPr>
              <w:widowControl/>
              <w:spacing w:line="360" w:lineRule="auto"/>
              <w:jc w:val="center"/>
              <w:rPr>
                <w:sz w:val="21"/>
                <w:szCs w:val="21"/>
              </w:rPr>
            </w:pPr>
            <w:r>
              <w:rPr>
                <w:rFonts w:hint="eastAsia"/>
                <w:sz w:val="21"/>
                <w:szCs w:val="21"/>
              </w:rPr>
              <w:t>技术方案</w:t>
            </w:r>
          </w:p>
        </w:tc>
        <w:tc>
          <w:tcPr>
            <w:tcW w:w="973" w:type="dxa"/>
            <w:vMerge w:val="restart"/>
            <w:vAlign w:val="center"/>
          </w:tcPr>
          <w:p>
            <w:pPr>
              <w:widowControl/>
              <w:spacing w:line="360" w:lineRule="auto"/>
              <w:jc w:val="center"/>
              <w:rPr>
                <w:sz w:val="21"/>
                <w:szCs w:val="21"/>
              </w:rPr>
            </w:pPr>
            <w:r>
              <w:rPr>
                <w:rFonts w:hint="eastAsia"/>
                <w:sz w:val="21"/>
                <w:szCs w:val="21"/>
              </w:rPr>
              <w:t>55分</w:t>
            </w:r>
          </w:p>
        </w:tc>
        <w:tc>
          <w:tcPr>
            <w:tcW w:w="1633" w:type="dxa"/>
            <w:tcBorders>
              <w:bottom w:val="single" w:color="auto" w:sz="4" w:space="0"/>
            </w:tcBorders>
            <w:vAlign w:val="center"/>
          </w:tcPr>
          <w:p>
            <w:pPr>
              <w:widowControl/>
              <w:spacing w:line="360" w:lineRule="auto"/>
              <w:jc w:val="both"/>
              <w:rPr>
                <w:sz w:val="21"/>
                <w:szCs w:val="21"/>
              </w:rPr>
            </w:pPr>
            <w:r>
              <w:rPr>
                <w:rFonts w:hint="eastAsia"/>
                <w:sz w:val="21"/>
                <w:szCs w:val="21"/>
              </w:rPr>
              <w:t>体检服务方案</w:t>
            </w:r>
          </w:p>
          <w:p>
            <w:pPr>
              <w:widowControl/>
              <w:spacing w:line="360" w:lineRule="auto"/>
              <w:jc w:val="center"/>
              <w:rPr>
                <w:sz w:val="21"/>
                <w:szCs w:val="21"/>
              </w:rPr>
            </w:pPr>
            <w:r>
              <w:rPr>
                <w:rFonts w:hint="eastAsia"/>
                <w:sz w:val="21"/>
                <w:szCs w:val="21"/>
              </w:rPr>
              <w:t>（10分）</w:t>
            </w:r>
          </w:p>
        </w:tc>
        <w:tc>
          <w:tcPr>
            <w:tcW w:w="4952" w:type="dxa"/>
            <w:tcBorders>
              <w:bottom w:val="single" w:color="auto" w:sz="4" w:space="0"/>
              <w:right w:val="single" w:color="auto" w:sz="4" w:space="0"/>
            </w:tcBorders>
            <w:vAlign w:val="center"/>
          </w:tcPr>
          <w:p>
            <w:pPr>
              <w:widowControl/>
              <w:spacing w:line="360" w:lineRule="auto"/>
              <w:ind w:firstLine="420" w:firstLineChars="200"/>
              <w:rPr>
                <w:sz w:val="21"/>
                <w:szCs w:val="21"/>
              </w:rPr>
            </w:pPr>
            <w:r>
              <w:rPr>
                <w:rFonts w:hint="eastAsia"/>
                <w:sz w:val="21"/>
                <w:szCs w:val="21"/>
              </w:rPr>
              <w:t>根据以下几点进行综合评价：</w:t>
            </w:r>
          </w:p>
          <w:p>
            <w:pPr>
              <w:widowControl/>
              <w:spacing w:line="360" w:lineRule="auto"/>
              <w:ind w:firstLine="420" w:firstLineChars="200"/>
              <w:rPr>
                <w:sz w:val="21"/>
                <w:szCs w:val="21"/>
              </w:rPr>
            </w:pPr>
            <w:r>
              <w:rPr>
                <w:rFonts w:hint="eastAsia"/>
                <w:sz w:val="21"/>
                <w:szCs w:val="21"/>
              </w:rPr>
              <w:t>1.供应商各类制度是否完善；</w:t>
            </w:r>
          </w:p>
          <w:p>
            <w:pPr>
              <w:widowControl/>
              <w:spacing w:line="360" w:lineRule="auto"/>
              <w:ind w:firstLine="420" w:firstLineChars="200"/>
              <w:rPr>
                <w:sz w:val="21"/>
                <w:szCs w:val="21"/>
              </w:rPr>
            </w:pPr>
            <w:r>
              <w:rPr>
                <w:rFonts w:hint="eastAsia"/>
                <w:sz w:val="21"/>
                <w:szCs w:val="21"/>
              </w:rPr>
              <w:t>2.体检流程是否方便快捷、有序高效；</w:t>
            </w:r>
          </w:p>
          <w:p>
            <w:pPr>
              <w:widowControl/>
              <w:spacing w:line="360" w:lineRule="auto"/>
              <w:ind w:firstLine="420" w:firstLineChars="200"/>
              <w:rPr>
                <w:sz w:val="21"/>
                <w:szCs w:val="21"/>
              </w:rPr>
            </w:pPr>
            <w:r>
              <w:rPr>
                <w:rFonts w:hint="eastAsia"/>
                <w:sz w:val="21"/>
                <w:szCs w:val="21"/>
              </w:rPr>
              <w:t>3.体检服务方案是否齐全，且责任明确、具有可操作性；</w:t>
            </w:r>
          </w:p>
          <w:p>
            <w:pPr>
              <w:widowControl/>
              <w:spacing w:line="360" w:lineRule="auto"/>
              <w:ind w:firstLine="420" w:firstLineChars="200"/>
              <w:rPr>
                <w:sz w:val="21"/>
                <w:szCs w:val="21"/>
              </w:rPr>
            </w:pPr>
            <w:r>
              <w:rPr>
                <w:rFonts w:hint="eastAsia"/>
                <w:sz w:val="21"/>
                <w:szCs w:val="21"/>
              </w:rPr>
              <w:t>4.是否突出人性化特点。</w:t>
            </w:r>
          </w:p>
          <w:p>
            <w:pPr>
              <w:widowControl/>
              <w:spacing w:line="360" w:lineRule="auto"/>
              <w:ind w:firstLine="420" w:firstLineChars="200"/>
              <w:rPr>
                <w:sz w:val="21"/>
                <w:szCs w:val="21"/>
              </w:rPr>
            </w:pPr>
            <w:r>
              <w:rPr>
                <w:rFonts w:hint="eastAsia"/>
                <w:sz w:val="21"/>
                <w:szCs w:val="21"/>
              </w:rPr>
              <w:t xml:space="preserve">综合评价：方案详细具体得8-10分，基本满足得6-8分，部分不满足的得6分，未提供的不得分。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left w:val="single" w:color="auto" w:sz="4" w:space="0"/>
            </w:tcBorders>
            <w:vAlign w:val="center"/>
          </w:tcPr>
          <w:p>
            <w:pPr>
              <w:widowControl/>
              <w:spacing w:line="360" w:lineRule="auto"/>
              <w:ind w:firstLine="420" w:firstLineChars="200"/>
              <w:rPr>
                <w:sz w:val="21"/>
                <w:szCs w:val="21"/>
              </w:rPr>
            </w:pPr>
          </w:p>
        </w:tc>
        <w:tc>
          <w:tcPr>
            <w:tcW w:w="1068" w:type="dxa"/>
            <w:vMerge w:val="continue"/>
            <w:vAlign w:val="center"/>
          </w:tcPr>
          <w:p>
            <w:pPr>
              <w:widowControl/>
              <w:spacing w:line="360" w:lineRule="auto"/>
              <w:ind w:firstLine="420" w:firstLineChars="200"/>
              <w:jc w:val="center"/>
              <w:rPr>
                <w:sz w:val="21"/>
                <w:szCs w:val="21"/>
              </w:rPr>
            </w:pPr>
          </w:p>
        </w:tc>
        <w:tc>
          <w:tcPr>
            <w:tcW w:w="973" w:type="dxa"/>
            <w:vMerge w:val="continue"/>
            <w:vAlign w:val="center"/>
          </w:tcPr>
          <w:p>
            <w:pPr>
              <w:widowControl/>
              <w:spacing w:line="360" w:lineRule="auto"/>
              <w:ind w:firstLine="420" w:firstLineChars="200"/>
              <w:jc w:val="center"/>
              <w:rPr>
                <w:sz w:val="21"/>
                <w:szCs w:val="21"/>
              </w:rPr>
            </w:pPr>
          </w:p>
        </w:tc>
        <w:tc>
          <w:tcPr>
            <w:tcW w:w="1633" w:type="dxa"/>
            <w:tcBorders>
              <w:top w:val="single" w:color="auto" w:sz="4" w:space="0"/>
              <w:bottom w:val="single" w:color="auto" w:sz="4" w:space="0"/>
            </w:tcBorders>
            <w:vAlign w:val="center"/>
          </w:tcPr>
          <w:p>
            <w:pPr>
              <w:widowControl/>
              <w:spacing w:line="360" w:lineRule="auto"/>
              <w:jc w:val="center"/>
              <w:rPr>
                <w:sz w:val="21"/>
                <w:szCs w:val="21"/>
              </w:rPr>
            </w:pPr>
            <w:r>
              <w:rPr>
                <w:rFonts w:hint="eastAsia"/>
                <w:sz w:val="21"/>
                <w:szCs w:val="21"/>
              </w:rPr>
              <w:t>服务质量控制与保障（10分）</w:t>
            </w:r>
          </w:p>
        </w:tc>
        <w:tc>
          <w:tcPr>
            <w:tcW w:w="4952" w:type="dxa"/>
            <w:tcBorders>
              <w:top w:val="single" w:color="auto" w:sz="4" w:space="0"/>
              <w:bottom w:val="single" w:color="auto" w:sz="4" w:space="0"/>
              <w:right w:val="single" w:color="auto" w:sz="4" w:space="0"/>
            </w:tcBorders>
            <w:vAlign w:val="center"/>
          </w:tcPr>
          <w:p>
            <w:pPr>
              <w:widowControl/>
              <w:spacing w:line="360" w:lineRule="auto"/>
              <w:ind w:firstLine="420" w:firstLineChars="200"/>
              <w:rPr>
                <w:sz w:val="21"/>
                <w:szCs w:val="21"/>
              </w:rPr>
            </w:pPr>
            <w:r>
              <w:rPr>
                <w:rFonts w:hint="eastAsia"/>
                <w:sz w:val="21"/>
                <w:szCs w:val="21"/>
              </w:rPr>
              <w:t>质量管理体系与制度完善、详细、合理可行得8-10分，较完善、较详细、较合理可行得6-8分，基本完善、基本详细、基本合理可行得6分，未提供的不得分。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left w:val="single" w:color="auto" w:sz="4" w:space="0"/>
            </w:tcBorders>
            <w:vAlign w:val="center"/>
          </w:tcPr>
          <w:p>
            <w:pPr>
              <w:widowControl/>
              <w:spacing w:line="360" w:lineRule="auto"/>
              <w:ind w:firstLine="420" w:firstLineChars="200"/>
              <w:rPr>
                <w:sz w:val="21"/>
                <w:szCs w:val="21"/>
              </w:rPr>
            </w:pPr>
          </w:p>
        </w:tc>
        <w:tc>
          <w:tcPr>
            <w:tcW w:w="1068" w:type="dxa"/>
            <w:vMerge w:val="continue"/>
            <w:vAlign w:val="center"/>
          </w:tcPr>
          <w:p>
            <w:pPr>
              <w:widowControl/>
              <w:spacing w:line="360" w:lineRule="auto"/>
              <w:ind w:firstLine="420" w:firstLineChars="200"/>
              <w:jc w:val="center"/>
              <w:rPr>
                <w:sz w:val="21"/>
                <w:szCs w:val="21"/>
              </w:rPr>
            </w:pPr>
          </w:p>
        </w:tc>
        <w:tc>
          <w:tcPr>
            <w:tcW w:w="973" w:type="dxa"/>
            <w:vMerge w:val="continue"/>
            <w:vAlign w:val="center"/>
          </w:tcPr>
          <w:p>
            <w:pPr>
              <w:widowControl/>
              <w:spacing w:line="360" w:lineRule="auto"/>
              <w:ind w:firstLine="420" w:firstLineChars="200"/>
              <w:jc w:val="center"/>
              <w:rPr>
                <w:sz w:val="21"/>
                <w:szCs w:val="21"/>
              </w:rPr>
            </w:pPr>
          </w:p>
        </w:tc>
        <w:tc>
          <w:tcPr>
            <w:tcW w:w="1633" w:type="dxa"/>
            <w:tcBorders>
              <w:top w:val="single" w:color="auto" w:sz="4" w:space="0"/>
              <w:bottom w:val="single" w:color="auto" w:sz="4" w:space="0"/>
            </w:tcBorders>
            <w:vAlign w:val="center"/>
          </w:tcPr>
          <w:p>
            <w:pPr>
              <w:widowControl/>
              <w:spacing w:line="360" w:lineRule="auto"/>
              <w:jc w:val="center"/>
              <w:rPr>
                <w:sz w:val="21"/>
                <w:szCs w:val="21"/>
              </w:rPr>
            </w:pPr>
            <w:r>
              <w:rPr>
                <w:rFonts w:hint="eastAsia"/>
                <w:sz w:val="21"/>
                <w:szCs w:val="21"/>
              </w:rPr>
              <w:t>健康档案管理</w:t>
            </w:r>
          </w:p>
          <w:p>
            <w:pPr>
              <w:widowControl/>
              <w:spacing w:line="360" w:lineRule="auto"/>
              <w:jc w:val="center"/>
              <w:rPr>
                <w:sz w:val="21"/>
                <w:szCs w:val="21"/>
              </w:rPr>
            </w:pPr>
            <w:r>
              <w:rPr>
                <w:rFonts w:hint="eastAsia"/>
                <w:sz w:val="21"/>
                <w:szCs w:val="21"/>
              </w:rPr>
              <w:t>（10分）</w:t>
            </w:r>
          </w:p>
        </w:tc>
        <w:tc>
          <w:tcPr>
            <w:tcW w:w="4952" w:type="dxa"/>
            <w:tcBorders>
              <w:top w:val="single" w:color="auto" w:sz="4" w:space="0"/>
              <w:bottom w:val="single" w:color="auto" w:sz="4" w:space="0"/>
              <w:right w:val="single" w:color="auto" w:sz="4" w:space="0"/>
            </w:tcBorders>
            <w:vAlign w:val="center"/>
          </w:tcPr>
          <w:p>
            <w:pPr>
              <w:widowControl/>
              <w:spacing w:line="360" w:lineRule="auto"/>
              <w:ind w:firstLine="420" w:firstLineChars="200"/>
              <w:rPr>
                <w:sz w:val="21"/>
                <w:szCs w:val="21"/>
              </w:rPr>
            </w:pPr>
            <w:r>
              <w:rPr>
                <w:rFonts w:hint="eastAsia"/>
                <w:sz w:val="21"/>
                <w:szCs w:val="21"/>
              </w:rPr>
              <w:t>健康档案管理实现信息化、便捷化，且完善合理的得8-10分，实现信息化、便捷化，较完善、较合理的得6-8分，实现信息化、便捷化，基本完善、基本合理的得6分，未提供的不得分。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left w:val="single" w:color="auto" w:sz="4" w:space="0"/>
            </w:tcBorders>
            <w:vAlign w:val="center"/>
          </w:tcPr>
          <w:p>
            <w:pPr>
              <w:widowControl/>
              <w:spacing w:line="360" w:lineRule="auto"/>
              <w:ind w:firstLine="420" w:firstLineChars="200"/>
              <w:rPr>
                <w:sz w:val="21"/>
                <w:szCs w:val="21"/>
              </w:rPr>
            </w:pPr>
          </w:p>
        </w:tc>
        <w:tc>
          <w:tcPr>
            <w:tcW w:w="1068" w:type="dxa"/>
            <w:vMerge w:val="continue"/>
            <w:vAlign w:val="center"/>
          </w:tcPr>
          <w:p>
            <w:pPr>
              <w:widowControl/>
              <w:spacing w:line="360" w:lineRule="auto"/>
              <w:ind w:firstLine="420" w:firstLineChars="200"/>
              <w:jc w:val="center"/>
              <w:rPr>
                <w:sz w:val="21"/>
                <w:szCs w:val="21"/>
              </w:rPr>
            </w:pPr>
          </w:p>
        </w:tc>
        <w:tc>
          <w:tcPr>
            <w:tcW w:w="973" w:type="dxa"/>
            <w:vMerge w:val="continue"/>
            <w:vAlign w:val="center"/>
          </w:tcPr>
          <w:p>
            <w:pPr>
              <w:widowControl/>
              <w:spacing w:line="360" w:lineRule="auto"/>
              <w:ind w:firstLine="420" w:firstLineChars="200"/>
              <w:jc w:val="center"/>
              <w:rPr>
                <w:sz w:val="21"/>
                <w:szCs w:val="21"/>
              </w:rPr>
            </w:pPr>
          </w:p>
        </w:tc>
        <w:tc>
          <w:tcPr>
            <w:tcW w:w="1633" w:type="dxa"/>
            <w:tcBorders>
              <w:top w:val="single" w:color="auto" w:sz="4" w:space="0"/>
              <w:bottom w:val="single" w:color="auto" w:sz="4" w:space="0"/>
            </w:tcBorders>
            <w:vAlign w:val="center"/>
          </w:tcPr>
          <w:p>
            <w:pPr>
              <w:widowControl/>
              <w:spacing w:line="360" w:lineRule="auto"/>
              <w:jc w:val="center"/>
              <w:rPr>
                <w:sz w:val="21"/>
                <w:szCs w:val="21"/>
              </w:rPr>
            </w:pPr>
            <w:r>
              <w:rPr>
                <w:rFonts w:hint="eastAsia"/>
                <w:sz w:val="21"/>
                <w:szCs w:val="21"/>
              </w:rPr>
              <w:t>体检项目可靠性及承诺（10分）</w:t>
            </w:r>
          </w:p>
        </w:tc>
        <w:tc>
          <w:tcPr>
            <w:tcW w:w="4952" w:type="dxa"/>
            <w:tcBorders>
              <w:top w:val="single" w:color="auto" w:sz="4" w:space="0"/>
              <w:bottom w:val="single" w:color="auto" w:sz="4" w:space="0"/>
              <w:right w:val="single" w:color="auto" w:sz="4" w:space="0"/>
            </w:tcBorders>
            <w:vAlign w:val="center"/>
          </w:tcPr>
          <w:p>
            <w:pPr>
              <w:widowControl/>
              <w:spacing w:line="360" w:lineRule="auto"/>
              <w:ind w:firstLine="420" w:firstLineChars="200"/>
              <w:rPr>
                <w:sz w:val="21"/>
                <w:szCs w:val="21"/>
              </w:rPr>
            </w:pPr>
            <w:r>
              <w:rPr>
                <w:rFonts w:hint="eastAsia"/>
                <w:sz w:val="21"/>
                <w:szCs w:val="21"/>
              </w:rPr>
              <w:t>根据供应商自身具有仪器、专业技师等情况，对体检结果的可靠性做出分析：</w:t>
            </w:r>
          </w:p>
          <w:p>
            <w:pPr>
              <w:widowControl/>
              <w:spacing w:line="360" w:lineRule="auto"/>
              <w:ind w:firstLine="420" w:firstLineChars="200"/>
              <w:rPr>
                <w:sz w:val="21"/>
                <w:szCs w:val="21"/>
              </w:rPr>
            </w:pPr>
            <w:r>
              <w:rPr>
                <w:rFonts w:hint="eastAsia"/>
                <w:sz w:val="21"/>
                <w:szCs w:val="21"/>
              </w:rPr>
              <w:t>分析合理、完善、可靠，并有确保准确率的相关承诺的得8-10分，分析较合理、较完善、较可靠，并有确保准确率的相关承诺的得6-8分，基本完善、基本详细、基本合理，并有确保准确率的相关承诺的得6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vMerge w:val="continue"/>
            <w:tcBorders>
              <w:left w:val="single" w:color="auto" w:sz="4" w:space="0"/>
            </w:tcBorders>
            <w:vAlign w:val="center"/>
          </w:tcPr>
          <w:p>
            <w:pPr>
              <w:widowControl/>
              <w:spacing w:line="360" w:lineRule="auto"/>
              <w:ind w:firstLine="420" w:firstLineChars="200"/>
              <w:rPr>
                <w:sz w:val="21"/>
                <w:szCs w:val="21"/>
              </w:rPr>
            </w:pPr>
          </w:p>
        </w:tc>
        <w:tc>
          <w:tcPr>
            <w:tcW w:w="1068" w:type="dxa"/>
            <w:vMerge w:val="continue"/>
            <w:vAlign w:val="center"/>
          </w:tcPr>
          <w:p>
            <w:pPr>
              <w:widowControl/>
              <w:spacing w:line="360" w:lineRule="auto"/>
              <w:ind w:firstLine="420" w:firstLineChars="200"/>
              <w:jc w:val="center"/>
              <w:rPr>
                <w:sz w:val="21"/>
                <w:szCs w:val="21"/>
              </w:rPr>
            </w:pPr>
          </w:p>
        </w:tc>
        <w:tc>
          <w:tcPr>
            <w:tcW w:w="973" w:type="dxa"/>
            <w:vMerge w:val="continue"/>
            <w:vAlign w:val="center"/>
          </w:tcPr>
          <w:p>
            <w:pPr>
              <w:widowControl/>
              <w:spacing w:line="360" w:lineRule="auto"/>
              <w:ind w:firstLine="420" w:firstLineChars="200"/>
              <w:jc w:val="center"/>
              <w:rPr>
                <w:sz w:val="21"/>
                <w:szCs w:val="21"/>
              </w:rPr>
            </w:pPr>
          </w:p>
        </w:tc>
        <w:tc>
          <w:tcPr>
            <w:tcW w:w="1633" w:type="dxa"/>
            <w:tcBorders>
              <w:top w:val="single" w:color="auto" w:sz="4" w:space="0"/>
              <w:bottom w:val="single" w:color="auto" w:sz="4" w:space="0"/>
            </w:tcBorders>
            <w:vAlign w:val="center"/>
          </w:tcPr>
          <w:p>
            <w:pPr>
              <w:widowControl/>
              <w:spacing w:line="360" w:lineRule="auto"/>
              <w:jc w:val="center"/>
              <w:rPr>
                <w:sz w:val="21"/>
                <w:szCs w:val="21"/>
              </w:rPr>
            </w:pPr>
            <w:r>
              <w:rPr>
                <w:rFonts w:hint="eastAsia"/>
                <w:sz w:val="21"/>
                <w:szCs w:val="21"/>
              </w:rPr>
              <w:t>检后服务承诺</w:t>
            </w:r>
          </w:p>
          <w:p>
            <w:pPr>
              <w:widowControl/>
              <w:spacing w:line="360" w:lineRule="auto"/>
              <w:jc w:val="center"/>
              <w:rPr>
                <w:sz w:val="21"/>
                <w:szCs w:val="21"/>
              </w:rPr>
            </w:pPr>
            <w:r>
              <w:rPr>
                <w:rFonts w:hint="eastAsia"/>
                <w:sz w:val="21"/>
                <w:szCs w:val="21"/>
              </w:rPr>
              <w:t>（10分）</w:t>
            </w:r>
          </w:p>
        </w:tc>
        <w:tc>
          <w:tcPr>
            <w:tcW w:w="4952" w:type="dxa"/>
            <w:tcBorders>
              <w:top w:val="single" w:color="auto" w:sz="4" w:space="0"/>
              <w:bottom w:val="single" w:color="auto" w:sz="4" w:space="0"/>
              <w:right w:val="single" w:color="auto" w:sz="4" w:space="0"/>
            </w:tcBorders>
            <w:vAlign w:val="center"/>
          </w:tcPr>
          <w:p>
            <w:pPr>
              <w:widowControl/>
              <w:spacing w:line="360" w:lineRule="auto"/>
              <w:ind w:firstLine="420" w:firstLineChars="200"/>
              <w:rPr>
                <w:sz w:val="21"/>
                <w:szCs w:val="21"/>
              </w:rPr>
            </w:pPr>
            <w:r>
              <w:rPr>
                <w:rFonts w:hint="eastAsia"/>
                <w:sz w:val="21"/>
                <w:szCs w:val="21"/>
              </w:rPr>
              <w:t>供应商利用其医疗技术和服务资源优势，对检出异常项目、一般疾病和大病，进行分类管理、跟踪干预，提供检出重大疾病人员就医、治疗、转院等医疗服务，并制定具体实施方案，实施方案合理、可行性强、且具备有效性的得8-10分，实施方案较合理、可行性较强、有效性一般的得6-8分，实施方案合理性差、基本可行性的得6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continue"/>
            <w:tcBorders>
              <w:left w:val="single" w:color="auto" w:sz="4" w:space="0"/>
              <w:bottom w:val="single" w:color="auto" w:sz="4" w:space="0"/>
            </w:tcBorders>
            <w:vAlign w:val="center"/>
          </w:tcPr>
          <w:p>
            <w:pPr>
              <w:widowControl/>
              <w:spacing w:line="360" w:lineRule="auto"/>
              <w:ind w:firstLine="420" w:firstLineChars="200"/>
              <w:rPr>
                <w:sz w:val="21"/>
                <w:szCs w:val="21"/>
              </w:rPr>
            </w:pPr>
          </w:p>
        </w:tc>
        <w:tc>
          <w:tcPr>
            <w:tcW w:w="1068" w:type="dxa"/>
            <w:vMerge w:val="continue"/>
            <w:tcBorders>
              <w:bottom w:val="single" w:color="auto" w:sz="4" w:space="0"/>
            </w:tcBorders>
            <w:vAlign w:val="center"/>
          </w:tcPr>
          <w:p>
            <w:pPr>
              <w:widowControl/>
              <w:spacing w:line="360" w:lineRule="auto"/>
              <w:ind w:firstLine="420" w:firstLineChars="200"/>
              <w:jc w:val="center"/>
              <w:rPr>
                <w:sz w:val="21"/>
                <w:szCs w:val="21"/>
              </w:rPr>
            </w:pPr>
          </w:p>
        </w:tc>
        <w:tc>
          <w:tcPr>
            <w:tcW w:w="973" w:type="dxa"/>
            <w:vMerge w:val="continue"/>
            <w:tcBorders>
              <w:bottom w:val="single" w:color="auto" w:sz="4" w:space="0"/>
            </w:tcBorders>
            <w:vAlign w:val="center"/>
          </w:tcPr>
          <w:p>
            <w:pPr>
              <w:widowControl/>
              <w:spacing w:line="360" w:lineRule="auto"/>
              <w:ind w:firstLine="420" w:firstLineChars="200"/>
              <w:jc w:val="center"/>
              <w:rPr>
                <w:sz w:val="21"/>
                <w:szCs w:val="21"/>
              </w:rPr>
            </w:pPr>
          </w:p>
        </w:tc>
        <w:tc>
          <w:tcPr>
            <w:tcW w:w="1633" w:type="dxa"/>
            <w:tcBorders>
              <w:top w:val="single" w:color="auto" w:sz="4" w:space="0"/>
              <w:bottom w:val="single" w:color="auto" w:sz="4" w:space="0"/>
            </w:tcBorders>
            <w:vAlign w:val="center"/>
          </w:tcPr>
          <w:p>
            <w:pPr>
              <w:widowControl/>
              <w:spacing w:line="360" w:lineRule="auto"/>
              <w:jc w:val="center"/>
              <w:rPr>
                <w:sz w:val="21"/>
                <w:szCs w:val="21"/>
              </w:rPr>
            </w:pPr>
            <w:r>
              <w:rPr>
                <w:rFonts w:hint="eastAsia"/>
                <w:sz w:val="21"/>
                <w:szCs w:val="21"/>
              </w:rPr>
              <w:t>增值服务（5分）</w:t>
            </w:r>
          </w:p>
        </w:tc>
        <w:tc>
          <w:tcPr>
            <w:tcW w:w="4952" w:type="dxa"/>
            <w:tcBorders>
              <w:top w:val="single" w:color="auto" w:sz="4" w:space="0"/>
              <w:bottom w:val="single" w:color="auto" w:sz="4" w:space="0"/>
              <w:right w:val="single" w:color="auto" w:sz="4" w:space="0"/>
            </w:tcBorders>
            <w:vAlign w:val="center"/>
          </w:tcPr>
          <w:p>
            <w:pPr>
              <w:widowControl/>
              <w:spacing w:line="360" w:lineRule="auto"/>
              <w:ind w:firstLine="420" w:firstLineChars="200"/>
              <w:rPr>
                <w:sz w:val="21"/>
                <w:szCs w:val="21"/>
              </w:rPr>
            </w:pPr>
            <w:r>
              <w:rPr>
                <w:rFonts w:hint="eastAsia"/>
                <w:sz w:val="21"/>
                <w:szCs w:val="21"/>
              </w:rPr>
              <w:t>在基本的体检项目上多增加体检项目服务的，增值服务在100元以内的得1分，增值服务每增加100元加1分，增值服务满500元得满分5分。</w:t>
            </w:r>
          </w:p>
        </w:tc>
      </w:tr>
    </w:tbl>
    <w:p>
      <w:pPr>
        <w:spacing w:line="360" w:lineRule="auto"/>
        <w:rPr>
          <w:sz w:val="21"/>
          <w:szCs w:val="21"/>
        </w:rPr>
      </w:pPr>
    </w:p>
    <w:sectPr>
      <w:pgSz w:w="11900" w:h="16843"/>
      <w:pgMar w:top="1083" w:right="1440" w:bottom="1083" w:left="1440" w:header="850" w:footer="850" w:gutter="0"/>
      <w:cols w:space="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4211F"/>
    <w:multiLevelType w:val="singleLevel"/>
    <w:tmpl w:val="F3E421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220"/>
  <w:drawingGridVerticalSpacing w:val="-794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MWZmYjQwODY2ODg4YzdmMWNhMGM2NWFmYWYwMTkifQ=="/>
  </w:docVars>
  <w:rsids>
    <w:rsidRoot w:val="406777B4"/>
    <w:rsid w:val="000E1E3B"/>
    <w:rsid w:val="00B853AA"/>
    <w:rsid w:val="051F56CA"/>
    <w:rsid w:val="16B72F97"/>
    <w:rsid w:val="3A613057"/>
    <w:rsid w:val="406777B4"/>
    <w:rsid w:val="409758DB"/>
    <w:rsid w:val="43BA3952"/>
    <w:rsid w:val="5BEF470F"/>
    <w:rsid w:val="616D67BF"/>
    <w:rsid w:val="6C9546D7"/>
    <w:rsid w:val="6FA31447"/>
    <w:rsid w:val="729667C8"/>
    <w:rsid w:val="FD7EB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1026" w:right="1076"/>
      <w:jc w:val="center"/>
      <w:outlineLvl w:val="0"/>
    </w:pPr>
    <w:rPr>
      <w:sz w:val="72"/>
      <w:szCs w:val="72"/>
    </w:rPr>
  </w:style>
  <w:style w:type="paragraph" w:styleId="4">
    <w:name w:val="heading 2"/>
    <w:basedOn w:val="1"/>
    <w:next w:val="5"/>
    <w:unhideWhenUsed/>
    <w:qFormat/>
    <w:uiPriority w:val="0"/>
    <w:pPr>
      <w:spacing w:before="22"/>
      <w:ind w:left="1144" w:right="1155"/>
      <w:jc w:val="center"/>
      <w:outlineLvl w:val="1"/>
    </w:pPr>
    <w:rPr>
      <w:sz w:val="44"/>
      <w:szCs w:val="44"/>
    </w:rPr>
  </w:style>
  <w:style w:type="paragraph" w:styleId="6">
    <w:name w:val="heading 4"/>
    <w:basedOn w:val="1"/>
    <w:next w:val="1"/>
    <w:unhideWhenUsed/>
    <w:qFormat/>
    <w:uiPriority w:val="9"/>
    <w:pPr>
      <w:spacing w:before="43"/>
      <w:ind w:right="10"/>
      <w:jc w:val="center"/>
      <w:outlineLvl w:val="3"/>
    </w:pPr>
    <w:rPr>
      <w:sz w:val="30"/>
      <w:szCs w:val="30"/>
    </w:rPr>
  </w:style>
  <w:style w:type="paragraph" w:styleId="7">
    <w:name w:val="heading 8"/>
    <w:basedOn w:val="1"/>
    <w:next w:val="1"/>
    <w:qFormat/>
    <w:uiPriority w:val="1"/>
    <w:pPr>
      <w:spacing w:before="1"/>
      <w:ind w:left="440"/>
      <w:outlineLvl w:val="7"/>
    </w:pPr>
    <w:rPr>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ind w:left="2" w:firstLine="628" w:firstLineChars="196"/>
    </w:pPr>
    <w:rPr>
      <w:rFonts w:ascii="Arial" w:hAnsi="Arial" w:eastAsia="仿宋_GB2312"/>
      <w:b/>
      <w:sz w:val="32"/>
      <w:lang w:bidi="he-IL"/>
    </w:rPr>
  </w:style>
  <w:style w:type="paragraph" w:styleId="5">
    <w:name w:val="Normal Indent"/>
    <w:basedOn w:val="1"/>
    <w:qFormat/>
    <w:uiPriority w:val="0"/>
    <w:pPr>
      <w:ind w:firstLine="420" w:firstLineChars="200"/>
    </w:pPr>
    <w:rPr>
      <w:rFonts w:ascii="Times New Roman" w:hAnsi="Times New Roman" w:cs="Times New Roman"/>
    </w:rPr>
  </w:style>
  <w:style w:type="paragraph" w:styleId="8">
    <w:name w:val="annotation text"/>
    <w:basedOn w:val="1"/>
    <w:qFormat/>
    <w:uiPriority w:val="0"/>
    <w:rPr>
      <w:rFonts w:ascii="Times New Roman" w:hAnsi="Times New Roman" w:cs="Times New Roman"/>
    </w:rPr>
  </w:style>
  <w:style w:type="paragraph" w:styleId="9">
    <w:name w:val="Body Text"/>
    <w:basedOn w:val="1"/>
    <w:next w:val="1"/>
    <w:qFormat/>
    <w:uiPriority w:val="1"/>
    <w:rPr>
      <w:sz w:val="21"/>
      <w:szCs w:val="21"/>
    </w:rPr>
  </w:style>
  <w:style w:type="paragraph" w:styleId="10">
    <w:name w:val="Body Text Indent"/>
    <w:basedOn w:val="1"/>
    <w:qFormat/>
    <w:uiPriority w:val="0"/>
    <w:pPr>
      <w:ind w:firstLine="648"/>
    </w:pPr>
    <w:rPr>
      <w:sz w:val="32"/>
      <w:szCs w:val="20"/>
    </w:rPr>
  </w:style>
  <w:style w:type="paragraph" w:styleId="11">
    <w:name w:val="footer"/>
    <w:basedOn w:val="1"/>
    <w:qFormat/>
    <w:uiPriority w:val="0"/>
    <w:pPr>
      <w:tabs>
        <w:tab w:val="center" w:pos="4153"/>
        <w:tab w:val="right" w:pos="8306"/>
      </w:tabs>
      <w:snapToGrid w:val="0"/>
    </w:pPr>
    <w:rPr>
      <w:rFonts w:ascii="Times New Roman" w:hAnsi="Times New Roman" w:cs="Times New Roman"/>
      <w:sz w:val="18"/>
      <w:szCs w:val="18"/>
    </w:rPr>
  </w:style>
  <w:style w:type="paragraph" w:styleId="12">
    <w:name w:val="Title"/>
    <w:basedOn w:val="1"/>
    <w:next w:val="1"/>
    <w:qFormat/>
    <w:uiPriority w:val="0"/>
    <w:pPr>
      <w:adjustRightInd w:val="0"/>
      <w:spacing w:before="240" w:after="60" w:line="420" w:lineRule="atLeast"/>
      <w:jc w:val="center"/>
      <w:textAlignment w:val="baseline"/>
      <w:outlineLvl w:val="0"/>
    </w:pPr>
    <w:rPr>
      <w:rFonts w:ascii="Arial" w:hAnsi="Arial" w:cs="Times New Roman"/>
      <w:b/>
      <w:sz w:val="32"/>
      <w:szCs w:val="20"/>
    </w:rPr>
  </w:style>
  <w:style w:type="paragraph" w:styleId="13">
    <w:name w:val="Body Text First Indent"/>
    <w:basedOn w:val="9"/>
    <w:qFormat/>
    <w:uiPriority w:val="0"/>
    <w:pPr>
      <w:tabs>
        <w:tab w:val="left" w:pos="567"/>
      </w:tabs>
      <w:ind w:firstLine="420" w:firstLineChars="100"/>
    </w:pPr>
  </w:style>
  <w:style w:type="paragraph" w:styleId="14">
    <w:name w:val="Body Text First Indent 2"/>
    <w:basedOn w:val="10"/>
    <w:next w:val="1"/>
    <w:qFormat/>
    <w:uiPriority w:val="0"/>
    <w:pPr>
      <w:ind w:firstLine="420" w:firstLineChars="200"/>
    </w:pPr>
  </w:style>
  <w:style w:type="character" w:styleId="17">
    <w:name w:val="Strong"/>
    <w:qFormat/>
    <w:uiPriority w:val="22"/>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正文（缩进）"/>
    <w:basedOn w:val="1"/>
    <w:qFormat/>
    <w:uiPriority w:val="0"/>
    <w:pPr>
      <w:spacing w:beforeLines="50" w:afterLines="50"/>
      <w:ind w:firstLine="480"/>
    </w:pPr>
    <w:rPr>
      <w:sz w:val="24"/>
    </w:rPr>
  </w:style>
  <w:style w:type="paragraph" w:customStyle="1" w:styleId="20">
    <w:name w:val="Table Paragraph"/>
    <w:basedOn w:val="21"/>
    <w:qFormat/>
    <w:uiPriority w:val="1"/>
  </w:style>
  <w:style w:type="paragraph" w:customStyle="1" w:styleId="21">
    <w:name w:val="正文_0_0"/>
    <w:next w:val="22"/>
    <w:qFormat/>
    <w:uiPriority w:val="0"/>
    <w:pPr>
      <w:widowControl w:val="0"/>
      <w:autoSpaceDE w:val="0"/>
      <w:autoSpaceDN w:val="0"/>
    </w:pPr>
    <w:rPr>
      <w:rFonts w:ascii="宋体" w:hAnsi="宋体" w:eastAsia="宋体" w:cs="黑体"/>
      <w:sz w:val="22"/>
      <w:szCs w:val="22"/>
      <w:lang w:val="zh-CN" w:eastAsia="zh-CN" w:bidi="zh-CN"/>
    </w:rPr>
  </w:style>
  <w:style w:type="paragraph" w:customStyle="1" w:styleId="22">
    <w:name w:val="标题 2_0_0"/>
    <w:basedOn w:val="21"/>
    <w:next w:val="23"/>
    <w:qFormat/>
    <w:uiPriority w:val="0"/>
    <w:pPr>
      <w:spacing w:before="260" w:after="260" w:line="416" w:lineRule="auto"/>
      <w:outlineLvl w:val="1"/>
    </w:pPr>
    <w:rPr>
      <w:rFonts w:ascii="Arial" w:hAnsi="Arial" w:eastAsia="黑体"/>
      <w:b/>
      <w:bCs/>
      <w:sz w:val="32"/>
      <w:szCs w:val="32"/>
    </w:rPr>
  </w:style>
  <w:style w:type="paragraph" w:customStyle="1" w:styleId="23">
    <w:name w:val="正文缩进_0_0"/>
    <w:basedOn w:val="21"/>
    <w:qFormat/>
    <w:uiPriority w:val="0"/>
    <w:pPr>
      <w:ind w:firstLine="420"/>
    </w:pPr>
    <w:rPr>
      <w:sz w:val="20"/>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220" w:firstLine="420"/>
    </w:pPr>
  </w:style>
  <w:style w:type="paragraph" w:customStyle="1" w:styleId="26">
    <w:name w:val="首行缩进"/>
    <w:basedOn w:val="1"/>
    <w:qFormat/>
    <w:uiPriority w:val="0"/>
    <w:pPr>
      <w:spacing w:line="360" w:lineRule="auto"/>
      <w:ind w:left="210" w:leftChars="100" w:firstLine="420" w:firstLineChars="200"/>
    </w:pPr>
  </w:style>
  <w:style w:type="paragraph" w:customStyle="1" w:styleId="27">
    <w:name w:val="最 中间标题"/>
    <w:basedOn w:val="1"/>
    <w:link w:val="29"/>
    <w:qFormat/>
    <w:uiPriority w:val="0"/>
    <w:pPr>
      <w:spacing w:before="100" w:beforeLines="100" w:after="100" w:afterLines="100"/>
      <w:jc w:val="center"/>
    </w:pPr>
    <w:rPr>
      <w:rFonts w:cs="Times New Roman"/>
      <w:b/>
      <w:bCs/>
      <w:sz w:val="30"/>
      <w:szCs w:val="30"/>
    </w:rPr>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最 中间标题 Char"/>
    <w:link w:val="27"/>
    <w:qFormat/>
    <w:uiPriority w:val="0"/>
    <w:rPr>
      <w:rFonts w:ascii="宋体" w:hAnsi="宋体" w:eastAsia="宋体" w:cs="Times New Roman"/>
      <w:b/>
      <w:bCs/>
      <w:kern w:val="0"/>
      <w:sz w:val="30"/>
      <w:szCs w:val="30"/>
    </w:rPr>
  </w:style>
  <w:style w:type="paragraph" w:customStyle="1" w:styleId="30">
    <w:name w:val="表中"/>
    <w:basedOn w:val="1"/>
    <w:qFormat/>
    <w:uiPriority w:val="0"/>
    <w:pPr>
      <w:adjustRightInd w:val="0"/>
      <w:snapToGrid w:val="0"/>
      <w:spacing w:line="420" w:lineRule="atLeast"/>
      <w:jc w:val="center"/>
      <w:textAlignment w:val="baseline"/>
    </w:pPr>
    <w:rPr>
      <w:rFonts w:ascii="Times New Roman" w:hAnsi="Times New Roman" w:cs="Times New Roman"/>
      <w:snapToGrid w:val="0"/>
      <w:szCs w:val="20"/>
    </w:rPr>
  </w:style>
  <w:style w:type="paragraph" w:customStyle="1" w:styleId="31">
    <w:name w:val="Normal_0"/>
    <w:qFormat/>
    <w:uiPriority w:val="0"/>
    <w:rPr>
      <w:rFonts w:ascii="Times New Roman" w:hAnsi="Times New Roman" w:eastAsia="Times New Roman" w:cs="Times New Roman"/>
      <w:sz w:val="24"/>
      <w:szCs w:val="24"/>
      <w:lang w:val="en-US" w:eastAsia="zh-CN" w:bidi="ar-SA"/>
    </w:rPr>
  </w:style>
  <w:style w:type="character" w:customStyle="1" w:styleId="32">
    <w:name w:val="左侧题目 Char"/>
    <w:link w:val="33"/>
    <w:qFormat/>
    <w:uiPriority w:val="0"/>
    <w:rPr>
      <w:rFonts w:ascii="宋体" w:hAnsi="宋体" w:eastAsia="宋体" w:cs="Times New Roman"/>
      <w:b/>
      <w:bCs/>
      <w:kern w:val="0"/>
      <w:sz w:val="28"/>
      <w:szCs w:val="28"/>
    </w:rPr>
  </w:style>
  <w:style w:type="paragraph" w:customStyle="1" w:styleId="33">
    <w:name w:val="左侧题目"/>
    <w:basedOn w:val="1"/>
    <w:link w:val="32"/>
    <w:qFormat/>
    <w:uiPriority w:val="0"/>
    <w:pPr>
      <w:spacing w:before="50" w:beforeLines="50" w:after="50" w:afterLines="50"/>
    </w:pPr>
    <w:rPr>
      <w:rFonts w:cs="Times New Roman"/>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393</Words>
  <Characters>2244</Characters>
  <Lines>18</Lines>
  <Paragraphs>5</Paragraphs>
  <TotalTime>8</TotalTime>
  <ScaleCrop>false</ScaleCrop>
  <LinksUpToDate>false</LinksUpToDate>
  <CharactersWithSpaces>2632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2023-03-15T17:39:00Z</dcterms:created>
  <dc:creator>　</dc:creator>
  <cp:lastModifiedBy>admin</cp:lastModifiedBy>
  <dcterms:modified xsi:type="dcterms:W3CDTF">2024-04-15T10:42:00Z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BF7D7BB650BC45F1AF0BFDEACB4C9D5E_13</vt:lpwstr>
  </property>
</Properties>
</file>