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adjustRightInd/>
        <w:snapToGrid/>
        <w:spacing w:before="300" w:line="400" w:lineRule="exact"/>
        <w:ind w:right="503"/>
        <w:jc w:val="center"/>
        <w:textAlignment w:val="auto"/>
        <w:outlineLvl w:val="6"/>
        <w:rPr>
          <w:rFonts w:hint="default" w:asciiTheme="minorEastAsia" w:hAnsiTheme="minorEastAsia" w:eastAsiaTheme="minorEastAsia"/>
          <w:b/>
          <w:color w:val="auto"/>
          <w:sz w:val="24"/>
          <w:szCs w:val="28"/>
          <w:highlight w:val="none"/>
          <w:lang w:val="en-US" w:eastAsia="zh-CN"/>
        </w:rPr>
      </w:pPr>
      <w:r>
        <w:rPr>
          <w:rFonts w:hint="eastAsia" w:asciiTheme="minorEastAsia" w:hAnsiTheme="minorEastAsia" w:eastAsiaTheme="minorEastAsia"/>
          <w:b/>
          <w:color w:val="auto"/>
          <w:sz w:val="32"/>
          <w:szCs w:val="32"/>
          <w:highlight w:val="none"/>
          <w:lang w:val="en-US" w:eastAsia="zh-CN"/>
        </w:rPr>
        <w:t>宁夏公路管理中心银川分中心2023年公路养护工程施工监理（第二批）服务项目（二次）关键内容</w:t>
      </w:r>
    </w:p>
    <w:p>
      <w:pPr>
        <w:keepNext w:val="0"/>
        <w:keepLines w:val="0"/>
        <w:pageBreakBefore w:val="0"/>
        <w:widowControl w:val="0"/>
        <w:numPr>
          <w:ilvl w:val="0"/>
          <w:numId w:val="0"/>
        </w:numPr>
        <w:tabs>
          <w:tab w:val="left" w:pos="1194"/>
          <w:tab w:val="left" w:pos="1197"/>
        </w:tabs>
        <w:kinsoku/>
        <w:wordWrap/>
        <w:overflowPunct/>
        <w:topLinePunct w:val="0"/>
        <w:autoSpaceDE w:val="0"/>
        <w:autoSpaceDN w:val="0"/>
        <w:bidi w:val="0"/>
        <w:adjustRightInd/>
        <w:snapToGrid/>
        <w:spacing w:line="400" w:lineRule="exact"/>
        <w:ind w:right="0" w:rightChars="0" w:firstLine="422" w:firstLineChars="200"/>
        <w:textAlignment w:val="auto"/>
        <w:rPr>
          <w:rFonts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szCs w:val="22"/>
          <w:lang w:val="en-US" w:eastAsia="zh-CN" w:bidi="ar-SA"/>
        </w:rPr>
        <w:t>一.</w:t>
      </w:r>
      <w:r>
        <w:rPr>
          <w:rFonts w:asciiTheme="minorEastAsia" w:hAnsiTheme="minorEastAsia" w:eastAsiaTheme="minorEastAsia"/>
          <w:b/>
          <w:color w:val="auto"/>
          <w:sz w:val="21"/>
          <w:highlight w:val="none"/>
        </w:rPr>
        <w:t>项目概况与招标范围</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right="0" w:rightChars="0"/>
        <w:jc w:val="left"/>
        <w:textAlignment w:val="auto"/>
        <w:rPr>
          <w:rFonts w:hint="default"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1.1项目概况</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G110线K1268+420～K1282+600（银巴路口至永宁县闽宁镇北）段计14.18km路面提升改造工程，位于银川市西夏区，路段全长14.18公里，现状为二级公路，设计速度80km/h，路基宽度18.0m，路面宽度17.5m。本项目主要针对重度车辙病害路段，铣刨原旧路上下面层后，对旧路基层病害处治后加铺4cmHMAC-13型高模量沥青混凝土上面层+8cmAC-25C改性沥青厂拌热再生（RAP料外掺率30%）下面层；针对轻度病害路段，铣刨原旧路上面层后对旧路下面层病害处治后加铺4cmHMAC-13型高模量沥青混凝土面层；针对平交口路段，铣刨旧路上下面层后加铺4cmHMAC-13型高模量沥青混凝土上面层+6cmEME-16型高模量沥青混凝土下面层。同时完善交通安全设施。</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cs="宋体" w:asciiTheme="minorEastAsia" w:hAnsiTheme="minorEastAsia" w:eastAsiaTheme="minorEastAsia"/>
          <w:color w:val="auto"/>
          <w:kern w:val="0"/>
          <w:sz w:val="21"/>
          <w:szCs w:val="22"/>
          <w:highlight w:val="none"/>
          <w:lang w:val="en-US" w:eastAsia="zh-CN" w:bidi="ar-SA"/>
        </w:rPr>
      </w:pPr>
      <w:r>
        <w:rPr>
          <w:rFonts w:hint="eastAsia" w:cs="宋体" w:asciiTheme="minorEastAsia" w:hAnsiTheme="minorEastAsia" w:eastAsiaTheme="minorEastAsia"/>
          <w:color w:val="auto"/>
          <w:kern w:val="0"/>
          <w:sz w:val="21"/>
          <w:szCs w:val="22"/>
          <w:highlight w:val="none"/>
          <w:lang w:val="en-US" w:eastAsia="zh-CN" w:bidi="ar-SA"/>
        </w:rPr>
        <w:t>G344线路面修复养护及公路安全设施精细化提升工程，位于灵武市，路段全长5.093公里，现状为一级公路，设计速度80km/h，K2222+000-K2226+215段路基宽度34米，路面宽度27.5米；K2226+215</w:t>
      </w:r>
      <w:r>
        <w:rPr>
          <w:rFonts w:hint="eastAsia" w:ascii="微软雅黑" w:hAnsi="微软雅黑" w:eastAsia="微软雅黑" w:cs="微软雅黑"/>
          <w:color w:val="auto"/>
          <w:kern w:val="0"/>
          <w:sz w:val="21"/>
          <w:szCs w:val="22"/>
          <w:highlight w:val="none"/>
          <w:lang w:val="en-US" w:eastAsia="zh-CN" w:bidi="ar-SA"/>
        </w:rPr>
        <w:t>～</w:t>
      </w:r>
      <w:r>
        <w:rPr>
          <w:rFonts w:hint="eastAsia" w:cs="宋体" w:asciiTheme="minorEastAsia" w:hAnsiTheme="minorEastAsia" w:eastAsiaTheme="minorEastAsia"/>
          <w:color w:val="auto"/>
          <w:kern w:val="0"/>
          <w:sz w:val="21"/>
          <w:szCs w:val="22"/>
          <w:highlight w:val="none"/>
          <w:lang w:val="en-US" w:eastAsia="zh-CN" w:bidi="ar-SA"/>
        </w:rPr>
        <w:t>K2227+093路基宽度32.5米，路面宽度31米，部分路段为城镇过境段。本项目主要是铣刨旧路上面层后对下承层病害进行处置，重铺4cmAC-13C细粒式SBS改性沥青混凝土。同时修复沿线排水设施，对安全设施进行精细化提升。</w:t>
      </w:r>
    </w:p>
    <w:p>
      <w:pPr>
        <w:keepNext w:val="0"/>
        <w:keepLines w:val="0"/>
        <w:pageBreakBefore w:val="0"/>
        <w:widowControl w:val="0"/>
        <w:numPr>
          <w:ilvl w:val="0"/>
          <w:numId w:val="0"/>
        </w:numPr>
        <w:tabs>
          <w:tab w:val="left" w:pos="1248"/>
        </w:tabs>
        <w:kinsoku/>
        <w:wordWrap/>
        <w:overflowPunct/>
        <w:topLinePunct w:val="0"/>
        <w:autoSpaceDE w:val="0"/>
        <w:autoSpaceDN w:val="0"/>
        <w:bidi w:val="0"/>
        <w:adjustRightInd/>
        <w:snapToGrid/>
        <w:spacing w:line="400" w:lineRule="exact"/>
        <w:ind w:right="0" w:firstLine="420" w:firstLineChars="200"/>
        <w:jc w:val="both"/>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val="en-US" w:eastAsia="zh-CN"/>
        </w:rPr>
        <w:t>1.2</w:t>
      </w:r>
      <w:r>
        <w:rPr>
          <w:rFonts w:asciiTheme="minorEastAsia" w:hAnsiTheme="minorEastAsia" w:eastAsiaTheme="minorEastAsia"/>
          <w:color w:val="auto"/>
          <w:sz w:val="21"/>
          <w:highlight w:val="none"/>
        </w:rPr>
        <w:t>招标范围及标段划分</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outlineLvl w:val="6"/>
        <w:rPr>
          <w:rFonts w:hint="eastAsia" w:asciiTheme="minorEastAsia" w:hAnsiTheme="minorEastAsia" w:eastAsiaTheme="minorEastAsia"/>
          <w:color w:val="auto"/>
          <w:sz w:val="21"/>
          <w:highlight w:val="none"/>
          <w:lang w:val="en-US" w:eastAsia="zh-CN"/>
        </w:rPr>
      </w:pPr>
      <w:r>
        <w:rPr>
          <w:rFonts w:hint="eastAsia" w:asciiTheme="minorEastAsia" w:hAnsiTheme="minorEastAsia" w:eastAsiaTheme="minorEastAsia"/>
          <w:color w:val="auto"/>
          <w:sz w:val="21"/>
          <w:highlight w:val="none"/>
        </w:rPr>
        <w:t>本次招标范围为</w:t>
      </w:r>
      <w:r>
        <w:rPr>
          <w:rFonts w:hint="eastAsia" w:asciiTheme="minorEastAsia" w:hAnsiTheme="minorEastAsia" w:eastAsiaTheme="minorEastAsia"/>
          <w:color w:val="auto"/>
          <w:sz w:val="21"/>
          <w:highlight w:val="none"/>
          <w:lang w:val="en-US" w:eastAsia="zh-CN"/>
        </w:rPr>
        <w:t>宁夏公路管理中心银川分中心2023年公路养护工程施工监理（第二批）服务项</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outlineLvl w:val="6"/>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val="en-US" w:eastAsia="zh-CN"/>
        </w:rPr>
        <w:t>目（二次）</w:t>
      </w:r>
      <w:r>
        <w:rPr>
          <w:rFonts w:hint="eastAsia" w:asciiTheme="minorEastAsia" w:hAnsiTheme="minorEastAsia" w:eastAsiaTheme="minorEastAsia"/>
          <w:color w:val="auto"/>
          <w:sz w:val="21"/>
          <w:highlight w:val="none"/>
        </w:rPr>
        <w:t>。共划分为</w:t>
      </w:r>
      <w:r>
        <w:rPr>
          <w:rFonts w:hint="eastAsia" w:asciiTheme="minorEastAsia" w:hAnsiTheme="minorEastAsia" w:eastAsiaTheme="minorEastAsia"/>
          <w:color w:val="auto"/>
          <w:sz w:val="21"/>
          <w:highlight w:val="none"/>
          <w:lang w:val="en-US" w:eastAsia="zh-CN"/>
        </w:rPr>
        <w:t>1</w:t>
      </w:r>
      <w:r>
        <w:rPr>
          <w:rFonts w:hint="eastAsia" w:asciiTheme="minorEastAsia" w:hAnsiTheme="minorEastAsia" w:eastAsiaTheme="minorEastAsia"/>
          <w:color w:val="auto"/>
          <w:sz w:val="21"/>
          <w:highlight w:val="none"/>
        </w:rPr>
        <w:t>个标段</w:t>
      </w: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rPr>
        <w:t>详见下表</w:t>
      </w:r>
      <w:r>
        <w:rPr>
          <w:rFonts w:asciiTheme="minorEastAsia" w:hAnsiTheme="minorEastAsia" w:eastAsiaTheme="minorEastAsia"/>
          <w:color w:val="auto"/>
          <w:sz w:val="21"/>
          <w:highlight w:val="none"/>
        </w:rPr>
        <w:t>：</w:t>
      </w:r>
    </w:p>
    <w:tbl>
      <w:tblPr>
        <w:tblStyle w:val="11"/>
        <w:tblW w:w="9231" w:type="dxa"/>
        <w:tblInd w:w="3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8"/>
        <w:gridCol w:w="2511"/>
        <w:gridCol w:w="57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58" w:type="dxa"/>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标段号</w:t>
            </w:r>
          </w:p>
        </w:tc>
        <w:tc>
          <w:tcPr>
            <w:tcW w:w="2511" w:type="dxa"/>
            <w:tcBorders>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对应施工工程</w:t>
            </w:r>
          </w:p>
        </w:tc>
        <w:tc>
          <w:tcPr>
            <w:tcW w:w="5762" w:type="dxa"/>
            <w:tcBorders>
              <w:left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工作内容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958"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center"/>
              <w:textAlignment w:val="auto"/>
              <w:rPr>
                <w:rFonts w:asciiTheme="minorEastAsia" w:hAnsiTheme="minorEastAsia" w:eastAsiaTheme="minorEastAsia"/>
                <w:color w:val="auto"/>
                <w:sz w:val="16"/>
                <w:highlight w:val="none"/>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一标段</w:t>
            </w:r>
          </w:p>
        </w:tc>
        <w:tc>
          <w:tcPr>
            <w:tcW w:w="25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center"/>
              <w:textAlignment w:val="auto"/>
              <w:rPr>
                <w:rFonts w:hint="default" w:cs="宋体" w:asciiTheme="minorEastAsia" w:hAnsiTheme="minorEastAsia" w:eastAsiaTheme="minorEastAsia"/>
                <w:color w:val="auto"/>
                <w:sz w:val="21"/>
                <w:highlight w:val="none"/>
                <w:lang w:val="en-US" w:eastAsia="zh-CN"/>
              </w:rPr>
            </w:pPr>
            <w:r>
              <w:rPr>
                <w:rFonts w:hint="eastAsia" w:cs="宋体" w:asciiTheme="minorEastAsia" w:hAnsiTheme="minorEastAsia" w:eastAsiaTheme="minorEastAsia"/>
                <w:color w:val="auto"/>
                <w:sz w:val="21"/>
                <w:highlight w:val="none"/>
              </w:rPr>
              <w:t>施工监理</w:t>
            </w:r>
            <w:r>
              <w:rPr>
                <w:rFonts w:hint="eastAsia" w:cs="宋体" w:asciiTheme="minorEastAsia" w:hAnsiTheme="minorEastAsia" w:eastAsiaTheme="minorEastAsia"/>
                <w:color w:val="auto"/>
                <w:sz w:val="21"/>
                <w:highlight w:val="none"/>
                <w:lang w:val="en-US" w:eastAsia="zh-CN"/>
              </w:rPr>
              <w:t>（第二批）</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（含试验检测）</w:t>
            </w:r>
          </w:p>
        </w:tc>
        <w:tc>
          <w:tcPr>
            <w:tcW w:w="5762" w:type="dxa"/>
            <w:tcBorders>
              <w:top w:val="single" w:color="000000" w:sz="2" w:space="0"/>
              <w:left w:val="single" w:color="000000" w:sz="2" w:space="0"/>
              <w:bottom w:val="single" w:color="000000" w:sz="2"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420" w:firstLineChars="200"/>
              <w:jc w:val="left"/>
              <w:textAlignment w:val="auto"/>
              <w:rPr>
                <w:rFonts w:hint="eastAsia" w:asciiTheme="minorEastAsia" w:hAnsiTheme="minorEastAsia" w:eastAsiaTheme="minorEastAsia"/>
                <w:color w:val="auto"/>
                <w:sz w:val="21"/>
                <w:highlight w:val="none"/>
                <w:lang w:val="en-US" w:eastAsia="zh-CN"/>
              </w:rPr>
            </w:pPr>
            <w:r>
              <w:rPr>
                <w:rFonts w:hint="eastAsia" w:cs="宋体" w:asciiTheme="minorEastAsia" w:hAnsiTheme="minorEastAsia" w:eastAsiaTheme="minorEastAsia"/>
                <w:color w:val="auto"/>
                <w:kern w:val="0"/>
                <w:sz w:val="21"/>
                <w:szCs w:val="22"/>
                <w:highlight w:val="none"/>
                <w:lang w:val="en-US" w:eastAsia="zh-CN" w:bidi="ar-SA"/>
              </w:rPr>
              <w:t>为银川分中心2023年G110线K1268+420～K1282+600（银巴路口至永宁县闽宁镇北）段计14.18km路面提升改造工程、G344线路面修复养护及公路安全设施精细化提升工程提供施工监理服务，包括施工阶段和缺陷责任期阶段监理。</w:t>
            </w:r>
          </w:p>
        </w:tc>
      </w:tr>
    </w:tbl>
    <w:p>
      <w:pPr>
        <w:keepNext w:val="0"/>
        <w:keepLines w:val="0"/>
        <w:pageBreakBefore w:val="0"/>
        <w:widowControl w:val="0"/>
        <w:numPr>
          <w:ilvl w:val="0"/>
          <w:numId w:val="0"/>
        </w:numPr>
        <w:tabs>
          <w:tab w:val="left" w:pos="1248"/>
        </w:tabs>
        <w:kinsoku/>
        <w:wordWrap/>
        <w:overflowPunct/>
        <w:topLinePunct w:val="0"/>
        <w:autoSpaceDE w:val="0"/>
        <w:autoSpaceDN w:val="0"/>
        <w:bidi w:val="0"/>
        <w:adjustRightInd/>
        <w:snapToGrid/>
        <w:spacing w:line="400" w:lineRule="exact"/>
        <w:ind w:right="0" w:rightChars="0" w:firstLine="420" w:firstLineChars="200"/>
        <w:textAlignment w:val="auto"/>
        <w:rPr>
          <w:rFonts w:asciiTheme="minorEastAsia" w:hAnsiTheme="minorEastAsia" w:eastAsiaTheme="minorEastAsia"/>
          <w:color w:val="auto"/>
          <w:sz w:val="21"/>
          <w:highlight w:val="none"/>
        </w:rPr>
      </w:pPr>
      <w:r>
        <w:rPr>
          <w:rFonts w:hint="eastAsia" w:cs="宋体" w:asciiTheme="minorEastAsia" w:hAnsiTheme="minorEastAsia" w:eastAsiaTheme="minorEastAsia"/>
          <w:color w:val="000000" w:themeColor="text1"/>
          <w:kern w:val="0"/>
          <w:sz w:val="21"/>
          <w:szCs w:val="22"/>
          <w:highlight w:val="none"/>
          <w:lang w:val="en-US" w:eastAsia="zh-CN" w:bidi="ar-SA"/>
          <w14:textFill>
            <w14:solidFill>
              <w14:schemeClr w14:val="tx1"/>
            </w14:solidFill>
          </w14:textFill>
        </w:rPr>
        <w:t>1.3工程服务周期：</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420"/>
        <w:textAlignment w:val="auto"/>
        <w:rPr>
          <w:rFonts w:asciiTheme="minorEastAsia" w:hAnsiTheme="minorEastAsia" w:eastAsiaTheme="minorEastAsia"/>
          <w:color w:val="0000FF"/>
          <w:sz w:val="21"/>
          <w:highlight w:val="none"/>
        </w:rPr>
      </w:pPr>
      <w:r>
        <w:rPr>
          <w:rFonts w:hint="eastAsia" w:asciiTheme="minorEastAsia" w:hAnsiTheme="minorEastAsia" w:eastAsiaTheme="minorEastAsia"/>
          <w:color w:val="auto"/>
          <w:sz w:val="21"/>
          <w:highlight w:val="none"/>
          <w:lang w:val="en-US" w:eastAsia="zh-CN"/>
        </w:rPr>
        <w:t>一标段：</w:t>
      </w:r>
      <w:r>
        <w:rPr>
          <w:rFonts w:asciiTheme="minorEastAsia" w:hAnsiTheme="minorEastAsia" w:eastAsiaTheme="minorEastAsia"/>
          <w:color w:val="auto"/>
          <w:sz w:val="21"/>
          <w:highlight w:val="none"/>
        </w:rPr>
        <w:t>施工准备阶段监理服务期：7日历天以内；施工阶段监理服务期：同施工工期；</w:t>
      </w:r>
      <w:r>
        <w:rPr>
          <w:rFonts w:hint="eastAsia" w:asciiTheme="minorEastAsia" w:hAnsiTheme="minorEastAsia" w:eastAsiaTheme="minorEastAsia"/>
          <w:color w:val="auto"/>
          <w:sz w:val="21"/>
          <w:highlight w:val="none"/>
          <w:lang w:val="en-US" w:eastAsia="zh-CN"/>
        </w:rPr>
        <w:t>交工验收与缺陷</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firstLine="420"/>
        <w:textAlignment w:val="auto"/>
        <w:rPr>
          <w:rFonts w:hint="eastAsia"/>
          <w:color w:val="auto"/>
          <w:sz w:val="21"/>
          <w:highlight w:val="none"/>
          <w:lang w:val="en-US" w:eastAsia="zh-CN"/>
        </w:rPr>
      </w:pPr>
      <w:r>
        <w:rPr>
          <w:rFonts w:hint="eastAsia"/>
          <w:color w:val="auto"/>
          <w:sz w:val="21"/>
          <w:highlight w:val="none"/>
          <w:lang w:val="en-US" w:eastAsia="zh-CN"/>
        </w:rPr>
        <w:t>1.4评标办法：综合评估法 (双信封)</w:t>
      </w:r>
    </w:p>
    <w:p>
      <w:pPr>
        <w:widowControl/>
        <w:spacing w:line="360" w:lineRule="auto"/>
        <w:ind w:firstLine="420" w:firstLineChars="200"/>
        <w:rPr>
          <w:rFonts w:hint="eastAsia"/>
          <w:b/>
          <w:bCs/>
          <w:sz w:val="24"/>
          <w:szCs w:val="24"/>
          <w:lang w:val="en-US" w:eastAsia="zh-CN"/>
        </w:rPr>
      </w:pPr>
      <w:r>
        <w:rPr>
          <w:rFonts w:hint="eastAsia"/>
          <w:color w:val="auto"/>
          <w:sz w:val="21"/>
          <w:highlight w:val="none"/>
          <w:lang w:val="en-US" w:eastAsia="zh-CN"/>
        </w:rPr>
        <w:t>1.5 资格审查办法：资格后审</w:t>
      </w:r>
    </w:p>
    <w:p>
      <w:pPr>
        <w:widowControl/>
        <w:spacing w:line="360" w:lineRule="auto"/>
        <w:rPr>
          <w:rFonts w:hint="eastAsia"/>
          <w:b/>
          <w:bCs/>
          <w:sz w:val="24"/>
          <w:szCs w:val="24"/>
          <w:lang w:val="en-US" w:eastAsia="zh-CN"/>
        </w:rPr>
      </w:pPr>
      <w:r>
        <w:rPr>
          <w:rFonts w:hint="eastAsia"/>
          <w:b/>
          <w:bCs/>
          <w:sz w:val="24"/>
          <w:szCs w:val="24"/>
          <w:lang w:val="en-US" w:eastAsia="zh-CN"/>
        </w:rPr>
        <w:t xml:space="preserve">二、对投标人的全部资格条件要求 </w:t>
      </w:r>
    </w:p>
    <w:p>
      <w:pPr>
        <w:autoSpaceDE/>
        <w:autoSpaceDN/>
        <w:spacing w:line="360" w:lineRule="auto"/>
        <w:ind w:firstLine="420" w:firstLineChars="200"/>
        <w:jc w:val="left"/>
        <w:rPr>
          <w:rFonts w:hint="eastAsia"/>
          <w:b/>
          <w:bCs/>
          <w:sz w:val="21"/>
          <w:szCs w:val="21"/>
          <w:lang w:val="en-US" w:eastAsia="zh-CN"/>
        </w:rPr>
      </w:pPr>
      <w:r>
        <w:rPr>
          <w:rFonts w:hint="eastAsia"/>
          <w:sz w:val="21"/>
          <w:szCs w:val="21"/>
          <w:lang w:val="en-US" w:eastAsia="zh-CN"/>
        </w:rPr>
        <w:t xml:space="preserve">详见招标公告。 </w:t>
      </w:r>
    </w:p>
    <w:p>
      <w:pPr>
        <w:widowControl/>
        <w:numPr>
          <w:ilvl w:val="0"/>
          <w:numId w:val="2"/>
        </w:numPr>
        <w:spacing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招标人联系方式</w:t>
      </w:r>
    </w:p>
    <w:p>
      <w:pPr>
        <w:pStyle w:val="2"/>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招</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标</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人：宁夏公路管理中心银川分中心</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址：银川市兴庆区青银高速公路银川东收费站北侧大楼</w:t>
      </w:r>
    </w:p>
    <w:p>
      <w:pPr>
        <w:pStyle w:val="2"/>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邮政编码：751300</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联</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系</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人：刘先生</w:t>
      </w:r>
    </w:p>
    <w:p>
      <w:pPr>
        <w:pStyle w:val="2"/>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电</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话：095</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6153780</w:t>
      </w:r>
    </w:p>
    <w:p>
      <w:pPr>
        <w:spacing w:line="360" w:lineRule="auto"/>
        <w:ind w:firstLine="420" w:firstLineChars="200"/>
        <w:rPr>
          <w:rFonts w:hint="eastAsia"/>
          <w:sz w:val="21"/>
          <w:szCs w:val="21"/>
          <w:lang w:val="en-US" w:eastAsia="zh-CN"/>
        </w:rPr>
      </w:pPr>
      <w:r>
        <w:rPr>
          <w:rFonts w:hint="eastAsia"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真：/</w:t>
      </w:r>
    </w:p>
    <w:p>
      <w:pPr>
        <w:keepNext w:val="0"/>
        <w:keepLines w:val="0"/>
        <w:widowControl/>
        <w:suppressLineNumbers w:val="0"/>
        <w:spacing w:line="360" w:lineRule="auto"/>
        <w:jc w:val="left"/>
      </w:pPr>
      <w:r>
        <w:rPr>
          <w:rFonts w:hint="eastAsia" w:ascii="宋体" w:hAnsi="宋体" w:eastAsia="宋体" w:cs="宋体"/>
          <w:b/>
          <w:bCs/>
          <w:color w:val="000000"/>
          <w:kern w:val="0"/>
          <w:sz w:val="28"/>
          <w:szCs w:val="28"/>
          <w:lang w:val="en-US" w:eastAsia="zh-CN" w:bidi="ar"/>
        </w:rPr>
        <w:t>四、资格审查办法</w:t>
      </w:r>
    </w:p>
    <w:p>
      <w:pPr>
        <w:pStyle w:val="12"/>
        <w:spacing w:before="62"/>
        <w:ind w:right="36"/>
        <w:jc w:val="center"/>
        <w:rPr>
          <w:rFonts w:asciiTheme="minorEastAsia" w:hAnsiTheme="minorEastAsia" w:eastAsiaTheme="minorEastAsia"/>
          <w:b/>
          <w:bCs/>
          <w:color w:val="auto"/>
          <w:highlight w:val="none"/>
          <w:vertAlign w:val="baseline"/>
        </w:rPr>
      </w:pPr>
      <w:r>
        <w:rPr>
          <w:rFonts w:hint="eastAsia" w:asciiTheme="minorEastAsia" w:hAnsiTheme="minorEastAsia" w:eastAsiaTheme="minorEastAsia"/>
          <w:b/>
          <w:bCs/>
          <w:color w:val="auto"/>
          <w:spacing w:val="-23"/>
          <w:highlight w:val="none"/>
        </w:rPr>
        <w:t>附录</w:t>
      </w:r>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lang w:val="en-US" w:eastAsia="zh-CN"/>
        </w:rPr>
        <w:t xml:space="preserve">  </w:t>
      </w:r>
      <w:r>
        <w:rPr>
          <w:rFonts w:hint="eastAsia" w:asciiTheme="minorEastAsia" w:hAnsiTheme="minorEastAsia" w:eastAsiaTheme="minorEastAsia"/>
          <w:b/>
          <w:bCs/>
          <w:color w:val="auto"/>
          <w:spacing w:val="19"/>
          <w:highlight w:val="none"/>
        </w:rPr>
        <w:t>资格审查条件</w:t>
      </w:r>
      <w:r>
        <w:rPr>
          <w:rFonts w:hint="eastAsia" w:asciiTheme="minorEastAsia" w:hAnsiTheme="minorEastAsia" w:eastAsiaTheme="minorEastAsia"/>
          <w:b/>
          <w:bCs/>
          <w:color w:val="auto"/>
          <w:highlight w:val="none"/>
        </w:rPr>
        <w:t>（资质最低要求）</w:t>
      </w:r>
    </w:p>
    <w:tbl>
      <w:tblPr>
        <w:tblStyle w:val="9"/>
        <w:tblW w:w="990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909" w:type="dxa"/>
            <w:vAlign w:val="center"/>
          </w:tcPr>
          <w:p>
            <w:pPr>
              <w:ind w:left="1222" w:right="805"/>
              <w:jc w:val="center"/>
              <w:rPr>
                <w:rFonts w:asciiTheme="minorEastAsia" w:hAnsiTheme="minorEastAsia" w:eastAsiaTheme="minorEastAsia"/>
                <w:b/>
                <w:bCs/>
                <w:color w:val="auto"/>
                <w:highlight w:val="none"/>
                <w:vertAlign w:val="baseline"/>
              </w:rPr>
            </w:pPr>
            <w:r>
              <w:rPr>
                <w:rFonts w:hint="eastAsia" w:ascii="宋体" w:hAnsi="宋体" w:eastAsia="宋体" w:cs="宋体"/>
                <w:color w:val="auto"/>
                <w:sz w:val="21"/>
                <w:szCs w:val="22"/>
                <w:highlight w:val="none"/>
                <w:lang w:val="en-US" w:eastAsia="zh-CN" w:bidi="ar-SA"/>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1.投标人具有法人或其他组织资格；持有工商行政管理部门核发的有效企业营业执照或事业单位法人证书或社会团体法人登记证书，具备公路工程乙级及以上级别监理资质证</w:t>
            </w:r>
            <w:r>
              <w:rPr>
                <w:rFonts w:hint="eastAsia" w:cs="宋体"/>
                <w:color w:val="auto"/>
                <w:sz w:val="21"/>
                <w:highlight w:val="none"/>
                <w:lang w:val="en-US" w:eastAsia="zh-CN"/>
              </w:rPr>
              <w:t>书</w:t>
            </w:r>
            <w:r>
              <w:rPr>
                <w:rFonts w:hint="eastAsia" w:ascii="宋体" w:hAnsi="宋体" w:eastAsia="宋体" w:cs="宋体"/>
                <w:color w:val="auto"/>
                <w:sz w:val="21"/>
                <w:highlight w:val="none"/>
              </w:rPr>
              <w:t>且在有效期内，并在人员、设备、资金等方面具有相应的监理能力；</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asciiTheme="minorEastAsia" w:hAnsiTheme="minorEastAsia" w:eastAsiaTheme="minorEastAsia"/>
                <w:b/>
                <w:bCs/>
                <w:color w:val="auto"/>
                <w:highlight w:val="none"/>
                <w:vertAlign w:val="baseline"/>
              </w:rPr>
            </w:pPr>
            <w:r>
              <w:rPr>
                <w:rFonts w:hint="eastAsia" w:ascii="宋体" w:hAnsi="宋体" w:eastAsia="宋体" w:cs="宋体"/>
                <w:color w:val="auto"/>
                <w:sz w:val="21"/>
                <w:highlight w:val="none"/>
              </w:rPr>
              <w:t>2.投标人应进入交通运输部“全国公路建设市场信用信息管理系统”中的公路工程施工监理资质企业名录，且投标人名称和资质与该名录中的相应企业名称和资质完全一致。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修正投标人须知正文3.5.1</w:t>
            </w:r>
            <w:r>
              <w:rPr>
                <w:rFonts w:hint="eastAsia" w:ascii="宋体" w:hAnsi="宋体" w:eastAsia="宋体" w:cs="宋体"/>
                <w:color w:val="auto"/>
                <w:sz w:val="21"/>
                <w:highlight w:val="none"/>
                <w:lang w:eastAsia="zh-CN"/>
              </w:rPr>
              <w:t>项</w:t>
            </w:r>
            <w:r>
              <w:rPr>
                <w:rFonts w:hint="eastAsia" w:ascii="宋体" w:hAnsi="宋体" w:eastAsia="宋体" w:cs="宋体"/>
                <w:color w:val="auto"/>
                <w:sz w:val="21"/>
                <w:highlight w:val="none"/>
              </w:rPr>
              <w:t>为：</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投标人基本情况表”应附营业执照副本或事业单位法人证书或社会团体法人登记证书、监理资质证书副本、基本账户开户银行提供的开户或账户信息证明的彩色扫描件，投标人在交通运输部“全国公路建设市场信用信息管理系统”公路工程施工监理资质企业名录中的网页截图。</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企业营业执照副本或事业单位法人证书或社会团体法人登记证书、监理资质证书副本、基本账户开户银行提供的开户或账户信息证明的彩色扫描件应提供全本（证书封面、封底、空白页除外），应包括投标人名称、投标人其他相关信息、颁发机构名称、投标人信息变更情况等关键页在内。</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rFonts w:asciiTheme="minorEastAsia" w:hAnsiTheme="minorEastAsia" w:eastAsiaTheme="minorEastAsia"/>
                <w:b/>
                <w:bCs/>
                <w:color w:val="auto"/>
                <w:highlight w:val="none"/>
                <w:vertAlign w:val="baseline"/>
              </w:rPr>
            </w:pPr>
            <w:r>
              <w:rPr>
                <w:rFonts w:hint="eastAsia" w:asciiTheme="minorEastAsia" w:hAnsiTheme="minorEastAsia" w:eastAsiaTheme="minorEastAsia"/>
                <w:b/>
                <w:bCs/>
                <w:color w:val="auto"/>
                <w:sz w:val="21"/>
                <w:highlight w:val="none"/>
                <w:lang w:eastAsia="zh-CN"/>
              </w:rPr>
              <w:t>（</w:t>
            </w:r>
            <w:r>
              <w:rPr>
                <w:rFonts w:hint="eastAsia" w:asciiTheme="minorEastAsia" w:hAnsiTheme="minorEastAsia" w:eastAsiaTheme="minorEastAsia"/>
                <w:b/>
                <w:bCs/>
                <w:color w:val="auto"/>
                <w:sz w:val="21"/>
                <w:highlight w:val="none"/>
                <w:lang w:val="en-US" w:eastAsia="zh-CN"/>
              </w:rPr>
              <w:t>4</w:t>
            </w:r>
            <w:r>
              <w:rPr>
                <w:rFonts w:hint="eastAsia" w:asciiTheme="minorEastAsia" w:hAnsiTheme="minorEastAsia" w:eastAsiaTheme="minorEastAsia"/>
                <w:b/>
                <w:bCs/>
                <w:color w:val="auto"/>
                <w:sz w:val="21"/>
                <w:highlight w:val="none"/>
                <w:lang w:eastAsia="zh-CN"/>
              </w:rPr>
              <w:t>）招标文件其他地方与此处不一致时，以此处为准。</w:t>
            </w:r>
          </w:p>
        </w:tc>
      </w:tr>
    </w:tbl>
    <w:p>
      <w:pPr>
        <w:pStyle w:val="12"/>
        <w:spacing w:before="62"/>
        <w:ind w:right="36"/>
        <w:jc w:val="center"/>
        <w:rPr>
          <w:rFonts w:asciiTheme="minorEastAsia" w:hAnsiTheme="minorEastAsia" w:eastAsiaTheme="minorEastAsia"/>
          <w:b/>
          <w:bCs/>
          <w:color w:val="auto"/>
          <w:highlight w:val="none"/>
        </w:rPr>
      </w:pPr>
    </w:p>
    <w:p>
      <w:pPr>
        <w:pStyle w:val="5"/>
        <w:spacing w:before="2"/>
        <w:rPr>
          <w:rFonts w:hint="eastAsia" w:ascii="宋体" w:hAnsi="宋体" w:eastAsia="宋体" w:cs="宋体"/>
          <w:color w:val="auto"/>
          <w:sz w:val="24"/>
          <w:highlight w:val="none"/>
        </w:rPr>
      </w:pPr>
    </w:p>
    <w:p>
      <w:pPr>
        <w:spacing w:line="321" w:lineRule="exact"/>
        <w:ind w:left="20"/>
        <w:jc w:val="center"/>
        <w:rPr>
          <w:b/>
          <w:bCs/>
          <w:color w:val="auto"/>
          <w:sz w:val="28"/>
          <w:highlight w:val="none"/>
        </w:rPr>
      </w:pPr>
      <w:r>
        <w:rPr>
          <w:b/>
          <w:bCs/>
          <w:color w:val="auto"/>
          <w:spacing w:val="-22"/>
          <w:sz w:val="28"/>
          <w:highlight w:val="none"/>
        </w:rPr>
        <w:t>附录</w:t>
      </w:r>
      <w:r>
        <w:rPr>
          <w:b/>
          <w:bCs/>
          <w:color w:val="auto"/>
          <w:sz w:val="28"/>
          <w:highlight w:val="none"/>
        </w:rPr>
        <w:t>2</w:t>
      </w:r>
      <w:r>
        <w:rPr>
          <w:rFonts w:hint="eastAsia"/>
          <w:b/>
          <w:bCs/>
          <w:color w:val="auto"/>
          <w:sz w:val="28"/>
          <w:highlight w:val="none"/>
          <w:lang w:val="en-US" w:eastAsia="zh-CN"/>
        </w:rPr>
        <w:t xml:space="preserve">  </w:t>
      </w:r>
      <w:r>
        <w:rPr>
          <w:b/>
          <w:bCs/>
          <w:color w:val="auto"/>
          <w:sz w:val="28"/>
          <w:highlight w:val="none"/>
        </w:rPr>
        <w:t>资格审查条件（业绩最低要求）</w:t>
      </w:r>
    </w:p>
    <w:tbl>
      <w:tblPr>
        <w:tblStyle w:val="9"/>
        <w:tblW w:w="990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909" w:type="dxa"/>
            <w:vAlign w:val="center"/>
          </w:tcPr>
          <w:p>
            <w:pPr>
              <w:spacing w:before="70"/>
              <w:ind w:left="1222" w:right="805"/>
              <w:jc w:val="center"/>
              <w:rPr>
                <w:rFonts w:asciiTheme="minorEastAsia" w:hAnsiTheme="minorEastAsia" w:eastAsiaTheme="minorEastAsia"/>
                <w:b/>
                <w:bCs/>
                <w:color w:val="auto"/>
                <w:highlight w:val="none"/>
                <w:vertAlign w:val="baseline"/>
              </w:rPr>
            </w:pPr>
            <w:r>
              <w:rPr>
                <w:rFonts w:hint="eastAsia" w:asciiTheme="minorEastAsia" w:hAnsiTheme="minorEastAsia" w:eastAsiaTheme="minorEastAsia"/>
                <w:color w:val="auto"/>
                <w:spacing w:val="-1"/>
                <w:sz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909" w:type="dxa"/>
            <w:vAlign w:val="center"/>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asciiTheme="minorEastAsia" w:hAnsiTheme="minorEastAsia" w:eastAsiaTheme="minorEastAsia"/>
                <w:b/>
                <w:bCs/>
                <w:color w:val="auto"/>
                <w:highlight w:val="none"/>
                <w:vertAlign w:val="baseline"/>
              </w:rPr>
            </w:pPr>
            <w:r>
              <w:rPr>
                <w:rFonts w:hint="eastAsia" w:ascii="宋体" w:hAnsi="宋体" w:eastAsia="宋体" w:cs="宋体"/>
                <w:color w:val="auto"/>
                <w:sz w:val="21"/>
                <w:highlight w:val="none"/>
              </w:rPr>
              <w:t>投标人至少完成过1个一级及以上等级公路工程（新建或改扩建或养护工程）的施工监理业绩。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注：修正投标人须知正文3.5.</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项为</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投标人应按资格审查资料（三）近年完成的类似项目情况表填写所提供的业绩，且提供的每个业绩均应填写，在填写完（三）近年完成的类似项目情况表后按要求附相关证明材料；</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“近年完成的类似项目”应是已列入交通运输主管部门“公路建设市场信用信息管理系统”并公开的业绩，项目状态显示为已交（竣）工，否则不予认可。</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“近年完成的类似项目情况表”后应附在交通运输部“全国公路建设市场信用信息管理系统”</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中查询到的</w:t>
            </w:r>
            <w:r>
              <w:rPr>
                <w:rFonts w:hint="eastAsia" w:cs="宋体"/>
                <w:color w:val="auto"/>
                <w:sz w:val="21"/>
                <w:highlight w:val="none"/>
                <w:lang w:val="en-US" w:eastAsia="zh-CN"/>
              </w:rPr>
              <w:t>项目所在</w:t>
            </w:r>
            <w:r>
              <w:rPr>
                <w:rFonts w:hint="eastAsia" w:ascii="宋体" w:hAnsi="宋体" w:eastAsia="宋体" w:cs="宋体"/>
                <w:color w:val="auto"/>
                <w:sz w:val="21"/>
                <w:highlight w:val="none"/>
              </w:rPr>
              <w:t>“业绩信息”相关项目网页截图。在交通运输部“全国公路建设市场信用信息管理系统”中无法查询的，但可在</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省级交通运输主管部门“公路建设市场信用信息管理系统”中查询的，应附</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到的网页截图并注明查询路径。除网页截图外，投标人无须再提供任何业绩证明资料。若投标人未提供相关项目网页截图，或相关项目网页截图中的信息无法证实投标人满足招标文件规定的业绩最低要求（如交工时间、规模、公路等级、项目类型、金额等），则该项目业绩不予认定。</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等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监理招标文件》(2018年版)。</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（5）提供的业绩为分包业绩视为不满足招标的业绩要求，这样的业绩在资格审查中不予认可。</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（6）施工监理业绩时间认定以交工验收日期为准。</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8" w:firstLineChars="66"/>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（7）如近年来，投标人法人机构发生合法变更或重组或法人名称变更时，应提供相关部门的合法批件或其他相关证明材料来证明其所附业绩的继承性。</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left="0" w:leftChars="0" w:right="0" w:firstLine="139" w:firstLineChars="66"/>
              <w:jc w:val="both"/>
              <w:textAlignment w:val="auto"/>
              <w:rPr>
                <w:rFonts w:asciiTheme="minorEastAsia" w:hAnsiTheme="minorEastAsia" w:eastAsiaTheme="minorEastAsia"/>
                <w:b/>
                <w:bCs/>
                <w:color w:val="auto"/>
                <w:highlight w:val="none"/>
                <w:vertAlign w:val="baseline"/>
              </w:rPr>
            </w:pPr>
            <w:r>
              <w:rPr>
                <w:rFonts w:hint="eastAsia" w:ascii="宋体" w:hAnsi="宋体" w:eastAsia="宋体" w:cs="宋体"/>
                <w:b/>
                <w:bCs/>
                <w:color w:val="auto"/>
                <w:sz w:val="21"/>
                <w:highlight w:val="none"/>
                <w:lang w:val="en-US" w:eastAsia="zh-CN"/>
              </w:rPr>
              <w:t>（8）招标文件中其他地方与此处不一致时，以此处为准。</w:t>
            </w:r>
          </w:p>
        </w:tc>
      </w:tr>
    </w:tbl>
    <w:p>
      <w:pPr>
        <w:pStyle w:val="5"/>
        <w:rPr>
          <w:rFonts w:asciiTheme="minorEastAsia" w:hAnsiTheme="minorEastAsia" w:eastAsiaTheme="minorEastAsia"/>
          <w:color w:val="auto"/>
          <w:sz w:val="20"/>
          <w:highlight w:val="none"/>
        </w:rPr>
      </w:pPr>
    </w:p>
    <w:p>
      <w:pPr>
        <w:pStyle w:val="5"/>
        <w:rPr>
          <w:rFonts w:asciiTheme="minorEastAsia" w:hAnsiTheme="minorEastAsia" w:eastAsiaTheme="minorEastAsia"/>
          <w:color w:val="auto"/>
          <w:sz w:val="20"/>
          <w:highlight w:val="none"/>
        </w:rPr>
      </w:pPr>
    </w:p>
    <w:p>
      <w:pPr>
        <w:spacing w:line="321" w:lineRule="exact"/>
        <w:jc w:val="both"/>
        <w:rPr>
          <w:rFonts w:hint="eastAsia"/>
          <w:b/>
          <w:bCs/>
          <w:color w:val="auto"/>
          <w:sz w:val="28"/>
          <w:highlight w:val="none"/>
          <w:lang w:eastAsia="zh-CN"/>
        </w:rPr>
      </w:pPr>
    </w:p>
    <w:p>
      <w:pPr>
        <w:spacing w:line="321" w:lineRule="exact"/>
        <w:jc w:val="both"/>
        <w:rPr>
          <w:rFonts w:hint="eastAsia"/>
          <w:b/>
          <w:bCs/>
          <w:color w:val="auto"/>
          <w:sz w:val="28"/>
          <w:highlight w:val="none"/>
          <w:lang w:eastAsia="zh-CN"/>
        </w:rPr>
      </w:pPr>
    </w:p>
    <w:p>
      <w:pPr>
        <w:spacing w:line="321" w:lineRule="exact"/>
        <w:jc w:val="center"/>
        <w:rPr>
          <w:color w:val="auto"/>
          <w:sz w:val="28"/>
          <w:highlight w:val="none"/>
        </w:rPr>
      </w:pPr>
      <w:r>
        <w:rPr>
          <w:rFonts w:hint="eastAsia"/>
          <w:b/>
          <w:bCs/>
          <w:color w:val="auto"/>
          <w:sz w:val="28"/>
          <w:highlight w:val="none"/>
          <w:lang w:eastAsia="zh-CN"/>
        </w:rPr>
        <w:t>附录</w:t>
      </w:r>
      <w:r>
        <w:rPr>
          <w:rFonts w:hint="eastAsia"/>
          <w:b/>
          <w:bCs/>
          <w:color w:val="auto"/>
          <w:sz w:val="28"/>
          <w:highlight w:val="none"/>
          <w:lang w:val="en-US" w:eastAsia="zh-CN"/>
        </w:rPr>
        <w:t xml:space="preserve">3  </w:t>
      </w:r>
      <w:r>
        <w:rPr>
          <w:b/>
          <w:bCs/>
          <w:color w:val="auto"/>
          <w:sz w:val="28"/>
          <w:highlight w:val="none"/>
        </w:rPr>
        <w:t>资格审查条件（信誉最低要求）</w:t>
      </w:r>
    </w:p>
    <w:p>
      <w:pPr>
        <w:pStyle w:val="5"/>
        <w:rPr>
          <w:rFonts w:asciiTheme="minorEastAsia" w:hAnsiTheme="minorEastAsia" w:eastAsiaTheme="minorEastAsia"/>
          <w:color w:val="auto"/>
          <w:sz w:val="20"/>
          <w:highlight w:val="none"/>
        </w:rPr>
      </w:pPr>
    </w:p>
    <w:tbl>
      <w:tblPr>
        <w:tblStyle w:val="9"/>
        <w:tblW w:w="990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909" w:type="dxa"/>
            <w:vAlign w:val="center"/>
          </w:tcPr>
          <w:p>
            <w:pPr>
              <w:spacing w:before="70"/>
              <w:ind w:left="270" w:right="304"/>
              <w:jc w:val="center"/>
              <w:rPr>
                <w:rFonts w:asciiTheme="minorEastAsia" w:hAnsiTheme="minorEastAsia" w:eastAsiaTheme="minorEastAsia"/>
                <w:b/>
                <w:bCs/>
                <w:color w:val="auto"/>
                <w:highlight w:val="none"/>
                <w:vertAlign w:val="baseline"/>
              </w:rPr>
            </w:pPr>
            <w:r>
              <w:rPr>
                <w:rFonts w:hint="eastAsia" w:asciiTheme="minorEastAsia" w:hAnsiTheme="minorEastAsia" w:eastAsiaTheme="minorEastAsia"/>
                <w:color w:val="auto"/>
                <w:spacing w:val="-1"/>
                <w:sz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（1）未被省级及以上交通运输主管部门取消招标项目所在地的投标资格且处于有效期内；</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（2）未被责令停业，暂扣或吊销执照，或吊销资质证书；</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（3）未进入清算程序，或被宣告破产，或其他丧失履约能力的情形；</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（4）在国家企业信用信息公示系统（http://www.gsxt.gov.cn/）中未被列入严重违法失信企业名单；</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（5） 在 “ 信 用 中 国 ” 网 站 （http://www.creditchina.gov.cn） 和 “ 信 用 宁 夏 ” 网 站（http://credit.nx.gov.cn/）中未被列入失信被执行人、企业经营异常名录、重大税收违法案件当事人名单；</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（6）在“中国执行信息公开网”网站未被列入失信被执行人名单</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（7）未以他人名义投标、串通投标的情形且正处于处罚期内；</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（8）投标人及其法定代表人、拟委任的</w:t>
            </w:r>
            <w:r>
              <w:rPr>
                <w:rFonts w:hint="eastAsia" w:asciiTheme="minorEastAsia" w:hAnsiTheme="minorEastAsia" w:eastAsiaTheme="minorEastAsia"/>
                <w:color w:val="auto"/>
                <w:sz w:val="21"/>
                <w:highlight w:val="none"/>
                <w:lang w:val="en-US" w:eastAsia="zh-CN"/>
              </w:rPr>
              <w:t>总监理工程师</w:t>
            </w:r>
            <w:r>
              <w:rPr>
                <w:rFonts w:hint="eastAsia" w:asciiTheme="minorEastAsia" w:hAnsiTheme="minorEastAsia" w:eastAsiaTheme="minorEastAsia"/>
                <w:color w:val="auto"/>
                <w:sz w:val="21"/>
                <w:highlight w:val="none"/>
              </w:rPr>
              <w:t>2020年</w:t>
            </w:r>
            <w:r>
              <w:rPr>
                <w:rFonts w:hint="eastAsia" w:asciiTheme="minorEastAsia" w:hAnsiTheme="minorEastAsia" w:eastAsiaTheme="minorEastAsia"/>
                <w:color w:val="auto"/>
                <w:sz w:val="21"/>
                <w:highlight w:val="none"/>
                <w:lang w:val="en-US" w:eastAsia="zh-CN"/>
              </w:rPr>
              <w:t>6</w:t>
            </w:r>
            <w:r>
              <w:rPr>
                <w:rFonts w:hint="eastAsia" w:asciiTheme="minorEastAsia" w:hAnsiTheme="minorEastAsia" w:eastAsiaTheme="minorEastAsia"/>
                <w:color w:val="auto"/>
                <w:sz w:val="21"/>
                <w:highlight w:val="none"/>
              </w:rPr>
              <w:t>月</w:t>
            </w:r>
            <w:r>
              <w:rPr>
                <w:rFonts w:hint="eastAsia" w:asciiTheme="minorEastAsia" w:hAnsiTheme="minorEastAsia" w:eastAsiaTheme="minorEastAsia"/>
                <w:color w:val="auto"/>
                <w:sz w:val="21"/>
                <w:highlight w:val="none"/>
                <w:lang w:val="en-US" w:eastAsia="zh-CN"/>
              </w:rPr>
              <w:t>28</w:t>
            </w:r>
            <w:r>
              <w:rPr>
                <w:rFonts w:hint="eastAsia" w:asciiTheme="minorEastAsia" w:hAnsiTheme="minorEastAsia" w:eastAsiaTheme="minorEastAsia"/>
                <w:color w:val="auto"/>
                <w:sz w:val="21"/>
                <w:highlight w:val="none"/>
              </w:rPr>
              <w:t>日以来没有行贿犯罪行为的承诺函；</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0" w:lineRule="auto"/>
              <w:ind w:right="0" w:firstLine="420" w:firstLineChars="200"/>
              <w:jc w:val="both"/>
              <w:textAlignment w:val="auto"/>
              <w:rPr>
                <w:rFonts w:asciiTheme="minorEastAsia" w:hAnsiTheme="minorEastAsia" w:eastAsiaTheme="minorEastAsia"/>
                <w:b/>
                <w:bCs/>
                <w:color w:val="auto"/>
                <w:highlight w:val="none"/>
                <w:vertAlign w:val="baseline"/>
              </w:rPr>
            </w:pPr>
            <w:r>
              <w:rPr>
                <w:rFonts w:hint="eastAsia" w:asciiTheme="minorEastAsia" w:hAnsiTheme="minorEastAsia" w:eastAsiaTheme="minorEastAsia"/>
                <w:color w:val="auto"/>
                <w:sz w:val="21"/>
                <w:highlight w:val="none"/>
              </w:rPr>
              <w:t>（9）法律法规或投标人须知前附表规定的其他情形。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9" w:type="dxa"/>
          </w:tcPr>
          <w:p>
            <w:pPr>
              <w:pStyle w:val="13"/>
              <w:tabs>
                <w:tab w:val="left" w:pos="743"/>
              </w:tabs>
              <w:spacing w:line="364" w:lineRule="auto"/>
              <w:ind w:left="295" w:leftChars="134" w:right="88" w:firstLine="138" w:firstLineChars="6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注：</w:t>
            </w:r>
          </w:p>
          <w:p>
            <w:pPr>
              <w:pStyle w:val="13"/>
              <w:tabs>
                <w:tab w:val="left" w:pos="743"/>
              </w:tabs>
              <w:spacing w:line="364" w:lineRule="auto"/>
              <w:ind w:left="295" w:leftChars="134" w:right="88" w:firstLine="138" w:firstLineChars="6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 以上信誉要求为合并投标人须知正文第1.4.4项及第3.5.3 项的内容，投标人提供“投标人信誉情况表”时，按照以上内容及投标文件要求进行提供证明资料.</w:t>
            </w:r>
          </w:p>
          <w:p>
            <w:pPr>
              <w:pStyle w:val="13"/>
              <w:tabs>
                <w:tab w:val="left" w:pos="743"/>
              </w:tabs>
              <w:spacing w:line="364" w:lineRule="auto"/>
              <w:ind w:left="295" w:leftChars="134" w:right="88" w:firstLine="139" w:firstLineChars="66"/>
              <w:jc w:val="both"/>
              <w:rPr>
                <w:rFonts w:asciiTheme="minorEastAsia" w:hAnsiTheme="minorEastAsia" w:eastAsiaTheme="minorEastAsia"/>
                <w:b/>
                <w:bCs/>
                <w:color w:val="auto"/>
                <w:highlight w:val="none"/>
                <w:vertAlign w:val="baseline"/>
              </w:rPr>
            </w:pPr>
            <w:r>
              <w:rPr>
                <w:rFonts w:hint="eastAsia" w:ascii="宋体" w:hAnsi="宋体" w:eastAsia="宋体" w:cs="宋体"/>
                <w:b/>
                <w:bCs/>
                <w:color w:val="auto"/>
                <w:sz w:val="21"/>
                <w:highlight w:val="none"/>
              </w:rPr>
              <w:t>招标文件中其他地方与此处不一致时，以此处为准</w:t>
            </w:r>
            <w:r>
              <w:rPr>
                <w:rFonts w:hint="eastAsia" w:asciiTheme="minorEastAsia" w:hAnsiTheme="minorEastAsia" w:eastAsiaTheme="minorEastAsia"/>
                <w:b/>
                <w:bCs/>
                <w:color w:val="auto"/>
                <w:sz w:val="21"/>
                <w:highlight w:val="none"/>
              </w:rPr>
              <w:t>。</w:t>
            </w:r>
          </w:p>
        </w:tc>
      </w:tr>
    </w:tbl>
    <w:p>
      <w:pPr>
        <w:pStyle w:val="5"/>
        <w:spacing w:before="12"/>
        <w:rPr>
          <w:rFonts w:asciiTheme="minorEastAsia" w:hAnsiTheme="minorEastAsia" w:eastAsiaTheme="minorEastAsia"/>
          <w:color w:val="auto"/>
          <w:sz w:val="23"/>
          <w:highlight w:val="none"/>
        </w:rPr>
      </w:pPr>
    </w:p>
    <w:p>
      <w:pPr>
        <w:pStyle w:val="5"/>
        <w:rPr>
          <w:rFonts w:asciiTheme="minorEastAsia" w:hAnsiTheme="minorEastAsia" w:eastAsiaTheme="minorEastAsia"/>
          <w:color w:val="auto"/>
          <w:sz w:val="20"/>
          <w:highlight w:val="none"/>
        </w:rPr>
      </w:pPr>
    </w:p>
    <w:p>
      <w:pPr>
        <w:pStyle w:val="5"/>
        <w:rPr>
          <w:rFonts w:asciiTheme="minorEastAsia" w:hAnsiTheme="minorEastAsia" w:eastAsiaTheme="minorEastAsia"/>
          <w:color w:val="auto"/>
          <w:sz w:val="28"/>
          <w:highlight w:val="none"/>
        </w:rPr>
      </w:pPr>
    </w:p>
    <w:p>
      <w:pPr>
        <w:rPr>
          <w:rFonts w:asciiTheme="minorEastAsia" w:hAnsiTheme="minorEastAsia" w:eastAsiaTheme="minorEastAsia"/>
          <w:color w:val="auto"/>
          <w:sz w:val="28"/>
          <w:highlight w:val="none"/>
        </w:rPr>
        <w:sectPr>
          <w:headerReference r:id="rId3" w:type="default"/>
          <w:footerReference r:id="rId4" w:type="default"/>
          <w:pgSz w:w="11910" w:h="16850"/>
          <w:pgMar w:top="1900" w:right="880" w:bottom="1060" w:left="980" w:header="1632" w:footer="872" w:gutter="0"/>
          <w:cols w:space="720" w:num="1"/>
        </w:sectPr>
      </w:pPr>
    </w:p>
    <w:p>
      <w:pPr>
        <w:pStyle w:val="5"/>
        <w:spacing w:before="2" w:after="1"/>
        <w:jc w:val="center"/>
        <w:rPr>
          <w:rFonts w:asciiTheme="minorEastAsia" w:hAnsiTheme="minorEastAsia" w:eastAsiaTheme="minorEastAsia"/>
          <w:color w:val="auto"/>
          <w:sz w:val="29"/>
          <w:highlight w:val="none"/>
        </w:rPr>
      </w:pPr>
      <w:r>
        <w:rPr>
          <w:rFonts w:hint="eastAsia" w:asciiTheme="minorEastAsia" w:hAnsiTheme="minorEastAsia" w:eastAsiaTheme="minorEastAsia"/>
          <w:b/>
          <w:bCs/>
          <w:color w:val="auto"/>
          <w:sz w:val="29"/>
          <w:highlight w:val="none"/>
          <w:lang w:eastAsia="zh-CN"/>
        </w:rPr>
        <w:t>附录</w:t>
      </w:r>
      <w:r>
        <w:rPr>
          <w:rFonts w:hint="eastAsia" w:asciiTheme="minorEastAsia" w:hAnsiTheme="minorEastAsia" w:eastAsiaTheme="minorEastAsia"/>
          <w:b/>
          <w:bCs/>
          <w:color w:val="auto"/>
          <w:sz w:val="29"/>
          <w:highlight w:val="none"/>
          <w:lang w:val="en-US" w:eastAsia="zh-CN"/>
        </w:rPr>
        <w:t xml:space="preserve">4  </w:t>
      </w:r>
      <w:r>
        <w:rPr>
          <w:rFonts w:hint="eastAsia" w:asciiTheme="minorEastAsia" w:hAnsiTheme="minorEastAsia" w:eastAsiaTheme="minorEastAsia"/>
          <w:b/>
          <w:bCs/>
          <w:color w:val="auto"/>
          <w:sz w:val="29"/>
          <w:highlight w:val="none"/>
        </w:rPr>
        <w:t>资格审查条件（总监理工程师或驻地监理工程师最低要求）</w:t>
      </w:r>
    </w:p>
    <w:tbl>
      <w:tblPr>
        <w:tblStyle w:val="11"/>
        <w:tblW w:w="9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735"/>
        <w:gridCol w:w="6302"/>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984" w:type="dxa"/>
          </w:tcPr>
          <w:p>
            <w:pPr>
              <w:pStyle w:val="13"/>
              <w:spacing w:before="12"/>
              <w:rPr>
                <w:rFonts w:asciiTheme="minorEastAsia" w:hAnsiTheme="minorEastAsia" w:eastAsiaTheme="minorEastAsia"/>
                <w:color w:val="auto"/>
                <w:sz w:val="20"/>
                <w:highlight w:val="none"/>
              </w:rPr>
            </w:pPr>
          </w:p>
          <w:p>
            <w:pPr>
              <w:pStyle w:val="13"/>
              <w:ind w:left="179"/>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35"/>
                <w:sz w:val="21"/>
                <w:highlight w:val="none"/>
              </w:rPr>
              <w:t>人员</w:t>
            </w:r>
          </w:p>
        </w:tc>
        <w:tc>
          <w:tcPr>
            <w:tcW w:w="735" w:type="dxa"/>
          </w:tcPr>
          <w:p>
            <w:pPr>
              <w:pStyle w:val="13"/>
              <w:spacing w:before="12"/>
              <w:rPr>
                <w:rFonts w:asciiTheme="minorEastAsia" w:hAnsiTheme="minorEastAsia" w:eastAsiaTheme="minorEastAsia"/>
                <w:color w:val="auto"/>
                <w:sz w:val="20"/>
                <w:highlight w:val="none"/>
              </w:rPr>
            </w:pPr>
          </w:p>
          <w:p>
            <w:pPr>
              <w:pStyle w:val="13"/>
              <w:ind w:left="225" w:right="21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数量</w:t>
            </w:r>
          </w:p>
        </w:tc>
        <w:tc>
          <w:tcPr>
            <w:tcW w:w="6302" w:type="dxa"/>
          </w:tcPr>
          <w:p>
            <w:pPr>
              <w:pStyle w:val="13"/>
              <w:spacing w:before="12"/>
              <w:rPr>
                <w:rFonts w:asciiTheme="minorEastAsia" w:hAnsiTheme="minorEastAsia" w:eastAsiaTheme="minorEastAsia"/>
                <w:color w:val="auto"/>
                <w:sz w:val="20"/>
                <w:highlight w:val="none"/>
              </w:rPr>
            </w:pPr>
          </w:p>
          <w:p>
            <w:pPr>
              <w:pStyle w:val="13"/>
              <w:ind w:left="2467" w:right="245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1"/>
                <w:sz w:val="21"/>
                <w:highlight w:val="none"/>
              </w:rPr>
              <w:t>资格要求</w:t>
            </w:r>
          </w:p>
        </w:tc>
        <w:tc>
          <w:tcPr>
            <w:tcW w:w="1217" w:type="dxa"/>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0"/>
                <w:highlight w:val="none"/>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在岗要求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84" w:type="dxa"/>
            <w:vAlign w:val="center"/>
          </w:tcPr>
          <w:p>
            <w:pPr>
              <w:pStyle w:val="13"/>
              <w:tabs>
                <w:tab w:val="left" w:pos="743"/>
              </w:tabs>
              <w:spacing w:line="364" w:lineRule="auto"/>
              <w:ind w:right="8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总监理工程师</w:t>
            </w:r>
          </w:p>
        </w:tc>
        <w:tc>
          <w:tcPr>
            <w:tcW w:w="735" w:type="dxa"/>
            <w:vAlign w:val="center"/>
          </w:tcPr>
          <w:p>
            <w:pPr>
              <w:pStyle w:val="13"/>
              <w:tabs>
                <w:tab w:val="left" w:pos="743"/>
              </w:tabs>
              <w:spacing w:line="364" w:lineRule="auto"/>
              <w:ind w:right="8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6302" w:type="dxa"/>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left="0" w:leftChars="0"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具有公路工程相关专业中级及以上技术职称，并持有交通运输部颁发的监理工程师证书或道路与桥梁专业监理工程师证书（持有其他专业监理工程师证书的不予认可）</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人社部颁发的交通运输工程监理工程师证书；至少担任过1个一级及以上等级公路工程（新建或改扩建或养护工程）施工监理的总监理工程师（或驻地监理工程师）职务；或至少担任过2个一级及以上等级公路工程（新建或改扩建或养护工程）施工监理的副总监理工程师（或总监代表）职务，目前未在其他项目上任职，或虽在其他项目上任职但本项目中标后能够从该项目撤离。</w:t>
            </w:r>
          </w:p>
        </w:tc>
        <w:tc>
          <w:tcPr>
            <w:tcW w:w="1217"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80" w:lineRule="auto"/>
              <w:ind w:left="0" w:right="0"/>
              <w:jc w:val="both"/>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12"/>
                <w:sz w:val="21"/>
                <w:highlight w:val="none"/>
              </w:rPr>
              <w:t>无在岗</w:t>
            </w:r>
            <w:r>
              <w:rPr>
                <w:rFonts w:hint="eastAsia" w:asciiTheme="minorEastAsia" w:hAnsiTheme="minorEastAsia" w:eastAsiaTheme="minorEastAsia"/>
                <w:color w:val="auto"/>
                <w:sz w:val="21"/>
                <w:highlight w:val="none"/>
              </w:rPr>
              <w:t>项目（指目前未在其他项目上任职，或虽在其他项目</w:t>
            </w:r>
            <w:r>
              <w:rPr>
                <w:rFonts w:hint="eastAsia" w:asciiTheme="minorEastAsia" w:hAnsiTheme="minorEastAsia" w:eastAsiaTheme="minorEastAsia"/>
                <w:color w:val="auto"/>
                <w:spacing w:val="3"/>
                <w:sz w:val="21"/>
                <w:highlight w:val="none"/>
              </w:rPr>
              <w:t>上任职但本项目中标后能够</w:t>
            </w:r>
            <w:r>
              <w:rPr>
                <w:rFonts w:hint="eastAsia" w:asciiTheme="minorEastAsia" w:hAnsiTheme="minorEastAsia" w:eastAsiaTheme="minorEastAsia"/>
                <w:color w:val="auto"/>
                <w:sz w:val="21"/>
                <w:highlight w:val="none"/>
              </w:rPr>
              <w:t>从该项目撤离）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jc w:val="center"/>
        </w:trPr>
        <w:tc>
          <w:tcPr>
            <w:tcW w:w="9238" w:type="dxa"/>
            <w:gridSpan w:val="4"/>
            <w:vAlign w:val="center"/>
          </w:tcPr>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5" w:lineRule="auto"/>
              <w:ind w:left="0" w:leftChars="0" w:right="0" w:firstLine="138" w:firstLineChars="66"/>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备注：修改补充投标人须知正文第 3.5.4 项：</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5" w:lineRule="auto"/>
              <w:ind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应按投标文件格式资格审查资料（五）拟委任的总监理工程师资历表的格式要求填写总监理工程师的资历。</w:t>
            </w:r>
          </w:p>
          <w:p>
            <w:pPr>
              <w:pStyle w:val="13"/>
              <w:keepNext w:val="0"/>
              <w:keepLines w:val="0"/>
              <w:pageBreakBefore w:val="0"/>
              <w:widowControl w:val="0"/>
              <w:numPr>
                <w:ilvl w:val="0"/>
                <w:numId w:val="0"/>
              </w:numPr>
              <w:tabs>
                <w:tab w:val="left" w:pos="743"/>
              </w:tabs>
              <w:kinsoku/>
              <w:wordWrap/>
              <w:overflowPunct/>
              <w:topLinePunct w:val="0"/>
              <w:autoSpaceDE w:val="0"/>
              <w:autoSpaceDN w:val="0"/>
              <w:bidi w:val="0"/>
              <w:adjustRightInd/>
              <w:snapToGrid/>
              <w:spacing w:line="365" w:lineRule="auto"/>
              <w:ind w:right="0" w:rightChars="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公路工程相关专业职称包括：公路工程、桥梁工程、公路与桥梁工程、交通土建工程、隧道（地下结构）工程、交通工程等专业职称。</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5" w:lineRule="auto"/>
              <w:ind w:right="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“拟委任的总监理工程师资历表”后应附总监理工程师的身份证、职称资格证书以及公路工程监理工程师证书彩色扫描件，以及投标人所属社保机构出具的202</w:t>
            </w:r>
            <w:r>
              <w:rPr>
                <w:rFonts w:hint="eastAsia" w:cs="宋体"/>
                <w:color w:val="auto"/>
                <w:sz w:val="21"/>
                <w:highlight w:val="none"/>
                <w:lang w:val="en-US" w:eastAsia="zh-CN"/>
              </w:rPr>
              <w:t>3</w:t>
            </w:r>
            <w:r>
              <w:rPr>
                <w:rFonts w:hint="eastAsia" w:ascii="宋体" w:hAnsi="宋体" w:eastAsia="宋体" w:cs="宋体"/>
                <w:color w:val="auto"/>
                <w:sz w:val="21"/>
                <w:highlight w:val="none"/>
              </w:rPr>
              <w:t>年</w:t>
            </w:r>
            <w:r>
              <w:rPr>
                <w:rFonts w:hint="eastAsia" w:cs="宋体"/>
                <w:color w:val="auto"/>
                <w:sz w:val="21"/>
                <w:highlight w:val="none"/>
                <w:lang w:val="en-US" w:eastAsia="zh-CN"/>
              </w:rPr>
              <w:t>1</w:t>
            </w:r>
            <w:r>
              <w:rPr>
                <w:rFonts w:hint="eastAsia" w:ascii="宋体" w:hAnsi="宋体" w:eastAsia="宋体" w:cs="宋体"/>
                <w:color w:val="auto"/>
                <w:sz w:val="21"/>
                <w:highlight w:val="none"/>
              </w:rPr>
              <w:t>月以来连续某3个月社保缴费证明或其他能够证明参加社保的有效证明材料的彩色扫描件</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否则资格审查不予通过</w:t>
            </w:r>
            <w:r>
              <w:rPr>
                <w:rFonts w:hint="eastAsia" w:ascii="宋体" w:hAnsi="宋体" w:eastAsia="宋体" w:cs="宋体"/>
                <w:color w:val="auto"/>
                <w:sz w:val="21"/>
                <w:highlight w:val="none"/>
                <w:lang w:eastAsia="zh-CN"/>
              </w:rPr>
              <w:t>。</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拟委任的总监理工程师资历表”还应附交通运输部“全国公路建设市场信用信息管理系统”中载明的、能够证明总监理工程师具有相关业绩的网页截图。在交通运输部“全国公路建设市场信用信息管理系统”中无法查询，但可在</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省级交通运输主管部门“公路建设市场信用信息管理系统”中查询的，应附</w:t>
            </w:r>
            <w:r>
              <w:rPr>
                <w:rFonts w:hint="eastAsia" w:cs="宋体"/>
                <w:color w:val="auto"/>
                <w:sz w:val="21"/>
                <w:highlight w:val="none"/>
                <w:lang w:val="en-US" w:eastAsia="zh-CN"/>
              </w:rPr>
              <w:t>项目所在地</w:t>
            </w:r>
            <w:r>
              <w:rPr>
                <w:rFonts w:hint="eastAsia" w:ascii="宋体" w:hAnsi="宋体" w:eastAsia="宋体" w:cs="宋体"/>
                <w:color w:val="auto"/>
                <w:sz w:val="21"/>
                <w:highlight w:val="none"/>
              </w:rPr>
              <w:t>省级交通运输主管部门“公路建设市场信用信息管理系统”中查询到的网页截图。除网页截图外，投标人无须再提供任何业绩证明资料。如投标人未提供相关业绩网页截图或相关业绩网页截图中的信息无法证实投标人满足招标文件规定的资格审查条件（总监理工程师最低要求），则该项目业绩不予认定。</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right="0" w:firstLine="420" w:firstLineChars="200"/>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如总监理工程师目前仍在其他项目上任职，则投标人应提供在岗撤离承诺书（如需、格式自拟）</w:t>
            </w:r>
            <w:r>
              <w:rPr>
                <w:rFonts w:hint="eastAsia" w:ascii="宋体" w:hAnsi="宋体" w:eastAsia="宋体" w:cs="宋体"/>
                <w:color w:val="auto"/>
                <w:sz w:val="21"/>
                <w:highlight w:val="none"/>
                <w:lang w:eastAsia="zh-CN"/>
              </w:rPr>
              <w:t>。如总监理工程师目前仍在其他项目上任职，但不提供在岗撤离承诺书，其资格审查不通过或取消中标资格。</w:t>
            </w:r>
          </w:p>
          <w:p>
            <w:pPr>
              <w:pStyle w:val="13"/>
              <w:keepNext w:val="0"/>
              <w:keepLines w:val="0"/>
              <w:pageBreakBefore w:val="0"/>
              <w:widowControl w:val="0"/>
              <w:tabs>
                <w:tab w:val="left" w:pos="743"/>
              </w:tabs>
              <w:kinsoku/>
              <w:wordWrap/>
              <w:overflowPunct/>
              <w:topLinePunct w:val="0"/>
              <w:autoSpaceDE w:val="0"/>
              <w:autoSpaceDN w:val="0"/>
              <w:bidi w:val="0"/>
              <w:adjustRightInd/>
              <w:snapToGrid/>
              <w:spacing w:line="364" w:lineRule="auto"/>
              <w:ind w:right="0" w:firstLine="42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总监理工程师业绩时间认定以交工验收日期为准。</w:t>
            </w:r>
          </w:p>
          <w:p>
            <w:pPr>
              <w:pStyle w:val="13"/>
              <w:spacing w:line="278" w:lineRule="auto"/>
              <w:ind w:right="157" w:firstLine="422" w:firstLineChars="200"/>
              <w:jc w:val="both"/>
              <w:rPr>
                <w:rFonts w:hint="eastAsia" w:asciiTheme="minorEastAsia" w:hAnsiTheme="minorEastAsia" w:eastAsiaTheme="minorEastAsia"/>
                <w:color w:val="auto"/>
                <w:sz w:val="21"/>
                <w:highlight w:val="none"/>
              </w:rPr>
            </w:pP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lang w:val="en-US" w:eastAsia="zh-CN"/>
              </w:rPr>
              <w:t>7</w:t>
            </w: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rPr>
              <w:t>招标文件中其他地方与此处不一致时，以此处为准。</w:t>
            </w:r>
          </w:p>
        </w:tc>
      </w:tr>
    </w:tbl>
    <w:p>
      <w:pPr>
        <w:pStyle w:val="15"/>
        <w:spacing w:before="68"/>
        <w:ind w:left="0"/>
        <w:jc w:val="center"/>
        <w:rPr>
          <w:rFonts w:hint="eastAsia"/>
          <w:b/>
          <w:bCs/>
          <w:sz w:val="36"/>
          <w:szCs w:val="36"/>
          <w:lang w:val="en-US" w:eastAsia="zh-CN"/>
        </w:rPr>
      </w:pPr>
    </w:p>
    <w:p>
      <w:pPr>
        <w:pStyle w:val="15"/>
        <w:spacing w:before="68"/>
        <w:ind w:left="0"/>
        <w:jc w:val="center"/>
        <w:rPr>
          <w:rFonts w:hint="default"/>
          <w:b/>
          <w:bCs/>
          <w:sz w:val="36"/>
          <w:szCs w:val="36"/>
          <w:lang w:val="en-US" w:eastAsia="zh-CN"/>
        </w:rPr>
      </w:pPr>
    </w:p>
    <w:p>
      <w:pPr>
        <w:pStyle w:val="15"/>
        <w:spacing w:before="68"/>
        <w:ind w:left="0"/>
        <w:jc w:val="center"/>
        <w:rPr>
          <w:rFonts w:hint="default"/>
          <w:b/>
          <w:bCs/>
          <w:sz w:val="36"/>
          <w:szCs w:val="36"/>
          <w:lang w:val="en-US" w:eastAsia="zh-CN"/>
        </w:rPr>
      </w:pPr>
    </w:p>
    <w:p>
      <w:pPr>
        <w:pStyle w:val="15"/>
        <w:numPr>
          <w:ilvl w:val="0"/>
          <w:numId w:val="2"/>
        </w:numPr>
        <w:spacing w:before="68"/>
        <w:ind w:left="0" w:leftChars="0" w:firstLine="0" w:firstLineChars="0"/>
        <w:jc w:val="left"/>
        <w:rPr>
          <w:rFonts w:hint="eastAsia"/>
          <w:b/>
          <w:bCs/>
          <w:sz w:val="36"/>
          <w:szCs w:val="36"/>
          <w:lang w:val="en-US" w:eastAsia="zh-CN"/>
        </w:rPr>
      </w:pPr>
      <w:r>
        <w:rPr>
          <w:rFonts w:hint="eastAsia"/>
          <w:b/>
          <w:bCs/>
          <w:sz w:val="36"/>
          <w:szCs w:val="36"/>
          <w:lang w:val="en-US" w:eastAsia="zh-CN"/>
        </w:rPr>
        <w:t>评标办法全文</w:t>
      </w:r>
    </w:p>
    <w:p>
      <w:pPr>
        <w:pStyle w:val="5"/>
        <w:rPr>
          <w:rFonts w:asciiTheme="minorEastAsia" w:hAnsiTheme="minorEastAsia" w:eastAsiaTheme="minorEastAsia"/>
          <w:color w:val="auto"/>
          <w:sz w:val="20"/>
          <w:highlight w:val="none"/>
        </w:rPr>
      </w:pPr>
    </w:p>
    <w:p>
      <w:pPr>
        <w:pStyle w:val="5"/>
        <w:spacing w:before="9"/>
        <w:rPr>
          <w:rFonts w:asciiTheme="minorEastAsia" w:hAnsiTheme="minorEastAsia" w:eastAsiaTheme="minorEastAsia"/>
          <w:color w:val="auto"/>
          <w:sz w:val="11"/>
          <w:highlight w:val="none"/>
        </w:rPr>
      </w:pPr>
    </w:p>
    <w:tbl>
      <w:tblPr>
        <w:tblStyle w:val="11"/>
        <w:tblW w:w="9782"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2038"/>
        <w:gridCol w:w="6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3190" w:type="dxa"/>
            <w:gridSpan w:val="2"/>
          </w:tcPr>
          <w:p>
            <w:pPr>
              <w:pStyle w:val="13"/>
              <w:spacing w:before="2"/>
              <w:rPr>
                <w:rFonts w:asciiTheme="minorEastAsia" w:hAnsiTheme="minorEastAsia" w:eastAsiaTheme="minorEastAsia"/>
                <w:color w:val="auto"/>
                <w:sz w:val="16"/>
                <w:highlight w:val="none"/>
              </w:rPr>
            </w:pPr>
          </w:p>
          <w:p>
            <w:pPr>
              <w:pStyle w:val="13"/>
              <w:ind w:left="1273" w:right="1267"/>
              <w:jc w:val="center"/>
              <w:rPr>
                <w:rFonts w:asciiTheme="minorEastAsia" w:hAnsiTheme="minorEastAsia" w:eastAsiaTheme="minorEastAsia"/>
                <w:color w:val="auto"/>
                <w:sz w:val="21"/>
                <w:highlight w:val="none"/>
              </w:rPr>
            </w:pPr>
            <w:r>
              <w:rPr>
                <w:rFonts w:asciiTheme="minorEastAsia" w:hAnsiTheme="minorEastAsia" w:eastAsiaTheme="minorEastAsia"/>
                <w:color w:val="auto"/>
                <w:w w:val="95"/>
                <w:sz w:val="21"/>
                <w:highlight w:val="none"/>
              </w:rPr>
              <w:t>条款号</w:t>
            </w:r>
          </w:p>
        </w:tc>
        <w:tc>
          <w:tcPr>
            <w:tcW w:w="6592" w:type="dxa"/>
          </w:tcPr>
          <w:p>
            <w:pPr>
              <w:pStyle w:val="13"/>
              <w:spacing w:before="2"/>
              <w:rPr>
                <w:rFonts w:asciiTheme="minorEastAsia" w:hAnsiTheme="minorEastAsia" w:eastAsiaTheme="minorEastAsia"/>
                <w:color w:val="auto"/>
                <w:sz w:val="16"/>
                <w:highlight w:val="none"/>
              </w:rPr>
            </w:pPr>
          </w:p>
          <w:p>
            <w:pPr>
              <w:pStyle w:val="13"/>
              <w:ind w:left="2377" w:right="2368"/>
              <w:jc w:val="center"/>
              <w:rPr>
                <w:rFonts w:asciiTheme="minorEastAsia" w:hAnsiTheme="minorEastAsia" w:eastAsiaTheme="minorEastAsia"/>
                <w:color w:val="auto"/>
                <w:sz w:val="21"/>
                <w:highlight w:val="none"/>
              </w:rPr>
            </w:pPr>
            <w:r>
              <w:rPr>
                <w:rFonts w:asciiTheme="minorEastAsia" w:hAnsiTheme="minorEastAsia" w:eastAsiaTheme="minorEastAsia"/>
                <w:color w:val="auto"/>
                <w:w w:val="95"/>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3" w:hRule="atLeast"/>
        </w:trPr>
        <w:tc>
          <w:tcPr>
            <w:tcW w:w="1152" w:type="dxa"/>
            <w:tcBorders>
              <w:bottom w:val="single" w:color="auto" w:sz="4" w:space="0"/>
            </w:tcBorders>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15"/>
                <w:highlight w:val="none"/>
              </w:rPr>
            </w:pPr>
          </w:p>
          <w:p>
            <w:pPr>
              <w:pStyle w:val="13"/>
              <w:ind w:left="5"/>
              <w:jc w:val="center"/>
              <w:rPr>
                <w:rFonts w:asciiTheme="minorEastAsia" w:hAnsiTheme="minorEastAsia" w:eastAsiaTheme="minorEastAsia"/>
                <w:color w:val="auto"/>
                <w:sz w:val="21"/>
                <w:highlight w:val="none"/>
              </w:rPr>
            </w:pPr>
            <w:r>
              <w:rPr>
                <w:rFonts w:asciiTheme="minorEastAsia" w:hAnsiTheme="minorEastAsia" w:eastAsiaTheme="minorEastAsia"/>
                <w:color w:val="auto"/>
                <w:w w:val="99"/>
                <w:sz w:val="21"/>
                <w:highlight w:val="none"/>
              </w:rPr>
              <w:t>1</w:t>
            </w:r>
          </w:p>
        </w:tc>
        <w:tc>
          <w:tcPr>
            <w:tcW w:w="2038" w:type="dxa"/>
            <w:tcBorders>
              <w:bottom w:val="single" w:color="auto" w:sz="4" w:space="0"/>
            </w:tcBorders>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15"/>
                <w:highlight w:val="none"/>
              </w:rPr>
            </w:pPr>
          </w:p>
          <w:p>
            <w:pPr>
              <w:pStyle w:val="13"/>
              <w:ind w:left="577" w:right="571"/>
              <w:jc w:val="center"/>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评标方法</w:t>
            </w:r>
          </w:p>
        </w:tc>
        <w:tc>
          <w:tcPr>
            <w:tcW w:w="6592" w:type="dxa"/>
            <w:tcBorders>
              <w:bottom w:val="single" w:color="auto" w:sz="4" w:space="0"/>
            </w:tcBorders>
          </w:tcPr>
          <w:p>
            <w:pPr>
              <w:pStyle w:val="13"/>
              <w:spacing w:before="1"/>
              <w:rPr>
                <w:rFonts w:asciiTheme="minorEastAsia" w:hAnsiTheme="minorEastAsia" w:eastAsiaTheme="minorEastAsia"/>
                <w:color w:val="auto"/>
                <w:sz w:val="25"/>
                <w:highlight w:val="none"/>
              </w:rPr>
            </w:pPr>
          </w:p>
          <w:p>
            <w:pPr>
              <w:pStyle w:val="13"/>
              <w:spacing w:line="360" w:lineRule="auto"/>
              <w:ind w:left="11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综合评分相等时，评标委员会依次按照以下优先顺序推荐中标候选人或确定中标人：</w:t>
            </w:r>
          </w:p>
          <w:p>
            <w:pPr>
              <w:pStyle w:val="13"/>
              <w:spacing w:line="360" w:lineRule="auto"/>
              <w:ind w:left="11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（1）评标价低的投标人优先；</w:t>
            </w:r>
          </w:p>
          <w:p>
            <w:pPr>
              <w:pStyle w:val="13"/>
              <w:spacing w:line="360" w:lineRule="auto"/>
              <w:ind w:left="11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（2）202</w:t>
            </w:r>
            <w:r>
              <w:rPr>
                <w:rFonts w:hint="eastAsia" w:cs="宋体" w:asciiTheme="minorEastAsia" w:hAnsiTheme="minorEastAsia" w:eastAsiaTheme="minorEastAsia"/>
                <w:color w:val="auto"/>
                <w:sz w:val="21"/>
                <w:highlight w:val="none"/>
                <w:lang w:val="en-US" w:eastAsia="zh-CN"/>
              </w:rPr>
              <w:t>2</w:t>
            </w:r>
            <w:r>
              <w:rPr>
                <w:rFonts w:cs="宋体" w:asciiTheme="minorEastAsia" w:hAnsiTheme="minorEastAsia" w:eastAsiaTheme="minorEastAsia"/>
                <w:color w:val="auto"/>
                <w:sz w:val="21"/>
                <w:highlight w:val="none"/>
              </w:rPr>
              <w:t>年度被宁夏交通运输厅评为较高信用等级的投标人优先；以《</w:t>
            </w:r>
            <w:r>
              <w:rPr>
                <w:rFonts w:hint="eastAsia"/>
                <w:b w:val="0"/>
                <w:bCs w:val="0"/>
                <w:color w:val="auto"/>
                <w:sz w:val="21"/>
                <w:highlight w:val="none"/>
              </w:rPr>
              <w:t>自治区交通运输厅关于公布 202</w:t>
            </w:r>
            <w:r>
              <w:rPr>
                <w:rFonts w:hint="eastAsia"/>
                <w:b w:val="0"/>
                <w:bCs w:val="0"/>
                <w:color w:val="auto"/>
                <w:sz w:val="21"/>
                <w:highlight w:val="none"/>
                <w:lang w:val="en-US" w:eastAsia="zh-CN"/>
              </w:rPr>
              <w:t>2</w:t>
            </w:r>
            <w:r>
              <w:rPr>
                <w:rFonts w:hint="eastAsia"/>
                <w:b w:val="0"/>
                <w:bCs w:val="0"/>
                <w:color w:val="auto"/>
                <w:sz w:val="21"/>
                <w:highlight w:val="none"/>
              </w:rPr>
              <w:t xml:space="preserve"> 年度宁夏公路建设</w:t>
            </w:r>
            <w:r>
              <w:rPr>
                <w:rFonts w:hint="eastAsia"/>
                <w:b w:val="0"/>
                <w:bCs w:val="0"/>
                <w:color w:val="auto"/>
                <w:sz w:val="21"/>
                <w:highlight w:val="none"/>
                <w:lang w:val="en-US" w:eastAsia="zh-CN"/>
              </w:rPr>
              <w:t>与养护</w:t>
            </w:r>
            <w:r>
              <w:rPr>
                <w:rFonts w:hint="eastAsia"/>
                <w:b w:val="0"/>
                <w:bCs w:val="0"/>
                <w:color w:val="auto"/>
                <w:sz w:val="21"/>
                <w:highlight w:val="none"/>
              </w:rPr>
              <w:t>市场从业单位</w:t>
            </w:r>
            <w:r>
              <w:rPr>
                <w:rFonts w:hint="eastAsia"/>
                <w:b w:val="0"/>
                <w:bCs w:val="0"/>
                <w:color w:val="auto"/>
                <w:sz w:val="21"/>
                <w:highlight w:val="none"/>
                <w:lang w:val="en-US" w:eastAsia="zh-CN"/>
              </w:rPr>
              <w:t>及人员</w:t>
            </w:r>
            <w:r>
              <w:rPr>
                <w:rFonts w:hint="eastAsia"/>
                <w:b w:val="0"/>
                <w:bCs w:val="0"/>
                <w:color w:val="auto"/>
                <w:sz w:val="21"/>
                <w:highlight w:val="none"/>
              </w:rPr>
              <w:t>信用评价结果的通知</w:t>
            </w:r>
            <w:r>
              <w:rPr>
                <w:rFonts w:cs="宋体" w:asciiTheme="minorEastAsia" w:hAnsiTheme="minorEastAsia" w:eastAsiaTheme="minorEastAsia"/>
                <w:color w:val="auto"/>
                <w:sz w:val="21"/>
                <w:highlight w:val="none"/>
              </w:rPr>
              <w:t>》文件中的信用评价等级（监理企业）为准；</w:t>
            </w:r>
          </w:p>
          <w:p>
            <w:pPr>
              <w:pStyle w:val="13"/>
              <w:spacing w:line="360" w:lineRule="auto"/>
              <w:ind w:left="11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3</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商务和技术得分较高的优先；</w:t>
            </w:r>
          </w:p>
          <w:p>
            <w:pPr>
              <w:pStyle w:val="13"/>
              <w:spacing w:line="360" w:lineRule="auto"/>
              <w:ind w:left="110"/>
              <w:rPr>
                <w:rFonts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4</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商务和技术得分相等时，则由评标委员会根据技术建议书的编制情况投票确定其推荐排序。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52"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2.2.1</w:t>
            </w:r>
          </w:p>
          <w:p>
            <w:pPr>
              <w:pStyle w:val="13"/>
              <w:jc w:val="center"/>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2.1.3</w:t>
            </w:r>
          </w:p>
        </w:tc>
        <w:tc>
          <w:tcPr>
            <w:tcW w:w="2038" w:type="dxa"/>
            <w:tcBorders>
              <w:top w:val="single" w:color="auto" w:sz="4" w:space="0"/>
              <w:left w:val="single" w:color="auto" w:sz="4" w:space="0"/>
              <w:right w:val="single" w:color="auto" w:sz="4" w:space="0"/>
            </w:tcBorders>
            <w:vAlign w:val="center"/>
          </w:tcPr>
          <w:p>
            <w:pPr>
              <w:pStyle w:val="13"/>
              <w:jc w:val="center"/>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形式评审与响应性</w:t>
            </w:r>
          </w:p>
          <w:p>
            <w:pPr>
              <w:pStyle w:val="13"/>
              <w:jc w:val="center"/>
              <w:rPr>
                <w:rFonts w:asciiTheme="minorEastAsia" w:hAnsiTheme="minorEastAsia" w:eastAsiaTheme="minorEastAsia"/>
                <w:color w:val="auto"/>
                <w:sz w:val="20"/>
                <w:highlight w:val="none"/>
              </w:rPr>
            </w:pPr>
            <w:r>
              <w:rPr>
                <w:rFonts w:asciiTheme="minorEastAsia" w:hAnsiTheme="minorEastAsia" w:eastAsiaTheme="minorEastAsia"/>
                <w:color w:val="auto"/>
                <w:sz w:val="21"/>
                <w:highlight w:val="none"/>
              </w:rPr>
              <w:t>评审标准</w:t>
            </w:r>
          </w:p>
        </w:tc>
        <w:tc>
          <w:tcPr>
            <w:tcW w:w="6592" w:type="dxa"/>
            <w:tcBorders>
              <w:top w:val="single" w:color="auto" w:sz="4" w:space="0"/>
              <w:left w:val="single" w:color="auto" w:sz="4" w:space="0"/>
              <w:right w:val="single" w:color="auto" w:sz="4" w:space="0"/>
            </w:tcBorders>
          </w:tcPr>
          <w:p>
            <w:pPr>
              <w:pStyle w:val="13"/>
              <w:spacing w:before="97" w:line="250" w:lineRule="exact"/>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第一个信封（商务及技术文件）评审标准：</w:t>
            </w:r>
          </w:p>
          <w:p>
            <w:pPr>
              <w:pStyle w:val="13"/>
              <w:spacing w:line="360" w:lineRule="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（1）投标文件按照招标文件规定的格式、内容填写，字迹清晰可辨:</w:t>
            </w:r>
          </w:p>
          <w:p>
            <w:pPr>
              <w:pStyle w:val="13"/>
              <w:spacing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a.投标函按招标文件规定填报了项目名称、标段、补遗书编号（如</w:t>
            </w:r>
          </w:p>
          <w:p>
            <w:pPr>
              <w:pStyle w:val="13"/>
              <w:spacing w:before="2"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有）、监理服务期等；</w:t>
            </w:r>
          </w:p>
          <w:p>
            <w:pPr>
              <w:pStyle w:val="13"/>
              <w:spacing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b.投标文件组成完整，内容均按规定填写。</w:t>
            </w:r>
          </w:p>
          <w:p>
            <w:pPr>
              <w:pStyle w:val="13"/>
              <w:spacing w:before="2" w:line="360" w:lineRule="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（2）投标文件上法定代表人或其授权代理人的签字、投标人的单位</w:t>
            </w:r>
          </w:p>
          <w:p>
            <w:pPr>
              <w:pStyle w:val="13"/>
              <w:spacing w:before="2"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章盖章齐全，符合招标文件规定:</w:t>
            </w:r>
          </w:p>
          <w:p>
            <w:pPr>
              <w:pStyle w:val="13"/>
              <w:spacing w:before="2" w:line="360" w:lineRule="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lang w:val="en-US" w:eastAsia="zh-CN"/>
              </w:rPr>
              <w:t>3</w:t>
            </w:r>
            <w:r>
              <w:rPr>
                <w:rFonts w:asciiTheme="minorEastAsia" w:hAnsiTheme="minorEastAsia" w:eastAsiaTheme="minorEastAsia"/>
                <w:color w:val="auto"/>
                <w:sz w:val="21"/>
                <w:highlight w:val="none"/>
              </w:rPr>
              <w:t>）投标人法定代表人授权代理人签署投标文件的，须提交授权委</w:t>
            </w:r>
          </w:p>
          <w:p>
            <w:pPr>
              <w:pStyle w:val="13"/>
              <w:spacing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托书，且授权人和被授权人均在授权委托书上亲笔签名，不得使用印</w:t>
            </w:r>
          </w:p>
          <w:p>
            <w:pPr>
              <w:pStyle w:val="13"/>
              <w:spacing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章、签名章或其他电子制版签名代替:</w:t>
            </w:r>
          </w:p>
          <w:p>
            <w:pPr>
              <w:pStyle w:val="13"/>
              <w:spacing w:before="2" w:line="360" w:lineRule="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lang w:val="en-US" w:eastAsia="zh-CN"/>
              </w:rPr>
              <w:t>4</w:t>
            </w:r>
            <w:r>
              <w:rPr>
                <w:rFonts w:asciiTheme="minorEastAsia" w:hAnsiTheme="minorEastAsia" w:eastAsiaTheme="minorEastAsia"/>
                <w:color w:val="auto"/>
                <w:sz w:val="21"/>
                <w:highlight w:val="none"/>
              </w:rPr>
              <w:t>）投标人法定代表人亲自签署投标文件的，提供法定代表人身份</w:t>
            </w:r>
          </w:p>
          <w:p>
            <w:pPr>
              <w:pStyle w:val="13"/>
              <w:spacing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证明，且法定代表人在法定代表人身份证明上亲笔签名，不得使用印</w:t>
            </w:r>
          </w:p>
          <w:p>
            <w:pPr>
              <w:pStyle w:val="13"/>
              <w:spacing w:before="2" w:line="360" w:lineRule="auto"/>
              <w:ind w:left="11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章、签名章或其他电子制版签名代替:</w:t>
            </w:r>
          </w:p>
          <w:p>
            <w:pPr>
              <w:pStyle w:val="13"/>
              <w:spacing w:line="360" w:lineRule="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lang w:val="en-US" w:eastAsia="zh-CN"/>
              </w:rPr>
              <w:t>5</w:t>
            </w:r>
            <w:r>
              <w:rPr>
                <w:rFonts w:asciiTheme="minorEastAsia" w:hAnsiTheme="minorEastAsia" w:eastAsiaTheme="minorEastAsia"/>
                <w:color w:val="auto"/>
                <w:sz w:val="21"/>
                <w:highlight w:val="none"/>
              </w:rPr>
              <w:t>）投标人未以联合体形式投标:</w:t>
            </w:r>
          </w:p>
          <w:p>
            <w:pPr>
              <w:pStyle w:val="13"/>
              <w:spacing w:line="360" w:lineRule="auto"/>
              <w:rPr>
                <w:rFonts w:hint="eastAsia" w:asciiTheme="minorEastAsia" w:hAnsiTheme="minorEastAsia" w:eastAsiaTheme="minorEastAsia"/>
                <w:color w:val="auto"/>
                <w:sz w:val="21"/>
                <w:highlight w:val="none"/>
                <w:lang w:val="en-US" w:eastAsia="zh-CN"/>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6</w:t>
            </w: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投标人无分包投标</w:t>
            </w:r>
          </w:p>
          <w:p>
            <w:pPr>
              <w:pStyle w:val="13"/>
              <w:numPr>
                <w:ilvl w:val="0"/>
                <w:numId w:val="0"/>
              </w:numPr>
              <w:tabs>
                <w:tab w:val="left" w:pos="633"/>
              </w:tabs>
              <w:spacing w:before="102" w:line="360" w:lineRule="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7</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同一投标人未提交两个以上不同的投标文件:</w:t>
            </w:r>
          </w:p>
          <w:p>
            <w:pPr>
              <w:pStyle w:val="13"/>
              <w:numPr>
                <w:ilvl w:val="0"/>
                <w:numId w:val="0"/>
              </w:numPr>
              <w:tabs>
                <w:tab w:val="left" w:pos="633"/>
              </w:tabs>
              <w:spacing w:before="2" w:line="360" w:lineRule="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8</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投标文件第一信封中未出现有关投标报价的内容:</w:t>
            </w:r>
          </w:p>
          <w:p>
            <w:pPr>
              <w:pStyle w:val="13"/>
              <w:numPr>
                <w:ilvl w:val="0"/>
                <w:numId w:val="0"/>
              </w:numPr>
              <w:tabs>
                <w:tab w:val="left" w:pos="633"/>
              </w:tabs>
              <w:spacing w:before="2" w:line="360" w:lineRule="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9</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投标文件载明的招标项目完成期限未超过招标文件规定的时限:</w:t>
            </w:r>
          </w:p>
          <w:p>
            <w:pPr>
              <w:pStyle w:val="13"/>
              <w:numPr>
                <w:ilvl w:val="0"/>
                <w:numId w:val="0"/>
              </w:numPr>
              <w:tabs>
                <w:tab w:val="left" w:pos="739"/>
              </w:tabs>
              <w:spacing w:before="5" w:line="360" w:lineRule="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10</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投标文件对招标文件的实质性要求和条件作出响应:</w:t>
            </w:r>
          </w:p>
          <w:p>
            <w:pPr>
              <w:pStyle w:val="13"/>
              <w:numPr>
                <w:ilvl w:val="0"/>
                <w:numId w:val="0"/>
              </w:numPr>
              <w:tabs>
                <w:tab w:val="left" w:pos="633"/>
              </w:tabs>
              <w:spacing w:line="360" w:lineRule="auto"/>
              <w:ind w:right="177" w:rightChars="0"/>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11</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权利义务符合招标文件规定: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val="en-US" w:eastAsia="zh-CN"/>
              </w:rPr>
              <w:t>a、</w:t>
            </w:r>
            <w:r>
              <w:rPr>
                <w:rFonts w:cs="宋体" w:asciiTheme="minorEastAsia" w:hAnsiTheme="minorEastAsia" w:eastAsiaTheme="minorEastAsia"/>
                <w:color w:val="auto"/>
                <w:sz w:val="21"/>
                <w:highlight w:val="none"/>
              </w:rPr>
              <w:t>投标人应接受招标文件规定的风险划分原则，未提出新的风险划分办法；</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val="en-US" w:eastAsia="zh-CN"/>
              </w:rPr>
              <w:t>b、</w:t>
            </w:r>
            <w:r>
              <w:rPr>
                <w:rFonts w:cs="宋体" w:asciiTheme="minorEastAsia" w:hAnsiTheme="minorEastAsia" w:eastAsiaTheme="minorEastAsia"/>
                <w:color w:val="auto"/>
                <w:sz w:val="21"/>
                <w:highlight w:val="none"/>
              </w:rPr>
              <w:t>投标人未增加发包人的责任范围，或减少投标人义务；</w:t>
            </w:r>
          </w:p>
          <w:p>
            <w:pPr>
              <w:pStyle w:val="13"/>
              <w:numPr>
                <w:ilvl w:val="0"/>
                <w:numId w:val="0"/>
              </w:numPr>
              <w:tabs>
                <w:tab w:val="left" w:pos="633"/>
              </w:tabs>
              <w:spacing w:line="360" w:lineRule="auto"/>
              <w:ind w:left="108" w:leftChars="0" w:right="177" w:rightChars="0"/>
              <w:rPr>
                <w:rFonts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c.投标人未提出不同的工程验收、计量、支付办法；</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val="en-US" w:eastAsia="zh-CN"/>
              </w:rPr>
              <w:t>d、</w:t>
            </w:r>
            <w:r>
              <w:rPr>
                <w:rFonts w:cs="宋体" w:asciiTheme="minorEastAsia" w:hAnsiTheme="minorEastAsia" w:eastAsiaTheme="minorEastAsia"/>
                <w:color w:val="auto"/>
                <w:sz w:val="21"/>
                <w:highlight w:val="none"/>
              </w:rPr>
              <w:t>投标人对合同纠纷、事故处理办法未提出异议；</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e.投标人在投标活动中无欺诈行为；</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val="en-US" w:eastAsia="zh-CN"/>
              </w:rPr>
              <w:t>f、</w:t>
            </w:r>
            <w:r>
              <w:rPr>
                <w:rFonts w:cs="宋体" w:asciiTheme="minorEastAsia" w:hAnsiTheme="minorEastAsia" w:eastAsiaTheme="minorEastAsia"/>
                <w:color w:val="auto"/>
                <w:sz w:val="21"/>
                <w:highlight w:val="none"/>
              </w:rPr>
              <w:t>投标人未对合同条款有重要保留。</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12</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投标文件编制符合“投标人须知”第 3.7 款规定: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13</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投标文件提交方式满足“投标人须知”之规定: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14</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不按评标委员会要求澄清、说明或补正的:</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15</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第二个信封（报价文件）评审标准：</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1</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投标文件按照招标文件规定的格式、内容填写，字迹清晰可辨:</w:t>
            </w:r>
          </w:p>
          <w:p>
            <w:pPr>
              <w:pStyle w:val="13"/>
              <w:numPr>
                <w:ilvl w:val="0"/>
                <w:numId w:val="0"/>
              </w:numPr>
              <w:tabs>
                <w:tab w:val="left" w:pos="633"/>
              </w:tabs>
              <w:spacing w:line="360" w:lineRule="auto"/>
              <w:ind w:left="108" w:leftChars="0" w:right="177" w:rightChars="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a、投标函按招标文件规定填报了项目名称、标段、补遗书编号（如有）、投标价（包括大写金额和小写金额）；</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val="en-US" w:eastAsia="zh-CN"/>
              </w:rPr>
              <w:t>b、</w:t>
            </w:r>
            <w:r>
              <w:rPr>
                <w:rFonts w:cs="宋体" w:asciiTheme="minorEastAsia" w:hAnsiTheme="minorEastAsia" w:eastAsiaTheme="minorEastAsia"/>
                <w:color w:val="auto"/>
                <w:sz w:val="21"/>
                <w:highlight w:val="none"/>
              </w:rPr>
              <w:t>已标价工程量固化清单、清单说明文字与招标文件规定一致，未进行实质性修改和删减；</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c、投标文件组成齐全完整，内容均按规定填写。</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2</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投标文件上法定代表人或其授权代理人的签字、投标人的单位章盖章齐全，符合招标文件规定: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3</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投标报价未超过招标文件设定的最高投标限价（如有）:</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4</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投标报价的大写金额能够确定具体数值:</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5</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同一投标人未提交两个以上不同的投标报价:</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6</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投标文件编制符合“投标人须知”第 3.7 款规定: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7</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投标文件未附有招标人不能接受的条件:</w:t>
            </w:r>
          </w:p>
          <w:p>
            <w:pPr>
              <w:pStyle w:val="13"/>
              <w:spacing w:line="360" w:lineRule="auto"/>
              <w:rPr>
                <w:rFonts w:hint="default" w:asciiTheme="minorEastAsia" w:hAnsiTheme="minorEastAsia" w:eastAsiaTheme="minorEastAsia"/>
                <w:color w:val="auto"/>
                <w:sz w:val="21"/>
                <w:highlight w:val="none"/>
                <w:lang w:val="en-US" w:eastAsia="zh-CN"/>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8</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不按评标委员会要求澄清、说明或补正的</w:t>
            </w:r>
            <w:r>
              <w:rPr>
                <w:rFonts w:asciiTheme="minorEastAsia" w:hAnsiTheme="minorEastAsia" w:eastAsiaTheme="minorEastAsia"/>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52" w:type="dxa"/>
            <w:tcBorders>
              <w:top w:val="single" w:color="auto" w:sz="4" w:space="0"/>
              <w:left w:val="single" w:color="auto" w:sz="4" w:space="0"/>
              <w:bottom w:val="single" w:color="auto" w:sz="4" w:space="0"/>
              <w:right w:val="single" w:color="auto" w:sz="4" w:space="0"/>
            </w:tcBorders>
            <w:vAlign w:val="top"/>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spacing w:before="8"/>
              <w:rPr>
                <w:rFonts w:asciiTheme="minorEastAsia" w:hAnsiTheme="minorEastAsia" w:eastAsiaTheme="minorEastAsia"/>
                <w:color w:val="auto"/>
                <w:sz w:val="24"/>
                <w:highlight w:val="none"/>
              </w:rPr>
            </w:pPr>
          </w:p>
          <w:p>
            <w:pPr>
              <w:pStyle w:val="13"/>
              <w:ind w:left="290" w:leftChars="0" w:right="287" w:rightChars="0"/>
              <w:jc w:val="center"/>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2.1.2</w:t>
            </w:r>
          </w:p>
        </w:tc>
        <w:tc>
          <w:tcPr>
            <w:tcW w:w="2038" w:type="dxa"/>
            <w:tcBorders>
              <w:top w:val="single" w:color="auto" w:sz="4" w:space="0"/>
              <w:left w:val="single" w:color="auto" w:sz="4" w:space="0"/>
              <w:right w:val="single" w:color="auto" w:sz="4" w:space="0"/>
            </w:tcBorders>
            <w:vAlign w:val="top"/>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spacing w:before="8"/>
              <w:rPr>
                <w:rFonts w:asciiTheme="minorEastAsia" w:hAnsiTheme="minorEastAsia" w:eastAsiaTheme="minorEastAsia"/>
                <w:color w:val="auto"/>
                <w:sz w:val="24"/>
                <w:highlight w:val="none"/>
              </w:rPr>
            </w:pPr>
          </w:p>
          <w:p>
            <w:pPr>
              <w:pStyle w:val="13"/>
              <w:ind w:left="389" w:leftChars="0"/>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资格评审标准</w:t>
            </w:r>
          </w:p>
        </w:tc>
        <w:tc>
          <w:tcPr>
            <w:tcW w:w="6592" w:type="dxa"/>
            <w:tcBorders>
              <w:top w:val="single" w:color="auto" w:sz="4" w:space="0"/>
              <w:left w:val="single" w:color="auto" w:sz="4" w:space="0"/>
              <w:right w:val="single" w:color="auto" w:sz="4" w:space="0"/>
            </w:tcBorders>
            <w:vAlign w:val="top"/>
          </w:tcPr>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eastAsia="zh-CN"/>
              </w:rPr>
              <w:t>（</w:t>
            </w:r>
            <w:r>
              <w:rPr>
                <w:rFonts w:hint="eastAsia" w:asciiTheme="minorEastAsia" w:hAnsiTheme="minorEastAsia" w:eastAsiaTheme="minorEastAsia"/>
                <w:color w:val="auto"/>
                <w:sz w:val="21"/>
                <w:highlight w:val="none"/>
                <w:lang w:val="en-US" w:eastAsia="zh-CN"/>
              </w:rPr>
              <w:t>1</w:t>
            </w:r>
            <w:r>
              <w:rPr>
                <w:rFonts w:hint="eastAsia" w:asciiTheme="minorEastAsia" w:hAnsiTheme="minorEastAsia" w:eastAsiaTheme="minorEastAsia"/>
                <w:color w:val="auto"/>
                <w:sz w:val="21"/>
                <w:highlight w:val="none"/>
                <w:lang w:eastAsia="zh-CN"/>
              </w:rPr>
              <w:t>）</w:t>
            </w:r>
            <w:r>
              <w:rPr>
                <w:rFonts w:asciiTheme="minorEastAsia" w:hAnsiTheme="minorEastAsia" w:eastAsiaTheme="minorEastAsia"/>
                <w:color w:val="auto"/>
                <w:sz w:val="21"/>
                <w:highlight w:val="none"/>
              </w:rPr>
              <w:t>投标人具备</w:t>
            </w:r>
            <w:r>
              <w:rPr>
                <w:rFonts w:cs="宋体" w:asciiTheme="minorEastAsia" w:hAnsiTheme="minorEastAsia" w:eastAsiaTheme="minorEastAsia"/>
                <w:color w:val="auto"/>
                <w:sz w:val="21"/>
                <w:highlight w:val="none"/>
              </w:rPr>
              <w:t>有效的营业执照或事业单位法人证书或社会团体法人登记证书、监理资质证书、基本账户开户银行提供的开户或账户信息证明:</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2</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投标人的资质符合招标文件投标人须知附录 1 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3</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投标人的业绩符合招标文件投标人须知正文及附录 2 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4</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投标人的信誉符合招标文件投标人须知正文及附录 3 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5</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投标人的总监理工程师资格符合招标文件投标人须附录 4 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6</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投标人的其他要求符合招标文件规定:</w:t>
            </w:r>
          </w:p>
          <w:p>
            <w:pPr>
              <w:pStyle w:val="13"/>
              <w:numPr>
                <w:ilvl w:val="0"/>
                <w:numId w:val="0"/>
              </w:numPr>
              <w:tabs>
                <w:tab w:val="left" w:pos="633"/>
              </w:tabs>
              <w:spacing w:line="360" w:lineRule="auto"/>
              <w:ind w:left="108" w:leftChars="0" w:right="177" w:rightChars="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7</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投标人不存在第二章“投标人须知”第 1.4.3 项规定的任何一种情形:</w:t>
            </w:r>
          </w:p>
          <w:p>
            <w:pPr>
              <w:pStyle w:val="13"/>
              <w:numPr>
                <w:ilvl w:val="0"/>
                <w:numId w:val="0"/>
              </w:numPr>
              <w:tabs>
                <w:tab w:val="left" w:pos="633"/>
              </w:tabs>
              <w:spacing w:line="360" w:lineRule="auto"/>
              <w:ind w:left="108" w:leftChars="0" w:right="177" w:rightChars="0" w:firstLine="0" w:firstLineChars="0"/>
              <w:rPr>
                <w:rFonts w:hint="eastAsia" w:cs="宋体" w:asciiTheme="minorEastAsia" w:hAnsiTheme="minorEastAsia" w:eastAsiaTheme="minorEastAsia"/>
                <w:color w:val="auto"/>
                <w:sz w:val="21"/>
                <w:highlight w:val="none"/>
                <w:lang w:eastAsia="zh-CN"/>
              </w:rPr>
            </w:pPr>
            <w:r>
              <w:rPr>
                <w:rFonts w:hint="eastAsia" w:cs="宋体" w:asciiTheme="minorEastAsia" w:hAnsiTheme="minorEastAsia" w:eastAsiaTheme="minorEastAsia"/>
                <w:color w:val="auto"/>
                <w:sz w:val="21"/>
                <w:highlight w:val="none"/>
                <w:lang w:eastAsia="zh-CN"/>
              </w:rPr>
              <w:t>（</w:t>
            </w:r>
            <w:r>
              <w:rPr>
                <w:rFonts w:hint="eastAsia" w:cs="宋体" w:asciiTheme="minorEastAsia" w:hAnsiTheme="minorEastAsia" w:eastAsiaTheme="minorEastAsia"/>
                <w:color w:val="auto"/>
                <w:sz w:val="21"/>
                <w:highlight w:val="none"/>
                <w:lang w:val="en-US" w:eastAsia="zh-CN"/>
              </w:rPr>
              <w:t>8</w:t>
            </w:r>
            <w:r>
              <w:rPr>
                <w:rFonts w:hint="eastAsia" w:cs="宋体" w:asciiTheme="minorEastAsia" w:hAnsiTheme="minorEastAsia" w:eastAsiaTheme="minorEastAsia"/>
                <w:color w:val="auto"/>
                <w:sz w:val="21"/>
                <w:highlight w:val="none"/>
                <w:lang w:eastAsia="zh-CN"/>
              </w:rPr>
              <w:t>）</w:t>
            </w:r>
            <w:r>
              <w:rPr>
                <w:rFonts w:cs="宋体" w:asciiTheme="minorEastAsia" w:hAnsiTheme="minorEastAsia" w:eastAsiaTheme="minorEastAsia"/>
                <w:color w:val="auto"/>
                <w:sz w:val="21"/>
                <w:highlight w:val="none"/>
              </w:rPr>
              <w:t>投标人符合第二章“投标人须知”第 1.4.5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52" w:type="dxa"/>
            <w:tcBorders>
              <w:top w:val="single" w:color="auto" w:sz="4" w:space="0"/>
              <w:left w:val="single" w:color="auto" w:sz="4" w:space="0"/>
              <w:bottom w:val="single" w:color="auto" w:sz="4" w:space="0"/>
              <w:right w:val="single" w:color="auto" w:sz="4" w:space="0"/>
            </w:tcBorders>
            <w:vAlign w:val="top"/>
          </w:tcPr>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2.2.1</w:t>
            </w:r>
          </w:p>
        </w:tc>
        <w:tc>
          <w:tcPr>
            <w:tcW w:w="2038" w:type="dxa"/>
            <w:tcBorders>
              <w:top w:val="single" w:color="auto" w:sz="4" w:space="0"/>
              <w:left w:val="single" w:color="auto" w:sz="4" w:space="0"/>
              <w:bottom w:val="single" w:color="auto" w:sz="4" w:space="0"/>
              <w:right w:val="single" w:color="auto" w:sz="4" w:space="0"/>
            </w:tcBorders>
            <w:vAlign w:val="top"/>
          </w:tcPr>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分值构成</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（总分 100 分）</w:t>
            </w:r>
          </w:p>
        </w:tc>
        <w:tc>
          <w:tcPr>
            <w:tcW w:w="6592" w:type="dxa"/>
            <w:tcBorders>
              <w:top w:val="single" w:color="auto" w:sz="4" w:space="0"/>
              <w:left w:val="single" w:color="auto" w:sz="4" w:space="0"/>
              <w:bottom w:val="single" w:color="auto" w:sz="4" w:space="0"/>
              <w:right w:val="single" w:color="auto" w:sz="4" w:space="0"/>
            </w:tcBorders>
            <w:vAlign w:val="top"/>
          </w:tcPr>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 xml:space="preserve">第一个信封（商务及技术文件）评分分值构成： </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技术建议书 ： 35.00 分</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主要人员：25.00 分</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业绩:25.0 分</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履约信誉:5.0 分</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第二个信封（报价文件）评分分值构成：</w:t>
            </w:r>
          </w:p>
          <w:p>
            <w:pPr>
              <w:pStyle w:val="13"/>
              <w:numPr>
                <w:ilvl w:val="0"/>
                <w:numId w:val="0"/>
              </w:numPr>
              <w:tabs>
                <w:tab w:val="left" w:pos="633"/>
              </w:tabs>
              <w:spacing w:line="360" w:lineRule="auto"/>
              <w:ind w:left="108" w:leftChars="0" w:right="177" w:rightChars="0" w:firstLine="0" w:firstLineChars="0"/>
              <w:rPr>
                <w:rFonts w:hint="eastAsia" w:cs="宋体" w:asciiTheme="minorEastAsia" w:hAnsiTheme="minorEastAsia" w:eastAsiaTheme="minorEastAsia"/>
                <w:color w:val="auto"/>
                <w:sz w:val="21"/>
                <w:highlight w:val="none"/>
                <w:lang w:eastAsia="zh-CN"/>
              </w:rPr>
            </w:pPr>
            <w:r>
              <w:rPr>
                <w:rFonts w:cs="宋体" w:asciiTheme="minorEastAsia" w:hAnsiTheme="minorEastAsia" w:eastAsiaTheme="minorEastAsia"/>
                <w:color w:val="auto"/>
                <w:sz w:val="21"/>
                <w:highlight w:val="none"/>
              </w:rPr>
              <w:t>评标价：10.00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52" w:type="dxa"/>
            <w:tcBorders>
              <w:top w:val="single" w:color="auto" w:sz="4" w:space="0"/>
              <w:left w:val="single" w:color="auto" w:sz="4" w:space="0"/>
              <w:bottom w:val="single" w:color="auto" w:sz="4" w:space="0"/>
              <w:right w:val="single" w:color="auto" w:sz="4" w:space="0"/>
            </w:tcBorders>
            <w:vAlign w:val="center"/>
          </w:tcPr>
          <w:p>
            <w:pPr>
              <w:pStyle w:val="13"/>
              <w:numPr>
                <w:ilvl w:val="0"/>
                <w:numId w:val="0"/>
              </w:numPr>
              <w:tabs>
                <w:tab w:val="left" w:pos="633"/>
              </w:tabs>
              <w:spacing w:line="360" w:lineRule="auto"/>
              <w:ind w:right="177" w:rightChars="0"/>
              <w:jc w:val="center"/>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2.2.2</w:t>
            </w:r>
          </w:p>
        </w:tc>
        <w:tc>
          <w:tcPr>
            <w:tcW w:w="2038" w:type="dxa"/>
            <w:tcBorders>
              <w:top w:val="single" w:color="auto" w:sz="4" w:space="0"/>
              <w:left w:val="single" w:color="auto" w:sz="4" w:space="0"/>
              <w:bottom w:val="single" w:color="auto" w:sz="4" w:space="0"/>
              <w:right w:val="single" w:color="auto" w:sz="4" w:space="0"/>
            </w:tcBorders>
            <w:vAlign w:val="center"/>
          </w:tcPr>
          <w:p>
            <w:pPr>
              <w:pStyle w:val="13"/>
              <w:numPr>
                <w:ilvl w:val="0"/>
                <w:numId w:val="0"/>
              </w:numPr>
              <w:tabs>
                <w:tab w:val="left" w:pos="633"/>
              </w:tabs>
              <w:spacing w:line="360" w:lineRule="auto"/>
              <w:ind w:right="177" w:rightChars="0"/>
              <w:jc w:val="center"/>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评标基准价计算方法</w:t>
            </w:r>
          </w:p>
        </w:tc>
        <w:tc>
          <w:tcPr>
            <w:tcW w:w="6592" w:type="dxa"/>
            <w:tcBorders>
              <w:top w:val="single" w:color="auto" w:sz="4" w:space="0"/>
              <w:left w:val="single" w:color="auto" w:sz="4" w:space="0"/>
              <w:bottom w:val="single" w:color="auto" w:sz="4" w:space="0"/>
              <w:right w:val="single" w:color="auto" w:sz="4" w:space="0"/>
            </w:tcBorders>
            <w:vAlign w:val="top"/>
          </w:tcPr>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评标基准价的计算：</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在开标现场，招标人将当场计算并宣布评标基准价。</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评标价的确定：</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评标价＝投标函文字报价</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评标价平均值的计算：</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评标基准价的确定：</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将评标价平均值直接作为评标基准价。</w:t>
            </w:r>
          </w:p>
          <w:p>
            <w:pPr>
              <w:pStyle w:val="13"/>
              <w:numPr>
                <w:ilvl w:val="0"/>
                <w:numId w:val="0"/>
              </w:numPr>
              <w:tabs>
                <w:tab w:val="left" w:pos="633"/>
              </w:tabs>
              <w:spacing w:line="360" w:lineRule="auto"/>
              <w:ind w:left="108" w:leftChars="0" w:right="177" w:rightChars="0" w:firstLine="0" w:firstLineChars="0"/>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cs="宋体" w:asciiTheme="minorEastAsia" w:hAnsiTheme="minorEastAsia" w:eastAsiaTheme="minorEastAsia"/>
                <w:color w:val="auto"/>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152" w:type="dxa"/>
            <w:tcBorders>
              <w:top w:val="single" w:color="auto" w:sz="4" w:space="0"/>
              <w:left w:val="single" w:color="auto" w:sz="4" w:space="0"/>
              <w:bottom w:val="single" w:color="auto" w:sz="4" w:space="0"/>
              <w:right w:val="single" w:color="auto" w:sz="4" w:space="0"/>
            </w:tcBorders>
            <w:vAlign w:val="top"/>
          </w:tcPr>
          <w:p>
            <w:pPr>
              <w:pStyle w:val="13"/>
              <w:spacing w:before="4"/>
              <w:rPr>
                <w:rFonts w:asciiTheme="minorEastAsia" w:hAnsiTheme="minorEastAsia" w:eastAsiaTheme="minorEastAsia"/>
                <w:color w:val="auto"/>
                <w:sz w:val="18"/>
                <w:highlight w:val="none"/>
              </w:rPr>
            </w:pPr>
          </w:p>
          <w:p>
            <w:pPr>
              <w:pStyle w:val="13"/>
              <w:ind w:left="312" w:leftChars="0"/>
              <w:rPr>
                <w:rFonts w:cs="宋体"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2.2.3</w:t>
            </w:r>
          </w:p>
        </w:tc>
        <w:tc>
          <w:tcPr>
            <w:tcW w:w="2038" w:type="dxa"/>
            <w:tcBorders>
              <w:top w:val="single" w:color="auto" w:sz="4" w:space="0"/>
              <w:left w:val="single" w:color="auto" w:sz="4" w:space="0"/>
              <w:right w:val="single" w:color="auto" w:sz="4" w:space="0"/>
            </w:tcBorders>
            <w:vAlign w:val="top"/>
          </w:tcPr>
          <w:p>
            <w:pPr>
              <w:pStyle w:val="13"/>
              <w:spacing w:before="100" w:line="242" w:lineRule="auto"/>
              <w:ind w:left="704" w:leftChars="0" w:right="174" w:rightChars="0" w:hanging="526" w:firstLineChars="0"/>
              <w:rPr>
                <w:rFonts w:cs="宋体" w:asciiTheme="minorEastAsia" w:hAnsiTheme="minorEastAsia" w:eastAsiaTheme="minorEastAsia"/>
                <w:color w:val="auto"/>
                <w:sz w:val="21"/>
                <w:highlight w:val="none"/>
              </w:rPr>
            </w:pPr>
            <w:r>
              <w:rPr>
                <w:rFonts w:asciiTheme="minorEastAsia" w:hAnsiTheme="minorEastAsia" w:eastAsiaTheme="minorEastAsia"/>
                <w:color w:val="auto"/>
                <w:spacing w:val="-1"/>
                <w:sz w:val="21"/>
                <w:highlight w:val="none"/>
              </w:rPr>
              <w:t>评标价的偏差率计</w:t>
            </w:r>
            <w:r>
              <w:rPr>
                <w:rFonts w:asciiTheme="minorEastAsia" w:hAnsiTheme="minorEastAsia" w:eastAsiaTheme="minorEastAsia"/>
                <w:color w:val="auto"/>
                <w:sz w:val="21"/>
                <w:highlight w:val="none"/>
              </w:rPr>
              <w:t>算公式</w:t>
            </w:r>
          </w:p>
        </w:tc>
        <w:tc>
          <w:tcPr>
            <w:tcW w:w="6592" w:type="dxa"/>
            <w:tcBorders>
              <w:top w:val="single" w:color="auto" w:sz="4" w:space="0"/>
              <w:left w:val="single" w:color="auto" w:sz="4" w:space="0"/>
              <w:right w:val="single" w:color="auto" w:sz="4" w:space="0"/>
            </w:tcBorders>
            <w:vAlign w:val="top"/>
          </w:tcPr>
          <w:p>
            <w:pPr>
              <w:pStyle w:val="13"/>
              <w:spacing w:before="100" w:line="242" w:lineRule="auto"/>
              <w:ind w:left="108" w:leftChars="0" w:right="913" w:rightChars="0"/>
              <w:rPr>
                <w:rFonts w:cs="宋体"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偏差率=100</w:t>
            </w:r>
            <w:r>
              <w:rPr>
                <w:rFonts w:asciiTheme="minorEastAsia" w:hAnsiTheme="minorEastAsia" w:eastAsiaTheme="minorEastAsia"/>
                <w:color w:val="auto"/>
                <w:spacing w:val="-7"/>
                <w:sz w:val="21"/>
                <w:highlight w:val="none"/>
              </w:rPr>
              <w:t xml:space="preserve">% </w:t>
            </w:r>
            <w:r>
              <w:rPr>
                <w:rFonts w:asciiTheme="minorEastAsia" w:hAnsiTheme="minorEastAsia" w:eastAsiaTheme="minorEastAsia"/>
                <w:color w:val="auto"/>
                <w:sz w:val="21"/>
                <w:highlight w:val="none"/>
              </w:rPr>
              <w:t>×（投标人评标价－评标基准价）/评标基准价偏差率保留</w:t>
            </w:r>
            <w:r>
              <w:rPr>
                <w:rFonts w:hint="eastAsia" w:asciiTheme="minorEastAsia" w:hAnsiTheme="minorEastAsia" w:eastAsiaTheme="minorEastAsia"/>
                <w:color w:val="auto"/>
                <w:sz w:val="21"/>
                <w:highlight w:val="none"/>
                <w:u w:val="single"/>
              </w:rPr>
              <w:t>2</w:t>
            </w:r>
            <w:r>
              <w:rPr>
                <w:rFonts w:asciiTheme="minorEastAsia" w:hAnsiTheme="minorEastAsia" w:eastAsiaTheme="minorEastAsia"/>
                <w:color w:val="auto"/>
                <w:sz w:val="21"/>
                <w:highlight w:val="none"/>
              </w:rPr>
              <w:t>位小数</w:t>
            </w:r>
          </w:p>
        </w:tc>
      </w:tr>
    </w:tbl>
    <w:p>
      <w:pPr>
        <w:spacing w:line="244" w:lineRule="auto"/>
        <w:rPr>
          <w:rFonts w:asciiTheme="minorEastAsia" w:hAnsiTheme="minorEastAsia" w:eastAsiaTheme="minorEastAsia"/>
          <w:color w:val="auto"/>
          <w:sz w:val="21"/>
          <w:highlight w:val="none"/>
        </w:rPr>
        <w:sectPr>
          <w:headerReference r:id="rId5" w:type="default"/>
          <w:footerReference r:id="rId6" w:type="default"/>
          <w:pgSz w:w="11910" w:h="16850"/>
          <w:pgMar w:top="1440" w:right="880" w:bottom="980" w:left="980" w:header="0" w:footer="792" w:gutter="0"/>
          <w:cols w:space="720" w:num="1"/>
        </w:sectPr>
      </w:pPr>
    </w:p>
    <w:tbl>
      <w:tblPr>
        <w:tblStyle w:val="11"/>
        <w:tblW w:w="98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429"/>
        <w:gridCol w:w="475"/>
        <w:gridCol w:w="799"/>
        <w:gridCol w:w="335"/>
        <w:gridCol w:w="799"/>
        <w:gridCol w:w="709"/>
        <w:gridCol w:w="5084"/>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72" w:hRule="atLeast"/>
          <w:jc w:val="center"/>
        </w:trPr>
        <w:tc>
          <w:tcPr>
            <w:tcW w:w="4698" w:type="dxa"/>
            <w:gridSpan w:val="7"/>
            <w:tcBorders>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lang w:val="en-US" w:eastAsia="zh-CN"/>
              </w:rPr>
              <w:t xml:space="preserve"> </w:t>
            </w:r>
            <w:r>
              <w:rPr>
                <w:rFonts w:asciiTheme="minorEastAsia" w:hAnsiTheme="minorEastAsia" w:eastAsiaTheme="minorEastAsia"/>
                <w:color w:val="auto"/>
                <w:sz w:val="21"/>
                <w:highlight w:val="none"/>
              </w:rPr>
              <w:t>评分因素与权重值</w:t>
            </w:r>
          </w:p>
        </w:tc>
        <w:tc>
          <w:tcPr>
            <w:tcW w:w="5084" w:type="dxa"/>
            <w:vMerge w:val="restart"/>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0"/>
                <w:highlight w:val="none"/>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0"/>
                <w:highlight w:val="none"/>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18"/>
                <w:highlight w:val="none"/>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jc w:val="center"/>
        </w:trPr>
        <w:tc>
          <w:tcPr>
            <w:tcW w:w="1152" w:type="dxa"/>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条款号</w:t>
            </w:r>
          </w:p>
        </w:tc>
        <w:tc>
          <w:tcPr>
            <w:tcW w:w="904"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评分</w:t>
            </w: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因素</w:t>
            </w:r>
          </w:p>
        </w:tc>
        <w:tc>
          <w:tcPr>
            <w:tcW w:w="79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2" w:lineRule="auto"/>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pacing w:val="-4"/>
                <w:sz w:val="21"/>
                <w:highlight w:val="none"/>
              </w:rPr>
              <w:t>评分因素权重分值</w:t>
            </w:r>
          </w:p>
        </w:tc>
        <w:tc>
          <w:tcPr>
            <w:tcW w:w="1134"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各评分因素细分项</w:t>
            </w:r>
          </w:p>
        </w:tc>
        <w:tc>
          <w:tcPr>
            <w:tcW w:w="709" w:type="dxa"/>
            <w:tcBorders>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分值</w:t>
            </w:r>
          </w:p>
        </w:tc>
        <w:tc>
          <w:tcPr>
            <w:tcW w:w="508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ind w:left="0" w:right="0"/>
              <w:textAlignment w:val="auto"/>
              <w:rPr>
                <w:rFonts w:asciiTheme="minorEastAsia" w:hAnsiTheme="minorEastAsia" w:eastAsiaTheme="minorEastAsia"/>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jc w:val="center"/>
        </w:trPr>
        <w:tc>
          <w:tcPr>
            <w:tcW w:w="1152" w:type="dxa"/>
            <w:vMerge w:val="restart"/>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2.2.4(1)</w:t>
            </w:r>
          </w:p>
        </w:tc>
        <w:tc>
          <w:tcPr>
            <w:tcW w:w="904" w:type="dxa"/>
            <w:gridSpan w:val="2"/>
            <w:vMerge w:val="restart"/>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技术建议书</w:t>
            </w:r>
          </w:p>
        </w:tc>
        <w:tc>
          <w:tcPr>
            <w:tcW w:w="799" w:type="dxa"/>
            <w:vMerge w:val="restart"/>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35分</w:t>
            </w:r>
          </w:p>
        </w:tc>
        <w:tc>
          <w:tcPr>
            <w:tcW w:w="1134" w:type="dxa"/>
            <w:gridSpan w:val="2"/>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监理计划（或监理方案）和措施</w:t>
            </w:r>
          </w:p>
        </w:tc>
        <w:tc>
          <w:tcPr>
            <w:tcW w:w="709" w:type="dxa"/>
            <w:tcBorders>
              <w:right w:val="single" w:color="auto" w:sz="4" w:space="0"/>
            </w:tcBorders>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20分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监理计划思路一般、措施合理12～15分；监理计划思路较清晰、措施较好15～18分；监理计划思路清晰、措施得力18～20分。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jc w:val="center"/>
        </w:trPr>
        <w:tc>
          <w:tcPr>
            <w:tcW w:w="1152" w:type="dxa"/>
            <w:vMerge w:val="continue"/>
            <w:vAlign w:val="center"/>
          </w:tcPr>
          <w:p>
            <w:pPr>
              <w:pStyle w:val="13"/>
              <w:rPr>
                <w:rFonts w:asciiTheme="minorEastAsia" w:hAnsiTheme="minorEastAsia" w:eastAsiaTheme="minorEastAsia"/>
                <w:color w:val="auto"/>
                <w:sz w:val="21"/>
                <w:highlight w:val="none"/>
              </w:rPr>
            </w:pPr>
          </w:p>
        </w:tc>
        <w:tc>
          <w:tcPr>
            <w:tcW w:w="904" w:type="dxa"/>
            <w:gridSpan w:val="2"/>
            <w:vMerge w:val="continue"/>
            <w:vAlign w:val="center"/>
          </w:tcPr>
          <w:p>
            <w:pPr>
              <w:pStyle w:val="13"/>
              <w:rPr>
                <w:rFonts w:asciiTheme="minorEastAsia" w:hAnsiTheme="minorEastAsia" w:eastAsiaTheme="minorEastAsia"/>
                <w:color w:val="auto"/>
                <w:sz w:val="21"/>
                <w:highlight w:val="none"/>
              </w:rPr>
            </w:pPr>
          </w:p>
        </w:tc>
        <w:tc>
          <w:tcPr>
            <w:tcW w:w="799" w:type="dxa"/>
            <w:vMerge w:val="continue"/>
            <w:vAlign w:val="center"/>
          </w:tcPr>
          <w:p>
            <w:pPr>
              <w:pStyle w:val="13"/>
              <w:spacing w:before="100" w:line="242" w:lineRule="auto"/>
              <w:ind w:left="191" w:right="189"/>
              <w:jc w:val="both"/>
              <w:rPr>
                <w:rFonts w:asciiTheme="minorEastAsia" w:hAnsiTheme="minorEastAsia" w:eastAsiaTheme="minorEastAsia"/>
                <w:color w:val="auto"/>
                <w:sz w:val="21"/>
                <w:highlight w:val="none"/>
              </w:rPr>
            </w:pPr>
          </w:p>
        </w:tc>
        <w:tc>
          <w:tcPr>
            <w:tcW w:w="1134" w:type="dxa"/>
            <w:gridSpan w:val="2"/>
            <w:vAlign w:val="center"/>
          </w:tcPr>
          <w:p>
            <w:pPr>
              <w:pStyle w:val="13"/>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对本工程监理工作的重点与难点分析</w:t>
            </w:r>
          </w:p>
        </w:tc>
        <w:tc>
          <w:tcPr>
            <w:tcW w:w="709" w:type="dxa"/>
            <w:tcBorders>
              <w:right w:val="single" w:color="auto" w:sz="4" w:space="0"/>
            </w:tcBorders>
            <w:vAlign w:val="center"/>
          </w:tcPr>
          <w:p>
            <w:pPr>
              <w:pStyle w:val="13"/>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10分</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对本合同工程难点分析一般，工作重点把握一般的得6分；对本合同工程难点分析较透彻，工作重点把握较准确的得6～8分；对本合同工程难点分析透彻，工作重点把握准确的得8～10分。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jc w:val="center"/>
        </w:trPr>
        <w:tc>
          <w:tcPr>
            <w:tcW w:w="1152" w:type="dxa"/>
            <w:vMerge w:val="continue"/>
            <w:vAlign w:val="center"/>
          </w:tcPr>
          <w:p>
            <w:pPr>
              <w:pStyle w:val="13"/>
              <w:rPr>
                <w:rFonts w:asciiTheme="minorEastAsia" w:hAnsiTheme="minorEastAsia" w:eastAsiaTheme="minorEastAsia"/>
                <w:color w:val="auto"/>
                <w:sz w:val="20"/>
                <w:highlight w:val="none"/>
              </w:rPr>
            </w:pPr>
          </w:p>
        </w:tc>
        <w:tc>
          <w:tcPr>
            <w:tcW w:w="904" w:type="dxa"/>
            <w:gridSpan w:val="2"/>
            <w:vMerge w:val="continue"/>
            <w:vAlign w:val="center"/>
          </w:tcPr>
          <w:p>
            <w:pPr>
              <w:pStyle w:val="13"/>
              <w:rPr>
                <w:rFonts w:asciiTheme="minorEastAsia" w:hAnsiTheme="minorEastAsia" w:eastAsiaTheme="minorEastAsia"/>
                <w:color w:val="auto"/>
                <w:sz w:val="20"/>
                <w:highlight w:val="none"/>
              </w:rPr>
            </w:pPr>
          </w:p>
        </w:tc>
        <w:tc>
          <w:tcPr>
            <w:tcW w:w="799" w:type="dxa"/>
            <w:vMerge w:val="continue"/>
            <w:vAlign w:val="center"/>
          </w:tcPr>
          <w:p>
            <w:pPr>
              <w:pStyle w:val="13"/>
              <w:spacing w:before="100" w:line="242" w:lineRule="auto"/>
              <w:ind w:left="191" w:right="189"/>
              <w:jc w:val="both"/>
              <w:rPr>
                <w:rFonts w:asciiTheme="minorEastAsia" w:hAnsiTheme="minorEastAsia" w:eastAsiaTheme="minorEastAsia"/>
                <w:color w:val="auto"/>
                <w:spacing w:val="-4"/>
                <w:sz w:val="21"/>
                <w:highlight w:val="none"/>
              </w:rPr>
            </w:pPr>
          </w:p>
        </w:tc>
        <w:tc>
          <w:tcPr>
            <w:tcW w:w="1134" w:type="dxa"/>
            <w:gridSpan w:val="2"/>
            <w:vAlign w:val="center"/>
          </w:tcPr>
          <w:p>
            <w:pPr>
              <w:pStyle w:val="13"/>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对本工程的理解和建议</w:t>
            </w:r>
          </w:p>
        </w:tc>
        <w:tc>
          <w:tcPr>
            <w:tcW w:w="709" w:type="dxa"/>
            <w:tcBorders>
              <w:bottom w:val="single" w:color="auto" w:sz="4" w:space="0"/>
              <w:right w:val="single" w:color="auto" w:sz="4" w:space="0"/>
            </w:tcBorders>
            <w:vAlign w:val="center"/>
          </w:tcPr>
          <w:p>
            <w:pPr>
              <w:pStyle w:val="13"/>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5分</w:t>
            </w:r>
          </w:p>
        </w:tc>
        <w:tc>
          <w:tcPr>
            <w:tcW w:w="508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对本合同工程的理解和建议一般的得3分；对本合同工程的理解和建议基本准确的得3～4分；对本合同工程的理解和建议合理、准确的得4～5分。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290" w:hRule="atLeast"/>
          <w:jc w:val="center"/>
        </w:trPr>
        <w:tc>
          <w:tcPr>
            <w:tcW w:w="1152" w:type="dxa"/>
            <w:vAlign w:val="center"/>
          </w:tcPr>
          <w:p>
            <w:pPr>
              <w:spacing w:line="360" w:lineRule="exact"/>
              <w:ind w:left="-97" w:leftChars="-44" w:right="-92" w:rightChars="-42"/>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2.2.4(2)</w:t>
            </w:r>
          </w:p>
        </w:tc>
        <w:tc>
          <w:tcPr>
            <w:tcW w:w="904" w:type="dxa"/>
            <w:gridSpan w:val="2"/>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主要人员</w:t>
            </w:r>
          </w:p>
        </w:tc>
        <w:tc>
          <w:tcPr>
            <w:tcW w:w="799" w:type="dxa"/>
            <w:vAlign w:val="center"/>
          </w:tcPr>
          <w:p>
            <w:pPr>
              <w:spacing w:line="360" w:lineRule="exact"/>
              <w:jc w:val="righ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25分</w:t>
            </w:r>
          </w:p>
        </w:tc>
        <w:tc>
          <w:tcPr>
            <w:tcW w:w="1134" w:type="dxa"/>
            <w:gridSpan w:val="2"/>
            <w:tcBorders>
              <w:right w:val="single" w:color="auto" w:sz="4" w:space="0"/>
            </w:tcBorders>
            <w:vAlign w:val="center"/>
          </w:tcPr>
          <w:p>
            <w:pPr>
              <w:spacing w:line="36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总监理工程师任职资格与业绩</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8"/>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25分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1.满足资格审查条件（总监理工程师最低要求）得15分；</w:t>
            </w:r>
          </w:p>
          <w:p>
            <w:pPr>
              <w:spacing w:line="36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2.在满足资格审查条件（总监理工程师最低要求）的基础上，近5年（2018年</w:t>
            </w:r>
            <w:r>
              <w:rPr>
                <w:rFonts w:hint="eastAsia" w:asciiTheme="minorEastAsia" w:hAnsiTheme="minorEastAsia" w:eastAsiaTheme="minorEastAsia"/>
                <w:color w:val="auto"/>
                <w:sz w:val="21"/>
                <w:highlight w:val="none"/>
                <w:lang w:val="en-US" w:eastAsia="zh-CN"/>
              </w:rPr>
              <w:t>6</w:t>
            </w:r>
            <w:r>
              <w:rPr>
                <w:rFonts w:hint="eastAsia" w:asciiTheme="minorEastAsia" w:hAnsiTheme="minorEastAsia" w:eastAsiaTheme="minorEastAsia"/>
                <w:color w:val="auto"/>
                <w:sz w:val="21"/>
                <w:highlight w:val="none"/>
              </w:rPr>
              <w:t>月</w:t>
            </w:r>
            <w:r>
              <w:rPr>
                <w:rFonts w:hint="eastAsia" w:asciiTheme="minorEastAsia" w:hAnsiTheme="minorEastAsia" w:eastAsiaTheme="minorEastAsia"/>
                <w:color w:val="auto"/>
                <w:sz w:val="21"/>
                <w:highlight w:val="none"/>
                <w:lang w:val="en-US" w:eastAsia="zh-CN"/>
              </w:rPr>
              <w:t>28</w:t>
            </w:r>
            <w:r>
              <w:rPr>
                <w:rFonts w:hint="eastAsia" w:asciiTheme="minorEastAsia" w:hAnsiTheme="minorEastAsia" w:eastAsiaTheme="minorEastAsia"/>
                <w:color w:val="auto"/>
                <w:sz w:val="21"/>
                <w:highlight w:val="none"/>
              </w:rPr>
              <w:t>日至投标截止之日，以交工日期为准），总监理工程师每增加1个一级及以上等级公路工程（新建或改扩建或养护工程）施工监理的总监理工程师（或驻地监理工程师）职务的业绩加5分；每增加1个一级及以上等级公路工程（新建或改扩建或养护工程）施工监理的副总监理工程师（或总监代表）职务的业绩加2.5分。此处两项合计最多加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144" w:hRule="atLeast"/>
          <w:jc w:val="center"/>
        </w:trPr>
        <w:tc>
          <w:tcPr>
            <w:tcW w:w="1152" w:type="dxa"/>
            <w:vAlign w:val="center"/>
          </w:tcPr>
          <w:p>
            <w:pPr>
              <w:spacing w:line="32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2.2.4(3)</w:t>
            </w:r>
          </w:p>
        </w:tc>
        <w:tc>
          <w:tcPr>
            <w:tcW w:w="904" w:type="dxa"/>
            <w:gridSpan w:val="2"/>
            <w:vAlign w:val="center"/>
          </w:tcPr>
          <w:p>
            <w:pPr>
              <w:spacing w:line="320" w:lineRule="exact"/>
              <w:jc w:val="center"/>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评标价</w:t>
            </w:r>
          </w:p>
        </w:tc>
        <w:tc>
          <w:tcPr>
            <w:tcW w:w="799" w:type="dxa"/>
            <w:vAlign w:val="center"/>
          </w:tcPr>
          <w:p>
            <w:pPr>
              <w:spacing w:line="320" w:lineRule="exact"/>
              <w:ind w:right="210"/>
              <w:jc w:val="righ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10分</w:t>
            </w:r>
          </w:p>
        </w:tc>
        <w:tc>
          <w:tcPr>
            <w:tcW w:w="6927" w:type="dxa"/>
            <w:gridSpan w:val="4"/>
            <w:tcBorders>
              <w:right w:val="single" w:color="auto" w:sz="4" w:space="0"/>
            </w:tcBorders>
            <w:vAlign w:val="center"/>
          </w:tcPr>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评标价得分计算公式：</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(1)如果投标人的评标价&gt;评标基准价，则评标价得分＝F－偏差率×100× E1；</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(2)如果投标人的评标价≤评标基准价，则评标价得分＝F＋偏差率× 100× E2。</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其中：F是评标价所占的权重分值，E1是评标价每高于评标基准价一个百分点的扣分值，E2是评标价每低于评标基准价一个百分点的扣分值；</w:t>
            </w:r>
          </w:p>
          <w:p>
            <w:pPr>
              <w:spacing w:line="320" w:lineRule="exact"/>
              <w:rPr>
                <w:rFonts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E1=0.2,E2=0.1,F=10;评标价得分最低为0分。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1152" w:type="dxa"/>
            <w:vMerge w:val="restart"/>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spacing w:before="161"/>
              <w:ind w:left="312"/>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2.2.4</w:t>
            </w:r>
          </w:p>
          <w:p>
            <w:pPr>
              <w:pStyle w:val="13"/>
              <w:spacing w:before="5"/>
              <w:ind w:left="312"/>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（4）</w:t>
            </w:r>
          </w:p>
        </w:tc>
        <w:tc>
          <w:tcPr>
            <w:tcW w:w="429" w:type="dxa"/>
            <w:vMerge w:val="restart"/>
            <w:vAlign w:val="top"/>
          </w:tcPr>
          <w:p>
            <w:pPr>
              <w:pStyle w:val="13"/>
              <w:jc w:val="left"/>
              <w:rPr>
                <w:rFonts w:asciiTheme="minorEastAsia" w:hAnsiTheme="minorEastAsia" w:eastAsiaTheme="minorEastAsia"/>
                <w:color w:val="auto"/>
                <w:sz w:val="20"/>
                <w:highlight w:val="none"/>
              </w:rPr>
            </w:pPr>
          </w:p>
          <w:p>
            <w:pPr>
              <w:pStyle w:val="13"/>
              <w:jc w:val="left"/>
              <w:rPr>
                <w:rFonts w:asciiTheme="minorEastAsia" w:hAnsiTheme="minorEastAsia" w:eastAsiaTheme="minorEastAsia"/>
                <w:color w:val="auto"/>
                <w:sz w:val="20"/>
                <w:highlight w:val="none"/>
              </w:rPr>
            </w:pPr>
          </w:p>
          <w:p>
            <w:pPr>
              <w:pStyle w:val="13"/>
              <w:jc w:val="left"/>
              <w:rPr>
                <w:rFonts w:asciiTheme="minorEastAsia" w:hAnsiTheme="minorEastAsia" w:eastAsiaTheme="minorEastAsia"/>
                <w:color w:val="auto"/>
                <w:sz w:val="20"/>
                <w:highlight w:val="none"/>
              </w:rPr>
            </w:pPr>
          </w:p>
          <w:p>
            <w:pPr>
              <w:pStyle w:val="13"/>
              <w:spacing w:before="147" w:line="242" w:lineRule="auto"/>
              <w:ind w:left="116" w:right="109"/>
              <w:jc w:val="left"/>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其他因素</w:t>
            </w:r>
          </w:p>
        </w:tc>
        <w:tc>
          <w:tcPr>
            <w:tcW w:w="475" w:type="dxa"/>
          </w:tcPr>
          <w:p>
            <w:pPr>
              <w:pStyle w:val="13"/>
              <w:rPr>
                <w:rFonts w:asciiTheme="minorEastAsia" w:hAnsiTheme="minorEastAsia" w:eastAsiaTheme="minorEastAsia"/>
                <w:color w:val="auto"/>
                <w:sz w:val="20"/>
                <w:highlight w:val="none"/>
              </w:rPr>
            </w:pPr>
          </w:p>
          <w:p>
            <w:pPr>
              <w:pStyle w:val="13"/>
              <w:rPr>
                <w:rFonts w:asciiTheme="minorEastAsia" w:hAnsiTheme="minorEastAsia" w:eastAsiaTheme="minorEastAsia"/>
                <w:color w:val="auto"/>
                <w:sz w:val="20"/>
                <w:highlight w:val="none"/>
              </w:rPr>
            </w:pPr>
          </w:p>
          <w:p>
            <w:pPr>
              <w:pStyle w:val="13"/>
              <w:spacing w:before="130"/>
              <w:ind w:left="108"/>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业绩</w:t>
            </w:r>
          </w:p>
        </w:tc>
        <w:tc>
          <w:tcPr>
            <w:tcW w:w="1134" w:type="dxa"/>
            <w:gridSpan w:val="2"/>
          </w:tcPr>
          <w:p>
            <w:pPr>
              <w:pStyle w:val="13"/>
              <w:rPr>
                <w:rFonts w:asciiTheme="minorEastAsia" w:hAnsiTheme="minorEastAsia" w:eastAsiaTheme="minorEastAsia"/>
                <w:color w:val="auto"/>
                <w:sz w:val="20"/>
                <w:highlight w:val="none"/>
              </w:rPr>
            </w:pPr>
          </w:p>
          <w:p>
            <w:pPr>
              <w:pStyle w:val="13"/>
              <w:spacing w:before="9"/>
              <w:rPr>
                <w:rFonts w:asciiTheme="minorEastAsia" w:hAnsiTheme="minorEastAsia" w:eastAsiaTheme="minorEastAsia"/>
                <w:color w:val="auto"/>
                <w:sz w:val="19"/>
                <w:highlight w:val="none"/>
              </w:rPr>
            </w:pPr>
          </w:p>
          <w:p>
            <w:pPr>
              <w:pStyle w:val="13"/>
              <w:ind w:left="107"/>
              <w:rPr>
                <w:rFonts w:asciiTheme="minorEastAsia" w:hAnsiTheme="minorEastAsia" w:eastAsiaTheme="minorEastAsia"/>
                <w:color w:val="auto"/>
                <w:sz w:val="21"/>
                <w:highlight w:val="none"/>
              </w:rPr>
            </w:pPr>
            <w:r>
              <w:rPr>
                <w:rFonts w:asciiTheme="minorEastAsia" w:hAnsiTheme="minorEastAsia" w:eastAsiaTheme="minorEastAsia"/>
                <w:color w:val="auto"/>
                <w:sz w:val="21"/>
                <w:highlight w:val="none"/>
              </w:rPr>
              <w:t>25.0</w:t>
            </w:r>
          </w:p>
          <w:p>
            <w:pPr>
              <w:pStyle w:val="13"/>
              <w:spacing w:before="2"/>
              <w:ind w:left="107"/>
              <w:rPr>
                <w:rFonts w:asciiTheme="minorEastAsia" w:hAnsiTheme="minorEastAsia" w:eastAsiaTheme="minorEastAsia"/>
                <w:color w:val="auto"/>
                <w:sz w:val="21"/>
                <w:highlight w:val="none"/>
              </w:rPr>
            </w:pPr>
            <w:r>
              <w:rPr>
                <w:rFonts w:asciiTheme="minorEastAsia" w:hAnsiTheme="minorEastAsia" w:eastAsiaTheme="minorEastAsia"/>
                <w:color w:val="auto"/>
                <w:w w:val="99"/>
                <w:sz w:val="21"/>
                <w:highlight w:val="none"/>
              </w:rPr>
              <w:t>分</w:t>
            </w:r>
          </w:p>
        </w:tc>
        <w:tc>
          <w:tcPr>
            <w:tcW w:w="6615" w:type="dxa"/>
            <w:gridSpan w:val="4"/>
          </w:tcPr>
          <w:p>
            <w:pPr>
              <w:pStyle w:val="13"/>
              <w:tabs>
                <w:tab w:val="left" w:pos="320"/>
              </w:tabs>
              <w:spacing w:before="101" w:line="360" w:lineRule="auto"/>
              <w:ind w:firstLine="97" w:firstLineChars="49"/>
              <w:rPr>
                <w:rFonts w:hint="eastAsia" w:cs="宋体" w:asciiTheme="minorEastAsia" w:hAnsiTheme="minorEastAsia" w:eastAsiaTheme="minorEastAsia"/>
                <w:color w:val="auto"/>
                <w:sz w:val="21"/>
                <w:szCs w:val="22"/>
                <w:highlight w:val="none"/>
                <w:lang w:val="en-US" w:eastAsia="zh-CN" w:bidi="ar-SA"/>
              </w:rPr>
            </w:pPr>
            <w:r>
              <w:rPr>
                <w:rFonts w:hint="eastAsia" w:asciiTheme="minorEastAsia" w:hAnsiTheme="minorEastAsia" w:eastAsiaTheme="minorEastAsia"/>
                <w:color w:val="auto"/>
                <w:w w:val="95"/>
                <w:sz w:val="21"/>
                <w:highlight w:val="none"/>
              </w:rPr>
              <w:t>1.</w:t>
            </w:r>
            <w:r>
              <w:rPr>
                <w:rFonts w:hint="eastAsia" w:cs="宋体" w:asciiTheme="minorEastAsia" w:hAnsiTheme="minorEastAsia" w:eastAsiaTheme="minorEastAsia"/>
                <w:color w:val="auto"/>
                <w:sz w:val="21"/>
                <w:szCs w:val="22"/>
                <w:highlight w:val="none"/>
                <w:lang w:val="en-US" w:eastAsia="zh-CN" w:bidi="ar-SA"/>
              </w:rPr>
              <w:t>满足资格审查条件（业绩最低要求）得15分；</w:t>
            </w:r>
          </w:p>
          <w:p>
            <w:pPr>
              <w:pStyle w:val="13"/>
              <w:spacing w:before="3" w:line="360" w:lineRule="auto"/>
              <w:ind w:left="318" w:leftChars="49" w:hanging="210" w:hangingChars="100"/>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2.在满足资格条件审查（业绩最低要求）的基础上，近5年（2018年6</w:t>
            </w:r>
          </w:p>
          <w:p>
            <w:pPr>
              <w:pStyle w:val="13"/>
              <w:spacing w:before="3" w:line="360" w:lineRule="auto"/>
              <w:ind w:left="318" w:leftChars="49" w:hanging="210" w:hangingChars="100"/>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月28日至投标截止之日，以交工日期为准），投标人每增加1个一级及</w:t>
            </w:r>
          </w:p>
          <w:p>
            <w:pPr>
              <w:pStyle w:val="13"/>
              <w:spacing w:before="3" w:line="360" w:lineRule="auto"/>
              <w:ind w:left="318" w:leftChars="49" w:hanging="210" w:hangingChars="100"/>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以上等级公路工程（新建或改扩建或养护工程）施工监理业绩加5分，</w:t>
            </w:r>
          </w:p>
          <w:p>
            <w:pPr>
              <w:pStyle w:val="13"/>
              <w:spacing w:before="3" w:line="360" w:lineRule="auto"/>
              <w:ind w:left="318" w:leftChars="49" w:hanging="210" w:hangingChars="100"/>
              <w:rPr>
                <w:rFonts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szCs w:val="22"/>
                <w:highlight w:val="none"/>
                <w:lang w:val="en-US" w:eastAsia="zh-CN" w:bidi="ar-SA"/>
              </w:rPr>
              <w:t>此项最多加10分。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jc w:val="center"/>
        </w:trPr>
        <w:tc>
          <w:tcPr>
            <w:tcW w:w="1152" w:type="dxa"/>
            <w:vMerge w:val="continue"/>
            <w:tcBorders>
              <w:top w:val="nil"/>
              <w:bottom w:val="single" w:color="auto" w:sz="4" w:space="0"/>
            </w:tcBorders>
          </w:tcPr>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tc>
        <w:tc>
          <w:tcPr>
            <w:tcW w:w="429" w:type="dxa"/>
            <w:vMerge w:val="continue"/>
            <w:tcBorders>
              <w:top w:val="nil"/>
              <w:bottom w:val="single" w:color="auto" w:sz="4" w:space="0"/>
            </w:tcBorders>
          </w:tcPr>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tc>
        <w:tc>
          <w:tcPr>
            <w:tcW w:w="475" w:type="dxa"/>
            <w:tcBorders>
              <w:bottom w:val="single" w:color="auto" w:sz="4" w:space="0"/>
            </w:tcBorders>
          </w:tcPr>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履约信誉</w:t>
            </w:r>
          </w:p>
        </w:tc>
        <w:tc>
          <w:tcPr>
            <w:tcW w:w="1134" w:type="dxa"/>
            <w:gridSpan w:val="2"/>
            <w:tcBorders>
              <w:bottom w:val="single" w:color="auto" w:sz="4" w:space="0"/>
            </w:tcBorders>
          </w:tcPr>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p>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5.0 分</w:t>
            </w:r>
          </w:p>
        </w:tc>
        <w:tc>
          <w:tcPr>
            <w:tcW w:w="6615" w:type="dxa"/>
            <w:gridSpan w:val="4"/>
            <w:tcBorders>
              <w:bottom w:val="single" w:color="auto" w:sz="4" w:space="0"/>
            </w:tcBorders>
          </w:tcPr>
          <w:p>
            <w:pPr>
              <w:pStyle w:val="13"/>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1.满足资格审查条件（信誉最低要求）得5分。</w:t>
            </w:r>
          </w:p>
          <w:p>
            <w:pPr>
              <w:pStyle w:val="13"/>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2.每有一次资格审查条件（信誉最低要求）以外的不良行为记录的扣1分，扣完为止。</w:t>
            </w:r>
          </w:p>
          <w:p>
            <w:pPr>
              <w:pStyle w:val="13"/>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注：满足资格审查条件（信誉最低要求）以外的不良记录以招标公告发布之日至投标截止日从宁夏回族自治区交通运输厅官网、中华人民共和国交通运输部官网、宁夏回族自治区公路建设市场信用信息管理系统中的严重失</w:t>
            </w:r>
            <w:bookmarkStart w:id="0" w:name="_GoBack"/>
            <w:bookmarkEnd w:id="0"/>
            <w:r>
              <w:rPr>
                <w:rFonts w:hint="eastAsia" w:cs="宋体" w:asciiTheme="minorEastAsia" w:hAnsiTheme="minorEastAsia" w:eastAsiaTheme="minorEastAsia"/>
                <w:color w:val="auto"/>
                <w:sz w:val="21"/>
                <w:szCs w:val="22"/>
                <w:highlight w:val="none"/>
                <w:lang w:val="en-US" w:eastAsia="zh-CN" w:bidi="ar-SA"/>
              </w:rPr>
              <w:t>信行为及全国公路建设市场信用信息管理系统中的不良行为记录查询出的结果为准。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jc w:val="center"/>
        </w:trPr>
        <w:tc>
          <w:tcPr>
            <w:tcW w:w="9805" w:type="dxa"/>
            <w:gridSpan w:val="9"/>
            <w:tcBorders>
              <w:top w:val="single" w:color="auto" w:sz="4" w:space="0"/>
              <w:left w:val="single" w:color="auto" w:sz="4" w:space="0"/>
              <w:bottom w:val="single" w:color="auto" w:sz="4" w:space="0"/>
              <w:right w:val="single" w:color="auto" w:sz="4" w:space="0"/>
            </w:tcBorders>
          </w:tcPr>
          <w:p>
            <w:pPr>
              <w:pStyle w:val="13"/>
              <w:tabs>
                <w:tab w:val="left" w:pos="320"/>
              </w:tabs>
              <w:spacing w:before="101"/>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需要补充的其他内容：</w:t>
            </w:r>
          </w:p>
          <w:p>
            <w:pPr>
              <w:pStyle w:val="13"/>
              <w:tabs>
                <w:tab w:val="left" w:pos="320"/>
              </w:tabs>
              <w:spacing w:before="101" w:line="360" w:lineRule="auto"/>
              <w:ind w:firstLine="102" w:firstLineChars="49"/>
              <w:rPr>
                <w:rFonts w:hint="eastAsia" w:cs="宋体" w:asciiTheme="minorEastAsia" w:hAnsiTheme="minorEastAsia" w:eastAsiaTheme="minorEastAsia"/>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1.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 60%的，应在评标报告中作出说明。</w:t>
            </w:r>
          </w:p>
          <w:p>
            <w:pPr>
              <w:pStyle w:val="13"/>
              <w:tabs>
                <w:tab w:val="left" w:pos="320"/>
              </w:tabs>
              <w:spacing w:before="101" w:line="360" w:lineRule="auto"/>
              <w:ind w:firstLine="102" w:firstLineChars="49"/>
              <w:rPr>
                <w:rFonts w:hint="default" w:cs="宋体" w:asciiTheme="minorEastAsia" w:hAnsiTheme="minorEastAsia" w:eastAsiaTheme="minorEastAsia"/>
                <w:b/>
                <w:bCs/>
                <w:color w:val="auto"/>
                <w:sz w:val="21"/>
                <w:szCs w:val="22"/>
                <w:highlight w:val="none"/>
                <w:lang w:val="en-US" w:eastAsia="zh-CN" w:bidi="ar-SA"/>
              </w:rPr>
            </w:pPr>
            <w:r>
              <w:rPr>
                <w:rFonts w:hint="eastAsia" w:cs="宋体" w:asciiTheme="minorEastAsia" w:hAnsiTheme="minorEastAsia" w:eastAsiaTheme="minorEastAsia"/>
                <w:color w:val="auto"/>
                <w:sz w:val="21"/>
                <w:szCs w:val="22"/>
                <w:highlight w:val="none"/>
                <w:lang w:val="en-US" w:eastAsia="zh-CN" w:bidi="ar-SA"/>
              </w:rPr>
              <w:t>2.中标本项目二标段业主实验室（第二批）、三标段交工检测的中标单位不得参加本次一标段的投标，否则相关投标无效。</w:t>
            </w:r>
          </w:p>
        </w:tc>
      </w:tr>
    </w:tbl>
    <w:p>
      <w:pPr>
        <w:jc w:val="center"/>
        <w:rPr>
          <w:rFonts w:hint="eastAsia" w:eastAsia="宋体"/>
          <w:b/>
          <w:bCs/>
          <w:sz w:val="36"/>
          <w:szCs w:val="36"/>
          <w:lang w:val="en-US" w:eastAsia="zh-CN"/>
        </w:rPr>
      </w:pPr>
    </w:p>
    <w:p>
      <w:pPr>
        <w:pStyle w:val="2"/>
        <w:rPr>
          <w:rFonts w:hint="eastAsia" w:eastAsia="宋体"/>
          <w:b/>
          <w:bCs/>
          <w:sz w:val="36"/>
          <w:szCs w:val="36"/>
          <w:lang w:val="en-US" w:eastAsia="zh-CN"/>
        </w:rPr>
      </w:pPr>
    </w:p>
    <w:p>
      <w:pPr>
        <w:pStyle w:val="5"/>
        <w:spacing w:before="66" w:after="50"/>
        <w:ind w:left="280" w:right="280"/>
        <w:jc w:val="center"/>
        <w:rPr>
          <w:color w:val="000000" w:themeColor="text1"/>
          <w:highlight w:val="none"/>
          <w14:textFill>
            <w14:solidFill>
              <w14:schemeClr w14:val="tx1"/>
            </w14:solidFill>
          </w14:textFill>
        </w:rPr>
      </w:pPr>
    </w:p>
    <w:p>
      <w:pPr>
        <w:pStyle w:val="5"/>
        <w:spacing w:before="66" w:after="50"/>
        <w:ind w:left="280" w:right="280"/>
        <w:jc w:val="center"/>
        <w:rPr>
          <w:color w:val="000000" w:themeColor="text1"/>
          <w:highlight w:val="none"/>
          <w14:textFill>
            <w14:solidFill>
              <w14:schemeClr w14:val="tx1"/>
            </w14:solidFill>
          </w14:textFill>
        </w:rPr>
      </w:pPr>
    </w:p>
    <w:p>
      <w:pPr>
        <w:pStyle w:val="5"/>
        <w:spacing w:before="66" w:after="50"/>
        <w:ind w:left="280" w:right="280"/>
        <w:jc w:val="center"/>
        <w:rPr>
          <w:color w:val="000000" w:themeColor="text1"/>
          <w:highlight w:val="none"/>
          <w14:textFill>
            <w14:solidFill>
              <w14:schemeClr w14:val="tx1"/>
            </w14:solidFill>
          </w14:textFill>
        </w:rPr>
      </w:pPr>
    </w:p>
    <w:p>
      <w:pPr>
        <w:pStyle w:val="5"/>
        <w:spacing w:before="66" w:after="50"/>
        <w:ind w:left="280" w:right="280"/>
        <w:jc w:val="center"/>
        <w:rPr>
          <w:color w:val="000000" w:themeColor="text1"/>
          <w:highlight w:val="none"/>
          <w14:textFill>
            <w14:solidFill>
              <w14:schemeClr w14:val="tx1"/>
            </w14:solidFill>
          </w14:textFill>
        </w:rPr>
      </w:pPr>
    </w:p>
    <w:p>
      <w:pPr>
        <w:pStyle w:val="2"/>
        <w:ind w:left="0" w:leftChars="0" w:firstLine="0" w:firstLineChars="0"/>
        <w:rPr>
          <w:rFonts w:hint="default"/>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298" name="文本框 172"/>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文本框 172" o:spid="_x0000_s1026" o:spt="202" type="#_x0000_t202" style="position:absolute;left:0pt;margin-left:292.7pt;margin-top:787.9pt;height:11pt;width:15.15pt;mso-position-horizontal-relative:page;mso-position-vertical-relative:page;z-index:-251657216;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ZdS5doAAAANAQAADwAAAAAAAAABACAAAAAiAAAAZHJzL2Rvd25yZXYueG1s&#10;UEsBAhQAFAAAAAgAh07iQD5tjJy9AQAAdQ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3717290</wp:posOffset>
              </wp:positionH>
              <wp:positionV relativeFrom="page">
                <wp:posOffset>10006330</wp:posOffset>
              </wp:positionV>
              <wp:extent cx="192405" cy="139700"/>
              <wp:effectExtent l="0" t="0" r="0" b="0"/>
              <wp:wrapNone/>
              <wp:docPr id="316" name="文本框 136"/>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50</w:t>
                          </w:r>
                          <w:r>
                            <w:fldChar w:fldCharType="end"/>
                          </w:r>
                        </w:p>
                      </w:txbxContent>
                    </wps:txbx>
                    <wps:bodyPr lIns="0" tIns="0" rIns="0" bIns="0" upright="1"/>
                  </wps:wsp>
                </a:graphicData>
              </a:graphic>
            </wp:anchor>
          </w:drawing>
        </mc:Choice>
        <mc:Fallback>
          <w:pict>
            <v:shape id="文本框 136" o:spid="_x0000_s1026" o:spt="202" type="#_x0000_t202" style="position:absolute;left:0pt;margin-left:292.7pt;margin-top:787.9pt;height:11pt;width:15.15pt;mso-position-horizontal-relative:page;mso-position-vertical-relative:page;z-index:-251656192;mso-width-relative:page;mso-height-relative:page;" filled="f" stroked="f" coordsize="21600,21600" o:gfxdata="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Nl1Ll2gAAAA0BAAAPAAAAAAAAAAEAIAAAACIAAABkcnMvZG93bnJldi54&#10;bWxQSwECFAAUAAAACACHTuJAToHwUb8BAAB1AwAADgAAAAAAAAABACAAAAApAQAAZHJzL2Uyb0Rv&#10;Yy54bWxQSwUGAAAAAAYABgBZAQAAWg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3644900</wp:posOffset>
              </wp:positionH>
              <wp:positionV relativeFrom="page">
                <wp:posOffset>9868535</wp:posOffset>
              </wp:positionV>
              <wp:extent cx="310515" cy="152400"/>
              <wp:effectExtent l="0" t="0" r="0" b="0"/>
              <wp:wrapNone/>
              <wp:docPr id="59" name="文本框 103"/>
              <wp:cNvGraphicFramePr/>
              <a:graphic xmlns:a="http://schemas.openxmlformats.org/drawingml/2006/main">
                <a:graphicData uri="http://schemas.microsoft.com/office/word/2010/wordprocessingShape">
                  <wps:wsp>
                    <wps:cNvSpPr txBox="1"/>
                    <wps:spPr>
                      <a:xfrm>
                        <a:off x="0" y="0"/>
                        <a:ext cx="310515" cy="152400"/>
                      </a:xfrm>
                      <a:prstGeom prst="rect">
                        <a:avLst/>
                      </a:prstGeom>
                      <a:noFill/>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45</w:t>
                          </w:r>
                          <w:r>
                            <w:fldChar w:fldCharType="end"/>
                          </w:r>
                          <w:r>
                            <w:rPr>
                              <w:rFonts w:ascii="Times New Roman"/>
                              <w:sz w:val="18"/>
                            </w:rPr>
                            <w:t>-</w:t>
                          </w:r>
                        </w:p>
                      </w:txbxContent>
                    </wps:txbx>
                    <wps:bodyPr lIns="0" tIns="0" rIns="0" bIns="0" upright="1"/>
                  </wps:wsp>
                </a:graphicData>
              </a:graphic>
            </wp:anchor>
          </w:drawing>
        </mc:Choice>
        <mc:Fallback>
          <w:pict>
            <v:shape id="文本框 103" o:spid="_x0000_s1026" o:spt="202" type="#_x0000_t202" style="position:absolute;left:0pt;margin-left:287pt;margin-top:777.05pt;height:12pt;width:24.45pt;mso-position-horizontal-relative:page;mso-position-vertical-relative:page;z-index:-251655168;mso-width-relative:page;mso-height-relative:page;" filled="f" stroked="f" coordsize="21600,21600" o:gfxdata="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vaKlXbAAAADQEAAA8AAAAAAAAAAQAgAAAAIgAAAGRycy9kb3ducmV2Lnht&#10;bFBLAQIUABQAAAAIAIdO4kA73NG9vQEAAHQDAAAOAAAAAAAAAAEAIAAAACoBAABkcnMvZTJvRG9j&#10;LnhtbFBLBQYAAAAABgAGAFkBAABZ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45</w:t>
                    </w:r>
                    <w:r>
                      <w:fldChar w:fldCharType="end"/>
                    </w:r>
                    <w:r>
                      <w:rPr>
                        <w:rFonts w:ascii="Times New Roman"/>
                        <w:sz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51C41"/>
    <w:multiLevelType w:val="singleLevel"/>
    <w:tmpl w:val="BF951C41"/>
    <w:lvl w:ilvl="0" w:tentative="0">
      <w:start w:val="1"/>
      <w:numFmt w:val="decimal"/>
      <w:lvlText w:val="%1."/>
      <w:lvlJc w:val="left"/>
      <w:pPr>
        <w:tabs>
          <w:tab w:val="left" w:pos="312"/>
        </w:tabs>
      </w:pPr>
    </w:lvl>
  </w:abstractNum>
  <w:abstractNum w:abstractNumId="1">
    <w:nsid w:val="F3E4211F"/>
    <w:multiLevelType w:val="singleLevel"/>
    <w:tmpl w:val="F3E4211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NGIwYzliMjNkMWIxZjJkYWM1YjM5NWYzMGNiNDgifQ=="/>
  </w:docVars>
  <w:rsids>
    <w:rsidRoot w:val="33E4288A"/>
    <w:rsid w:val="093323AE"/>
    <w:rsid w:val="23764B64"/>
    <w:rsid w:val="2B41083F"/>
    <w:rsid w:val="32B548E8"/>
    <w:rsid w:val="33E4288A"/>
    <w:rsid w:val="37ED23FC"/>
    <w:rsid w:val="54E5310A"/>
    <w:rsid w:val="5DF50701"/>
    <w:rsid w:val="6CAE73B7"/>
    <w:rsid w:val="77AC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4">
    <w:name w:val="heading 7"/>
    <w:basedOn w:val="1"/>
    <w:next w:val="1"/>
    <w:qFormat/>
    <w:uiPriority w:val="1"/>
    <w:pPr>
      <w:jc w:val="center"/>
      <w:outlineLvl w:val="6"/>
    </w:pPr>
    <w:rPr>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48"/>
    </w:pPr>
    <w:rPr>
      <w:sz w:val="32"/>
      <w:szCs w:val="20"/>
    </w:rPr>
  </w:style>
  <w:style w:type="paragraph" w:styleId="5">
    <w:name w:val="Body Text"/>
    <w:basedOn w:val="1"/>
    <w:qFormat/>
    <w:uiPriority w:val="1"/>
  </w:style>
  <w:style w:type="paragraph" w:styleId="6">
    <w:name w:val="header"/>
    <w:basedOn w:val="1"/>
    <w:next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Heading 8"/>
    <w:basedOn w:val="1"/>
    <w:qFormat/>
    <w:uiPriority w:val="1"/>
    <w:pPr>
      <w:outlineLvl w:val="8"/>
    </w:pPr>
    <w:rPr>
      <w:sz w:val="28"/>
      <w:szCs w:val="28"/>
    </w:rPr>
  </w:style>
  <w:style w:type="paragraph" w:customStyle="1" w:styleId="13">
    <w:name w:val="Table Paragraph"/>
    <w:basedOn w:val="1"/>
    <w:qFormat/>
    <w:uiPriority w:val="1"/>
  </w:style>
  <w:style w:type="paragraph" w:styleId="14">
    <w:name w:val="List Paragraph"/>
    <w:basedOn w:val="1"/>
    <w:qFormat/>
    <w:uiPriority w:val="1"/>
    <w:pPr>
      <w:ind w:left="239" w:firstLine="420"/>
    </w:pPr>
  </w:style>
  <w:style w:type="paragraph" w:customStyle="1" w:styleId="15">
    <w:name w:val="Heading 9"/>
    <w:basedOn w:val="1"/>
    <w:qFormat/>
    <w:uiPriority w:val="1"/>
    <w:pPr>
      <w:ind w:left="239"/>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7041</Words>
  <Characters>7556</Characters>
  <Lines>0</Lines>
  <Paragraphs>0</Paragraphs>
  <TotalTime>11</TotalTime>
  <ScaleCrop>false</ScaleCrop>
  <LinksUpToDate>false</LinksUpToDate>
  <CharactersWithSpaces>7647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2023-06-01T01:30:00Z</dcterms:created>
  <dc:creator>　</dc:creator>
  <cp:lastModifiedBy>　</cp:lastModifiedBy>
  <cp:lastPrinted>2023-06-28T02:59:00Z</cp:lastPrinted>
  <dcterms:modified xsi:type="dcterms:W3CDTF">2023-06-28T10:02:26Z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ECFEC1E8C6044979A36FC5BEAD2A21C6_13</vt:lpwstr>
  </property>
</Properties>
</file>