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spacing w:before="0" w:after="0" w:line="360" w:lineRule="auto"/>
        <w:ind w:left="0" w:leftChars="0" w:right="-526" w:rightChars="-239" w:firstLine="0" w:firstLineChars="0"/>
        <w:jc w:val="center"/>
        <w:textAlignment w:val="auto"/>
        <w:rPr>
          <w:rFonts w:hint="default" w:eastAsia="宋体"/>
          <w:b/>
          <w:bCs/>
          <w:sz w:val="21"/>
          <w:szCs w:val="21"/>
          <w:lang w:val="en-US" w:eastAsia="zh-CN"/>
        </w:rPr>
      </w:pPr>
      <w:r>
        <w:rPr>
          <w:rFonts w:hint="eastAsia" w:ascii="宋体" w:hAnsi="宋体" w:eastAsia="宋体" w:cs="宋体"/>
          <w:b/>
          <w:bCs/>
          <w:sz w:val="24"/>
          <w:szCs w:val="24"/>
          <w:lang w:val="en-US" w:eastAsia="zh-CN" w:bidi="ar-SA"/>
        </w:rPr>
        <w:t>宁夏公路管理中心银川分中心普通国省干线服务区充电站建设工程</w:t>
      </w:r>
      <w:r>
        <w:rPr>
          <w:rFonts w:hint="eastAsia"/>
          <w:b/>
          <w:bCs/>
          <w:sz w:val="24"/>
          <w:szCs w:val="24"/>
          <w:lang w:val="en-US" w:eastAsia="zh-CN"/>
        </w:rPr>
        <w:t>关键内容</w:t>
      </w:r>
    </w:p>
    <w:p>
      <w:pPr>
        <w:widowControl/>
        <w:spacing w:line="360" w:lineRule="auto"/>
        <w:ind w:left="285"/>
        <w:rPr>
          <w:rFonts w:hint="eastAsia" w:eastAsia="宋体"/>
          <w:b/>
          <w:bCs/>
          <w:sz w:val="21"/>
          <w:szCs w:val="21"/>
          <w:lang w:val="en-US" w:eastAsia="zh-CN"/>
        </w:rPr>
      </w:pPr>
      <w:r>
        <w:rPr>
          <w:rFonts w:hint="eastAsia"/>
          <w:b/>
          <w:bCs/>
          <w:sz w:val="21"/>
          <w:szCs w:val="21"/>
        </w:rPr>
        <w:t>一、</w:t>
      </w:r>
      <w:r>
        <w:rPr>
          <w:rFonts w:hint="eastAsia"/>
          <w:b/>
          <w:bCs/>
          <w:sz w:val="21"/>
          <w:szCs w:val="21"/>
          <w:lang w:val="en-US" w:eastAsia="zh-CN"/>
        </w:rPr>
        <w:t>项目概况</w:t>
      </w:r>
    </w:p>
    <w:p>
      <w:pPr>
        <w:widowControl/>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本次招标共划分为1个标段，具体内容如下：</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宁夏公路管理中心银川分中心</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个养护站</w:t>
      </w:r>
      <w:r>
        <w:rPr>
          <w:rFonts w:hint="eastAsia" w:ascii="宋体" w:hAnsi="宋体" w:eastAsia="宋体" w:cs="宋体"/>
          <w:kern w:val="0"/>
          <w:sz w:val="21"/>
          <w:szCs w:val="21"/>
          <w:lang w:val="en-US" w:eastAsia="zh-CN"/>
        </w:rPr>
        <w:t>服务区汽车</w:t>
      </w:r>
      <w:r>
        <w:rPr>
          <w:rFonts w:hint="eastAsia" w:ascii="宋体" w:hAnsi="宋体" w:eastAsia="宋体" w:cs="宋体"/>
          <w:kern w:val="0"/>
          <w:sz w:val="21"/>
          <w:szCs w:val="21"/>
        </w:rPr>
        <w:t>充电桩</w:t>
      </w:r>
      <w:r>
        <w:rPr>
          <w:rFonts w:hint="eastAsia" w:ascii="宋体" w:hAnsi="宋体" w:eastAsia="宋体" w:cs="宋体"/>
          <w:kern w:val="0"/>
          <w:sz w:val="21"/>
          <w:szCs w:val="21"/>
          <w:lang w:val="en-US" w:eastAsia="zh-CN"/>
        </w:rPr>
        <w:t>建设安装</w:t>
      </w:r>
      <w:r>
        <w:rPr>
          <w:rFonts w:hint="eastAsia" w:ascii="宋体" w:hAnsi="宋体" w:eastAsia="宋体" w:cs="宋体"/>
          <w:kern w:val="0"/>
          <w:sz w:val="21"/>
          <w:szCs w:val="21"/>
        </w:rPr>
        <w:t>工程，分别为宁东、灵武东、灵武西</w:t>
      </w:r>
      <w:r>
        <w:rPr>
          <w:rFonts w:hint="eastAsia" w:ascii="宋体" w:hAnsi="宋体" w:eastAsia="宋体" w:cs="宋体"/>
          <w:kern w:val="0"/>
          <w:sz w:val="21"/>
          <w:szCs w:val="21"/>
          <w:lang w:val="en-US" w:eastAsia="zh-CN"/>
        </w:rPr>
        <w:t>和</w:t>
      </w:r>
      <w:r>
        <w:rPr>
          <w:rFonts w:hint="eastAsia" w:ascii="宋体" w:hAnsi="宋体" w:eastAsia="宋体" w:cs="宋体"/>
          <w:kern w:val="0"/>
          <w:sz w:val="21"/>
          <w:szCs w:val="21"/>
        </w:rPr>
        <w:t>黄羊滩</w:t>
      </w:r>
      <w:r>
        <w:rPr>
          <w:rFonts w:hint="eastAsia" w:ascii="宋体" w:hAnsi="宋体" w:eastAsia="宋体" w:cs="宋体"/>
          <w:kern w:val="0"/>
          <w:sz w:val="21"/>
          <w:szCs w:val="21"/>
          <w:lang w:val="en-US" w:eastAsia="zh-CN"/>
        </w:rPr>
        <w:t>4个服务区的</w:t>
      </w:r>
      <w:r>
        <w:rPr>
          <w:rFonts w:hint="eastAsia" w:ascii="宋体" w:hAnsi="宋体" w:eastAsia="宋体" w:cs="宋体"/>
          <w:kern w:val="0"/>
          <w:sz w:val="21"/>
          <w:szCs w:val="21"/>
        </w:rPr>
        <w:t>汽车充电桩</w:t>
      </w:r>
      <w:r>
        <w:rPr>
          <w:rFonts w:hint="eastAsia" w:ascii="宋体" w:hAnsi="宋体" w:eastAsia="宋体" w:cs="宋体"/>
          <w:kern w:val="0"/>
          <w:sz w:val="21"/>
          <w:szCs w:val="21"/>
          <w:lang w:val="en-US" w:eastAsia="zh-CN"/>
        </w:rPr>
        <w:t>和配套箱变的建设安装</w:t>
      </w:r>
      <w:r>
        <w:rPr>
          <w:rFonts w:hint="eastAsia" w:ascii="宋体" w:hAnsi="宋体" w:eastAsia="宋体" w:cs="宋体"/>
          <w:kern w:val="0"/>
          <w:sz w:val="21"/>
          <w:szCs w:val="21"/>
        </w:rPr>
        <w:t>工程。</w:t>
      </w:r>
    </w:p>
    <w:p>
      <w:pPr>
        <w:widowControl/>
        <w:spacing w:line="360" w:lineRule="auto"/>
        <w:rPr>
          <w:rFonts w:hint="eastAsia"/>
          <w:b/>
          <w:bCs/>
          <w:sz w:val="21"/>
          <w:szCs w:val="21"/>
          <w:lang w:val="en-US" w:eastAsia="zh-CN"/>
        </w:rPr>
      </w:pPr>
      <w:r>
        <w:rPr>
          <w:rFonts w:hint="eastAsia"/>
          <w:b/>
          <w:bCs/>
          <w:sz w:val="21"/>
          <w:szCs w:val="21"/>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widowControl/>
        <w:numPr>
          <w:ilvl w:val="0"/>
          <w:numId w:val="1"/>
        </w:numPr>
        <w:spacing w:line="360" w:lineRule="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招标人联系方式</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名称：宁夏公路管理中心银川分中心</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地址：银川市兴庆区青银高速公路银川东收费站北侧大楼</w:t>
      </w:r>
    </w:p>
    <w:p>
      <w:pPr>
        <w:pStyle w:val="13"/>
        <w:ind w:firstLine="420" w:firstLineChars="200"/>
        <w:rPr>
          <w:rFonts w:hint="default"/>
          <w:lang w:val="en-US" w:eastAsia="zh-CN"/>
        </w:rPr>
      </w:pPr>
      <w:r>
        <w:rPr>
          <w:rFonts w:hint="eastAsia" w:ascii="宋体" w:hAnsi="宋体" w:eastAsia="宋体" w:cs="宋体"/>
          <w:kern w:val="0"/>
          <w:sz w:val="21"/>
          <w:szCs w:val="21"/>
          <w:lang w:val="en-US" w:eastAsia="zh-CN"/>
        </w:rPr>
        <w:t>联系人：高晓龙</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联系方式：0951-6153260  </w:t>
      </w:r>
      <w:bookmarkStart w:id="0" w:name="_Toc28359009"/>
      <w:bookmarkStart w:id="1" w:name="_Toc28359086"/>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2.采购代理机构信息（如有）</w:t>
      </w:r>
      <w:bookmarkEnd w:id="0"/>
      <w:bookmarkEnd w:id="1"/>
    </w:p>
    <w:p>
      <w:pPr>
        <w:widowControl/>
        <w:spacing w:line="360" w:lineRule="auto"/>
        <w:ind w:firstLine="420" w:firstLineChars="200"/>
        <w:jc w:val="left"/>
        <w:rPr>
          <w:rFonts w:hint="eastAsia" w:ascii="宋体" w:hAnsi="宋体" w:eastAsia="宋体" w:cs="宋体"/>
          <w:kern w:val="0"/>
          <w:sz w:val="21"/>
          <w:szCs w:val="21"/>
          <w:lang w:val="en-US" w:eastAsia="zh-CN"/>
        </w:rPr>
      </w:pPr>
      <w:bookmarkStart w:id="2" w:name="_Toc28359010"/>
      <w:bookmarkStart w:id="3" w:name="_Toc28359087"/>
      <w:r>
        <w:rPr>
          <w:rFonts w:hint="eastAsia" w:ascii="宋体" w:hAnsi="宋体" w:eastAsia="宋体" w:cs="宋体"/>
          <w:kern w:val="0"/>
          <w:sz w:val="21"/>
          <w:szCs w:val="21"/>
          <w:lang w:val="en-US" w:eastAsia="zh-CN"/>
        </w:rPr>
        <w:t>名称：宁夏汇程国际招标有限公司</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地址：银川市金凤区贺兰山西路清水湾学子公寓十层(银川九中对面)</w:t>
      </w:r>
    </w:p>
    <w:bookmarkEnd w:id="2"/>
    <w:bookmarkEnd w:id="3"/>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联系人：张欣、毛利、黄红霞 </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电话：0951-6150811、15209510911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四、资格审查办法</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1.满足《中华人民共和国政府采购法》第二十二条规定：</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1.1提供在中华人民共和国境内注册的法人或其他组织的营业执照（或事业单位法人证书，或社会团体法人登记证书），如投标供应商为自然人的需提供自然人身份证明； </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1.2法人授权委托书、法定代表人及被授权人身份证复印件（法定代表人直接响应可不提供，但须提供法定代表人身份证复印件）；</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通过“信用中国”网站、中国政府采购网查询相关主体信用记录，对列入失信被执行人、重大税收违法案件当事人名单、政府采购严重违法失信行为、围标串标记录名单的供应商（处罚期限尚未届满的），拒绝其参与政府采购活动（以采购人或采购代理机构在开标当天查询的结果为准）；</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1.4具有良好的商业信誉和健全的财务会计制度承诺书；</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1.5依法缴纳税收和社会保障资金承诺书；</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1.6参加政府采购活动前三年内，在经营活动中没有重大违法记录承诺书；</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1.7提供履行合同所必须的设备和专业技术能力承诺函；</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2.落实政府采购政策需满足的资格要求：</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2.1中小微企业参加宁夏政府采购活动，依据《政府采购促进中小企业发展管理办法》 (财库〔2020〕 46 号）、《宁夏回族自治区政府采购促进中小企业发展管理办法实施细则》（宁财规发〔2021〕2 号）和《宁夏回族自治区财政厅 发展和改革委员会 工业和信息化厅 住房和城乡 建设厅 交通运输厅 水利厅 公共资源 交易管理局 中国人民银行银川中心 支行关于落实政府采购促进中小企业发展有关措施的通知》(宁财（采）发〔2022〕 275号），小型和微型企业应提供《中小企业声明函》，对报价给予5%扣除，用扣除后的价格参与评审。</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2.2根据《政府采购支持监狱企业发展有关问题的通知》（财库[2014]68号），监狱企业视同为小型、微型企业，监狱企业应提供证明文件,对报价给予5%的扣除，用扣除后的价格参与评审；</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5%的扣除，用扣除后的价格参与评审；</w:t>
      </w:r>
    </w:p>
    <w:p>
      <w:pPr>
        <w:widowControl/>
        <w:spacing w:line="36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3.本项目的特定资格要求：</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投标人应具备住房和城乡建设部门颁发的电力工程施工总承包三级（含三级）以上且具备国家能源局颁发的四级及以上承装（修、试）电力设施许可证，资质均在有效期内，具备建设主管部门颁发的有效安全生产许可证；</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项目负责人具备机电工程专业二级及以上注册建造师，持有交通运输主管部门或建设主管部门颁发的B类安全生产考核证书且未担任其他在施建设工程项目的建造师，并在人员、设备、资金等方面具有相应的施工能力。</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四、评标办法全文</w:t>
      </w:r>
    </w:p>
    <w:p>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评标办法前附表</w:t>
      </w:r>
    </w:p>
    <w:tbl>
      <w:tblPr>
        <w:tblStyle w:val="15"/>
        <w:tblW w:w="9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28"/>
        <w:gridCol w:w="7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2218" w:type="dxa"/>
            <w:gridSpan w:val="2"/>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分值构成</w:t>
            </w:r>
          </w:p>
        </w:tc>
        <w:tc>
          <w:tcPr>
            <w:tcW w:w="7574" w:type="dxa"/>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总分100分，其中：</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投标报价：20分</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业绩：15分</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人员：20分</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技术评审因素：45分</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（1）对本项目理解及服务方案：20分</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（2）重点、难点分析及应对措施：10分</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（3）后续服务安排及保证措施：10分</w:t>
            </w:r>
          </w:p>
          <w:p>
            <w:pPr>
              <w:pStyle w:val="18"/>
              <w:keepNext w:val="0"/>
              <w:keepLines w:val="0"/>
              <w:pageBreakBefore w:val="0"/>
              <w:widowControl w:val="0"/>
              <w:kinsoku/>
              <w:wordWrap/>
              <w:overflowPunct/>
              <w:topLinePunct w:val="0"/>
              <w:bidi w:val="0"/>
              <w:adjustRightInd/>
              <w:snapToGrid/>
              <w:spacing w:line="240" w:lineRule="auto"/>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（4）服务承诺：5分</w:t>
            </w:r>
            <w:bookmarkStart w:id="5" w:name="_GoBack"/>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490" w:type="dxa"/>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bookmarkStart w:id="4" w:name="_bookmark6"/>
            <w:bookmarkEnd w:id="4"/>
            <w:r>
              <w:rPr>
                <w:rFonts w:hint="eastAsia" w:ascii="仿宋" w:hAnsi="仿宋" w:eastAsia="宋体" w:cs="仿宋"/>
                <w:spacing w:val="8"/>
                <w:kern w:val="2"/>
                <w:sz w:val="21"/>
                <w:szCs w:val="21"/>
                <w:highlight w:val="none"/>
                <w:lang w:val="en-US" w:eastAsia="zh-CN" w:bidi="ar-SA"/>
              </w:rPr>
              <w:t>评分项目</w:t>
            </w:r>
          </w:p>
        </w:tc>
        <w:tc>
          <w:tcPr>
            <w:tcW w:w="728" w:type="dxa"/>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分值</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1490" w:type="dxa"/>
            <w:tcBorders>
              <w:bottom w:val="single" w:color="auto" w:sz="4" w:space="0"/>
            </w:tcBorders>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响应报价</w:t>
            </w:r>
          </w:p>
        </w:tc>
        <w:tc>
          <w:tcPr>
            <w:tcW w:w="728" w:type="dxa"/>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20分</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240" w:lineRule="auto"/>
              <w:ind w:left="44" w:leftChars="20" w:right="44" w:rightChars="20" w:firstLine="452" w:firstLineChars="200"/>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供应商的价格分统一按下列公式计算：响应报价得分=（评标基准价/最后投标报价）×20。评标基准价：满足磋商文件要求且最后投标价格最低的投标报价。</w:t>
            </w:r>
          </w:p>
          <w:p>
            <w:pPr>
              <w:pStyle w:val="18"/>
              <w:keepNext w:val="0"/>
              <w:keepLines w:val="0"/>
              <w:pageBreakBefore w:val="0"/>
              <w:widowControl w:val="0"/>
              <w:kinsoku/>
              <w:wordWrap/>
              <w:overflowPunct/>
              <w:topLinePunct w:val="0"/>
              <w:bidi w:val="0"/>
              <w:adjustRightInd/>
              <w:snapToGrid/>
              <w:spacing w:line="240" w:lineRule="auto"/>
              <w:ind w:left="44" w:leftChars="20" w:right="44" w:rightChars="20" w:firstLine="452" w:firstLineChars="200"/>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注：项目评审过程中，不得去掉报价中的最高报价和最低报价。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1490" w:type="dxa"/>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业绩</w:t>
            </w:r>
          </w:p>
        </w:tc>
        <w:tc>
          <w:tcPr>
            <w:tcW w:w="728" w:type="dxa"/>
            <w:vAlign w:val="center"/>
          </w:tcPr>
          <w:p>
            <w:pPr>
              <w:pStyle w:val="18"/>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15分</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bidi w:val="0"/>
              <w:adjustRightInd/>
              <w:snapToGrid/>
              <w:spacing w:line="240" w:lineRule="auto"/>
              <w:ind w:left="44" w:leftChars="20" w:right="44" w:rightChars="20" w:firstLine="452" w:firstLineChars="200"/>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近五年（自2018年5月1日至磋商文件递交截止之日）内，完成过1个充电桩建设或安装工程项目业绩得9分；在此基础上，每增加1个近五年（自2018年5月1日至磋商文件递交截止之日）的充电桩建设或安装工程业绩加3分，最高加6分。（提供中标通知书或合同协议书原件件，否则不得分；日期以合同协议书签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4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人员</w:t>
            </w:r>
          </w:p>
        </w:tc>
        <w:tc>
          <w:tcPr>
            <w:tcW w:w="7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20分</w:t>
            </w:r>
          </w:p>
        </w:tc>
        <w:tc>
          <w:tcPr>
            <w:tcW w:w="7574" w:type="dxa"/>
            <w:tcBorders>
              <w:right w:val="single" w:color="auto" w:sz="4" w:space="0"/>
            </w:tcBorders>
            <w:vAlign w:val="center"/>
          </w:tcPr>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项目经理具备机电工程二级及以上注册建造师，持有交通运输主管部门或建设主管部门颁发的B类安全生产考核证书；具有电力、机电工程相关专业中级职称得1.5分，具有电力、机电工程相关专业高级及以上职称以上得2分。（提供注册建造师证、职称证、安全生产考核证证明材料复印件并加盖投标单位公章，否则不得分）</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项目经理近五年（自2018年5月1日至磋商文件递交截止之日）内，完成过1个类似充电桩建设安装工程项目业绩得6分，在此基础上，每增加1个近五年（自2018年5月1日至磋商文件递交截止之日）类似业绩加2分，最多加4分。（提供中标通知书或合同协议书或交（竣）工验收证明材料或项目竣工备案登记表，以上证明材料中须体现项目经理担任的职务，并加盖投标单位公章，否则不得分）</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项目技术负责人具有电力、机电工程相关专业中级职称得1.5分，具有电力、机电工程相关专业高级及以上职称得2分。（提供职称证证明材料复印件并加盖投标单位公章，否则不得分）</w:t>
            </w:r>
          </w:p>
          <w:p>
            <w:pPr>
              <w:pStyle w:val="18"/>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项目技术负责人近五年（自2018年5月1日至磋商文件递交截止之日）内，完成过1个类似充电桩安装工程项目业绩得4分，每增加1个类似业绩加2分，最多加2分。（提供中标通知书或合同协议书或交（竣）工验收证明材料或项目竣工备案登记表，以上证明材料中须体现项目技术负责人担任的职务，并加盖投标单位公章，否则不得分）</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注</w:t>
            </w:r>
            <w:r>
              <w:rPr>
                <w:rFonts w:hint="eastAsia" w:ascii="仿宋" w:hAnsi="仿宋" w:eastAsia="宋体" w:cs="仿宋"/>
                <w:spacing w:val="8"/>
                <w:kern w:val="2"/>
                <w:sz w:val="21"/>
                <w:szCs w:val="21"/>
                <w:highlight w:val="none"/>
                <w:lang w:val="zh-TW" w:eastAsia="zh-TW" w:bidi="ar-SA"/>
              </w:rPr>
              <w:t>：</w:t>
            </w:r>
            <w:r>
              <w:rPr>
                <w:rFonts w:hint="eastAsia" w:ascii="仿宋" w:hAnsi="仿宋" w:eastAsia="宋体" w:cs="仿宋"/>
                <w:spacing w:val="8"/>
                <w:kern w:val="2"/>
                <w:sz w:val="21"/>
                <w:szCs w:val="21"/>
                <w:highlight w:val="none"/>
                <w:lang w:val="en-US" w:eastAsia="zh-CN" w:bidi="ar-SA"/>
              </w:rPr>
              <w:t>项目经理和项目技术负责人须提供</w:t>
            </w:r>
            <w:r>
              <w:rPr>
                <w:rFonts w:hint="eastAsia" w:ascii="仿宋" w:hAnsi="仿宋" w:eastAsia="宋体" w:cs="仿宋"/>
                <w:spacing w:val="8"/>
                <w:kern w:val="2"/>
                <w:sz w:val="21"/>
                <w:szCs w:val="21"/>
                <w:highlight w:val="none"/>
                <w:lang w:val="zh-TW" w:eastAsia="zh-TW" w:bidi="ar-SA"/>
              </w:rPr>
              <w:t>202</w:t>
            </w:r>
            <w:r>
              <w:rPr>
                <w:rFonts w:hint="eastAsia" w:ascii="仿宋" w:hAnsi="仿宋" w:eastAsia="宋体" w:cs="仿宋"/>
                <w:spacing w:val="8"/>
                <w:kern w:val="2"/>
                <w:sz w:val="21"/>
                <w:szCs w:val="21"/>
                <w:highlight w:val="none"/>
                <w:lang w:val="en-US" w:eastAsia="zh-CN" w:bidi="ar-SA"/>
              </w:rPr>
              <w:t>2</w:t>
            </w:r>
            <w:r>
              <w:rPr>
                <w:rFonts w:hint="eastAsia" w:ascii="仿宋" w:hAnsi="仿宋" w:eastAsia="宋体" w:cs="仿宋"/>
                <w:spacing w:val="8"/>
                <w:kern w:val="2"/>
                <w:sz w:val="21"/>
                <w:szCs w:val="21"/>
                <w:highlight w:val="none"/>
                <w:lang w:val="zh-TW" w:eastAsia="zh-TW" w:bidi="ar-SA"/>
              </w:rPr>
              <w:t>年1</w:t>
            </w:r>
            <w:r>
              <w:rPr>
                <w:rFonts w:hint="eastAsia" w:ascii="仿宋" w:hAnsi="仿宋" w:eastAsia="宋体" w:cs="仿宋"/>
                <w:spacing w:val="8"/>
                <w:kern w:val="2"/>
                <w:sz w:val="21"/>
                <w:szCs w:val="21"/>
                <w:highlight w:val="none"/>
                <w:lang w:val="en-US" w:eastAsia="zh-CN" w:bidi="ar-SA"/>
              </w:rPr>
              <w:t>1</w:t>
            </w:r>
            <w:r>
              <w:rPr>
                <w:rFonts w:hint="eastAsia" w:ascii="仿宋" w:hAnsi="仿宋" w:eastAsia="宋体" w:cs="仿宋"/>
                <w:spacing w:val="8"/>
                <w:kern w:val="2"/>
                <w:sz w:val="21"/>
                <w:szCs w:val="21"/>
                <w:highlight w:val="none"/>
                <w:lang w:val="zh-TW" w:eastAsia="zh-TW" w:bidi="ar-SA"/>
              </w:rPr>
              <w:t>月至今任意连续三个月的社保证明</w:t>
            </w:r>
            <w:r>
              <w:rPr>
                <w:rFonts w:hint="eastAsia" w:ascii="仿宋" w:hAnsi="仿宋" w:eastAsia="宋体" w:cs="仿宋"/>
                <w:spacing w:val="8"/>
                <w:kern w:val="2"/>
                <w:sz w:val="21"/>
                <w:szCs w:val="21"/>
                <w:highlight w:val="none"/>
                <w:lang w:val="en-US" w:eastAsia="zh-CN" w:bidi="ar-SA"/>
              </w:rPr>
              <w:t>材料复印件，同时</w:t>
            </w:r>
            <w:r>
              <w:rPr>
                <w:rFonts w:hint="eastAsia" w:ascii="仿宋" w:hAnsi="仿宋" w:eastAsia="宋体" w:cs="仿宋"/>
                <w:spacing w:val="8"/>
                <w:kern w:val="2"/>
                <w:sz w:val="21"/>
                <w:szCs w:val="21"/>
                <w:highlight w:val="none"/>
                <w:lang w:val="zh-TW" w:eastAsia="zh-TW" w:bidi="ar-SA"/>
              </w:rPr>
              <w:t>要求项目经理</w:t>
            </w:r>
            <w:r>
              <w:rPr>
                <w:rFonts w:hint="eastAsia" w:ascii="仿宋" w:hAnsi="仿宋" w:eastAsia="宋体" w:cs="仿宋"/>
                <w:spacing w:val="8"/>
                <w:kern w:val="2"/>
                <w:sz w:val="21"/>
                <w:szCs w:val="21"/>
                <w:highlight w:val="none"/>
                <w:lang w:val="en-US" w:eastAsia="zh-CN" w:bidi="ar-SA"/>
              </w:rPr>
              <w:t>和项目</w:t>
            </w:r>
            <w:r>
              <w:rPr>
                <w:rFonts w:hint="eastAsia" w:ascii="仿宋" w:hAnsi="仿宋" w:eastAsia="宋体" w:cs="仿宋"/>
                <w:spacing w:val="8"/>
                <w:kern w:val="2"/>
                <w:sz w:val="21"/>
                <w:szCs w:val="21"/>
                <w:highlight w:val="none"/>
                <w:lang w:val="zh-TW" w:eastAsia="zh-TW" w:bidi="ar-SA"/>
              </w:rPr>
              <w:t>技术负责人无在岗项目</w:t>
            </w:r>
            <w:r>
              <w:rPr>
                <w:rFonts w:hint="eastAsia" w:ascii="仿宋" w:hAnsi="仿宋" w:eastAsia="宋体" w:cs="仿宋"/>
                <w:spacing w:val="8"/>
                <w:kern w:val="2"/>
                <w:sz w:val="21"/>
                <w:szCs w:val="21"/>
                <w:highlight w:val="none"/>
                <w:lang w:val="zh-TW" w:eastAsia="zh-CN" w:bidi="ar-SA"/>
              </w:rPr>
              <w:t>。</w:t>
            </w:r>
            <w:r>
              <w:rPr>
                <w:rFonts w:hint="eastAsia" w:ascii="仿宋" w:hAnsi="仿宋" w:eastAsia="宋体" w:cs="仿宋"/>
                <w:spacing w:val="8"/>
                <w:kern w:val="2"/>
                <w:sz w:val="21"/>
                <w:szCs w:val="21"/>
                <w:highlight w:val="none"/>
                <w:lang w:val="zh-TW" w:eastAsia="zh-TW" w:bidi="ar-SA"/>
              </w:rPr>
              <w:t>无在岗项目是指：①目前未在其它项目上中标或任职；②在其它项目上中标或已任职，且中标或已任职项目的合同工期与本项目的工期重叠，但本项目中标后能够从该项目上撤离的，则供应商应提供承诺上述人员能够从该项目撤离的书面承诺，承诺的内容为上述人员能够从中标项目或已任职项目上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对本项目理解及服务方案</w:t>
            </w:r>
          </w:p>
        </w:tc>
        <w:tc>
          <w:tcPr>
            <w:tcW w:w="7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20分</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对本项目的理解及服务方案内容的全面性、详细程度等进行评审。</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重点、难点分析及应对措施</w:t>
            </w:r>
          </w:p>
        </w:tc>
        <w:tc>
          <w:tcPr>
            <w:tcW w:w="7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10分</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对本项目的重点、难点的分析及应对措施阐述的针对性、完善程度、合理情况等进行评审。</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后续服务安排及保证措施</w:t>
            </w:r>
          </w:p>
        </w:tc>
        <w:tc>
          <w:tcPr>
            <w:tcW w:w="7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10分</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对本项目的后续服务的安排及保证措施阐述的合理性、完善性等进行评审。</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供应商后续服务安排合理、措施得当的得8-10分；安排较合理、措施较完善的得6-8分；安排基本合理、措施基本得当的得6分。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服务承诺</w:t>
            </w:r>
          </w:p>
        </w:tc>
        <w:tc>
          <w:tcPr>
            <w:tcW w:w="72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5分</w:t>
            </w:r>
          </w:p>
        </w:tc>
        <w:tc>
          <w:tcPr>
            <w:tcW w:w="7574" w:type="dxa"/>
            <w:tcBorders>
              <w:right w:val="single" w:color="auto"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宋体"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对本项目的服务承诺进行评审。</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44" w:leftChars="20" w:right="44" w:rightChars="20" w:firstLine="452" w:firstLineChars="200"/>
              <w:jc w:val="both"/>
              <w:textAlignment w:val="auto"/>
              <w:rPr>
                <w:rFonts w:hint="eastAsia" w:ascii="仿宋" w:hAnsi="仿宋" w:eastAsia="仿宋" w:cs="仿宋"/>
                <w:spacing w:val="8"/>
                <w:kern w:val="2"/>
                <w:sz w:val="21"/>
                <w:szCs w:val="21"/>
                <w:highlight w:val="none"/>
                <w:lang w:val="en-US" w:eastAsia="zh-CN" w:bidi="ar-SA"/>
              </w:rPr>
            </w:pPr>
            <w:r>
              <w:rPr>
                <w:rFonts w:hint="eastAsia" w:ascii="仿宋" w:hAnsi="仿宋" w:eastAsia="宋体" w:cs="仿宋"/>
                <w:spacing w:val="8"/>
                <w:kern w:val="2"/>
                <w:sz w:val="21"/>
                <w:szCs w:val="21"/>
                <w:highlight w:val="none"/>
                <w:lang w:val="en-US" w:eastAsia="zh-CN" w:bidi="ar-SA"/>
              </w:rPr>
              <w:t>服务承诺详细、合理的得4-5分；服务承诺较详细、较合理的得3-4分；服务承诺一般、基本合理的得3分。</w:t>
            </w:r>
          </w:p>
        </w:tc>
      </w:tr>
    </w:tbl>
    <w:p>
      <w:pPr>
        <w:spacing w:line="360" w:lineRule="auto"/>
        <w:jc w:val="left"/>
        <w:rPr>
          <w:rFonts w:hint="eastAsia" w:ascii="宋体" w:hAnsi="宋体" w:eastAsia="宋体" w:cs="宋体"/>
          <w:sz w:val="21"/>
          <w:szCs w:val="21"/>
          <w:lang w:val="en-US" w:eastAsia="zh-CN" w:bidi="ar-SA"/>
        </w:rPr>
      </w:pPr>
    </w:p>
    <w:sectPr>
      <w:pgSz w:w="11900" w:h="16843"/>
      <w:pgMar w:top="1083" w:right="1440" w:bottom="1083" w:left="1440" w:header="850" w:footer="850" w:gutter="0"/>
      <w:cols w:space="0" w:num="1"/>
      <w:titlePg/>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211F"/>
    <w:multiLevelType w:val="singleLevel"/>
    <w:tmpl w:val="F3E4211F"/>
    <w:lvl w:ilvl="0" w:tentative="0">
      <w:start w:val="3"/>
      <w:numFmt w:val="chineseCounting"/>
      <w:suff w:val="nothing"/>
      <w:lvlText w:val="%1、"/>
      <w:lvlJc w:val="left"/>
      <w:rPr>
        <w:rFonts w:hint="eastAsia"/>
      </w:rPr>
    </w:lvl>
  </w:abstractNum>
  <w:abstractNum w:abstractNumId="1">
    <w:nsid w:val="40B34B0E"/>
    <w:multiLevelType w:val="singleLevel"/>
    <w:tmpl w:val="40B34B0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MGEwZDUzMjFlZmU0NmYxZTg1MDIzNDllMGY3OTQifQ=="/>
  </w:docVars>
  <w:rsids>
    <w:rsidRoot w:val="406777B4"/>
    <w:rsid w:val="16B72F97"/>
    <w:rsid w:val="406777B4"/>
    <w:rsid w:val="409758DB"/>
    <w:rsid w:val="43BA3952"/>
    <w:rsid w:val="5BEF470F"/>
    <w:rsid w:val="616D67BF"/>
    <w:rsid w:val="6FA31447"/>
    <w:rsid w:val="7296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4">
    <w:name w:val="heading 2"/>
    <w:basedOn w:val="1"/>
    <w:next w:val="5"/>
    <w:unhideWhenUsed/>
    <w:qFormat/>
    <w:uiPriority w:val="0"/>
    <w:pPr>
      <w:spacing w:before="22"/>
      <w:ind w:left="1144" w:right="1155"/>
      <w:jc w:val="center"/>
      <w:outlineLvl w:val="1"/>
    </w:pPr>
    <w:rPr>
      <w:sz w:val="44"/>
      <w:szCs w:val="44"/>
    </w:rPr>
  </w:style>
  <w:style w:type="paragraph" w:styleId="6">
    <w:name w:val="heading 4"/>
    <w:basedOn w:val="1"/>
    <w:next w:val="1"/>
    <w:unhideWhenUsed/>
    <w:qFormat/>
    <w:uiPriority w:val="9"/>
    <w:pPr>
      <w:spacing w:before="43"/>
      <w:ind w:right="10"/>
      <w:jc w:val="center"/>
      <w:outlineLvl w:val="3"/>
    </w:pPr>
    <w:rPr>
      <w:sz w:val="30"/>
      <w:szCs w:val="30"/>
    </w:rPr>
  </w:style>
  <w:style w:type="paragraph" w:styleId="7">
    <w:name w:val="heading 8"/>
    <w:basedOn w:val="1"/>
    <w:next w:val="1"/>
    <w:qFormat/>
    <w:uiPriority w:val="1"/>
    <w:pPr>
      <w:spacing w:before="1"/>
      <w:ind w:left="440"/>
      <w:outlineLvl w:val="7"/>
    </w:pPr>
    <w:rPr>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ind w:firstLine="480"/>
    </w:pPr>
    <w:rPr>
      <w:sz w:val="24"/>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next w:val="1"/>
    <w:qFormat/>
    <w:uiPriority w:val="1"/>
    <w:rPr>
      <w:sz w:val="21"/>
      <w:szCs w:val="21"/>
    </w:rPr>
  </w:style>
  <w:style w:type="paragraph" w:styleId="10">
    <w:name w:val="Body Text Indent"/>
    <w:basedOn w:val="1"/>
    <w:qFormat/>
    <w:uiPriority w:val="0"/>
    <w:pPr>
      <w:ind w:firstLine="648"/>
    </w:pPr>
    <w:rPr>
      <w:sz w:val="32"/>
      <w:szCs w:val="20"/>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eastAsia="宋体" w:cs="Times New Roman"/>
      <w:b/>
      <w:kern w:val="0"/>
      <w:sz w:val="32"/>
      <w:szCs w:val="20"/>
    </w:rPr>
  </w:style>
  <w:style w:type="paragraph" w:styleId="13">
    <w:name w:val="Body Text First Indent"/>
    <w:basedOn w:val="9"/>
    <w:qFormat/>
    <w:uiPriority w:val="0"/>
    <w:pPr>
      <w:tabs>
        <w:tab w:val="left" w:pos="567"/>
      </w:tabs>
      <w:ind w:firstLine="420" w:firstLineChars="100"/>
    </w:pPr>
  </w:style>
  <w:style w:type="paragraph" w:styleId="14">
    <w:name w:val="Body Text First Indent 2"/>
    <w:basedOn w:val="10"/>
    <w:next w:val="1"/>
    <w:qFormat/>
    <w:uiPriority w:val="0"/>
    <w:pPr>
      <w:ind w:firstLine="420" w:firstLineChars="200"/>
    </w:p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Table Paragraph"/>
    <w:basedOn w:val="19"/>
    <w:qFormat/>
    <w:uiPriority w:val="1"/>
  </w:style>
  <w:style w:type="paragraph" w:customStyle="1" w:styleId="19">
    <w:name w:val="正文_0_0"/>
    <w:next w:val="20"/>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20">
    <w:name w:val="标题 2_0_0"/>
    <w:basedOn w:val="19"/>
    <w:next w:val="21"/>
    <w:qFormat/>
    <w:uiPriority w:val="0"/>
    <w:pPr>
      <w:spacing w:before="260" w:after="260" w:line="416" w:lineRule="auto"/>
      <w:outlineLvl w:val="1"/>
    </w:pPr>
    <w:rPr>
      <w:rFonts w:ascii="Arial" w:hAnsi="Arial" w:eastAsia="黑体"/>
      <w:b/>
      <w:bCs/>
      <w:sz w:val="32"/>
      <w:szCs w:val="32"/>
    </w:rPr>
  </w:style>
  <w:style w:type="paragraph" w:customStyle="1" w:styleId="21">
    <w:name w:val="正文缩进_0_0"/>
    <w:basedOn w:val="19"/>
    <w:qFormat/>
    <w:uiPriority w:val="0"/>
    <w:pPr>
      <w:ind w:firstLine="420"/>
    </w:pPr>
    <w:rPr>
      <w:sz w:val="20"/>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220" w:firstLine="420"/>
    </w:pPr>
  </w:style>
  <w:style w:type="paragraph" w:customStyle="1" w:styleId="24">
    <w:name w:val="首行缩进"/>
    <w:basedOn w:val="1"/>
    <w:qFormat/>
    <w:uiPriority w:val="0"/>
    <w:pPr>
      <w:spacing w:line="360" w:lineRule="auto"/>
      <w:ind w:left="210" w:leftChars="100" w:firstLine="420" w:firstLineChars="200"/>
    </w:pPr>
  </w:style>
  <w:style w:type="paragraph" w:customStyle="1" w:styleId="25">
    <w:name w:val="最 中间标题"/>
    <w:basedOn w:val="1"/>
    <w:link w:val="27"/>
    <w:qFormat/>
    <w:uiPriority w:val="0"/>
    <w:pPr>
      <w:spacing w:before="100" w:beforeLines="100" w:after="100" w:afterLines="100"/>
      <w:jc w:val="center"/>
    </w:pPr>
    <w:rPr>
      <w:rFonts w:ascii="宋体" w:hAnsi="宋体" w:eastAsia="宋体" w:cs="Times New Roman"/>
      <w:b/>
      <w:bCs/>
      <w:kern w:val="0"/>
      <w:sz w:val="30"/>
      <w:szCs w:val="30"/>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最 中间标题 Char"/>
    <w:link w:val="25"/>
    <w:qFormat/>
    <w:uiPriority w:val="0"/>
    <w:rPr>
      <w:rFonts w:ascii="宋体" w:hAnsi="宋体" w:eastAsia="宋体" w:cs="Times New Roman"/>
      <w:b/>
      <w:bCs/>
      <w:kern w:val="0"/>
      <w:sz w:val="30"/>
      <w:szCs w:val="30"/>
    </w:rPr>
  </w:style>
  <w:style w:type="paragraph" w:customStyle="1" w:styleId="28">
    <w:name w:val="表中"/>
    <w:basedOn w:val="1"/>
    <w:qFormat/>
    <w:uiPriority w:val="0"/>
    <w:pPr>
      <w:adjustRightInd w:val="0"/>
      <w:snapToGrid w:val="0"/>
      <w:spacing w:line="420" w:lineRule="atLeast"/>
      <w:jc w:val="center"/>
      <w:textAlignment w:val="baseline"/>
    </w:pPr>
    <w:rPr>
      <w:rFonts w:ascii="Times New Roman" w:hAnsi="Times New Roman" w:eastAsia="宋体" w:cs="Times New Roman"/>
      <w:snapToGrid w:val="0"/>
      <w:kern w:val="0"/>
      <w:szCs w:val="20"/>
    </w:rPr>
  </w:style>
  <w:style w:type="paragraph" w:customStyle="1" w:styleId="29">
    <w:name w:val="Normal_0"/>
    <w:qFormat/>
    <w:uiPriority w:val="0"/>
    <w:rPr>
      <w:rFonts w:ascii="Times New Roman" w:hAnsi="Times New Roman" w:eastAsia="Times New Roman" w:cs="Times New Roman"/>
      <w:sz w:val="24"/>
      <w:szCs w:val="24"/>
      <w:lang w:val="en-US" w:eastAsia="zh-CN" w:bidi="ar-SA"/>
    </w:rPr>
  </w:style>
  <w:style w:type="character" w:customStyle="1" w:styleId="30">
    <w:name w:val="左侧题目 Char"/>
    <w:link w:val="31"/>
    <w:qFormat/>
    <w:uiPriority w:val="0"/>
    <w:rPr>
      <w:rFonts w:ascii="宋体" w:hAnsi="宋体" w:eastAsia="宋体" w:cs="Times New Roman"/>
      <w:b/>
      <w:bCs/>
      <w:kern w:val="0"/>
      <w:sz w:val="28"/>
      <w:szCs w:val="28"/>
    </w:rPr>
  </w:style>
  <w:style w:type="paragraph" w:customStyle="1" w:styleId="31">
    <w:name w:val="左侧题目"/>
    <w:basedOn w:val="1"/>
    <w:link w:val="30"/>
    <w:qFormat/>
    <w:uiPriority w:val="0"/>
    <w:pPr>
      <w:spacing w:before="50" w:beforeLines="50" w:after="50" w:afterLines="50" w:line="240" w:lineRule="auto"/>
      <w:ind w:firstLine="0" w:firstLineChars="0"/>
      <w:jc w:val="left"/>
    </w:pPr>
    <w:rPr>
      <w:rFonts w:ascii="宋体" w:hAnsi="宋体" w:eastAsia="宋体" w:cs="Times New Roman"/>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3002</Words>
  <Characters>3162</Characters>
  <Lines>0</Lines>
  <Paragraphs>0</Paragraphs>
  <TotalTime>0</TotalTime>
  <ScaleCrop>false</ScaleCrop>
  <LinksUpToDate>false</LinksUpToDate>
  <CharactersWithSpaces>3185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　</cp:lastModifiedBy>
  <dcterms:modified xsi:type="dcterms:W3CDTF">2023-05-31T01:29:04Z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71454BB53B46439C89B45F8AFE841F8F</vt:lpwstr>
  </property>
</Properties>
</file>