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ind w:left="-199" w:leftChars="-95" w:right="-168" w:rightChars="-80" w:firstLine="0" w:firstLineChars="0"/>
        <w:jc w:val="center"/>
        <w:rPr>
          <w:rFonts w:hint="eastAsia" w:asciiTheme="minorEastAsia" w:hAnsiTheme="minorEastAsia" w:eastAsiaTheme="minorEastAsia" w:cstheme="minorEastAsia"/>
          <w:b/>
          <w:bCs/>
          <w:color w:val="000000"/>
          <w:kern w:val="0"/>
          <w:sz w:val="32"/>
          <w:szCs w:val="32"/>
          <w:lang w:val="en-US" w:eastAsia="zh-CN" w:bidi="ar"/>
        </w:rPr>
      </w:pPr>
      <w:r>
        <w:rPr>
          <w:rFonts w:hint="eastAsia" w:asciiTheme="minorEastAsia" w:hAnsiTheme="minorEastAsia" w:eastAsiaTheme="minorEastAsia" w:cstheme="minorEastAsia"/>
          <w:b/>
          <w:bCs/>
          <w:color w:val="auto"/>
          <w:spacing w:val="-4"/>
          <w:sz w:val="32"/>
          <w:szCs w:val="32"/>
          <w:highlight w:val="none"/>
          <w:shd w:val="clear" w:color="auto" w:fill="FFFFFE"/>
          <w:lang w:val="en-US" w:eastAsia="zh-CN"/>
        </w:rPr>
        <w:t>宁夏公路管理中心银川分中心2023年东方道班改造工程空气源热泵采购安装项目公开招标公告</w:t>
      </w:r>
      <w:r>
        <w:rPr>
          <w:rFonts w:hint="eastAsia" w:asciiTheme="minorEastAsia" w:hAnsiTheme="minorEastAsia" w:eastAsiaTheme="minorEastAsia" w:cstheme="minorEastAsia"/>
          <w:b/>
          <w:bCs/>
          <w:color w:val="000000"/>
          <w:kern w:val="0"/>
          <w:sz w:val="32"/>
          <w:szCs w:val="32"/>
          <w:lang w:val="en-US" w:eastAsia="zh-CN" w:bidi="ar"/>
        </w:rPr>
        <w:t>关键内容</w:t>
      </w:r>
    </w:p>
    <w:p>
      <w:pPr>
        <w:keepNext w:val="0"/>
        <w:keepLines w:val="0"/>
        <w:widowControl/>
        <w:numPr>
          <w:ilvl w:val="0"/>
          <w:numId w:val="1"/>
        </w:numPr>
        <w:suppressLineNumbers w:val="0"/>
        <w:spacing w:line="360" w:lineRule="auto"/>
        <w:ind w:left="-199" w:leftChars="-95" w:right="-168" w:rightChars="-80" w:firstLine="0" w:firstLineChars="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宁夏公路管理中心银川分中心2023年东方道班改造工程空气源热泵采购安装项目：</w:t>
      </w:r>
      <w:r>
        <w:rPr>
          <w:rFonts w:hint="eastAsia" w:ascii="宋体" w:hAnsi="宋体" w:eastAsia="宋体" w:cs="宋体"/>
          <w:spacing w:val="-5"/>
          <w:sz w:val="24"/>
          <w:highlight w:val="none"/>
          <w:lang w:val="en-US"/>
        </w:rPr>
        <w:t>G109线K1250+450东方道班改造工程采购空气源热泵机组及配套设施</w:t>
      </w:r>
      <w:r>
        <w:rPr>
          <w:rFonts w:hint="eastAsia" w:ascii="宋体" w:hAnsi="宋体" w:eastAsia="宋体" w:cs="宋体"/>
          <w:color w:val="auto"/>
          <w:sz w:val="24"/>
          <w:szCs w:val="24"/>
          <w:lang w:val="en-US" w:eastAsia="zh-CN"/>
        </w:rPr>
        <w:t>。</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二、对投标人的全部资格条件要求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详见招标公告。 </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三、资格审查办法</w:t>
      </w:r>
    </w:p>
    <w:tbl>
      <w:tblPr>
        <w:tblStyle w:val="9"/>
        <w:tblW w:w="91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2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937" w:type="dxa"/>
            <w:noWrap w:val="0"/>
            <w:vAlign w:val="center"/>
          </w:tcPr>
          <w:p>
            <w:pPr>
              <w:ind w:left="-3" w:firstLine="3"/>
              <w:jc w:val="center"/>
              <w:rPr>
                <w:rFonts w:hint="eastAsia" w:ascii="宋体" w:hAnsi="宋体" w:eastAsia="宋体" w:cs="宋体"/>
                <w:sz w:val="24"/>
                <w:szCs w:val="24"/>
                <w:highlight w:val="none"/>
              </w:rPr>
            </w:pPr>
            <w:r>
              <w:rPr>
                <w:rFonts w:hint="eastAsia" w:ascii="宋体" w:hAnsi="宋体" w:eastAsia="宋体" w:cs="宋体"/>
                <w:spacing w:val="-3"/>
                <w:kern w:val="2"/>
                <w:sz w:val="24"/>
                <w:szCs w:val="24"/>
                <w:highlight w:val="none"/>
                <w:lang w:val="en-US" w:eastAsia="zh-CN" w:bidi="zh-CN"/>
              </w:rPr>
              <w:t>项</w:t>
            </w:r>
            <w:r>
              <w:rPr>
                <w:rFonts w:hint="eastAsia" w:ascii="宋体" w:hAnsi="宋体" w:eastAsia="宋体" w:cs="宋体"/>
                <w:sz w:val="24"/>
                <w:szCs w:val="24"/>
                <w:highlight w:val="none"/>
              </w:rPr>
              <w:t>目</w:t>
            </w:r>
          </w:p>
        </w:tc>
        <w:tc>
          <w:tcPr>
            <w:tcW w:w="8243" w:type="dxa"/>
            <w:noWrap w:val="0"/>
            <w:vAlign w:val="center"/>
          </w:tcPr>
          <w:p>
            <w:pPr>
              <w:ind w:left="-3" w:firstLine="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资格审查条件最低要求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937" w:type="dxa"/>
            <w:noWrap w:val="0"/>
            <w:vAlign w:val="center"/>
          </w:tcPr>
          <w:p>
            <w:pPr>
              <w:spacing w:line="360" w:lineRule="auto"/>
              <w:ind w:left="-3" w:firstLine="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w:t>
            </w:r>
          </w:p>
          <w:p>
            <w:pPr>
              <w:spacing w:line="360" w:lineRule="auto"/>
              <w:ind w:left="-3" w:firstLine="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等级</w:t>
            </w:r>
          </w:p>
        </w:tc>
        <w:tc>
          <w:tcPr>
            <w:tcW w:w="8243" w:type="dxa"/>
            <w:noWrap w:val="0"/>
            <w:vAlign w:val="center"/>
          </w:tcPr>
          <w:p>
            <w:pPr>
              <w:pStyle w:val="2"/>
              <w:numPr>
                <w:ilvl w:val="0"/>
                <w:numId w:val="0"/>
              </w:numPr>
              <w:spacing w:line="360" w:lineRule="auto"/>
              <w:ind w:firstLine="0" w:firstLineChars="0"/>
              <w:rPr>
                <w:rFonts w:hint="eastAsia" w:ascii="宋体" w:hAnsi="宋体" w:eastAsia="宋体" w:cs="宋体"/>
                <w:kern w:val="2"/>
                <w:sz w:val="24"/>
                <w:szCs w:val="24"/>
                <w:highlight w:val="none"/>
                <w:lang w:val="en-US" w:eastAsia="zh-CN" w:bidi="ar-SA"/>
              </w:rPr>
            </w:pPr>
            <w:bookmarkStart w:id="0" w:name="EB0182e058142b4ec8a089ad7d1fe5920b"/>
            <w:bookmarkEnd w:id="0"/>
            <w:r>
              <w:rPr>
                <w:rFonts w:hint="eastAsia"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投标人具有法人或其他组织资格；持有工商行政管理部门核发的有效企业营业执照或事业单位法人证书或社会团体法人登记证书，具备建筑机电安装工程专业承包三级及以上资质，以上资质证书须在有效期内，具有本项目相应经营范围的制造商或经销商，且具备履行合同所必需的设备和专业技术能力。</w:t>
            </w:r>
          </w:p>
          <w:p>
            <w:pPr>
              <w:pStyle w:val="2"/>
              <w:numPr>
                <w:ilvl w:val="0"/>
                <w:numId w:val="0"/>
              </w:numPr>
              <w:spacing w:line="360" w:lineRule="auto"/>
              <w:ind w:firstLine="0" w:firstLineChars="0"/>
              <w:rPr>
                <w:rFonts w:hint="eastAsia" w:ascii="宋体" w:hAnsi="宋体" w:eastAsia="宋体" w:cs="宋体"/>
                <w:sz w:val="24"/>
                <w:szCs w:val="24"/>
                <w:highlight w:val="none"/>
                <w:lang w:eastAsia="zh-CN"/>
              </w:rPr>
            </w:pPr>
            <w:r>
              <w:rPr>
                <w:rFonts w:hint="eastAsia"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如果是经销商，须提供设备制造商的营业执照彩色复印件以及制造商出具的专项授权委托书；经销商与制造商不得同时投标，且制造商针对本项目只能授权一家经销商进行投标。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937" w:type="dxa"/>
            <w:noWrap w:val="0"/>
            <w:vAlign w:val="center"/>
          </w:tcPr>
          <w:p>
            <w:pPr>
              <w:spacing w:line="360" w:lineRule="auto"/>
              <w:ind w:left="-3" w:firstLine="3"/>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业绩</w:t>
            </w:r>
          </w:p>
        </w:tc>
        <w:tc>
          <w:tcPr>
            <w:tcW w:w="8243" w:type="dxa"/>
            <w:noWrap w:val="0"/>
            <w:vAlign w:val="center"/>
          </w:tcPr>
          <w:p>
            <w:pPr>
              <w:pStyle w:val="3"/>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投标人近3年（指</w:t>
            </w:r>
            <w:r>
              <w:rPr>
                <w:rFonts w:hint="eastAsia" w:ascii="宋体" w:hAnsi="宋体" w:eastAsia="宋体" w:cs="宋体"/>
                <w:color w:val="0000FF"/>
                <w:sz w:val="24"/>
                <w:szCs w:val="24"/>
                <w:highlight w:val="none"/>
                <w:lang w:val="en-US" w:eastAsia="zh-CN"/>
              </w:rPr>
              <w:t>2020年5月26日至投标截止之日</w:t>
            </w:r>
            <w:r>
              <w:rPr>
                <w:rFonts w:hint="eastAsia" w:ascii="宋体" w:hAnsi="宋体" w:eastAsia="宋体" w:cs="宋体"/>
                <w:sz w:val="24"/>
                <w:szCs w:val="24"/>
                <w:highlight w:val="none"/>
                <w:lang w:val="en-US" w:eastAsia="zh-CN"/>
              </w:rPr>
              <w:t>，以合同签订日期为准）至少完成过1个空气源热泵采购及安装业绩。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 w:type="dxa"/>
            <w:noWrap w:val="0"/>
            <w:vAlign w:val="center"/>
          </w:tcPr>
          <w:p>
            <w:pPr>
              <w:spacing w:line="360" w:lineRule="auto"/>
              <w:ind w:left="-3" w:firstLine="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w:t>
            </w:r>
          </w:p>
          <w:p>
            <w:pPr>
              <w:spacing w:line="360" w:lineRule="auto"/>
              <w:ind w:left="-3" w:firstLine="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信誉</w:t>
            </w:r>
          </w:p>
        </w:tc>
        <w:tc>
          <w:tcPr>
            <w:tcW w:w="8243" w:type="dxa"/>
            <w:noWrap w:val="0"/>
            <w:vAlign w:val="center"/>
          </w:tcPr>
          <w:p>
            <w:pPr>
              <w:widowControl/>
              <w:spacing w:line="360" w:lineRule="auto"/>
              <w:jc w:val="left"/>
              <w:rPr>
                <w:rFonts w:hint="eastAsia" w:ascii="宋体" w:hAnsi="宋体" w:eastAsia="宋体" w:cs="宋体"/>
                <w:kern w:val="2"/>
                <w:sz w:val="24"/>
                <w:szCs w:val="24"/>
                <w:highlight w:val="none"/>
                <w:lang w:val="en-US" w:eastAsia="zh-CN" w:bidi="ar-SA"/>
              </w:rPr>
            </w:pPr>
            <w:bookmarkStart w:id="1" w:name="EBec0376edd0b941f7a99bc81b75b73e05"/>
            <w:bookmarkEnd w:id="1"/>
            <w:r>
              <w:rPr>
                <w:rFonts w:hint="eastAsia" w:ascii="宋体" w:hAnsi="宋体" w:eastAsia="宋体" w:cs="宋体"/>
                <w:kern w:val="2"/>
                <w:sz w:val="24"/>
                <w:szCs w:val="24"/>
                <w:highlight w:val="none"/>
                <w:lang w:val="en-US" w:eastAsia="zh-CN" w:bidi="ar-SA"/>
              </w:rPr>
              <w:t xml:space="preserve">（1）未被省级及以上交通运输主管部门取消招标项目所在地的投标资格且处于有效期内； </w:t>
            </w:r>
          </w:p>
          <w:p>
            <w:pPr>
              <w:widowControl/>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（2）未被责令停业，暂扣或吊销执照，或吊销资质证书； </w:t>
            </w:r>
          </w:p>
          <w:p>
            <w:pPr>
              <w:widowControl/>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（3）未进入清算程序，或被宣告破产，或其他丧失履约能力的情形； </w:t>
            </w:r>
          </w:p>
          <w:p>
            <w:pPr>
              <w:pStyle w:val="4"/>
              <w:spacing w:before="3" w:line="360" w:lineRule="auto"/>
              <w:ind w:left="0" w:firstLine="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（4）在国家企业信用信息公示系统中未被列入严重违法失信企业名单；</w:t>
            </w:r>
          </w:p>
          <w:p>
            <w:pPr>
              <w:widowControl/>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（5）在“信用中国”网站、“信用宁夏”网站中未被列入失信被执行人、企业经营异常名录、重大税收违法案件当事人名单；</w:t>
            </w:r>
          </w:p>
          <w:p>
            <w:pPr>
              <w:widowControl/>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（6）在“中国执行信息公开网”中未被列入失信被执行人名单；</w:t>
            </w:r>
          </w:p>
          <w:p>
            <w:pPr>
              <w:widowControl/>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（7）投标人无以他人名义投标、串通投标的情形且正处于处罚期内；</w:t>
            </w:r>
          </w:p>
          <w:p>
            <w:pPr>
              <w:widowControl/>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w:t>
            </w:r>
            <w:r>
              <w:rPr>
                <w:rFonts w:hint="eastAsia" w:ascii="宋体" w:hAnsi="宋体" w:eastAsia="宋体" w:cs="宋体"/>
                <w:kern w:val="2"/>
                <w:sz w:val="24"/>
                <w:szCs w:val="24"/>
                <w:highlight w:val="none"/>
                <w:lang w:val="zh-CN" w:eastAsia="zh-CN" w:bidi="ar-SA"/>
              </w:rPr>
              <w:t>投标人及其法定代表人、拟委任的项目负责人自</w:t>
            </w:r>
            <w:r>
              <w:rPr>
                <w:rFonts w:hint="eastAsia" w:ascii="宋体" w:hAnsi="宋体" w:eastAsia="宋体" w:cs="宋体"/>
                <w:color w:val="0000FF"/>
                <w:kern w:val="2"/>
                <w:sz w:val="24"/>
                <w:szCs w:val="24"/>
                <w:highlight w:val="none"/>
                <w:lang w:val="en-US" w:eastAsia="zh-CN" w:bidi="ar-SA"/>
              </w:rPr>
              <w:t>2020</w:t>
            </w:r>
            <w:r>
              <w:rPr>
                <w:rFonts w:hint="eastAsia" w:ascii="宋体" w:hAnsi="宋体" w:eastAsia="宋体" w:cs="宋体"/>
                <w:color w:val="0000FF"/>
                <w:kern w:val="2"/>
                <w:sz w:val="24"/>
                <w:szCs w:val="24"/>
                <w:highlight w:val="none"/>
                <w:lang w:val="zh-CN" w:eastAsia="zh-CN" w:bidi="ar-SA"/>
              </w:rPr>
              <w:t>年</w:t>
            </w:r>
            <w:r>
              <w:rPr>
                <w:rFonts w:hint="eastAsia" w:ascii="宋体" w:hAnsi="宋体" w:eastAsia="宋体" w:cs="宋体"/>
                <w:color w:val="0000FF"/>
                <w:kern w:val="2"/>
                <w:sz w:val="24"/>
                <w:szCs w:val="24"/>
                <w:highlight w:val="none"/>
                <w:lang w:val="en-US" w:eastAsia="zh-CN" w:bidi="ar-SA"/>
              </w:rPr>
              <w:t>5</w:t>
            </w:r>
            <w:r>
              <w:rPr>
                <w:rFonts w:hint="eastAsia" w:ascii="宋体" w:hAnsi="宋体" w:eastAsia="宋体" w:cs="宋体"/>
                <w:color w:val="0000FF"/>
                <w:kern w:val="2"/>
                <w:sz w:val="24"/>
                <w:szCs w:val="24"/>
                <w:highlight w:val="none"/>
                <w:lang w:val="zh-CN" w:eastAsia="zh-CN" w:bidi="ar-SA"/>
              </w:rPr>
              <w:t>月</w:t>
            </w:r>
            <w:r>
              <w:rPr>
                <w:rFonts w:hint="eastAsia" w:ascii="宋体" w:hAnsi="宋体" w:eastAsia="宋体" w:cs="宋体"/>
                <w:color w:val="0000FF"/>
                <w:kern w:val="2"/>
                <w:sz w:val="24"/>
                <w:szCs w:val="24"/>
                <w:highlight w:val="none"/>
                <w:lang w:val="en-US" w:eastAsia="zh-CN" w:bidi="ar-SA"/>
              </w:rPr>
              <w:t>26</w:t>
            </w:r>
            <w:r>
              <w:rPr>
                <w:rFonts w:hint="eastAsia" w:ascii="宋体" w:hAnsi="宋体" w:eastAsia="宋体" w:cs="宋体"/>
                <w:color w:val="0000FF"/>
                <w:kern w:val="2"/>
                <w:sz w:val="24"/>
                <w:szCs w:val="24"/>
                <w:highlight w:val="none"/>
                <w:lang w:val="zh-CN" w:eastAsia="zh-CN" w:bidi="ar-SA"/>
              </w:rPr>
              <w:t>日</w:t>
            </w:r>
            <w:r>
              <w:rPr>
                <w:rFonts w:hint="eastAsia" w:ascii="宋体" w:hAnsi="宋体" w:eastAsia="宋体" w:cs="宋体"/>
                <w:kern w:val="2"/>
                <w:sz w:val="24"/>
                <w:szCs w:val="24"/>
                <w:highlight w:val="none"/>
                <w:lang w:val="zh-CN" w:eastAsia="zh-CN" w:bidi="ar-SA"/>
              </w:rPr>
              <w:t>以来没有行贿犯罪行为的承诺函；</w:t>
            </w:r>
            <w:r>
              <w:rPr>
                <w:rFonts w:hint="eastAsia" w:ascii="宋体" w:hAnsi="宋体" w:eastAsia="宋体" w:cs="宋体"/>
                <w:kern w:val="2"/>
                <w:sz w:val="24"/>
                <w:szCs w:val="24"/>
                <w:highlight w:val="none"/>
                <w:lang w:val="en-US" w:eastAsia="zh-CN" w:bidi="ar-SA"/>
              </w:rPr>
              <w:t xml:space="preserve"> </w:t>
            </w:r>
          </w:p>
          <w:p>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 xml:space="preserve">（9）法律法规或投标人须知前附表规定的其他情形。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37" w:type="dxa"/>
            <w:noWrap w:val="0"/>
            <w:vAlign w:val="center"/>
          </w:tcPr>
          <w:p>
            <w:pPr>
              <w:spacing w:line="360" w:lineRule="auto"/>
              <w:ind w:left="-3" w:firstLine="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w:t>
            </w:r>
          </w:p>
          <w:p>
            <w:pPr>
              <w:spacing w:line="360" w:lineRule="auto"/>
              <w:ind w:left="-3" w:firstLine="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人员</w:t>
            </w:r>
          </w:p>
        </w:tc>
        <w:tc>
          <w:tcPr>
            <w:tcW w:w="82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highlight w:val="none"/>
                <w:lang w:eastAsia="zh-CN"/>
              </w:rPr>
            </w:pPr>
            <w:bookmarkStart w:id="2" w:name="EB4725c84429c841f1bc9c3b4b157ac54a"/>
            <w:bookmarkEnd w:id="2"/>
            <w:r>
              <w:rPr>
                <w:rFonts w:hint="eastAsia" w:ascii="宋体" w:hAnsi="宋体" w:eastAsia="宋体" w:cs="宋体"/>
                <w:sz w:val="24"/>
                <w:szCs w:val="24"/>
                <w:highlight w:val="none"/>
                <w:lang w:eastAsia="zh-CN"/>
              </w:rPr>
              <w:t>项目负责人</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val="en-US" w:eastAsia="zh-CN" w:bidi="ar"/>
              </w:rPr>
              <w:t>由生产厂家或经销商指派，为生产厂家或经销商在职员工，同时具有项目管理、空气源热泵采购及安装技术能力。</w:t>
            </w:r>
          </w:p>
        </w:tc>
      </w:tr>
    </w:tbl>
    <w:p>
      <w:pPr>
        <w:keepNext w:val="0"/>
        <w:keepLines w:val="0"/>
        <w:widowControl/>
        <w:numPr>
          <w:ilvl w:val="0"/>
          <w:numId w:val="0"/>
        </w:numPr>
        <w:suppressLineNumbers w:val="0"/>
        <w:spacing w:line="360" w:lineRule="auto"/>
        <w:ind w:leftChars="-95" w:right="-168" w:rightChars="-80"/>
        <w:jc w:val="both"/>
        <w:outlineLvl w:val="9"/>
        <w:rPr>
          <w:rFonts w:hint="eastAsia" w:ascii="宋体" w:hAnsi="宋体" w:eastAsia="宋体" w:cs="宋体"/>
          <w:b/>
          <w:bCs/>
          <w:color w:val="000000"/>
          <w:kern w:val="0"/>
          <w:sz w:val="32"/>
          <w:szCs w:val="32"/>
          <w:lang w:val="en-US" w:eastAsia="zh-CN" w:bidi="ar"/>
        </w:rPr>
      </w:pP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四、评标办法全文</w:t>
      </w:r>
    </w:p>
    <w:p>
      <w:pPr>
        <w:spacing w:line="240" w:lineRule="auto"/>
        <w:ind w:firstLine="122"/>
        <w:jc w:val="center"/>
        <w:outlineLvl w:val="2"/>
        <w:rPr>
          <w:rFonts w:ascii="宋体" w:hAnsi="宋体" w:eastAsia="宋体" w:cs="宋体"/>
          <w:sz w:val="14"/>
          <w:szCs w:val="14"/>
        </w:rPr>
      </w:pPr>
      <w:bookmarkStart w:id="3" w:name="_Toc29314"/>
      <w:bookmarkStart w:id="4" w:name="_Toc3189"/>
      <w:r>
        <w:rPr>
          <w:rFonts w:ascii="黑体" w:hAnsi="黑体" w:eastAsia="黑体" w:cs="黑体"/>
          <w:spacing w:val="-1"/>
          <w:sz w:val="28"/>
          <w:szCs w:val="28"/>
        </w:rPr>
        <w:t>评标办法前附表</w:t>
      </w:r>
      <w:bookmarkEnd w:id="3"/>
      <w:bookmarkEnd w:id="4"/>
    </w:p>
    <w:p>
      <w:pPr>
        <w:spacing w:line="19" w:lineRule="exact"/>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96"/>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gridSpan w:val="2"/>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条款号</w:t>
            </w:r>
          </w:p>
        </w:tc>
        <w:tc>
          <w:tcPr>
            <w:tcW w:w="7783" w:type="dxa"/>
            <w:noWrap w:val="0"/>
            <w:vAlign w:val="top"/>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296"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评标办法</w:t>
            </w:r>
          </w:p>
        </w:tc>
        <w:tc>
          <w:tcPr>
            <w:tcW w:w="7783" w:type="dxa"/>
            <w:noWrap w:val="0"/>
            <w:vAlign w:val="center"/>
          </w:tcPr>
          <w:p>
            <w:pPr>
              <w:widowControl/>
              <w:spacing w:line="360" w:lineRule="auto"/>
              <w:jc w:val="center"/>
              <w:rPr>
                <w:rFonts w:hint="eastAsia" w:ascii="宋体" w:hAnsi="宋体" w:eastAsia="宋体" w:cs="宋体"/>
                <w:highlight w:val="none"/>
              </w:rPr>
            </w:pPr>
            <w:r>
              <w:rPr>
                <w:rFonts w:hint="eastAsia" w:ascii="宋体" w:hAnsi="宋体" w:eastAsia="宋体" w:cs="宋体"/>
                <w:highlight w:val="none"/>
              </w:rPr>
              <w:t>综合评分相等时，评标委员会依次按照以下优先顺序推荐中标候选人或确定中标人：</w:t>
            </w:r>
          </w:p>
          <w:p>
            <w:pPr>
              <w:numPr>
                <w:ilvl w:val="0"/>
                <w:numId w:val="2"/>
              </w:numPr>
              <w:spacing w:line="360" w:lineRule="auto"/>
              <w:jc w:val="left"/>
              <w:rPr>
                <w:rFonts w:hint="eastAsia" w:ascii="宋体" w:hAnsi="宋体" w:eastAsia="宋体" w:cs="宋体"/>
                <w:highlight w:val="none"/>
              </w:rPr>
            </w:pPr>
            <w:r>
              <w:rPr>
                <w:rFonts w:hint="eastAsia" w:ascii="宋体" w:hAnsi="宋体" w:eastAsia="宋体" w:cs="宋体"/>
                <w:highlight w:val="none"/>
              </w:rPr>
              <w:t>评标价低的投标人优先；</w:t>
            </w:r>
          </w:p>
          <w:p>
            <w:pPr>
              <w:pStyle w:val="2"/>
              <w:numPr>
                <w:ilvl w:val="0"/>
                <w:numId w:val="0"/>
              </w:numPr>
              <w:jc w:val="left"/>
              <w:rPr>
                <w:rFonts w:hint="eastAsia" w:eastAsiaTheme="minorEastAsia"/>
                <w:lang w:eastAsia="zh-CN"/>
              </w:rPr>
            </w:pPr>
            <w:r>
              <w:rPr>
                <w:rFonts w:hint="eastAsia"/>
                <w:lang w:eastAsia="zh-CN"/>
              </w:rPr>
              <w:t>（</w:t>
            </w:r>
            <w:r>
              <w:rPr>
                <w:rFonts w:hint="eastAsia"/>
                <w:lang w:val="en-US" w:eastAsia="zh-CN"/>
              </w:rPr>
              <w:t>2</w:t>
            </w:r>
            <w:r>
              <w:rPr>
                <w:rFonts w:hint="eastAsia"/>
                <w:lang w:eastAsia="zh-CN"/>
              </w:rPr>
              <w:t>）2022年度被宁夏回族自治区交通运输厅评为较高信用等级的投标人优先：以《自治区交通运输厅关于公布2022年宁夏公路建设与养护市场从业单位及人员信用评价结果的通知》（宁交函[2023]98号）文件中的信用评价等级为准；</w:t>
            </w:r>
          </w:p>
          <w:p>
            <w:pPr>
              <w:spacing w:line="360" w:lineRule="auto"/>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）商务和技术得分较高的优先；</w:t>
            </w:r>
          </w:p>
          <w:p>
            <w:pPr>
              <w:spacing w:line="360" w:lineRule="auto"/>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）商务和技术得分相等时，则由评标委员会根据技术建议书的编制情况投票确定其推荐排序。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2.1.1</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2.1.3</w:t>
            </w:r>
          </w:p>
        </w:tc>
        <w:tc>
          <w:tcPr>
            <w:tcW w:w="1296"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形式评审与响应性评审标准</w:t>
            </w:r>
          </w:p>
        </w:tc>
        <w:tc>
          <w:tcPr>
            <w:tcW w:w="7783" w:type="dxa"/>
            <w:noWrap w:val="0"/>
            <w:vAlign w:val="top"/>
          </w:tcPr>
          <w:p>
            <w:pPr>
              <w:widowControl/>
              <w:spacing w:line="360" w:lineRule="auto"/>
              <w:jc w:val="left"/>
              <w:rPr>
                <w:rFonts w:hint="eastAsia"/>
              </w:rPr>
            </w:pPr>
            <w:r>
              <w:rPr>
                <w:rFonts w:hint="eastAsia"/>
              </w:rPr>
              <w:t xml:space="preserve">第一个信封（商务及技术文件）评审标准： </w:t>
            </w:r>
          </w:p>
          <w:p>
            <w:pPr>
              <w:widowControl/>
              <w:spacing w:line="360" w:lineRule="auto"/>
              <w:jc w:val="left"/>
              <w:rPr>
                <w:rFonts w:hint="eastAsia"/>
              </w:rPr>
            </w:pPr>
            <w:r>
              <w:rPr>
                <w:rFonts w:hint="eastAsia"/>
              </w:rPr>
              <w:t>(1)投标文件按照招标文件规定的格式、内容填写，字迹清晰可辨：</w:t>
            </w:r>
          </w:p>
          <w:p>
            <w:pPr>
              <w:widowControl/>
              <w:spacing w:line="360" w:lineRule="auto"/>
              <w:jc w:val="left"/>
              <w:rPr>
                <w:rFonts w:hint="eastAsia"/>
              </w:rPr>
            </w:pPr>
            <w:r>
              <w:rPr>
                <w:rFonts w:hint="eastAsia"/>
              </w:rPr>
              <w:t>a.投标函按招标文件规定填报了项目名称、补遗书编号（如有）、</w:t>
            </w:r>
            <w:r>
              <w:rPr>
                <w:rFonts w:hint="eastAsia"/>
                <w:lang w:eastAsia="zh-CN"/>
              </w:rPr>
              <w:t>服务期限</w:t>
            </w:r>
            <w:r>
              <w:rPr>
                <w:rFonts w:hint="eastAsia"/>
              </w:rPr>
              <w:t xml:space="preserve">、质量要求及安全目标； </w:t>
            </w:r>
          </w:p>
          <w:p>
            <w:pPr>
              <w:widowControl/>
              <w:spacing w:line="360" w:lineRule="auto"/>
              <w:jc w:val="left"/>
              <w:rPr>
                <w:rFonts w:hint="eastAsia"/>
              </w:rPr>
            </w:pPr>
            <w:r>
              <w:rPr>
                <w:rFonts w:hint="eastAsia"/>
              </w:rPr>
              <w:t xml:space="preserve">b.投标文件组成完整，内容均按规定填写。 </w:t>
            </w:r>
          </w:p>
          <w:p>
            <w:pPr>
              <w:widowControl/>
              <w:spacing w:line="360" w:lineRule="auto"/>
              <w:jc w:val="left"/>
              <w:rPr>
                <w:rFonts w:hint="eastAsia"/>
              </w:rPr>
            </w:pPr>
            <w:r>
              <w:rPr>
                <w:rFonts w:hint="eastAsia"/>
              </w:rPr>
              <w:t xml:space="preserve">（2）投标文件上法定代表人或其授权代理人的签字、投标人的单位章盖章齐全，符合招标文件规定：投标文件格式中明确要求投标人法定代表人或其委托代理人签字之处，必须亲笔在指定之处签名；明确要求投标人加盖单位章的，必须在指定之处加盖单位章。 </w:t>
            </w:r>
          </w:p>
          <w:p>
            <w:pPr>
              <w:widowControl/>
              <w:spacing w:line="360" w:lineRule="auto"/>
              <w:jc w:val="left"/>
              <w:rPr>
                <w:rFonts w:hint="eastAsia"/>
              </w:rPr>
            </w:pPr>
            <w:r>
              <w:rPr>
                <w:rFonts w:hint="eastAsia"/>
              </w:rPr>
              <w:t xml:space="preserve">（3）投标人按照招标文件的规定提供了投标保证金： </w:t>
            </w:r>
          </w:p>
          <w:p>
            <w:pPr>
              <w:widowControl/>
              <w:spacing w:line="360" w:lineRule="auto"/>
              <w:jc w:val="left"/>
              <w:rPr>
                <w:rFonts w:hint="eastAsia"/>
              </w:rPr>
            </w:pPr>
            <w:r>
              <w:rPr>
                <w:rFonts w:hint="eastAsia"/>
              </w:rPr>
              <w:t>a.投标保证金金额符合招标文件规定的金额，且投标保证金有效期不少于投标有效期；</w:t>
            </w:r>
          </w:p>
          <w:p>
            <w:pPr>
              <w:widowControl/>
              <w:spacing w:line="360" w:lineRule="auto"/>
              <w:jc w:val="left"/>
              <w:rPr>
                <w:rFonts w:hint="eastAsia"/>
              </w:rPr>
            </w:pPr>
            <w:r>
              <w:rPr>
                <w:rFonts w:hint="eastAsia"/>
              </w:rPr>
              <w:t>b.若投标保证金采用现金或支票形式提交，投标人应在递交投标文件截止时间之前，将投标保证金由投标人的基本账户转入招标人指定账户；</w:t>
            </w:r>
          </w:p>
          <w:p>
            <w:pPr>
              <w:widowControl/>
              <w:spacing w:line="360" w:lineRule="auto"/>
              <w:jc w:val="left"/>
              <w:rPr>
                <w:rFonts w:hint="eastAsia"/>
              </w:rPr>
            </w:pPr>
            <w:r>
              <w:rPr>
                <w:rFonts w:hint="eastAsia"/>
              </w:rPr>
              <w:t>c.若采用电汇，在投标截止时间前，将投标保证金由投标人的基本账户汇入招标人指定账户，在投标文件中应提供电汇回单的彩色扫描件；</w:t>
            </w:r>
          </w:p>
          <w:p>
            <w:pPr>
              <w:widowControl/>
              <w:spacing w:line="360" w:lineRule="auto"/>
              <w:jc w:val="left"/>
              <w:rPr>
                <w:rFonts w:hint="eastAsia"/>
              </w:rPr>
            </w:pPr>
            <w:r>
              <w:rPr>
                <w:rFonts w:hint="eastAsia"/>
              </w:rPr>
              <w:t>d.若采用保函形式提交，保函的格式、开具保函的单位、保函的有效期、递交保函原件时间均满足招标文件要求；</w:t>
            </w:r>
          </w:p>
          <w:p>
            <w:pPr>
              <w:widowControl/>
              <w:spacing w:line="360" w:lineRule="auto"/>
              <w:jc w:val="left"/>
              <w:rPr>
                <w:rFonts w:hint="eastAsia"/>
              </w:rPr>
            </w:pPr>
            <w:r>
              <w:rPr>
                <w:rFonts w:hint="eastAsia"/>
              </w:rPr>
              <w:t>e.不得由分公司缴纳投标保证金，投标人出具保证金的</w:t>
            </w:r>
            <w:r>
              <w:rPr>
                <w:rFonts w:hint="eastAsia"/>
                <w:lang w:eastAsia="zh-CN"/>
              </w:rPr>
              <w:t>基本账户</w:t>
            </w:r>
            <w:r>
              <w:rPr>
                <w:rFonts w:hint="eastAsia"/>
              </w:rPr>
              <w:t>应与投标人开户许可证（或开户证明）上的</w:t>
            </w:r>
            <w:r>
              <w:rPr>
                <w:rFonts w:hint="eastAsia"/>
                <w:lang w:eastAsia="zh-CN"/>
              </w:rPr>
              <w:t>基本账户</w:t>
            </w:r>
            <w:r>
              <w:rPr>
                <w:rFonts w:hint="eastAsia"/>
              </w:rPr>
              <w:t>一致。</w:t>
            </w:r>
          </w:p>
          <w:p>
            <w:pPr>
              <w:widowControl/>
              <w:spacing w:line="360" w:lineRule="auto"/>
              <w:jc w:val="left"/>
              <w:rPr>
                <w:rFonts w:hint="eastAsia"/>
              </w:rPr>
            </w:pPr>
            <w:r>
              <w:rPr>
                <w:rFonts w:hint="eastAsia"/>
              </w:rPr>
              <w:t xml:space="preserve">（4）投标人法定代表人授权代理人签署投标文件的，须提交授权委托书，且授权人和被授权人均在授权委托书上签名，未使用印章、签名章或其他电子制版签名代替。 </w:t>
            </w:r>
          </w:p>
          <w:p>
            <w:pPr>
              <w:widowControl/>
              <w:spacing w:line="360" w:lineRule="auto"/>
              <w:jc w:val="left"/>
              <w:rPr>
                <w:rFonts w:hint="eastAsia"/>
              </w:rPr>
            </w:pPr>
            <w:r>
              <w:rPr>
                <w:rFonts w:hint="eastAsia"/>
              </w:rPr>
              <w:t xml:space="preserve">（5）投标人法定代表人亲自签署投标文件的，提供了法定代表人身份证明，且法定 代表人在法定代表人身份证明上签名，未使用印章、签名章或其他电子制版签名代替。 </w:t>
            </w:r>
          </w:p>
          <w:p>
            <w:pPr>
              <w:widowControl/>
              <w:spacing w:line="360" w:lineRule="auto"/>
              <w:jc w:val="left"/>
              <w:rPr>
                <w:rFonts w:hint="eastAsia"/>
              </w:rPr>
            </w:pPr>
            <w:r>
              <w:rPr>
                <w:rFonts w:hint="eastAsia"/>
              </w:rPr>
              <w:t xml:space="preserve">（6）本项目不接受联合体投标。 </w:t>
            </w:r>
          </w:p>
          <w:p>
            <w:pPr>
              <w:widowControl/>
              <w:spacing w:line="360" w:lineRule="auto"/>
              <w:jc w:val="left"/>
              <w:rPr>
                <w:rFonts w:hint="eastAsia"/>
              </w:rPr>
            </w:pPr>
            <w:r>
              <w:rPr>
                <w:rFonts w:hint="eastAsia"/>
              </w:rPr>
              <w:t xml:space="preserve">（7）同一投标人未提交两个以上不同的投标文件，但招标文件要求提交备选投标的除外。 </w:t>
            </w:r>
          </w:p>
          <w:p>
            <w:pPr>
              <w:widowControl/>
              <w:spacing w:line="360" w:lineRule="auto"/>
              <w:jc w:val="left"/>
              <w:rPr>
                <w:rFonts w:hint="eastAsia"/>
              </w:rPr>
            </w:pPr>
            <w:r>
              <w:rPr>
                <w:rFonts w:hint="eastAsia"/>
              </w:rPr>
              <w:t xml:space="preserve">（8）投标文件第一信封中未出现有关投标报价的内容。 </w:t>
            </w:r>
          </w:p>
          <w:p>
            <w:pPr>
              <w:widowControl/>
              <w:spacing w:line="360" w:lineRule="auto"/>
              <w:jc w:val="left"/>
              <w:rPr>
                <w:rFonts w:hint="eastAsia"/>
              </w:rPr>
            </w:pPr>
            <w:r>
              <w:rPr>
                <w:rFonts w:hint="eastAsia"/>
              </w:rPr>
              <w:t xml:space="preserve">（9）投标文件载明的招标项目完成期限未超过招标文件规定的时限。 </w:t>
            </w:r>
          </w:p>
          <w:p>
            <w:pPr>
              <w:widowControl/>
              <w:spacing w:line="360" w:lineRule="auto"/>
              <w:jc w:val="left"/>
              <w:rPr>
                <w:rFonts w:hint="eastAsia"/>
              </w:rPr>
            </w:pPr>
            <w:r>
              <w:rPr>
                <w:rFonts w:hint="eastAsia"/>
              </w:rPr>
              <w:t xml:space="preserve">（10）投标文件对招标文件的实质性要求和条件作出响应。 </w:t>
            </w:r>
          </w:p>
          <w:p>
            <w:pPr>
              <w:widowControl/>
              <w:spacing w:line="360" w:lineRule="auto"/>
              <w:jc w:val="left"/>
              <w:rPr>
                <w:rFonts w:hint="eastAsia"/>
              </w:rPr>
            </w:pPr>
            <w:r>
              <w:rPr>
                <w:rFonts w:hint="eastAsia"/>
              </w:rPr>
              <w:t xml:space="preserve">（11）权利义务符合招标文件规定： </w:t>
            </w:r>
          </w:p>
          <w:p>
            <w:pPr>
              <w:widowControl/>
              <w:spacing w:line="360" w:lineRule="auto"/>
              <w:jc w:val="left"/>
              <w:rPr>
                <w:rFonts w:hint="eastAsia"/>
              </w:rPr>
            </w:pPr>
            <w:r>
              <w:rPr>
                <w:rFonts w:hint="eastAsia"/>
              </w:rPr>
              <w:t>a.投标人应接受招标文件规定的风险划分原则，未提出新的风险划分办法；</w:t>
            </w:r>
          </w:p>
          <w:p>
            <w:pPr>
              <w:widowControl/>
              <w:spacing w:line="360" w:lineRule="auto"/>
              <w:jc w:val="left"/>
              <w:rPr>
                <w:rFonts w:hint="eastAsia"/>
              </w:rPr>
            </w:pPr>
            <w:r>
              <w:rPr>
                <w:rFonts w:hint="eastAsia"/>
              </w:rPr>
              <w:t>b.投标人未增加发包人的责任范围，或减少投标人义务；</w:t>
            </w:r>
          </w:p>
          <w:p>
            <w:pPr>
              <w:widowControl/>
              <w:spacing w:line="360" w:lineRule="auto"/>
              <w:jc w:val="left"/>
              <w:rPr>
                <w:rFonts w:hint="eastAsia"/>
              </w:rPr>
            </w:pPr>
            <w:r>
              <w:rPr>
                <w:rFonts w:hint="eastAsia"/>
              </w:rPr>
              <w:t>c.投标人未提出不同的项目验收、计量、支付办法；</w:t>
            </w:r>
          </w:p>
          <w:p>
            <w:pPr>
              <w:widowControl/>
              <w:spacing w:line="360" w:lineRule="auto"/>
              <w:jc w:val="left"/>
              <w:rPr>
                <w:rFonts w:hint="eastAsia"/>
              </w:rPr>
            </w:pPr>
            <w:r>
              <w:rPr>
                <w:rFonts w:hint="eastAsia"/>
              </w:rPr>
              <w:t>d.投标人对合同纠纷、事故处理办法未提出异议；</w:t>
            </w:r>
          </w:p>
          <w:p>
            <w:pPr>
              <w:widowControl/>
              <w:spacing w:line="360" w:lineRule="auto"/>
              <w:jc w:val="left"/>
              <w:rPr>
                <w:rFonts w:hint="eastAsia"/>
              </w:rPr>
            </w:pPr>
            <w:r>
              <w:rPr>
                <w:rFonts w:hint="eastAsia"/>
              </w:rPr>
              <w:t>e.投标人在投标活动中无欺诈行为；</w:t>
            </w:r>
          </w:p>
          <w:p>
            <w:pPr>
              <w:widowControl/>
              <w:spacing w:line="360" w:lineRule="auto"/>
              <w:jc w:val="left"/>
              <w:rPr>
                <w:rFonts w:hint="eastAsia"/>
              </w:rPr>
            </w:pPr>
            <w:r>
              <w:rPr>
                <w:rFonts w:hint="eastAsia"/>
              </w:rPr>
              <w:t xml:space="preserve">f.投标人未对合同条款有重要保留。  </w:t>
            </w:r>
          </w:p>
          <w:p>
            <w:pPr>
              <w:widowControl/>
              <w:spacing w:line="360" w:lineRule="auto"/>
              <w:jc w:val="left"/>
              <w:rPr>
                <w:rFonts w:hint="eastAsia"/>
                <w:lang w:eastAsia="zh-CN"/>
              </w:rPr>
            </w:pPr>
            <w:r>
              <w:rPr>
                <w:rFonts w:hint="eastAsia"/>
                <w:lang w:eastAsia="zh-CN"/>
              </w:rPr>
              <w:t>（</w:t>
            </w:r>
            <w:r>
              <w:rPr>
                <w:rFonts w:hint="eastAsia"/>
                <w:lang w:val="en-US" w:eastAsia="zh-CN"/>
              </w:rPr>
              <w:t>12</w:t>
            </w:r>
            <w:r>
              <w:rPr>
                <w:rFonts w:hint="eastAsia"/>
                <w:lang w:eastAsia="zh-CN"/>
              </w:rPr>
              <w:t>）</w:t>
            </w:r>
            <w:r>
              <w:rPr>
                <w:rFonts w:hint="eastAsia"/>
              </w:rPr>
              <w:t>投标文件编制符合电子投标文件编制规定。</w:t>
            </w:r>
          </w:p>
          <w:p>
            <w:pPr>
              <w:widowControl/>
              <w:spacing w:line="360" w:lineRule="auto"/>
              <w:jc w:val="left"/>
              <w:rPr>
                <w:rFonts w:hint="eastAsia"/>
              </w:rPr>
            </w:pPr>
            <w:r>
              <w:rPr>
                <w:rFonts w:hint="eastAsia"/>
              </w:rPr>
              <w:t>（</w:t>
            </w:r>
            <w:r>
              <w:rPr>
                <w:rFonts w:hint="eastAsia"/>
                <w:lang w:val="en-US" w:eastAsia="zh-CN"/>
              </w:rPr>
              <w:t>13</w:t>
            </w:r>
            <w:r>
              <w:rPr>
                <w:rFonts w:hint="eastAsia"/>
              </w:rPr>
              <w:t>）投标文件和提交方式要满足投标人须知之规定。</w:t>
            </w:r>
          </w:p>
          <w:p>
            <w:pPr>
              <w:widowControl/>
              <w:spacing w:line="360" w:lineRule="auto"/>
              <w:jc w:val="left"/>
              <w:rPr>
                <w:rFonts w:hint="eastAsia"/>
              </w:rPr>
            </w:pPr>
            <w:r>
              <w:rPr>
                <w:rFonts w:hint="eastAsia"/>
              </w:rPr>
              <w:t>（</w:t>
            </w:r>
            <w:r>
              <w:rPr>
                <w:rFonts w:hint="eastAsia"/>
                <w:lang w:val="en-US" w:eastAsia="zh-CN"/>
              </w:rPr>
              <w:t>14</w:t>
            </w:r>
            <w:r>
              <w:rPr>
                <w:rFonts w:hint="eastAsia"/>
              </w:rPr>
              <w:t>）不按评标委员会要求澄清、说明或补正的。</w:t>
            </w:r>
          </w:p>
          <w:p>
            <w:pPr>
              <w:widowControl/>
              <w:spacing w:line="360" w:lineRule="auto"/>
              <w:jc w:val="left"/>
              <w:rPr>
                <w:rFonts w:hint="eastAsia"/>
                <w:lang w:eastAsia="zh-CN"/>
              </w:rPr>
            </w:pPr>
            <w:r>
              <w:rPr>
                <w:rFonts w:hint="eastAsia"/>
                <w:lang w:eastAsia="zh-CN"/>
              </w:rPr>
              <w:t>（</w:t>
            </w:r>
            <w:r>
              <w:rPr>
                <w:rFonts w:hint="eastAsia"/>
                <w:lang w:val="en-US" w:eastAsia="zh-CN"/>
              </w:rPr>
              <w:t>15</w:t>
            </w:r>
            <w:r>
              <w:rPr>
                <w:rFonts w:hint="eastAsia"/>
                <w:lang w:eastAsia="zh-CN"/>
              </w:rPr>
              <w:t>）交货期限符合第二章“</w:t>
            </w:r>
            <w:r>
              <w:rPr>
                <w:rFonts w:hint="eastAsia" w:ascii="宋体" w:hAnsi="宋体" w:eastAsia="Calibri" w:cs="Times New Roman"/>
                <w:kern w:val="2"/>
                <w:sz w:val="21"/>
                <w:szCs w:val="24"/>
                <w:lang w:val="en-US" w:eastAsia="zh-CN" w:bidi="ar-SA"/>
              </w:rPr>
              <w:t>投标人须知”第1.3.2条规定</w:t>
            </w:r>
            <w:r>
              <w:rPr>
                <w:rFonts w:hint="eastAsia"/>
                <w:lang w:eastAsia="zh-CN"/>
              </w:rPr>
              <w:t>。</w:t>
            </w:r>
          </w:p>
          <w:p>
            <w:pPr>
              <w:pStyle w:val="2"/>
              <w:ind w:left="0" w:leftChars="0" w:firstLine="0" w:firstLineChars="0"/>
              <w:rPr>
                <w:rFonts w:hint="eastAsia"/>
                <w:lang w:eastAsia="zh-CN"/>
              </w:rPr>
            </w:pPr>
            <w:r>
              <w:rPr>
                <w:rFonts w:hint="eastAsia"/>
                <w:lang w:eastAsia="zh-CN"/>
              </w:rPr>
              <w:t>（</w:t>
            </w:r>
            <w:r>
              <w:rPr>
                <w:rFonts w:hint="eastAsia"/>
                <w:lang w:val="en-US" w:eastAsia="zh-CN"/>
              </w:rPr>
              <w:t>16</w:t>
            </w:r>
            <w:r>
              <w:rPr>
                <w:rFonts w:hint="eastAsia"/>
                <w:lang w:eastAsia="zh-CN"/>
              </w:rPr>
              <w:t>）投标有效期符合第二章“投标人须知”第</w:t>
            </w:r>
            <w:r>
              <w:rPr>
                <w:rFonts w:hint="eastAsia"/>
                <w:lang w:val="en-US" w:eastAsia="zh-CN"/>
              </w:rPr>
              <w:t>3.3.1条</w:t>
            </w:r>
            <w:r>
              <w:rPr>
                <w:rFonts w:hint="eastAsia"/>
                <w:lang w:eastAsia="zh-CN"/>
              </w:rPr>
              <w:t>规定。</w:t>
            </w:r>
          </w:p>
          <w:p>
            <w:pPr>
              <w:widowControl/>
              <w:spacing w:line="360" w:lineRule="auto"/>
              <w:jc w:val="left"/>
              <w:rPr>
                <w:rFonts w:hint="eastAsia" w:ascii="宋体" w:hAnsi="宋体" w:eastAsia="宋体" w:cs="宋体"/>
                <w:sz w:val="24"/>
                <w:highlight w:val="none"/>
              </w:rPr>
            </w:pPr>
            <w:r>
              <w:rPr>
                <w:rFonts w:hint="eastAsia"/>
                <w:lang w:eastAsia="zh-CN"/>
              </w:rPr>
              <w:t>（</w:t>
            </w:r>
            <w:r>
              <w:rPr>
                <w:rFonts w:hint="eastAsia"/>
                <w:lang w:val="en-US" w:eastAsia="zh-CN"/>
              </w:rPr>
              <w:t>17</w:t>
            </w:r>
            <w:r>
              <w:rPr>
                <w:rFonts w:hint="eastAsia"/>
                <w:lang w:eastAsia="zh-CN"/>
              </w:rPr>
              <w:t>）投标设备及技术服务和质保期服务符合第五章“供货要求”实质要求和条件。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2.1.1</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2.1.3</w:t>
            </w:r>
          </w:p>
        </w:tc>
        <w:tc>
          <w:tcPr>
            <w:tcW w:w="1296"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形式评审与响应性评审标准</w:t>
            </w:r>
          </w:p>
        </w:tc>
        <w:tc>
          <w:tcPr>
            <w:tcW w:w="7783" w:type="dxa"/>
            <w:noWrap w:val="0"/>
            <w:vAlign w:val="top"/>
          </w:tcPr>
          <w:p>
            <w:pPr>
              <w:widowControl/>
              <w:spacing w:line="360" w:lineRule="auto"/>
              <w:jc w:val="left"/>
              <w:rPr>
                <w:rFonts w:hint="eastAsia" w:ascii="宋体" w:hAnsi="宋体" w:eastAsia="宋体" w:cs="宋体"/>
                <w:highlight w:val="none"/>
              </w:rPr>
            </w:pPr>
            <w:r>
              <w:rPr>
                <w:rFonts w:hint="eastAsia" w:ascii="宋体" w:hAnsi="宋体" w:eastAsia="宋体" w:cs="宋体"/>
                <w:b/>
                <w:bCs/>
                <w:highlight w:val="none"/>
              </w:rPr>
              <w:t>第二个信封（报价文件）评审标准：</w:t>
            </w:r>
            <w:r>
              <w:rPr>
                <w:rFonts w:hint="eastAsia" w:ascii="宋体" w:hAnsi="宋体" w:eastAsia="宋体" w:cs="宋体"/>
                <w:highlight w:val="none"/>
              </w:rPr>
              <w:t xml:space="preserve"> </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（1）投标文件按照招标文件规定的格式、内容填写，字迹清晰可辨</w:t>
            </w:r>
            <w:r>
              <w:rPr>
                <w:rFonts w:hint="eastAsia" w:ascii="宋体" w:hAnsi="宋体" w:eastAsia="宋体" w:cs="宋体"/>
                <w:kern w:val="0"/>
                <w:szCs w:val="21"/>
                <w:highlight w:val="none"/>
                <w:lang w:eastAsia="zh-CN" w:bidi="ar"/>
              </w:rPr>
              <w:t>，内容齐全完整</w:t>
            </w:r>
            <w:r>
              <w:rPr>
                <w:rFonts w:hint="eastAsia" w:ascii="宋体" w:hAnsi="宋体" w:eastAsia="宋体" w:cs="宋体"/>
                <w:kern w:val="0"/>
                <w:szCs w:val="21"/>
                <w:highlight w:val="none"/>
                <w:lang w:bidi="ar"/>
              </w:rPr>
              <w:t>:</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a、投标函按招标文件规定填报了项目名称、补遗书编号（如有）、投标价（包括大写金额和小写金额）；</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b、</w:t>
            </w:r>
            <w:r>
              <w:rPr>
                <w:rFonts w:hint="eastAsia" w:ascii="宋体" w:hAnsi="宋体" w:eastAsia="宋体" w:cs="宋体"/>
                <w:kern w:val="0"/>
                <w:szCs w:val="21"/>
                <w:highlight w:val="none"/>
                <w:lang w:eastAsia="zh-CN" w:bidi="ar"/>
              </w:rPr>
              <w:t>报价</w:t>
            </w:r>
            <w:r>
              <w:rPr>
                <w:rFonts w:hint="eastAsia" w:ascii="宋体" w:hAnsi="宋体" w:eastAsia="宋体" w:cs="宋体"/>
                <w:kern w:val="0"/>
                <w:szCs w:val="21"/>
                <w:highlight w:val="none"/>
                <w:lang w:bidi="ar"/>
              </w:rPr>
              <w:t>清单、清单说明文字与招标文件规定一致，未进行实质性修改和删减；</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c、投标文件组成齐全完整，内容均按规定填写。</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（2）投标文件上法定代表人或其授权代理人的签字、投标人的单位章盖章齐全，符合招标文件规定。</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（3）投标报价未超过招标文件设定的最高投标限价:</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（4）投标报价的大写金额能够确定具体数值:</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（5）同一投标人未提交两个以上不同的投标报价:</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（6）投标文件编制符合电子投标文件编制规定:</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lang w:val="en-US" w:eastAsia="zh-CN" w:bidi="ar"/>
              </w:rPr>
              <w:t>7</w:t>
            </w:r>
            <w:r>
              <w:rPr>
                <w:rFonts w:hint="eastAsia" w:ascii="宋体" w:hAnsi="宋体" w:eastAsia="宋体" w:cs="宋体"/>
                <w:kern w:val="0"/>
                <w:szCs w:val="21"/>
                <w:highlight w:val="none"/>
                <w:lang w:bidi="ar"/>
              </w:rPr>
              <w:t>）投标文件未附有招标人不能接受的条件:</w:t>
            </w:r>
          </w:p>
          <w:p>
            <w:pPr>
              <w:widowControl/>
              <w:spacing w:line="360" w:lineRule="auto"/>
              <w:jc w:val="left"/>
              <w:rPr>
                <w:rFonts w:hint="eastAsia" w:ascii="宋体" w:hAnsi="宋体" w:eastAsia="宋体" w:cs="宋体"/>
                <w:highlight w:val="none"/>
              </w:rPr>
            </w:pP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lang w:val="en-US" w:eastAsia="zh-CN" w:bidi="ar"/>
              </w:rPr>
              <w:t>8</w:t>
            </w:r>
            <w:r>
              <w:rPr>
                <w:rFonts w:hint="eastAsia" w:ascii="宋体" w:hAnsi="宋体" w:eastAsia="宋体" w:cs="宋体"/>
                <w:kern w:val="0"/>
                <w:szCs w:val="21"/>
                <w:highlight w:val="none"/>
                <w:lang w:bidi="ar"/>
              </w:rPr>
              <w:t>）不按评标委员会要求澄清、说明或补正的: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2.1.2</w:t>
            </w:r>
          </w:p>
        </w:tc>
        <w:tc>
          <w:tcPr>
            <w:tcW w:w="1296"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资格评审标准</w:t>
            </w:r>
          </w:p>
        </w:tc>
        <w:tc>
          <w:tcPr>
            <w:tcW w:w="7783" w:type="dxa"/>
            <w:noWrap w:val="0"/>
            <w:vAlign w:val="top"/>
          </w:tcPr>
          <w:p>
            <w:pPr>
              <w:widowControl/>
              <w:spacing w:line="360" w:lineRule="auto"/>
              <w:jc w:val="left"/>
              <w:rPr>
                <w:rFonts w:hint="eastAsia" w:ascii="宋体" w:hAnsi="宋体" w:eastAsia="宋体" w:cs="宋体"/>
                <w:kern w:val="0"/>
                <w:szCs w:val="21"/>
                <w:highlight w:val="none"/>
                <w:lang w:eastAsia="zh-CN" w:bidi="ar"/>
              </w:rPr>
            </w:pPr>
            <w:r>
              <w:rPr>
                <w:rFonts w:hint="eastAsia" w:ascii="宋体" w:hAnsi="宋体" w:eastAsia="宋体" w:cs="宋体"/>
                <w:kern w:val="0"/>
                <w:szCs w:val="21"/>
                <w:highlight w:val="none"/>
                <w:lang w:bidi="ar"/>
              </w:rPr>
              <w:t>（1）</w:t>
            </w:r>
            <w:r>
              <w:rPr>
                <w:rFonts w:hint="eastAsia" w:ascii="宋体" w:hAnsi="宋体" w:eastAsia="宋体" w:cs="宋体"/>
                <w:kern w:val="0"/>
                <w:szCs w:val="21"/>
                <w:highlight w:val="none"/>
                <w:lang w:eastAsia="zh-CN" w:bidi="ar"/>
              </w:rPr>
              <w:t>营业执照或事业单位法人证书或社会团体法人登记证书符合招标文件规定（要求详见招标文件附录1）；</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eastAsia="zh-CN" w:bidi="ar"/>
              </w:rPr>
              <w:t>（</w:t>
            </w:r>
            <w:r>
              <w:rPr>
                <w:rFonts w:hint="eastAsia" w:ascii="宋体" w:hAnsi="宋体" w:eastAsia="宋体" w:cs="宋体"/>
                <w:kern w:val="0"/>
                <w:szCs w:val="21"/>
                <w:highlight w:val="none"/>
                <w:lang w:val="en-US" w:eastAsia="zh-CN" w:bidi="ar"/>
              </w:rPr>
              <w:t>2</w:t>
            </w:r>
            <w:r>
              <w:rPr>
                <w:rFonts w:hint="eastAsia" w:ascii="宋体" w:hAnsi="宋体" w:eastAsia="宋体" w:cs="宋体"/>
                <w:kern w:val="0"/>
                <w:szCs w:val="21"/>
                <w:highlight w:val="none"/>
                <w:lang w:eastAsia="zh-CN" w:bidi="ar"/>
              </w:rPr>
              <w:t>）</w:t>
            </w:r>
            <w:r>
              <w:rPr>
                <w:rFonts w:hint="eastAsia" w:ascii="宋体" w:hAnsi="宋体" w:eastAsia="宋体" w:cs="宋体"/>
                <w:kern w:val="0"/>
                <w:szCs w:val="21"/>
                <w:highlight w:val="none"/>
                <w:lang w:bidi="ar"/>
              </w:rPr>
              <w:t>投标人的资质等级符合招标文件规定（要求详见招标文件附录 1）；</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lang w:val="en-US" w:eastAsia="zh-CN" w:bidi="ar"/>
              </w:rPr>
              <w:t>3</w:t>
            </w:r>
            <w:r>
              <w:rPr>
                <w:rFonts w:hint="eastAsia" w:ascii="宋体" w:hAnsi="宋体" w:eastAsia="宋体" w:cs="宋体"/>
                <w:kern w:val="0"/>
                <w:szCs w:val="21"/>
                <w:highlight w:val="none"/>
                <w:lang w:bidi="ar"/>
              </w:rPr>
              <w:t>）投标人的业绩符合招标文件规定（要求详见招标文件附录</w:t>
            </w:r>
            <w:r>
              <w:rPr>
                <w:rFonts w:hint="eastAsia" w:ascii="宋体" w:hAnsi="宋体" w:eastAsia="宋体" w:cs="宋体"/>
                <w:kern w:val="0"/>
                <w:szCs w:val="21"/>
                <w:highlight w:val="none"/>
                <w:lang w:val="en-US" w:eastAsia="zh-CN" w:bidi="ar"/>
              </w:rPr>
              <w:t>2</w:t>
            </w:r>
            <w:r>
              <w:rPr>
                <w:rFonts w:hint="eastAsia" w:ascii="宋体" w:hAnsi="宋体" w:eastAsia="宋体" w:cs="宋体"/>
                <w:kern w:val="0"/>
                <w:szCs w:val="21"/>
                <w:highlight w:val="none"/>
                <w:lang w:bidi="ar"/>
              </w:rPr>
              <w:t>）；</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lang w:val="en-US" w:eastAsia="zh-CN" w:bidi="ar"/>
              </w:rPr>
              <w:t>4</w:t>
            </w:r>
            <w:r>
              <w:rPr>
                <w:rFonts w:hint="eastAsia" w:ascii="宋体" w:hAnsi="宋体" w:eastAsia="宋体" w:cs="宋体"/>
                <w:kern w:val="0"/>
                <w:szCs w:val="21"/>
                <w:highlight w:val="none"/>
                <w:lang w:bidi="ar"/>
              </w:rPr>
              <w:t xml:space="preserve">）投标人的信誉符合招标文件规定（要求详见招标文件附录 </w:t>
            </w:r>
            <w:r>
              <w:rPr>
                <w:rFonts w:hint="eastAsia" w:ascii="宋体" w:hAnsi="宋体" w:eastAsia="宋体" w:cs="宋体"/>
                <w:kern w:val="0"/>
                <w:szCs w:val="21"/>
                <w:highlight w:val="none"/>
                <w:lang w:val="en-US" w:eastAsia="zh-CN" w:bidi="ar"/>
              </w:rPr>
              <w:t>3</w:t>
            </w:r>
            <w:r>
              <w:rPr>
                <w:rFonts w:hint="eastAsia" w:ascii="宋体" w:hAnsi="宋体" w:eastAsia="宋体" w:cs="宋体"/>
                <w:kern w:val="0"/>
                <w:szCs w:val="21"/>
                <w:highlight w:val="none"/>
                <w:lang w:bidi="ar"/>
              </w:rPr>
              <w:t>）；</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lang w:val="en-US" w:eastAsia="zh-CN" w:bidi="ar"/>
              </w:rPr>
              <w:t>5</w:t>
            </w:r>
            <w:r>
              <w:rPr>
                <w:rFonts w:hint="eastAsia" w:ascii="宋体" w:hAnsi="宋体" w:eastAsia="宋体" w:cs="宋体"/>
                <w:kern w:val="0"/>
                <w:szCs w:val="21"/>
                <w:highlight w:val="none"/>
                <w:lang w:bidi="ar"/>
              </w:rPr>
              <w:t>）投标人的人员（拟委任的</w:t>
            </w:r>
            <w:r>
              <w:rPr>
                <w:rFonts w:hint="eastAsia" w:ascii="宋体" w:hAnsi="宋体" w:eastAsia="宋体" w:cs="宋体"/>
                <w:kern w:val="0"/>
                <w:szCs w:val="21"/>
                <w:highlight w:val="none"/>
                <w:lang w:eastAsia="zh-CN" w:bidi="ar"/>
              </w:rPr>
              <w:t>项目负责人</w:t>
            </w:r>
            <w:r>
              <w:rPr>
                <w:rFonts w:hint="eastAsia" w:ascii="宋体" w:hAnsi="宋体" w:eastAsia="宋体" w:cs="宋体"/>
                <w:kern w:val="0"/>
                <w:szCs w:val="21"/>
                <w:highlight w:val="none"/>
                <w:lang w:bidi="ar"/>
              </w:rPr>
              <w:t>）情况符合招标文件规定（要求详见招标文件附录</w:t>
            </w:r>
            <w:r>
              <w:rPr>
                <w:rFonts w:hint="eastAsia" w:ascii="宋体" w:hAnsi="宋体" w:eastAsia="宋体" w:cs="宋体"/>
                <w:kern w:val="0"/>
                <w:szCs w:val="21"/>
                <w:highlight w:val="none"/>
                <w:lang w:val="en-US" w:eastAsia="zh-CN" w:bidi="ar"/>
              </w:rPr>
              <w:t>4</w:t>
            </w:r>
            <w:r>
              <w:rPr>
                <w:rFonts w:hint="eastAsia" w:ascii="宋体" w:hAnsi="宋体" w:eastAsia="宋体" w:cs="宋体"/>
                <w:kern w:val="0"/>
                <w:szCs w:val="21"/>
                <w:highlight w:val="none"/>
                <w:lang w:bidi="ar"/>
              </w:rPr>
              <w:t>）；</w:t>
            </w:r>
          </w:p>
          <w:p>
            <w:pPr>
              <w:widowControl/>
              <w:spacing w:line="360" w:lineRule="auto"/>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lang w:val="en-US" w:eastAsia="zh-CN" w:bidi="ar"/>
              </w:rPr>
              <w:t>6</w:t>
            </w:r>
            <w:r>
              <w:rPr>
                <w:rFonts w:hint="eastAsia" w:ascii="宋体" w:hAnsi="宋体" w:eastAsia="宋体" w:cs="宋体"/>
                <w:kern w:val="0"/>
                <w:szCs w:val="21"/>
                <w:highlight w:val="none"/>
                <w:lang w:bidi="ar"/>
              </w:rPr>
              <w:t>）投标人的其他要求符合招标文件规定；</w:t>
            </w:r>
          </w:p>
          <w:p>
            <w:pPr>
              <w:widowControl/>
              <w:spacing w:line="360" w:lineRule="auto"/>
              <w:jc w:val="left"/>
              <w:rPr>
                <w:rFonts w:hint="eastAsia" w:ascii="宋体" w:hAnsi="宋体" w:eastAsia="宋体" w:cs="宋体"/>
                <w:kern w:val="0"/>
                <w:szCs w:val="21"/>
                <w:highlight w:val="none"/>
                <w:lang w:eastAsia="zh-CN" w:bidi="ar"/>
              </w:rPr>
            </w:pP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lang w:val="en-US" w:eastAsia="zh-CN" w:bidi="ar"/>
              </w:rPr>
              <w:t>7</w:t>
            </w:r>
            <w:r>
              <w:rPr>
                <w:rFonts w:hint="eastAsia" w:ascii="宋体" w:hAnsi="宋体" w:eastAsia="宋体" w:cs="宋体"/>
                <w:kern w:val="0"/>
                <w:szCs w:val="21"/>
                <w:highlight w:val="none"/>
                <w:lang w:bidi="ar"/>
              </w:rPr>
              <w:t>）投标人不存在第二章“投标人须知”第 1.4.3项或第 1.4.4 项规定的任何一种情形</w:t>
            </w:r>
            <w:r>
              <w:rPr>
                <w:rFonts w:hint="eastAsia" w:ascii="宋体" w:hAnsi="宋体" w:eastAsia="宋体" w:cs="宋体"/>
                <w:kern w:val="0"/>
                <w:szCs w:val="21"/>
                <w:highlight w:val="none"/>
                <w:lang w:eastAsia="zh-CN" w:bidi="ar"/>
              </w:rPr>
              <w:t>。</w:t>
            </w:r>
          </w:p>
        </w:tc>
      </w:tr>
    </w:tbl>
    <w:tbl>
      <w:tblPr>
        <w:tblStyle w:val="9"/>
        <w:tblpPr w:leftFromText="180" w:rightFromText="180" w:vertAnchor="text" w:horzAnchor="page" w:tblpX="1078" w:tblpY="344"/>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695"/>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61"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695"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7306" w:type="dxa"/>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961"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2.2.1</w:t>
            </w:r>
          </w:p>
        </w:tc>
        <w:tc>
          <w:tcPr>
            <w:tcW w:w="1695" w:type="dxa"/>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分值构成</w:t>
            </w:r>
          </w:p>
          <w:p>
            <w:pPr>
              <w:spacing w:line="360" w:lineRule="auto"/>
              <w:ind w:left="-105" w:leftChars="-50" w:right="-105" w:rightChars="-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（总分100分）</w:t>
            </w:r>
          </w:p>
        </w:tc>
        <w:tc>
          <w:tcPr>
            <w:tcW w:w="7306" w:type="dxa"/>
            <w:noWrap w:val="0"/>
            <w:vAlign w:val="center"/>
          </w:tcPr>
          <w:p>
            <w:pPr>
              <w:spacing w:line="360" w:lineRule="auto"/>
              <w:ind w:firstLine="211" w:firstLineChars="1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第一个信封（商务及技术文件）评分分值构成：</w:t>
            </w:r>
          </w:p>
          <w:p>
            <w:pPr>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服务方案</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35</w:t>
            </w:r>
            <w:r>
              <w:rPr>
                <w:rFonts w:hint="eastAsia" w:ascii="宋体" w:hAnsi="宋体" w:eastAsia="宋体" w:cs="宋体"/>
                <w:sz w:val="21"/>
                <w:szCs w:val="21"/>
                <w:highlight w:val="none"/>
              </w:rPr>
              <w:t>分</w:t>
            </w:r>
          </w:p>
          <w:p>
            <w:pPr>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企业</w:t>
            </w:r>
            <w:r>
              <w:rPr>
                <w:rFonts w:hint="eastAsia" w:ascii="宋体" w:hAnsi="宋体" w:eastAsia="宋体" w:cs="宋体"/>
                <w:sz w:val="21"/>
                <w:szCs w:val="21"/>
                <w:highlight w:val="none"/>
              </w:rPr>
              <w:t>业绩：</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rPr>
              <w:t>分</w:t>
            </w:r>
          </w:p>
          <w:p>
            <w:pPr>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综合能力</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rPr>
              <w:t>分</w:t>
            </w:r>
          </w:p>
          <w:p>
            <w:pPr>
              <w:pStyle w:val="2"/>
              <w:spacing w:line="360" w:lineRule="auto"/>
              <w:ind w:left="0" w:leftChars="0" w:firstLine="210" w:firstLineChars="100"/>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技术响应度</w:t>
            </w:r>
            <w:r>
              <w:rPr>
                <w:rFonts w:hint="eastAsia" w:ascii="宋体" w:hAnsi="宋体" w:eastAsia="宋体" w:cs="宋体"/>
                <w:sz w:val="21"/>
                <w:szCs w:val="21"/>
                <w:highlight w:val="none"/>
                <w:lang w:eastAsia="zh-CN"/>
              </w:rPr>
              <w:t>：</w:t>
            </w:r>
            <w:r>
              <w:rPr>
                <w:rFonts w:hint="eastAsia" w:ascii="宋体" w:hAnsi="宋体" w:eastAsia="宋体" w:cs="宋体"/>
                <w:kern w:val="2"/>
                <w:sz w:val="21"/>
                <w:szCs w:val="21"/>
                <w:highlight w:val="none"/>
                <w:u w:val="single"/>
                <w:lang w:val="en-US" w:eastAsia="zh-CN" w:bidi="ar-SA"/>
              </w:rPr>
              <w:t>15</w:t>
            </w:r>
            <w:r>
              <w:rPr>
                <w:rFonts w:hint="eastAsia" w:ascii="宋体" w:hAnsi="宋体" w:eastAsia="宋体" w:cs="宋体"/>
                <w:sz w:val="21"/>
                <w:szCs w:val="21"/>
                <w:highlight w:val="none"/>
                <w:lang w:val="en-US" w:eastAsia="zh-CN"/>
              </w:rPr>
              <w:t>分</w:t>
            </w:r>
          </w:p>
          <w:p>
            <w:pPr>
              <w:spacing w:line="360" w:lineRule="auto"/>
              <w:ind w:firstLine="211" w:firstLineChars="1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第二个信封（报价文件）评分分值构成：</w:t>
            </w:r>
          </w:p>
          <w:p>
            <w:pPr>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评标价：</w:t>
            </w:r>
            <w:r>
              <w:rPr>
                <w:rFonts w:hint="eastAsia" w:ascii="宋体" w:hAnsi="宋体" w:eastAsia="宋体" w:cs="宋体"/>
                <w:sz w:val="21"/>
                <w:szCs w:val="21"/>
                <w:highlight w:val="none"/>
                <w:u w:val="single"/>
                <w:lang w:val="en-US" w:eastAsia="zh-CN"/>
              </w:rPr>
              <w:t>3</w:t>
            </w:r>
            <w:r>
              <w:rPr>
                <w:rFonts w:hint="eastAsia" w:ascii="宋体" w:hAnsi="宋体" w:eastAsia="宋体" w:cs="宋体"/>
                <w:sz w:val="21"/>
                <w:szCs w:val="21"/>
                <w:highlight w:val="none"/>
                <w:u w:val="single"/>
              </w:rPr>
              <w:t>0</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61"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2.2.2</w:t>
            </w:r>
          </w:p>
        </w:tc>
        <w:tc>
          <w:tcPr>
            <w:tcW w:w="1695" w:type="dxa"/>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评标基准价计算方法</w:t>
            </w:r>
          </w:p>
        </w:tc>
        <w:tc>
          <w:tcPr>
            <w:tcW w:w="7306" w:type="dxa"/>
            <w:noWrap w:val="0"/>
            <w:vAlign w:val="center"/>
          </w:tcPr>
          <w:p>
            <w:pPr>
              <w:widowControl/>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评标基准价的计算：</w:t>
            </w:r>
          </w:p>
          <w:p>
            <w:pPr>
              <w:widowControl/>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在开标现场，招标人将当场计算并宣布评标基准价。</w:t>
            </w:r>
          </w:p>
          <w:p>
            <w:pPr>
              <w:widowControl/>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（1）评标价的确定：评标价＝投标函文字报价</w:t>
            </w:r>
          </w:p>
          <w:p>
            <w:pPr>
              <w:widowControl/>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（2）评标价平均值的计算：</w:t>
            </w:r>
          </w:p>
          <w:p>
            <w:pPr>
              <w:widowControl/>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widowControl/>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（3）评标基准价的确定：</w:t>
            </w:r>
          </w:p>
          <w:p>
            <w:pPr>
              <w:widowControl/>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将评标价平均值直接作为评标基准价。</w:t>
            </w:r>
          </w:p>
          <w:p>
            <w:pPr>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61"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2.2.3</w:t>
            </w:r>
          </w:p>
        </w:tc>
        <w:tc>
          <w:tcPr>
            <w:tcW w:w="1695" w:type="dxa"/>
            <w:noWrap w:val="0"/>
            <w:vAlign w:val="center"/>
          </w:tcPr>
          <w:p>
            <w:pPr>
              <w:spacing w:line="360" w:lineRule="auto"/>
              <w:ind w:left="-105" w:leftChars="-50" w:right="-105" w:rightChars="-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评标价的偏差率计算公式</w:t>
            </w:r>
          </w:p>
        </w:tc>
        <w:tc>
          <w:tcPr>
            <w:tcW w:w="7306" w:type="dxa"/>
            <w:noWrap w:val="0"/>
            <w:vAlign w:val="center"/>
          </w:tcPr>
          <w:p>
            <w:pPr>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偏差率=100% ×（投标人评标价－评标基准价）/评标基准价；偏差率保留</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位小数</w:t>
            </w:r>
          </w:p>
        </w:tc>
      </w:tr>
    </w:tbl>
    <w:tbl>
      <w:tblPr>
        <w:tblStyle w:val="9"/>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110"/>
        <w:gridCol w:w="560"/>
        <w:gridCol w:w="804"/>
        <w:gridCol w:w="916"/>
        <w:gridCol w:w="762"/>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评分因素与权重分值</w:t>
            </w:r>
          </w:p>
        </w:tc>
        <w:tc>
          <w:tcPr>
            <w:tcW w:w="49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blHeader/>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sz w:val="21"/>
                <w:szCs w:val="21"/>
                <w:highlight w:val="none"/>
              </w:rPr>
            </w:pPr>
          </w:p>
        </w:tc>
        <w:tc>
          <w:tcPr>
            <w:tcW w:w="167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评分因素权重分值</w:t>
            </w:r>
          </w:p>
        </w:tc>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各评分因素细分项</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49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976"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2.2.4(1)</w:t>
            </w:r>
          </w:p>
        </w:tc>
        <w:tc>
          <w:tcPr>
            <w:tcW w:w="1670" w:type="dxa"/>
            <w:gridSpan w:val="2"/>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服务方案</w:t>
            </w:r>
          </w:p>
        </w:tc>
        <w:tc>
          <w:tcPr>
            <w:tcW w:w="804"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u w:val="single"/>
              </w:rPr>
              <w:t>35</w:t>
            </w:r>
            <w:r>
              <w:rPr>
                <w:rFonts w:hint="eastAsia" w:ascii="宋体" w:hAnsi="宋体" w:eastAsia="宋体" w:cs="宋体"/>
                <w:b/>
                <w:sz w:val="21"/>
                <w:szCs w:val="21"/>
                <w:highlight w:val="none"/>
              </w:rPr>
              <w:t>分</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供货及安装方案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single"/>
                <w:lang w:val="en-US" w:eastAsia="zh-CN" w:bidi="ar"/>
              </w:rPr>
              <w:t>15</w:t>
            </w:r>
            <w:r>
              <w:rPr>
                <w:rStyle w:val="13"/>
                <w:highlight w:val="none"/>
                <w:u w:val="single"/>
                <w:lang w:val="en-US" w:eastAsia="zh-CN" w:bidi="ar"/>
              </w:rPr>
              <w:t>分</w:t>
            </w:r>
          </w:p>
        </w:tc>
        <w:tc>
          <w:tcPr>
            <w:tcW w:w="4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投标人所投设备供货及安装方案内容阐述一般的得9分；供货及安装方案内容阐述较详细、完整的得9～12分；供货及安装方案内容阐述详细、完整、全面、可行的得12～15分。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highlight w:val="none"/>
              </w:rPr>
            </w:pPr>
          </w:p>
        </w:tc>
        <w:tc>
          <w:tcPr>
            <w:tcW w:w="1670" w:type="dxa"/>
            <w:gridSpan w:val="2"/>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sz w:val="21"/>
                <w:szCs w:val="21"/>
                <w:highlight w:val="none"/>
              </w:rPr>
            </w:pPr>
          </w:p>
        </w:tc>
        <w:tc>
          <w:tcPr>
            <w:tcW w:w="804"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sz w:val="21"/>
                <w:szCs w:val="21"/>
                <w:highlight w:val="none"/>
                <w:u w:val="singl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质量、安全、进度等保证措施</w:t>
            </w: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single"/>
                <w:lang w:val="en-US" w:eastAsia="zh-CN" w:bidi="ar"/>
              </w:rPr>
              <w:t>15</w:t>
            </w:r>
            <w:r>
              <w:rPr>
                <w:rStyle w:val="13"/>
                <w:highlight w:val="none"/>
                <w:u w:val="single"/>
                <w:lang w:val="en-US" w:eastAsia="zh-CN" w:bidi="ar"/>
              </w:rPr>
              <w:t>分</w:t>
            </w:r>
          </w:p>
        </w:tc>
        <w:tc>
          <w:tcPr>
            <w:tcW w:w="4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投标人所投设备质量、安全、进度计划等保证措施内容阐述一般，工作重点把握一般的得9分；、质量、安全、进度计划等保证措施内容阐述基本完整，工作重点把握较准确的得9～12分；质量、安全、进度计划等保证措施内容阐述全面完整，工作重点把握准确的得12～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76"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highlight w:val="none"/>
              </w:rPr>
            </w:pPr>
          </w:p>
        </w:tc>
        <w:tc>
          <w:tcPr>
            <w:tcW w:w="1670" w:type="dxa"/>
            <w:gridSpan w:val="2"/>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sz w:val="21"/>
                <w:szCs w:val="21"/>
                <w:highlight w:val="none"/>
              </w:rPr>
            </w:pPr>
          </w:p>
        </w:tc>
        <w:tc>
          <w:tcPr>
            <w:tcW w:w="804"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sz w:val="21"/>
                <w:szCs w:val="21"/>
                <w:highlight w:val="none"/>
                <w:u w:val="singl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售后服务承诺</w:t>
            </w: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single"/>
                <w:lang w:val="en-US" w:eastAsia="zh-CN" w:bidi="ar"/>
              </w:rPr>
              <w:t>5分</w:t>
            </w:r>
          </w:p>
        </w:tc>
        <w:tc>
          <w:tcPr>
            <w:tcW w:w="4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both"/>
              <w:textAlignment w:val="center"/>
              <w:rPr>
                <w:rFonts w:hint="eastAsia" w:ascii="宋体" w:hAnsi="宋体" w:eastAsia="宋体" w:cs="宋体"/>
                <w:highlight w:val="none"/>
              </w:rPr>
            </w:pPr>
            <w:r>
              <w:rPr>
                <w:rFonts w:hint="eastAsia" w:ascii="宋体" w:hAnsi="宋体" w:eastAsia="宋体" w:cs="宋体"/>
                <w:highlight w:val="none"/>
                <w:lang w:val="en-US" w:eastAsia="zh-CN"/>
              </w:rPr>
              <w:t>售后服务承诺包括人员配备、服务响应时间、服务内容、技术培训、保修方案等内容。售后服务承诺内容阐述一般的得3分；售后服务承诺内容阐述较详细、具体的得3</w:t>
            </w:r>
            <w:r>
              <w:rPr>
                <w:rFonts w:hint="eastAsia" w:ascii="宋体" w:hAnsi="宋体" w:eastAsia="宋体" w:cs="宋体"/>
                <w:i w:val="0"/>
                <w:iCs w:val="0"/>
                <w:color w:val="000000"/>
                <w:kern w:val="0"/>
                <w:sz w:val="21"/>
                <w:szCs w:val="21"/>
                <w:highlight w:val="none"/>
                <w:u w:val="none"/>
                <w:lang w:val="en-US" w:eastAsia="zh-CN" w:bidi="ar"/>
              </w:rPr>
              <w:t>～4分</w:t>
            </w:r>
            <w:r>
              <w:rPr>
                <w:rFonts w:hint="eastAsia" w:ascii="宋体" w:hAnsi="宋体" w:eastAsia="宋体" w:cs="宋体"/>
                <w:highlight w:val="none"/>
                <w:lang w:val="en-US" w:eastAsia="zh-CN"/>
              </w:rPr>
              <w:t>；售后服务承诺阐述详细、具体、周到的得4～5分。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p>
        </w:tc>
        <w:tc>
          <w:tcPr>
            <w:tcW w:w="167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w:t>
            </w:r>
          </w:p>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标</w:t>
            </w:r>
          </w:p>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u w:val="single"/>
                <w:lang w:val="en-US" w:eastAsia="zh-CN"/>
              </w:rPr>
              <w:t>3</w:t>
            </w:r>
            <w:r>
              <w:rPr>
                <w:rFonts w:hint="eastAsia" w:ascii="宋体" w:hAnsi="宋体" w:eastAsia="宋体" w:cs="宋体"/>
                <w:b/>
                <w:sz w:val="21"/>
                <w:szCs w:val="21"/>
                <w:highlight w:val="none"/>
                <w:u w:val="single"/>
              </w:rPr>
              <w:t>0</w:t>
            </w:r>
            <w:r>
              <w:rPr>
                <w:rFonts w:hint="eastAsia" w:ascii="宋体" w:hAnsi="宋体" w:eastAsia="宋体" w:cs="宋体"/>
                <w:b/>
                <w:sz w:val="21"/>
                <w:szCs w:val="21"/>
                <w:highlight w:val="none"/>
              </w:rPr>
              <w:t>分</w:t>
            </w:r>
          </w:p>
        </w:tc>
        <w:tc>
          <w:tcPr>
            <w:tcW w:w="66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rPr>
            </w:pPr>
            <w:r>
              <w:rPr>
                <w:rFonts w:hint="eastAsia"/>
              </w:rPr>
              <w:t>评标价得分计算公式：</w:t>
            </w:r>
          </w:p>
          <w:p>
            <w:pPr>
              <w:spacing w:line="360" w:lineRule="auto"/>
              <w:jc w:val="left"/>
              <w:rPr>
                <w:rFonts w:hint="eastAsia"/>
              </w:rPr>
            </w:pPr>
            <w:r>
              <w:rPr>
                <w:rFonts w:hint="eastAsia"/>
              </w:rPr>
              <w:t>(1)如果投标人的评标价&gt;评标基准价，则评标价得分＝F－偏差率×100× E1；</w:t>
            </w:r>
          </w:p>
          <w:p>
            <w:pPr>
              <w:spacing w:line="360" w:lineRule="auto"/>
              <w:jc w:val="left"/>
              <w:rPr>
                <w:rFonts w:hint="eastAsia"/>
              </w:rPr>
            </w:pPr>
            <w:r>
              <w:rPr>
                <w:rFonts w:hint="eastAsia"/>
              </w:rPr>
              <w:t>(2)如果投标人的评标价≤评标基准价，则评标价得分＝F＋偏差率× 100× E2。</w:t>
            </w:r>
          </w:p>
          <w:p>
            <w:pPr>
              <w:spacing w:line="360" w:lineRule="auto"/>
              <w:jc w:val="left"/>
              <w:rPr>
                <w:rFonts w:hint="eastAsia"/>
              </w:rPr>
            </w:pPr>
            <w:r>
              <w:rPr>
                <w:rFonts w:hint="eastAsia"/>
              </w:rPr>
              <w:t>其中：F是评标价所占的权重分值，E1是评标价每高于评标基准价一个百分点的扣分值，E2是评标价每低于评标基准价一个百分点的扣分值；</w:t>
            </w:r>
          </w:p>
          <w:p>
            <w:pPr>
              <w:spacing w:line="360" w:lineRule="auto"/>
              <w:jc w:val="left"/>
              <w:rPr>
                <w:rFonts w:hint="eastAsia"/>
              </w:rPr>
            </w:pPr>
            <w:r>
              <w:rPr>
                <w:rFonts w:hint="eastAsia"/>
              </w:rPr>
              <w:t>E1=0.2</w:t>
            </w:r>
            <w:r>
              <w:rPr>
                <w:rFonts w:hint="eastAsia" w:eastAsia="宋体"/>
                <w:lang w:eastAsia="zh-CN"/>
              </w:rPr>
              <w:t>，</w:t>
            </w:r>
            <w:r>
              <w:rPr>
                <w:rFonts w:hint="eastAsia"/>
              </w:rPr>
              <w:t>E2=0.</w:t>
            </w:r>
            <w:r>
              <w:rPr>
                <w:rFonts w:hint="eastAsia"/>
                <w:color w:val="auto"/>
              </w:rPr>
              <w:t>1</w:t>
            </w:r>
            <w:r>
              <w:rPr>
                <w:rFonts w:hint="eastAsia" w:eastAsia="宋体"/>
                <w:color w:val="auto"/>
                <w:lang w:eastAsia="zh-CN"/>
              </w:rPr>
              <w:t>，</w:t>
            </w:r>
            <w:r>
              <w:rPr>
                <w:rFonts w:hint="eastAsia"/>
                <w:color w:val="auto"/>
              </w:rPr>
              <w:t>F=</w:t>
            </w:r>
            <w:r>
              <w:rPr>
                <w:rFonts w:hint="eastAsia" w:eastAsia="宋体"/>
                <w:color w:val="auto"/>
                <w:lang w:val="en-US" w:eastAsia="zh-CN"/>
              </w:rPr>
              <w:t>3</w:t>
            </w:r>
            <w:r>
              <w:rPr>
                <w:rFonts w:hint="eastAsia"/>
                <w:color w:val="auto"/>
              </w:rPr>
              <w:t>0</w:t>
            </w:r>
            <w:r>
              <w:rPr>
                <w:rFonts w:hint="eastAsia" w:eastAsia="宋体"/>
                <w:color w:val="auto"/>
                <w:lang w:eastAsia="zh-CN"/>
              </w:rPr>
              <w:t>；</w:t>
            </w:r>
            <w:r>
              <w:rPr>
                <w:rFonts w:hint="eastAsia"/>
                <w:color w:val="auto"/>
              </w:rPr>
              <w:t>评标价</w:t>
            </w:r>
            <w:r>
              <w:rPr>
                <w:rFonts w:hint="eastAsia"/>
              </w:rPr>
              <w:t>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p>
        </w:tc>
        <w:tc>
          <w:tcPr>
            <w:tcW w:w="1110" w:type="dxa"/>
            <w:vMerge w:val="restart"/>
            <w:tcBorders>
              <w:top w:val="single" w:color="auto" w:sz="4" w:space="0"/>
              <w:left w:val="single" w:color="auto" w:sz="4" w:space="0"/>
              <w:right w:val="single" w:color="auto" w:sz="4" w:space="0"/>
            </w:tcBorders>
            <w:noWrap w:val="0"/>
            <w:vAlign w:val="center"/>
          </w:tcPr>
          <w:p>
            <w:pPr>
              <w:spacing w:line="360" w:lineRule="auto"/>
              <w:ind w:left="-105" w:leftChars="-50" w:right="-105" w:rightChars="-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其他因素</w:t>
            </w:r>
          </w:p>
        </w:tc>
        <w:tc>
          <w:tcPr>
            <w:tcW w:w="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综合能力</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5分</w:t>
            </w:r>
          </w:p>
        </w:tc>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综合能力</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5分</w:t>
            </w:r>
          </w:p>
        </w:tc>
        <w:tc>
          <w:tcPr>
            <w:tcW w:w="4964"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1.投标人具有节能产品认证证书的</w:t>
            </w:r>
            <w:r>
              <w:rPr>
                <w:rFonts w:hint="eastAsia" w:eastAsia="宋体" w:cs="宋体"/>
                <w:sz w:val="21"/>
                <w:szCs w:val="21"/>
                <w:highlight w:val="none"/>
                <w:lang w:val="en-US" w:eastAsia="zh-CN"/>
              </w:rPr>
              <w:t>得3分</w:t>
            </w:r>
            <w:r>
              <w:rPr>
                <w:rFonts w:hint="eastAsia" w:ascii="宋体" w:hAnsi="宋体" w:eastAsia="宋体" w:cs="宋体"/>
                <w:sz w:val="21"/>
                <w:szCs w:val="21"/>
                <w:highlight w:val="none"/>
                <w:lang w:val="en-US" w:eastAsia="zh-CN"/>
              </w:rPr>
              <w:t>（投标承诺</w:t>
            </w:r>
            <w:r>
              <w:rPr>
                <w:rFonts w:hint="eastAsia" w:eastAsia="宋体" w:cs="宋体"/>
                <w:sz w:val="21"/>
                <w:szCs w:val="21"/>
                <w:highlight w:val="none"/>
                <w:lang w:val="en-US" w:eastAsia="zh-CN"/>
              </w:rPr>
              <w:t>设备</w:t>
            </w:r>
            <w:r>
              <w:rPr>
                <w:rFonts w:hint="eastAsia" w:ascii="宋体" w:hAnsi="宋体" w:eastAsia="宋体" w:cs="宋体"/>
                <w:sz w:val="21"/>
                <w:szCs w:val="21"/>
                <w:highlight w:val="none"/>
                <w:lang w:val="en-US" w:eastAsia="zh-CN"/>
              </w:rPr>
              <w:t>），</w:t>
            </w:r>
            <w:r>
              <w:rPr>
                <w:rFonts w:hint="eastAsia" w:eastAsia="宋体" w:cs="宋体"/>
                <w:sz w:val="21"/>
                <w:szCs w:val="21"/>
                <w:highlight w:val="none"/>
                <w:lang w:val="en-US" w:eastAsia="zh-CN"/>
              </w:rPr>
              <w:t>此项</w:t>
            </w:r>
            <w:r>
              <w:rPr>
                <w:rFonts w:hint="eastAsia" w:ascii="宋体" w:hAnsi="宋体" w:eastAsia="宋体" w:cs="宋体"/>
                <w:sz w:val="21"/>
                <w:szCs w:val="21"/>
                <w:highlight w:val="none"/>
                <w:lang w:val="en-US" w:eastAsia="zh-CN"/>
              </w:rPr>
              <w:t>最多得</w:t>
            </w:r>
            <w:r>
              <w:rPr>
                <w:rFonts w:hint="eastAsia" w:eastAsia="宋体" w:cs="宋体"/>
                <w:sz w:val="21"/>
                <w:szCs w:val="21"/>
                <w:highlight w:val="none"/>
                <w:lang w:val="en-US" w:eastAsia="zh-CN"/>
              </w:rPr>
              <w:t>3</w:t>
            </w:r>
            <w:r>
              <w:rPr>
                <w:rFonts w:hint="eastAsia" w:ascii="宋体" w:hAnsi="宋体" w:eastAsia="宋体" w:cs="宋体"/>
                <w:sz w:val="21"/>
                <w:szCs w:val="21"/>
                <w:highlight w:val="none"/>
                <w:lang w:val="en-US" w:eastAsia="zh-CN"/>
              </w:rPr>
              <w:t>分。</w:t>
            </w:r>
          </w:p>
          <w:p>
            <w:pPr>
              <w:pStyle w:val="2"/>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2.投标人具有CRAA产品认证证书的</w:t>
            </w:r>
            <w:r>
              <w:rPr>
                <w:rFonts w:hint="eastAsia" w:eastAsia="宋体" w:cs="宋体"/>
                <w:sz w:val="21"/>
                <w:szCs w:val="21"/>
                <w:highlight w:val="none"/>
                <w:lang w:val="en-US" w:eastAsia="zh-CN"/>
              </w:rPr>
              <w:t>得2分</w:t>
            </w:r>
            <w:r>
              <w:rPr>
                <w:rFonts w:hint="eastAsia" w:ascii="宋体" w:hAnsi="宋体" w:eastAsia="宋体" w:cs="宋体"/>
                <w:sz w:val="21"/>
                <w:szCs w:val="21"/>
                <w:highlight w:val="none"/>
                <w:lang w:val="en-US" w:eastAsia="zh-CN"/>
              </w:rPr>
              <w:t>（投标承诺</w:t>
            </w:r>
            <w:r>
              <w:rPr>
                <w:rFonts w:hint="eastAsia" w:eastAsia="宋体" w:cs="宋体"/>
                <w:sz w:val="21"/>
                <w:szCs w:val="21"/>
                <w:highlight w:val="none"/>
                <w:lang w:val="en-US" w:eastAsia="zh-CN"/>
              </w:rPr>
              <w:t>设备</w:t>
            </w:r>
            <w:r>
              <w:rPr>
                <w:rFonts w:hint="eastAsia" w:ascii="宋体" w:hAnsi="宋体" w:eastAsia="宋体" w:cs="宋体"/>
                <w:sz w:val="21"/>
                <w:szCs w:val="21"/>
                <w:highlight w:val="none"/>
                <w:lang w:val="en-US" w:eastAsia="zh-CN"/>
              </w:rPr>
              <w:t>），</w:t>
            </w:r>
            <w:r>
              <w:rPr>
                <w:rFonts w:hint="eastAsia" w:eastAsia="宋体" w:cs="宋体"/>
                <w:sz w:val="21"/>
                <w:szCs w:val="21"/>
                <w:highlight w:val="none"/>
                <w:lang w:val="en-US" w:eastAsia="zh-CN"/>
              </w:rPr>
              <w:t>此项</w:t>
            </w:r>
            <w:r>
              <w:rPr>
                <w:rFonts w:hint="eastAsia" w:ascii="宋体" w:hAnsi="宋体" w:eastAsia="宋体" w:cs="宋体"/>
                <w:sz w:val="21"/>
                <w:szCs w:val="21"/>
                <w:highlight w:val="none"/>
                <w:lang w:val="en-US" w:eastAsia="zh-CN"/>
              </w:rPr>
              <w:t>最多得</w:t>
            </w:r>
            <w:r>
              <w:rPr>
                <w:rFonts w:hint="eastAsia" w:eastAsia="宋体" w:cs="宋体"/>
                <w:sz w:val="21"/>
                <w:szCs w:val="21"/>
                <w:highlight w:val="none"/>
                <w:lang w:val="en-US" w:eastAsia="zh-CN"/>
              </w:rPr>
              <w:t>2</w:t>
            </w:r>
            <w:r>
              <w:rPr>
                <w:rFonts w:hint="eastAsia" w:ascii="宋体" w:hAnsi="宋体" w:eastAsia="宋体" w:cs="宋体"/>
                <w:sz w:val="21"/>
                <w:szCs w:val="21"/>
                <w:highlight w:val="none"/>
                <w:lang w:val="en-US" w:eastAsia="zh-CN"/>
              </w:rPr>
              <w:t>分。</w:t>
            </w:r>
          </w:p>
          <w:p>
            <w:pPr>
              <w:pStyle w:val="2"/>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注：投标人须提供投标承诺</w:t>
            </w:r>
            <w:r>
              <w:rPr>
                <w:rFonts w:hint="eastAsia" w:eastAsia="宋体" w:cs="宋体"/>
                <w:sz w:val="21"/>
                <w:szCs w:val="21"/>
                <w:highlight w:val="none"/>
                <w:lang w:val="en-US" w:eastAsia="zh-CN"/>
              </w:rPr>
              <w:t>设备</w:t>
            </w:r>
            <w:r>
              <w:rPr>
                <w:rFonts w:hint="eastAsia" w:ascii="宋体" w:hAnsi="宋体" w:eastAsia="宋体" w:cs="宋体"/>
                <w:sz w:val="21"/>
                <w:szCs w:val="21"/>
                <w:highlight w:val="none"/>
                <w:lang w:val="en-US" w:eastAsia="zh-CN"/>
              </w:rPr>
              <w:t>有效证书彩色扫描件，否则不得分。</w:t>
            </w:r>
          </w:p>
          <w:p>
            <w:pPr>
              <w:pStyle w:val="2"/>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如投标人为经销商</w:t>
            </w:r>
            <w:r>
              <w:rPr>
                <w:rFonts w:hint="eastAsia" w:eastAsia="宋体" w:cs="宋体"/>
                <w:sz w:val="21"/>
                <w:szCs w:val="21"/>
                <w:highlight w:val="none"/>
                <w:lang w:val="en-US" w:eastAsia="zh-CN"/>
              </w:rPr>
              <w:t>，</w:t>
            </w:r>
            <w:r>
              <w:rPr>
                <w:rFonts w:hint="eastAsia" w:ascii="宋体" w:hAnsi="宋体" w:eastAsia="宋体" w:cs="宋体"/>
                <w:sz w:val="21"/>
                <w:szCs w:val="21"/>
                <w:highlight w:val="none"/>
                <w:lang w:val="en-US" w:eastAsia="zh-CN"/>
              </w:rPr>
              <w:t>须提供投标承诺</w:t>
            </w:r>
            <w:r>
              <w:rPr>
                <w:rFonts w:hint="eastAsia" w:eastAsia="宋体" w:cs="宋体"/>
                <w:sz w:val="21"/>
                <w:szCs w:val="21"/>
                <w:highlight w:val="none"/>
                <w:lang w:val="en-US" w:eastAsia="zh-CN"/>
              </w:rPr>
              <w:t>设备</w:t>
            </w:r>
            <w:r>
              <w:rPr>
                <w:rFonts w:hint="eastAsia" w:ascii="宋体" w:hAnsi="宋体" w:eastAsia="宋体" w:cs="宋体"/>
                <w:sz w:val="21"/>
                <w:szCs w:val="21"/>
                <w:highlight w:val="none"/>
                <w:lang w:val="en-US" w:eastAsia="zh-CN"/>
              </w:rPr>
              <w:t>制造商的有效证书彩色扫描件，否则不得分。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p>
        </w:tc>
        <w:tc>
          <w:tcPr>
            <w:tcW w:w="1110" w:type="dxa"/>
            <w:vMerge w:val="continue"/>
            <w:tcBorders>
              <w:left w:val="single" w:color="auto" w:sz="4" w:space="0"/>
              <w:right w:val="single" w:color="auto" w:sz="4" w:space="0"/>
            </w:tcBorders>
            <w:noWrap w:val="0"/>
            <w:vAlign w:val="center"/>
          </w:tcPr>
          <w:p>
            <w:pPr>
              <w:spacing w:line="360" w:lineRule="auto"/>
              <w:ind w:left="-105" w:leftChars="-50" w:right="-105" w:rightChars="-50"/>
              <w:jc w:val="center"/>
              <w:rPr>
                <w:rFonts w:hint="eastAsia" w:ascii="宋体" w:hAnsi="宋体" w:eastAsia="宋体" w:cs="宋体"/>
                <w:b/>
                <w:sz w:val="21"/>
                <w:szCs w:val="21"/>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业绩</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15</w:t>
            </w:r>
            <w:r>
              <w:rPr>
                <w:rFonts w:hint="eastAsia" w:ascii="宋体" w:hAnsi="宋体" w:eastAsia="宋体" w:cs="宋体"/>
                <w:b/>
                <w:sz w:val="21"/>
                <w:szCs w:val="21"/>
                <w:highlight w:val="none"/>
              </w:rPr>
              <w:t>分</w:t>
            </w:r>
          </w:p>
        </w:tc>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业绩</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tc>
        <w:tc>
          <w:tcPr>
            <w:tcW w:w="4964" w:type="dxa"/>
            <w:tcBorders>
              <w:top w:val="single" w:color="auto" w:sz="4" w:space="0"/>
              <w:left w:val="single" w:color="auto" w:sz="4" w:space="0"/>
              <w:bottom w:val="single" w:color="auto" w:sz="4" w:space="0"/>
              <w:right w:val="single" w:color="auto" w:sz="4" w:space="0"/>
            </w:tcBorders>
            <w:noWrap w:val="0"/>
            <w:vAlign w:val="top"/>
          </w:tcPr>
          <w:p>
            <w:pPr>
              <w:pStyle w:val="2"/>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1.满足资格审查条件（业绩最低要求）得9分。</w:t>
            </w:r>
          </w:p>
          <w:p>
            <w:pPr>
              <w:pStyle w:val="2"/>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2.在满足资格条件审查（业绩最低要求）的基础上，投标人近3年（自</w:t>
            </w:r>
            <w:r>
              <w:rPr>
                <w:rFonts w:hint="eastAsia" w:ascii="宋体" w:hAnsi="宋体" w:eastAsia="宋体" w:cs="宋体"/>
                <w:color w:val="0000FF"/>
                <w:sz w:val="21"/>
                <w:szCs w:val="21"/>
                <w:highlight w:val="none"/>
                <w:lang w:val="en-US" w:eastAsia="zh-CN"/>
              </w:rPr>
              <w:t>2020年5月2</w:t>
            </w:r>
            <w:r>
              <w:rPr>
                <w:rFonts w:hint="eastAsia" w:eastAsia="宋体" w:cs="宋体"/>
                <w:color w:val="0000FF"/>
                <w:sz w:val="21"/>
                <w:szCs w:val="21"/>
                <w:highlight w:val="none"/>
                <w:lang w:val="en-US" w:eastAsia="zh-CN"/>
              </w:rPr>
              <w:t>6</w:t>
            </w:r>
            <w:r>
              <w:rPr>
                <w:rFonts w:hint="eastAsia" w:ascii="宋体" w:hAnsi="宋体" w:eastAsia="宋体" w:cs="宋体"/>
                <w:color w:val="0000FF"/>
                <w:sz w:val="21"/>
                <w:szCs w:val="21"/>
                <w:highlight w:val="none"/>
                <w:lang w:val="en-US" w:eastAsia="zh-CN"/>
              </w:rPr>
              <w:t>日</w:t>
            </w:r>
            <w:r>
              <w:rPr>
                <w:rFonts w:hint="eastAsia" w:ascii="宋体" w:hAnsi="宋体" w:eastAsia="宋体" w:cs="宋体"/>
                <w:sz w:val="21"/>
                <w:szCs w:val="21"/>
                <w:highlight w:val="none"/>
                <w:lang w:val="en-US" w:eastAsia="zh-CN"/>
              </w:rPr>
              <w:t>至投标截至之日，以合同签订日期为准）每增加1个空气源热泵机组采购及安装业绩加3分，此项最多加6分。</w:t>
            </w:r>
          </w:p>
          <w:p>
            <w:pPr>
              <w:pStyle w:val="2"/>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注：业绩证明材料须提供合同全本彩色扫描件，否则不得分。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p>
        </w:tc>
        <w:tc>
          <w:tcPr>
            <w:tcW w:w="1110" w:type="dxa"/>
            <w:vMerge w:val="continue"/>
            <w:tcBorders>
              <w:left w:val="single" w:color="auto" w:sz="4" w:space="0"/>
              <w:right w:val="single" w:color="auto" w:sz="4" w:space="0"/>
            </w:tcBorders>
            <w:noWrap w:val="0"/>
            <w:vAlign w:val="center"/>
          </w:tcPr>
          <w:p>
            <w:pPr>
              <w:spacing w:line="360" w:lineRule="auto"/>
              <w:ind w:left="-105" w:leftChars="-50" w:right="-105" w:rightChars="-50"/>
              <w:jc w:val="center"/>
              <w:rPr>
                <w:rFonts w:hint="eastAsia" w:ascii="宋体" w:hAnsi="宋体" w:eastAsia="宋体" w:cs="宋体"/>
                <w:b/>
                <w:sz w:val="21"/>
                <w:szCs w:val="21"/>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技术响应度</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sz w:val="21"/>
                <w:szCs w:val="21"/>
                <w:highlight w:val="none"/>
                <w:u w:val="single"/>
                <w:lang w:val="en-US" w:eastAsia="zh-CN"/>
              </w:rPr>
            </w:pPr>
            <w:r>
              <w:rPr>
                <w:rFonts w:hint="eastAsia" w:ascii="宋体" w:hAnsi="宋体" w:eastAsia="宋体" w:cs="宋体"/>
                <w:b/>
                <w:sz w:val="21"/>
                <w:szCs w:val="21"/>
                <w:highlight w:val="none"/>
                <w:u w:val="none"/>
                <w:lang w:val="en-US" w:eastAsia="zh-CN"/>
              </w:rPr>
              <w:t>15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技术响应度</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en-US" w:eastAsia="zh-CN"/>
              </w:rPr>
              <w:t>15</w:t>
            </w:r>
          </w:p>
        </w:tc>
        <w:tc>
          <w:tcPr>
            <w:tcW w:w="496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1.投标设备全部满足</w:t>
            </w:r>
            <w:r>
              <w:rPr>
                <w:rFonts w:hint="eastAsia" w:ascii="宋体" w:hAnsi="宋体" w:eastAsia="宋体" w:cs="宋体"/>
                <w:szCs w:val="21"/>
                <w:highlight w:val="none"/>
              </w:rPr>
              <w:t>空气源热泵</w:t>
            </w:r>
            <w:r>
              <w:rPr>
                <w:rFonts w:hint="eastAsia" w:ascii="宋体" w:hAnsi="宋体" w:eastAsia="宋体" w:cs="宋体"/>
                <w:sz w:val="21"/>
                <w:szCs w:val="21"/>
                <w:highlight w:val="none"/>
                <w:lang w:val="en-US" w:eastAsia="zh-CN"/>
              </w:rPr>
              <w:t>基本技术参数得9分。</w:t>
            </w:r>
          </w:p>
          <w:p>
            <w:pPr>
              <w:keepNext w:val="0"/>
              <w:keepLines w:val="0"/>
              <w:widowControl/>
              <w:numPr>
                <w:ilvl w:val="0"/>
                <w:numId w:val="0"/>
              </w:numPr>
              <w:suppressLineNumbers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2.在名义制热工况-12℃，出口水温41℃下，单台机组：空气源热泵:名义制热量≥108KW</w:t>
            </w:r>
          </w:p>
          <w:p>
            <w:pPr>
              <w:keepNext w:val="0"/>
              <w:keepLines w:val="0"/>
              <w:widowControl/>
              <w:numPr>
                <w:ilvl w:val="0"/>
                <w:numId w:val="0"/>
              </w:numPr>
              <w:suppressLineNumbers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COP≥2.55得3分；2.55＞COP≥2.49得2分；2.49＞COP≥2.43得1分；2.43＞COP得0分。</w:t>
            </w:r>
          </w:p>
          <w:p>
            <w:pPr>
              <w:keepNext w:val="0"/>
              <w:keepLines w:val="0"/>
              <w:widowControl/>
              <w:numPr>
                <w:ilvl w:val="0"/>
                <w:numId w:val="0"/>
              </w:numPr>
              <w:suppressLineNumbers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3.自动融霜：投标设备融霜自动进行，融化水能正常排放。融霜时间不超过制热周期的20%。满足得1分，不满足得0分。</w:t>
            </w:r>
          </w:p>
          <w:p>
            <w:pPr>
              <w:pStyle w:val="2"/>
              <w:ind w:left="0" w:leftChars="0" w:firstLine="0" w:firstLineChars="0"/>
              <w:rPr>
                <w:rFonts w:hint="default"/>
                <w:lang w:val="en-US" w:eastAsia="zh-CN"/>
              </w:rPr>
            </w:pPr>
            <w:r>
              <w:rPr>
                <w:rFonts w:hint="eastAsia"/>
                <w:lang w:val="en-US" w:eastAsia="zh-CN"/>
              </w:rPr>
              <w:t>4.机组启动（运转）：空气源热泵机组最低工作环境温度能达到-30℃，且在空气干球温度不低于-30℃时机组能无电辅热正常启动。满足得2分，不满足不得分。</w:t>
            </w:r>
          </w:p>
          <w:p>
            <w:pPr>
              <w:keepNext w:val="0"/>
              <w:keepLines w:val="0"/>
              <w:widowControl/>
              <w:suppressLineNumbers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注：名义制热量、自动融霜、制热性能系数</w:t>
            </w:r>
            <w:r>
              <w:rPr>
                <w:rFonts w:hint="eastAsia" w:ascii="宋体" w:hAnsi="宋体" w:eastAsia="宋体" w:cs="宋体"/>
                <w:sz w:val="21"/>
                <w:szCs w:val="21"/>
                <w:highlight w:val="none"/>
                <w:lang w:val="en-US" w:eastAsia="zh-CN"/>
              </w:rPr>
              <w:t>COP值、机组启动以检测结果为准，须提供第三方权威机构检测报告彩色扫描件，否则不得分。</w:t>
            </w:r>
          </w:p>
        </w:tc>
      </w:tr>
    </w:tbl>
    <w:p>
      <w:pPr>
        <w:pStyle w:val="2"/>
        <w:rPr>
          <w:rFonts w:hint="eastAsia"/>
        </w:rPr>
      </w:pPr>
    </w:p>
    <w:p>
      <w:pPr>
        <w:spacing w:line="360" w:lineRule="auto"/>
        <w:jc w:val="left"/>
        <w:rPr>
          <w:rFonts w:hint="eastAsia"/>
          <w:lang w:eastAsia="zh-CN"/>
        </w:rPr>
      </w:pPr>
      <w:bookmarkStart w:id="25" w:name="_GoBack"/>
      <w:bookmarkEnd w:id="25"/>
      <w:r>
        <w:rPr>
          <w:rFonts w:hint="eastAsia" w:ascii="宋体" w:hAnsi="宋体" w:eastAsia="宋体" w:cs="宋体"/>
          <w:highlight w:val="none"/>
        </w:rPr>
        <w:t>注：各评分因素（评标价和履约信誉评分项除外）得分一般不得低于其权重分值的 60%，且各评分因素得分应以评标委员会各成员的打分平均值确定，评标委员会成员总数为 7 人以上时，该平均值以去掉一个最高分和一个最低分后计算</w:t>
      </w:r>
      <w:r>
        <w:rPr>
          <w:rFonts w:hint="eastAsia" w:ascii="宋体" w:hAnsi="宋体" w:eastAsia="宋体" w:cs="宋体"/>
          <w:highlight w:val="none"/>
          <w:lang w:eastAsia="zh-CN"/>
        </w:rPr>
        <w:t>，</w:t>
      </w:r>
      <w:r>
        <w:rPr>
          <w:rFonts w:hint="eastAsia" w:ascii="宋体" w:hAnsi="宋体" w:eastAsia="宋体" w:cs="宋体"/>
          <w:highlight w:val="none"/>
        </w:rPr>
        <w:t>保留2 位小数。评标委员会成员对某一项评分因素的评分低于权重分值 60%的，应在评标报告中作出说明。</w:t>
      </w:r>
    </w:p>
    <w:p>
      <w:pPr>
        <w:spacing w:before="3"/>
        <w:ind w:left="220"/>
        <w:outlineLvl w:val="9"/>
        <w:rPr>
          <w:color w:val="auto"/>
        </w:rPr>
      </w:pPr>
    </w:p>
    <w:p>
      <w:pPr>
        <w:pStyle w:val="8"/>
        <w:rPr>
          <w:rFonts w:ascii="宋体" w:hAnsi="宋体" w:eastAsia="宋体" w:cs="宋体"/>
          <w:color w:val="auto"/>
          <w:spacing w:val="-3"/>
          <w:sz w:val="24"/>
          <w:szCs w:val="24"/>
        </w:rPr>
        <w:sectPr>
          <w:headerReference r:id="rId3" w:type="default"/>
          <w:footerReference r:id="rId4" w:type="default"/>
          <w:pgSz w:w="11907" w:h="16841"/>
          <w:pgMar w:top="1134" w:right="1417" w:bottom="1134" w:left="1417" w:header="883" w:footer="922" w:gutter="0"/>
          <w:pgNumType w:fmt="decimal"/>
          <w:cols w:space="720" w:num="1"/>
        </w:sectPr>
      </w:pP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5" w:name="_Toc30646"/>
      <w:bookmarkStart w:id="6" w:name="_Toc6449"/>
      <w:bookmarkStart w:id="7" w:name="_Toc26315"/>
      <w:bookmarkStart w:id="8" w:name="_Toc13955"/>
      <w:r>
        <w:rPr>
          <w:rFonts w:hint="eastAsia" w:ascii="宋体" w:hAnsi="宋体" w:eastAsia="宋体" w:cs="宋体"/>
          <w:b/>
          <w:bCs/>
          <w:color w:val="auto"/>
          <w:sz w:val="21"/>
          <w:szCs w:val="24"/>
          <w:highlight w:val="none"/>
          <w:lang w:eastAsia="zh-CN"/>
        </w:rPr>
        <w:t>1.评标方法</w:t>
      </w:r>
      <w:bookmarkEnd w:id="5"/>
      <w:bookmarkEnd w:id="6"/>
      <w:bookmarkEnd w:id="7"/>
      <w:bookmarkEnd w:id="8"/>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本次评标采用合理低价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w:t>
      </w: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9" w:name="_Toc23967"/>
      <w:bookmarkStart w:id="10" w:name="_Toc19814"/>
      <w:bookmarkStart w:id="11" w:name="_Toc23736"/>
      <w:bookmarkStart w:id="12" w:name="_Toc7388"/>
      <w:r>
        <w:rPr>
          <w:rFonts w:hint="eastAsia" w:ascii="宋体" w:hAnsi="宋体" w:eastAsia="宋体" w:cs="宋体"/>
          <w:b/>
          <w:bCs/>
          <w:color w:val="auto"/>
          <w:sz w:val="21"/>
          <w:szCs w:val="24"/>
          <w:highlight w:val="none"/>
          <w:lang w:eastAsia="zh-CN"/>
        </w:rPr>
        <w:t>2.评审标准</w:t>
      </w:r>
      <w:bookmarkEnd w:id="9"/>
      <w:bookmarkEnd w:id="10"/>
      <w:bookmarkEnd w:id="11"/>
      <w:bookmarkEnd w:id="12"/>
    </w:p>
    <w:p>
      <w:pPr>
        <w:numPr>
          <w:ilvl w:val="0"/>
          <w:numId w:val="0"/>
        </w:numPr>
        <w:spacing w:line="360" w:lineRule="auto"/>
        <w:ind w:leftChars="0" w:firstLine="420" w:firstLineChars="0"/>
        <w:outlineLvl w:val="2"/>
        <w:rPr>
          <w:rFonts w:hint="eastAsia" w:ascii="宋体" w:hAnsi="宋体" w:eastAsia="宋体" w:cs="宋体"/>
          <w:color w:val="auto"/>
          <w:sz w:val="21"/>
          <w:szCs w:val="24"/>
          <w:highlight w:val="none"/>
          <w:lang w:eastAsia="zh-CN"/>
        </w:rPr>
      </w:pPr>
      <w:bookmarkStart w:id="13" w:name="_Toc673"/>
      <w:bookmarkStart w:id="14" w:name="_Toc32169"/>
      <w:bookmarkStart w:id="15" w:name="_Toc9470"/>
      <w:bookmarkStart w:id="16" w:name="_Toc29520"/>
      <w:r>
        <w:rPr>
          <w:rFonts w:hint="eastAsia" w:ascii="宋体" w:hAnsi="宋体" w:eastAsia="宋体" w:cs="宋体"/>
          <w:color w:val="auto"/>
          <w:sz w:val="21"/>
          <w:szCs w:val="24"/>
          <w:highlight w:val="none"/>
          <w:lang w:eastAsia="zh-CN"/>
        </w:rPr>
        <w:t>2.1初步评审标准</w:t>
      </w:r>
      <w:bookmarkEnd w:id="13"/>
      <w:bookmarkEnd w:id="14"/>
      <w:bookmarkEnd w:id="15"/>
      <w:bookmarkEnd w:id="16"/>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2.1.1形式评审标准：见评标办法前附表。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2.1.2资格评审标准：见评标办法前附表（适用于未进行资格预审的）。</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2.1.3响应性评审标准：见评标办法前附表。</w:t>
      </w:r>
    </w:p>
    <w:p>
      <w:pPr>
        <w:numPr>
          <w:ilvl w:val="0"/>
          <w:numId w:val="0"/>
        </w:numPr>
        <w:spacing w:line="360" w:lineRule="auto"/>
        <w:ind w:leftChars="0" w:firstLine="420" w:firstLineChars="0"/>
        <w:outlineLvl w:val="2"/>
        <w:rPr>
          <w:rFonts w:hint="eastAsia" w:ascii="宋体" w:hAnsi="宋体" w:eastAsia="宋体" w:cs="宋体"/>
          <w:color w:val="auto"/>
          <w:sz w:val="21"/>
          <w:szCs w:val="24"/>
          <w:highlight w:val="none"/>
          <w:lang w:eastAsia="zh-CN"/>
        </w:rPr>
      </w:pPr>
      <w:bookmarkStart w:id="17" w:name="_Toc28893"/>
      <w:bookmarkStart w:id="18" w:name="_Toc14775"/>
      <w:bookmarkStart w:id="19" w:name="_Toc19832"/>
      <w:bookmarkStart w:id="20" w:name="_Toc18439"/>
      <w:r>
        <w:rPr>
          <w:rFonts w:hint="eastAsia" w:ascii="宋体" w:hAnsi="宋体" w:eastAsia="宋体" w:cs="宋体"/>
          <w:color w:val="auto"/>
          <w:sz w:val="21"/>
          <w:szCs w:val="24"/>
          <w:highlight w:val="none"/>
          <w:lang w:eastAsia="zh-CN"/>
        </w:rPr>
        <w:t>2.2、分值构成与评分标准分值构成</w:t>
      </w:r>
      <w:bookmarkEnd w:id="17"/>
      <w:bookmarkEnd w:id="18"/>
      <w:bookmarkEnd w:id="19"/>
      <w:bookmarkEnd w:id="20"/>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评标价：见评标办法前附表。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2.2.1评标基准价计算</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评标基准价计算方法：见评标办法前附表。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2.2.2评标价的偏差率计算</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评标价的偏差率计算公式：见评标办法前附表。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2.2.3评分标准</w:t>
      </w:r>
    </w:p>
    <w:p>
      <w:pPr>
        <w:numPr>
          <w:ilvl w:val="0"/>
          <w:numId w:val="0"/>
        </w:numPr>
        <w:spacing w:line="360" w:lineRule="auto"/>
        <w:ind w:leftChars="0" w:firstLine="420" w:firstLineChars="0"/>
        <w:rPr>
          <w:rFonts w:hint="eastAsia" w:ascii="宋体" w:hAnsi="宋体" w:eastAsia="宋体" w:cs="宋体"/>
          <w:b/>
          <w:bCs/>
          <w:color w:val="auto"/>
          <w:sz w:val="21"/>
          <w:szCs w:val="24"/>
          <w:highlight w:val="none"/>
          <w:lang w:eastAsia="zh-CN"/>
        </w:rPr>
      </w:pPr>
      <w:r>
        <w:rPr>
          <w:rFonts w:hint="eastAsia" w:ascii="宋体" w:hAnsi="宋体" w:eastAsia="宋体" w:cs="宋体"/>
          <w:b/>
          <w:bCs/>
          <w:color w:val="auto"/>
          <w:sz w:val="21"/>
          <w:szCs w:val="24"/>
          <w:highlight w:val="none"/>
          <w:lang w:eastAsia="zh-CN"/>
        </w:rPr>
        <w:t>评标价评分标准：见评标办法前附表</w:t>
      </w: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21" w:name="_Toc15788"/>
      <w:bookmarkStart w:id="22" w:name="_Toc21004"/>
      <w:bookmarkStart w:id="23" w:name="_Toc31822"/>
      <w:bookmarkStart w:id="24" w:name="_Toc6203"/>
      <w:r>
        <w:rPr>
          <w:rFonts w:hint="eastAsia" w:ascii="宋体" w:hAnsi="宋体" w:eastAsia="宋体" w:cs="宋体"/>
          <w:b/>
          <w:bCs/>
          <w:color w:val="auto"/>
          <w:sz w:val="21"/>
          <w:szCs w:val="24"/>
          <w:highlight w:val="none"/>
          <w:lang w:eastAsia="zh-CN"/>
        </w:rPr>
        <w:t>3.评标程序</w:t>
      </w:r>
      <w:bookmarkEnd w:id="21"/>
      <w:bookmarkEnd w:id="22"/>
      <w:bookmarkEnd w:id="23"/>
      <w:bookmarkEnd w:id="24"/>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3.1第一个信封初步评审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3.1.2第二个信封开标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第一个封（商务及技术文件）评审</w:t>
      </w:r>
      <w:r>
        <w:rPr>
          <w:rFonts w:hint="eastAsia" w:ascii="宋体" w:hAnsi="宋体" w:eastAsia="宋体" w:cs="宋体"/>
          <w:color w:val="auto"/>
          <w:sz w:val="21"/>
          <w:szCs w:val="24"/>
          <w:highlight w:val="none"/>
          <w:lang w:val="en-US" w:eastAsia="zh-CN"/>
        </w:rPr>
        <w:t>结束</w:t>
      </w:r>
      <w:r>
        <w:rPr>
          <w:rFonts w:hint="eastAsia" w:ascii="宋体" w:hAnsi="宋体" w:eastAsia="宋体" w:cs="宋体"/>
          <w:color w:val="auto"/>
          <w:sz w:val="21"/>
          <w:szCs w:val="24"/>
          <w:highlight w:val="none"/>
          <w:lang w:eastAsia="zh-CN"/>
        </w:rPr>
        <w:t>后，招标人将按照第二章“投标人须知”第5.1款规定的时间和地点对通过投标文件第一个信封（商务及技术文件）评审的投标文件第二个信封（报价文件）进行开标。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3.2第二个信封初步评审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3.2.1评标委员会依据本章第2.1.1项、第2.1.3项规定的评审标准对投标文件第二个信封（报价文件）进行初步评审。有一项不符合评审标准的，评标委员会应否决其投标。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3.2.2投标报价有算术错误的，评标委员会按以下原则对投标报价进行修正，修正的价格经投标人书面确认后具有约束力。投标人不接受修正价格的，评标委员会应否决其投标。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（1）投标文件中的大写金额与小写金额不一致的，以大写金额为准；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（2）总价金额与依据单价计算出的结果不一致的，以单价</w:t>
      </w:r>
      <w:r>
        <w:rPr>
          <w:rFonts w:hint="eastAsia" w:ascii="宋体" w:hAnsi="宋体" w:eastAsia="宋体" w:cs="宋体"/>
          <w:color w:val="auto"/>
          <w:sz w:val="21"/>
          <w:szCs w:val="24"/>
          <w:highlight w:val="none"/>
          <w:lang w:val="en-US" w:eastAsia="zh-CN"/>
        </w:rPr>
        <w:t>金额</w:t>
      </w:r>
      <w:r>
        <w:rPr>
          <w:rFonts w:hint="eastAsia" w:ascii="宋体" w:hAnsi="宋体" w:eastAsia="宋体" w:cs="宋体"/>
          <w:color w:val="auto"/>
          <w:sz w:val="21"/>
          <w:szCs w:val="24"/>
          <w:highlight w:val="none"/>
          <w:lang w:eastAsia="zh-CN"/>
        </w:rPr>
        <w:t>为准修正总价，但单价金额小数点有明显错误的除外；</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（3）当单价与数量相乘不等于合价时，以单价计算为准，如果单价有明显的小数点位置差错，应以标出的合价为准，同时对单价予以修正；</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（4）当各子目的合价累计不等于总价时，应以各子目合价累计数为准，修正总价。</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3.3.1工程量清单中的投标报价有其他错误的，评标委员会按以下原则对投标报价进行修正，修正的价格经投标人书面确认后具有约束力。投标人不接受修正价格的，评标委员会应否决其投标。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在招标人给定的工程量清单中多报了某个工程子目的单价、合价或总额价，或所报单价、合价或总额价增加了报价范围，则从投标报价中扣除多报的工程子目报价或工程子目报价中</w:t>
      </w:r>
      <w:r>
        <w:rPr>
          <w:rFonts w:hint="eastAsia" w:ascii="宋体" w:hAnsi="宋体" w:cs="宋体"/>
          <w:color w:val="auto"/>
          <w:sz w:val="21"/>
          <w:szCs w:val="24"/>
          <w:highlight w:val="none"/>
          <w:lang w:eastAsia="zh-CN"/>
        </w:rPr>
        <w:t>增加</w:t>
      </w:r>
      <w:r>
        <w:rPr>
          <w:rFonts w:hint="eastAsia" w:ascii="宋体" w:hAnsi="宋体" w:eastAsia="宋体" w:cs="宋体"/>
          <w:color w:val="auto"/>
          <w:sz w:val="21"/>
          <w:szCs w:val="24"/>
          <w:highlight w:val="none"/>
          <w:lang w:eastAsia="zh-CN"/>
        </w:rPr>
        <w:t>了报价范围的部分报价。</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（3）当单价与数量的乘积与合价（金额）虽然一致，但投标人修改了该子目的工程数量，则其合价按招标人给定的工程数量乘以投标人所报单价予以修正。</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3.3.2修正后的最终投标报价若超过最高投标报价（如有），评标委员会应否决其投标。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3.3.3修正后的最终投标报价仅作为签订合同的一个依据，不参与评标价得分的计算。3.4第二个信封详细评审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3.4.1评标委员会按本章第2.2款规定的量化因素和分值进行打分，并计算出综合评估得分（即评标价得分）。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3.4.2投标人得分分值计算保留小数点后三位，小数点后第三位“四舍五入”。</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3.4.3评标委员会发现投标人的报价明显低于其他投标报价，使得其投标报价可能低于其个别成本的，应要求该投标人</w:t>
      </w:r>
      <w:r>
        <w:rPr>
          <w:rFonts w:hint="eastAsia" w:ascii="宋体" w:hAnsi="宋体" w:cs="宋体"/>
          <w:color w:val="auto"/>
          <w:sz w:val="21"/>
          <w:szCs w:val="24"/>
          <w:highlight w:val="none"/>
          <w:lang w:eastAsia="zh-CN"/>
        </w:rPr>
        <w:t>作出</w:t>
      </w:r>
      <w:r>
        <w:rPr>
          <w:rFonts w:hint="eastAsia" w:ascii="宋体" w:hAnsi="宋体" w:eastAsia="宋体" w:cs="宋体"/>
          <w:color w:val="auto"/>
          <w:sz w:val="21"/>
          <w:szCs w:val="24"/>
          <w:highlight w:val="none"/>
          <w:lang w:eastAsia="zh-CN"/>
        </w:rPr>
        <w:t>书面说明并提供相应的证明材料。投标人不能合理说明或不能提供相应证明材料的，评标委员会应认定该投标人以低于成本报价竞标，并否决其投标。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3.5投标文件相关信息的核查</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3.5.2评标委员会应对在评标过程中发现的投标人与投标人之间、投标人与招标人之间存在的串通投标的情形进行评审和认定。投标人存在串通投标、弄虚作假、行贿等违法行为的，评标委员会应否决其投标。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（1）有下列情形之一的，属于投标人相互串通投标：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a.投标人之间协商投标报价等投标文件的实质性内容；</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b.投标人之间约定中标人；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c.投标人之间约定部分投标人放弃投标或中标；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d.属于同一集团、协会、商会等组织成员的投标人按照该组织要求协同投标；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e.投标人之间为谋取中标或排斥特定投标人而采取的其他联合行动。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（2）有下列情形之一的，视为投标人相互串通投标：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a.不同投标人的投标文件由同一单位或个人编制；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b.不同投标人委托同一单位或个人办理投标事宜；</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c.不同投标人的投标文件载明的项目管理成员为同一人；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d.不同投标人的投标文件异常一致或投标报价呈规律性差异；</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e.不同投标人的投标文件相互混装；</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f.不同投标人的投标保证金从同一单位或个人的账户转出。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（3）有下列情形之一的，属于招标人与投标人串通投标：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a.招标人在开标前开启投标文件并将有关信息泄露给其他投标人；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b.招标人直接或间接向投标人泄露标底、评标委员会成员等信息；</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c.招标人明示或暗示投标人；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d.招标人授意投标人撤换、修改投标文件；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e.招标人明示或暗示投标人为特定投标人中标提供方便；</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f.招标人与投标人为谋求特定投标人中标而采取的其他串通行为。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（4）投标人有下列情形之一的，属于弄虚作假的行为：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a.使用通过受让或租借等方式获取的资格、资质证书投标；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b.使用伪造、变造的许可证件；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c.提供虚假的财务状况或业绩；</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d.提供虚假的项目负责人或主要技术人员简历、劳动关系证明；</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e.提供虚假的信用状况；</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f.其他弄虚作假的行为。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3.6投标文件的澄清和说明</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3.6.1</w:t>
      </w:r>
      <w:r>
        <w:rPr>
          <w:rFonts w:hint="eastAsia" w:ascii="宋体" w:hAnsi="宋体" w:eastAsia="宋体" w:cs="宋体"/>
          <w:color w:val="auto"/>
          <w:sz w:val="21"/>
          <w:szCs w:val="24"/>
          <w:highlight w:val="none"/>
          <w:lang w:eastAsia="zh-CN"/>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3.6.2</w:t>
      </w:r>
      <w:r>
        <w:rPr>
          <w:rFonts w:hint="eastAsia" w:ascii="宋体" w:hAnsi="宋体" w:eastAsia="宋体" w:cs="宋体"/>
          <w:color w:val="auto"/>
          <w:sz w:val="21"/>
          <w:szCs w:val="24"/>
          <w:highlight w:val="none"/>
          <w:lang w:eastAsia="zh-CN"/>
        </w:rPr>
        <w:t>澄清和说明不得超出投标文件的范围或改变投标文件的实质性内容（算术性错误的修正除外）。投标人的书面澄清、说明属于投标文件的组成部分。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3.6.3</w:t>
      </w:r>
      <w:r>
        <w:rPr>
          <w:rFonts w:hint="eastAsia" w:ascii="宋体" w:hAnsi="宋体" w:eastAsia="宋体" w:cs="宋体"/>
          <w:color w:val="auto"/>
          <w:sz w:val="21"/>
          <w:szCs w:val="24"/>
          <w:highlight w:val="none"/>
          <w:lang w:eastAsia="zh-CN"/>
        </w:rPr>
        <w:t>评标委员会不得暗示或诱导投标人作出澄清、说明，对投标人提交的澄清、说明有疑问的，可以要求投标人进一步澄清或说明，直至满足评标委员会的要求。</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3.6.4</w:t>
      </w:r>
      <w:r>
        <w:rPr>
          <w:rFonts w:hint="eastAsia" w:ascii="宋体" w:hAnsi="宋体" w:eastAsia="宋体" w:cs="宋体"/>
          <w:color w:val="auto"/>
          <w:sz w:val="21"/>
          <w:szCs w:val="24"/>
          <w:highlight w:val="none"/>
          <w:lang w:eastAsia="zh-CN"/>
        </w:rPr>
        <w:t>凡超出招标文件规定的或给发包人带来未曾要求的利益的变化、偏差或其他因素在评标时不予考虑。</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3.7不得否决投标的情形</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投标文件存在第二章“投标人须知”第1.12.3项所列情形的，均视为细微偏差，评标委员会不得否决投标人的投标，应按照第二章“投标人须知”第1.12.4项规定的原则处理。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3.8、评标结果</w:t>
      </w:r>
    </w:p>
    <w:p>
      <w:pPr>
        <w:numPr>
          <w:ilvl w:val="0"/>
          <w:numId w:val="0"/>
        </w:numPr>
        <w:spacing w:line="360" w:lineRule="auto"/>
        <w:ind w:leftChars="0" w:firstLine="420" w:firstLineChars="0"/>
        <w:rPr>
          <w:rFonts w:hint="eastAsia" w:ascii="宋体" w:hAnsi="宋体" w:eastAsia="宋体" w:cs="宋体"/>
          <w:sz w:val="21"/>
          <w:szCs w:val="24"/>
          <w:highlight w:val="none"/>
          <w:lang w:eastAsia="zh-CN"/>
        </w:rPr>
      </w:pPr>
      <w:r>
        <w:rPr>
          <w:rFonts w:hint="eastAsia" w:ascii="宋体" w:hAnsi="宋体" w:eastAsia="宋体" w:cs="宋体"/>
          <w:color w:val="auto"/>
          <w:sz w:val="21"/>
          <w:szCs w:val="24"/>
          <w:highlight w:val="none"/>
          <w:lang w:eastAsia="zh-CN"/>
        </w:rPr>
        <w:t>3.8.1除第二章“投标人须知”前附表授权直接确定中标人外，评标委员会按照得分由高到低的顺序推荐中标候选人，并标明排序。</w:t>
      </w:r>
    </w:p>
    <w:p>
      <w:pPr>
        <w:pStyle w:val="4"/>
        <w:ind w:left="0" w:leftChars="0" w:firstLine="420" w:firstLineChars="0"/>
        <w:rPr>
          <w:rFonts w:hint="eastAsia" w:ascii="宋体" w:hAnsi="宋体" w:eastAsia="宋体" w:cs="宋体"/>
          <w:highlight w:val="none"/>
        </w:rPr>
      </w:pPr>
      <w:r>
        <w:rPr>
          <w:rFonts w:hint="eastAsia" w:ascii="宋体" w:hAnsi="宋体" w:eastAsia="宋体" w:cs="宋体"/>
          <w:sz w:val="21"/>
          <w:szCs w:val="24"/>
          <w:highlight w:val="none"/>
          <w:lang w:val="en-US" w:eastAsia="zh-CN"/>
        </w:rPr>
        <w:t>3.8.2</w:t>
      </w:r>
      <w:r>
        <w:rPr>
          <w:rFonts w:hint="eastAsia" w:ascii="宋体" w:hAnsi="宋体" w:eastAsia="宋体" w:cs="宋体"/>
          <w:sz w:val="21"/>
          <w:szCs w:val="24"/>
          <w:highlight w:val="none"/>
          <w:lang w:eastAsia="zh-CN"/>
        </w:rPr>
        <w:t>评标委员会完成评标后，应向招标人提交书面评标报告。</w:t>
      </w:r>
    </w:p>
    <w:p>
      <w:pPr>
        <w:rPr>
          <w:rFonts w:hint="eastAsia"/>
          <w:lang w:val="en-US" w:eastAsia="zh-CN"/>
        </w:rPr>
      </w:pP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五、招标人联系方式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82" w:rightChars="-182"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招标人：宁夏公路管理中心银川分中心</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04" w:rightChars="-478" w:firstLine="480" w:firstLineChars="200"/>
        <w:jc w:val="both"/>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sz w:val="24"/>
          <w:szCs w:val="24"/>
          <w:lang w:val="en-US" w:eastAsia="zh-CN"/>
        </w:rPr>
        <w:t>地址：银川市兴庆区青银高速公路银川</w:t>
      </w:r>
      <w:r>
        <w:rPr>
          <w:rFonts w:hint="eastAsia" w:ascii="宋体" w:hAnsi="宋体" w:eastAsia="宋体" w:cs="宋体"/>
          <w:snapToGrid w:val="0"/>
          <w:color w:val="auto"/>
          <w:kern w:val="0"/>
          <w:sz w:val="24"/>
          <w:szCs w:val="24"/>
          <w:lang w:val="en-US" w:eastAsia="zh-CN"/>
        </w:rPr>
        <w:t>东收费站北侧大楼</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default"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 xml:space="preserve">联系人：刘先生                         </w:t>
      </w:r>
    </w:p>
    <w:p>
      <w:pPr>
        <w:keepNext w:val="0"/>
        <w:keepLines w:val="0"/>
        <w:pageBreakBefore w:val="0"/>
        <w:wordWrap/>
        <w:overflowPunct/>
        <w:topLinePunct w:val="0"/>
        <w:bidi w:val="0"/>
        <w:spacing w:line="360" w:lineRule="auto"/>
        <w:ind w:firstLine="480" w:firstLineChars="200"/>
        <w:rPr>
          <w:rFonts w:hint="eastAsia"/>
          <w:sz w:val="24"/>
          <w:szCs w:val="24"/>
          <w:lang w:val="en-US" w:eastAsia="zh-CN"/>
        </w:rPr>
      </w:pPr>
      <w:r>
        <w:rPr>
          <w:rFonts w:hint="eastAsia" w:ascii="宋体" w:hAnsi="宋体" w:eastAsia="宋体" w:cs="宋体"/>
          <w:snapToGrid w:val="0"/>
          <w:color w:val="auto"/>
          <w:kern w:val="0"/>
          <w:sz w:val="24"/>
          <w:szCs w:val="24"/>
          <w:lang w:val="en-US" w:eastAsia="zh-CN"/>
        </w:rPr>
        <w:t>电话：0951-6153780</w:t>
      </w:r>
    </w:p>
    <w:p>
      <w:pPr>
        <w:jc w:val="both"/>
      </w:pPr>
    </w:p>
    <w:sectPr>
      <w:pgSz w:w="11906" w:h="16838"/>
      <w:pgMar w:top="1134"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30F01"/>
    <w:multiLevelType w:val="singleLevel"/>
    <w:tmpl w:val="84B30F01"/>
    <w:lvl w:ilvl="0" w:tentative="0">
      <w:start w:val="1"/>
      <w:numFmt w:val="decimal"/>
      <w:suff w:val="nothing"/>
      <w:lvlText w:val="（%1）"/>
      <w:lvlJc w:val="left"/>
    </w:lvl>
  </w:abstractNum>
  <w:abstractNum w:abstractNumId="1">
    <w:nsid w:val="0B69D1EB"/>
    <w:multiLevelType w:val="singleLevel"/>
    <w:tmpl w:val="0B69D1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ZGU5ZWUyMWFjYjBlMzdkYjViNDAzMjcxNTBiOTgifQ=="/>
  </w:docVars>
  <w:rsids>
    <w:rsidRoot w:val="646E122D"/>
    <w:rsid w:val="02D9435E"/>
    <w:rsid w:val="04E1301F"/>
    <w:rsid w:val="0C5F725F"/>
    <w:rsid w:val="15986923"/>
    <w:rsid w:val="16CE661D"/>
    <w:rsid w:val="220E5F73"/>
    <w:rsid w:val="2A0E6644"/>
    <w:rsid w:val="33093FF2"/>
    <w:rsid w:val="34DA4C04"/>
    <w:rsid w:val="37393473"/>
    <w:rsid w:val="4EE56ADE"/>
    <w:rsid w:val="4F2B646D"/>
    <w:rsid w:val="55B96B6E"/>
    <w:rsid w:val="646E122D"/>
    <w:rsid w:val="68E6522A"/>
    <w:rsid w:val="71B83C0D"/>
    <w:rsid w:val="7646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left="210" w:leftChars="100" w:firstLine="420" w:firstLineChars="200"/>
    </w:pPr>
    <w:rPr>
      <w:rFonts w:ascii="宋体" w:hAnsi="宋体"/>
    </w:rPr>
  </w:style>
  <w:style w:type="paragraph" w:styleId="3">
    <w:name w:val="annotation text"/>
    <w:basedOn w:val="1"/>
    <w:qFormat/>
    <w:uiPriority w:val="0"/>
    <w:pPr>
      <w:jc w:val="left"/>
    </w:pPr>
  </w:style>
  <w:style w:type="paragraph" w:styleId="4">
    <w:name w:val="Body Text"/>
    <w:basedOn w:val="1"/>
    <w:next w:val="1"/>
    <w:qFormat/>
    <w:uiPriority w:val="1"/>
    <w:pPr>
      <w:ind w:left="836"/>
    </w:pPr>
    <w:rPr>
      <w:rFonts w:ascii="宋体" w:hAnsi="宋体" w:eastAsia="宋体" w:cs="宋体"/>
      <w:sz w:val="21"/>
      <w:szCs w:val="21"/>
      <w:lang w:val="zh-CN" w:eastAsia="zh-CN" w:bidi="zh-CN"/>
    </w:rPr>
  </w:style>
  <w:style w:type="paragraph" w:styleId="5">
    <w:name w:val="Body Text Indent"/>
    <w:basedOn w:val="1"/>
    <w:qFormat/>
    <w:uiPriority w:val="0"/>
    <w:pPr>
      <w:ind w:firstLine="648"/>
    </w:pPr>
    <w:rPr>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0"/>
    <w:pPr>
      <w:ind w:firstLine="420" w:firstLineChars="200"/>
    </w:p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Paragraph"/>
    <w:basedOn w:val="1"/>
    <w:qFormat/>
    <w:uiPriority w:val="1"/>
    <w:rPr>
      <w:rFonts w:ascii="Times New Roman" w:hAnsi="Times New Roman"/>
      <w:szCs w:val="24"/>
    </w:rPr>
  </w:style>
  <w:style w:type="character" w:customStyle="1" w:styleId="13">
    <w:name w:val="font21"/>
    <w:basedOn w:val="10"/>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7310</Words>
  <Characters>7748</Characters>
  <Lines>0</Lines>
  <Paragraphs>0</Paragraphs>
  <TotalTime>6</TotalTime>
  <ScaleCrop>false</ScaleCrop>
  <LinksUpToDate>false</LinksUpToDate>
  <CharactersWithSpaces>7815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2023-03-15T09:35:00Z</dcterms:created>
  <dc:creator>狗狗脸 </dc:creator>
  <cp:lastModifiedBy>Administrator</cp:lastModifiedBy>
  <cp:lastPrinted>2023-04-28T04:16:00Z</cp:lastPrinted>
  <dcterms:modified xsi:type="dcterms:W3CDTF">2023-05-26T07:11:54Z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4380DE4A9E5B419397AED476C5CABEAF</vt:lpwstr>
  </property>
</Properties>
</file>