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ind w:firstLine="602" w:firstLineChars="200"/>
        <w:jc w:val="center"/>
        <w:rPr>
          <w:rFonts w:hint="default" w:eastAsia="宋体"/>
          <w:b/>
          <w:bCs/>
          <w:sz w:val="30"/>
          <w:szCs w:val="30"/>
          <w:lang w:val="en-US" w:eastAsia="zh-CN"/>
        </w:rPr>
      </w:pPr>
      <w:r>
        <w:rPr>
          <w:rFonts w:hint="eastAsia"/>
          <w:b/>
          <w:bCs/>
          <w:sz w:val="30"/>
          <w:szCs w:val="30"/>
        </w:rPr>
        <w:t>宁夏公路管理中心银川分中心2023年G110线K1274+050黄羊滩公路养护站站房扩建等5项养护工程施工监理</w:t>
      </w:r>
      <w:r>
        <w:rPr>
          <w:rFonts w:hint="eastAsia"/>
          <w:b/>
          <w:bCs/>
          <w:sz w:val="30"/>
          <w:szCs w:val="30"/>
          <w:lang w:val="en-US" w:eastAsia="zh-CN"/>
        </w:rPr>
        <w:t>关键内容</w:t>
      </w:r>
    </w:p>
    <w:p>
      <w:pPr>
        <w:widowControl/>
        <w:spacing w:line="360" w:lineRule="auto"/>
        <w:ind w:left="285"/>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项目概况</w:t>
      </w:r>
    </w:p>
    <w:p>
      <w:pPr>
        <w:adjustRightInd w:val="0"/>
        <w:snapToGrid w:val="0"/>
        <w:spacing w:line="560" w:lineRule="exact"/>
        <w:ind w:firstLine="420" w:firstLineChars="200"/>
        <w:rPr>
          <w:rFonts w:hint="eastAsia" w:ascii="宋体" w:hAnsi="宋体" w:eastAsia="宋体" w:cs="宋体"/>
          <w:sz w:val="21"/>
          <w:szCs w:val="21"/>
          <w:lang w:val="en-US" w:eastAsia="zh-CN"/>
        </w:rPr>
      </w:pPr>
      <w:r>
        <w:rPr>
          <w:rFonts w:hint="eastAsia"/>
          <w:sz w:val="21"/>
          <w:szCs w:val="21"/>
          <w:lang w:val="en-US" w:eastAsia="zh-CN"/>
        </w:rPr>
        <w:t>本项目位于银川市，本次招标共划分一个组别，一个标段，</w:t>
      </w:r>
      <w:r>
        <w:rPr>
          <w:rFonts w:hint="eastAsia" w:ascii="宋体" w:hAnsi="宋体" w:eastAsia="宋体" w:cs="宋体"/>
          <w:sz w:val="21"/>
          <w:szCs w:val="21"/>
          <w:lang w:val="en-US" w:eastAsia="zh-CN"/>
        </w:rPr>
        <w:t>具体内容如下：本次对G110线K1274+050黄羊滩公路养护站站</w:t>
      </w:r>
      <w:bookmarkStart w:id="1" w:name="_GoBack"/>
      <w:bookmarkEnd w:id="1"/>
      <w:r>
        <w:rPr>
          <w:rFonts w:hint="eastAsia" w:ascii="宋体" w:hAnsi="宋体" w:eastAsia="宋体" w:cs="宋体"/>
          <w:sz w:val="21"/>
          <w:szCs w:val="21"/>
          <w:lang w:val="en-US" w:eastAsia="zh-CN"/>
        </w:rPr>
        <w:t>房扩建工程、G109线K1250+450东方道班改造工程（含空气源热泵采购安装）、S305线K61+880平吉堡道班改造工程、G20线K1511+700银川分中心综合办公楼维修改造项目及G20线K1511+700银川分中心新建污水处理设施施工监理进行招标。</w:t>
      </w:r>
    </w:p>
    <w:p>
      <w:pPr>
        <w:widowControl/>
        <w:spacing w:line="360" w:lineRule="auto"/>
        <w:rPr>
          <w:rFonts w:hint="eastAsia"/>
          <w:b/>
          <w:bCs/>
          <w:sz w:val="24"/>
          <w:szCs w:val="24"/>
          <w:lang w:val="en-US" w:eastAsia="zh-CN"/>
        </w:rPr>
      </w:pPr>
      <w:r>
        <w:rPr>
          <w:rFonts w:hint="eastAsia"/>
          <w:b/>
          <w:bCs/>
          <w:sz w:val="24"/>
          <w:szCs w:val="24"/>
          <w:lang w:val="en-US" w:eastAsia="zh-CN"/>
        </w:rPr>
        <w:t xml:space="preserve">二、对投标人的全部资格条件要求 </w:t>
      </w:r>
    </w:p>
    <w:p>
      <w:pPr>
        <w:autoSpaceDE/>
        <w:autoSpaceDN/>
        <w:spacing w:line="360" w:lineRule="auto"/>
        <w:ind w:firstLine="420" w:firstLineChars="200"/>
        <w:jc w:val="left"/>
        <w:rPr>
          <w:rFonts w:hint="eastAsia"/>
          <w:b/>
          <w:bCs/>
          <w:sz w:val="21"/>
          <w:szCs w:val="21"/>
          <w:lang w:val="en-US" w:eastAsia="zh-CN"/>
        </w:rPr>
      </w:pPr>
      <w:r>
        <w:rPr>
          <w:rFonts w:hint="eastAsia"/>
          <w:sz w:val="21"/>
          <w:szCs w:val="21"/>
          <w:lang w:val="en-US" w:eastAsia="zh-CN"/>
        </w:rPr>
        <w:t xml:space="preserve">详见招标公告。 </w:t>
      </w:r>
    </w:p>
    <w:p>
      <w:pPr>
        <w:widowControl/>
        <w:numPr>
          <w:ilvl w:val="0"/>
          <w:numId w:val="1"/>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招标人联系方式</w:t>
      </w:r>
    </w:p>
    <w:p>
      <w:pPr>
        <w:pStyle w:val="8"/>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招</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标</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人：宁夏公路管理中心银川分中心</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址：银川市兴庆区青银高速公路银川东收费站北侧大楼</w:t>
      </w:r>
    </w:p>
    <w:p>
      <w:pPr>
        <w:pStyle w:val="8"/>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邮政编码：751300</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系</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人：刘</w:t>
      </w:r>
      <w:r>
        <w:rPr>
          <w:rFonts w:hint="eastAsia" w:asciiTheme="minorEastAsia" w:hAnsiTheme="minorEastAsia" w:eastAsiaTheme="minorEastAsia"/>
          <w:sz w:val="21"/>
          <w:szCs w:val="21"/>
          <w:lang w:val="en-US" w:eastAsia="zh-CN"/>
        </w:rPr>
        <w:t>先生</w:t>
      </w:r>
    </w:p>
    <w:p>
      <w:pPr>
        <w:pStyle w:val="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电</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话：095</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6153780</w:t>
      </w:r>
    </w:p>
    <w:p>
      <w:pPr>
        <w:spacing w:line="360" w:lineRule="auto"/>
        <w:ind w:firstLine="420" w:firstLineChars="200"/>
        <w:rPr>
          <w:rFonts w:hint="eastAsia"/>
          <w:sz w:val="21"/>
          <w:szCs w:val="21"/>
          <w:lang w:val="en-US" w:eastAsia="zh-CN"/>
        </w:rPr>
      </w:pPr>
      <w:r>
        <w:rPr>
          <w:rFonts w:hint="eastAsia" w:asciiTheme="minorEastAsia" w:hAnsiTheme="minorEastAsia" w:eastAsiaTheme="minorEastAsia"/>
          <w:sz w:val="21"/>
          <w:szCs w:val="21"/>
        </w:rPr>
        <w:t>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真：/</w:t>
      </w:r>
    </w:p>
    <w:p>
      <w:pPr>
        <w:widowControl/>
        <w:numPr>
          <w:ilvl w:val="0"/>
          <w:numId w:val="1"/>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资格审查办法</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1.满足《中华人民共和国政府采购法》第二十二条规定：</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（1）提供在中华人民共和国境内注册的法人或其他组织的营业执照（或事业单位法人证书，或社会团体法人登记证书），如投标供应商为自然人的需提供自然人身份证明；</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（2）提供法人授权委托书、法定代表人及被授权人身份证复印件（法定代表人直接响应可不提供，但须提供法定代表人身份证复印件）；</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信用中国”网站、中国政府采购网查询相关主体信用记录，对列入失信被执行人、重大税收违法案件当事人名单、政府采购严重违法失信行为记录名单的供应商（处罚期限尚未届满的），拒绝其参与政府采购活动（以采购人或采购代理机构在开标当天查询的结果为准）；</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（4）具有良好的商业信誉和健全的财务会计制度承诺书；</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（5）依法缴纳税收和社会保障资金承诺书；</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（6）参加政府采购活动前三年内，在经营活动中没有重大违法记录承诺书；</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（7）提供履行合同所必须的设备和专业技术能力承诺函；</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4）、（5）、（6）、（7）条款投标供应商可自行选择是否提供本承诺函，若不提供本承诺函，应按《中华人民共和国政府采购法》《中华人民共和国政府采购法实施条例》及采购文件资格要求提供相应的证明材料。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2.落实政府采购政策需满足的资格要求：</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（1）中小微企业参加宁夏政府采购活动，依据《政府采购促进中小企业发展管理办法》 (财库〔2020〕 46 号）、《宁夏回族自治区政府采购促进中小企业发展管理办法实施细则》（宁财规发〔2021〕2 号）和《宁夏回族自治区财政厅发展和改革委员会工业和信息化厅住房和城乡建设厅交通运输厅水利厅公共资源交易管理局中国人民银行银川中心支行关于落实政府采购促进中小企业发展有关措施的通知》(宁财（采）发〔2022〕 275号），小型和微型企业应提供《中小企业声明函》，对报价给予10%扣除，用扣除后的价格参与评审；</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（2）根据《政府采购支持监狱企业发展有关问题的通知》（财库[2014]68号），监狱企业视同为小型、微型企业，监狱企业应提供证明文件,对报价给予10%的扣除，用扣除后的价格参与评审；</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根据《财政部民政部中国残疾人联合会关于促进残疾人就业政府采购政策的通知》（财库〔2017〕141号）、《自治区财政厅残疾人联合会关于政府采购支持残疾人就业有关问题的通知》（宁财（采）发〔2020〕545号），残疾人企业应提供声明函，对报价给予10%的扣除，用扣除后的价格参与评</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根据《自治区财政厅关于明确法人及其分支机构参加政府采购活动相关事项的通知》（宁财（采）发【2021】22号），分支机构不能参与政府采购活动，只能以法人身份参加。但银行、保险、石油石化、电力、电信等有行业特殊情况的，允许分支机构在总公司授权的基础上参加政府采购活动。投标供应商为分支机构的，分支机构提供的声明函不参与价格折扣。</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3.本项目的特定资格要求：</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（1）投标人应具备住房和城乡建设部门颁发的建筑工程监理乙级及以上资质且在有效期内，并在人员、设备、资金等方面具有相应的监理能力；</w:t>
      </w:r>
    </w:p>
    <w:p>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招标代理机构将在开标评审前对参与本次招标项目的投标供应商“信用中国”网站和“中国政府采购网”是否存在不良信用记录进行查询，对列入失信被执行人、重大税收违法案件当事人名单、政府采购严重违法失信行为记录名单及其他不符合《中华人民共和国政府采购法》第二十二条规定条件的供应商，采购人将拒绝其参与政府采购活动。查询记录及相关证据将打印纸质版与其他采购文件一并留档保存，信用记录查询截止时间为评审活动开始之前；</w:t>
      </w:r>
    </w:p>
    <w:p>
      <w:pPr>
        <w:widowControl/>
        <w:spacing w:line="360" w:lineRule="auto"/>
        <w:ind w:firstLine="420" w:firstLineChars="200"/>
        <w:rPr>
          <w:rFonts w:hint="eastAsia" w:ascii="宋体" w:hAnsi="宋体" w:eastAsia="宋体" w:cs="宋体"/>
          <w:b/>
          <w:bCs/>
          <w:color w:val="000000"/>
          <w:kern w:val="0"/>
          <w:sz w:val="28"/>
          <w:szCs w:val="28"/>
          <w:lang w:val="en-US" w:eastAsia="zh-CN" w:bidi="ar"/>
        </w:rPr>
      </w:pPr>
      <w:r>
        <w:rPr>
          <w:rFonts w:hint="eastAsia" w:ascii="宋体" w:hAnsi="宋体" w:eastAsia="宋体" w:cs="宋体"/>
          <w:sz w:val="21"/>
          <w:szCs w:val="21"/>
          <w:lang w:val="en-US" w:eastAsia="zh-CN"/>
        </w:rPr>
        <w:t>（2）依据财政部《关于促进政府采购公平竞争优化营商环境的通知》（财库〔2019〕38号）及宁夏回族自治区财政厅《自治区财政厅关于推行政府采购“承诺信用制”工作的通知》（宁财（采）发[2021]196号）文件要求，投标供应商须在投标文件中按要求提供资格要求（3）（5）（6）项资格承诺函。</w:t>
      </w:r>
    </w:p>
    <w:p>
      <w:pPr>
        <w:widowControl/>
        <w:numPr>
          <w:ilvl w:val="0"/>
          <w:numId w:val="1"/>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评标办法全文</w:t>
      </w:r>
    </w:p>
    <w:p>
      <w:pPr>
        <w:pStyle w:val="6"/>
        <w:spacing w:before="0"/>
        <w:ind w:left="1144" w:right="796"/>
        <w:jc w:val="center"/>
        <w:rPr>
          <w:sz w:val="12"/>
        </w:rPr>
      </w:pPr>
      <w:r>
        <w:t>评标办法前附表</w:t>
      </w:r>
    </w:p>
    <w:tbl>
      <w:tblPr>
        <w:tblStyle w:val="9"/>
        <w:tblW w:w="9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8"/>
        <w:gridCol w:w="7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6" w:hRule="atLeast"/>
          <w:jc w:val="center"/>
        </w:trPr>
        <w:tc>
          <w:tcPr>
            <w:tcW w:w="1490" w:type="dxa"/>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分值构成</w:t>
            </w:r>
          </w:p>
        </w:tc>
        <w:tc>
          <w:tcPr>
            <w:tcW w:w="728" w:type="dxa"/>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p>
        </w:tc>
        <w:tc>
          <w:tcPr>
            <w:tcW w:w="7574" w:type="dxa"/>
            <w:tcBorders>
              <w:right w:val="single" w:color="auto" w:sz="4" w:space="0"/>
            </w:tcBorders>
            <w:vAlign w:val="center"/>
          </w:tcPr>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总分100分，其中：</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投标报价：10分</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企业业绩：25分</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主要人员：30分</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技术评审因素：35分</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（1）监理计划（或监理方案）和措施：20分</w:t>
            </w:r>
          </w:p>
          <w:p>
            <w:pPr>
              <w:spacing w:line="360" w:lineRule="auto"/>
              <w:rPr>
                <w:rFonts w:hint="eastAsia" w:ascii="宋体" w:hAnsi="宋体" w:eastAsia="宋体" w:cs="宋体"/>
                <w:w w:val="90"/>
                <w:kern w:val="0"/>
                <w:sz w:val="23"/>
                <w:szCs w:val="23"/>
                <w:lang w:val="en-US" w:eastAsia="zh-CN" w:bidi="zh-CN"/>
              </w:rPr>
            </w:pPr>
            <w:r>
              <w:rPr>
                <w:rFonts w:hint="eastAsia" w:ascii="宋体" w:hAnsi="宋体" w:eastAsia="宋体" w:cs="宋体"/>
                <w:w w:val="90"/>
                <w:kern w:val="0"/>
                <w:sz w:val="23"/>
                <w:szCs w:val="23"/>
                <w:lang w:val="en-US" w:eastAsia="zh-CN" w:bidi="zh-CN"/>
              </w:rPr>
              <w:t>（2）对本工程监理工作的重点与难点分析：10分</w:t>
            </w:r>
          </w:p>
          <w:p>
            <w:pPr>
              <w:spacing w:line="360" w:lineRule="auto"/>
              <w:rPr>
                <w:rFonts w:hint="eastAsia" w:ascii="宋体" w:hAnsi="宋体" w:eastAsia="宋体" w:cs="宋体"/>
                <w:w w:val="90"/>
                <w:sz w:val="23"/>
                <w:szCs w:val="23"/>
                <w:lang w:val="zh-CN" w:eastAsia="zh-CN" w:bidi="zh-CN"/>
              </w:rPr>
            </w:pPr>
            <w:r>
              <w:rPr>
                <w:rFonts w:hint="eastAsia" w:ascii="宋体" w:hAnsi="宋体" w:eastAsia="宋体" w:cs="宋体"/>
                <w:w w:val="90"/>
                <w:kern w:val="0"/>
                <w:sz w:val="23"/>
                <w:szCs w:val="23"/>
                <w:lang w:val="en-US" w:eastAsia="zh-CN" w:bidi="zh-CN"/>
              </w:rPr>
              <w:t>（3）对本工程的理解和建议：5分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490" w:type="dxa"/>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bookmarkStart w:id="0" w:name="_bookmark6"/>
            <w:bookmarkEnd w:id="0"/>
            <w:r>
              <w:rPr>
                <w:rFonts w:hint="eastAsia" w:ascii="宋体" w:hAnsi="宋体" w:eastAsia="宋体" w:cs="宋体"/>
                <w:w w:val="90"/>
                <w:sz w:val="23"/>
                <w:szCs w:val="23"/>
                <w:lang w:val="zh-CN" w:eastAsia="zh-CN" w:bidi="zh-CN"/>
              </w:rPr>
              <w:t>评分项目</w:t>
            </w:r>
          </w:p>
        </w:tc>
        <w:tc>
          <w:tcPr>
            <w:tcW w:w="728" w:type="dxa"/>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分值</w:t>
            </w:r>
          </w:p>
        </w:tc>
        <w:tc>
          <w:tcPr>
            <w:tcW w:w="7574" w:type="dxa"/>
            <w:tcBorders>
              <w:right w:val="single" w:color="auto" w:sz="4" w:space="0"/>
            </w:tcBorders>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tcBorders>
              <w:bottom w:val="single" w:color="auto" w:sz="4" w:space="0"/>
            </w:tcBorders>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投标报价</w:t>
            </w:r>
          </w:p>
        </w:tc>
        <w:tc>
          <w:tcPr>
            <w:tcW w:w="728" w:type="dxa"/>
            <w:vAlign w:val="center"/>
          </w:tcPr>
          <w:p>
            <w:pPr>
              <w:widowControl w:val="0"/>
              <w:autoSpaceDE w:val="0"/>
              <w:autoSpaceDN w:val="0"/>
              <w:spacing w:line="360" w:lineRule="auto"/>
              <w:jc w:val="center"/>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en-US" w:eastAsia="zh-CN" w:bidi="zh-CN"/>
              </w:rPr>
              <w:t>10</w:t>
            </w:r>
            <w:r>
              <w:rPr>
                <w:rFonts w:hint="eastAsia" w:ascii="宋体" w:hAnsi="宋体" w:eastAsia="宋体" w:cs="宋体"/>
                <w:w w:val="90"/>
                <w:sz w:val="23"/>
                <w:szCs w:val="23"/>
                <w:lang w:val="zh-CN" w:eastAsia="zh-CN" w:bidi="zh-CN"/>
              </w:rPr>
              <w:t>分</w:t>
            </w:r>
          </w:p>
        </w:tc>
        <w:tc>
          <w:tcPr>
            <w:tcW w:w="7574" w:type="dxa"/>
            <w:tcBorders>
              <w:right w:val="single" w:color="auto" w:sz="4" w:space="0"/>
            </w:tcBorders>
            <w:vAlign w:val="center"/>
          </w:tcPr>
          <w:p>
            <w:pPr>
              <w:widowControl w:val="0"/>
              <w:autoSpaceDE w:val="0"/>
              <w:autoSpaceDN w:val="0"/>
              <w:spacing w:line="360" w:lineRule="auto"/>
              <w:ind w:left="44" w:leftChars="20" w:right="44" w:rightChars="20" w:firstLine="414" w:firstLineChars="200"/>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供应商的价格分统一按下列公式计算：</w:t>
            </w:r>
            <w:r>
              <w:rPr>
                <w:rFonts w:hint="eastAsia" w:ascii="宋体" w:hAnsi="宋体" w:eastAsia="宋体" w:cs="宋体"/>
                <w:w w:val="90"/>
                <w:sz w:val="23"/>
                <w:szCs w:val="23"/>
                <w:lang w:val="en-US" w:eastAsia="zh-CN" w:bidi="zh-CN"/>
              </w:rPr>
              <w:t>磋商</w:t>
            </w:r>
            <w:r>
              <w:rPr>
                <w:rFonts w:hint="eastAsia" w:ascii="宋体" w:hAnsi="宋体" w:eastAsia="宋体" w:cs="宋体"/>
                <w:w w:val="90"/>
                <w:sz w:val="23"/>
                <w:szCs w:val="23"/>
                <w:lang w:val="zh-CN" w:eastAsia="zh-CN" w:bidi="zh-CN"/>
              </w:rPr>
              <w:t>报价得分=（</w:t>
            </w:r>
            <w:r>
              <w:rPr>
                <w:rFonts w:hint="eastAsia" w:ascii="宋体" w:hAnsi="宋体" w:eastAsia="宋体" w:cs="宋体"/>
                <w:w w:val="90"/>
                <w:sz w:val="23"/>
                <w:szCs w:val="23"/>
                <w:lang w:val="en-US" w:eastAsia="zh-CN" w:bidi="zh-CN"/>
              </w:rPr>
              <w:t>磋商</w:t>
            </w:r>
            <w:r>
              <w:rPr>
                <w:rFonts w:hint="eastAsia" w:ascii="宋体" w:hAnsi="宋体" w:eastAsia="宋体" w:cs="宋体"/>
                <w:w w:val="90"/>
                <w:sz w:val="23"/>
                <w:szCs w:val="23"/>
                <w:lang w:val="zh-CN" w:eastAsia="zh-CN" w:bidi="zh-CN"/>
              </w:rPr>
              <w:t>基准价/最后</w:t>
            </w:r>
            <w:r>
              <w:rPr>
                <w:rFonts w:hint="eastAsia" w:ascii="宋体" w:hAnsi="宋体" w:eastAsia="宋体" w:cs="宋体"/>
                <w:w w:val="90"/>
                <w:sz w:val="23"/>
                <w:szCs w:val="23"/>
                <w:lang w:val="en-US" w:eastAsia="zh-CN" w:bidi="zh-CN"/>
              </w:rPr>
              <w:t>磋商</w:t>
            </w:r>
            <w:r>
              <w:rPr>
                <w:rFonts w:hint="eastAsia" w:ascii="宋体" w:hAnsi="宋体" w:eastAsia="宋体" w:cs="宋体"/>
                <w:w w:val="90"/>
                <w:sz w:val="23"/>
                <w:szCs w:val="23"/>
                <w:lang w:val="zh-CN" w:eastAsia="zh-CN" w:bidi="zh-CN"/>
              </w:rPr>
              <w:t>报价）×</w:t>
            </w:r>
            <w:r>
              <w:rPr>
                <w:rFonts w:hint="eastAsia" w:ascii="宋体" w:hAnsi="宋体" w:eastAsia="宋体" w:cs="宋体"/>
                <w:w w:val="90"/>
                <w:sz w:val="23"/>
                <w:szCs w:val="23"/>
                <w:lang w:val="en-US" w:eastAsia="zh-CN" w:bidi="zh-CN"/>
              </w:rPr>
              <w:t>10</w:t>
            </w:r>
            <w:r>
              <w:rPr>
                <w:rFonts w:hint="eastAsia" w:ascii="宋体" w:hAnsi="宋体" w:eastAsia="宋体" w:cs="宋体"/>
                <w:w w:val="90"/>
                <w:sz w:val="23"/>
                <w:szCs w:val="23"/>
                <w:lang w:val="zh-CN" w:eastAsia="zh-CN" w:bidi="zh-CN"/>
              </w:rPr>
              <w:t>。</w:t>
            </w:r>
            <w:r>
              <w:rPr>
                <w:rFonts w:hint="eastAsia" w:ascii="宋体" w:hAnsi="宋体" w:eastAsia="宋体" w:cs="宋体"/>
                <w:w w:val="90"/>
                <w:sz w:val="23"/>
                <w:szCs w:val="23"/>
                <w:lang w:val="en-US" w:eastAsia="zh-CN" w:bidi="zh-CN"/>
              </w:rPr>
              <w:t>评标基准价：</w:t>
            </w:r>
            <w:r>
              <w:rPr>
                <w:rFonts w:hint="eastAsia" w:ascii="宋体" w:hAnsi="宋体" w:eastAsia="宋体" w:cs="宋体"/>
                <w:w w:val="90"/>
                <w:sz w:val="23"/>
                <w:szCs w:val="23"/>
                <w:lang w:val="zh-CN" w:eastAsia="zh-CN" w:bidi="zh-CN"/>
              </w:rPr>
              <w:t>满足</w:t>
            </w:r>
            <w:r>
              <w:rPr>
                <w:rFonts w:hint="eastAsia" w:ascii="宋体" w:hAnsi="宋体" w:eastAsia="宋体" w:cs="宋体"/>
                <w:w w:val="90"/>
                <w:sz w:val="23"/>
                <w:szCs w:val="23"/>
                <w:lang w:val="en-US" w:eastAsia="zh-CN" w:bidi="zh-CN"/>
              </w:rPr>
              <w:t>磋商</w:t>
            </w:r>
            <w:r>
              <w:rPr>
                <w:rFonts w:hint="eastAsia" w:ascii="宋体" w:hAnsi="宋体" w:eastAsia="宋体" w:cs="宋体"/>
                <w:w w:val="90"/>
                <w:sz w:val="23"/>
                <w:szCs w:val="23"/>
                <w:lang w:val="zh-CN" w:eastAsia="zh-CN" w:bidi="zh-CN"/>
              </w:rPr>
              <w:t>文件要求且</w:t>
            </w:r>
            <w:r>
              <w:rPr>
                <w:rFonts w:hint="eastAsia" w:ascii="宋体" w:hAnsi="宋体" w:eastAsia="宋体" w:cs="宋体"/>
                <w:w w:val="90"/>
                <w:sz w:val="23"/>
                <w:szCs w:val="23"/>
                <w:lang w:val="en-US" w:eastAsia="zh-CN" w:bidi="zh-CN"/>
              </w:rPr>
              <w:t>最后</w:t>
            </w:r>
            <w:r>
              <w:rPr>
                <w:rFonts w:hint="eastAsia" w:ascii="宋体" w:hAnsi="宋体" w:eastAsia="宋体" w:cs="宋体"/>
                <w:w w:val="90"/>
                <w:sz w:val="23"/>
                <w:szCs w:val="23"/>
                <w:lang w:val="zh-CN" w:eastAsia="zh-CN" w:bidi="zh-CN"/>
              </w:rPr>
              <w:t>投标价格最低的投标报价。</w:t>
            </w:r>
          </w:p>
          <w:p>
            <w:pPr>
              <w:widowControl w:val="0"/>
              <w:autoSpaceDE w:val="0"/>
              <w:autoSpaceDN w:val="0"/>
              <w:spacing w:line="360" w:lineRule="auto"/>
              <w:ind w:left="44" w:leftChars="20" w:right="44" w:rightChars="20" w:firstLine="414" w:firstLineChars="200"/>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注：项目评审过程中，不得去掉报价中的最高报价和最低报价。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企业业绩</w:t>
            </w:r>
          </w:p>
        </w:tc>
        <w:tc>
          <w:tcPr>
            <w:tcW w:w="728" w:type="dxa"/>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25分</w:t>
            </w:r>
          </w:p>
        </w:tc>
        <w:tc>
          <w:tcPr>
            <w:tcW w:w="7574" w:type="dxa"/>
            <w:tcBorders>
              <w:right w:val="single" w:color="auto" w:sz="4" w:space="0"/>
            </w:tcBorders>
            <w:vAlign w:val="center"/>
          </w:tcPr>
          <w:p>
            <w:pPr>
              <w:widowControl w:val="0"/>
              <w:autoSpaceDE w:val="0"/>
              <w:autoSpaceDN w:val="0"/>
              <w:spacing w:line="360" w:lineRule="auto"/>
              <w:ind w:left="44" w:leftChars="20" w:right="44" w:rightChars="20" w:firstLine="414" w:firstLineChars="20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近五年（自2018年5月22日至磋商文件递交截止之日，以交（竣）工验收日期为准）内，完成过1个房屋建筑工程施工监理业绩得15分；在此基础上，每增加1个近五年（自2018年5月22日至磋商文件递交截止之日，以交（竣）工验收日期为准）的房屋建筑工程施工监理业绩加5分，此项最高加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jc w:val="center"/>
        </w:trPr>
        <w:tc>
          <w:tcPr>
            <w:tcW w:w="1490" w:type="dxa"/>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主要人员</w:t>
            </w:r>
          </w:p>
        </w:tc>
        <w:tc>
          <w:tcPr>
            <w:tcW w:w="728" w:type="dxa"/>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30分</w:t>
            </w:r>
          </w:p>
        </w:tc>
        <w:tc>
          <w:tcPr>
            <w:tcW w:w="7574" w:type="dxa"/>
            <w:tcBorders>
              <w:right w:val="single" w:color="auto" w:sz="4" w:space="0"/>
            </w:tcBorders>
            <w:vAlign w:val="center"/>
          </w:tcPr>
          <w:p>
            <w:pPr>
              <w:widowControl w:val="0"/>
              <w:autoSpaceDE w:val="0"/>
              <w:autoSpaceDN w:val="0"/>
              <w:spacing w:line="360" w:lineRule="auto"/>
              <w:ind w:left="44" w:leftChars="20" w:right="44" w:rightChars="20" w:firstLine="414" w:firstLineChars="20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1.总监理工程师</w:t>
            </w:r>
            <w:r>
              <w:rPr>
                <w:rFonts w:hint="eastAsia" w:ascii="宋体" w:hAnsi="宋体" w:eastAsia="宋体" w:cs="宋体"/>
                <w:w w:val="90"/>
                <w:sz w:val="23"/>
                <w:szCs w:val="23"/>
                <w:lang w:val="zh-CN" w:eastAsia="zh-CN" w:bidi="zh-CN"/>
              </w:rPr>
              <w:t>具有住房和城乡建设部颁发的注册监理工程师证书</w:t>
            </w:r>
            <w:r>
              <w:rPr>
                <w:rFonts w:hint="eastAsia" w:ascii="宋体" w:hAnsi="宋体" w:eastAsia="宋体" w:cs="宋体"/>
                <w:w w:val="90"/>
                <w:sz w:val="23"/>
                <w:szCs w:val="23"/>
                <w:lang w:val="en-US" w:eastAsia="zh-CN" w:bidi="zh-CN"/>
              </w:rPr>
              <w:t>得5分</w:t>
            </w:r>
            <w:r>
              <w:rPr>
                <w:rFonts w:hint="eastAsia" w:ascii="宋体" w:hAnsi="宋体" w:eastAsia="宋体" w:cs="宋体"/>
                <w:w w:val="90"/>
                <w:sz w:val="23"/>
                <w:szCs w:val="23"/>
                <w:lang w:val="zh-CN" w:eastAsia="zh-CN" w:bidi="zh-CN"/>
              </w:rPr>
              <w:t>，</w:t>
            </w:r>
            <w:r>
              <w:rPr>
                <w:rFonts w:hint="eastAsia" w:ascii="宋体" w:hAnsi="宋体" w:eastAsia="宋体" w:cs="宋体"/>
                <w:w w:val="90"/>
                <w:sz w:val="23"/>
                <w:szCs w:val="23"/>
                <w:lang w:val="en-US" w:eastAsia="zh-CN" w:bidi="zh-CN"/>
              </w:rPr>
              <w:t>具有建筑工程相关专业</w:t>
            </w:r>
            <w:r>
              <w:rPr>
                <w:rFonts w:hint="eastAsia" w:ascii="宋体" w:hAnsi="宋体" w:eastAsia="宋体" w:cs="宋体"/>
                <w:w w:val="90"/>
                <w:sz w:val="23"/>
                <w:szCs w:val="23"/>
                <w:lang w:val="zh-CN" w:eastAsia="zh-CN" w:bidi="zh-CN"/>
              </w:rPr>
              <w:t>工程师（含）以上技术职称</w:t>
            </w:r>
            <w:r>
              <w:rPr>
                <w:rFonts w:hint="eastAsia" w:ascii="宋体" w:hAnsi="宋体" w:eastAsia="宋体" w:cs="宋体"/>
                <w:w w:val="90"/>
                <w:sz w:val="23"/>
                <w:szCs w:val="23"/>
                <w:lang w:val="en-US" w:eastAsia="zh-CN" w:bidi="zh-CN"/>
              </w:rPr>
              <w:t>得5分</w:t>
            </w:r>
            <w:r>
              <w:rPr>
                <w:rFonts w:hint="eastAsia" w:ascii="宋体" w:hAnsi="宋体" w:eastAsia="宋体" w:cs="宋体"/>
                <w:w w:val="90"/>
                <w:sz w:val="23"/>
                <w:szCs w:val="23"/>
                <w:lang w:val="zh-CN" w:eastAsia="zh-CN" w:bidi="zh-CN"/>
              </w:rPr>
              <w:t>。</w:t>
            </w:r>
            <w:r>
              <w:rPr>
                <w:rFonts w:hint="eastAsia" w:ascii="宋体" w:hAnsi="宋体" w:eastAsia="宋体" w:cs="宋体"/>
                <w:w w:val="90"/>
                <w:sz w:val="23"/>
                <w:szCs w:val="23"/>
                <w:lang w:val="en-US" w:eastAsia="zh-CN" w:bidi="zh-CN"/>
              </w:rPr>
              <w:t>此项最多得10分。</w:t>
            </w:r>
          </w:p>
          <w:p>
            <w:pPr>
              <w:widowControl w:val="0"/>
              <w:autoSpaceDE w:val="0"/>
              <w:autoSpaceDN w:val="0"/>
              <w:spacing w:line="360" w:lineRule="auto"/>
              <w:ind w:left="44" w:leftChars="20" w:right="44" w:rightChars="20" w:firstLine="414" w:firstLineChars="20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2.总监理工程师</w:t>
            </w:r>
            <w:r>
              <w:rPr>
                <w:rFonts w:hint="eastAsia" w:ascii="宋体" w:hAnsi="宋体" w:eastAsia="宋体" w:cs="宋体"/>
                <w:w w:val="90"/>
                <w:sz w:val="23"/>
                <w:szCs w:val="23"/>
                <w:lang w:val="zh-CN" w:eastAsia="zh-CN" w:bidi="zh-CN"/>
              </w:rPr>
              <w:t>近</w:t>
            </w:r>
            <w:r>
              <w:rPr>
                <w:rFonts w:hint="eastAsia" w:ascii="宋体" w:hAnsi="宋体" w:eastAsia="宋体" w:cs="宋体"/>
                <w:w w:val="90"/>
                <w:sz w:val="23"/>
                <w:szCs w:val="23"/>
                <w:lang w:val="en-US" w:eastAsia="zh-CN" w:bidi="zh-CN"/>
              </w:rPr>
              <w:t>5</w:t>
            </w:r>
            <w:r>
              <w:rPr>
                <w:rFonts w:hint="eastAsia" w:ascii="宋体" w:hAnsi="宋体" w:eastAsia="宋体" w:cs="宋体"/>
                <w:w w:val="90"/>
                <w:sz w:val="23"/>
                <w:szCs w:val="23"/>
                <w:lang w:val="zh-CN" w:eastAsia="zh-CN" w:bidi="zh-CN"/>
              </w:rPr>
              <w:t>年（自20</w:t>
            </w:r>
            <w:r>
              <w:rPr>
                <w:rFonts w:hint="eastAsia" w:ascii="宋体" w:hAnsi="宋体" w:eastAsia="宋体" w:cs="宋体"/>
                <w:w w:val="90"/>
                <w:sz w:val="23"/>
                <w:szCs w:val="23"/>
                <w:lang w:val="en-US" w:eastAsia="zh-CN" w:bidi="zh-CN"/>
              </w:rPr>
              <w:t>18</w:t>
            </w:r>
            <w:r>
              <w:rPr>
                <w:rFonts w:hint="eastAsia" w:ascii="宋体" w:hAnsi="宋体" w:eastAsia="宋体" w:cs="宋体"/>
                <w:w w:val="90"/>
                <w:sz w:val="23"/>
                <w:szCs w:val="23"/>
                <w:lang w:val="zh-CN" w:eastAsia="zh-CN" w:bidi="zh-CN"/>
              </w:rPr>
              <w:t>年5月</w:t>
            </w:r>
            <w:r>
              <w:rPr>
                <w:rFonts w:hint="eastAsia" w:ascii="宋体" w:hAnsi="宋体" w:eastAsia="宋体" w:cs="宋体"/>
                <w:w w:val="90"/>
                <w:sz w:val="23"/>
                <w:szCs w:val="23"/>
                <w:lang w:val="en-US" w:eastAsia="zh-CN" w:bidi="zh-CN"/>
              </w:rPr>
              <w:t>22</w:t>
            </w:r>
            <w:r>
              <w:rPr>
                <w:rFonts w:hint="eastAsia" w:ascii="宋体" w:hAnsi="宋体" w:eastAsia="宋体" w:cs="宋体"/>
                <w:w w:val="90"/>
                <w:sz w:val="23"/>
                <w:szCs w:val="23"/>
                <w:lang w:val="zh-CN" w:eastAsia="zh-CN" w:bidi="zh-CN"/>
              </w:rPr>
              <w:t>日至磋商文件递交截止之日，以交（竣）工验收日期为准）内，</w:t>
            </w:r>
            <w:r>
              <w:rPr>
                <w:rFonts w:hint="eastAsia" w:ascii="宋体" w:hAnsi="宋体" w:eastAsia="宋体" w:cs="宋体"/>
                <w:w w:val="90"/>
                <w:sz w:val="23"/>
                <w:szCs w:val="23"/>
                <w:lang w:val="en-US" w:eastAsia="zh-CN" w:bidi="zh-CN"/>
              </w:rPr>
              <w:t>完成</w:t>
            </w:r>
            <w:r>
              <w:rPr>
                <w:rFonts w:hint="eastAsia" w:ascii="宋体" w:hAnsi="宋体" w:eastAsia="宋体" w:cs="宋体"/>
                <w:w w:val="90"/>
                <w:sz w:val="23"/>
                <w:szCs w:val="23"/>
                <w:lang w:val="zh-CN" w:eastAsia="zh-CN" w:bidi="zh-CN"/>
              </w:rPr>
              <w:t>过1个房屋建筑工程施工监理的总监理工程师</w:t>
            </w:r>
            <w:r>
              <w:rPr>
                <w:rFonts w:hint="eastAsia" w:ascii="宋体" w:hAnsi="宋体" w:eastAsia="宋体" w:cs="宋体"/>
                <w:w w:val="90"/>
                <w:sz w:val="23"/>
                <w:szCs w:val="23"/>
                <w:lang w:val="en-US" w:eastAsia="zh-CN" w:bidi="zh-CN"/>
              </w:rPr>
              <w:t>业绩</w:t>
            </w:r>
            <w:r>
              <w:rPr>
                <w:rFonts w:hint="eastAsia" w:ascii="宋体" w:hAnsi="宋体" w:eastAsia="宋体" w:cs="宋体"/>
                <w:w w:val="90"/>
                <w:sz w:val="23"/>
                <w:szCs w:val="23"/>
                <w:lang w:val="zh-CN" w:eastAsia="zh-CN" w:bidi="zh-CN"/>
              </w:rPr>
              <w:t>得1</w:t>
            </w:r>
            <w:r>
              <w:rPr>
                <w:rFonts w:hint="eastAsia" w:ascii="宋体" w:hAnsi="宋体" w:eastAsia="宋体" w:cs="宋体"/>
                <w:w w:val="90"/>
                <w:sz w:val="23"/>
                <w:szCs w:val="23"/>
                <w:lang w:val="en-US" w:eastAsia="zh-CN" w:bidi="zh-CN"/>
              </w:rPr>
              <w:t>2</w:t>
            </w:r>
            <w:r>
              <w:rPr>
                <w:rFonts w:hint="eastAsia" w:ascii="宋体" w:hAnsi="宋体" w:eastAsia="宋体" w:cs="宋体"/>
                <w:w w:val="90"/>
                <w:sz w:val="23"/>
                <w:szCs w:val="23"/>
                <w:lang w:val="zh-CN" w:eastAsia="zh-CN" w:bidi="zh-CN"/>
              </w:rPr>
              <w:t>分，在此基础上，每增加1个近五年（自2018年5月</w:t>
            </w:r>
            <w:r>
              <w:rPr>
                <w:rFonts w:hint="eastAsia" w:ascii="宋体" w:hAnsi="宋体" w:eastAsia="宋体" w:cs="宋体"/>
                <w:w w:val="90"/>
                <w:sz w:val="23"/>
                <w:szCs w:val="23"/>
                <w:lang w:val="en-US" w:eastAsia="zh-CN" w:bidi="zh-CN"/>
              </w:rPr>
              <w:t>22</w:t>
            </w:r>
            <w:r>
              <w:rPr>
                <w:rFonts w:hint="eastAsia" w:ascii="宋体" w:hAnsi="宋体" w:eastAsia="宋体" w:cs="宋体"/>
                <w:w w:val="90"/>
                <w:sz w:val="23"/>
                <w:szCs w:val="23"/>
                <w:lang w:val="zh-CN" w:eastAsia="zh-CN" w:bidi="zh-CN"/>
              </w:rPr>
              <w:t>日至磋商文件递交截止之日，以交（竣）工验收日期为准）的房屋建筑工程施工</w:t>
            </w:r>
            <w:r>
              <w:rPr>
                <w:rFonts w:hint="eastAsia" w:ascii="宋体" w:hAnsi="宋体" w:eastAsia="宋体" w:cs="宋体"/>
                <w:w w:val="90"/>
                <w:sz w:val="23"/>
                <w:szCs w:val="23"/>
                <w:lang w:val="en-US" w:eastAsia="zh-CN" w:bidi="zh-CN"/>
              </w:rPr>
              <w:t>总</w:t>
            </w:r>
            <w:r>
              <w:rPr>
                <w:rFonts w:hint="eastAsia" w:ascii="宋体" w:hAnsi="宋体" w:eastAsia="宋体" w:cs="宋体"/>
                <w:w w:val="90"/>
                <w:sz w:val="23"/>
                <w:szCs w:val="23"/>
                <w:lang w:val="zh-CN" w:eastAsia="zh-CN" w:bidi="zh-CN"/>
              </w:rPr>
              <w:t>监理</w:t>
            </w:r>
            <w:r>
              <w:rPr>
                <w:rFonts w:hint="eastAsia" w:ascii="宋体" w:hAnsi="宋体" w:eastAsia="宋体" w:cs="宋体"/>
                <w:w w:val="90"/>
                <w:sz w:val="23"/>
                <w:szCs w:val="23"/>
                <w:lang w:val="en-US" w:eastAsia="zh-CN" w:bidi="zh-CN"/>
              </w:rPr>
              <w:t>工程师的</w:t>
            </w:r>
            <w:r>
              <w:rPr>
                <w:rFonts w:hint="eastAsia" w:ascii="宋体" w:hAnsi="宋体" w:eastAsia="宋体" w:cs="宋体"/>
                <w:w w:val="90"/>
                <w:sz w:val="23"/>
                <w:szCs w:val="23"/>
                <w:lang w:val="zh-CN" w:eastAsia="zh-CN" w:bidi="zh-CN"/>
              </w:rPr>
              <w:t>业绩加</w:t>
            </w:r>
            <w:r>
              <w:rPr>
                <w:rFonts w:hint="eastAsia" w:ascii="宋体" w:hAnsi="宋体" w:eastAsia="宋体" w:cs="宋体"/>
                <w:w w:val="90"/>
                <w:sz w:val="23"/>
                <w:szCs w:val="23"/>
                <w:lang w:val="en-US" w:eastAsia="zh-CN" w:bidi="zh-CN"/>
              </w:rPr>
              <w:t>4</w:t>
            </w:r>
            <w:r>
              <w:rPr>
                <w:rFonts w:hint="eastAsia" w:ascii="宋体" w:hAnsi="宋体" w:eastAsia="宋体" w:cs="宋体"/>
                <w:w w:val="90"/>
                <w:sz w:val="23"/>
                <w:szCs w:val="23"/>
                <w:lang w:val="zh-CN" w:eastAsia="zh-CN" w:bidi="zh-CN"/>
              </w:rPr>
              <w:t>分。</w:t>
            </w:r>
            <w:r>
              <w:rPr>
                <w:rFonts w:hint="eastAsia" w:ascii="宋体" w:hAnsi="宋体" w:eastAsia="宋体" w:cs="宋体"/>
                <w:w w:val="90"/>
                <w:sz w:val="23"/>
                <w:szCs w:val="23"/>
                <w:lang w:val="en-US" w:eastAsia="zh-CN" w:bidi="zh-CN"/>
              </w:rPr>
              <w:t>此项最多得20分。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Merge w:val="restart"/>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技术建议书</w:t>
            </w:r>
          </w:p>
        </w:tc>
        <w:tc>
          <w:tcPr>
            <w:tcW w:w="728" w:type="dxa"/>
            <w:vMerge w:val="restart"/>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35分</w:t>
            </w:r>
          </w:p>
        </w:tc>
        <w:tc>
          <w:tcPr>
            <w:tcW w:w="7574" w:type="dxa"/>
            <w:tcBorders>
              <w:right w:val="single" w:color="auto" w:sz="4" w:space="0"/>
            </w:tcBorders>
            <w:vAlign w:val="center"/>
          </w:tcPr>
          <w:p>
            <w:pPr>
              <w:widowControl w:val="0"/>
              <w:autoSpaceDE w:val="0"/>
              <w:autoSpaceDN w:val="0"/>
              <w:spacing w:line="360" w:lineRule="auto"/>
              <w:ind w:right="44" w:rightChars="2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（1）监理计划（或监理方案）和措施</w:t>
            </w:r>
          </w:p>
          <w:p>
            <w:pPr>
              <w:widowControl w:val="0"/>
              <w:autoSpaceDE w:val="0"/>
              <w:autoSpaceDN w:val="0"/>
              <w:spacing w:line="360" w:lineRule="auto"/>
              <w:ind w:right="44" w:rightChars="20"/>
              <w:jc w:val="both"/>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监理计划思路一般、措施合理 12～15分；监理计划思路较清晰、措施较好15～18 分；监理计划思路清晰、措施得力 18～20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Merge w:val="continue"/>
            <w:vAlign w:val="center"/>
          </w:tcPr>
          <w:p>
            <w:pPr>
              <w:widowControl w:val="0"/>
              <w:autoSpaceDE w:val="0"/>
              <w:autoSpaceDN w:val="0"/>
              <w:spacing w:line="360" w:lineRule="auto"/>
              <w:jc w:val="both"/>
              <w:rPr>
                <w:rFonts w:hint="eastAsia" w:ascii="宋体" w:hAnsi="宋体" w:eastAsia="宋体" w:cs="宋体"/>
                <w:w w:val="90"/>
                <w:sz w:val="23"/>
                <w:szCs w:val="23"/>
                <w:lang w:val="en-US" w:eastAsia="zh-CN" w:bidi="zh-CN"/>
              </w:rPr>
            </w:pPr>
          </w:p>
        </w:tc>
        <w:tc>
          <w:tcPr>
            <w:tcW w:w="728" w:type="dxa"/>
            <w:vMerge w:val="continue"/>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p>
        </w:tc>
        <w:tc>
          <w:tcPr>
            <w:tcW w:w="7574" w:type="dxa"/>
            <w:tcBorders>
              <w:right w:val="single" w:color="auto" w:sz="4" w:space="0"/>
            </w:tcBorders>
            <w:vAlign w:val="center"/>
          </w:tcPr>
          <w:p>
            <w:pPr>
              <w:widowControl w:val="0"/>
              <w:autoSpaceDE w:val="0"/>
              <w:autoSpaceDN w:val="0"/>
              <w:spacing w:line="360" w:lineRule="auto"/>
              <w:ind w:right="44" w:rightChars="20"/>
              <w:jc w:val="both"/>
              <w:rPr>
                <w:rFonts w:hint="eastAsia" w:ascii="宋体" w:hAnsi="宋体" w:eastAsia="宋体" w:cs="宋体"/>
                <w:w w:val="90"/>
                <w:sz w:val="23"/>
                <w:szCs w:val="23"/>
                <w:lang w:val="zh-CN" w:eastAsia="zh-CN" w:bidi="zh-CN"/>
              </w:rPr>
            </w:pPr>
            <w:r>
              <w:rPr>
                <w:rFonts w:hint="eastAsia" w:ascii="宋体" w:hAnsi="宋体" w:eastAsia="宋体" w:cs="宋体"/>
                <w:w w:val="90"/>
                <w:sz w:val="23"/>
                <w:szCs w:val="23"/>
                <w:lang w:val="zh-CN" w:eastAsia="zh-CN" w:bidi="zh-CN"/>
              </w:rPr>
              <w:t>（</w:t>
            </w:r>
            <w:r>
              <w:rPr>
                <w:rFonts w:hint="eastAsia" w:ascii="宋体" w:hAnsi="宋体" w:eastAsia="宋体" w:cs="宋体"/>
                <w:w w:val="90"/>
                <w:sz w:val="23"/>
                <w:szCs w:val="23"/>
                <w:lang w:val="en-US" w:eastAsia="zh-CN" w:bidi="zh-CN"/>
              </w:rPr>
              <w:t>2</w:t>
            </w:r>
            <w:r>
              <w:rPr>
                <w:rFonts w:hint="eastAsia" w:ascii="宋体" w:hAnsi="宋体" w:eastAsia="宋体" w:cs="宋体"/>
                <w:w w:val="90"/>
                <w:sz w:val="23"/>
                <w:szCs w:val="23"/>
                <w:lang w:val="zh-CN" w:eastAsia="zh-CN" w:bidi="zh-CN"/>
              </w:rPr>
              <w:t>）对本工程监理工作的重点与难点分析</w:t>
            </w:r>
          </w:p>
          <w:p>
            <w:pPr>
              <w:widowControl w:val="0"/>
              <w:autoSpaceDE w:val="0"/>
              <w:autoSpaceDN w:val="0"/>
              <w:spacing w:line="360" w:lineRule="auto"/>
              <w:ind w:right="44" w:rightChars="2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zh-CN" w:eastAsia="zh-CN" w:bidi="zh-CN"/>
              </w:rPr>
              <w:t>对本合同工程难点分析一般，工作重点把握一般的得 6 分；对本合同工程难点分析较透彻，工作重点把握较准确的得 6～8 分；对本合同工程难点分析透彻，工作重点把握准确的得 8～10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90" w:type="dxa"/>
            <w:vMerge w:val="continue"/>
            <w:vAlign w:val="center"/>
          </w:tcPr>
          <w:p>
            <w:pPr>
              <w:widowControl w:val="0"/>
              <w:autoSpaceDE w:val="0"/>
              <w:autoSpaceDN w:val="0"/>
              <w:spacing w:line="360" w:lineRule="auto"/>
              <w:jc w:val="both"/>
              <w:rPr>
                <w:rFonts w:hint="eastAsia" w:ascii="宋体" w:hAnsi="宋体" w:eastAsia="宋体" w:cs="宋体"/>
                <w:w w:val="90"/>
                <w:sz w:val="23"/>
                <w:szCs w:val="23"/>
                <w:lang w:val="en-US" w:eastAsia="zh-CN" w:bidi="zh-CN"/>
              </w:rPr>
            </w:pPr>
          </w:p>
        </w:tc>
        <w:tc>
          <w:tcPr>
            <w:tcW w:w="728" w:type="dxa"/>
            <w:vMerge w:val="continue"/>
            <w:vAlign w:val="center"/>
          </w:tcPr>
          <w:p>
            <w:pPr>
              <w:widowControl w:val="0"/>
              <w:autoSpaceDE w:val="0"/>
              <w:autoSpaceDN w:val="0"/>
              <w:spacing w:line="360" w:lineRule="auto"/>
              <w:jc w:val="center"/>
              <w:rPr>
                <w:rFonts w:hint="eastAsia" w:ascii="宋体" w:hAnsi="宋体" w:eastAsia="宋体" w:cs="宋体"/>
                <w:w w:val="90"/>
                <w:sz w:val="23"/>
                <w:szCs w:val="23"/>
                <w:lang w:val="en-US" w:eastAsia="zh-CN" w:bidi="zh-CN"/>
              </w:rPr>
            </w:pPr>
          </w:p>
        </w:tc>
        <w:tc>
          <w:tcPr>
            <w:tcW w:w="7574" w:type="dxa"/>
            <w:tcBorders>
              <w:right w:val="single" w:color="auto" w:sz="4" w:space="0"/>
            </w:tcBorders>
            <w:vAlign w:val="center"/>
          </w:tcPr>
          <w:p>
            <w:pPr>
              <w:widowControl w:val="0"/>
              <w:numPr>
                <w:ilvl w:val="0"/>
                <w:numId w:val="0"/>
              </w:numPr>
              <w:autoSpaceDE w:val="0"/>
              <w:autoSpaceDN w:val="0"/>
              <w:spacing w:line="360" w:lineRule="auto"/>
              <w:ind w:leftChars="0" w:right="44" w:rightChars="2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（3）对本工程的理解和建议</w:t>
            </w:r>
          </w:p>
          <w:p>
            <w:pPr>
              <w:widowControl w:val="0"/>
              <w:numPr>
                <w:ilvl w:val="0"/>
                <w:numId w:val="0"/>
              </w:numPr>
              <w:autoSpaceDE w:val="0"/>
              <w:autoSpaceDN w:val="0"/>
              <w:spacing w:line="360" w:lineRule="auto"/>
              <w:ind w:leftChars="0" w:right="44" w:rightChars="20"/>
              <w:jc w:val="both"/>
              <w:rPr>
                <w:rFonts w:hint="eastAsia" w:ascii="宋体" w:hAnsi="宋体" w:eastAsia="宋体" w:cs="宋体"/>
                <w:w w:val="90"/>
                <w:sz w:val="23"/>
                <w:szCs w:val="23"/>
                <w:lang w:val="en-US" w:eastAsia="zh-CN" w:bidi="zh-CN"/>
              </w:rPr>
            </w:pPr>
            <w:r>
              <w:rPr>
                <w:rFonts w:hint="eastAsia" w:ascii="宋体" w:hAnsi="宋体" w:eastAsia="宋体" w:cs="宋体"/>
                <w:w w:val="90"/>
                <w:sz w:val="23"/>
                <w:szCs w:val="23"/>
                <w:lang w:val="en-US" w:eastAsia="zh-CN" w:bidi="zh-CN"/>
              </w:rPr>
              <w:t>对本合同工程的理解和建议一般的得3 分；对本合同工程的理解和建议基本准确的得 3～4 分；对本合同工程的理解和建议合理、准确的得 4～5 分。</w:t>
            </w:r>
          </w:p>
        </w:tc>
      </w:tr>
    </w:tbl>
    <w:p>
      <w:pPr>
        <w:keepNext w:val="0"/>
        <w:keepLines w:val="0"/>
        <w:widowControl/>
        <w:suppressLineNumbers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 </w:t>
      </w:r>
    </w:p>
    <w:p>
      <w:pPr>
        <w:keepNext w:val="0"/>
        <w:keepLines w:val="0"/>
        <w:widowControl/>
        <w:suppressLineNumbers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1. 得分项证明内容必须清晰可见，不得过分缩印，因内容模糊导致无法得分的，后果将由供应商自行承担。 </w:t>
      </w:r>
    </w:p>
    <w:p>
      <w:pPr>
        <w:keepNext w:val="0"/>
        <w:keepLines w:val="0"/>
        <w:widowControl/>
        <w:suppressLineNumbers w:val="0"/>
        <w:spacing w:line="480" w:lineRule="auto"/>
        <w:jc w:val="left"/>
        <w:rPr>
          <w:rFonts w:hint="eastAsia" w:ascii="宋体" w:hAnsi="宋体" w:eastAsia="宋体" w:cs="宋体"/>
          <w:sz w:val="21"/>
          <w:szCs w:val="21"/>
        </w:rPr>
      </w:pPr>
      <w:r>
        <w:rPr>
          <w:rFonts w:hint="eastAsia" w:ascii="宋体" w:hAnsi="宋体" w:eastAsia="宋体" w:cs="宋体"/>
          <w:b w:val="0"/>
          <w:bCs w:val="0"/>
          <w:color w:val="auto"/>
          <w:kern w:val="0"/>
          <w:sz w:val="21"/>
          <w:szCs w:val="21"/>
          <w:lang w:val="en-US" w:eastAsia="zh-CN" w:bidi="ar"/>
        </w:rPr>
        <w:t xml:space="preserve">投标供应商在制作电子响应文件时，应按照评分细则中的顺序进行编写，合理设置评分点链接，方便评委查阅。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211F"/>
    <w:multiLevelType w:val="singleLevel"/>
    <w:tmpl w:val="F3E421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MGEwZDUzMjFlZmU0NmYxZTg1MDIzNDllMGY3OTQifQ=="/>
  </w:docVars>
  <w:rsids>
    <w:rsidRoot w:val="406777B4"/>
    <w:rsid w:val="05B033D7"/>
    <w:rsid w:val="0C664EE1"/>
    <w:rsid w:val="23CE66B3"/>
    <w:rsid w:val="406777B4"/>
    <w:rsid w:val="7E7D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1026" w:right="1076"/>
      <w:jc w:val="center"/>
      <w:outlineLvl w:val="0"/>
    </w:pPr>
    <w:rPr>
      <w:sz w:val="72"/>
      <w:szCs w:val="72"/>
    </w:rPr>
  </w:style>
  <w:style w:type="paragraph" w:styleId="4">
    <w:name w:val="heading 2"/>
    <w:basedOn w:val="1"/>
    <w:next w:val="1"/>
    <w:unhideWhenUsed/>
    <w:qFormat/>
    <w:uiPriority w:val="0"/>
    <w:pPr>
      <w:spacing w:before="22"/>
      <w:ind w:left="1144" w:right="1155"/>
      <w:jc w:val="center"/>
      <w:outlineLvl w:val="1"/>
    </w:pPr>
    <w:rPr>
      <w:sz w:val="44"/>
      <w:szCs w:val="44"/>
    </w:rPr>
  </w:style>
  <w:style w:type="paragraph" w:styleId="5">
    <w:name w:val="heading 4"/>
    <w:basedOn w:val="1"/>
    <w:next w:val="1"/>
    <w:unhideWhenUsed/>
    <w:qFormat/>
    <w:uiPriority w:val="9"/>
    <w:pPr>
      <w:spacing w:before="43"/>
      <w:ind w:right="10"/>
      <w:jc w:val="center"/>
      <w:outlineLvl w:val="3"/>
    </w:pPr>
    <w:rPr>
      <w:sz w:val="30"/>
      <w:szCs w:val="30"/>
    </w:rPr>
  </w:style>
  <w:style w:type="paragraph" w:styleId="6">
    <w:name w:val="heading 8"/>
    <w:basedOn w:val="1"/>
    <w:next w:val="1"/>
    <w:qFormat/>
    <w:uiPriority w:val="1"/>
    <w:pPr>
      <w:spacing w:before="1"/>
      <w:ind w:left="440"/>
      <w:outlineLvl w:val="7"/>
    </w:pPr>
    <w:rPr>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7">
    <w:name w:val="Body Text Indent"/>
    <w:basedOn w:val="1"/>
    <w:qFormat/>
    <w:uiPriority w:val="0"/>
    <w:pPr>
      <w:ind w:firstLine="648"/>
    </w:pPr>
    <w:rPr>
      <w:sz w:val="32"/>
      <w:szCs w:val="20"/>
    </w:rPr>
  </w:style>
  <w:style w:type="paragraph" w:styleId="8">
    <w:name w:val="Body Text First Indent 2"/>
    <w:basedOn w:val="7"/>
    <w:next w:val="1"/>
    <w:qFormat/>
    <w:uiPriority w:val="0"/>
    <w:pPr>
      <w:ind w:firstLine="420" w:firstLineChars="200"/>
    </w:pPr>
  </w:style>
  <w:style w:type="character" w:styleId="11">
    <w:name w:val="Strong"/>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首行缩进"/>
    <w:basedOn w:val="1"/>
    <w:qFormat/>
    <w:uiPriority w:val="0"/>
    <w:pPr>
      <w:spacing w:line="360" w:lineRule="auto"/>
      <w:ind w:left="210" w:leftChars="100" w:firstLine="420" w:firstLineChars="200"/>
    </w:p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20"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2023-03-15T09:39:00Z</dcterms:created>
  <dc:creator>　</dc:creator>
  <cp:lastModifiedBy>　</cp:lastModifiedBy>
  <dcterms:modified xsi:type="dcterms:W3CDTF">2023-05-22T10:26:38Z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71454BB53B46439C89B45F8AFE841F8F</vt:lpwstr>
  </property>
</Properties>
</file>