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京藏高速改扩建滚泉至桃山口段（桃山立交区和滚泉立交区）绿化供水及节水灌溉管道铺设工程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施工关键内容</w:t>
      </w:r>
    </w:p>
    <w:p>
      <w:pPr>
        <w:pStyle w:val="9"/>
        <w:rPr>
          <w:rFonts w:hint="eastAsia"/>
          <w:lang w:val="en-US" w:eastAsia="zh-CN"/>
        </w:rPr>
      </w:pPr>
    </w:p>
    <w:p>
      <w:pPr>
        <w:widowControl/>
        <w:spacing w:line="360" w:lineRule="auto"/>
        <w:ind w:firstLine="482" w:firstLineChars="200"/>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1、桃山立交区（银川方向）立交区绿化面积约12万m</w:t>
      </w:r>
      <w:r>
        <w:rPr>
          <w:rFonts w:hint="eastAsia" w:ascii="宋体" w:hAnsi="宋体" w:eastAsia="宋体" w:cs="宋体"/>
          <w:color w:val="auto"/>
          <w:sz w:val="21"/>
          <w:szCs w:val="21"/>
          <w:highlight w:val="none"/>
          <w:u w:val="none"/>
          <w:vertAlign w:val="superscript"/>
          <w:lang w:val="en-US" w:eastAsia="zh-CN"/>
        </w:rPr>
        <w:t>2</w:t>
      </w:r>
      <w:r>
        <w:rPr>
          <w:rFonts w:hint="eastAsia" w:ascii="宋体" w:hAnsi="宋体" w:eastAsia="宋体" w:cs="宋体"/>
          <w:color w:val="auto"/>
          <w:sz w:val="21"/>
          <w:szCs w:val="21"/>
          <w:highlight w:val="none"/>
          <w:u w:val="none"/>
          <w:lang w:val="en-US" w:eastAsia="zh-CN"/>
        </w:rPr>
        <w:t>，立交区内绿化种植工程已实施，种植有榆树、沙枣，紫穗槐等苗木，长势较好。本次招标范围为立交区绿化工程供水及节水灌溉管道铺设，既就近从宁夏水投西部饮水工程管道接入，将水输送至立交区，立交区内铺设节水灌溉管道，将水输送至立交区内各分区，进行绿化种植苗木灌溉养护。主要内容有：水源对接1处，铺设各类输水管道6.58km，铺设毛管6.5km，安装灌溉水器约4.8万套,修建各类检查井16座，安装取水口68处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2、滚泉立交区绿化面积约9万m</w:t>
      </w:r>
      <w:r>
        <w:rPr>
          <w:rFonts w:hint="eastAsia" w:ascii="宋体" w:hAnsi="宋体" w:eastAsia="宋体" w:cs="宋体"/>
          <w:color w:val="auto"/>
          <w:sz w:val="21"/>
          <w:szCs w:val="21"/>
          <w:highlight w:val="none"/>
          <w:u w:val="none"/>
          <w:vertAlign w:val="superscript"/>
          <w:lang w:val="en-US" w:eastAsia="zh-CN"/>
        </w:rPr>
        <w:t>2</w:t>
      </w:r>
      <w:r>
        <w:rPr>
          <w:rFonts w:hint="eastAsia" w:ascii="宋体" w:hAnsi="宋体" w:eastAsia="宋体" w:cs="宋体"/>
          <w:color w:val="auto"/>
          <w:sz w:val="21"/>
          <w:szCs w:val="21"/>
          <w:highlight w:val="none"/>
          <w:u w:val="none"/>
          <w:lang w:val="en-US" w:eastAsia="zh-CN"/>
        </w:rPr>
        <w:t>，立交区内绿化种植工程已实施,立交区内已安装节水灌溉设施。本次招标范围为立交区绿化种植苗木供水工程，既利用滚红公路路侧林带输水管道，将水输送至蓄水池二次加压后输送至滚泉立交区，与立交区内已铺设节水灌溉管道接通，进行绿化种植苗木灌溉养护。主要内容有：水源对接1处，500m</w:t>
      </w:r>
      <w:r>
        <w:rPr>
          <w:rFonts w:hint="eastAsia" w:ascii="宋体" w:hAnsi="宋体" w:eastAsia="宋体" w:cs="宋体"/>
          <w:color w:val="auto"/>
          <w:sz w:val="21"/>
          <w:szCs w:val="21"/>
          <w:highlight w:val="none"/>
          <w:u w:val="none"/>
          <w:vertAlign w:val="superscript"/>
          <w:lang w:val="en-US" w:eastAsia="zh-CN"/>
        </w:rPr>
        <w:t>3</w:t>
      </w:r>
      <w:r>
        <w:rPr>
          <w:rFonts w:hint="eastAsia" w:ascii="宋体" w:hAnsi="宋体" w:eastAsia="宋体" w:cs="宋体"/>
          <w:color w:val="auto"/>
          <w:sz w:val="21"/>
          <w:szCs w:val="21"/>
          <w:highlight w:val="none"/>
          <w:u w:val="none"/>
          <w:lang w:val="en-US" w:eastAsia="zh-CN"/>
        </w:rPr>
        <w:t>钢筋混凝土蓄水池1座，砖混结构泵房约44m</w:t>
      </w:r>
      <w:r>
        <w:rPr>
          <w:rFonts w:hint="eastAsia" w:ascii="宋体" w:hAnsi="宋体" w:eastAsia="宋体" w:cs="宋体"/>
          <w:color w:val="auto"/>
          <w:sz w:val="21"/>
          <w:szCs w:val="21"/>
          <w:highlight w:val="none"/>
          <w:u w:val="none"/>
          <w:vertAlign w:val="superscript"/>
          <w:lang w:val="en-US" w:eastAsia="zh-CN"/>
        </w:rPr>
        <w:t>2</w:t>
      </w:r>
      <w:r>
        <w:rPr>
          <w:rFonts w:hint="eastAsia" w:ascii="宋体" w:hAnsi="宋体" w:eastAsia="宋体" w:cs="宋体"/>
          <w:color w:val="auto"/>
          <w:sz w:val="21"/>
          <w:szCs w:val="21"/>
          <w:highlight w:val="none"/>
          <w:u w:val="none"/>
          <w:lang w:val="en-US" w:eastAsia="zh-CN"/>
        </w:rPr>
        <w:t>,铺设各类输水管道约3.6km，安装水泵1台套，变频控制及首部设施1套，修建检修井21座，管线植被恢复4141m</w:t>
      </w:r>
      <w:r>
        <w:rPr>
          <w:rFonts w:hint="eastAsia" w:ascii="宋体" w:hAnsi="宋体" w:eastAsia="宋体" w:cs="宋体"/>
          <w:color w:val="auto"/>
          <w:sz w:val="21"/>
          <w:szCs w:val="21"/>
          <w:highlight w:val="none"/>
          <w:u w:val="none"/>
          <w:vertAlign w:val="superscript"/>
          <w:lang w:val="en-US" w:eastAsia="zh-CN"/>
        </w:rPr>
        <w:t>2</w:t>
      </w:r>
      <w:r>
        <w:rPr>
          <w:rFonts w:hint="eastAsia" w:ascii="宋体" w:hAnsi="宋体" w:eastAsia="宋体" w:cs="宋体"/>
          <w:color w:val="auto"/>
          <w:sz w:val="21"/>
          <w:szCs w:val="21"/>
          <w:highlight w:val="none"/>
          <w:u w:val="none"/>
          <w:lang w:val="en-US" w:eastAsia="zh-CN"/>
        </w:rPr>
        <w:t>等。</w:t>
      </w:r>
    </w:p>
    <w:p>
      <w:pPr>
        <w:widowControl/>
        <w:spacing w:line="360" w:lineRule="auto"/>
        <w:ind w:firstLine="482" w:firstLineChars="200"/>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keepNext w:val="0"/>
        <w:keepLines w:val="0"/>
        <w:widowControl/>
        <w:suppressLineNumbers w:val="0"/>
        <w:spacing w:line="360" w:lineRule="auto"/>
        <w:ind w:firstLine="482" w:firstLineChars="200"/>
        <w:jc w:val="left"/>
        <w:rPr>
          <w:sz w:val="24"/>
          <w:szCs w:val="24"/>
        </w:rPr>
      </w:pPr>
      <w:r>
        <w:rPr>
          <w:rFonts w:hint="eastAsia" w:cs="宋体"/>
          <w:b/>
          <w:bCs/>
          <w:color w:val="000000"/>
          <w:kern w:val="0"/>
          <w:sz w:val="24"/>
          <w:szCs w:val="24"/>
          <w:lang w:val="en-US" w:eastAsia="zh-CN" w:bidi="ar"/>
        </w:rPr>
        <w:t>三</w:t>
      </w:r>
      <w:r>
        <w:rPr>
          <w:rFonts w:hint="eastAsia" w:ascii="宋体" w:hAnsi="宋体" w:eastAsia="宋体" w:cs="宋体"/>
          <w:b/>
          <w:bCs/>
          <w:color w:val="000000"/>
          <w:kern w:val="0"/>
          <w:sz w:val="24"/>
          <w:szCs w:val="24"/>
          <w:lang w:val="en-US" w:eastAsia="zh-CN" w:bidi="ar"/>
        </w:rPr>
        <w:t>、资格审查办法</w:t>
      </w:r>
    </w:p>
    <w:p>
      <w:pPr>
        <w:pStyle w:val="17"/>
        <w:widowControl/>
        <w:spacing w:before="240" w:after="240"/>
        <w:rPr>
          <w:rFonts w:hint="default" w:cs="宋体"/>
          <w:color w:val="auto"/>
          <w:kern w:val="44"/>
          <w:sz w:val="30"/>
          <w:szCs w:val="30"/>
          <w:highlight w:val="none"/>
        </w:rPr>
      </w:pPr>
      <w:bookmarkStart w:id="0" w:name="_Toc27721"/>
      <w:r>
        <w:rPr>
          <w:rFonts w:cs="宋体"/>
          <w:color w:val="auto"/>
          <w:kern w:val="44"/>
          <w:sz w:val="30"/>
          <w:szCs w:val="30"/>
          <w:highlight w:val="none"/>
        </w:rPr>
        <w:t>附录1  资格审查条件(资质最低条件)</w:t>
      </w:r>
      <w:bookmarkEnd w:id="0"/>
    </w:p>
    <w:tbl>
      <w:tblPr>
        <w:tblStyle w:val="10"/>
        <w:tblW w:w="8867" w:type="dxa"/>
        <w:jc w:val="center"/>
        <w:tblLayout w:type="fixed"/>
        <w:tblCellMar>
          <w:top w:w="0" w:type="dxa"/>
          <w:left w:w="108" w:type="dxa"/>
          <w:bottom w:w="0" w:type="dxa"/>
          <w:right w:w="108" w:type="dxa"/>
        </w:tblCellMar>
      </w:tblPr>
      <w:tblGrid>
        <w:gridCol w:w="8867"/>
      </w:tblGrid>
      <w:tr>
        <w:trPr>
          <w:trHeight w:val="291" w:hRule="atLeast"/>
          <w:jc w:val="center"/>
        </w:trPr>
        <w:tc>
          <w:tcPr>
            <w:tcW w:w="8867" w:type="dxa"/>
            <w:tcBorders>
              <w:top w:val="single" w:color="auto" w:sz="12"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施工企业资质等级要求</w:t>
            </w:r>
          </w:p>
        </w:tc>
      </w:tr>
      <w:tr>
        <w:trPr>
          <w:trHeight w:val="90" w:hRule="atLeast"/>
          <w:jc w:val="center"/>
        </w:trPr>
        <w:tc>
          <w:tcPr>
            <w:tcW w:w="8867" w:type="dxa"/>
            <w:tcBorders>
              <w:top w:val="single" w:color="auto" w:sz="6"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pStyle w:val="2"/>
              <w:autoSpaceDE w:val="0"/>
              <w:spacing w:beforeAutospacing="1"/>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投标人须具有独立法人资格，持有工商行政管理部门核发的有效的营业执照，须</w:t>
            </w:r>
            <w:r>
              <w:rPr>
                <w:rFonts w:hint="eastAsia" w:ascii="宋体" w:hAnsi="宋体" w:eastAsia="宋体" w:cs="宋体"/>
                <w:color w:val="auto"/>
                <w:szCs w:val="21"/>
                <w:highlight w:val="none"/>
              </w:rPr>
              <w:t>具备</w:t>
            </w:r>
            <w:r>
              <w:rPr>
                <w:rFonts w:hint="eastAsia" w:ascii="宋体" w:hAnsi="宋体" w:eastAsia="宋体" w:cs="宋体"/>
                <w:b/>
                <w:color w:val="auto"/>
                <w:szCs w:val="21"/>
                <w:highlight w:val="none"/>
              </w:rPr>
              <w:t>建设主管部门颁发的市政公用工程施工总承包三级</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以上等级资质</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必须具有建设行政主管部门颁发的有效安全生产许可证</w:t>
            </w:r>
            <w:r>
              <w:rPr>
                <w:rFonts w:hint="eastAsia" w:ascii="宋体" w:hAnsi="宋体" w:eastAsia="宋体" w:cs="宋体"/>
                <w:color w:val="auto"/>
                <w:kern w:val="0"/>
                <w:szCs w:val="21"/>
                <w:highlight w:val="none"/>
              </w:rPr>
              <w:t>，并在人员、设备、资金等方面具有相应的施工能力。</w:t>
            </w:r>
          </w:p>
        </w:tc>
      </w:tr>
      <w:tr>
        <w:tblPrEx>
          <w:tblCellMar>
            <w:top w:w="0" w:type="dxa"/>
            <w:left w:w="108" w:type="dxa"/>
            <w:bottom w:w="0" w:type="dxa"/>
            <w:right w:w="108" w:type="dxa"/>
          </w:tblCellMar>
        </w:tblPrEx>
        <w:trPr>
          <w:trHeight w:val="90" w:hRule="atLeast"/>
          <w:jc w:val="center"/>
        </w:trPr>
        <w:tc>
          <w:tcPr>
            <w:tcW w:w="8867" w:type="dxa"/>
            <w:tcBorders>
              <w:top w:val="single" w:color="auto" w:sz="6" w:space="0"/>
              <w:left w:val="single" w:color="auto" w:sz="12" w:space="0"/>
              <w:bottom w:val="single" w:color="auto" w:sz="12" w:space="0"/>
              <w:right w:val="single" w:color="auto" w:sz="12" w:space="0"/>
            </w:tcBorders>
            <w:shd w:val="clear" w:color="auto" w:fill="auto"/>
            <w:tcMar>
              <w:top w:w="113" w:type="dxa"/>
              <w:left w:w="113" w:type="dxa"/>
              <w:bottom w:w="113" w:type="dxa"/>
              <w:right w:w="113" w:type="dxa"/>
            </w:tcMar>
            <w:vAlign w:val="center"/>
          </w:tcPr>
          <w:p>
            <w:pPr>
              <w:pStyle w:val="13"/>
              <w:keepNext w:val="0"/>
              <w:keepLines w:val="0"/>
              <w:pageBreakBefore w:val="0"/>
              <w:widowControl w:val="0"/>
              <w:kinsoku/>
              <w:wordWrap/>
              <w:overflowPunct/>
              <w:topLinePunct w:val="0"/>
              <w:autoSpaceDE/>
              <w:autoSpaceDN/>
              <w:bidi w:val="0"/>
              <w:adjustRightInd/>
              <w:snapToGrid/>
              <w:spacing w:before="46" w:line="360" w:lineRule="auto"/>
              <w:ind w:left="52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w:t>
            </w:r>
            <w:r>
              <w:rPr>
                <w:rFonts w:hint="eastAsia" w:ascii="宋体" w:hAnsi="宋体" w:eastAsia="宋体" w:cs="宋体"/>
                <w:b/>
                <w:color w:val="auto"/>
                <w:w w:val="168"/>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before="46" w:line="360" w:lineRule="auto"/>
              <w:ind w:left="52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修改补充投标人须知正文第 3.5.1 项： </w:t>
            </w:r>
          </w:p>
          <w:p>
            <w:pPr>
              <w:pStyle w:val="13"/>
              <w:keepNext w:val="0"/>
              <w:keepLines w:val="0"/>
              <w:pageBreakBefore w:val="0"/>
              <w:widowControl w:val="0"/>
              <w:kinsoku/>
              <w:wordWrap/>
              <w:overflowPunct/>
              <w:topLinePunct w:val="0"/>
              <w:autoSpaceDE/>
              <w:autoSpaceDN/>
              <w:bidi w:val="0"/>
              <w:adjustRightInd/>
              <w:snapToGrid/>
              <w:spacing w:before="46" w:line="360" w:lineRule="auto"/>
              <w:ind w:firstLine="44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rPr>
              <w:t>1</w:t>
            </w:r>
            <w:r>
              <w:rPr>
                <w:rFonts w:hint="eastAsia" w:ascii="宋体" w:hAnsi="宋体" w:eastAsia="宋体" w:cs="宋体"/>
                <w:b/>
                <w:color w:val="auto"/>
                <w:highlight w:val="none"/>
              </w:rPr>
              <w:t>）“投标人基本情况表”应附企业法人营业执照副本、资质证书副本、安全生产许可证副本</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基本账户开户许可证（或加盖开户行印章的基本户信息证明材料）的彩色扫描件，投标人</w:t>
            </w:r>
            <w:r>
              <w:rPr>
                <w:rFonts w:hint="eastAsia" w:ascii="宋体" w:hAnsi="宋体" w:eastAsia="宋体" w:cs="宋体"/>
                <w:b/>
                <w:color w:val="auto"/>
                <w:highlight w:val="none"/>
                <w:lang w:eastAsia="zh-CN"/>
              </w:rPr>
              <w:t>名称和资质信息应与住房和城乡建设部“全国建筑市场监管公共服务平台”中查询的企业信息中企业资质资格信息一致，并附“全国建筑市场监管公共服务平台”中企业详细的网页截图</w:t>
            </w:r>
            <w:r>
              <w:rPr>
                <w:rFonts w:hint="eastAsia" w:ascii="宋体" w:hAnsi="宋体" w:eastAsia="宋体" w:cs="宋体"/>
                <w:b/>
                <w:color w:val="auto"/>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before="46" w:line="360" w:lineRule="auto"/>
              <w:ind w:firstLine="44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rPr>
              <w:t>2</w:t>
            </w:r>
            <w:r>
              <w:rPr>
                <w:rFonts w:hint="eastAsia" w:ascii="宋体" w:hAnsi="宋体" w:eastAsia="宋体" w:cs="宋体"/>
                <w:b/>
                <w:color w:val="auto"/>
                <w:highlight w:val="none"/>
              </w:rPr>
              <w:t xml:space="preserve">）企业法人营业执照副、资质证书副本、安全生产许可证副本的扫描件应提供全本（证书封面、封底、空白页除外），应包括投标人名称、投标人其他相关信息、颁发机构名称、投标人信息变更情况等关键页在内。 </w:t>
            </w:r>
          </w:p>
          <w:p>
            <w:pPr>
              <w:pStyle w:val="13"/>
              <w:keepNext w:val="0"/>
              <w:keepLines w:val="0"/>
              <w:pageBreakBefore w:val="0"/>
              <w:widowControl w:val="0"/>
              <w:kinsoku/>
              <w:wordWrap/>
              <w:overflowPunct/>
              <w:topLinePunct w:val="0"/>
              <w:autoSpaceDE/>
              <w:autoSpaceDN/>
              <w:bidi w:val="0"/>
              <w:adjustRightInd/>
              <w:snapToGrid/>
              <w:spacing w:before="46" w:line="360" w:lineRule="auto"/>
              <w:ind w:firstLine="44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rPr>
              <w:t>3</w:t>
            </w:r>
            <w:r>
              <w:rPr>
                <w:rFonts w:hint="eastAsia" w:ascii="宋体" w:hAnsi="宋体" w:eastAsia="宋体" w:cs="宋体"/>
                <w:b/>
                <w:color w:val="auto"/>
                <w:highlight w:val="none"/>
              </w:rPr>
              <w:t xml:space="preserve">）对于法人发生重组或变更的投标人，应在投标文件中提供附有法人重组或变更时相关部门的合法批件、变更时的企业法人营业执照和资质证书的副本变更记录彩色扫描件。 </w:t>
            </w:r>
          </w:p>
          <w:p>
            <w:pPr>
              <w:pStyle w:val="13"/>
              <w:keepNext w:val="0"/>
              <w:keepLines w:val="0"/>
              <w:pageBreakBefore w:val="0"/>
              <w:widowControl w:val="0"/>
              <w:kinsoku/>
              <w:wordWrap/>
              <w:overflowPunct/>
              <w:topLinePunct w:val="0"/>
              <w:autoSpaceDE/>
              <w:autoSpaceDN/>
              <w:bidi w:val="0"/>
              <w:adjustRightInd/>
              <w:snapToGrid/>
              <w:spacing w:before="46" w:line="360" w:lineRule="auto"/>
              <w:ind w:firstLine="44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rPr>
              <w:t>4</w:t>
            </w:r>
            <w:r>
              <w:rPr>
                <w:rFonts w:hint="eastAsia" w:ascii="宋体" w:hAnsi="宋体" w:eastAsia="宋体" w:cs="宋体"/>
                <w:b/>
                <w:color w:val="auto"/>
                <w:highlight w:val="none"/>
              </w:rPr>
              <w:t xml:space="preserve">）根据《交通运输部关于取消一批证明事项的决定》（交法规[2020]1 号）文件规定，投标人无须提供在国家企业信用信息公示系统中基础信息（体现股东及出资详细信息）的网页截图或由法定的社会验资机构出具的验资报告或注册地工商部门出具的股东出资情况证明复印件。 </w:t>
            </w:r>
          </w:p>
          <w:p>
            <w:pPr>
              <w:pStyle w:val="13"/>
              <w:keepNext w:val="0"/>
              <w:keepLines w:val="0"/>
              <w:pageBreakBefore w:val="0"/>
              <w:widowControl w:val="0"/>
              <w:kinsoku/>
              <w:wordWrap/>
              <w:overflowPunct/>
              <w:topLinePunct w:val="0"/>
              <w:autoSpaceDE/>
              <w:autoSpaceDN/>
              <w:bidi w:val="0"/>
              <w:adjustRightInd/>
              <w:snapToGrid/>
              <w:spacing w:before="46" w:line="360" w:lineRule="auto"/>
              <w:ind w:firstLine="442" w:firstLineChars="200"/>
              <w:textAlignment w:val="auto"/>
              <w:rPr>
                <w:rFonts w:hint="eastAsia" w:ascii="宋体" w:hAnsi="宋体" w:eastAsia="宋体" w:cs="宋体"/>
                <w:b/>
                <w:color w:val="auto"/>
                <w:sz w:val="20"/>
                <w:szCs w:val="20"/>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rPr>
              <w:t>5</w:t>
            </w:r>
            <w:r>
              <w:rPr>
                <w:rFonts w:hint="eastAsia" w:ascii="宋体" w:hAnsi="宋体" w:eastAsia="宋体" w:cs="宋体"/>
                <w:b/>
                <w:color w:val="auto"/>
                <w:highlight w:val="none"/>
              </w:rPr>
              <w:t xml:space="preserve">）招标文件中其他地方与此处不一致时，以此处为准。 </w:t>
            </w:r>
          </w:p>
        </w:tc>
      </w:tr>
    </w:tbl>
    <w:p>
      <w:pPr>
        <w:pStyle w:val="17"/>
        <w:widowControl/>
        <w:spacing w:before="240" w:after="240"/>
        <w:ind w:firstLine="1285" w:firstLineChars="400"/>
        <w:jc w:val="both"/>
        <w:rPr>
          <w:rFonts w:hint="default" w:cs="宋体"/>
          <w:color w:val="auto"/>
          <w:highlight w:val="none"/>
        </w:rPr>
      </w:pPr>
      <w:bookmarkStart w:id="1" w:name="_Toc28825_WPSOffice_Level2"/>
      <w:bookmarkEnd w:id="1"/>
      <w:bookmarkStart w:id="2" w:name="_Toc12694"/>
      <w:bookmarkEnd w:id="2"/>
      <w:bookmarkStart w:id="3" w:name="_Toc19287"/>
      <w:bookmarkEnd w:id="3"/>
      <w:bookmarkStart w:id="4" w:name="_Toc9698_WPSOffice_Level2"/>
      <w:bookmarkEnd w:id="4"/>
      <w:bookmarkStart w:id="5" w:name="_Toc15466"/>
      <w:bookmarkEnd w:id="5"/>
      <w:bookmarkStart w:id="6" w:name="_Toc21721"/>
      <w:bookmarkEnd w:id="6"/>
      <w:bookmarkStart w:id="7" w:name="_Toc5648"/>
      <w:bookmarkEnd w:id="7"/>
      <w:bookmarkStart w:id="8" w:name="_Toc29394"/>
      <w:bookmarkEnd w:id="8"/>
      <w:bookmarkStart w:id="9" w:name="_Toc10932"/>
      <w:bookmarkEnd w:id="9"/>
      <w:bookmarkStart w:id="10" w:name="_Toc3019"/>
      <w:bookmarkEnd w:id="10"/>
      <w:bookmarkStart w:id="11" w:name="_Toc22845"/>
      <w:bookmarkEnd w:id="11"/>
      <w:bookmarkStart w:id="12" w:name="_Toc1535"/>
      <w:r>
        <w:rPr>
          <w:rFonts w:cs="宋体"/>
          <w:color w:val="auto"/>
          <w:highlight w:val="none"/>
        </w:rPr>
        <w:t>附录2  资格审查条件(财务最低要求)</w:t>
      </w:r>
      <w:bookmarkEnd w:id="12"/>
    </w:p>
    <w:tbl>
      <w:tblPr>
        <w:tblStyle w:val="10"/>
        <w:tblW w:w="8697" w:type="dxa"/>
        <w:jc w:val="center"/>
        <w:tblLayout w:type="fixed"/>
        <w:tblCellMar>
          <w:top w:w="0" w:type="dxa"/>
          <w:left w:w="108" w:type="dxa"/>
          <w:bottom w:w="0" w:type="dxa"/>
          <w:right w:w="108" w:type="dxa"/>
        </w:tblCellMar>
      </w:tblPr>
      <w:tblGrid>
        <w:gridCol w:w="8697"/>
      </w:tblGrid>
      <w:tr>
        <w:tblPrEx>
          <w:tblCellMar>
            <w:top w:w="0" w:type="dxa"/>
            <w:left w:w="108" w:type="dxa"/>
            <w:bottom w:w="0" w:type="dxa"/>
            <w:right w:w="108" w:type="dxa"/>
          </w:tblCellMar>
        </w:tblPrEx>
        <w:trPr>
          <w:trHeight w:val="220" w:hRule="atLeast"/>
          <w:jc w:val="center"/>
        </w:trPr>
        <w:tc>
          <w:tcPr>
            <w:tcW w:w="8697" w:type="dxa"/>
            <w:tcBorders>
              <w:top w:val="single" w:color="auto" w:sz="12"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财 务 要 求</w:t>
            </w:r>
          </w:p>
        </w:tc>
      </w:tr>
      <w:tr>
        <w:tblPrEx>
          <w:tblCellMar>
            <w:top w:w="0" w:type="dxa"/>
            <w:left w:w="108" w:type="dxa"/>
            <w:bottom w:w="0" w:type="dxa"/>
            <w:right w:w="108" w:type="dxa"/>
          </w:tblCellMar>
        </w:tblPrEx>
        <w:trPr>
          <w:trHeight w:val="629" w:hRule="atLeast"/>
          <w:jc w:val="center"/>
        </w:trPr>
        <w:tc>
          <w:tcPr>
            <w:tcW w:w="8697" w:type="dxa"/>
            <w:tcBorders>
              <w:top w:val="single" w:color="auto" w:sz="6"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pageBreakBefore w:val="0"/>
              <w:widowControl w:val="0"/>
              <w:kinsoku/>
              <w:wordWrap/>
              <w:autoSpaceDE/>
              <w:autoSpaceDN/>
              <w:bidi w:val="0"/>
              <w:snapToGrid/>
              <w:spacing w:line="360" w:lineRule="auto"/>
              <w:ind w:firstLine="420" w:firstLineChars="200"/>
              <w:textAlignment w:val="auto"/>
              <w:rPr>
                <w:rFonts w:ascii="宋体" w:hAnsi="宋体" w:eastAsia="宋体" w:cs="宋体"/>
                <w:color w:val="auto"/>
                <w:sz w:val="18"/>
                <w:szCs w:val="18"/>
                <w:highlight w:val="none"/>
              </w:rPr>
            </w:pPr>
            <w:r>
              <w:rPr>
                <w:rFonts w:hint="eastAsia" w:ascii="宋体" w:hAnsi="宋体" w:eastAsia="宋体" w:cs="宋体"/>
                <w:color w:val="auto"/>
                <w:sz w:val="21"/>
                <w:szCs w:val="21"/>
                <w:highlight w:val="none"/>
              </w:rPr>
              <w:t>投标人须提供近三年</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020</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年、202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年）</w:t>
            </w:r>
            <w:r>
              <w:rPr>
                <w:rFonts w:hint="eastAsia" w:ascii="宋体" w:hAnsi="宋体" w:eastAsia="宋体" w:cs="宋体"/>
                <w:color w:val="auto"/>
                <w:sz w:val="21"/>
                <w:szCs w:val="21"/>
                <w:highlight w:val="none"/>
              </w:rPr>
              <w:t>经审计的财务</w:t>
            </w:r>
            <w:r>
              <w:rPr>
                <w:rFonts w:hint="eastAsia" w:ascii="宋体" w:hAnsi="宋体" w:eastAsia="宋体" w:cs="宋体"/>
                <w:color w:val="auto"/>
                <w:sz w:val="21"/>
                <w:szCs w:val="21"/>
                <w:highlight w:val="none"/>
                <w:lang w:val="en-US" w:eastAsia="zh-CN"/>
              </w:rPr>
              <w:t>报告。</w:t>
            </w:r>
          </w:p>
        </w:tc>
      </w:tr>
      <w:tr>
        <w:tblPrEx>
          <w:tblCellMar>
            <w:top w:w="0" w:type="dxa"/>
            <w:left w:w="108" w:type="dxa"/>
            <w:bottom w:w="0" w:type="dxa"/>
            <w:right w:w="108" w:type="dxa"/>
          </w:tblCellMar>
        </w:tblPrEx>
        <w:trPr>
          <w:trHeight w:val="629" w:hRule="atLeast"/>
          <w:jc w:val="center"/>
        </w:trPr>
        <w:tc>
          <w:tcPr>
            <w:tcW w:w="8697" w:type="dxa"/>
            <w:tcBorders>
              <w:top w:val="single" w:color="auto" w:sz="6" w:space="0"/>
              <w:left w:val="single" w:color="auto" w:sz="12" w:space="0"/>
              <w:bottom w:val="single" w:color="auto" w:sz="12" w:space="0"/>
              <w:right w:val="single" w:color="auto" w:sz="12" w:space="0"/>
            </w:tcBorders>
            <w:shd w:val="clear" w:color="auto" w:fill="auto"/>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1.投标人应在投标文件中附近三年（2020年、2021年、2022年）经会计师事务所或审计机构审计的财务报告，包括资产负债表、现金流量表、利润表和财务情况说明书</w:t>
            </w:r>
            <w:r>
              <w:rPr>
                <w:rFonts w:hint="eastAsia" w:ascii="宋体" w:hAnsi="宋体" w:eastAsia="宋体" w:cs="宋体"/>
                <w:b/>
                <w:bCs/>
                <w:color w:val="auto"/>
                <w:sz w:val="21"/>
                <w:szCs w:val="21"/>
                <w:highlight w:val="none"/>
              </w:rPr>
              <w:t>的彩色扫描件。</w:t>
            </w:r>
          </w:p>
          <w:p>
            <w:pPr>
              <w:pStyle w:val="13"/>
              <w:keepNext w:val="0"/>
              <w:keepLines w:val="0"/>
              <w:pageBreakBefore w:val="0"/>
              <w:widowControl w:val="0"/>
              <w:kinsoku/>
              <w:wordWrap/>
              <w:overflowPunct/>
              <w:topLinePunct w:val="0"/>
              <w:autoSpaceDE/>
              <w:autoSpaceDN/>
              <w:bidi w:val="0"/>
              <w:adjustRightInd/>
              <w:snapToGrid/>
              <w:spacing w:before="21" w:line="360" w:lineRule="auto"/>
              <w:ind w:left="318"/>
              <w:textAlignment w:val="auto"/>
              <w:rPr>
                <w:rFonts w:ascii="宋体" w:hAnsi="宋体" w:eastAsia="宋体" w:cs="宋体"/>
                <w:b/>
                <w:color w:val="auto"/>
                <w:szCs w:val="21"/>
                <w:highlight w:val="none"/>
                <w:lang w:val="en-US"/>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投标人的成立时间少于该年份规定的可以对本项目投标，应提供成立以来的财务状况表，且投标人所提供的财务报表均需满足对应要求。</w:t>
            </w:r>
          </w:p>
        </w:tc>
      </w:tr>
    </w:tbl>
    <w:p>
      <w:pPr>
        <w:pStyle w:val="17"/>
        <w:widowControl/>
        <w:spacing w:before="240" w:after="240"/>
        <w:rPr>
          <w:rFonts w:hint="default" w:cs="宋体"/>
          <w:color w:val="auto"/>
          <w:highlight w:val="none"/>
        </w:rPr>
      </w:pPr>
      <w:bookmarkStart w:id="13" w:name="_Toc15687"/>
      <w:bookmarkEnd w:id="13"/>
      <w:bookmarkStart w:id="14" w:name="_Toc21306"/>
      <w:bookmarkEnd w:id="14"/>
      <w:bookmarkStart w:id="15" w:name="_Toc12178"/>
      <w:bookmarkEnd w:id="15"/>
      <w:bookmarkStart w:id="16" w:name="_Toc16795"/>
      <w:bookmarkEnd w:id="16"/>
      <w:bookmarkStart w:id="17" w:name="_Toc1829_WPSOffice_Level2"/>
      <w:bookmarkEnd w:id="17"/>
      <w:bookmarkStart w:id="18" w:name="_Toc28142"/>
      <w:bookmarkEnd w:id="18"/>
      <w:bookmarkStart w:id="19" w:name="_Toc29945"/>
      <w:bookmarkEnd w:id="19"/>
      <w:bookmarkStart w:id="20" w:name="_Toc3192"/>
      <w:bookmarkEnd w:id="20"/>
      <w:bookmarkStart w:id="21" w:name="_Toc4772_WPSOffice_Level2"/>
      <w:bookmarkEnd w:id="21"/>
      <w:bookmarkStart w:id="22" w:name="_Toc11200"/>
      <w:bookmarkEnd w:id="22"/>
      <w:bookmarkStart w:id="23" w:name="_Toc19063"/>
      <w:r>
        <w:rPr>
          <w:rFonts w:cs="宋体"/>
          <w:color w:val="auto"/>
          <w:highlight w:val="none"/>
        </w:rPr>
        <w:br w:type="page"/>
      </w:r>
      <w:bookmarkEnd w:id="23"/>
    </w:p>
    <w:p>
      <w:pPr>
        <w:pStyle w:val="17"/>
        <w:widowControl/>
        <w:spacing w:before="240" w:after="240"/>
        <w:rPr>
          <w:rFonts w:hint="default" w:cs="宋体"/>
          <w:color w:val="auto"/>
          <w:highlight w:val="none"/>
        </w:rPr>
      </w:pPr>
      <w:bookmarkStart w:id="24" w:name="_Toc5281"/>
      <w:bookmarkEnd w:id="24"/>
      <w:bookmarkStart w:id="25" w:name="_Toc31228"/>
      <w:r>
        <w:rPr>
          <w:rFonts w:cs="宋体"/>
          <w:color w:val="auto"/>
          <w:highlight w:val="none"/>
        </w:rPr>
        <w:t>附录3  资格审查条件(业绩最低要求)</w:t>
      </w:r>
      <w:bookmarkEnd w:id="25"/>
    </w:p>
    <w:tbl>
      <w:tblPr>
        <w:tblStyle w:val="10"/>
        <w:tblW w:w="8680" w:type="dxa"/>
        <w:jc w:val="center"/>
        <w:tblLayout w:type="fixed"/>
        <w:tblCellMar>
          <w:top w:w="0" w:type="dxa"/>
          <w:left w:w="108" w:type="dxa"/>
          <w:bottom w:w="0" w:type="dxa"/>
          <w:right w:w="108" w:type="dxa"/>
        </w:tblCellMar>
      </w:tblPr>
      <w:tblGrid>
        <w:gridCol w:w="8680"/>
      </w:tblGrid>
      <w:tr>
        <w:tblPrEx>
          <w:tblCellMar>
            <w:top w:w="0" w:type="dxa"/>
            <w:left w:w="108" w:type="dxa"/>
            <w:bottom w:w="0" w:type="dxa"/>
            <w:right w:w="108" w:type="dxa"/>
          </w:tblCellMar>
        </w:tblPrEx>
        <w:trPr>
          <w:trHeight w:val="362" w:hRule="atLeast"/>
          <w:jc w:val="center"/>
        </w:trPr>
        <w:tc>
          <w:tcPr>
            <w:tcW w:w="8680" w:type="dxa"/>
            <w:tcBorders>
              <w:top w:val="single" w:color="auto" w:sz="12"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 绩 要 求</w:t>
            </w:r>
          </w:p>
        </w:tc>
      </w:tr>
      <w:tr>
        <w:tblPrEx>
          <w:tblCellMar>
            <w:top w:w="0" w:type="dxa"/>
            <w:left w:w="108" w:type="dxa"/>
            <w:bottom w:w="0" w:type="dxa"/>
            <w:right w:w="108" w:type="dxa"/>
          </w:tblCellMar>
        </w:tblPrEx>
        <w:trPr>
          <w:trHeight w:val="581" w:hRule="atLeast"/>
          <w:jc w:val="center"/>
        </w:trPr>
        <w:tc>
          <w:tcPr>
            <w:tcW w:w="8680" w:type="dxa"/>
            <w:tcBorders>
              <w:top w:val="single" w:color="auto" w:sz="6"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pStyle w:val="2"/>
              <w:keepNext w:val="0"/>
              <w:keepLines w:val="0"/>
              <w:pageBreakBefore w:val="0"/>
              <w:widowControl/>
              <w:kinsoku/>
              <w:wordWrap/>
              <w:overflowPunct/>
              <w:topLinePunct w:val="0"/>
              <w:autoSpaceDE/>
              <w:autoSpaceDN/>
              <w:bidi w:val="0"/>
              <w:adjustRightInd/>
              <w:snapToGrid/>
              <w:spacing w:beforeAutospacing="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投标人近三年（2020年1月1日至投标截止之日止，以合同签订时间为准），至少完成过1个单项合同金额不少于</w:t>
            </w:r>
            <w:r>
              <w:rPr>
                <w:rFonts w:hint="eastAsia" w:ascii="宋体" w:hAnsi="宋体" w:eastAsia="宋体" w:cs="宋体"/>
                <w:b/>
                <w:bCs/>
                <w:color w:val="auto"/>
                <w:szCs w:val="21"/>
                <w:highlight w:val="none"/>
                <w:lang w:val="en-US" w:eastAsia="zh-CN"/>
              </w:rPr>
              <w:t>200万</w:t>
            </w:r>
            <w:r>
              <w:rPr>
                <w:rFonts w:hint="eastAsia" w:ascii="宋体" w:hAnsi="宋体" w:eastAsia="宋体" w:cs="宋体"/>
                <w:color w:val="auto"/>
                <w:szCs w:val="21"/>
                <w:highlight w:val="none"/>
                <w:lang w:val="en-US" w:eastAsia="zh-CN"/>
              </w:rPr>
              <w:t>元的市政给水或绿化灌溉等类似工程业绩，</w:t>
            </w:r>
            <w:r>
              <w:rPr>
                <w:rFonts w:hint="eastAsia" w:ascii="宋体" w:hAnsi="宋体" w:eastAsia="宋体" w:cs="宋体"/>
                <w:color w:val="auto"/>
                <w:szCs w:val="21"/>
                <w:highlight w:val="none"/>
              </w:rPr>
              <w:t>并且该施工业绩是以投标人名义签署的合同业绩</w:t>
            </w:r>
            <w:r>
              <w:rPr>
                <w:rFonts w:hint="eastAsia" w:ascii="宋体" w:hAnsi="宋体" w:eastAsia="宋体" w:cs="宋体"/>
                <w:color w:val="auto"/>
                <w:szCs w:val="21"/>
                <w:highlight w:val="none"/>
                <w:lang w:eastAsia="zh-CN"/>
              </w:rPr>
              <w:t>。</w:t>
            </w:r>
          </w:p>
        </w:tc>
      </w:tr>
      <w:tr>
        <w:tblPrEx>
          <w:tblCellMar>
            <w:top w:w="0" w:type="dxa"/>
            <w:left w:w="108" w:type="dxa"/>
            <w:bottom w:w="0" w:type="dxa"/>
            <w:right w:w="108" w:type="dxa"/>
          </w:tblCellMar>
        </w:tblPrEx>
        <w:trPr>
          <w:trHeight w:val="581" w:hRule="atLeast"/>
          <w:jc w:val="center"/>
        </w:trPr>
        <w:tc>
          <w:tcPr>
            <w:tcW w:w="8680" w:type="dxa"/>
            <w:tcBorders>
              <w:top w:val="single" w:color="auto" w:sz="6" w:space="0"/>
              <w:left w:val="single" w:color="auto" w:sz="12" w:space="0"/>
              <w:bottom w:val="single" w:color="auto" w:sz="12" w:space="0"/>
              <w:right w:val="single" w:color="auto" w:sz="12" w:space="0"/>
            </w:tcBorders>
            <w:shd w:val="clear" w:color="auto" w:fill="auto"/>
            <w:tcMar>
              <w:top w:w="113" w:type="dxa"/>
              <w:left w:w="113" w:type="dxa"/>
              <w:bottom w:w="113" w:type="dxa"/>
              <w:right w:w="113" w:type="dxa"/>
            </w:tcMar>
            <w:vAlign w:val="center"/>
          </w:tcPr>
          <w:p>
            <w:pPr>
              <w:pStyle w:val="13"/>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w:t>
            </w:r>
            <w:r>
              <w:rPr>
                <w:rFonts w:hint="eastAsia" w:ascii="宋体" w:hAnsi="宋体" w:eastAsia="宋体" w:cs="宋体"/>
                <w:b/>
                <w:color w:val="auto"/>
                <w:w w:val="168"/>
                <w:highlight w:val="none"/>
              </w:rPr>
              <w:t xml:space="preserve"> </w:t>
            </w:r>
          </w:p>
          <w:p>
            <w:pPr>
              <w:pStyle w:val="13"/>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修改补充投标人须知正文第 3.5.3 项：</w:t>
            </w:r>
            <w:r>
              <w:rPr>
                <w:rFonts w:hint="eastAsia" w:ascii="宋体" w:hAnsi="宋体" w:eastAsia="宋体" w:cs="宋体"/>
                <w:b w:val="0"/>
                <w:bCs/>
                <w:color w:val="auto"/>
                <w:w w:val="168"/>
                <w:highlight w:val="none"/>
              </w:rPr>
              <w:t xml:space="preserve"> </w:t>
            </w:r>
          </w:p>
          <w:p>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val="0"/>
                <w:bCs/>
                <w:color w:val="auto"/>
                <w:kern w:val="2"/>
                <w:sz w:val="21"/>
                <w:szCs w:val="24"/>
                <w:highlight w:val="none"/>
                <w:lang w:val="zh-CN" w:eastAsia="zh-CN" w:bidi="zh-CN"/>
              </w:rPr>
            </w:pPr>
            <w:r>
              <w:rPr>
                <w:rFonts w:hint="eastAsia" w:ascii="宋体" w:hAnsi="宋体" w:eastAsia="宋体" w:cs="宋体"/>
                <w:b w:val="0"/>
                <w:bCs/>
                <w:color w:val="auto"/>
                <w:kern w:val="2"/>
                <w:sz w:val="21"/>
                <w:szCs w:val="24"/>
                <w:highlight w:val="none"/>
                <w:lang w:val="zh-CN" w:eastAsia="zh-CN" w:bidi="zh-CN"/>
              </w:rPr>
              <w:t>（</w:t>
            </w:r>
            <w:r>
              <w:rPr>
                <w:rFonts w:hint="eastAsia" w:ascii="宋体" w:hAnsi="宋体" w:eastAsia="宋体" w:cs="宋体"/>
                <w:b w:val="0"/>
                <w:bCs/>
                <w:color w:val="auto"/>
                <w:kern w:val="2"/>
                <w:sz w:val="21"/>
                <w:szCs w:val="24"/>
                <w:highlight w:val="none"/>
                <w:lang w:val="en-US" w:eastAsia="zh-CN" w:bidi="zh-CN"/>
              </w:rPr>
              <w:t>1</w:t>
            </w:r>
            <w:r>
              <w:rPr>
                <w:rFonts w:hint="eastAsia" w:ascii="宋体" w:hAnsi="宋体" w:eastAsia="宋体" w:cs="宋体"/>
                <w:b w:val="0"/>
                <w:bCs/>
                <w:color w:val="auto"/>
                <w:kern w:val="2"/>
                <w:sz w:val="21"/>
                <w:szCs w:val="24"/>
                <w:highlight w:val="none"/>
                <w:lang w:val="zh-CN" w:eastAsia="zh-CN" w:bidi="zh-CN"/>
              </w:rPr>
              <w:t>）投标人应在投标文件中附所填报施工业绩证明材料，即提供的每个业绩填写完“近年完成的类似项目情况表”后应同时附</w:t>
            </w:r>
            <w:r>
              <w:rPr>
                <w:rFonts w:hint="eastAsia" w:ascii="宋体" w:hAnsi="宋体" w:eastAsia="宋体" w:cs="宋体"/>
                <w:b/>
                <w:bCs w:val="0"/>
                <w:color w:val="auto"/>
                <w:kern w:val="2"/>
                <w:sz w:val="21"/>
                <w:szCs w:val="24"/>
                <w:highlight w:val="none"/>
                <w:lang w:val="zh-CN" w:eastAsia="zh-CN" w:bidi="zh-CN"/>
              </w:rPr>
              <w:t>中标通知书、合同协议书和交（竣）工验收证明材料（</w:t>
            </w:r>
            <w:r>
              <w:rPr>
                <w:rFonts w:hint="eastAsia" w:ascii="宋体" w:hAnsi="宋体" w:eastAsia="宋体" w:cs="宋体"/>
                <w:b/>
                <w:bCs w:val="0"/>
                <w:color w:val="auto"/>
                <w:kern w:val="2"/>
                <w:sz w:val="21"/>
                <w:szCs w:val="24"/>
                <w:highlight w:val="none"/>
                <w:lang w:val="en-US" w:eastAsia="zh-CN" w:bidi="zh-CN"/>
              </w:rPr>
              <w:t>三者缺一不可</w:t>
            </w:r>
            <w:r>
              <w:rPr>
                <w:rFonts w:hint="eastAsia" w:ascii="宋体" w:hAnsi="宋体" w:eastAsia="宋体" w:cs="宋体"/>
                <w:b/>
                <w:bCs w:val="0"/>
                <w:color w:val="auto"/>
                <w:kern w:val="2"/>
                <w:sz w:val="21"/>
                <w:szCs w:val="24"/>
                <w:highlight w:val="none"/>
                <w:lang w:val="zh-CN" w:eastAsia="zh-CN" w:bidi="zh-CN"/>
              </w:rPr>
              <w:t>）</w:t>
            </w:r>
            <w:r>
              <w:rPr>
                <w:rFonts w:hint="eastAsia" w:ascii="宋体" w:hAnsi="宋体" w:eastAsia="宋体" w:cs="宋体"/>
                <w:b w:val="0"/>
                <w:bCs/>
                <w:color w:val="auto"/>
                <w:kern w:val="2"/>
                <w:sz w:val="21"/>
                <w:szCs w:val="24"/>
                <w:highlight w:val="none"/>
                <w:lang w:val="zh-CN" w:eastAsia="zh-CN" w:bidi="zh-CN"/>
              </w:rPr>
              <w:t>。在投标文件正本中，所有相关证明材料均应采用彩色打印件。</w:t>
            </w:r>
          </w:p>
          <w:p>
            <w:pPr>
              <w:pStyle w:val="18"/>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val="0"/>
                <w:bCs/>
                <w:color w:val="auto"/>
                <w:kern w:val="2"/>
                <w:sz w:val="21"/>
                <w:szCs w:val="24"/>
                <w:highlight w:val="none"/>
                <w:lang w:val="zh-CN" w:eastAsia="zh-CN" w:bidi="zh-CN"/>
              </w:rPr>
            </w:pPr>
            <w:r>
              <w:rPr>
                <w:rFonts w:hint="eastAsia" w:ascii="宋体" w:hAnsi="宋体" w:eastAsia="宋体" w:cs="宋体"/>
                <w:b w:val="0"/>
                <w:bCs/>
                <w:color w:val="auto"/>
                <w:kern w:val="2"/>
                <w:sz w:val="21"/>
                <w:szCs w:val="24"/>
                <w:highlight w:val="none"/>
                <w:lang w:val="zh-CN" w:eastAsia="zh-CN" w:bidi="zh-CN"/>
              </w:rPr>
              <w:t>（</w:t>
            </w:r>
            <w:r>
              <w:rPr>
                <w:rFonts w:hint="eastAsia" w:ascii="宋体" w:hAnsi="宋体" w:eastAsia="宋体" w:cs="宋体"/>
                <w:b w:val="0"/>
                <w:bCs/>
                <w:color w:val="auto"/>
                <w:kern w:val="2"/>
                <w:sz w:val="21"/>
                <w:szCs w:val="24"/>
                <w:highlight w:val="none"/>
                <w:lang w:val="en-US" w:eastAsia="zh-CN" w:bidi="zh-CN"/>
              </w:rPr>
              <w:t>2</w:t>
            </w:r>
            <w:r>
              <w:rPr>
                <w:rFonts w:hint="eastAsia" w:ascii="宋体" w:hAnsi="宋体" w:eastAsia="宋体" w:cs="宋体"/>
                <w:b w:val="0"/>
                <w:bCs/>
                <w:color w:val="auto"/>
                <w:kern w:val="2"/>
                <w:sz w:val="21"/>
                <w:szCs w:val="24"/>
                <w:highlight w:val="none"/>
                <w:lang w:val="zh-CN" w:eastAsia="zh-CN" w:bidi="zh-CN"/>
              </w:rPr>
              <w:t>）提供的业绩时间不满足要求的或提供的业绩金额不满足要求的也视为不满足招标文件的业绩要求。这样的业绩在资格审查中将均不予认可。提供的业绩未同时附中标通知书、合同协议书和交（竣）工验收证明材料的，在资格审查中将不予认可。</w:t>
            </w:r>
          </w:p>
          <w:p>
            <w:pPr>
              <w:pStyle w:val="18"/>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val="0"/>
                <w:bCs/>
                <w:color w:val="auto"/>
                <w:kern w:val="2"/>
                <w:sz w:val="21"/>
                <w:szCs w:val="24"/>
                <w:highlight w:val="none"/>
                <w:lang w:val="zh-CN" w:eastAsia="zh-CN" w:bidi="zh-CN"/>
              </w:rPr>
            </w:pPr>
            <w:r>
              <w:rPr>
                <w:rFonts w:hint="eastAsia" w:ascii="宋体" w:hAnsi="宋体" w:eastAsia="宋体" w:cs="宋体"/>
                <w:b w:val="0"/>
                <w:bCs/>
                <w:color w:val="auto"/>
                <w:kern w:val="2"/>
                <w:sz w:val="21"/>
                <w:szCs w:val="24"/>
                <w:highlight w:val="none"/>
                <w:lang w:val="en-US" w:eastAsia="zh-CN" w:bidi="zh-CN"/>
              </w:rPr>
              <w:t>（3）</w:t>
            </w:r>
            <w:r>
              <w:rPr>
                <w:rFonts w:hint="eastAsia" w:ascii="宋体" w:hAnsi="宋体" w:eastAsia="宋体" w:cs="宋体"/>
                <w:b w:val="0"/>
                <w:bCs/>
                <w:color w:val="auto"/>
                <w:kern w:val="2"/>
                <w:sz w:val="21"/>
                <w:szCs w:val="24"/>
                <w:highlight w:val="none"/>
                <w:lang w:val="zh-CN" w:eastAsia="zh-CN" w:bidi="zh-CN"/>
              </w:rPr>
              <w:t>投标人提供的施工业绩应是以投标人名义签署的合同业绩。其母公司及下属专业单位签署合同的业绩在资格审查不予认可。</w:t>
            </w:r>
          </w:p>
          <w:p>
            <w:pPr>
              <w:pStyle w:val="18"/>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b w:val="0"/>
                <w:bCs/>
                <w:color w:val="auto"/>
                <w:kern w:val="2"/>
                <w:sz w:val="21"/>
                <w:szCs w:val="24"/>
                <w:highlight w:val="none"/>
                <w:lang w:val="zh-CN" w:eastAsia="zh-CN" w:bidi="zh-CN"/>
              </w:rPr>
            </w:pPr>
            <w:r>
              <w:rPr>
                <w:rFonts w:hint="eastAsia" w:ascii="宋体" w:hAnsi="宋体" w:eastAsia="宋体" w:cs="宋体"/>
                <w:b w:val="0"/>
                <w:bCs/>
                <w:color w:val="auto"/>
                <w:kern w:val="2"/>
                <w:sz w:val="21"/>
                <w:szCs w:val="24"/>
                <w:highlight w:val="none"/>
                <w:lang w:val="zh-CN" w:eastAsia="zh-CN" w:bidi="zh-CN"/>
              </w:rPr>
              <w:t>（</w:t>
            </w:r>
            <w:r>
              <w:rPr>
                <w:rFonts w:hint="eastAsia" w:ascii="宋体" w:hAnsi="宋体" w:eastAsia="宋体" w:cs="宋体"/>
                <w:b w:val="0"/>
                <w:bCs/>
                <w:color w:val="auto"/>
                <w:kern w:val="2"/>
                <w:sz w:val="21"/>
                <w:szCs w:val="24"/>
                <w:highlight w:val="none"/>
                <w:lang w:val="en-US" w:eastAsia="zh-CN" w:bidi="zh-CN"/>
              </w:rPr>
              <w:t>4</w:t>
            </w:r>
            <w:r>
              <w:rPr>
                <w:rFonts w:hint="eastAsia" w:ascii="宋体" w:hAnsi="宋体" w:eastAsia="宋体" w:cs="宋体"/>
                <w:b w:val="0"/>
                <w:bCs/>
                <w:color w:val="auto"/>
                <w:kern w:val="2"/>
                <w:sz w:val="21"/>
                <w:szCs w:val="24"/>
                <w:highlight w:val="none"/>
                <w:lang w:val="zh-CN" w:eastAsia="zh-CN" w:bidi="zh-CN"/>
              </w:rPr>
              <w:t xml:space="preserve">）投标人提供的施工业绩应是以投标人名义签署的合同业绩。其母公司及下属专业单位签署合同的业绩、分包业绩、联合体业绩在资格审查中均不予认可。 </w:t>
            </w:r>
          </w:p>
          <w:p>
            <w:pPr>
              <w:pStyle w:val="13"/>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b w:val="0"/>
                <w:bCs/>
                <w:color w:val="auto"/>
                <w:highlight w:val="none"/>
                <w:lang w:val="en-US"/>
              </w:rPr>
            </w:pPr>
            <w:r>
              <w:rPr>
                <w:rFonts w:hint="eastAsia" w:ascii="宋体" w:hAnsi="宋体" w:eastAsia="宋体" w:cs="宋体"/>
                <w:b w:val="0"/>
                <w:bCs/>
                <w:color w:val="auto"/>
                <w:highlight w:val="none"/>
                <w:lang w:val="en-US"/>
              </w:rPr>
              <w:t>（5）如近年来，投标人法人机构发生合法变更或重组或法人名称变更时，应提供相关部门的合法批件或其他相关证明材料来证明其所附业绩的继承性。</w:t>
            </w:r>
          </w:p>
          <w:p>
            <w:pPr>
              <w:pStyle w:val="13"/>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rPr>
              <w:t>6</w:t>
            </w:r>
            <w:r>
              <w:rPr>
                <w:rFonts w:hint="eastAsia" w:ascii="宋体" w:hAnsi="宋体" w:eastAsia="宋体" w:cs="宋体"/>
                <w:b w:val="0"/>
                <w:bCs/>
                <w:color w:val="auto"/>
                <w:highlight w:val="none"/>
              </w:rPr>
              <w:t xml:space="preserve">）投标人提供的业绩达不到附录 3 业绩最低要求的，其资格审查不予通过。  </w:t>
            </w:r>
          </w:p>
          <w:p>
            <w:pPr>
              <w:pStyle w:val="13"/>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b/>
                <w:bCs w:val="0"/>
                <w:color w:val="auto"/>
                <w:highlight w:val="none"/>
              </w:rPr>
              <w:t>（</w:t>
            </w:r>
            <w:r>
              <w:rPr>
                <w:rFonts w:hint="eastAsia" w:ascii="宋体" w:hAnsi="宋体" w:eastAsia="宋体" w:cs="宋体"/>
                <w:b/>
                <w:bCs w:val="0"/>
                <w:color w:val="auto"/>
                <w:highlight w:val="none"/>
                <w:lang w:val="en-US"/>
              </w:rPr>
              <w:t>7</w:t>
            </w:r>
            <w:r>
              <w:rPr>
                <w:rFonts w:hint="eastAsia" w:ascii="宋体" w:hAnsi="宋体" w:eastAsia="宋体" w:cs="宋体"/>
                <w:b/>
                <w:bCs w:val="0"/>
                <w:color w:val="auto"/>
                <w:highlight w:val="none"/>
              </w:rPr>
              <w:t xml:space="preserve">）招标文件中其他地方与此处不一致时，以此处为准。 </w:t>
            </w:r>
          </w:p>
        </w:tc>
      </w:tr>
    </w:tbl>
    <w:p>
      <w:pPr>
        <w:spacing w:before="120" w:after="120"/>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 xml:space="preserve"> </w:t>
      </w:r>
    </w:p>
    <w:p>
      <w:pPr>
        <w:pStyle w:val="2"/>
        <w:rPr>
          <w:rFonts w:hint="eastAsia" w:ascii="宋体" w:hAnsi="宋体" w:eastAsia="宋体" w:cs="宋体"/>
          <w:b/>
          <w:color w:val="auto"/>
          <w:kern w:val="44"/>
          <w:sz w:val="30"/>
          <w:szCs w:val="30"/>
          <w:highlight w:val="none"/>
        </w:rPr>
      </w:pPr>
    </w:p>
    <w:p>
      <w:pPr>
        <w:rPr>
          <w:rFonts w:hint="eastAsia" w:ascii="宋体" w:hAnsi="宋体" w:eastAsia="宋体" w:cs="宋体"/>
          <w:b/>
          <w:color w:val="auto"/>
          <w:kern w:val="44"/>
          <w:sz w:val="30"/>
          <w:szCs w:val="30"/>
          <w:highlight w:val="none"/>
        </w:rPr>
      </w:pPr>
    </w:p>
    <w:p>
      <w:pPr>
        <w:pStyle w:val="2"/>
        <w:rPr>
          <w:rFonts w:hint="eastAsia" w:ascii="宋体" w:hAnsi="宋体" w:eastAsia="宋体" w:cs="宋体"/>
          <w:b/>
          <w:color w:val="auto"/>
          <w:kern w:val="44"/>
          <w:sz w:val="30"/>
          <w:szCs w:val="30"/>
          <w:highlight w:val="none"/>
        </w:rPr>
      </w:pPr>
    </w:p>
    <w:p>
      <w:pPr>
        <w:rPr>
          <w:rFonts w:hint="eastAsia" w:ascii="宋体" w:hAnsi="宋体" w:eastAsia="宋体" w:cs="宋体"/>
          <w:b/>
          <w:color w:val="auto"/>
          <w:kern w:val="44"/>
          <w:sz w:val="30"/>
          <w:szCs w:val="30"/>
          <w:highlight w:val="none"/>
        </w:rPr>
      </w:pPr>
    </w:p>
    <w:p>
      <w:pPr>
        <w:pStyle w:val="2"/>
        <w:rPr>
          <w:rFonts w:hint="eastAsia" w:ascii="宋体" w:hAnsi="宋体" w:eastAsia="宋体" w:cs="宋体"/>
          <w:b/>
          <w:color w:val="auto"/>
          <w:kern w:val="44"/>
          <w:sz w:val="30"/>
          <w:szCs w:val="30"/>
          <w:highlight w:val="none"/>
        </w:rPr>
      </w:pPr>
    </w:p>
    <w:p>
      <w:pPr>
        <w:rPr>
          <w:rFonts w:hint="eastAsia" w:ascii="宋体" w:hAnsi="宋体" w:eastAsia="宋体" w:cs="宋体"/>
          <w:b/>
          <w:color w:val="auto"/>
          <w:kern w:val="44"/>
          <w:sz w:val="30"/>
          <w:szCs w:val="30"/>
          <w:highlight w:val="none"/>
        </w:rPr>
      </w:pPr>
    </w:p>
    <w:p>
      <w:pPr>
        <w:pStyle w:val="2"/>
        <w:rPr>
          <w:rFonts w:hint="eastAsia"/>
          <w:color w:val="auto"/>
          <w:highlight w:val="none"/>
        </w:rPr>
      </w:pPr>
    </w:p>
    <w:p>
      <w:pPr>
        <w:pStyle w:val="2"/>
        <w:rPr>
          <w:rFonts w:hint="eastAsia" w:ascii="宋体" w:hAnsi="宋体" w:eastAsia="宋体" w:cs="宋体"/>
          <w:b/>
          <w:color w:val="auto"/>
          <w:kern w:val="44"/>
          <w:sz w:val="30"/>
          <w:szCs w:val="30"/>
          <w:highlight w:val="none"/>
        </w:rPr>
      </w:pPr>
    </w:p>
    <w:p>
      <w:pPr>
        <w:rPr>
          <w:color w:val="auto"/>
          <w:highlight w:val="none"/>
        </w:rPr>
      </w:pPr>
    </w:p>
    <w:p>
      <w:pPr>
        <w:pStyle w:val="17"/>
        <w:widowControl/>
        <w:spacing w:before="240" w:after="240"/>
        <w:ind w:firstLine="1928" w:firstLineChars="600"/>
        <w:jc w:val="both"/>
        <w:rPr>
          <w:rFonts w:hint="default" w:cs="宋体"/>
          <w:color w:val="auto"/>
          <w:highlight w:val="none"/>
        </w:rPr>
      </w:pPr>
      <w:bookmarkStart w:id="26" w:name="_Toc4032"/>
      <w:bookmarkEnd w:id="26"/>
      <w:bookmarkStart w:id="27" w:name="_Toc31726_WPSOffice_Level2"/>
      <w:bookmarkEnd w:id="27"/>
      <w:bookmarkStart w:id="28" w:name="_Toc1523"/>
      <w:bookmarkEnd w:id="28"/>
      <w:bookmarkStart w:id="29" w:name="_Toc25525_WPSOffice_Level2"/>
      <w:bookmarkEnd w:id="29"/>
      <w:bookmarkStart w:id="30" w:name="_Toc7748"/>
      <w:bookmarkEnd w:id="30"/>
      <w:bookmarkStart w:id="31" w:name="_Toc27950"/>
      <w:bookmarkEnd w:id="31"/>
      <w:bookmarkStart w:id="32" w:name="_Toc13977"/>
      <w:bookmarkEnd w:id="32"/>
      <w:bookmarkStart w:id="33" w:name="_Toc22736"/>
      <w:bookmarkEnd w:id="33"/>
      <w:bookmarkStart w:id="34" w:name="_Toc29891"/>
      <w:bookmarkEnd w:id="34"/>
      <w:bookmarkStart w:id="35" w:name="_Toc31292"/>
      <w:bookmarkEnd w:id="35"/>
      <w:bookmarkStart w:id="36" w:name="_Toc5394"/>
      <w:bookmarkEnd w:id="36"/>
      <w:bookmarkStart w:id="37" w:name="_Toc3800"/>
      <w:r>
        <w:rPr>
          <w:rFonts w:cs="宋体"/>
          <w:color w:val="auto"/>
          <w:highlight w:val="none"/>
        </w:rPr>
        <w:t>附录4  资格审查条件(信誉最低要求)</w:t>
      </w:r>
      <w:bookmarkEnd w:id="37"/>
    </w:p>
    <w:tbl>
      <w:tblPr>
        <w:tblStyle w:val="10"/>
        <w:tblW w:w="8680" w:type="dxa"/>
        <w:jc w:val="center"/>
        <w:tblLayout w:type="fixed"/>
        <w:tblCellMar>
          <w:top w:w="0" w:type="dxa"/>
          <w:left w:w="108" w:type="dxa"/>
          <w:bottom w:w="0" w:type="dxa"/>
          <w:right w:w="108" w:type="dxa"/>
        </w:tblCellMar>
      </w:tblPr>
      <w:tblGrid>
        <w:gridCol w:w="8680"/>
      </w:tblGrid>
      <w:tr>
        <w:trPr>
          <w:trHeight w:val="313" w:hRule="atLeast"/>
          <w:jc w:val="center"/>
        </w:trPr>
        <w:tc>
          <w:tcPr>
            <w:tcW w:w="8680" w:type="dxa"/>
            <w:tcBorders>
              <w:top w:val="single" w:color="auto" w:sz="12"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 誉 要 求</w:t>
            </w:r>
          </w:p>
        </w:tc>
      </w:tr>
      <w:tr>
        <w:tblPrEx>
          <w:tblCellMar>
            <w:top w:w="0" w:type="dxa"/>
            <w:left w:w="108" w:type="dxa"/>
            <w:bottom w:w="0" w:type="dxa"/>
            <w:right w:w="108" w:type="dxa"/>
          </w:tblCellMar>
        </w:tblPrEx>
        <w:trPr>
          <w:trHeight w:val="90" w:hRule="atLeast"/>
          <w:jc w:val="center"/>
        </w:trPr>
        <w:tc>
          <w:tcPr>
            <w:tcW w:w="8680" w:type="dxa"/>
            <w:tcBorders>
              <w:top w:val="single" w:color="auto" w:sz="6" w:space="0"/>
              <w:left w:val="single" w:color="auto" w:sz="12" w:space="0"/>
              <w:bottom w:val="single" w:color="auto" w:sz="6" w:space="0"/>
              <w:right w:val="single" w:color="auto" w:sz="12" w:space="0"/>
            </w:tcBorders>
            <w:shd w:val="clear" w:color="auto" w:fill="auto"/>
            <w:tcMar>
              <w:top w:w="113" w:type="dxa"/>
              <w:left w:w="113" w:type="dxa"/>
              <w:bottom w:w="113" w:type="dxa"/>
              <w:right w:w="113" w:type="dxa"/>
            </w:tcMar>
            <w:vAlign w:val="center"/>
          </w:tcPr>
          <w:p>
            <w:pPr>
              <w:keepNext w:val="0"/>
              <w:keepLines w:val="0"/>
              <w:pageBreakBefore w:val="0"/>
              <w:widowControl w:val="0"/>
              <w:numPr>
                <w:ilvl w:val="0"/>
                <w:numId w:val="1"/>
              </w:numPr>
              <w:kinsoku/>
              <w:wordWrap/>
              <w:overflowPunct/>
              <w:topLinePunct w:val="0"/>
              <w:autoSpaceDE w:val="0"/>
              <w:autoSpaceDN/>
              <w:bidi w:val="0"/>
              <w:adjustRightInd/>
              <w:snapToGrid/>
              <w:spacing w:line="360" w:lineRule="auto"/>
              <w:ind w:firstLine="440" w:firstLineChars="200"/>
              <w:textAlignment w:val="auto"/>
              <w:outlineLvl w:val="9"/>
              <w:rPr>
                <w:rFonts w:hint="eastAsia" w:ascii="宋体" w:hAnsi="宋体" w:eastAsia="宋体" w:cs="宋体"/>
                <w:b/>
                <w:bCs/>
                <w:color w:val="auto"/>
                <w:sz w:val="21"/>
                <w:szCs w:val="21"/>
                <w:highlight w:val="none"/>
                <w:lang w:val="zh-CN" w:eastAsia="zh-CN"/>
              </w:rPr>
            </w:pPr>
            <w:r>
              <w:rPr>
                <w:rFonts w:hint="eastAsia" w:ascii="宋体" w:hAnsi="宋体" w:eastAsia="宋体" w:cs="宋体"/>
                <w:color w:val="auto"/>
                <w:szCs w:val="21"/>
                <w:highlight w:val="none"/>
              </w:rPr>
              <w:t>未被省级及以上交通运输主管部门取消招标项目所在地的投标资格且处于有效期内</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color w:val="auto"/>
                <w:szCs w:val="21"/>
                <w:highlight w:val="none"/>
              </w:rPr>
              <w:t>以“ 全国公路建设市场信用信息管理系统、宁夏公路建设市场信用信息管理系统”中查询结果为准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附网站查询截图</w:t>
            </w:r>
            <w:r>
              <w:rPr>
                <w:rFonts w:hint="eastAsia" w:ascii="宋体" w:hAnsi="宋体" w:eastAsia="宋体" w:cs="宋体"/>
                <w:b/>
                <w:bCs/>
                <w:color w:val="auto"/>
                <w:sz w:val="21"/>
                <w:szCs w:val="21"/>
                <w:highlight w:val="none"/>
                <w:lang w:val="zh-CN" w:eastAsia="zh-CN"/>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未被责令停业，暂扣或吊销执照，或吊销资质证书；</w:t>
            </w:r>
          </w:p>
          <w:p>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（3）未进入清算程序，或被宣告破产，或其他丧失履约能力的情形；</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（4）在国家企业信用信息公示系统（http://www.gsxt.gov.cn/）中未被列入严重违法失信企业名单；</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附网站查询截图</w:t>
            </w:r>
            <w:r>
              <w:rPr>
                <w:rFonts w:hint="eastAsia" w:ascii="宋体" w:hAnsi="宋体" w:eastAsia="宋体" w:cs="宋体"/>
                <w:color w:val="auto"/>
                <w:sz w:val="21"/>
                <w:szCs w:val="21"/>
                <w:highlight w:val="none"/>
                <w:lang w:val="zh-CN"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（5）在“信用中国”网站（http://www.creditchina.gov.cn）中未被列入失信被执行人、企业经营异常名录；在“信用宁夏”网站（http://credit.nx.gov.cn/）中未被列入失信惩戒名单、未有拖欠农民工工资行政处罚记录；</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附网站查询截图</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）未存在以他人名义投标、串通投标的情形且未处于处罚期内；</w:t>
            </w:r>
          </w:p>
          <w:p>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）投标人或其法定代表人、拟委任的项目经理、项目总工自20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年1月1日以来没有行贿犯罪行为；</w:t>
            </w:r>
            <w:r>
              <w:rPr>
                <w:rFonts w:hint="eastAsia" w:ascii="宋体" w:hAnsi="宋体" w:cs="宋体"/>
                <w:color w:val="auto"/>
                <w:szCs w:val="21"/>
                <w:highlight w:val="none"/>
              </w:rPr>
              <w:t>（提供承诺函）</w:t>
            </w:r>
          </w:p>
          <w:p>
            <w:pPr>
              <w:keepNext w:val="0"/>
              <w:keepLines w:val="0"/>
              <w:pageBreakBefore w:val="0"/>
              <w:widowControl w:val="0"/>
              <w:kinsoku/>
              <w:wordWrap/>
              <w:overflowPunct/>
              <w:topLinePunct w:val="0"/>
              <w:autoSpaceDE w:val="0"/>
              <w:autoSpaceDN/>
              <w:bidi w:val="0"/>
              <w:adjustRightInd/>
              <w:snapToGrid/>
              <w:spacing w:line="360" w:lineRule="auto"/>
              <w:ind w:left="440" w:leftChars="200"/>
              <w:jc w:val="left"/>
              <w:textAlignment w:val="auto"/>
              <w:rPr>
                <w:rFonts w:ascii="宋体" w:hAnsi="宋体" w:eastAsia="宋体" w:cs="宋体"/>
                <w:color w:val="auto"/>
                <w:szCs w:val="21"/>
                <w:highlight w:val="none"/>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）法律法规或投标人须知前附表规定的其他情形。</w:t>
            </w:r>
          </w:p>
        </w:tc>
      </w:tr>
      <w:tr>
        <w:tblPrEx>
          <w:tblCellMar>
            <w:top w:w="0" w:type="dxa"/>
            <w:left w:w="108" w:type="dxa"/>
            <w:bottom w:w="0" w:type="dxa"/>
            <w:right w:w="108" w:type="dxa"/>
          </w:tblCellMar>
        </w:tblPrEx>
        <w:trPr>
          <w:trHeight w:val="90" w:hRule="atLeast"/>
          <w:jc w:val="center"/>
        </w:trPr>
        <w:tc>
          <w:tcPr>
            <w:tcW w:w="8680" w:type="dxa"/>
            <w:tcBorders>
              <w:top w:val="single" w:color="auto" w:sz="6" w:space="0"/>
              <w:left w:val="single" w:color="auto" w:sz="12" w:space="0"/>
              <w:bottom w:val="single" w:color="auto" w:sz="12" w:space="0"/>
              <w:right w:val="single" w:color="auto" w:sz="12" w:space="0"/>
            </w:tcBorders>
            <w:shd w:val="clear" w:color="auto" w:fill="auto"/>
            <w:tcMar>
              <w:top w:w="113" w:type="dxa"/>
              <w:left w:w="113" w:type="dxa"/>
              <w:bottom w:w="113" w:type="dxa"/>
              <w:right w:w="113" w:type="dxa"/>
            </w:tcMar>
            <w:vAlign w:val="center"/>
          </w:tcPr>
          <w:p>
            <w:pPr>
              <w:keepNext w:val="0"/>
              <w:keepLines w:val="0"/>
              <w:pageBreakBefore w:val="0"/>
              <w:widowControl w:val="0"/>
              <w:kinsoku/>
              <w:wordWrap/>
              <w:overflowPunct/>
              <w:topLinePunct w:val="0"/>
              <w:autoSpaceDE w:val="0"/>
              <w:autoSpaceDN/>
              <w:bidi w:val="0"/>
              <w:adjustRightInd/>
              <w:snapToGrid/>
              <w:spacing w:line="360" w:lineRule="auto"/>
              <w:ind w:left="880" w:leftChars="200" w:hanging="440" w:hangingChars="200"/>
              <w:jc w:val="left"/>
              <w:textAlignment w:val="auto"/>
              <w:rPr>
                <w:rFonts w:ascii="宋体" w:hAnsi="宋体" w:eastAsia="宋体" w:cs="宋体"/>
                <w:color w:val="auto"/>
                <w:szCs w:val="21"/>
                <w:highlight w:val="none"/>
              </w:rPr>
            </w:pPr>
            <w:r>
              <w:rPr>
                <w:rFonts w:hint="eastAsia" w:ascii="宋体" w:hAnsi="宋体" w:eastAsia="宋体"/>
                <w:color w:val="auto"/>
                <w:highlight w:val="none"/>
              </w:rPr>
              <w:t>注：1</w:t>
            </w:r>
            <w:r>
              <w:rPr>
                <w:rFonts w:hint="eastAsia" w:ascii="宋体" w:hAnsi="宋体" w:eastAsia="宋体"/>
                <w:color w:val="auto"/>
                <w:spacing w:val="-3"/>
                <w:highlight w:val="none"/>
              </w:rPr>
              <w:t>.投标人提供“投标人信誉情况表”时，按照以上内容及投标文件要求提供证明资料。</w:t>
            </w:r>
            <w:r>
              <w:rPr>
                <w:rFonts w:hint="eastAsia" w:ascii="宋体" w:hAnsi="宋体" w:eastAsia="宋体"/>
                <w:color w:val="auto"/>
                <w:highlight w:val="none"/>
              </w:rPr>
              <w:t>2.</w:t>
            </w:r>
            <w:r>
              <w:rPr>
                <w:rFonts w:hint="eastAsia" w:ascii="宋体" w:hAnsi="宋体" w:eastAsia="宋体"/>
                <w:color w:val="auto"/>
                <w:spacing w:val="-3"/>
                <w:highlight w:val="none"/>
              </w:rPr>
              <w:t>招标文件中其他地方与此处不一致时，以此处为准。</w:t>
            </w:r>
            <w:r>
              <w:rPr>
                <w:rFonts w:hint="eastAsia" w:ascii="宋体" w:hAnsi="宋体" w:eastAsia="宋体"/>
                <w:color w:val="auto"/>
                <w:highlight w:val="none"/>
              </w:rPr>
              <w:t xml:space="preserve"> </w:t>
            </w:r>
          </w:p>
        </w:tc>
      </w:tr>
    </w:tbl>
    <w:p>
      <w:pPr>
        <w:spacing w:before="120" w:after="120"/>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 xml:space="preserve"> </w:t>
      </w:r>
    </w:p>
    <w:p>
      <w:pPr>
        <w:spacing w:before="120" w:after="120"/>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br w:type="page"/>
      </w:r>
    </w:p>
    <w:p>
      <w:pPr>
        <w:pStyle w:val="17"/>
        <w:autoSpaceDE w:val="0"/>
        <w:spacing w:beforeLines="0" w:afterLines="0"/>
        <w:rPr>
          <w:rFonts w:hint="default" w:cs="宋体"/>
          <w:color w:val="auto"/>
          <w:highlight w:val="none"/>
        </w:rPr>
      </w:pPr>
      <w:bookmarkStart w:id="38" w:name="_Toc1095"/>
      <w:bookmarkEnd w:id="38"/>
      <w:bookmarkStart w:id="39" w:name="_Toc16472"/>
      <w:bookmarkEnd w:id="39"/>
      <w:bookmarkStart w:id="40" w:name="_Toc20951"/>
      <w:bookmarkEnd w:id="40"/>
      <w:bookmarkStart w:id="41" w:name="_Toc730"/>
      <w:bookmarkEnd w:id="41"/>
      <w:bookmarkStart w:id="42" w:name="_Toc13179_WPSOffice_Level2"/>
      <w:bookmarkEnd w:id="42"/>
      <w:bookmarkStart w:id="43" w:name="_Toc11970"/>
      <w:bookmarkEnd w:id="43"/>
      <w:bookmarkStart w:id="44" w:name="_Toc29060"/>
      <w:bookmarkEnd w:id="44"/>
      <w:bookmarkStart w:id="45" w:name="_Toc32623"/>
      <w:bookmarkEnd w:id="45"/>
      <w:bookmarkStart w:id="46" w:name="_Toc24603"/>
      <w:bookmarkEnd w:id="46"/>
      <w:bookmarkStart w:id="47" w:name="_Toc121"/>
      <w:bookmarkEnd w:id="47"/>
      <w:bookmarkStart w:id="48" w:name="_Toc26892"/>
      <w:bookmarkEnd w:id="48"/>
      <w:bookmarkStart w:id="49" w:name="_Toc8508"/>
      <w:bookmarkStart w:id="50" w:name="_Toc9516_WPSOffice_Level2"/>
      <w:r>
        <w:rPr>
          <w:rFonts w:cs="宋体"/>
          <w:color w:val="auto"/>
          <w:highlight w:val="none"/>
        </w:rPr>
        <w:t>附录5  资格审查条件</w:t>
      </w:r>
      <w:bookmarkEnd w:id="49"/>
      <w:bookmarkEnd w:id="50"/>
    </w:p>
    <w:p>
      <w:pPr>
        <w:pStyle w:val="17"/>
        <w:autoSpaceDE w:val="0"/>
        <w:spacing w:beforeLines="0" w:afterLines="0"/>
        <w:rPr>
          <w:rFonts w:hint="default" w:cs="宋体"/>
          <w:color w:val="auto"/>
          <w:highlight w:val="none"/>
        </w:rPr>
      </w:pPr>
      <w:bookmarkStart w:id="51" w:name="_Toc5513"/>
      <w:bookmarkEnd w:id="51"/>
      <w:bookmarkStart w:id="52" w:name="_Toc19668"/>
      <w:r>
        <w:rPr>
          <w:rFonts w:cs="宋体"/>
          <w:color w:val="auto"/>
          <w:highlight w:val="none"/>
        </w:rPr>
        <w:t>(项目经理和项目总工最低要求)</w:t>
      </w:r>
      <w:bookmarkEnd w:id="52"/>
    </w:p>
    <w:tbl>
      <w:tblPr>
        <w:tblStyle w:val="10"/>
        <w:tblpPr w:leftFromText="180" w:rightFromText="180" w:vertAnchor="text" w:horzAnchor="page" w:tblpX="1816" w:tblpY="648"/>
        <w:tblOverlap w:val="never"/>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8"/>
        <w:gridCol w:w="748"/>
        <w:gridCol w:w="4650"/>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1118" w:type="dxa"/>
          </w:tcPr>
          <w:p>
            <w:pPr>
              <w:pStyle w:val="13"/>
              <w:spacing w:before="99"/>
              <w:ind w:left="171" w:right="42"/>
              <w:jc w:val="center"/>
              <w:rPr>
                <w:rFonts w:ascii="微软雅黑" w:eastAsia="微软雅黑"/>
                <w:b/>
                <w:color w:val="auto"/>
                <w:highlight w:val="none"/>
              </w:rPr>
            </w:pPr>
            <w:bookmarkStart w:id="53" w:name="_Toc353092751"/>
            <w:r>
              <w:rPr>
                <w:rFonts w:hint="eastAsia" w:ascii="微软雅黑" w:eastAsia="微软雅黑"/>
                <w:b/>
                <w:color w:val="auto"/>
                <w:highlight w:val="none"/>
              </w:rPr>
              <w:t>人员</w:t>
            </w:r>
            <w:r>
              <w:rPr>
                <w:rFonts w:hint="eastAsia" w:ascii="微软雅黑" w:eastAsia="微软雅黑"/>
                <w:b/>
                <w:color w:val="auto"/>
                <w:w w:val="168"/>
                <w:highlight w:val="none"/>
              </w:rPr>
              <w:t xml:space="preserve"> </w:t>
            </w:r>
          </w:p>
        </w:tc>
        <w:tc>
          <w:tcPr>
            <w:tcW w:w="748" w:type="dxa"/>
          </w:tcPr>
          <w:p>
            <w:pPr>
              <w:pStyle w:val="13"/>
              <w:spacing w:before="99"/>
              <w:ind w:left="292" w:right="157"/>
              <w:jc w:val="center"/>
              <w:rPr>
                <w:rFonts w:ascii="微软雅黑" w:eastAsia="微软雅黑"/>
                <w:b/>
                <w:color w:val="auto"/>
                <w:highlight w:val="none"/>
              </w:rPr>
            </w:pPr>
            <w:r>
              <w:rPr>
                <w:rFonts w:hint="eastAsia" w:ascii="微软雅黑" w:eastAsia="微软雅黑"/>
                <w:b/>
                <w:color w:val="auto"/>
                <w:highlight w:val="none"/>
              </w:rPr>
              <w:t>数量</w:t>
            </w:r>
            <w:r>
              <w:rPr>
                <w:rFonts w:hint="eastAsia" w:ascii="微软雅黑" w:eastAsia="微软雅黑"/>
                <w:b/>
                <w:color w:val="auto"/>
                <w:w w:val="168"/>
                <w:highlight w:val="none"/>
              </w:rPr>
              <w:t xml:space="preserve"> </w:t>
            </w:r>
          </w:p>
        </w:tc>
        <w:tc>
          <w:tcPr>
            <w:tcW w:w="4650" w:type="dxa"/>
          </w:tcPr>
          <w:p>
            <w:pPr>
              <w:pStyle w:val="13"/>
              <w:spacing w:before="99"/>
              <w:ind w:left="2157" w:right="2022"/>
              <w:jc w:val="center"/>
              <w:rPr>
                <w:rFonts w:ascii="微软雅黑" w:eastAsia="微软雅黑"/>
                <w:b/>
                <w:color w:val="auto"/>
                <w:highlight w:val="none"/>
              </w:rPr>
            </w:pPr>
            <w:r>
              <w:rPr>
                <w:rFonts w:hint="eastAsia" w:ascii="微软雅黑" w:eastAsia="微软雅黑"/>
                <w:b/>
                <w:color w:val="auto"/>
                <w:highlight w:val="none"/>
              </w:rPr>
              <w:t>资格要求</w:t>
            </w:r>
            <w:r>
              <w:rPr>
                <w:rFonts w:hint="eastAsia" w:ascii="微软雅黑" w:eastAsia="微软雅黑"/>
                <w:b/>
                <w:color w:val="auto"/>
                <w:w w:val="168"/>
                <w:highlight w:val="none"/>
              </w:rPr>
              <w:t xml:space="preserve"> </w:t>
            </w:r>
          </w:p>
        </w:tc>
        <w:tc>
          <w:tcPr>
            <w:tcW w:w="2707" w:type="dxa"/>
          </w:tcPr>
          <w:p>
            <w:pPr>
              <w:pStyle w:val="13"/>
              <w:spacing w:before="99"/>
              <w:ind w:left="638"/>
              <w:rPr>
                <w:rFonts w:ascii="微软雅黑" w:eastAsia="微软雅黑"/>
                <w:b/>
                <w:color w:val="auto"/>
                <w:highlight w:val="none"/>
              </w:rPr>
            </w:pPr>
            <w:r>
              <w:rPr>
                <w:rFonts w:hint="eastAsia" w:ascii="微软雅黑" w:eastAsia="微软雅黑"/>
                <w:b/>
                <w:color w:val="auto"/>
                <w:highlight w:val="none"/>
              </w:rPr>
              <w:t>在岗要求</w:t>
            </w:r>
            <w:r>
              <w:rPr>
                <w:rFonts w:hint="eastAsia" w:ascii="微软雅黑" w:eastAsia="微软雅黑"/>
                <w:b/>
                <w:color w:val="auto"/>
                <w:w w:val="16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6" w:hRule="atLeast"/>
        </w:trPr>
        <w:tc>
          <w:tcPr>
            <w:tcW w:w="111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b/>
                <w:color w:val="auto"/>
                <w:sz w:val="20"/>
                <w:highlight w:val="none"/>
              </w:rPr>
            </w:pPr>
          </w:p>
          <w:p>
            <w:pPr>
              <w:pStyle w:val="13"/>
              <w:keepNext w:val="0"/>
              <w:keepLines w:val="0"/>
              <w:pageBreakBefore w:val="0"/>
              <w:widowControl w:val="0"/>
              <w:kinsoku/>
              <w:wordWrap/>
              <w:overflowPunct/>
              <w:topLinePunct w:val="0"/>
              <w:autoSpaceDE/>
              <w:autoSpaceDN/>
              <w:bidi w:val="0"/>
              <w:adjustRightInd/>
              <w:snapToGrid/>
              <w:spacing w:before="3" w:line="360" w:lineRule="auto"/>
              <w:jc w:val="center"/>
              <w:textAlignment w:val="auto"/>
              <w:rPr>
                <w:rFonts w:ascii="微软雅黑"/>
                <w:b/>
                <w:color w:val="auto"/>
                <w:sz w:val="23"/>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left="171" w:right="44"/>
              <w:jc w:val="center"/>
              <w:textAlignment w:val="auto"/>
              <w:rPr>
                <w:rFonts w:ascii="微软雅黑" w:eastAsia="微软雅黑"/>
                <w:b/>
                <w:color w:val="auto"/>
                <w:highlight w:val="none"/>
              </w:rPr>
            </w:pPr>
            <w:r>
              <w:rPr>
                <w:rFonts w:hint="eastAsia" w:ascii="微软雅黑" w:eastAsia="微软雅黑"/>
                <w:b/>
                <w:color w:val="auto"/>
                <w:highlight w:val="none"/>
              </w:rPr>
              <w:t>项目经理</w:t>
            </w:r>
          </w:p>
        </w:tc>
        <w:tc>
          <w:tcPr>
            <w:tcW w:w="748"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b/>
                <w:color w:val="auto"/>
                <w:sz w:val="20"/>
                <w:highlight w:val="none"/>
              </w:rPr>
            </w:pPr>
          </w:p>
          <w:p>
            <w:pPr>
              <w:pStyle w:val="13"/>
              <w:keepNext w:val="0"/>
              <w:keepLines w:val="0"/>
              <w:pageBreakBefore w:val="0"/>
              <w:widowControl w:val="0"/>
              <w:kinsoku/>
              <w:wordWrap/>
              <w:overflowPunct/>
              <w:topLinePunct w:val="0"/>
              <w:autoSpaceDE/>
              <w:autoSpaceDN/>
              <w:bidi w:val="0"/>
              <w:adjustRightInd/>
              <w:snapToGrid/>
              <w:spacing w:before="15" w:line="360" w:lineRule="auto"/>
              <w:jc w:val="center"/>
              <w:textAlignment w:val="auto"/>
              <w:rPr>
                <w:rFonts w:ascii="微软雅黑"/>
                <w:b/>
                <w:color w:val="auto"/>
                <w:sz w:val="26"/>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left="289" w:right="157"/>
              <w:jc w:val="center"/>
              <w:textAlignment w:val="auto"/>
              <w:rPr>
                <w:rFonts w:ascii="宋体"/>
                <w:color w:val="auto"/>
                <w:highlight w:val="none"/>
              </w:rPr>
            </w:pPr>
            <w:r>
              <w:rPr>
                <w:rFonts w:ascii="宋体"/>
                <w:color w:val="auto"/>
                <w:highlight w:val="none"/>
              </w:rPr>
              <w:t>1</w:t>
            </w:r>
          </w:p>
        </w:tc>
        <w:tc>
          <w:tcPr>
            <w:tcW w:w="4650" w:type="dxa"/>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57"/>
              <w:jc w:val="left"/>
              <w:textAlignment w:val="auto"/>
              <w:rPr>
                <w:rFonts w:ascii="宋体" w:eastAsia="宋体"/>
                <w:color w:val="auto"/>
                <w:highlight w:val="none"/>
              </w:rPr>
            </w:pPr>
            <w:r>
              <w:rPr>
                <w:rFonts w:hint="eastAsia" w:ascii="宋体" w:hAnsi="宋体" w:eastAsia="宋体" w:cs="宋体"/>
                <w:color w:val="auto"/>
                <w:szCs w:val="21"/>
                <w:highlight w:val="none"/>
                <w:lang w:val="en-US" w:eastAsia="zh-CN"/>
              </w:rPr>
              <w:t>为投标人在职员工，由投标人依法为其缴纳社会保险，社保缴费单位与注册单位必须一致。持有建设行政主管部门颁发的二级及以上建造师注册证书（市政公用工程专业），具有市政工程相关专业中级或以上技术职称，并持有建设行政主管部门颁发的B类安全生产考核合格证。至少担任过1个市政工程的项目经理（项目负责人）职务。</w:t>
            </w:r>
          </w:p>
        </w:tc>
        <w:tc>
          <w:tcPr>
            <w:tcW w:w="2707"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olor w:val="auto"/>
                <w:highlight w:val="none"/>
                <w:lang w:eastAsia="zh-CN"/>
              </w:rPr>
            </w:pPr>
            <w:r>
              <w:rPr>
                <w:rFonts w:hint="eastAsia" w:ascii="宋体" w:hAnsi="宋体" w:eastAsia="宋体" w:cs="宋体"/>
                <w:color w:val="auto"/>
                <w:szCs w:val="21"/>
                <w:highlight w:val="none"/>
                <w:lang w:val="en-US"/>
              </w:rPr>
              <w:t>无在岗项目（指目前未在其他项目上任职，或虽在其他项目上任职但本项目中标后能从该项目撤离）指目前未在其他项目上任职，或虽在</w:t>
            </w:r>
            <w:r>
              <w:rPr>
                <w:rFonts w:hint="eastAsia" w:ascii="宋体" w:hAnsi="宋体" w:eastAsia="宋体" w:cs="宋体"/>
                <w:color w:val="auto"/>
                <w:kern w:val="44"/>
                <w:szCs w:val="21"/>
                <w:highlight w:val="none"/>
                <w:lang w:val="en-US"/>
              </w:rPr>
              <w:t>其它项目上中标，且中标项目的合同工期与本次招标项目的工期重叠，但本项目中标后能够从该项目撤离，或已经</w:t>
            </w:r>
            <w:r>
              <w:rPr>
                <w:rFonts w:hint="eastAsia" w:ascii="宋体" w:hAnsi="宋体" w:eastAsia="宋体" w:cs="宋体"/>
                <w:color w:val="auto"/>
                <w:szCs w:val="21"/>
                <w:highlight w:val="none"/>
                <w:lang w:val="en-US"/>
              </w:rPr>
              <w:t>在其他项目上任职但本项目中标后能够从该项目撤离</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1" w:hRule="atLeast"/>
        </w:trPr>
        <w:tc>
          <w:tcPr>
            <w:tcW w:w="1118" w:type="dxa"/>
          </w:tcPr>
          <w:p>
            <w:pPr>
              <w:pStyle w:val="13"/>
              <w:keepNext w:val="0"/>
              <w:keepLines w:val="0"/>
              <w:pageBreakBefore w:val="0"/>
              <w:widowControl w:val="0"/>
              <w:kinsoku/>
              <w:wordWrap/>
              <w:overflowPunct/>
              <w:topLinePunct w:val="0"/>
              <w:autoSpaceDE/>
              <w:autoSpaceDN/>
              <w:bidi w:val="0"/>
              <w:adjustRightInd/>
              <w:snapToGrid/>
              <w:spacing w:before="1" w:line="360" w:lineRule="auto"/>
              <w:ind w:right="44"/>
              <w:textAlignment w:val="auto"/>
              <w:rPr>
                <w:rFonts w:ascii="微软雅黑" w:eastAsia="微软雅黑"/>
                <w:b/>
                <w:color w:val="auto"/>
                <w:highlight w:val="none"/>
              </w:rPr>
            </w:pPr>
          </w:p>
          <w:p>
            <w:pPr>
              <w:pStyle w:val="13"/>
              <w:keepNext w:val="0"/>
              <w:keepLines w:val="0"/>
              <w:pageBreakBefore w:val="0"/>
              <w:widowControl w:val="0"/>
              <w:kinsoku/>
              <w:wordWrap/>
              <w:overflowPunct/>
              <w:topLinePunct w:val="0"/>
              <w:autoSpaceDE/>
              <w:autoSpaceDN/>
              <w:bidi w:val="0"/>
              <w:adjustRightInd/>
              <w:snapToGrid/>
              <w:spacing w:before="1" w:line="360" w:lineRule="auto"/>
              <w:ind w:left="171" w:right="44"/>
              <w:jc w:val="center"/>
              <w:textAlignment w:val="auto"/>
              <w:rPr>
                <w:rFonts w:ascii="微软雅黑" w:eastAsia="微软雅黑"/>
                <w:b/>
                <w:color w:val="auto"/>
                <w:highlight w:val="none"/>
              </w:rPr>
            </w:pPr>
          </w:p>
          <w:p>
            <w:pPr>
              <w:pStyle w:val="13"/>
              <w:keepNext w:val="0"/>
              <w:keepLines w:val="0"/>
              <w:pageBreakBefore w:val="0"/>
              <w:widowControl w:val="0"/>
              <w:kinsoku/>
              <w:wordWrap/>
              <w:overflowPunct/>
              <w:topLinePunct w:val="0"/>
              <w:autoSpaceDE/>
              <w:autoSpaceDN/>
              <w:bidi w:val="0"/>
              <w:adjustRightInd/>
              <w:snapToGrid/>
              <w:spacing w:before="1" w:line="360" w:lineRule="auto"/>
              <w:ind w:left="171" w:right="44"/>
              <w:jc w:val="center"/>
              <w:textAlignment w:val="auto"/>
              <w:rPr>
                <w:rFonts w:ascii="微软雅黑" w:eastAsia="微软雅黑"/>
                <w:b/>
                <w:color w:val="auto"/>
                <w:highlight w:val="none"/>
              </w:rPr>
            </w:pPr>
            <w:r>
              <w:rPr>
                <w:rFonts w:hint="eastAsia" w:ascii="微软雅黑" w:eastAsia="微软雅黑"/>
                <w:b/>
                <w:color w:val="auto"/>
                <w:highlight w:val="none"/>
              </w:rPr>
              <w:t>项目总工</w:t>
            </w:r>
            <w:r>
              <w:rPr>
                <w:rFonts w:hint="eastAsia" w:ascii="微软雅黑" w:eastAsia="微软雅黑"/>
                <w:b/>
                <w:color w:val="auto"/>
                <w:w w:val="168"/>
                <w:highlight w:val="none"/>
              </w:rPr>
              <w:t xml:space="preserve"> </w:t>
            </w:r>
          </w:p>
        </w:tc>
        <w:tc>
          <w:tcPr>
            <w:tcW w:w="748" w:type="dxa"/>
          </w:tcPr>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ascii="微软雅黑"/>
                <w:b/>
                <w:color w:val="auto"/>
                <w:sz w:val="20"/>
                <w:highlight w:val="none"/>
              </w:rPr>
            </w:pPr>
          </w:p>
          <w:p>
            <w:pPr>
              <w:pStyle w:val="13"/>
              <w:keepNext w:val="0"/>
              <w:keepLines w:val="0"/>
              <w:pageBreakBefore w:val="0"/>
              <w:widowControl w:val="0"/>
              <w:kinsoku/>
              <w:wordWrap/>
              <w:overflowPunct/>
              <w:topLinePunct w:val="0"/>
              <w:autoSpaceDE/>
              <w:autoSpaceDN/>
              <w:bidi w:val="0"/>
              <w:adjustRightInd/>
              <w:snapToGrid/>
              <w:spacing w:before="2" w:line="360" w:lineRule="auto"/>
              <w:textAlignment w:val="auto"/>
              <w:rPr>
                <w:rFonts w:ascii="微软雅黑"/>
                <w:b/>
                <w:color w:val="auto"/>
                <w:sz w:val="11"/>
                <w:highlight w:val="none"/>
              </w:rPr>
            </w:pPr>
          </w:p>
          <w:p>
            <w:pPr>
              <w:pStyle w:val="13"/>
              <w:keepNext w:val="0"/>
              <w:keepLines w:val="0"/>
              <w:pageBreakBefore w:val="0"/>
              <w:widowControl w:val="0"/>
              <w:kinsoku/>
              <w:wordWrap/>
              <w:overflowPunct/>
              <w:topLinePunct w:val="0"/>
              <w:autoSpaceDE/>
              <w:autoSpaceDN/>
              <w:bidi w:val="0"/>
              <w:adjustRightInd/>
              <w:snapToGrid/>
              <w:spacing w:line="360" w:lineRule="auto"/>
              <w:ind w:left="289" w:right="157"/>
              <w:jc w:val="center"/>
              <w:textAlignment w:val="auto"/>
              <w:rPr>
                <w:rFonts w:ascii="宋体"/>
                <w:color w:val="auto"/>
                <w:highlight w:val="none"/>
              </w:rPr>
            </w:pPr>
            <w:r>
              <w:rPr>
                <w:rFonts w:ascii="宋体"/>
                <w:color w:val="auto"/>
                <w:highlight w:val="none"/>
              </w:rPr>
              <w:t xml:space="preserve">1 </w:t>
            </w:r>
          </w:p>
        </w:tc>
        <w:tc>
          <w:tcPr>
            <w:tcW w:w="4650" w:type="dxa"/>
          </w:tcPr>
          <w:p>
            <w:pPr>
              <w:pStyle w:val="13"/>
              <w:keepNext w:val="0"/>
              <w:keepLines w:val="0"/>
              <w:pageBreakBefore w:val="0"/>
              <w:widowControl w:val="0"/>
              <w:kinsoku/>
              <w:wordWrap/>
              <w:overflowPunct/>
              <w:topLinePunct w:val="0"/>
              <w:autoSpaceDE/>
              <w:autoSpaceDN/>
              <w:bidi w:val="0"/>
              <w:adjustRightInd/>
              <w:snapToGrid/>
              <w:spacing w:line="360" w:lineRule="auto"/>
              <w:ind w:left="57"/>
              <w:jc w:val="left"/>
              <w:textAlignment w:val="auto"/>
              <w:rPr>
                <w:rFonts w:ascii="宋体" w:eastAsia="宋体"/>
                <w:color w:val="auto"/>
                <w:highlight w:val="none"/>
              </w:rPr>
            </w:pPr>
            <w:r>
              <w:rPr>
                <w:rFonts w:hint="eastAsia" w:ascii="宋体" w:hAnsi="宋体" w:eastAsia="宋体" w:cs="宋体"/>
                <w:color w:val="auto"/>
                <w:szCs w:val="21"/>
                <w:highlight w:val="none"/>
                <w:lang w:val="en-US" w:eastAsia="zh-CN"/>
              </w:rPr>
              <w:t>为投标人在职员工，由投标人依法为其缴纳社会保险，社保缴费单位与注册单位必须一致。具有市政工程相关专业高级或以上技术职称，并持有建设行政主管部门颁发的B类安全生产考核合格证。至少担任过1个市政工程的项目总工（技术负责人）职务。</w:t>
            </w:r>
          </w:p>
        </w:tc>
        <w:tc>
          <w:tcPr>
            <w:tcW w:w="2707"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1" w:hRule="atLeast"/>
        </w:trPr>
        <w:tc>
          <w:tcPr>
            <w:tcW w:w="9223" w:type="dxa"/>
            <w:gridSpan w:val="4"/>
          </w:tcPr>
          <w:p>
            <w:pPr>
              <w:pStyle w:val="13"/>
              <w:keepNext w:val="0"/>
              <w:keepLines w:val="0"/>
              <w:pageBreakBefore w:val="0"/>
              <w:widowControl w:val="0"/>
              <w:kinsoku/>
              <w:wordWrap/>
              <w:overflowPunct/>
              <w:topLinePunct w:val="0"/>
              <w:autoSpaceDE/>
              <w:autoSpaceDN/>
              <w:bidi w:val="0"/>
              <w:adjustRightInd/>
              <w:snapToGrid/>
              <w:spacing w:line="360" w:lineRule="auto"/>
              <w:ind w:left="529"/>
              <w:textAlignment w:val="auto"/>
              <w:rPr>
                <w:rFonts w:ascii="微软雅黑" w:hAnsi="宋体" w:eastAsia="微软雅黑" w:cs="宋体"/>
                <w:b/>
                <w:color w:val="auto"/>
                <w:spacing w:val="-3"/>
                <w:highlight w:val="none"/>
              </w:rPr>
            </w:pPr>
            <w:r>
              <w:rPr>
                <w:rFonts w:hint="eastAsia" w:ascii="微软雅黑" w:hAnsi="宋体" w:eastAsia="微软雅黑" w:cs="宋体"/>
                <w:b/>
                <w:color w:val="auto"/>
                <w:spacing w:val="-3"/>
                <w:highlight w:val="none"/>
              </w:rPr>
              <w:t xml:space="preserve">注： </w:t>
            </w:r>
          </w:p>
          <w:p>
            <w:pPr>
              <w:pStyle w:val="13"/>
              <w:keepNext w:val="0"/>
              <w:keepLines w:val="0"/>
              <w:pageBreakBefore w:val="0"/>
              <w:widowControl w:val="0"/>
              <w:kinsoku/>
              <w:wordWrap/>
              <w:overflowPunct/>
              <w:topLinePunct w:val="0"/>
              <w:autoSpaceDE/>
              <w:autoSpaceDN/>
              <w:bidi w:val="0"/>
              <w:adjustRightInd/>
              <w:snapToGrid/>
              <w:spacing w:line="360" w:lineRule="auto"/>
              <w:ind w:left="472"/>
              <w:textAlignment w:val="auto"/>
              <w:rPr>
                <w:rFonts w:ascii="微软雅黑" w:hAnsi="宋体" w:eastAsia="微软雅黑" w:cs="宋体"/>
                <w:b/>
                <w:color w:val="auto"/>
                <w:spacing w:val="-3"/>
                <w:highlight w:val="none"/>
              </w:rPr>
            </w:pPr>
            <w:r>
              <w:rPr>
                <w:rFonts w:hint="eastAsia" w:ascii="微软雅黑" w:hAnsi="宋体" w:eastAsia="微软雅黑" w:cs="宋体"/>
                <w:b/>
                <w:color w:val="auto"/>
                <w:spacing w:val="-3"/>
                <w:highlight w:val="none"/>
              </w:rPr>
              <w:t xml:space="preserve">修改补充投标人须知正文第 3.5.5 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项目经理须在投标文件中附相应证件（身份证、毕业证、职称证、建造师执业证及注册证、有效的安全生产考核证（B证）等证件）的彩色扫描件，未提供相应证件的彩色扫描件的其资格审查不通过。项目经理应在其履历表后附建造师执业证及注册证的彩色扫描件（含反映单位变更和注册日期延续情况信息的证件页）。项目经理的建造师执业资格证已经在注册建造师管理信息系统中注册过的，并且能够通过全国建造师查询系统或省级住房和城乡建设部门查询系统查询到拟投入人员的注册信息，并在投标文件中附查询截屏的彩色打印件，未附查询截图的视为不满足招标文件要求，其资格审查不通过；项目经理注册建造师证书注册的单位必须为投标人，注册单位不是投标人的其资格审查不通过；在评审过程中发现投标人提供虚假截屏或虚假注册信息的，招标人将视为该投标文件不符合招标文件的规定，在资格评审不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项目总工须在投标文件中附相应证件（身份证、毕业证、职称证</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有效的安全生产考核证（B证）等证件）的彩色扫描件，未提供相应证件的彩色扫描件的其资格审查不通过。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szCs w:val="21"/>
                <w:highlight w:val="none"/>
              </w:rPr>
              <w:t>3)在投标文件中“拟委任的项目经理、项目总工资历表”后须附由投标人依法为其缴纳社保证明材料，该证明材料必须反映投标人和拟委任的项目经理、项目总工共同缴纳社会保险费的缴费记录或个人权益记录，缴费记录或个人权益记录由投标人从社会保险经办机构查询打印或网上查询截屏，缴费记录或个人权益记录能反映出自202</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年1月以来投标单位为其任意连续3个月缴纳的社保缴费记录，否则其资格审查不通过。提供的缴费记录或个人权益记录中未反映投标单位为其缴纳社保缴费记录的，将视为拟投入的人员非本单位人员，其资格审查不通过。</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项目经理和总工的个人业绩：</w:t>
            </w:r>
            <w:r>
              <w:rPr>
                <w:rFonts w:hint="eastAsia" w:ascii="宋体" w:hAnsi="宋体" w:eastAsia="宋体" w:cs="宋体"/>
                <w:b/>
                <w:bCs/>
                <w:color w:val="auto"/>
                <w:kern w:val="0"/>
                <w:szCs w:val="21"/>
                <w:highlight w:val="none"/>
              </w:rPr>
              <w:t>投标人应在投标文件中附项目经理和项目总工已担任过项目的证明材料，证明材料为</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2"/>
                <w:sz w:val="21"/>
                <w:szCs w:val="21"/>
                <w:highlight w:val="none"/>
              </w:rPr>
              <w:t>中标通知书</w:t>
            </w:r>
            <w:r>
              <w:rPr>
                <w:rFonts w:hint="eastAsia" w:ascii="宋体" w:hAnsi="宋体" w:eastAsia="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合同协议书</w:t>
            </w:r>
            <w:r>
              <w:rPr>
                <w:rFonts w:hint="eastAsia" w:ascii="宋体" w:hAnsi="宋体" w:eastAsia="宋体" w:cs="宋体"/>
                <w:b/>
                <w:bCs/>
                <w:color w:val="auto"/>
                <w:kern w:val="2"/>
                <w:sz w:val="21"/>
                <w:szCs w:val="21"/>
                <w:highlight w:val="none"/>
                <w:lang w:val="en-US" w:eastAsia="zh-CN"/>
              </w:rPr>
              <w:t>或</w:t>
            </w:r>
            <w:r>
              <w:rPr>
                <w:rFonts w:hint="eastAsia" w:ascii="宋体" w:hAnsi="宋体" w:eastAsia="宋体" w:cs="宋体"/>
                <w:b/>
                <w:bCs/>
                <w:color w:val="auto"/>
                <w:kern w:val="2"/>
                <w:sz w:val="21"/>
                <w:szCs w:val="21"/>
                <w:highlight w:val="none"/>
              </w:rPr>
              <w:t>交（竣）工验收证明材料</w:t>
            </w:r>
            <w:r>
              <w:rPr>
                <w:rFonts w:hint="eastAsia" w:ascii="宋体" w:hAnsi="宋体" w:eastAsia="宋体" w:cs="宋体"/>
                <w:b/>
                <w:bCs/>
                <w:color w:val="auto"/>
                <w:kern w:val="2"/>
                <w:sz w:val="21"/>
                <w:szCs w:val="21"/>
                <w:highlight w:val="none"/>
                <w:lang w:val="en-US" w:eastAsia="zh-CN"/>
              </w:rPr>
              <w:t>或项目业主证明材料，上述</w:t>
            </w:r>
            <w:r>
              <w:rPr>
                <w:rFonts w:hint="eastAsia" w:ascii="宋体" w:hAnsi="宋体" w:eastAsia="宋体" w:cs="宋体"/>
                <w:b/>
                <w:bCs/>
                <w:color w:val="auto"/>
                <w:kern w:val="0"/>
                <w:szCs w:val="21"/>
                <w:highlight w:val="none"/>
              </w:rPr>
              <w:t>证明材料中</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能反应出该项目的项目经理、项目总工姓名和职务。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）未填报项目经理和项目总工或填报项目经理和项目总工人员有重复的其资格审查不通过。未提供业绩的或提供的业绩不满足招标文件要求，其资格审查不通过；</w:t>
            </w:r>
          </w:p>
          <w:p>
            <w:pPr>
              <w:pStyle w:val="13"/>
              <w:keepNext w:val="0"/>
              <w:keepLines w:val="0"/>
              <w:pageBreakBefore w:val="0"/>
              <w:widowControl w:val="0"/>
              <w:tabs>
                <w:tab w:val="left" w:pos="1002"/>
              </w:tabs>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bCs/>
                <w:color w:val="auto"/>
                <w:spacing w:val="-3"/>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）项目经理和项目总工不满足附录5资格要求的其资格审查不通过。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
                <w:szCs w:val="2"/>
                <w:highlight w:val="none"/>
              </w:rPr>
            </w:pPr>
            <w:r>
              <w:rPr>
                <w:rFonts w:hint="eastAsia" w:ascii="微软雅黑" w:eastAsia="微软雅黑"/>
                <w:b/>
                <w:color w:val="auto"/>
                <w:spacing w:val="-3"/>
                <w:highlight w:val="none"/>
              </w:rPr>
              <w:t>招标文件中其他地方与此处不一致时，以此处为准。</w:t>
            </w:r>
          </w:p>
        </w:tc>
      </w:tr>
      <w:bookmarkEnd w:id="53"/>
    </w:tbl>
    <w:p>
      <w:pPr>
        <w:pStyle w:val="17"/>
        <w:autoSpaceDE w:val="0"/>
        <w:spacing w:beforeLines="0" w:afterLines="0"/>
        <w:jc w:val="left"/>
        <w:rPr>
          <w:rFonts w:hint="default" w:cs="宋体"/>
          <w:color w:val="auto"/>
          <w:sz w:val="18"/>
          <w:szCs w:val="18"/>
          <w:highlight w:val="none"/>
        </w:rPr>
      </w:pPr>
      <w:bookmarkStart w:id="54" w:name="_Toc934"/>
      <w:bookmarkEnd w:id="54"/>
      <w:bookmarkStart w:id="55" w:name="_Toc15966"/>
      <w:bookmarkEnd w:id="55"/>
      <w:bookmarkStart w:id="56" w:name="_Toc555"/>
      <w:bookmarkEnd w:id="56"/>
      <w:bookmarkStart w:id="57" w:name="_Toc3793"/>
      <w:bookmarkEnd w:id="57"/>
      <w:bookmarkStart w:id="58" w:name="_Toc26044"/>
      <w:bookmarkEnd w:id="58"/>
      <w:bookmarkStart w:id="59" w:name="_Toc17531"/>
      <w:bookmarkEnd w:id="59"/>
      <w:bookmarkStart w:id="60" w:name="_Toc31074"/>
      <w:bookmarkEnd w:id="60"/>
      <w:bookmarkStart w:id="61" w:name="_Toc29270"/>
      <w:r>
        <w:rPr>
          <w:rFonts w:cs="宋体"/>
          <w:color w:val="auto"/>
          <w:sz w:val="18"/>
          <w:szCs w:val="18"/>
          <w:highlight w:val="none"/>
        </w:rPr>
        <w:t xml:space="preserve"> </w:t>
      </w:r>
      <w:bookmarkEnd w:id="61"/>
    </w:p>
    <w:p>
      <w:pPr>
        <w:autoSpaceDE w:val="0"/>
        <w:autoSpaceDN w:val="0"/>
        <w:spacing w:before="45" w:line="320" w:lineRule="exact"/>
        <w:ind w:right="986" w:firstLine="220" w:firstLineChars="100"/>
        <w:rPr>
          <w:rFonts w:ascii="微软雅黑" w:eastAsia="微软雅黑"/>
          <w:b/>
          <w:color w:val="auto"/>
          <w:highlight w:val="none"/>
        </w:rPr>
      </w:pPr>
      <w:bookmarkStart w:id="62" w:name="_Toc8717"/>
      <w:bookmarkEnd w:id="62"/>
      <w:bookmarkStart w:id="63" w:name="_Toc7093"/>
      <w:bookmarkEnd w:id="63"/>
      <w:bookmarkStart w:id="64" w:name="_Toc15402"/>
      <w:bookmarkEnd w:id="64"/>
      <w:bookmarkStart w:id="65" w:name="_Toc24581"/>
      <w:bookmarkEnd w:id="65"/>
      <w:bookmarkStart w:id="66" w:name="_Toc32249"/>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p>
      <w:pPr>
        <w:autoSpaceDE w:val="0"/>
        <w:autoSpaceDN w:val="0"/>
        <w:spacing w:before="45" w:line="320" w:lineRule="exact"/>
        <w:ind w:right="986" w:firstLine="220" w:firstLineChars="100"/>
        <w:rPr>
          <w:rFonts w:ascii="微软雅黑" w:eastAsia="微软雅黑"/>
          <w:b/>
          <w:color w:val="auto"/>
          <w:highlight w:val="none"/>
        </w:rPr>
      </w:pPr>
    </w:p>
    <w:bookmarkEnd w:id="66"/>
    <w:p>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pPr>
        <w:keepNext w:val="0"/>
        <w:keepLines w:val="0"/>
        <w:widowControl/>
        <w:suppressLineNumbers w:val="0"/>
        <w:ind w:firstLine="562" w:firstLineChars="200"/>
        <w:jc w:val="left"/>
        <w:rPr>
          <w:sz w:val="53"/>
        </w:rPr>
      </w:pPr>
      <w:bookmarkStart w:id="139" w:name="_GoBack"/>
      <w:bookmarkEnd w:id="139"/>
      <w:r>
        <w:rPr>
          <w:rFonts w:hint="eastAsia" w:ascii="宋体" w:hAnsi="宋体" w:eastAsia="宋体" w:cs="宋体"/>
          <w:b/>
          <w:bCs/>
          <w:color w:val="000000"/>
          <w:kern w:val="0"/>
          <w:sz w:val="28"/>
          <w:szCs w:val="28"/>
          <w:lang w:val="en-US" w:eastAsia="zh-CN" w:bidi="ar"/>
        </w:rPr>
        <w:t>四、评标办法全文</w:t>
      </w:r>
    </w:p>
    <w:p>
      <w:pPr>
        <w:pStyle w:val="19"/>
        <w:keepNext/>
        <w:keepLines/>
        <w:widowControl w:val="0"/>
        <w:shd w:val="clear" w:color="auto" w:fill="auto"/>
        <w:bidi w:val="0"/>
        <w:spacing w:before="0" w:line="240" w:lineRule="auto"/>
        <w:ind w:left="0" w:right="0"/>
        <w:jc w:val="center"/>
        <w:rPr>
          <w:rFonts w:hint="eastAsia" w:ascii="宋体" w:hAnsi="宋体" w:eastAsia="宋体" w:cs="宋体"/>
          <w:b/>
          <w:bCs/>
          <w:color w:val="000000"/>
          <w:kern w:val="0"/>
          <w:sz w:val="28"/>
          <w:szCs w:val="28"/>
          <w:u w:val="none"/>
          <w:shd w:val="clear"/>
          <w:lang w:val="en-US" w:eastAsia="zh-CN" w:bidi="ar"/>
        </w:rPr>
      </w:pPr>
      <w:r>
        <w:rPr>
          <w:rFonts w:hint="eastAsia" w:ascii="宋体" w:hAnsi="宋体" w:eastAsia="宋体" w:cs="宋体"/>
          <w:b/>
          <w:bCs/>
          <w:color w:val="000000"/>
          <w:kern w:val="0"/>
          <w:sz w:val="28"/>
          <w:szCs w:val="28"/>
          <w:u w:val="none"/>
          <w:shd w:val="clear"/>
          <w:lang w:val="en-US" w:eastAsia="zh-CN" w:bidi="ar"/>
        </w:rPr>
        <w:t>（双信封合理低价法）</w:t>
      </w:r>
    </w:p>
    <w:p>
      <w:pPr>
        <w:pStyle w:val="19"/>
        <w:keepNext/>
        <w:keepLines/>
        <w:widowControl w:val="0"/>
        <w:shd w:val="clear" w:color="auto" w:fill="auto"/>
        <w:bidi w:val="0"/>
        <w:spacing w:before="0" w:line="240" w:lineRule="auto"/>
        <w:ind w:left="0" w:right="0"/>
        <w:jc w:val="left"/>
        <w:rPr>
          <w:color w:val="auto"/>
          <w:highlight w:val="none"/>
        </w:rPr>
      </w:pPr>
      <w:r>
        <w:rPr>
          <w:color w:val="auto"/>
          <w:spacing w:val="0"/>
          <w:w w:val="100"/>
          <w:position w:val="0"/>
          <w:highlight w:val="none"/>
        </w:rPr>
        <w:t>评标办法前附表</w:t>
      </w:r>
    </w:p>
    <w:tbl>
      <w:tblPr>
        <w:tblStyle w:val="10"/>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1051"/>
        <w:gridCol w:w="1368"/>
        <w:gridCol w:w="2865"/>
        <w:gridCol w:w="4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526" w:hRule="atLeast"/>
          <w:jc w:val="center"/>
        </w:trPr>
        <w:tc>
          <w:tcPr>
            <w:tcW w:w="2419" w:type="dxa"/>
            <w:gridSpan w:val="2"/>
            <w:tcBorders>
              <w:top w:val="single" w:color="auto" w:sz="4" w:space="0"/>
              <w:left w:val="single" w:color="auto" w:sz="4" w:space="0"/>
              <w:bottom w:val="nil"/>
              <w:right w:val="nil"/>
            </w:tcBorders>
            <w:shd w:val="clear" w:color="auto" w:fill="FFFFFF"/>
            <w:vAlign w:val="center"/>
          </w:tcPr>
          <w:p>
            <w:pPr>
              <w:pStyle w:val="20"/>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firstLine="7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rPr>
              <w:t>条款号</w:t>
            </w:r>
          </w:p>
        </w:tc>
        <w:tc>
          <w:tcPr>
            <w:tcW w:w="7351" w:type="dxa"/>
            <w:gridSpan w:val="2"/>
            <w:tcBorders>
              <w:top w:val="single" w:color="auto" w:sz="4" w:space="0"/>
              <w:left w:val="single" w:color="auto" w:sz="4" w:space="0"/>
              <w:bottom w:val="nil"/>
              <w:right w:val="single" w:color="auto" w:sz="4" w:space="0"/>
            </w:tcBorders>
            <w:shd w:val="clear" w:color="auto" w:fill="FFFFFF"/>
            <w:vAlign w:val="center"/>
          </w:tcPr>
          <w:p>
            <w:pPr>
              <w:pStyle w:val="20"/>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1740" w:right="0" w:firstLine="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rPr>
              <w:t>评审因素与评审标准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3718" w:hRule="atLeast"/>
          <w:jc w:val="center"/>
        </w:trPr>
        <w:tc>
          <w:tcPr>
            <w:tcW w:w="1051"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rPr>
              <w:t>1</w:t>
            </w:r>
          </w:p>
        </w:tc>
        <w:tc>
          <w:tcPr>
            <w:tcW w:w="1368"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uppressLineNumbers w:val="0"/>
              <w:kinsoku/>
              <w:wordWrap/>
              <w:overflowPunct/>
              <w:topLinePunct w:val="0"/>
              <w:bidi w:val="0"/>
              <w:adjustRightInd/>
              <w:spacing w:before="0" w:beforeAutospacing="0" w:after="180" w:afterAutospacing="0" w:line="360" w:lineRule="auto"/>
              <w:ind w:left="0" w:right="0" w:firstLine="210" w:firstLineChars="1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rPr>
              <w:t>评标方法</w:t>
            </w:r>
          </w:p>
        </w:tc>
        <w:tc>
          <w:tcPr>
            <w:tcW w:w="7351"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left="110"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经评审的评标价得分相等时，评标委员会依次按照以下优先顺序推荐中标候选人或确定中标人：</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（1）投标报价低的投标人优先；</w:t>
            </w:r>
          </w:p>
          <w:p>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360" w:lineRule="auto"/>
              <w:ind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2022年度宁夏交通运输厅公示的信用等级较高的投标人优先；以《宁夏回族自治区交通运输厅关于2022年度公路建设与养护市场从业单位及人员信用评价结果公示》（宁夏回族自治区交通运输厅官网2023年4月17日发布）文件中的信用评价等级（公路建设施工企业）为准；</w:t>
            </w:r>
          </w:p>
          <w:p>
            <w:pPr>
              <w:pStyle w:val="2"/>
              <w:keepNext w:val="0"/>
              <w:keepLines w:val="0"/>
              <w:pageBreakBefore w:val="0"/>
              <w:widowControl/>
              <w:kinsoku/>
              <w:wordWrap/>
              <w:overflowPunct/>
              <w:topLinePunct w:val="0"/>
              <w:bidi w:val="0"/>
              <w:adjustRightInd/>
              <w:spacing w:line="36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（3）由评标委员会根据投标人财务能力、施工组织设计的编制情况等内容投票确定其推荐排序。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0" w:hRule="atLeast"/>
          <w:jc w:val="center"/>
        </w:trPr>
        <w:tc>
          <w:tcPr>
            <w:tcW w:w="1051"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pacing w:before="0" w:after="0" w:line="360" w:lineRule="auto"/>
              <w:ind w:left="0" w:leftChars="0" w:right="0" w:rightChars="0"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cs="宋体"/>
                <w:color w:val="auto"/>
                <w:spacing w:val="0"/>
                <w:w w:val="100"/>
                <w:position w:val="0"/>
                <w:sz w:val="21"/>
                <w:szCs w:val="21"/>
                <w:highlight w:val="none"/>
                <w:lang w:val="en-US" w:eastAsia="zh-CN" w:bidi="en-US"/>
              </w:rPr>
              <w:t>2.1.1</w:t>
            </w:r>
          </w:p>
        </w:tc>
        <w:tc>
          <w:tcPr>
            <w:tcW w:w="1368"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140" w:leftChars="0" w:right="0" w:rightChars="0"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w w:val="100"/>
                <w:position w:val="0"/>
                <w:sz w:val="21"/>
                <w:szCs w:val="21"/>
                <w:highlight w:val="none"/>
              </w:rPr>
              <w:t>形式评审与响应性评审标准</w:t>
            </w:r>
          </w:p>
        </w:tc>
        <w:tc>
          <w:tcPr>
            <w:tcW w:w="735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第一个信封(商务及技术文件)评审标准：</w:t>
            </w:r>
          </w:p>
          <w:p>
            <w:pPr>
              <w:pStyle w:val="20"/>
              <w:keepNext w:val="0"/>
              <w:keepLines w:val="0"/>
              <w:pageBreakBefore w:val="0"/>
              <w:widowControl w:val="0"/>
              <w:numPr>
                <w:ilvl w:val="0"/>
                <w:numId w:val="0"/>
              </w:numPr>
              <w:shd w:val="clear" w:color="auto" w:fill="auto"/>
              <w:tabs>
                <w:tab w:val="left" w:pos="288"/>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投标文件按照招标文件规定的格式、内容填写，字迹清晰可辨：</w:t>
            </w:r>
          </w:p>
          <w:p>
            <w:pPr>
              <w:pStyle w:val="20"/>
              <w:keepNext w:val="0"/>
              <w:keepLines w:val="0"/>
              <w:pageBreakBefore w:val="0"/>
              <w:widowControl w:val="0"/>
              <w:numPr>
                <w:ilvl w:val="0"/>
                <w:numId w:val="2"/>
              </w:numPr>
              <w:shd w:val="clear" w:color="auto" w:fill="auto"/>
              <w:tabs>
                <w:tab w:val="left" w:pos="216"/>
              </w:tabs>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投标函按招标文件规定填报了项目名称、标段、补遗书编号(如有)、工期、工程质量要求、安全目标等；</w:t>
            </w:r>
          </w:p>
          <w:p>
            <w:pPr>
              <w:pStyle w:val="20"/>
              <w:keepNext w:val="0"/>
              <w:keepLines w:val="0"/>
              <w:pageBreakBefore w:val="0"/>
              <w:widowControl w:val="0"/>
              <w:numPr>
                <w:ilvl w:val="0"/>
                <w:numId w:val="2"/>
              </w:numPr>
              <w:shd w:val="clear" w:color="auto" w:fill="auto"/>
              <w:tabs>
                <w:tab w:val="left" w:pos="223"/>
              </w:tabs>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投标函附录的所有内容和数据均符合招标文件规定；</w:t>
            </w:r>
          </w:p>
          <w:p>
            <w:pPr>
              <w:pStyle w:val="20"/>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c</w:t>
            </w:r>
            <w:r>
              <w:rPr>
                <w:rFonts w:hint="eastAsia" w:ascii="宋体" w:hAnsi="宋体" w:eastAsia="宋体" w:cs="宋体"/>
                <w:color w:val="auto"/>
                <w:spacing w:val="0"/>
                <w:w w:val="100"/>
                <w:position w:val="0"/>
                <w:sz w:val="21"/>
                <w:szCs w:val="21"/>
                <w:highlight w:val="none"/>
                <w:lang w:val="en-US" w:eastAsia="en-US" w:bidi="en-US"/>
              </w:rPr>
              <w:t>.</w:t>
            </w:r>
            <w:r>
              <w:rPr>
                <w:rFonts w:hint="eastAsia" w:ascii="宋体" w:hAnsi="宋体" w:eastAsia="宋体" w:cs="宋体"/>
                <w:color w:val="auto"/>
                <w:spacing w:val="0"/>
                <w:w w:val="100"/>
                <w:position w:val="0"/>
                <w:sz w:val="21"/>
                <w:szCs w:val="21"/>
                <w:highlight w:val="none"/>
              </w:rPr>
              <w:t>投标文件中有承诺函、规范投标行为承诺函、使用农民工承诺书等内容，其内容文字与招标文件规定一致，未进行修改和删减且签字盖章齐全；</w:t>
            </w:r>
          </w:p>
          <w:p>
            <w:pPr>
              <w:pStyle w:val="20"/>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en-US" w:bidi="en-US"/>
              </w:rPr>
              <w:t>d.</w:t>
            </w:r>
            <w:r>
              <w:rPr>
                <w:rFonts w:hint="eastAsia" w:ascii="宋体" w:hAnsi="宋体" w:eastAsia="宋体" w:cs="宋体"/>
                <w:color w:val="auto"/>
                <w:spacing w:val="0"/>
                <w:w w:val="100"/>
                <w:position w:val="0"/>
                <w:sz w:val="21"/>
                <w:szCs w:val="21"/>
                <w:highlight w:val="none"/>
              </w:rPr>
              <w:t>投标文件组成齐全完整，内容均按规定填写。</w:t>
            </w:r>
          </w:p>
          <w:p>
            <w:pPr>
              <w:pStyle w:val="20"/>
              <w:keepNext w:val="0"/>
              <w:keepLines w:val="0"/>
              <w:pageBreakBefore w:val="0"/>
              <w:widowControl w:val="0"/>
              <w:numPr>
                <w:ilvl w:val="0"/>
                <w:numId w:val="0"/>
              </w:numPr>
              <w:shd w:val="clear" w:color="auto" w:fill="auto"/>
              <w:tabs>
                <w:tab w:val="left" w:pos="317"/>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投标文件上法定代表人或其授权代理人的签字、投标人的单位章盖章齐全，符合招标文件规定，符合投标人须知</w:t>
            </w:r>
            <w:r>
              <w:rPr>
                <w:rFonts w:hint="eastAsia" w:ascii="宋体" w:hAnsi="宋体" w:eastAsia="宋体" w:cs="宋体"/>
                <w:color w:val="auto"/>
                <w:spacing w:val="0"/>
                <w:w w:val="100"/>
                <w:position w:val="0"/>
                <w:sz w:val="21"/>
                <w:szCs w:val="21"/>
                <w:highlight w:val="none"/>
                <w:lang w:val="en-US" w:eastAsia="en-US" w:bidi="en-US"/>
              </w:rPr>
              <w:t>3. 7.3</w:t>
            </w:r>
            <w:r>
              <w:rPr>
                <w:rFonts w:hint="eastAsia" w:ascii="宋体" w:hAnsi="宋体" w:eastAsia="宋体" w:cs="宋体"/>
                <w:color w:val="auto"/>
                <w:spacing w:val="0"/>
                <w:w w:val="100"/>
                <w:position w:val="0"/>
                <w:sz w:val="21"/>
                <w:szCs w:val="21"/>
                <w:highlight w:val="none"/>
              </w:rPr>
              <w:t>条要求(除授权书、法人身份证明需亲笔签名)。</w:t>
            </w:r>
          </w:p>
          <w:p>
            <w:pPr>
              <w:pStyle w:val="20"/>
              <w:keepNext w:val="0"/>
              <w:keepLines w:val="0"/>
              <w:pageBreakBefore w:val="0"/>
              <w:widowControl w:val="0"/>
              <w:numPr>
                <w:ilvl w:val="0"/>
                <w:numId w:val="0"/>
              </w:numPr>
              <w:shd w:val="clear" w:color="auto" w:fill="auto"/>
              <w:tabs>
                <w:tab w:val="left" w:pos="317"/>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投标人法定代表人授权代理人签署投标文件的，须提交授权委托书，且授权人和被授权人均在授权委托书上签名，未使用印章、签名章或其他电子制版签名代替。</w:t>
            </w:r>
          </w:p>
          <w:p>
            <w:pPr>
              <w:pStyle w:val="20"/>
              <w:keepNext w:val="0"/>
              <w:keepLines w:val="0"/>
              <w:pageBreakBefore w:val="0"/>
              <w:widowControl w:val="0"/>
              <w:numPr>
                <w:ilvl w:val="0"/>
                <w:numId w:val="0"/>
              </w:numPr>
              <w:shd w:val="clear" w:color="auto" w:fill="auto"/>
              <w:tabs>
                <w:tab w:val="left" w:pos="317"/>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投标人法定代表人亲自签署投标文件的，提供了法定代表人身份证明，且法定代表人在法定代表人身份证明上签名，未使用印章、签名章或其他电子制版签名代替</w:t>
            </w:r>
            <w:r>
              <w:rPr>
                <w:rFonts w:hint="eastAsia" w:ascii="宋体" w:hAnsi="宋体" w:eastAsia="宋体" w:cs="宋体"/>
                <w:color w:val="auto"/>
                <w:spacing w:val="0"/>
                <w:w w:val="100"/>
                <w:position w:val="0"/>
                <w:sz w:val="21"/>
                <w:szCs w:val="21"/>
                <w:highlight w:val="none"/>
                <w:lang w:val="en-US" w:eastAsia="zh-CN" w:bidi="en-US"/>
              </w:rPr>
              <w:t>。</w:t>
            </w:r>
          </w:p>
          <w:p>
            <w:pPr>
              <w:pStyle w:val="20"/>
              <w:keepNext w:val="0"/>
              <w:keepLines w:val="0"/>
              <w:pageBreakBefore w:val="0"/>
              <w:widowControl w:val="0"/>
              <w:numPr>
                <w:ilvl w:val="0"/>
                <w:numId w:val="0"/>
              </w:numPr>
              <w:shd w:val="clear" w:color="auto" w:fill="auto"/>
              <w:tabs>
                <w:tab w:val="left" w:pos="288"/>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投标人未以联合体形式投标；</w:t>
            </w:r>
          </w:p>
          <w:p>
            <w:pPr>
              <w:pStyle w:val="20"/>
              <w:keepNext w:val="0"/>
              <w:keepLines w:val="0"/>
              <w:pageBreakBefore w:val="0"/>
              <w:widowControl w:val="0"/>
              <w:numPr>
                <w:ilvl w:val="0"/>
                <w:numId w:val="0"/>
              </w:numPr>
              <w:shd w:val="clear" w:color="auto" w:fill="auto"/>
              <w:tabs>
                <w:tab w:val="left" w:pos="288"/>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投标人无分包计划</w:t>
            </w:r>
            <w:r>
              <w:rPr>
                <w:rFonts w:hint="eastAsia" w:ascii="宋体" w:hAnsi="宋体" w:eastAsia="宋体" w:cs="宋体"/>
                <w:color w:val="auto"/>
                <w:spacing w:val="0"/>
                <w:w w:val="100"/>
                <w:position w:val="0"/>
                <w:sz w:val="21"/>
                <w:szCs w:val="21"/>
                <w:highlight w:val="none"/>
              </w:rPr>
              <w:t>。</w:t>
            </w:r>
          </w:p>
          <w:p>
            <w:pPr>
              <w:pStyle w:val="20"/>
              <w:keepNext w:val="0"/>
              <w:keepLines w:val="0"/>
              <w:pageBreakBefore w:val="0"/>
              <w:widowControl w:val="0"/>
              <w:numPr>
                <w:ilvl w:val="0"/>
                <w:numId w:val="0"/>
              </w:numPr>
              <w:shd w:val="clear" w:color="auto" w:fill="auto"/>
              <w:tabs>
                <w:tab w:val="left" w:pos="331"/>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7</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同一投标人未提交两个以上不同的投标文件，但招标文件要求提交备选投标的除</w:t>
            </w:r>
            <w:r>
              <w:rPr>
                <w:rFonts w:hint="eastAsia" w:ascii="宋体" w:hAnsi="宋体" w:eastAsia="宋体" w:cs="宋体"/>
                <w:color w:val="auto"/>
                <w:spacing w:val="0"/>
                <w:w w:val="100"/>
                <w:position w:val="0"/>
                <w:sz w:val="21"/>
                <w:szCs w:val="21"/>
                <w:highlight w:val="none"/>
                <w:lang w:eastAsia="zh-CN"/>
              </w:rPr>
              <w:t>外</w:t>
            </w:r>
            <w:r>
              <w:rPr>
                <w:rFonts w:hint="eastAsia" w:ascii="宋体" w:hAnsi="宋体" w:eastAsia="宋体" w:cs="宋体"/>
                <w:color w:val="auto"/>
                <w:spacing w:val="0"/>
                <w:w w:val="100"/>
                <w:position w:val="0"/>
                <w:sz w:val="21"/>
                <w:szCs w:val="21"/>
                <w:highlight w:val="none"/>
              </w:rPr>
              <w:t>。</w:t>
            </w:r>
          </w:p>
          <w:p>
            <w:pPr>
              <w:pStyle w:val="20"/>
              <w:keepNext w:val="0"/>
              <w:keepLines w:val="0"/>
              <w:pageBreakBefore w:val="0"/>
              <w:widowControl w:val="0"/>
              <w:numPr>
                <w:ilvl w:val="0"/>
                <w:numId w:val="0"/>
              </w:numPr>
              <w:shd w:val="clear" w:color="auto" w:fill="auto"/>
              <w:tabs>
                <w:tab w:val="left" w:pos="288"/>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8</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投标文件中未出现有关投标报价的内容。</w:t>
            </w:r>
          </w:p>
          <w:p>
            <w:pPr>
              <w:pStyle w:val="20"/>
              <w:keepNext w:val="0"/>
              <w:keepLines w:val="0"/>
              <w:pageBreakBefore w:val="0"/>
              <w:widowControl w:val="0"/>
              <w:numPr>
                <w:ilvl w:val="0"/>
                <w:numId w:val="0"/>
              </w:numPr>
              <w:shd w:val="clear" w:color="auto" w:fill="auto"/>
              <w:tabs>
                <w:tab w:val="left" w:pos="288"/>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9</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投标文件载明的招标项目完成期限未超过招标文件规定的时限。</w:t>
            </w:r>
          </w:p>
          <w:p>
            <w:pPr>
              <w:pStyle w:val="20"/>
              <w:keepNext w:val="0"/>
              <w:keepLines w:val="0"/>
              <w:pageBreakBefore w:val="0"/>
              <w:widowControl w:val="0"/>
              <w:numPr>
                <w:ilvl w:val="0"/>
                <w:numId w:val="0"/>
              </w:numPr>
              <w:shd w:val="clear" w:color="auto" w:fill="auto"/>
              <w:tabs>
                <w:tab w:val="left" w:pos="389"/>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10</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投标文件对招标文件的实质性要求和条件作出了响应。</w:t>
            </w:r>
          </w:p>
          <w:p>
            <w:pPr>
              <w:pStyle w:val="20"/>
              <w:keepNext w:val="0"/>
              <w:keepLines w:val="0"/>
              <w:pageBreakBefore w:val="0"/>
              <w:widowControl w:val="0"/>
              <w:numPr>
                <w:ilvl w:val="0"/>
                <w:numId w:val="0"/>
              </w:numPr>
              <w:shd w:val="clear" w:color="auto" w:fill="auto"/>
              <w:tabs>
                <w:tab w:val="left" w:pos="389"/>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11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权利义务符合招标文件规定。</w:t>
            </w:r>
          </w:p>
          <w:p>
            <w:pPr>
              <w:pStyle w:val="20"/>
              <w:keepNext w:val="0"/>
              <w:keepLines w:val="0"/>
              <w:pageBreakBefore w:val="0"/>
              <w:widowControl w:val="0"/>
              <w:numPr>
                <w:ilvl w:val="0"/>
                <w:numId w:val="0"/>
              </w:numPr>
              <w:shd w:val="clear" w:color="auto" w:fill="auto"/>
              <w:tabs>
                <w:tab w:val="left" w:pos="216"/>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a.</w:t>
            </w:r>
            <w:r>
              <w:rPr>
                <w:rFonts w:hint="eastAsia" w:ascii="宋体" w:hAnsi="宋体" w:eastAsia="宋体" w:cs="宋体"/>
                <w:color w:val="auto"/>
                <w:spacing w:val="0"/>
                <w:w w:val="100"/>
                <w:position w:val="0"/>
                <w:sz w:val="21"/>
                <w:szCs w:val="21"/>
                <w:highlight w:val="none"/>
              </w:rPr>
              <w:t>投标人应接受招标文件规定的风险划分原则，未提出新的风险划分办法；</w:t>
            </w:r>
          </w:p>
          <w:p>
            <w:pPr>
              <w:pStyle w:val="20"/>
              <w:keepNext w:val="0"/>
              <w:keepLines w:val="0"/>
              <w:pageBreakBefore w:val="0"/>
              <w:widowControl w:val="0"/>
              <w:numPr>
                <w:ilvl w:val="0"/>
                <w:numId w:val="0"/>
              </w:numPr>
              <w:shd w:val="clear" w:color="auto" w:fill="auto"/>
              <w:tabs>
                <w:tab w:val="left" w:pos="223"/>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b.</w:t>
            </w:r>
            <w:r>
              <w:rPr>
                <w:rFonts w:hint="eastAsia" w:ascii="宋体" w:hAnsi="宋体" w:eastAsia="宋体" w:cs="宋体"/>
                <w:color w:val="auto"/>
                <w:spacing w:val="0"/>
                <w:w w:val="100"/>
                <w:position w:val="0"/>
                <w:sz w:val="21"/>
                <w:szCs w:val="21"/>
                <w:highlight w:val="none"/>
              </w:rPr>
              <w:t>投标人未增加发包人的责任范围，或减少投标人义务；</w:t>
            </w:r>
          </w:p>
          <w:p>
            <w:pPr>
              <w:pStyle w:val="20"/>
              <w:keepNext w:val="0"/>
              <w:keepLines w:val="0"/>
              <w:pageBreakBefore w:val="0"/>
              <w:widowControl w:val="0"/>
              <w:shd w:val="clear" w:color="auto" w:fill="auto"/>
              <w:kinsoku/>
              <w:wordWrap/>
              <w:overflowPunct/>
              <w:topLinePunct w:val="0"/>
              <w:autoSpaceDE/>
              <w:autoSpaceDN/>
              <w:bidi w:val="0"/>
              <w:adjustRightInd/>
              <w:snapToGrid w:val="0"/>
              <w:spacing w:before="0" w:after="0" w:line="36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c.</w:t>
            </w:r>
            <w:r>
              <w:rPr>
                <w:rFonts w:hint="eastAsia" w:ascii="宋体" w:hAnsi="宋体" w:eastAsia="宋体" w:cs="宋体"/>
                <w:color w:val="auto"/>
                <w:spacing w:val="0"/>
                <w:w w:val="100"/>
                <w:position w:val="0"/>
                <w:sz w:val="21"/>
                <w:szCs w:val="21"/>
                <w:highlight w:val="none"/>
              </w:rPr>
              <w:t>投标人未提出不同的工程验收、计量、支付办法；</w:t>
            </w:r>
          </w:p>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d.</w:t>
            </w:r>
            <w:r>
              <w:rPr>
                <w:rFonts w:hint="eastAsia" w:ascii="宋体" w:hAnsi="宋体" w:eastAsia="宋体" w:cs="宋体"/>
                <w:color w:val="auto"/>
                <w:spacing w:val="0"/>
                <w:w w:val="100"/>
                <w:position w:val="0"/>
                <w:sz w:val="21"/>
                <w:szCs w:val="21"/>
                <w:highlight w:val="none"/>
              </w:rPr>
              <w:t>投标人对合同纠纷、事故处理办法未提出异议；</w:t>
            </w:r>
          </w:p>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e.</w:t>
            </w:r>
            <w:r>
              <w:rPr>
                <w:rFonts w:hint="eastAsia" w:ascii="宋体" w:hAnsi="宋体" w:eastAsia="宋体" w:cs="宋体"/>
                <w:color w:val="auto"/>
                <w:spacing w:val="0"/>
                <w:w w:val="100"/>
                <w:position w:val="0"/>
                <w:sz w:val="21"/>
                <w:szCs w:val="21"/>
                <w:highlight w:val="none"/>
              </w:rPr>
              <w:t>投标人在投标活动中无欺诈行为；</w:t>
            </w:r>
          </w:p>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Chars="0" w:right="0" w:right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w w:val="100"/>
                <w:position w:val="0"/>
                <w:sz w:val="21"/>
                <w:szCs w:val="21"/>
                <w:highlight w:val="none"/>
                <w:lang w:val="en-US" w:eastAsia="zh-CN"/>
              </w:rPr>
              <w:t>f.</w:t>
            </w:r>
            <w:r>
              <w:rPr>
                <w:rFonts w:hint="eastAsia" w:ascii="宋体" w:hAnsi="宋体" w:eastAsia="宋体" w:cs="宋体"/>
                <w:color w:val="auto"/>
                <w:spacing w:val="0"/>
                <w:w w:val="100"/>
                <w:position w:val="0"/>
                <w:sz w:val="21"/>
                <w:szCs w:val="21"/>
                <w:highlight w:val="none"/>
              </w:rPr>
              <w:t>投标人未对合同条款有重要保留。</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（1</w:t>
            </w: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2</w:t>
            </w: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）围标、串标审查：如果有证据显示投标人以他人名义投标、与他人串通投标、以行贿手段谋取中标，以及投标弄虚作假的，评标委员会应对该投标文件作无效投标处理；</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（1</w:t>
            </w: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3</w:t>
            </w: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）评标委员会要对投标人的财务能力、管理水平和以往施工业绩及履约信誉进行详细评审。如发现投标文件有以下情况之一的，评标委员会将对其作无效投标处理：</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a.承诺的质量标准低于招标文件或国家强制性标准要求；</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b.提供虚假施工业绩及履约信誉证明材料。</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CN"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w:t>
            </w: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14</w:t>
            </w: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）投标文件提交方式：满足投标人须知第3.7.4款规定</w:t>
            </w:r>
            <w:r>
              <w:rPr>
                <w:rFonts w:hint="eastAsia" w:ascii="宋体" w:hAnsi="宋体" w:eastAsia="宋体" w:cs="宋体"/>
                <w:color w:val="auto"/>
                <w:spacing w:val="0"/>
                <w:w w:val="100"/>
                <w:kern w:val="2"/>
                <w:position w:val="0"/>
                <w:sz w:val="21"/>
                <w:szCs w:val="21"/>
                <w:highlight w:val="none"/>
                <w:u w:val="none"/>
                <w:shd w:val="clear" w:color="auto" w:fill="auto"/>
                <w:lang w:val="zh-TW" w:eastAsia="zh-CN" w:bidi="zh-TW"/>
              </w:rPr>
              <w:t>；</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（1</w:t>
            </w: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5</w:t>
            </w: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）按照评标委员会的要求进行了澄清、说明或补正</w:t>
            </w:r>
            <w:r>
              <w:rPr>
                <w:rFonts w:hint="eastAsia" w:ascii="宋体" w:hAnsi="宋体" w:eastAsia="宋体" w:cs="宋体"/>
                <w:color w:val="auto"/>
                <w:spacing w:val="0"/>
                <w:w w:val="100"/>
                <w:kern w:val="2"/>
                <w:position w:val="0"/>
                <w:sz w:val="21"/>
                <w:szCs w:val="21"/>
                <w:highlight w:val="none"/>
                <w:u w:val="none"/>
                <w:shd w:val="clear" w:color="auto" w:fill="auto"/>
                <w:lang w:val="zh-TW" w:eastAsia="zh-CN" w:bidi="zh-TW"/>
              </w:rPr>
              <w:t>；</w:t>
            </w:r>
          </w:p>
          <w:p>
            <w:pPr>
              <w:keepNext w:val="0"/>
              <w:keepLines w:val="0"/>
              <w:pageBreakBefore w:val="0"/>
              <w:tabs>
                <w:tab w:val="left" w:pos="246"/>
                <w:tab w:val="left" w:pos="318"/>
                <w:tab w:val="left" w:pos="459"/>
              </w:tabs>
              <w:kinsoku/>
              <w:wordWrap/>
              <w:overflowPunct/>
              <w:topLinePunct w:val="0"/>
              <w:autoSpaceDE w:val="0"/>
              <w:autoSpaceDN w:val="0"/>
              <w:bidi w:val="0"/>
              <w:adjustRightInd/>
              <w:spacing w:line="360" w:lineRule="auto"/>
              <w:ind w:left="110" w:leftChars="50"/>
              <w:jc w:val="both"/>
              <w:textAlignment w:val="auto"/>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（1</w:t>
            </w: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6</w:t>
            </w:r>
            <w:r>
              <w:rPr>
                <w:rFonts w:hint="eastAsia" w:ascii="宋体" w:hAnsi="宋体" w:eastAsia="宋体" w:cs="宋体"/>
                <w:color w:val="auto"/>
                <w:spacing w:val="0"/>
                <w:w w:val="100"/>
                <w:kern w:val="2"/>
                <w:position w:val="0"/>
                <w:sz w:val="21"/>
                <w:szCs w:val="21"/>
                <w:highlight w:val="none"/>
                <w:u w:val="none"/>
                <w:shd w:val="clear" w:color="auto" w:fill="auto"/>
                <w:lang w:val="zh-TW" w:eastAsia="zh-TW" w:bidi="zh-TW"/>
              </w:rPr>
              <w:t>）未附有招标人不能接受的其他条件。</w:t>
            </w:r>
          </w:p>
          <w:p>
            <w:pPr>
              <w:pStyle w:val="20"/>
              <w:keepNext w:val="0"/>
              <w:keepLines w:val="0"/>
              <w:pageBreakBefore w:val="0"/>
              <w:widowControl w:val="0"/>
              <w:numPr>
                <w:ilvl w:val="0"/>
                <w:numId w:val="0"/>
              </w:numPr>
              <w:shd w:val="clear" w:color="auto" w:fill="auto"/>
              <w:tabs>
                <w:tab w:val="left" w:pos="396"/>
              </w:tabs>
              <w:kinsoku/>
              <w:wordWrap/>
              <w:overflowPunct/>
              <w:topLinePunct w:val="0"/>
              <w:bidi w:val="0"/>
              <w:adjustRightInd/>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第二个信封(报价文件)评审标准：</w:t>
            </w:r>
          </w:p>
          <w:p>
            <w:pPr>
              <w:pStyle w:val="20"/>
              <w:keepNext w:val="0"/>
              <w:keepLines w:val="0"/>
              <w:pageBreakBefore w:val="0"/>
              <w:widowControl w:val="0"/>
              <w:numPr>
                <w:ilvl w:val="0"/>
                <w:numId w:val="0"/>
              </w:numPr>
              <w:shd w:val="clear" w:color="auto" w:fill="auto"/>
              <w:tabs>
                <w:tab w:val="left" w:pos="288"/>
              </w:tabs>
              <w:kinsoku/>
              <w:wordWrap/>
              <w:overflowPunct/>
              <w:topLinePunct w:val="0"/>
              <w:bidi w:val="0"/>
              <w:adjustRightInd/>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投标文件按照招标文件规定的格式、内容填写，字迹清晰可辨：</w:t>
            </w:r>
          </w:p>
          <w:p>
            <w:pPr>
              <w:pStyle w:val="20"/>
              <w:keepNext w:val="0"/>
              <w:keepLines w:val="0"/>
              <w:pageBreakBefore w:val="0"/>
              <w:widowControl w:val="0"/>
              <w:shd w:val="clear" w:color="auto" w:fill="auto"/>
              <w:tabs>
                <w:tab w:val="left" w:pos="317"/>
              </w:tabs>
              <w:kinsoku/>
              <w:wordWrap/>
              <w:overflowPunct/>
              <w:topLinePunct w:val="0"/>
              <w:bidi w:val="0"/>
              <w:adjustRightInd/>
              <w:spacing w:before="0" w:after="0" w:line="360" w:lineRule="auto"/>
              <w:ind w:left="220" w:leftChars="100" w:right="0" w:firstLine="8" w:firstLineChars="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a.</w:t>
            </w:r>
            <w:r>
              <w:rPr>
                <w:rFonts w:hint="eastAsia" w:ascii="宋体" w:hAnsi="宋体" w:eastAsia="宋体" w:cs="宋体"/>
                <w:color w:val="auto"/>
                <w:spacing w:val="0"/>
                <w:w w:val="100"/>
                <w:position w:val="0"/>
                <w:sz w:val="21"/>
                <w:szCs w:val="21"/>
                <w:highlight w:val="none"/>
              </w:rPr>
              <w:t>投标函按招标文件规定填报了项目名称、标段、补遗书编号(如有)、投标价(包括大写金额和小写金额)；</w:t>
            </w:r>
          </w:p>
          <w:p>
            <w:pPr>
              <w:pStyle w:val="20"/>
              <w:keepNext w:val="0"/>
              <w:keepLines w:val="0"/>
              <w:pageBreakBefore w:val="0"/>
              <w:widowControl w:val="0"/>
              <w:shd w:val="clear" w:color="auto" w:fill="auto"/>
              <w:tabs>
                <w:tab w:val="left" w:pos="353"/>
              </w:tabs>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b.</w:t>
            </w:r>
            <w:r>
              <w:rPr>
                <w:rFonts w:hint="eastAsia" w:ascii="宋体" w:hAnsi="宋体" w:eastAsia="宋体" w:cs="宋体"/>
                <w:color w:val="auto"/>
                <w:spacing w:val="0"/>
                <w:w w:val="100"/>
                <w:position w:val="0"/>
                <w:sz w:val="21"/>
                <w:szCs w:val="21"/>
                <w:highlight w:val="none"/>
              </w:rPr>
              <w:t>已标价工程量清单说明、投标报价说明、计日工说明、其他说明以及工程量清单表中文字与招标文件规定一致，未进行实质性修改和删减；</w:t>
            </w:r>
          </w:p>
          <w:p>
            <w:pPr>
              <w:pStyle w:val="20"/>
              <w:keepNext w:val="0"/>
              <w:keepLines w:val="0"/>
              <w:pageBreakBefore w:val="0"/>
              <w:widowControl w:val="0"/>
              <w:shd w:val="clear" w:color="auto" w:fill="auto"/>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c.</w:t>
            </w:r>
            <w:r>
              <w:rPr>
                <w:rFonts w:hint="eastAsia" w:ascii="宋体" w:hAnsi="宋体" w:eastAsia="宋体" w:cs="宋体"/>
                <w:color w:val="auto"/>
                <w:spacing w:val="0"/>
                <w:w w:val="100"/>
                <w:position w:val="0"/>
                <w:sz w:val="21"/>
                <w:szCs w:val="21"/>
                <w:highlight w:val="none"/>
              </w:rPr>
              <w:t>投标文件组成齐全完整，内容均按规定填写。</w:t>
            </w:r>
          </w:p>
          <w:p>
            <w:pPr>
              <w:pStyle w:val="20"/>
              <w:keepNext w:val="0"/>
              <w:keepLines w:val="0"/>
              <w:pageBreakBefore w:val="0"/>
              <w:widowControl w:val="0"/>
              <w:numPr>
                <w:ilvl w:val="0"/>
                <w:numId w:val="0"/>
              </w:numPr>
              <w:shd w:val="clear" w:color="auto" w:fill="auto"/>
              <w:tabs>
                <w:tab w:val="left" w:pos="317"/>
              </w:tabs>
              <w:kinsoku/>
              <w:wordWrap/>
              <w:overflowPunct/>
              <w:topLinePunct w:val="0"/>
              <w:bidi w:val="0"/>
              <w:adjustRightInd/>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2</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投标文件上法定代表人或其授权代理人的签字、投标人的单位章盖章齐全，符合招标文件规定：投标文件格式中(包括但不限于投标函、已标价工程量清单等)中明 确要求投标人法定代表人或其委托代理人签字的、明确要求投标人加盖单位章的，投标文件上法定代表人或其授权代理人的签字、投标人的单位章盖章应齐全。</w:t>
            </w:r>
          </w:p>
          <w:p>
            <w:pPr>
              <w:pStyle w:val="20"/>
              <w:keepNext w:val="0"/>
              <w:keepLines w:val="0"/>
              <w:pageBreakBefore w:val="0"/>
              <w:widowControl w:val="0"/>
              <w:numPr>
                <w:ilvl w:val="0"/>
                <w:numId w:val="0"/>
              </w:numPr>
              <w:shd w:val="clear" w:color="auto" w:fill="auto"/>
              <w:tabs>
                <w:tab w:val="left" w:pos="288"/>
              </w:tabs>
              <w:kinsoku/>
              <w:wordWrap/>
              <w:overflowPunct/>
              <w:topLinePunct w:val="0"/>
              <w:bidi w:val="0"/>
              <w:adjustRightInd/>
              <w:spacing w:before="0" w:after="0" w:line="360" w:lineRule="auto"/>
              <w:ind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投标报价中报价满足投标人须知的要求及满足以下要求：</w:t>
            </w:r>
          </w:p>
          <w:p>
            <w:pPr>
              <w:pStyle w:val="20"/>
              <w:keepNext w:val="0"/>
              <w:keepLines w:val="0"/>
              <w:pageBreakBefore w:val="0"/>
              <w:widowControl w:val="0"/>
              <w:shd w:val="clear" w:color="auto" w:fill="auto"/>
              <w:tabs>
                <w:tab w:val="left" w:pos="317"/>
              </w:tabs>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a.</w:t>
            </w:r>
            <w:r>
              <w:rPr>
                <w:rFonts w:hint="eastAsia" w:ascii="宋体" w:hAnsi="宋体" w:eastAsia="宋体" w:cs="宋体"/>
                <w:color w:val="auto"/>
                <w:spacing w:val="0"/>
                <w:w w:val="100"/>
                <w:position w:val="0"/>
                <w:sz w:val="21"/>
                <w:szCs w:val="21"/>
                <w:highlight w:val="none"/>
              </w:rPr>
              <w:t>投标报价的大写金额能确定具体数值；</w:t>
            </w:r>
          </w:p>
          <w:p>
            <w:pPr>
              <w:pStyle w:val="20"/>
              <w:keepNext w:val="0"/>
              <w:keepLines w:val="0"/>
              <w:pageBreakBefore w:val="0"/>
              <w:widowControl w:val="0"/>
              <w:shd w:val="clear" w:color="auto" w:fill="auto"/>
              <w:tabs>
                <w:tab w:val="left" w:pos="324"/>
              </w:tabs>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b.</w:t>
            </w:r>
            <w:r>
              <w:rPr>
                <w:rFonts w:hint="eastAsia" w:ascii="宋体" w:hAnsi="宋体" w:eastAsia="宋体" w:cs="宋体"/>
                <w:color w:val="auto"/>
                <w:spacing w:val="0"/>
                <w:w w:val="100"/>
                <w:position w:val="0"/>
                <w:sz w:val="21"/>
                <w:szCs w:val="21"/>
                <w:highlight w:val="none"/>
              </w:rPr>
              <w:t>投标报价未超过招标文件设定的最高投标限价；</w:t>
            </w:r>
          </w:p>
          <w:p>
            <w:pPr>
              <w:pStyle w:val="20"/>
              <w:keepNext w:val="0"/>
              <w:keepLines w:val="0"/>
              <w:pageBreakBefore w:val="0"/>
              <w:widowControl w:val="0"/>
              <w:shd w:val="clear" w:color="auto" w:fill="auto"/>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c.</w:t>
            </w:r>
            <w:r>
              <w:rPr>
                <w:rFonts w:hint="eastAsia" w:ascii="宋体" w:hAnsi="宋体" w:eastAsia="宋体" w:cs="宋体"/>
                <w:color w:val="auto"/>
                <w:spacing w:val="0"/>
                <w:w w:val="100"/>
                <w:position w:val="0"/>
                <w:sz w:val="21"/>
                <w:szCs w:val="21"/>
                <w:highlight w:val="none"/>
              </w:rPr>
              <w:t>投标报价大写金额无错误且可唱出；</w:t>
            </w:r>
          </w:p>
          <w:p>
            <w:pPr>
              <w:pStyle w:val="20"/>
              <w:keepNext w:val="0"/>
              <w:keepLines w:val="0"/>
              <w:pageBreakBefore w:val="0"/>
              <w:widowControl w:val="0"/>
              <w:shd w:val="clear" w:color="auto" w:fill="auto"/>
              <w:tabs>
                <w:tab w:val="left" w:pos="317"/>
              </w:tabs>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d.</w:t>
            </w:r>
            <w:r>
              <w:rPr>
                <w:rFonts w:hint="eastAsia" w:ascii="宋体" w:hAnsi="宋体" w:eastAsia="宋体" w:cs="宋体"/>
                <w:color w:val="auto"/>
                <w:spacing w:val="0"/>
                <w:w w:val="100"/>
                <w:position w:val="0"/>
                <w:sz w:val="21"/>
                <w:szCs w:val="21"/>
                <w:highlight w:val="none"/>
              </w:rPr>
              <w:t>未提交调价函；</w:t>
            </w:r>
          </w:p>
          <w:p>
            <w:pPr>
              <w:pStyle w:val="20"/>
              <w:keepNext w:val="0"/>
              <w:keepLines w:val="0"/>
              <w:pageBreakBefore w:val="0"/>
              <w:widowControl w:val="0"/>
              <w:shd w:val="clear" w:color="auto" w:fill="auto"/>
              <w:tabs>
                <w:tab w:val="left" w:pos="331"/>
              </w:tabs>
              <w:kinsoku/>
              <w:wordWrap/>
              <w:overflowPunct/>
              <w:topLinePunct w:val="0"/>
              <w:bidi w:val="0"/>
              <w:adjustRightInd/>
              <w:spacing w:before="0" w:after="0" w:line="360" w:lineRule="auto"/>
              <w:ind w:left="0" w:right="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bidi="en-US"/>
              </w:rPr>
              <w:t>e .</w:t>
            </w:r>
            <w:r>
              <w:rPr>
                <w:rFonts w:hint="eastAsia" w:ascii="宋体" w:hAnsi="宋体" w:eastAsia="宋体" w:cs="宋体"/>
                <w:color w:val="auto"/>
                <w:spacing w:val="0"/>
                <w:w w:val="100"/>
                <w:position w:val="0"/>
                <w:sz w:val="21"/>
                <w:szCs w:val="21"/>
                <w:highlight w:val="none"/>
              </w:rPr>
              <w:t>同一投标人未提交两个以上不同的投标报价。</w:t>
            </w:r>
          </w:p>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Chars="0" w:right="0" w:rightChars="0" w:firstLine="210" w:firstLineChars="1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投标文件未附有招标人不能接受的其他条件。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521" w:hRule="atLeast"/>
          <w:jc w:val="center"/>
        </w:trPr>
        <w:tc>
          <w:tcPr>
            <w:tcW w:w="1051" w:type="dxa"/>
            <w:vMerge w:val="restart"/>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val="en-US" w:eastAsia="en-US" w:bidi="en-US"/>
              </w:rPr>
            </w:pPr>
            <w:r>
              <w:rPr>
                <w:rFonts w:ascii="Times New Roman" w:hAnsi="Times New Roman" w:eastAsia="Times New Roman" w:cs="Times New Roman"/>
                <w:color w:val="auto"/>
                <w:spacing w:val="0"/>
                <w:w w:val="100"/>
                <w:position w:val="0"/>
                <w:sz w:val="19"/>
                <w:szCs w:val="19"/>
                <w:highlight w:val="none"/>
                <w:lang w:val="en-US" w:eastAsia="en-US" w:bidi="en-US"/>
              </w:rPr>
              <w:t>2. 1.2</w:t>
            </w:r>
          </w:p>
        </w:tc>
        <w:tc>
          <w:tcPr>
            <w:tcW w:w="13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资格评审标准</w:t>
            </w: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投标人具备有效的营业</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执照等证件</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投标人具备有效的营业执照、资质证书、安全生产许可证</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z w:val="21"/>
                <w:szCs w:val="21"/>
                <w:highlight w:val="none"/>
              </w:rPr>
              <w:t>基本账户开户许可证（或加盖开户行印章的基本户信息证明材料）的彩色扫描件</w:t>
            </w:r>
            <w:r>
              <w:rPr>
                <w:rFonts w:hint="eastAsia" w:ascii="宋体" w:hAnsi="宋体" w:eastAsia="宋体" w:cs="宋体"/>
                <w:color w:val="auto"/>
                <w:spacing w:val="0"/>
                <w:w w:val="100"/>
                <w:position w:val="0"/>
                <w:sz w:val="21"/>
                <w:szCs w:val="21"/>
                <w:highlight w:val="none"/>
              </w:rPr>
              <w:t>等招标文件要求提交的证照，且所有证照在均为彩色扫描件。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0"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投标人的资质等级符合招标文件投标人须知附录1 规定</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投标人的资质等级符合招标文件投标人须知附录1(包括小注)规定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996"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投标人的财务状况符合招标文件投标人须知附录2 规定</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投标人的财务状况符合招标文件投标人须知附录2 (包括小注)规定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858"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投标人的业绩符合招标文件投标人须知附录3规定</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投标人的业绩符合招标文件投标人须知附录3 (包括小注)规定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95"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投标人的信誉符合招标文件投标人须知附录4规定</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投标人的信誉符合招标文件投标人须知附录</w:t>
            </w:r>
            <w:r>
              <w:rPr>
                <w:rFonts w:hint="eastAsia" w:ascii="宋体" w:hAnsi="宋体" w:eastAsia="宋体" w:cs="宋体"/>
                <w:i w:val="0"/>
                <w:iCs w:val="0"/>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 xml:space="preserve"> (包括小注)规定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833"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投标人的项目经理和项目总工符合招标文件附录5 规定</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投标人的项目经理和项目总工符合招标文件附录5 (包括小注)规定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1118" w:hRule="atLeast"/>
          <w:jc w:val="center"/>
        </w:trPr>
        <w:tc>
          <w:tcPr>
            <w:tcW w:w="1051" w:type="dxa"/>
            <w:vMerge w:val="continue"/>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ascii="Times New Roman" w:hAnsi="Times New Roman" w:eastAsia="Times New Roman" w:cs="Times New Roman"/>
                <w:color w:val="auto"/>
                <w:spacing w:val="0"/>
                <w:w w:val="100"/>
                <w:position w:val="0"/>
                <w:sz w:val="19"/>
                <w:szCs w:val="19"/>
                <w:highlight w:val="none"/>
                <w:lang w:val="en-US" w:eastAsia="en-US" w:bidi="en-US"/>
              </w:rPr>
            </w:pPr>
          </w:p>
        </w:tc>
        <w:tc>
          <w:tcPr>
            <w:tcW w:w="13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rPr>
            </w:pPr>
          </w:p>
        </w:tc>
        <w:tc>
          <w:tcPr>
            <w:tcW w:w="28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投标人不存在第二章</w:t>
            </w:r>
            <w:r>
              <w:rPr>
                <w:rFonts w:hint="eastAsia" w:ascii="宋体" w:hAnsi="宋体" w:eastAsia="宋体" w:cs="宋体"/>
                <w:color w:val="auto"/>
                <w:spacing w:val="0"/>
                <w:w w:val="100"/>
                <w:position w:val="0"/>
                <w:sz w:val="21"/>
                <w:szCs w:val="21"/>
                <w:highlight w:val="none"/>
                <w:lang w:val="zh-CN" w:eastAsia="zh-CN" w:bidi="zh-CN"/>
              </w:rPr>
              <w:t>“投</w:t>
            </w:r>
            <w:r>
              <w:rPr>
                <w:rFonts w:hint="eastAsia" w:ascii="宋体" w:hAnsi="宋体" w:eastAsia="宋体" w:cs="宋体"/>
                <w:color w:val="auto"/>
                <w:spacing w:val="0"/>
                <w:w w:val="100"/>
                <w:position w:val="0"/>
                <w:sz w:val="21"/>
                <w:szCs w:val="21"/>
                <w:highlight w:val="none"/>
              </w:rPr>
              <w:t>标人须知”第</w:t>
            </w:r>
            <w:r>
              <w:rPr>
                <w:rFonts w:hint="eastAsia" w:ascii="宋体" w:hAnsi="宋体" w:eastAsia="宋体" w:cs="宋体"/>
                <w:color w:val="auto"/>
                <w:spacing w:val="0"/>
                <w:w w:val="100"/>
                <w:position w:val="0"/>
                <w:sz w:val="21"/>
                <w:szCs w:val="21"/>
                <w:highlight w:val="none"/>
                <w:lang w:val="en-US" w:eastAsia="en-US" w:bidi="en-US"/>
              </w:rPr>
              <w:t>1.4.3</w:t>
            </w:r>
            <w:r>
              <w:rPr>
                <w:rFonts w:hint="eastAsia" w:ascii="宋体" w:hAnsi="宋体" w:eastAsia="宋体" w:cs="宋体"/>
                <w:color w:val="auto"/>
                <w:spacing w:val="0"/>
                <w:w w:val="100"/>
                <w:position w:val="0"/>
                <w:sz w:val="21"/>
                <w:szCs w:val="21"/>
                <w:highlight w:val="none"/>
              </w:rPr>
              <w:t>项或 第</w:t>
            </w:r>
            <w:r>
              <w:rPr>
                <w:rFonts w:hint="eastAsia" w:ascii="宋体" w:hAnsi="宋体" w:eastAsia="宋体" w:cs="宋体"/>
                <w:color w:val="auto"/>
                <w:spacing w:val="0"/>
                <w:w w:val="100"/>
                <w:position w:val="0"/>
                <w:sz w:val="21"/>
                <w:szCs w:val="21"/>
                <w:highlight w:val="none"/>
                <w:lang w:val="en-US" w:eastAsia="en-US" w:bidi="en-US"/>
              </w:rPr>
              <w:t xml:space="preserve">1.4. </w:t>
            </w:r>
            <w:r>
              <w:rPr>
                <w:rFonts w:hint="eastAsia" w:ascii="宋体" w:hAnsi="宋体" w:eastAsia="宋体" w:cs="宋体"/>
                <w:color w:val="auto"/>
                <w:spacing w:val="0"/>
                <w:w w:val="100"/>
                <w:position w:val="0"/>
                <w:sz w:val="21"/>
                <w:szCs w:val="21"/>
                <w:highlight w:val="none"/>
              </w:rPr>
              <w:t>4项规定的任何一 种情形</w:t>
            </w:r>
          </w:p>
        </w:tc>
        <w:tc>
          <w:tcPr>
            <w:tcW w:w="44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详见</w:t>
            </w:r>
            <w:r>
              <w:rPr>
                <w:rFonts w:hint="eastAsia" w:ascii="宋体" w:hAnsi="宋体" w:eastAsia="宋体" w:cs="宋体"/>
                <w:color w:val="auto"/>
                <w:spacing w:val="0"/>
                <w:w w:val="100"/>
                <w:position w:val="0"/>
                <w:sz w:val="21"/>
                <w:szCs w:val="21"/>
                <w:highlight w:val="none"/>
                <w:lang w:val="zh-CN" w:eastAsia="zh-CN" w:bidi="zh-CN"/>
              </w:rPr>
              <w:t>“投</w:t>
            </w:r>
            <w:r>
              <w:rPr>
                <w:rFonts w:hint="eastAsia" w:ascii="宋体" w:hAnsi="宋体" w:eastAsia="宋体" w:cs="宋体"/>
                <w:color w:val="auto"/>
                <w:spacing w:val="0"/>
                <w:w w:val="100"/>
                <w:position w:val="0"/>
                <w:sz w:val="21"/>
                <w:szCs w:val="21"/>
                <w:highlight w:val="none"/>
              </w:rPr>
              <w:t>标人须知”第</w:t>
            </w:r>
            <w:r>
              <w:rPr>
                <w:rFonts w:hint="eastAsia" w:ascii="宋体" w:hAnsi="宋体" w:eastAsia="宋体" w:cs="宋体"/>
                <w:color w:val="auto"/>
                <w:spacing w:val="0"/>
                <w:w w:val="100"/>
                <w:position w:val="0"/>
                <w:sz w:val="21"/>
                <w:szCs w:val="21"/>
                <w:highlight w:val="none"/>
                <w:lang w:val="en-US" w:eastAsia="en-US" w:bidi="en-US"/>
              </w:rPr>
              <w:t>1.4.3</w:t>
            </w:r>
            <w:r>
              <w:rPr>
                <w:rFonts w:hint="eastAsia" w:ascii="宋体" w:hAnsi="宋体" w:eastAsia="宋体" w:cs="宋体"/>
                <w:color w:val="auto"/>
                <w:spacing w:val="0"/>
                <w:w w:val="100"/>
                <w:position w:val="0"/>
                <w:sz w:val="21"/>
                <w:szCs w:val="21"/>
                <w:highlight w:val="none"/>
              </w:rPr>
              <w:t>项和第</w:t>
            </w:r>
            <w:r>
              <w:rPr>
                <w:rFonts w:hint="eastAsia" w:ascii="宋体" w:hAnsi="宋体" w:eastAsia="宋体" w:cs="宋体"/>
                <w:color w:val="auto"/>
                <w:spacing w:val="0"/>
                <w:w w:val="100"/>
                <w:position w:val="0"/>
                <w:sz w:val="21"/>
                <w:szCs w:val="21"/>
                <w:highlight w:val="none"/>
                <w:lang w:val="en-US" w:eastAsia="en-US" w:bidi="en-US"/>
              </w:rPr>
              <w:t>1.4.4</w:t>
            </w:r>
            <w:r>
              <w:rPr>
                <w:rFonts w:hint="eastAsia" w:ascii="宋体" w:hAnsi="宋体" w:eastAsia="宋体" w:cs="宋体"/>
                <w:color w:val="auto"/>
                <w:spacing w:val="0"/>
                <w:w w:val="100"/>
                <w:position w:val="0"/>
                <w:sz w:val="21"/>
                <w:szCs w:val="21"/>
                <w:highlight w:val="none"/>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18" w:hRule="atLeast"/>
          <w:jc w:val="center"/>
        </w:trPr>
        <w:tc>
          <w:tcPr>
            <w:tcW w:w="9770" w:type="dxa"/>
            <w:gridSpan w:val="4"/>
            <w:tcBorders>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color w:val="auto"/>
                <w:spacing w:val="0"/>
                <w:w w:val="100"/>
                <w:position w:val="0"/>
                <w:highlight w:val="none"/>
              </w:rPr>
            </w:pPr>
            <w:r>
              <w:rPr>
                <w:color w:val="auto"/>
                <w:spacing w:val="0"/>
                <w:w w:val="100"/>
                <w:position w:val="0"/>
                <w:highlight w:val="none"/>
              </w:rPr>
              <w:t>投标人递交的投标文件不满足形式评审与响应性评审标准中任意一项要求的，其投标文件不通过初步审查，评标委员会将否决其投标。</w:t>
            </w:r>
          </w:p>
        </w:tc>
      </w:tr>
    </w:tbl>
    <w:p>
      <w:pPr>
        <w:rPr>
          <w:color w:val="auto"/>
          <w:highlight w:val="none"/>
        </w:rPr>
      </w:pPr>
      <w:r>
        <w:rPr>
          <w:color w:val="auto"/>
          <w:highlight w:val="none"/>
        </w:rPr>
        <w:br w:type="page"/>
      </w:r>
    </w:p>
    <w:tbl>
      <w:tblPr>
        <w:tblStyle w:val="10"/>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1029"/>
        <w:gridCol w:w="2462"/>
        <w:gridCol w:w="6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81"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条款号</w:t>
            </w:r>
          </w:p>
        </w:tc>
        <w:tc>
          <w:tcPr>
            <w:tcW w:w="2462"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14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条款内容</w:t>
            </w:r>
          </w:p>
        </w:tc>
        <w:tc>
          <w:tcPr>
            <w:tcW w:w="62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Chars="0" w:right="0" w:rightChars="0" w:firstLine="210" w:firstLineChars="10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81"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2. 2. </w:t>
            </w:r>
            <w:r>
              <w:rPr>
                <w:rFonts w:ascii="Times New Roman" w:hAnsi="Times New Roman" w:eastAsia="Times New Roman" w:cs="Times New Roman"/>
                <w:color w:val="auto"/>
                <w:spacing w:val="0"/>
                <w:w w:val="100"/>
                <w:position w:val="0"/>
                <w:sz w:val="19"/>
                <w:szCs w:val="19"/>
                <w:highlight w:val="none"/>
              </w:rPr>
              <w:t>1</w:t>
            </w:r>
          </w:p>
        </w:tc>
        <w:tc>
          <w:tcPr>
            <w:tcW w:w="2462"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color w:val="auto"/>
                <w:spacing w:val="0"/>
                <w:w w:val="100"/>
                <w:position w:val="0"/>
                <w:highlight w:val="none"/>
              </w:rPr>
              <w:t>分值构成（总分</w:t>
            </w:r>
            <w:r>
              <w:rPr>
                <w:rFonts w:ascii="Times New Roman" w:hAnsi="Times New Roman" w:eastAsia="Times New Roman" w:cs="Times New Roman"/>
                <w:color w:val="auto"/>
                <w:spacing w:val="0"/>
                <w:w w:val="100"/>
                <w:position w:val="0"/>
                <w:sz w:val="19"/>
                <w:szCs w:val="19"/>
                <w:highlight w:val="none"/>
              </w:rPr>
              <w:t>100</w:t>
            </w:r>
            <w:r>
              <w:rPr>
                <w:color w:val="auto"/>
                <w:spacing w:val="0"/>
                <w:w w:val="100"/>
                <w:position w:val="0"/>
                <w:highlight w:val="none"/>
              </w:rPr>
              <w:t>分）</w:t>
            </w:r>
          </w:p>
        </w:tc>
        <w:tc>
          <w:tcPr>
            <w:tcW w:w="627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eastAsia="zh-CN"/>
              </w:rPr>
            </w:pPr>
            <w:r>
              <w:rPr>
                <w:color w:val="auto"/>
                <w:spacing w:val="0"/>
                <w:w w:val="100"/>
                <w:position w:val="0"/>
                <w:highlight w:val="none"/>
              </w:rPr>
              <w:t>评标价：</w:t>
            </w:r>
            <w:r>
              <w:rPr>
                <w:rFonts w:ascii="Times New Roman" w:hAnsi="Times New Roman" w:eastAsia="Times New Roman" w:cs="Times New Roman"/>
                <w:color w:val="auto"/>
                <w:spacing w:val="0"/>
                <w:w w:val="100"/>
                <w:position w:val="0"/>
                <w:sz w:val="19"/>
                <w:szCs w:val="19"/>
                <w:highlight w:val="none"/>
              </w:rPr>
              <w:t>100</w:t>
            </w:r>
            <w:r>
              <w:rPr>
                <w:color w:val="auto"/>
                <w:spacing w:val="0"/>
                <w:w w:val="100"/>
                <w:position w:val="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81"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300" w:after="0" w:line="360" w:lineRule="auto"/>
              <w:ind w:left="0" w:leftChars="0" w:right="0" w:rightChars="0" w:firstLine="0" w:firstLineChars="0"/>
              <w:jc w:val="center"/>
              <w:textAlignment w:val="auto"/>
              <w:rPr>
                <w:rFonts w:ascii="Times New Roman" w:hAnsi="Times New Roman" w:eastAsia="Times New Roman" w:cs="Times New Roman"/>
                <w:color w:val="auto"/>
                <w:spacing w:val="0"/>
                <w:w w:val="100"/>
                <w:position w:val="0"/>
                <w:sz w:val="19"/>
                <w:szCs w:val="19"/>
                <w:highlight w:val="none"/>
                <w:lang w:val="en-US" w:eastAsia="en-US" w:bidi="en-US"/>
              </w:rPr>
            </w:pPr>
            <w:r>
              <w:rPr>
                <w:rFonts w:ascii="Times New Roman" w:hAnsi="Times New Roman" w:eastAsia="Times New Roman" w:cs="Times New Roman"/>
                <w:color w:val="auto"/>
                <w:spacing w:val="0"/>
                <w:w w:val="100"/>
                <w:position w:val="0"/>
                <w:sz w:val="19"/>
                <w:szCs w:val="19"/>
                <w:highlight w:val="none"/>
                <w:lang w:val="en-US" w:eastAsia="en-US" w:bidi="en-US"/>
              </w:rPr>
              <w:t>2. 2.2</w:t>
            </w:r>
          </w:p>
        </w:tc>
        <w:tc>
          <w:tcPr>
            <w:tcW w:w="2462"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color w:val="auto"/>
                <w:spacing w:val="0"/>
                <w:w w:val="100"/>
                <w:position w:val="0"/>
                <w:highlight w:val="none"/>
              </w:rPr>
            </w:pPr>
            <w:r>
              <w:rPr>
                <w:color w:val="auto"/>
                <w:spacing w:val="0"/>
                <w:w w:val="100"/>
                <w:position w:val="0"/>
                <w:sz w:val="22"/>
                <w:szCs w:val="22"/>
                <w:highlight w:val="none"/>
              </w:rPr>
              <w:t>评标基准价计算方法</w:t>
            </w:r>
          </w:p>
        </w:tc>
        <w:tc>
          <w:tcPr>
            <w:tcW w:w="627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highlight w:val="none"/>
              </w:rPr>
            </w:pPr>
            <w:r>
              <w:rPr>
                <w:color w:val="auto"/>
                <w:spacing w:val="0"/>
                <w:w w:val="100"/>
                <w:position w:val="0"/>
                <w:highlight w:val="none"/>
              </w:rPr>
              <w:t>一、计算公式字母含义</w:t>
            </w:r>
          </w:p>
          <w:p>
            <w:pPr>
              <w:pStyle w:val="20"/>
              <w:keepNext w:val="0"/>
              <w:keepLines w:val="0"/>
              <w:pageBreakBefore w:val="0"/>
              <w:widowControl w:val="0"/>
              <w:numPr>
                <w:ilvl w:val="0"/>
                <w:numId w:val="0"/>
              </w:numPr>
              <w:shd w:val="clear" w:color="auto" w:fill="auto"/>
              <w:tabs>
                <w:tab w:val="left" w:pos="202"/>
              </w:tabs>
              <w:kinsoku/>
              <w:wordWrap/>
              <w:overflowPunct/>
              <w:topLinePunct w:val="0"/>
              <w:autoSpaceDE/>
              <w:autoSpaceDN/>
              <w:bidi w:val="0"/>
              <w:adjustRightInd/>
              <w:snapToGrid/>
              <w:spacing w:before="0" w:after="0" w:line="360" w:lineRule="auto"/>
              <w:ind w:leftChars="0" w:right="0" w:rightChars="0"/>
              <w:jc w:val="left"/>
              <w:textAlignment w:val="auto"/>
              <w:rPr>
                <w:color w:val="auto"/>
                <w:highlight w:val="none"/>
              </w:rPr>
            </w:pPr>
            <w:r>
              <w:rPr>
                <w:rFonts w:hint="eastAsia" w:ascii="Times New Roman" w:hAnsi="Times New Roman" w:cs="Times New Roman"/>
                <w:color w:val="auto"/>
                <w:spacing w:val="0"/>
                <w:w w:val="100"/>
                <w:position w:val="0"/>
                <w:sz w:val="19"/>
                <w:szCs w:val="19"/>
                <w:highlight w:val="none"/>
                <w:lang w:val="en-US" w:eastAsia="zh-CN" w:bidi="en-US"/>
              </w:rPr>
              <w:t xml:space="preserve">1. </w:t>
            </w:r>
            <w:r>
              <w:rPr>
                <w:rFonts w:ascii="Times New Roman" w:hAnsi="Times New Roman" w:eastAsia="Times New Roman" w:cs="Times New Roman"/>
                <w:color w:val="auto"/>
                <w:spacing w:val="0"/>
                <w:w w:val="100"/>
                <w:position w:val="0"/>
                <w:sz w:val="19"/>
                <w:szCs w:val="19"/>
                <w:highlight w:val="none"/>
                <w:lang w:val="en-US" w:eastAsia="en-US" w:bidi="en-US"/>
              </w:rPr>
              <w:t>P</w:t>
            </w:r>
            <w:r>
              <w:rPr>
                <w:color w:val="auto"/>
                <w:spacing w:val="0"/>
                <w:w w:val="100"/>
                <w:position w:val="0"/>
                <w:highlight w:val="none"/>
              </w:rPr>
              <w:t>为评标基准价；</w:t>
            </w:r>
          </w:p>
          <w:p>
            <w:pPr>
              <w:pStyle w:val="20"/>
              <w:keepNext w:val="0"/>
              <w:keepLines w:val="0"/>
              <w:pageBreakBefore w:val="0"/>
              <w:widowControl w:val="0"/>
              <w:numPr>
                <w:ilvl w:val="0"/>
                <w:numId w:val="0"/>
              </w:numPr>
              <w:shd w:val="clear" w:color="auto" w:fill="auto"/>
              <w:tabs>
                <w:tab w:val="left" w:pos="202"/>
              </w:tabs>
              <w:kinsoku/>
              <w:wordWrap/>
              <w:overflowPunct/>
              <w:topLinePunct w:val="0"/>
              <w:autoSpaceDE/>
              <w:autoSpaceDN/>
              <w:bidi w:val="0"/>
              <w:adjustRightInd/>
              <w:snapToGrid/>
              <w:spacing w:before="0" w:after="0" w:line="360" w:lineRule="auto"/>
              <w:ind w:leftChars="0" w:right="0" w:rightChars="0"/>
              <w:jc w:val="left"/>
              <w:textAlignment w:val="auto"/>
              <w:rPr>
                <w:color w:val="auto"/>
                <w:highlight w:val="none"/>
              </w:rPr>
            </w:pPr>
            <w:r>
              <w:rPr>
                <w:rFonts w:hint="eastAsia" w:ascii="Times New Roman" w:hAnsi="Times New Roman" w:cs="Times New Roman"/>
                <w:color w:val="auto"/>
                <w:spacing w:val="0"/>
                <w:w w:val="100"/>
                <w:position w:val="0"/>
                <w:sz w:val="19"/>
                <w:szCs w:val="19"/>
                <w:highlight w:val="none"/>
                <w:lang w:val="en-US" w:eastAsia="zh-CN" w:bidi="en-US"/>
              </w:rPr>
              <w:t xml:space="preserve">2. </w:t>
            </w:r>
            <w:r>
              <w:rPr>
                <w:rFonts w:ascii="Times New Roman" w:hAnsi="Times New Roman" w:eastAsia="Times New Roman" w:cs="Times New Roman"/>
                <w:color w:val="auto"/>
                <w:spacing w:val="0"/>
                <w:w w:val="100"/>
                <w:position w:val="0"/>
                <w:sz w:val="19"/>
                <w:szCs w:val="19"/>
                <w:highlight w:val="none"/>
                <w:lang w:val="en-US" w:eastAsia="en-US" w:bidi="en-US"/>
              </w:rPr>
              <w:t>Di</w:t>
            </w:r>
            <w:r>
              <w:rPr>
                <w:color w:val="auto"/>
                <w:spacing w:val="0"/>
                <w:w w:val="100"/>
                <w:position w:val="0"/>
                <w:highlight w:val="none"/>
              </w:rPr>
              <w:t>为评标价：</w:t>
            </w:r>
            <w:r>
              <w:rPr>
                <w:rFonts w:ascii="Times New Roman" w:hAnsi="Times New Roman" w:eastAsia="Times New Roman" w:cs="Times New Roman"/>
                <w:color w:val="auto"/>
                <w:spacing w:val="0"/>
                <w:w w:val="100"/>
                <w:position w:val="0"/>
                <w:sz w:val="19"/>
                <w:szCs w:val="19"/>
                <w:highlight w:val="none"/>
                <w:lang w:val="en-US" w:eastAsia="en-US" w:bidi="en-US"/>
              </w:rPr>
              <w:t>Di =</w:t>
            </w:r>
            <w:r>
              <w:rPr>
                <w:color w:val="auto"/>
                <w:spacing w:val="0"/>
                <w:w w:val="100"/>
                <w:position w:val="0"/>
                <w:highlight w:val="none"/>
              </w:rPr>
              <w:t>投标函文字报价；</w:t>
            </w:r>
          </w:p>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spacing w:before="0" w:after="0" w:line="360" w:lineRule="auto"/>
              <w:ind w:leftChars="0" w:right="0" w:rightChars="0"/>
              <w:jc w:val="both"/>
              <w:textAlignment w:val="auto"/>
              <w:rPr>
                <w:color w:val="auto"/>
                <w:highlight w:val="none"/>
              </w:rPr>
            </w:pPr>
            <w:r>
              <w:rPr>
                <w:rFonts w:hint="eastAsia" w:ascii="Times New Roman" w:hAnsi="Times New Roman" w:cs="Times New Roman"/>
                <w:color w:val="auto"/>
                <w:spacing w:val="0"/>
                <w:w w:val="100"/>
                <w:position w:val="0"/>
                <w:sz w:val="19"/>
                <w:szCs w:val="19"/>
                <w:highlight w:val="none"/>
                <w:lang w:val="en-US" w:eastAsia="zh-CN" w:bidi="en-US"/>
              </w:rPr>
              <w:t xml:space="preserve">3. </w:t>
            </w:r>
            <w:r>
              <w:rPr>
                <w:rFonts w:ascii="Times New Roman" w:hAnsi="Times New Roman" w:eastAsia="Times New Roman" w:cs="Times New Roman"/>
                <w:color w:val="auto"/>
                <w:spacing w:val="0"/>
                <w:w w:val="100"/>
                <w:position w:val="0"/>
                <w:sz w:val="19"/>
                <w:szCs w:val="19"/>
                <w:highlight w:val="none"/>
                <w:lang w:val="en-US" w:eastAsia="en-US" w:bidi="en-US"/>
              </w:rPr>
              <w:t>N</w:t>
            </w:r>
            <w:r>
              <w:rPr>
                <w:color w:val="auto"/>
                <w:spacing w:val="0"/>
                <w:w w:val="100"/>
                <w:position w:val="0"/>
                <w:highlight w:val="none"/>
              </w:rPr>
              <w:t>为有效评标价的数量（有效评标价：除第一信 封经评标委员会否决的投标人及第二信封开标现场 被宣布为不进入评标基准价计算的评标价之外，剩 余所有投标人的评标价均为有效评标价）；</w:t>
            </w:r>
          </w:p>
          <w:p>
            <w:pPr>
              <w:pStyle w:val="20"/>
              <w:keepNext w:val="0"/>
              <w:keepLines w:val="0"/>
              <w:pageBreakBefore w:val="0"/>
              <w:widowControl w:val="0"/>
              <w:numPr>
                <w:ilvl w:val="0"/>
                <w:numId w:val="0"/>
              </w:numPr>
              <w:shd w:val="clear" w:color="auto" w:fill="auto"/>
              <w:tabs>
                <w:tab w:val="left" w:pos="216"/>
              </w:tabs>
              <w:kinsoku/>
              <w:wordWrap/>
              <w:overflowPunct/>
              <w:topLinePunct w:val="0"/>
              <w:autoSpaceDE/>
              <w:autoSpaceDN/>
              <w:bidi w:val="0"/>
              <w:adjustRightInd/>
              <w:snapToGrid/>
              <w:spacing w:before="0" w:after="0" w:line="360" w:lineRule="auto"/>
              <w:ind w:leftChars="0" w:right="0" w:rightChars="0"/>
              <w:jc w:val="both"/>
              <w:textAlignment w:val="auto"/>
              <w:rPr>
                <w:color w:val="auto"/>
                <w:highlight w:val="none"/>
              </w:rPr>
            </w:pPr>
            <w:r>
              <w:rPr>
                <w:rFonts w:hint="eastAsia" w:ascii="Times New Roman" w:hAnsi="Times New Roman" w:cs="Times New Roman"/>
                <w:color w:val="auto"/>
                <w:spacing w:val="0"/>
                <w:w w:val="100"/>
                <w:position w:val="0"/>
                <w:sz w:val="19"/>
                <w:szCs w:val="19"/>
                <w:highlight w:val="none"/>
                <w:lang w:val="en-US" w:eastAsia="zh-CN" w:bidi="en-US"/>
              </w:rPr>
              <w:t xml:space="preserve">4. </w:t>
            </w:r>
            <w:r>
              <w:rPr>
                <w:rFonts w:ascii="Times New Roman" w:hAnsi="Times New Roman" w:eastAsia="Times New Roman" w:cs="Times New Roman"/>
                <w:color w:val="auto"/>
                <w:spacing w:val="0"/>
                <w:w w:val="100"/>
                <w:position w:val="0"/>
                <w:sz w:val="19"/>
                <w:szCs w:val="19"/>
                <w:highlight w:val="none"/>
                <w:lang w:val="en-US" w:eastAsia="en-US" w:bidi="en-US"/>
              </w:rPr>
              <w:t>K</w:t>
            </w:r>
            <w:r>
              <w:rPr>
                <w:color w:val="auto"/>
                <w:spacing w:val="0"/>
                <w:w w:val="100"/>
                <w:position w:val="0"/>
                <w:highlight w:val="none"/>
              </w:rPr>
              <w:t>为评标基准价系数：</w:t>
            </w:r>
            <w:r>
              <w:rPr>
                <w:rFonts w:ascii="Times New Roman" w:hAnsi="Times New Roman" w:eastAsia="Times New Roman" w:cs="Times New Roman"/>
                <w:color w:val="auto"/>
                <w:spacing w:val="0"/>
                <w:w w:val="100"/>
                <w:position w:val="0"/>
                <w:sz w:val="19"/>
                <w:szCs w:val="19"/>
                <w:highlight w:val="none"/>
                <w:lang w:val="en-US" w:eastAsia="en-US" w:bidi="en-US"/>
              </w:rPr>
              <w:t>K</w:t>
            </w:r>
            <w:r>
              <w:rPr>
                <w:color w:val="auto"/>
                <w:spacing w:val="0"/>
                <w:w w:val="100"/>
                <w:position w:val="0"/>
                <w:highlight w:val="none"/>
              </w:rPr>
              <w:t>值取值范围为</w:t>
            </w:r>
            <w:r>
              <w:rPr>
                <w:rFonts w:ascii="Times New Roman" w:hAnsi="Times New Roman" w:eastAsia="Times New Roman" w:cs="Times New Roman"/>
                <w:color w:val="auto"/>
                <w:spacing w:val="0"/>
                <w:w w:val="100"/>
                <w:position w:val="0"/>
                <w:sz w:val="19"/>
                <w:szCs w:val="19"/>
                <w:highlight w:val="none"/>
              </w:rPr>
              <w:t>0.980</w:t>
            </w:r>
            <w:r>
              <w:rPr>
                <w:color w:val="auto"/>
                <w:spacing w:val="0"/>
                <w:w w:val="100"/>
                <w:position w:val="0"/>
                <w:highlight w:val="none"/>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rPr>
              <w:t>0.985</w:t>
            </w:r>
            <w:r>
              <w:rPr>
                <w:color w:val="auto"/>
                <w:spacing w:val="0"/>
                <w:w w:val="100"/>
                <w:position w:val="0"/>
                <w:highlight w:val="none"/>
              </w:rPr>
              <w:t>、</w:t>
            </w:r>
            <w:r>
              <w:rPr>
                <w:rFonts w:ascii="Times New Roman" w:hAnsi="Times New Roman" w:eastAsia="Times New Roman" w:cs="Times New Roman"/>
                <w:color w:val="auto"/>
                <w:spacing w:val="0"/>
                <w:w w:val="100"/>
                <w:position w:val="0"/>
                <w:sz w:val="19"/>
                <w:szCs w:val="19"/>
                <w:highlight w:val="none"/>
              </w:rPr>
              <w:t>0.990</w:t>
            </w:r>
            <w:r>
              <w:rPr>
                <w:color w:val="auto"/>
                <w:spacing w:val="0"/>
                <w:w w:val="100"/>
                <w:position w:val="0"/>
                <w:highlight w:val="none"/>
              </w:rPr>
              <w:t>、</w:t>
            </w:r>
            <w:r>
              <w:rPr>
                <w:rFonts w:ascii="Times New Roman" w:hAnsi="Times New Roman" w:eastAsia="Times New Roman" w:cs="Times New Roman"/>
                <w:color w:val="auto"/>
                <w:spacing w:val="0"/>
                <w:w w:val="100"/>
                <w:position w:val="0"/>
                <w:sz w:val="19"/>
                <w:szCs w:val="19"/>
                <w:highlight w:val="none"/>
              </w:rPr>
              <w:t>0.995</w:t>
            </w:r>
            <w:r>
              <w:rPr>
                <w:color w:val="auto"/>
                <w:spacing w:val="0"/>
                <w:w w:val="100"/>
                <w:position w:val="0"/>
                <w:highlight w:val="none"/>
              </w:rPr>
              <w:t>、</w:t>
            </w:r>
            <w:r>
              <w:rPr>
                <w:rFonts w:ascii="Times New Roman" w:hAnsi="Times New Roman" w:eastAsia="Times New Roman" w:cs="Times New Roman"/>
                <w:color w:val="auto"/>
                <w:spacing w:val="0"/>
                <w:w w:val="100"/>
                <w:position w:val="0"/>
                <w:sz w:val="19"/>
                <w:szCs w:val="19"/>
                <w:highlight w:val="none"/>
                <w:lang w:val="en-US" w:eastAsia="en-US" w:bidi="en-US"/>
              </w:rPr>
              <w:t xml:space="preserve">1.000 </w:t>
            </w:r>
            <w:r>
              <w:rPr>
                <w:color w:val="auto"/>
                <w:spacing w:val="0"/>
                <w:w w:val="100"/>
                <w:position w:val="0"/>
                <w:highlight w:val="none"/>
              </w:rPr>
              <w:t xml:space="preserve">共 </w:t>
            </w:r>
            <w:r>
              <w:rPr>
                <w:rFonts w:ascii="Times New Roman" w:hAnsi="Times New Roman" w:eastAsia="Times New Roman" w:cs="Times New Roman"/>
                <w:color w:val="auto"/>
                <w:spacing w:val="0"/>
                <w:w w:val="100"/>
                <w:position w:val="0"/>
                <w:sz w:val="19"/>
                <w:szCs w:val="19"/>
                <w:highlight w:val="none"/>
              </w:rPr>
              <w:t xml:space="preserve">5 </w:t>
            </w:r>
            <w:r>
              <w:rPr>
                <w:color w:val="auto"/>
                <w:spacing w:val="0"/>
                <w:w w:val="100"/>
                <w:position w:val="0"/>
                <w:highlight w:val="none"/>
              </w:rPr>
              <w:t>个数值，在开标现场由招标人或监督人随机抽取一个</w:t>
            </w:r>
            <w:r>
              <w:rPr>
                <w:rFonts w:ascii="Times New Roman" w:hAnsi="Times New Roman" w:eastAsia="Times New Roman" w:cs="Times New Roman"/>
                <w:color w:val="auto"/>
                <w:spacing w:val="0"/>
                <w:w w:val="100"/>
                <w:position w:val="0"/>
                <w:sz w:val="19"/>
                <w:szCs w:val="19"/>
                <w:highlight w:val="none"/>
                <w:lang w:val="en-US" w:eastAsia="en-US" w:bidi="en-US"/>
              </w:rPr>
              <w:t>K</w:t>
            </w:r>
            <w:r>
              <w:rPr>
                <w:color w:val="auto"/>
                <w:spacing w:val="0"/>
                <w:w w:val="100"/>
                <w:position w:val="0"/>
                <w:highlight w:val="none"/>
              </w:rPr>
              <w:t>值，并当场公布；</w:t>
            </w:r>
          </w:p>
          <w:p>
            <w:pPr>
              <w:pStyle w:val="20"/>
              <w:keepNext w:val="0"/>
              <w:keepLines w:val="0"/>
              <w:pageBreakBefore w:val="0"/>
              <w:widowControl w:val="0"/>
              <w:numPr>
                <w:ilvl w:val="0"/>
                <w:numId w:val="3"/>
              </w:numPr>
              <w:shd w:val="clear" w:color="auto" w:fill="auto"/>
              <w:tabs>
                <w:tab w:val="left" w:pos="216"/>
              </w:tabs>
              <w:kinsoku/>
              <w:wordWrap/>
              <w:overflowPunct/>
              <w:topLinePunct w:val="0"/>
              <w:autoSpaceDE/>
              <w:autoSpaceDN/>
              <w:bidi w:val="0"/>
              <w:adjustRightInd/>
              <w:snapToGrid/>
              <w:spacing w:before="0" w:after="0" w:line="360" w:lineRule="auto"/>
              <w:ind w:leftChars="0" w:right="0" w:rightChars="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nl</w:t>
            </w:r>
            <w:r>
              <w:rPr>
                <w:color w:val="auto"/>
                <w:spacing w:val="0"/>
                <w:w w:val="100"/>
                <w:position w:val="0"/>
                <w:highlight w:val="none"/>
              </w:rPr>
              <w:t>为去掉最高有效评标价的数量，</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highlight w:val="none"/>
              </w:rPr>
              <w:t>为去掉最 低有效评标价的数量。</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nl&gt; n2</w:t>
            </w:r>
            <w:r>
              <w:rPr>
                <w:color w:val="auto"/>
                <w:spacing w:val="0"/>
                <w:w w:val="100"/>
                <w:position w:val="0"/>
                <w:highlight w:val="none"/>
              </w:rPr>
              <w:t>的取值方法：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color w:val="auto"/>
                <w:sz w:val="19"/>
                <w:szCs w:val="19"/>
                <w:highlight w:val="none"/>
              </w:rPr>
            </w:pPr>
            <w:r>
              <w:rPr>
                <w:color w:val="auto"/>
                <w:spacing w:val="0"/>
                <w:w w:val="100"/>
                <w:position w:val="0"/>
                <w:sz w:val="20"/>
                <w:szCs w:val="20"/>
                <w:highlight w:val="none"/>
              </w:rPr>
              <w:t>当</w:t>
            </w:r>
            <w:r>
              <w:rPr>
                <w:rFonts w:ascii="Times New Roman" w:hAnsi="Times New Roman" w:eastAsia="Times New Roman" w:cs="Times New Roman"/>
                <w:color w:val="auto"/>
                <w:spacing w:val="0"/>
                <w:w w:val="100"/>
                <w:position w:val="0"/>
                <w:sz w:val="19"/>
                <w:szCs w:val="19"/>
                <w:highlight w:val="none"/>
                <w:lang w:val="en-US" w:eastAsia="en-US" w:bidi="en-US"/>
              </w:rPr>
              <w:t>N&lt;6</w:t>
            </w:r>
            <w:r>
              <w:rPr>
                <w:color w:val="auto"/>
                <w:spacing w:val="0"/>
                <w:w w:val="100"/>
                <w:position w:val="0"/>
                <w:sz w:val="20"/>
                <w:szCs w:val="20"/>
                <w:highlight w:val="none"/>
              </w:rPr>
              <w:t>时，</w:t>
            </w:r>
            <w:r>
              <w:rPr>
                <w:rFonts w:ascii="Times New Roman" w:hAnsi="Times New Roman" w:eastAsia="Times New Roman" w:cs="Times New Roman"/>
                <w:color w:val="auto"/>
                <w:spacing w:val="0"/>
                <w:w w:val="100"/>
                <w:position w:val="0"/>
                <w:sz w:val="19"/>
                <w:szCs w:val="19"/>
                <w:highlight w:val="none"/>
                <w:lang w:val="en-US" w:eastAsia="en-US" w:bidi="en-US"/>
              </w:rPr>
              <w:t>nl</w:t>
            </w:r>
            <w:r>
              <w:rPr>
                <w:color w:val="auto"/>
                <w:spacing w:val="0"/>
                <w:w w:val="100"/>
                <w:position w:val="0"/>
                <w:sz w:val="20"/>
                <w:szCs w:val="20"/>
                <w:highlight w:val="none"/>
                <w:lang w:val="en-US" w:eastAsia="en-US" w:bidi="en-US"/>
              </w:rPr>
              <w:t>、</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sz w:val="20"/>
                <w:szCs w:val="20"/>
                <w:highlight w:val="none"/>
              </w:rPr>
              <w:t>均取</w:t>
            </w:r>
            <w:r>
              <w:rPr>
                <w:rFonts w:ascii="Times New Roman" w:hAnsi="Times New Roman" w:eastAsia="Times New Roman" w:cs="Times New Roman"/>
                <w:color w:val="auto"/>
                <w:spacing w:val="0"/>
                <w:w w:val="100"/>
                <w:position w:val="0"/>
                <w:sz w:val="19"/>
                <w:szCs w:val="19"/>
                <w:highlight w:val="none"/>
              </w:rPr>
              <w:t>0</w:t>
            </w:r>
            <w:r>
              <w:rPr>
                <w:color w:val="auto"/>
                <w:spacing w:val="0"/>
                <w:w w:val="100"/>
                <w:position w:val="0"/>
                <w:sz w:val="19"/>
                <w:szCs w:val="19"/>
                <w:highlight w:val="none"/>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color w:val="auto"/>
                <w:sz w:val="19"/>
                <w:szCs w:val="19"/>
                <w:highlight w:val="none"/>
              </w:rPr>
            </w:pPr>
            <w:r>
              <w:rPr>
                <w:color w:val="auto"/>
                <w:spacing w:val="0"/>
                <w:w w:val="100"/>
                <w:position w:val="0"/>
                <w:sz w:val="20"/>
                <w:szCs w:val="20"/>
                <w:highlight w:val="none"/>
              </w:rPr>
              <w:t xml:space="preserve">当 </w:t>
            </w:r>
            <w:r>
              <w:rPr>
                <w:rFonts w:ascii="Times New Roman" w:hAnsi="Times New Roman" w:eastAsia="Times New Roman" w:cs="Times New Roman"/>
                <w:color w:val="auto"/>
                <w:spacing w:val="0"/>
                <w:w w:val="100"/>
                <w:position w:val="0"/>
                <w:sz w:val="19"/>
                <w:szCs w:val="19"/>
                <w:highlight w:val="none"/>
                <w:lang w:val="en-US" w:eastAsia="en-US" w:bidi="en-US"/>
              </w:rPr>
              <w:t>6</w:t>
            </w:r>
            <w:r>
              <w:rPr>
                <w:rFonts w:hint="default" w:ascii="Arial" w:hAnsi="Arial" w:eastAsia="Times New Roman" w:cs="Arial"/>
                <w:color w:val="auto"/>
                <w:spacing w:val="0"/>
                <w:w w:val="100"/>
                <w:position w:val="0"/>
                <w:sz w:val="19"/>
                <w:szCs w:val="19"/>
                <w:highlight w:val="none"/>
                <w:lang w:val="en-US" w:eastAsia="en-US" w:bidi="en-US"/>
              </w:rPr>
              <w:t>≤</w:t>
            </w:r>
            <w:r>
              <w:rPr>
                <w:rFonts w:ascii="Times New Roman" w:hAnsi="Times New Roman" w:eastAsia="Times New Roman" w:cs="Times New Roman"/>
                <w:color w:val="auto"/>
                <w:spacing w:val="0"/>
                <w:w w:val="100"/>
                <w:position w:val="0"/>
                <w:sz w:val="19"/>
                <w:szCs w:val="19"/>
                <w:highlight w:val="none"/>
                <w:lang w:val="en-US" w:eastAsia="en-US" w:bidi="en-US"/>
              </w:rPr>
              <w:t>N&lt;10, nl</w:t>
            </w:r>
            <w:r>
              <w:rPr>
                <w:color w:val="auto"/>
                <w:spacing w:val="0"/>
                <w:w w:val="100"/>
                <w:position w:val="0"/>
                <w:sz w:val="20"/>
                <w:szCs w:val="20"/>
                <w:highlight w:val="none"/>
                <w:lang w:val="en-US" w:eastAsia="en-US" w:bidi="en-US"/>
              </w:rPr>
              <w:t>、</w:t>
            </w:r>
            <w:r>
              <w:rPr>
                <w:rFonts w:ascii="Times New Roman" w:hAnsi="Times New Roman" w:eastAsia="Times New Roman" w:cs="Times New Roman"/>
                <w:color w:val="auto"/>
                <w:spacing w:val="0"/>
                <w:w w:val="100"/>
                <w:position w:val="0"/>
                <w:sz w:val="19"/>
                <w:szCs w:val="19"/>
                <w:highlight w:val="none"/>
                <w:lang w:val="en-US" w:eastAsia="en-US" w:bidi="en-US"/>
              </w:rPr>
              <w:t xml:space="preserve">n2 </w:t>
            </w:r>
            <w:r>
              <w:rPr>
                <w:color w:val="auto"/>
                <w:spacing w:val="0"/>
                <w:w w:val="100"/>
                <w:position w:val="0"/>
                <w:sz w:val="20"/>
                <w:szCs w:val="20"/>
                <w:highlight w:val="none"/>
              </w:rPr>
              <w:t xml:space="preserve">均取 </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sz w:val="19"/>
                <w:szCs w:val="19"/>
                <w:highlight w:val="none"/>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color w:val="auto"/>
                <w:spacing w:val="0"/>
                <w:w w:val="100"/>
                <w:position w:val="0"/>
                <w:highlight w:val="none"/>
              </w:rPr>
            </w:pPr>
            <w:r>
              <w:rPr>
                <w:color w:val="auto"/>
                <w:spacing w:val="0"/>
                <w:w w:val="100"/>
                <w:position w:val="0"/>
                <w:highlight w:val="none"/>
              </w:rPr>
              <w:t>当</w:t>
            </w:r>
            <w:r>
              <w:rPr>
                <w:rFonts w:ascii="Times New Roman" w:hAnsi="Times New Roman" w:eastAsia="Times New Roman" w:cs="Times New Roman"/>
                <w:color w:val="auto"/>
                <w:spacing w:val="0"/>
                <w:w w:val="100"/>
                <w:position w:val="0"/>
                <w:sz w:val="19"/>
                <w:szCs w:val="19"/>
                <w:highlight w:val="none"/>
                <w:lang w:val="en-US" w:eastAsia="en-US" w:bidi="en-US"/>
              </w:rPr>
              <w:t>N</w:t>
            </w:r>
            <w:r>
              <w:rPr>
                <w:rFonts w:hint="default" w:ascii="Arial" w:hAnsi="Arial" w:eastAsia="Times New Roman" w:cs="Arial"/>
                <w:color w:val="auto"/>
                <w:spacing w:val="0"/>
                <w:w w:val="100"/>
                <w:position w:val="0"/>
                <w:sz w:val="19"/>
                <w:szCs w:val="19"/>
                <w:highlight w:val="none"/>
                <w:lang w:val="en-US" w:eastAsia="en-US" w:bidi="en-US"/>
              </w:rPr>
              <w:t>≥</w:t>
            </w:r>
            <w:r>
              <w:rPr>
                <w:rFonts w:ascii="Times New Roman" w:hAnsi="Times New Roman" w:eastAsia="Times New Roman" w:cs="Times New Roman"/>
                <w:color w:val="auto"/>
                <w:spacing w:val="0"/>
                <w:w w:val="100"/>
                <w:position w:val="0"/>
                <w:sz w:val="19"/>
                <w:szCs w:val="19"/>
                <w:highlight w:val="none"/>
                <w:lang w:val="en-US" w:eastAsia="en-US" w:bidi="en-US"/>
              </w:rPr>
              <w:t>10</w:t>
            </w:r>
            <w:r>
              <w:rPr>
                <w:color w:val="auto"/>
                <w:spacing w:val="0"/>
                <w:w w:val="100"/>
                <w:position w:val="0"/>
                <w:highlight w:val="none"/>
              </w:rPr>
              <w:t>时，</w:t>
            </w:r>
            <w:r>
              <w:rPr>
                <w:rFonts w:ascii="Times New Roman" w:hAnsi="Times New Roman" w:eastAsia="Times New Roman" w:cs="Times New Roman"/>
                <w:color w:val="auto"/>
                <w:spacing w:val="0"/>
                <w:w w:val="100"/>
                <w:position w:val="0"/>
                <w:sz w:val="19"/>
                <w:szCs w:val="19"/>
                <w:highlight w:val="none"/>
                <w:lang w:val="en-US" w:eastAsia="en-US" w:bidi="en-US"/>
              </w:rPr>
              <w:t>nl</w:t>
            </w:r>
            <w:r>
              <w:rPr>
                <w:color w:val="auto"/>
                <w:spacing w:val="0"/>
                <w:w w:val="100"/>
                <w:position w:val="0"/>
                <w:highlight w:val="none"/>
              </w:rPr>
              <w:t>在取值区间</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sz w:val="19"/>
                <w:szCs w:val="19"/>
                <w:highlight w:val="none"/>
              </w:rPr>
              <w:t>〜</w:t>
            </w:r>
            <w:r>
              <w:rPr>
                <w:rFonts w:ascii="Times New Roman" w:hAnsi="Times New Roman" w:eastAsia="Times New Roman" w:cs="Times New Roman"/>
                <w:color w:val="auto"/>
                <w:spacing w:val="0"/>
                <w:w w:val="100"/>
                <w:position w:val="0"/>
                <w:sz w:val="19"/>
                <w:szCs w:val="19"/>
                <w:highlight w:val="none"/>
                <w:lang w:val="en-US" w:eastAsia="en-US" w:bidi="en-US"/>
              </w:rPr>
              <w:t>M-1</w:t>
            </w:r>
            <w:r>
              <w:rPr>
                <w:color w:val="auto"/>
                <w:spacing w:val="0"/>
                <w:w w:val="100"/>
                <w:position w:val="0"/>
                <w:highlight w:val="none"/>
              </w:rPr>
              <w:t>中现场随机抽取，</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highlight w:val="none"/>
              </w:rPr>
              <w:t>在取值区间</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sz w:val="19"/>
                <w:szCs w:val="19"/>
                <w:highlight w:val="none"/>
              </w:rPr>
              <w:t>〜</w:t>
            </w:r>
            <w:r>
              <w:rPr>
                <w:rFonts w:ascii="Times New Roman" w:hAnsi="Times New Roman" w:eastAsia="Times New Roman" w:cs="Times New Roman"/>
                <w:color w:val="auto"/>
                <w:spacing w:val="0"/>
                <w:w w:val="100"/>
                <w:position w:val="0"/>
                <w:sz w:val="19"/>
                <w:szCs w:val="19"/>
                <w:highlight w:val="none"/>
                <w:lang w:val="en-US" w:eastAsia="en-US" w:bidi="en-US"/>
              </w:rPr>
              <w:t>M+1</w:t>
            </w:r>
            <w:r>
              <w:rPr>
                <w:color w:val="auto"/>
                <w:spacing w:val="0"/>
                <w:w w:val="100"/>
                <w:position w:val="0"/>
                <w:highlight w:val="none"/>
              </w:rPr>
              <w:t xml:space="preserve">中现场随机抽取， </w:t>
            </w:r>
            <w:r>
              <w:rPr>
                <w:rFonts w:ascii="Times New Roman" w:hAnsi="Times New Roman" w:eastAsia="Times New Roman" w:cs="Times New Roman"/>
                <w:color w:val="auto"/>
                <w:spacing w:val="0"/>
                <w:w w:val="100"/>
                <w:position w:val="0"/>
                <w:sz w:val="19"/>
                <w:szCs w:val="19"/>
                <w:highlight w:val="none"/>
                <w:lang w:val="en-US" w:eastAsia="en-US" w:bidi="en-US"/>
              </w:rPr>
              <w:t>M=N/4, M</w:t>
            </w:r>
            <w:r>
              <w:rPr>
                <w:color w:val="auto"/>
                <w:spacing w:val="0"/>
                <w:w w:val="100"/>
                <w:position w:val="0"/>
                <w:highlight w:val="none"/>
              </w:rPr>
              <w:t>去尾取整数。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300" w:after="0" w:line="360" w:lineRule="auto"/>
              <w:ind w:left="0" w:leftChars="0" w:right="0" w:rightChars="0" w:firstLine="0" w:firstLineChars="0"/>
              <w:jc w:val="center"/>
              <w:textAlignment w:val="auto"/>
              <w:rPr>
                <w:rFonts w:hint="eastAsia" w:ascii="宋体" w:hAnsi="宋体" w:eastAsia="宋体" w:cs="宋体"/>
                <w:color w:val="auto"/>
                <w:kern w:val="2"/>
                <w:sz w:val="19"/>
                <w:szCs w:val="19"/>
                <w:highlight w:val="none"/>
                <w:lang w:val="en-US" w:eastAsia="en-US" w:bidi="ar"/>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2. 2. </w:t>
            </w:r>
            <w:r>
              <w:rPr>
                <w:rFonts w:ascii="Times New Roman" w:hAnsi="Times New Roman" w:eastAsia="Times New Roman" w:cs="Times New Roman"/>
                <w:color w:val="auto"/>
                <w:spacing w:val="0"/>
                <w:w w:val="100"/>
                <w:position w:val="0"/>
                <w:sz w:val="19"/>
                <w:szCs w:val="19"/>
                <w:highlight w:val="none"/>
              </w:rPr>
              <w:t>3</w:t>
            </w:r>
          </w:p>
        </w:tc>
        <w:tc>
          <w:tcPr>
            <w:tcW w:w="2462"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2"/>
                <w:szCs w:val="22"/>
                <w:highlight w:val="none"/>
                <w:lang w:val="en-US" w:eastAsia="zh-CN" w:bidi="ar"/>
              </w:rPr>
            </w:pPr>
            <w:r>
              <w:rPr>
                <w:color w:val="auto"/>
                <w:spacing w:val="0"/>
                <w:w w:val="100"/>
                <w:position w:val="0"/>
                <w:sz w:val="22"/>
                <w:szCs w:val="22"/>
                <w:highlight w:val="none"/>
              </w:rPr>
              <w:t>评标基准价计算方法</w:t>
            </w:r>
          </w:p>
        </w:tc>
        <w:tc>
          <w:tcPr>
            <w:tcW w:w="627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color w:val="auto"/>
                <w:spacing w:val="0"/>
                <w:w w:val="100"/>
                <w:position w:val="0"/>
                <w:highlight w:val="none"/>
              </w:rPr>
              <w:t>二、评标基准价计算方法</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color w:val="auto"/>
                <w:spacing w:val="0"/>
                <w:w w:val="100"/>
                <w:position w:val="0"/>
                <w:highlight w:val="none"/>
              </w:rPr>
              <w:t>在开标现场，招标人将当场计算并宣布评标基准价。</w:t>
            </w:r>
          </w:p>
          <w:p>
            <w:pPr>
              <w:pStyle w:val="20"/>
              <w:keepNext w:val="0"/>
              <w:keepLines w:val="0"/>
              <w:pageBreakBefore w:val="0"/>
              <w:widowControl w:val="0"/>
              <w:shd w:val="clear" w:color="auto" w:fill="auto"/>
              <w:tabs>
                <w:tab w:val="left" w:pos="360"/>
              </w:tabs>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sz w:val="19"/>
                <w:szCs w:val="19"/>
                <w:highlight w:val="none"/>
              </w:rPr>
              <w:t>）</w:t>
            </w:r>
            <w:r>
              <w:rPr>
                <w:color w:val="auto"/>
                <w:spacing w:val="0"/>
                <w:w w:val="100"/>
                <w:position w:val="0"/>
                <w:highlight w:val="none"/>
              </w:rPr>
              <w:t>评标价的确定：评标价=投标函文字报价</w:t>
            </w:r>
          </w:p>
          <w:p>
            <w:pPr>
              <w:pStyle w:val="20"/>
              <w:keepNext w:val="0"/>
              <w:keepLines w:val="0"/>
              <w:pageBreakBefore w:val="0"/>
              <w:widowControl w:val="0"/>
              <w:shd w:val="clear" w:color="auto" w:fill="auto"/>
              <w:tabs>
                <w:tab w:val="left" w:pos="317"/>
              </w:tabs>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rPr>
              <w:t>（2）</w:t>
            </w:r>
            <w:r>
              <w:rPr>
                <w:color w:val="auto"/>
                <w:spacing w:val="0"/>
                <w:w w:val="100"/>
                <w:position w:val="0"/>
                <w:highlight w:val="none"/>
              </w:rPr>
              <w:t>评标基准价的确定：</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color w:val="auto"/>
                <w:spacing w:val="0"/>
                <w:w w:val="100"/>
                <w:position w:val="0"/>
                <w:highlight w:val="none"/>
              </w:rPr>
              <w:t>以下三种评标基准价计算方法，招标人在开标现场随机抽取其中一种方法作为当次招标评标基准价的 计算方法，按已抽取的评标基准价计算方法由招标 人或监督人抽取相关计算参数。</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b/>
                <w:bCs/>
                <w:color w:val="auto"/>
                <w:spacing w:val="0"/>
                <w:w w:val="100"/>
                <w:position w:val="0"/>
                <w:highlight w:val="none"/>
              </w:rPr>
              <w:t>评标基准价方法</w:t>
            </w:r>
            <w:r>
              <w:rPr>
                <w:rFonts w:ascii="Times New Roman" w:hAnsi="Times New Roman" w:eastAsia="Times New Roman" w:cs="Times New Roman"/>
                <w:b/>
                <w:bCs/>
                <w:color w:val="auto"/>
                <w:spacing w:val="0"/>
                <w:w w:val="100"/>
                <w:position w:val="0"/>
                <w:sz w:val="19"/>
                <w:szCs w:val="19"/>
                <w:highlight w:val="none"/>
              </w:rPr>
              <w:t xml:space="preserve">1 </w:t>
            </w:r>
            <w:r>
              <w:rPr>
                <w:b/>
                <w:bCs/>
                <w:color w:val="auto"/>
                <w:spacing w:val="0"/>
                <w:w w:val="100"/>
                <w:position w:val="0"/>
                <w:highlight w:val="none"/>
              </w:rPr>
              <w:t>（平均值随机系数法）：</w:t>
            </w:r>
            <w:r>
              <w:rPr>
                <w:color w:val="auto"/>
                <w:spacing w:val="0"/>
                <w:w w:val="100"/>
                <w:position w:val="0"/>
                <w:highlight w:val="none"/>
              </w:rPr>
              <w:t>有效评标 价去掉</w:t>
            </w:r>
            <w:r>
              <w:rPr>
                <w:rFonts w:ascii="Times New Roman" w:hAnsi="Times New Roman" w:eastAsia="Times New Roman" w:cs="Times New Roman"/>
                <w:color w:val="auto"/>
                <w:spacing w:val="0"/>
                <w:w w:val="100"/>
                <w:position w:val="0"/>
                <w:sz w:val="19"/>
                <w:szCs w:val="19"/>
                <w:highlight w:val="none"/>
                <w:lang w:val="en-US" w:eastAsia="en-US" w:bidi="en-US"/>
              </w:rPr>
              <w:t>nl</w:t>
            </w:r>
            <w:r>
              <w:rPr>
                <w:color w:val="auto"/>
                <w:spacing w:val="0"/>
                <w:w w:val="100"/>
                <w:position w:val="0"/>
                <w:highlight w:val="none"/>
              </w:rPr>
              <w:t>个最高评标价和</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highlight w:val="none"/>
              </w:rPr>
              <w:t>个最低评标价后取平 均值，乘以评标基准价系数</w:t>
            </w:r>
            <w:r>
              <w:rPr>
                <w:rFonts w:ascii="Times New Roman" w:hAnsi="Times New Roman" w:eastAsia="Times New Roman" w:cs="Times New Roman"/>
                <w:color w:val="auto"/>
                <w:spacing w:val="0"/>
                <w:w w:val="100"/>
                <w:position w:val="0"/>
                <w:sz w:val="19"/>
                <w:szCs w:val="19"/>
                <w:highlight w:val="none"/>
                <w:lang w:val="en-US" w:eastAsia="en-US" w:bidi="en-US"/>
              </w:rPr>
              <w:t>K</w:t>
            </w:r>
            <w:r>
              <w:rPr>
                <w:color w:val="auto"/>
                <w:spacing w:val="0"/>
                <w:w w:val="100"/>
                <w:position w:val="0"/>
                <w:highlight w:val="none"/>
              </w:rPr>
              <w:t>作为评标基准价</w:t>
            </w:r>
            <w:r>
              <w:rPr>
                <w:rFonts w:ascii="Times New Roman" w:hAnsi="Times New Roman" w:eastAsia="Times New Roman" w:cs="Times New Roman"/>
                <w:color w:val="auto"/>
                <w:spacing w:val="0"/>
                <w:w w:val="100"/>
                <w:position w:val="0"/>
                <w:sz w:val="19"/>
                <w:szCs w:val="19"/>
                <w:highlight w:val="none"/>
                <w:lang w:val="en-US" w:eastAsia="en-US" w:bidi="en-US"/>
              </w:rPr>
              <w:t>P</w:t>
            </w:r>
            <w:r>
              <w:rPr>
                <w:color w:val="auto"/>
                <w:spacing w:val="0"/>
                <w:w w:val="100"/>
                <w:position w:val="0"/>
                <w:highlight w:val="none"/>
                <w:lang w:val="en-US" w:eastAsia="en-US" w:bidi="en-US"/>
              </w:rPr>
              <w:t>。</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b/>
                <w:bCs/>
                <w:color w:val="auto"/>
                <w:spacing w:val="0"/>
                <w:w w:val="100"/>
                <w:position w:val="0"/>
                <w:highlight w:val="none"/>
              </w:rPr>
              <w:t>评标基准价方法</w:t>
            </w:r>
            <w:r>
              <w:rPr>
                <w:rFonts w:ascii="Times New Roman" w:hAnsi="Times New Roman" w:eastAsia="Times New Roman" w:cs="Times New Roman"/>
                <w:b/>
                <w:bCs/>
                <w:color w:val="auto"/>
                <w:spacing w:val="0"/>
                <w:w w:val="100"/>
                <w:position w:val="0"/>
                <w:sz w:val="19"/>
                <w:szCs w:val="19"/>
                <w:highlight w:val="none"/>
              </w:rPr>
              <w:t xml:space="preserve">2 </w:t>
            </w:r>
            <w:r>
              <w:rPr>
                <w:b/>
                <w:bCs/>
                <w:color w:val="auto"/>
                <w:spacing w:val="0"/>
                <w:w w:val="100"/>
                <w:position w:val="0"/>
                <w:highlight w:val="none"/>
              </w:rPr>
              <w:t>（价差随机系数法）：</w:t>
            </w:r>
            <w:r>
              <w:rPr>
                <w:color w:val="auto"/>
                <w:spacing w:val="0"/>
                <w:w w:val="100"/>
                <w:position w:val="0"/>
                <w:highlight w:val="none"/>
              </w:rPr>
              <w:t>先去掉</w:t>
            </w:r>
            <w:r>
              <w:rPr>
                <w:rFonts w:ascii="Times New Roman" w:hAnsi="Times New Roman" w:eastAsia="Times New Roman" w:cs="Times New Roman"/>
                <w:color w:val="auto"/>
                <w:spacing w:val="0"/>
                <w:w w:val="100"/>
                <w:position w:val="0"/>
                <w:sz w:val="19"/>
                <w:szCs w:val="19"/>
                <w:highlight w:val="none"/>
                <w:lang w:val="en-US" w:eastAsia="en-US" w:bidi="en-US"/>
              </w:rPr>
              <w:t xml:space="preserve">nl </w:t>
            </w:r>
            <w:r>
              <w:rPr>
                <w:color w:val="auto"/>
                <w:spacing w:val="0"/>
                <w:w w:val="100"/>
                <w:position w:val="0"/>
                <w:highlight w:val="none"/>
              </w:rPr>
              <w:t>个最高有效评标价和</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highlight w:val="none"/>
              </w:rPr>
              <w:t>个最低有效评标价，用剩 余有效评标价中最大评标价与最小评标价之差与调 整系数乘积加最小评标价作为评标基准价。</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textAlignment w:val="auto"/>
              <w:rPr>
                <w:color w:val="auto"/>
                <w:sz w:val="19"/>
                <w:szCs w:val="19"/>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P= </w:t>
            </w:r>
            <w:r>
              <w:rPr>
                <w:rFonts w:ascii="Times New Roman" w:hAnsi="Times New Roman" w:eastAsia="Times New Roman" w:cs="Times New Roman"/>
                <w:color w:val="auto"/>
                <w:spacing w:val="0"/>
                <w:w w:val="100"/>
                <w:position w:val="0"/>
                <w:sz w:val="19"/>
                <w:szCs w:val="19"/>
                <w:highlight w:val="none"/>
              </w:rPr>
              <w:t>（</w:t>
            </w:r>
            <w:r>
              <w:rPr>
                <w:rFonts w:ascii="Times New Roman" w:hAnsi="Times New Roman" w:eastAsia="Times New Roman" w:cs="Times New Roman"/>
                <w:color w:val="auto"/>
                <w:spacing w:val="0"/>
                <w:w w:val="100"/>
                <w:position w:val="0"/>
                <w:sz w:val="19"/>
                <w:szCs w:val="19"/>
                <w:highlight w:val="none"/>
                <w:lang w:val="en-US" w:eastAsia="en-US" w:bidi="en-US"/>
              </w:rPr>
              <w:t xml:space="preserve">Dmax </w:t>
            </w:r>
            <w:r>
              <w:rPr>
                <w:rFonts w:ascii="Times New Roman" w:hAnsi="Times New Roman" w:eastAsia="Times New Roman" w:cs="Times New Roman"/>
                <w:color w:val="auto"/>
                <w:spacing w:val="0"/>
                <w:w w:val="100"/>
                <w:position w:val="0"/>
                <w:sz w:val="19"/>
                <w:szCs w:val="19"/>
                <w:highlight w:val="none"/>
              </w:rPr>
              <w:t xml:space="preserve">- </w:t>
            </w:r>
            <w:r>
              <w:rPr>
                <w:rFonts w:ascii="Times New Roman" w:hAnsi="Times New Roman" w:eastAsia="Times New Roman" w:cs="Times New Roman"/>
                <w:color w:val="auto"/>
                <w:spacing w:val="0"/>
                <w:w w:val="100"/>
                <w:position w:val="0"/>
                <w:sz w:val="19"/>
                <w:szCs w:val="19"/>
                <w:highlight w:val="none"/>
                <w:lang w:val="en-US" w:eastAsia="en-US" w:bidi="en-US"/>
              </w:rPr>
              <w:t>Dmin</w:t>
            </w:r>
            <w:r>
              <w:rPr>
                <w:rFonts w:ascii="Times New Roman" w:hAnsi="Times New Roman" w:eastAsia="Times New Roman" w:cs="Times New Roman"/>
                <w:color w:val="auto"/>
                <w:spacing w:val="0"/>
                <w:w w:val="100"/>
                <w:position w:val="0"/>
                <w:sz w:val="19"/>
                <w:szCs w:val="19"/>
                <w:highlight w:val="none"/>
              </w:rPr>
              <w:t>）</w:t>
            </w:r>
            <w:r>
              <w:rPr>
                <w:rFonts w:hint="default" w:ascii="Arial" w:hAnsi="Arial" w:eastAsia="Times New Roman" w:cs="Arial"/>
                <w:color w:val="auto"/>
                <w:spacing w:val="0"/>
                <w:w w:val="100"/>
                <w:position w:val="0"/>
                <w:sz w:val="19"/>
                <w:szCs w:val="19"/>
                <w:highlight w:val="none"/>
              </w:rPr>
              <w:t>×</w:t>
            </w:r>
            <w:r>
              <w:rPr>
                <w:rFonts w:ascii="Times New Roman" w:hAnsi="Times New Roman" w:eastAsia="Times New Roman" w:cs="Times New Roman"/>
                <w:color w:val="auto"/>
                <w:spacing w:val="0"/>
                <w:w w:val="100"/>
                <w:position w:val="0"/>
                <w:sz w:val="19"/>
                <w:szCs w:val="19"/>
                <w:highlight w:val="none"/>
              </w:rPr>
              <w:t xml:space="preserve"> </w:t>
            </w:r>
            <w:r>
              <w:rPr>
                <w:rFonts w:ascii="Times New Roman" w:hAnsi="Times New Roman" w:eastAsia="Times New Roman" w:cs="Times New Roman"/>
                <w:color w:val="auto"/>
                <w:spacing w:val="0"/>
                <w:w w:val="100"/>
                <w:position w:val="0"/>
                <w:sz w:val="19"/>
                <w:szCs w:val="19"/>
                <w:highlight w:val="none"/>
                <w:lang w:val="en-US" w:eastAsia="en-US" w:bidi="en-US"/>
              </w:rPr>
              <w:t>Ks +Dmin</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color w:val="auto"/>
                <w:spacing w:val="0"/>
                <w:w w:val="100"/>
                <w:position w:val="0"/>
                <w:highlight w:val="none"/>
              </w:rPr>
              <w:t>式中：</w:t>
            </w:r>
            <w:r>
              <w:rPr>
                <w:rFonts w:ascii="Times New Roman" w:hAnsi="Times New Roman" w:eastAsia="Times New Roman" w:cs="Times New Roman"/>
                <w:color w:val="auto"/>
                <w:spacing w:val="0"/>
                <w:w w:val="100"/>
                <w:position w:val="0"/>
                <w:sz w:val="19"/>
                <w:szCs w:val="19"/>
                <w:highlight w:val="none"/>
                <w:lang w:val="en-US" w:eastAsia="en-US" w:bidi="en-US"/>
              </w:rPr>
              <w:t>Dmax</w:t>
            </w:r>
            <w:r>
              <w:rPr>
                <w:color w:val="auto"/>
                <w:spacing w:val="0"/>
                <w:w w:val="100"/>
                <w:position w:val="0"/>
                <w:highlight w:val="none"/>
              </w:rPr>
              <w:t>为去掉</w:t>
            </w:r>
            <w:r>
              <w:rPr>
                <w:rFonts w:ascii="Times New Roman" w:hAnsi="Times New Roman" w:eastAsia="Times New Roman" w:cs="Times New Roman"/>
                <w:color w:val="auto"/>
                <w:spacing w:val="0"/>
                <w:w w:val="100"/>
                <w:position w:val="0"/>
                <w:sz w:val="19"/>
                <w:szCs w:val="19"/>
                <w:highlight w:val="none"/>
                <w:lang w:val="en-US" w:eastAsia="en-US" w:bidi="en-US"/>
              </w:rPr>
              <w:t>nl</w:t>
            </w:r>
            <w:r>
              <w:rPr>
                <w:color w:val="auto"/>
                <w:spacing w:val="0"/>
                <w:w w:val="100"/>
                <w:position w:val="0"/>
                <w:highlight w:val="none"/>
              </w:rPr>
              <w:t>个最高有效评标价后的最大评标价数值。</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spacing w:val="0"/>
                <w:w w:val="100"/>
                <w:position w:val="0"/>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Dmin</w:t>
            </w:r>
            <w:r>
              <w:rPr>
                <w:color w:val="auto"/>
                <w:spacing w:val="0"/>
                <w:w w:val="100"/>
                <w:position w:val="0"/>
                <w:highlight w:val="none"/>
              </w:rPr>
              <w:t>为去掉</w:t>
            </w:r>
            <w:r>
              <w:rPr>
                <w:rFonts w:ascii="Times New Roman" w:hAnsi="Times New Roman" w:eastAsia="Times New Roman" w:cs="Times New Roman"/>
                <w:color w:val="auto"/>
                <w:spacing w:val="0"/>
                <w:w w:val="100"/>
                <w:position w:val="0"/>
                <w:sz w:val="19"/>
                <w:szCs w:val="19"/>
                <w:highlight w:val="none"/>
                <w:lang w:val="en-US" w:eastAsia="en-US" w:bidi="en-US"/>
              </w:rPr>
              <w:t>n2</w:t>
            </w:r>
            <w:r>
              <w:rPr>
                <w:color w:val="auto"/>
                <w:spacing w:val="0"/>
                <w:w w:val="100"/>
                <w:position w:val="0"/>
                <w:highlight w:val="none"/>
              </w:rPr>
              <w:t>个最低有效评标价后的最小评标价数值。</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rFonts w:hint="eastAsia" w:eastAsia="宋体"/>
                <w:color w:val="auto"/>
                <w:sz w:val="19"/>
                <w:szCs w:val="19"/>
                <w:highlight w:val="none"/>
                <w:lang w:eastAsia="zh-CN"/>
              </w:rPr>
            </w:pPr>
            <w:r>
              <w:rPr>
                <w:rFonts w:ascii="Times New Roman" w:hAnsi="Times New Roman" w:eastAsia="Times New Roman" w:cs="Times New Roman"/>
                <w:color w:val="auto"/>
                <w:spacing w:val="0"/>
                <w:w w:val="100"/>
                <w:position w:val="0"/>
                <w:sz w:val="19"/>
                <w:szCs w:val="19"/>
                <w:highlight w:val="none"/>
                <w:lang w:val="en-US" w:eastAsia="en-US" w:bidi="en-US"/>
              </w:rPr>
              <w:t>Ks</w:t>
            </w:r>
            <w:r>
              <w:rPr>
                <w:color w:val="auto"/>
                <w:spacing w:val="0"/>
                <w:w w:val="100"/>
                <w:position w:val="0"/>
                <w:sz w:val="20"/>
                <w:szCs w:val="20"/>
                <w:highlight w:val="none"/>
              </w:rPr>
              <w:t>为随机调整系数：</w:t>
            </w:r>
            <w:r>
              <w:rPr>
                <w:rFonts w:ascii="Times New Roman" w:hAnsi="Times New Roman" w:eastAsia="Times New Roman" w:cs="Times New Roman"/>
                <w:color w:val="auto"/>
                <w:spacing w:val="0"/>
                <w:w w:val="100"/>
                <w:position w:val="0"/>
                <w:sz w:val="19"/>
                <w:szCs w:val="19"/>
                <w:highlight w:val="none"/>
                <w:lang w:val="en-US" w:eastAsia="en-US" w:bidi="en-US"/>
              </w:rPr>
              <w:t xml:space="preserve">Ks= (X+Y/10) </w:t>
            </w:r>
            <w:r>
              <w:rPr>
                <w:rFonts w:ascii="Times New Roman" w:hAnsi="Times New Roman" w:eastAsia="Times New Roman" w:cs="Times New Roman"/>
                <w:color w:val="auto"/>
                <w:spacing w:val="0"/>
                <w:w w:val="100"/>
                <w:position w:val="0"/>
                <w:sz w:val="19"/>
                <w:szCs w:val="19"/>
                <w:highlight w:val="none"/>
              </w:rPr>
              <w:t>/10,</w:t>
            </w:r>
            <w:r>
              <w:rPr>
                <w:color w:val="auto"/>
                <w:spacing w:val="0"/>
                <w:w w:val="100"/>
                <w:position w:val="0"/>
                <w:sz w:val="20"/>
                <w:szCs w:val="20"/>
                <w:highlight w:val="none"/>
              </w:rPr>
              <w:t>其中</w:t>
            </w:r>
            <w:r>
              <w:rPr>
                <w:rFonts w:ascii="Times New Roman" w:hAnsi="Times New Roman" w:eastAsia="Times New Roman" w:cs="Times New Roman"/>
                <w:color w:val="auto"/>
                <w:spacing w:val="0"/>
                <w:w w:val="100"/>
                <w:position w:val="0"/>
                <w:sz w:val="19"/>
                <w:szCs w:val="19"/>
                <w:highlight w:val="none"/>
              </w:rPr>
              <w:t>X</w:t>
            </w:r>
            <w:r>
              <w:rPr>
                <w:color w:val="auto"/>
                <w:spacing w:val="0"/>
                <w:w w:val="100"/>
                <w:position w:val="0"/>
                <w:sz w:val="20"/>
                <w:szCs w:val="20"/>
                <w:highlight w:val="none"/>
              </w:rPr>
              <w:t xml:space="preserve">、 </w:t>
            </w:r>
            <w:r>
              <w:rPr>
                <w:rFonts w:ascii="Times New Roman" w:hAnsi="Times New Roman" w:eastAsia="Times New Roman" w:cs="Times New Roman"/>
                <w:color w:val="auto"/>
                <w:spacing w:val="0"/>
                <w:w w:val="100"/>
                <w:position w:val="0"/>
                <w:sz w:val="19"/>
                <w:szCs w:val="19"/>
                <w:highlight w:val="none"/>
                <w:lang w:val="en-US" w:eastAsia="en-US" w:bidi="en-US"/>
              </w:rPr>
              <w:t>Y</w:t>
            </w:r>
            <w:r>
              <w:rPr>
                <w:color w:val="auto"/>
                <w:spacing w:val="0"/>
                <w:w w:val="100"/>
                <w:position w:val="0"/>
                <w:sz w:val="20"/>
                <w:szCs w:val="20"/>
                <w:highlight w:val="none"/>
              </w:rPr>
              <w:t>为开标现场随机抽取的两个系数，各设</w:t>
            </w:r>
            <w:r>
              <w:rPr>
                <w:rFonts w:ascii="Times New Roman" w:hAnsi="Times New Roman" w:eastAsia="Times New Roman" w:cs="Times New Roman"/>
                <w:color w:val="auto"/>
                <w:spacing w:val="0"/>
                <w:w w:val="100"/>
                <w:position w:val="0"/>
                <w:sz w:val="19"/>
                <w:szCs w:val="19"/>
                <w:highlight w:val="none"/>
              </w:rPr>
              <w:t>5</w:t>
            </w:r>
            <w:r>
              <w:rPr>
                <w:color w:val="auto"/>
                <w:spacing w:val="0"/>
                <w:w w:val="100"/>
                <w:position w:val="0"/>
                <w:sz w:val="20"/>
                <w:szCs w:val="20"/>
                <w:highlight w:val="none"/>
              </w:rPr>
              <w:t>个数值，分别为</w:t>
            </w:r>
            <w:r>
              <w:rPr>
                <w:rFonts w:ascii="Times New Roman" w:hAnsi="Times New Roman" w:eastAsia="Times New Roman" w:cs="Times New Roman"/>
                <w:color w:val="auto"/>
                <w:spacing w:val="0"/>
                <w:w w:val="100"/>
                <w:position w:val="0"/>
                <w:sz w:val="19"/>
                <w:szCs w:val="19"/>
                <w:highlight w:val="none"/>
              </w:rPr>
              <w:t>2</w:t>
            </w:r>
            <w:r>
              <w:rPr>
                <w:color w:val="auto"/>
                <w:spacing w:val="0"/>
                <w:w w:val="100"/>
                <w:position w:val="0"/>
                <w:sz w:val="20"/>
                <w:szCs w:val="20"/>
                <w:highlight w:val="none"/>
              </w:rPr>
              <w:t>、</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sz w:val="20"/>
                <w:szCs w:val="20"/>
                <w:highlight w:val="none"/>
              </w:rPr>
              <w:t>、</w:t>
            </w:r>
            <w:r>
              <w:rPr>
                <w:rFonts w:ascii="Times New Roman" w:hAnsi="Times New Roman" w:eastAsia="Times New Roman" w:cs="Times New Roman"/>
                <w:color w:val="auto"/>
                <w:spacing w:val="0"/>
                <w:w w:val="100"/>
                <w:position w:val="0"/>
                <w:sz w:val="19"/>
                <w:szCs w:val="19"/>
                <w:highlight w:val="none"/>
              </w:rPr>
              <w:t>4</w:t>
            </w:r>
            <w:r>
              <w:rPr>
                <w:color w:val="auto"/>
                <w:spacing w:val="0"/>
                <w:w w:val="100"/>
                <w:position w:val="0"/>
                <w:sz w:val="20"/>
                <w:szCs w:val="20"/>
                <w:highlight w:val="none"/>
              </w:rPr>
              <w:t>、</w:t>
            </w:r>
            <w:r>
              <w:rPr>
                <w:rFonts w:ascii="Times New Roman" w:hAnsi="Times New Roman" w:eastAsia="Times New Roman" w:cs="Times New Roman"/>
                <w:color w:val="auto"/>
                <w:spacing w:val="0"/>
                <w:w w:val="100"/>
                <w:position w:val="0"/>
                <w:sz w:val="19"/>
                <w:szCs w:val="19"/>
                <w:highlight w:val="none"/>
              </w:rPr>
              <w:t>5</w:t>
            </w:r>
            <w:r>
              <w:rPr>
                <w:color w:val="auto"/>
                <w:spacing w:val="0"/>
                <w:w w:val="100"/>
                <w:position w:val="0"/>
                <w:sz w:val="20"/>
                <w:szCs w:val="20"/>
                <w:highlight w:val="none"/>
              </w:rPr>
              <w:t>、</w:t>
            </w:r>
            <w:r>
              <w:rPr>
                <w:rFonts w:ascii="Times New Roman" w:hAnsi="Times New Roman" w:eastAsia="Times New Roman" w:cs="Times New Roman"/>
                <w:color w:val="auto"/>
                <w:spacing w:val="0"/>
                <w:w w:val="100"/>
                <w:position w:val="0"/>
                <w:sz w:val="19"/>
                <w:szCs w:val="19"/>
                <w:highlight w:val="none"/>
                <w:lang w:val="en-US" w:eastAsia="en-US" w:bidi="en-US"/>
              </w:rPr>
              <w:t>6</w:t>
            </w:r>
            <w:r>
              <w:rPr>
                <w:rFonts w:hint="eastAsia" w:ascii="Times New Roman" w:hAnsi="Times New Roman" w:cs="Times New Roman"/>
                <w:color w:val="auto"/>
                <w:spacing w:val="0"/>
                <w:w w:val="100"/>
                <w:position w:val="0"/>
                <w:sz w:val="19"/>
                <w:szCs w:val="19"/>
                <w:highlight w:val="none"/>
                <w:lang w:val="en-US" w:eastAsia="zh-CN" w:bidi="en-US"/>
              </w:rPr>
              <w:t>。</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评标基准价方法 3（随机权重法）：先去掉 n1个最高有效评标价和 n2 个最低有效评标价后的平均值，用最高投标限价与平均值的权值之和作为评标基准价。</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P=D 平均×K1×Q1 + B 上限×K2×Q2</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式中：</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D 平均为去掉 n1个最高评标价和 n2个最低评标价后的平均值；</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B 上限为投标最高限价；</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K1、K2、Q1、Q2权重系数：</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Q2=1-Q1，Q1取值范围 30%～70%（本项目 Q1 取值的步长为 1%）；</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K1 的取值范围为：95%～100%（本项目 K1 取值的步长为 0.5%）；</w:t>
            </w:r>
          </w:p>
          <w:p>
            <w:pPr>
              <w:tabs>
                <w:tab w:val="left" w:pos="246"/>
                <w:tab w:val="left" w:pos="318"/>
                <w:tab w:val="left" w:pos="459"/>
              </w:tabs>
              <w:autoSpaceDE w:val="0"/>
              <w:autoSpaceDN w:val="0"/>
              <w:spacing w:line="336" w:lineRule="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K2 的取值范围为（85%+E%）～（90%+E%）（本项目 K2取值的步长为 0.5%），其中 E 为 0 至 5 的自然数，由招标人在编制招标文件时结合项目实际自行选取E 值后明确 K2 的取值范围。本项目中：E=3。</w:t>
            </w:r>
          </w:p>
          <w:p>
            <w:pPr>
              <w:pStyle w:val="2"/>
              <w:rPr>
                <w:rFonts w:hint="eastAsia"/>
                <w:color w:val="auto"/>
                <w:highlight w:val="none"/>
              </w:rPr>
            </w:pP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kern w:val="2"/>
                <w:position w:val="0"/>
                <w:sz w:val="20"/>
                <w:szCs w:val="20"/>
                <w:highlight w:val="none"/>
                <w:lang w:val="en-US" w:eastAsia="zh-CN" w:bidi="ar"/>
              </w:rPr>
            </w:pPr>
            <w:r>
              <w:rPr>
                <w:color w:val="auto"/>
                <w:spacing w:val="0"/>
                <w:w w:val="100"/>
                <w:position w:val="0"/>
                <w:highlight w:val="none"/>
              </w:rPr>
              <w:t>招标人应在招标文件中约定高于最高投标限价的投标报价为无效报价，不得参与评标基准价的计算。 评标基准价必须在开标时现场计算并确定，计算数据均统一釆用开标时各投标人的投标报价，除开标时计算错误外，不因第二信封评审否决投标而改变，也不因招标投标当事人异议、投诉以及其它任 何情形而改变。评标基准价确定方法中，凡涉及随机抽取工作的，应由监督部门予以监督。</w:t>
            </w:r>
          </w:p>
        </w:tc>
      </w:tr>
    </w:tbl>
    <w:p>
      <w:pPr>
        <w:rPr>
          <w:color w:val="auto"/>
          <w:highlight w:val="none"/>
        </w:rPr>
      </w:pPr>
      <w:r>
        <w:rPr>
          <w:color w:val="auto"/>
          <w:highlight w:val="none"/>
        </w:rPr>
        <w:br w:type="page"/>
      </w:r>
    </w:p>
    <w:tbl>
      <w:tblPr>
        <w:tblStyle w:val="10"/>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1029"/>
        <w:gridCol w:w="2450"/>
        <w:gridCol w:w="6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698"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en-US" w:bidi="ar"/>
              </w:rPr>
            </w:pPr>
            <w:r>
              <w:rPr>
                <w:rFonts w:hint="eastAsia" w:ascii="宋体" w:hAnsi="宋体" w:eastAsia="宋体" w:cs="宋体"/>
                <w:color w:val="auto"/>
                <w:kern w:val="2"/>
                <w:sz w:val="21"/>
                <w:szCs w:val="21"/>
                <w:highlight w:val="none"/>
                <w:lang w:eastAsia="zh-CN"/>
              </w:rPr>
              <w:t>条款号</w:t>
            </w:r>
          </w:p>
        </w:tc>
        <w:tc>
          <w:tcPr>
            <w:tcW w:w="2450"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14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eastAsia="zh-CN"/>
              </w:rPr>
              <w:t>条款内容</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numPr>
                <w:ilvl w:val="0"/>
                <w:numId w:val="0"/>
              </w:numPr>
              <w:shd w:val="clear" w:color="auto" w:fill="auto"/>
              <w:tabs>
                <w:tab w:val="left" w:pos="209"/>
              </w:tabs>
              <w:kinsoku/>
              <w:wordWrap/>
              <w:overflowPunct/>
              <w:topLinePunct w:val="0"/>
              <w:autoSpaceDE/>
              <w:autoSpaceDN/>
              <w:bidi w:val="0"/>
              <w:adjustRightInd/>
              <w:snapToGrid w:val="0"/>
              <w:spacing w:before="0" w:after="0" w:line="360" w:lineRule="auto"/>
              <w:ind w:left="0" w:leftChars="0" w:right="0" w:rightChars="0" w:firstLine="210" w:firstLineChars="10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eastAsia="zh-CN"/>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56"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19"/>
                <w:szCs w:val="19"/>
                <w:highlight w:val="none"/>
                <w:lang w:val="en-US" w:eastAsia="zh-CN" w:bidi="ar"/>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2. 2. </w:t>
            </w:r>
            <w:r>
              <w:rPr>
                <w:rFonts w:ascii="Times New Roman" w:hAnsi="Times New Roman" w:eastAsia="Times New Roman" w:cs="Times New Roman"/>
                <w:color w:val="auto"/>
                <w:spacing w:val="0"/>
                <w:w w:val="100"/>
                <w:position w:val="0"/>
                <w:sz w:val="19"/>
                <w:szCs w:val="19"/>
                <w:highlight w:val="none"/>
              </w:rPr>
              <w:t>1</w:t>
            </w:r>
          </w:p>
        </w:tc>
        <w:tc>
          <w:tcPr>
            <w:tcW w:w="2450"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40" w:line="360" w:lineRule="auto"/>
              <w:ind w:left="0" w:right="0" w:firstLine="160"/>
              <w:jc w:val="center"/>
              <w:textAlignment w:val="auto"/>
              <w:rPr>
                <w:rFonts w:hint="eastAsia" w:ascii="宋体" w:hAnsi="宋体" w:eastAsia="宋体" w:cs="宋体"/>
                <w:color w:val="auto"/>
                <w:kern w:val="2"/>
                <w:sz w:val="20"/>
                <w:szCs w:val="20"/>
                <w:highlight w:val="none"/>
                <w:lang w:val="en-US" w:eastAsia="zh-CN" w:bidi="ar"/>
              </w:rPr>
            </w:pPr>
            <w:r>
              <w:rPr>
                <w:color w:val="auto"/>
                <w:spacing w:val="0"/>
                <w:w w:val="100"/>
                <w:position w:val="0"/>
                <w:highlight w:val="none"/>
              </w:rPr>
              <w:t>分值构成(总分</w:t>
            </w:r>
            <w:r>
              <w:rPr>
                <w:rFonts w:ascii="Times New Roman" w:hAnsi="Times New Roman" w:eastAsia="Times New Roman" w:cs="Times New Roman"/>
                <w:color w:val="auto"/>
                <w:spacing w:val="0"/>
                <w:w w:val="100"/>
                <w:position w:val="0"/>
                <w:sz w:val="19"/>
                <w:szCs w:val="19"/>
                <w:highlight w:val="none"/>
                <w:lang w:val="en-US" w:eastAsia="en-US" w:bidi="en-US"/>
              </w:rPr>
              <w:t xml:space="preserve">100.0 </w:t>
            </w:r>
            <w:r>
              <w:rPr>
                <w:color w:val="auto"/>
                <w:spacing w:val="0"/>
                <w:w w:val="100"/>
                <w:position w:val="0"/>
                <w:highlight w:val="none"/>
              </w:rPr>
              <w:t>分)</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0"/>
                <w:szCs w:val="20"/>
                <w:highlight w:val="none"/>
                <w:lang w:val="en-US" w:eastAsia="zh-CN" w:bidi="ar"/>
              </w:rPr>
            </w:pPr>
            <w:r>
              <w:rPr>
                <w:color w:val="auto"/>
                <w:spacing w:val="0"/>
                <w:w w:val="100"/>
                <w:position w:val="0"/>
                <w:highlight w:val="none"/>
              </w:rPr>
              <w:t>评标价：</w:t>
            </w:r>
            <w:r>
              <w:rPr>
                <w:rFonts w:ascii="Times New Roman" w:hAnsi="Times New Roman" w:eastAsia="Times New Roman" w:cs="Times New Roman"/>
                <w:color w:val="auto"/>
                <w:spacing w:val="0"/>
                <w:w w:val="100"/>
                <w:position w:val="0"/>
                <w:sz w:val="19"/>
                <w:szCs w:val="19"/>
                <w:highlight w:val="none"/>
                <w:lang w:val="en-US" w:eastAsia="en-US" w:bidi="en-US"/>
              </w:rPr>
              <w:t>100.0</w:t>
            </w:r>
            <w:r>
              <w:rPr>
                <w:color w:val="auto"/>
                <w:spacing w:val="0"/>
                <w:w w:val="100"/>
                <w:position w:val="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19"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19"/>
                <w:szCs w:val="19"/>
                <w:highlight w:val="none"/>
                <w:lang w:val="en-US" w:eastAsia="en-US" w:bidi="ar"/>
              </w:rPr>
            </w:pPr>
            <w:r>
              <w:rPr>
                <w:rFonts w:ascii="Times New Roman" w:hAnsi="Times New Roman" w:eastAsia="Times New Roman" w:cs="Times New Roman"/>
                <w:color w:val="auto"/>
                <w:spacing w:val="0"/>
                <w:w w:val="100"/>
                <w:position w:val="0"/>
                <w:sz w:val="19"/>
                <w:szCs w:val="19"/>
                <w:highlight w:val="none"/>
                <w:lang w:val="en-US" w:eastAsia="en-US" w:bidi="en-US"/>
              </w:rPr>
              <w:t>2. 2.2</w:t>
            </w:r>
          </w:p>
        </w:tc>
        <w:tc>
          <w:tcPr>
            <w:tcW w:w="2450"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160" w:right="0" w:firstLine="0"/>
              <w:jc w:val="center"/>
              <w:textAlignment w:val="auto"/>
              <w:rPr>
                <w:rFonts w:hint="eastAsia" w:ascii="宋体" w:hAnsi="宋体" w:eastAsia="宋体" w:cs="宋体"/>
                <w:color w:val="auto"/>
                <w:kern w:val="2"/>
                <w:sz w:val="20"/>
                <w:szCs w:val="20"/>
                <w:highlight w:val="none"/>
                <w:lang w:val="en-US" w:eastAsia="en-US" w:bidi="ar"/>
              </w:rPr>
            </w:pPr>
            <w:r>
              <w:rPr>
                <w:color w:val="auto"/>
                <w:spacing w:val="0"/>
                <w:w w:val="100"/>
                <w:position w:val="0"/>
                <w:highlight w:val="none"/>
              </w:rPr>
              <w:t>评标基准价计算方法</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300"/>
              <w:jc w:val="both"/>
              <w:textAlignment w:val="auto"/>
              <w:rPr>
                <w:color w:val="auto"/>
                <w:highlight w:val="none"/>
              </w:rPr>
            </w:pPr>
            <w:r>
              <w:rPr>
                <w:color w:val="auto"/>
                <w:spacing w:val="0"/>
                <w:w w:val="100"/>
                <w:position w:val="0"/>
                <w:highlight w:val="none"/>
              </w:rPr>
              <w:t>招标人设有最高限价，目的是防止哄抬标价，投标价超出此最高限价的，招标人 将视为超出招标人的支付能力，评标基准价计算时不把这样的投标价计算在内，并 且其投标报价得分为零分，投标文件其他部分不再进行评审。</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300"/>
              <w:jc w:val="both"/>
              <w:textAlignment w:val="auto"/>
              <w:rPr>
                <w:color w:val="auto"/>
                <w:highlight w:val="none"/>
              </w:rPr>
            </w:pPr>
            <w:r>
              <w:rPr>
                <w:color w:val="auto"/>
                <w:spacing w:val="0"/>
                <w:w w:val="100"/>
                <w:position w:val="0"/>
                <w:highlight w:val="none"/>
              </w:rPr>
              <w:t>评标基准价的计算：</w:t>
            </w:r>
          </w:p>
          <w:p>
            <w:pPr>
              <w:pStyle w:val="20"/>
              <w:keepNext w:val="0"/>
              <w:keepLines w:val="0"/>
              <w:pageBreakBefore w:val="0"/>
              <w:widowControl w:val="0"/>
              <w:shd w:val="clear" w:color="auto" w:fill="auto"/>
              <w:kinsoku/>
              <w:wordWrap/>
              <w:overflowPunct/>
              <w:topLinePunct w:val="0"/>
              <w:autoSpaceDE/>
              <w:autoSpaceDN/>
              <w:bidi w:val="0"/>
              <w:adjustRightInd/>
              <w:spacing w:before="0" w:after="40" w:line="360" w:lineRule="auto"/>
              <w:ind w:left="0" w:right="0" w:firstLine="300"/>
              <w:jc w:val="both"/>
              <w:textAlignment w:val="auto"/>
              <w:rPr>
                <w:color w:val="auto"/>
                <w:highlight w:val="none"/>
              </w:rPr>
            </w:pPr>
            <w:r>
              <w:rPr>
                <w:color w:val="auto"/>
                <w:spacing w:val="0"/>
                <w:w w:val="100"/>
                <w:position w:val="0"/>
                <w:highlight w:val="none"/>
              </w:rPr>
              <w:t>在开标现场，招标人将当场计算并宣布评标基准价。</w:t>
            </w:r>
          </w:p>
          <w:p>
            <w:pPr>
              <w:pStyle w:val="20"/>
              <w:keepNext w:val="0"/>
              <w:keepLines w:val="0"/>
              <w:pageBreakBefore w:val="0"/>
              <w:widowControl w:val="0"/>
              <w:numPr>
                <w:ilvl w:val="0"/>
                <w:numId w:val="0"/>
              </w:numPr>
              <w:shd w:val="clear" w:color="auto" w:fill="auto"/>
              <w:tabs>
                <w:tab w:val="left" w:pos="389"/>
              </w:tabs>
              <w:kinsoku/>
              <w:wordWrap/>
              <w:overflowPunct/>
              <w:topLinePunct w:val="0"/>
              <w:autoSpaceDE/>
              <w:autoSpaceDN/>
              <w:bidi w:val="0"/>
              <w:adjustRightInd/>
              <w:spacing w:before="0" w:after="0" w:line="360" w:lineRule="auto"/>
              <w:ind w:leftChars="0" w:right="0" w:rightChars="0"/>
              <w:jc w:val="both"/>
              <w:textAlignment w:val="auto"/>
              <w:rPr>
                <w:color w:val="auto"/>
                <w:highlight w:val="none"/>
              </w:rPr>
            </w:pPr>
            <w:r>
              <w:rPr>
                <w:rFonts w:hint="eastAsia"/>
                <w:color w:val="auto"/>
                <w:spacing w:val="0"/>
                <w:w w:val="100"/>
                <w:position w:val="0"/>
                <w:highlight w:val="none"/>
                <w:lang w:eastAsia="zh-CN"/>
              </w:rPr>
              <w:t>（</w:t>
            </w:r>
            <w:r>
              <w:rPr>
                <w:rFonts w:hint="eastAsia"/>
                <w:color w:val="auto"/>
                <w:spacing w:val="0"/>
                <w:w w:val="100"/>
                <w:position w:val="0"/>
                <w:highlight w:val="none"/>
                <w:lang w:val="en-US" w:eastAsia="zh-CN"/>
              </w:rPr>
              <w:t>1</w:t>
            </w:r>
            <w:r>
              <w:rPr>
                <w:rFonts w:hint="eastAsia"/>
                <w:color w:val="auto"/>
                <w:spacing w:val="0"/>
                <w:w w:val="100"/>
                <w:position w:val="0"/>
                <w:highlight w:val="none"/>
                <w:lang w:eastAsia="zh-CN"/>
              </w:rPr>
              <w:t>）</w:t>
            </w:r>
            <w:r>
              <w:rPr>
                <w:color w:val="auto"/>
                <w:spacing w:val="0"/>
                <w:w w:val="100"/>
                <w:position w:val="0"/>
                <w:highlight w:val="none"/>
              </w:rPr>
              <w:t>评标价的确定：评标价=投标函文字报价</w:t>
            </w:r>
          </w:p>
          <w:p>
            <w:pPr>
              <w:pStyle w:val="20"/>
              <w:keepNext w:val="0"/>
              <w:keepLines w:val="0"/>
              <w:pageBreakBefore w:val="0"/>
              <w:widowControl w:val="0"/>
              <w:numPr>
                <w:ilvl w:val="0"/>
                <w:numId w:val="0"/>
              </w:numPr>
              <w:shd w:val="clear" w:color="auto" w:fill="auto"/>
              <w:tabs>
                <w:tab w:val="left" w:pos="389"/>
              </w:tabs>
              <w:kinsoku/>
              <w:wordWrap/>
              <w:overflowPunct/>
              <w:topLinePunct w:val="0"/>
              <w:autoSpaceDE/>
              <w:autoSpaceDN/>
              <w:bidi w:val="0"/>
              <w:adjustRightInd/>
              <w:spacing w:before="0" w:after="0" w:line="360" w:lineRule="auto"/>
              <w:ind w:leftChars="0" w:right="0" w:rightChars="0"/>
              <w:jc w:val="both"/>
              <w:textAlignment w:val="auto"/>
              <w:rPr>
                <w:color w:val="auto"/>
                <w:highlight w:val="none"/>
              </w:rPr>
            </w:pPr>
            <w:r>
              <w:rPr>
                <w:rFonts w:hint="eastAsia"/>
                <w:color w:val="auto"/>
                <w:spacing w:val="0"/>
                <w:w w:val="100"/>
                <w:position w:val="0"/>
                <w:highlight w:val="none"/>
                <w:lang w:eastAsia="zh-CN"/>
              </w:rPr>
              <w:t>（</w:t>
            </w:r>
            <w:r>
              <w:rPr>
                <w:rFonts w:hint="eastAsia"/>
                <w:color w:val="auto"/>
                <w:spacing w:val="0"/>
                <w:w w:val="100"/>
                <w:position w:val="0"/>
                <w:highlight w:val="none"/>
                <w:lang w:val="en-US" w:eastAsia="zh-CN"/>
              </w:rPr>
              <w:t>2</w:t>
            </w:r>
            <w:r>
              <w:rPr>
                <w:rFonts w:hint="eastAsia"/>
                <w:color w:val="auto"/>
                <w:spacing w:val="0"/>
                <w:w w:val="100"/>
                <w:position w:val="0"/>
                <w:highlight w:val="none"/>
                <w:lang w:eastAsia="zh-CN"/>
              </w:rPr>
              <w:t>）</w:t>
            </w:r>
            <w:r>
              <w:rPr>
                <w:color w:val="auto"/>
                <w:spacing w:val="0"/>
                <w:w w:val="100"/>
                <w:position w:val="0"/>
                <w:highlight w:val="none"/>
              </w:rPr>
              <w:t>评标价平均值的计算：</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300"/>
              <w:jc w:val="both"/>
              <w:textAlignment w:val="auto"/>
              <w:rPr>
                <w:color w:val="auto"/>
                <w:spacing w:val="0"/>
                <w:w w:val="100"/>
                <w:position w:val="0"/>
                <w:highlight w:val="none"/>
              </w:rPr>
            </w:pPr>
            <w:r>
              <w:rPr>
                <w:color w:val="auto"/>
                <w:spacing w:val="0"/>
                <w:w w:val="100"/>
                <w:position w:val="0"/>
                <w:highlight w:val="none"/>
              </w:rPr>
              <w:t>除按第二章</w:t>
            </w:r>
            <w:r>
              <w:rPr>
                <w:color w:val="auto"/>
                <w:spacing w:val="0"/>
                <w:w w:val="100"/>
                <w:position w:val="0"/>
                <w:highlight w:val="none"/>
                <w:lang w:val="zh-CN" w:eastAsia="zh-CN" w:bidi="zh-CN"/>
              </w:rPr>
              <w:t>“投标</w:t>
            </w:r>
            <w:r>
              <w:rPr>
                <w:color w:val="auto"/>
                <w:spacing w:val="0"/>
                <w:w w:val="100"/>
                <w:position w:val="0"/>
                <w:highlight w:val="none"/>
              </w:rPr>
              <w:t>人须知</w:t>
            </w:r>
            <w:r>
              <w:rPr>
                <w:color w:val="auto"/>
                <w:spacing w:val="0"/>
                <w:w w:val="100"/>
                <w:position w:val="0"/>
                <w:highlight w:val="none"/>
                <w:lang w:val="zh-CN" w:eastAsia="zh-CN" w:bidi="zh-CN"/>
              </w:rPr>
              <w:t>”第</w:t>
            </w:r>
            <w:r>
              <w:rPr>
                <w:rFonts w:ascii="Times New Roman" w:hAnsi="Times New Roman" w:eastAsia="Times New Roman" w:cs="Times New Roman"/>
                <w:color w:val="auto"/>
                <w:spacing w:val="0"/>
                <w:w w:val="100"/>
                <w:position w:val="0"/>
                <w:sz w:val="19"/>
                <w:szCs w:val="19"/>
                <w:highlight w:val="none"/>
                <w:lang w:val="en-US" w:eastAsia="en-US" w:bidi="en-US"/>
              </w:rPr>
              <w:t>5. 2.4</w:t>
            </w:r>
            <w:r>
              <w:rPr>
                <w:color w:val="auto"/>
                <w:spacing w:val="0"/>
                <w:w w:val="100"/>
                <w:position w:val="0"/>
                <w:highlight w:val="none"/>
              </w:rPr>
              <w:t>项规定开标现场被宣布为不进入评标基准价 计算的投标报价之外，所有通过第一信封评审的投标人评标价去掉一个最高值和一个最低值后的算术平均值即为评标价平均值(如果参与评标价平均值计算的有效投标人少于</w:t>
            </w:r>
            <w:r>
              <w:rPr>
                <w:rFonts w:ascii="Times New Roman" w:hAnsi="Times New Roman" w:eastAsia="Times New Roman" w:cs="Times New Roman"/>
                <w:color w:val="auto"/>
                <w:spacing w:val="0"/>
                <w:w w:val="100"/>
                <w:position w:val="0"/>
                <w:sz w:val="19"/>
                <w:szCs w:val="19"/>
                <w:highlight w:val="none"/>
              </w:rPr>
              <w:t>5</w:t>
            </w:r>
            <w:r>
              <w:rPr>
                <w:color w:val="auto"/>
                <w:spacing w:val="0"/>
                <w:w w:val="100"/>
                <w:position w:val="0"/>
                <w:highlight w:val="none"/>
              </w:rPr>
              <w:t>家时，则计算评标价平均值时不去掉最高值和最低值)。</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评标基准价的确定：</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300"/>
              <w:jc w:val="both"/>
              <w:textAlignment w:val="auto"/>
              <w:rPr>
                <w:color w:val="auto"/>
                <w:highlight w:val="none"/>
              </w:rPr>
            </w:pPr>
            <w:r>
              <w:rPr>
                <w:color w:val="auto"/>
                <w:spacing w:val="0"/>
                <w:w w:val="100"/>
                <w:position w:val="0"/>
                <w:highlight w:val="none"/>
              </w:rPr>
              <w:t>招标人设置评标基准价系数为：___ ,开标现场由投标人代表随机抽取，评标 价平均值乘以现场抽取的评标基准价系数作为评标基准价。</w:t>
            </w:r>
          </w:p>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300"/>
              <w:jc w:val="both"/>
              <w:textAlignment w:val="auto"/>
              <w:rPr>
                <w:rFonts w:hint="eastAsia" w:ascii="宋体" w:hAnsi="宋体" w:eastAsia="宋体" w:cs="宋体"/>
                <w:color w:val="auto"/>
                <w:spacing w:val="0"/>
                <w:w w:val="100"/>
                <w:kern w:val="2"/>
                <w:position w:val="0"/>
                <w:sz w:val="20"/>
                <w:szCs w:val="20"/>
                <w:highlight w:val="none"/>
                <w:lang w:val="en-US" w:eastAsia="zh-CN" w:bidi="ar"/>
              </w:rPr>
            </w:pPr>
            <w:r>
              <w:rPr>
                <w:color w:val="auto"/>
                <w:spacing w:val="0"/>
                <w:w w:val="100"/>
                <w:position w:val="0"/>
                <w:highlight w:val="none"/>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81"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19"/>
                <w:szCs w:val="19"/>
                <w:highlight w:val="none"/>
                <w:u w:val="none"/>
                <w:shd w:val="clear" w:color="auto" w:fill="auto"/>
                <w:lang w:val="en-US" w:eastAsia="en-US" w:bidi="zh-TW"/>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2. 2. </w:t>
            </w:r>
            <w:r>
              <w:rPr>
                <w:rFonts w:ascii="Times New Roman" w:hAnsi="Times New Roman" w:eastAsia="Times New Roman" w:cs="Times New Roman"/>
                <w:color w:val="auto"/>
                <w:spacing w:val="0"/>
                <w:w w:val="100"/>
                <w:position w:val="0"/>
                <w:sz w:val="19"/>
                <w:szCs w:val="19"/>
                <w:highlight w:val="none"/>
                <w:lang w:val="zh-CN" w:eastAsia="zh-CN" w:bidi="zh-CN"/>
              </w:rPr>
              <w:t>3</w:t>
            </w:r>
          </w:p>
        </w:tc>
        <w:tc>
          <w:tcPr>
            <w:tcW w:w="2450"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0"/>
                <w:szCs w:val="20"/>
                <w:highlight w:val="none"/>
                <w:u w:val="none"/>
                <w:shd w:val="clear" w:color="auto" w:fill="auto"/>
                <w:lang w:val="zh-TW" w:eastAsia="zh-TW" w:bidi="zh-TW"/>
              </w:rPr>
            </w:pPr>
            <w:r>
              <w:rPr>
                <w:color w:val="auto"/>
                <w:spacing w:val="0"/>
                <w:w w:val="100"/>
                <w:position w:val="0"/>
                <w:highlight w:val="none"/>
              </w:rPr>
              <w:t>评标价的偏差率计算公式</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both"/>
              <w:textAlignment w:val="auto"/>
              <w:rPr>
                <w:rFonts w:hint="eastAsia" w:ascii="宋体" w:hAnsi="宋体" w:eastAsia="宋体" w:cs="宋体"/>
                <w:color w:val="auto"/>
                <w:kern w:val="2"/>
                <w:sz w:val="20"/>
                <w:szCs w:val="20"/>
                <w:highlight w:val="none"/>
                <w:u w:val="none"/>
                <w:shd w:val="clear" w:color="auto" w:fill="auto"/>
                <w:lang w:val="en-US" w:eastAsia="zh-CN" w:bidi="zh-TW"/>
              </w:rPr>
            </w:pPr>
            <w:r>
              <w:rPr>
                <w:color w:val="auto"/>
                <w:spacing w:val="0"/>
                <w:w w:val="100"/>
                <w:position w:val="0"/>
                <w:highlight w:val="none"/>
              </w:rPr>
              <w:t>偏差率</w:t>
            </w:r>
            <w:r>
              <w:rPr>
                <w:rFonts w:ascii="Times New Roman" w:hAnsi="Times New Roman" w:eastAsia="Times New Roman" w:cs="Times New Roman"/>
                <w:color w:val="auto"/>
                <w:spacing w:val="0"/>
                <w:w w:val="100"/>
                <w:position w:val="0"/>
                <w:sz w:val="19"/>
                <w:szCs w:val="19"/>
                <w:highlight w:val="none"/>
              </w:rPr>
              <w:t>=100%</w:t>
            </w:r>
            <w:r>
              <w:rPr>
                <w:rFonts w:hint="default" w:ascii="Arial" w:hAnsi="Arial" w:eastAsia="Times New Roman" w:cs="Arial"/>
                <w:color w:val="auto"/>
                <w:spacing w:val="0"/>
                <w:w w:val="100"/>
                <w:position w:val="0"/>
                <w:sz w:val="19"/>
                <w:szCs w:val="19"/>
                <w:highlight w:val="none"/>
              </w:rPr>
              <w:t>×</w:t>
            </w:r>
            <w:r>
              <w:rPr>
                <w:color w:val="auto"/>
                <w:spacing w:val="0"/>
                <w:w w:val="100"/>
                <w:position w:val="0"/>
                <w:highlight w:val="none"/>
              </w:rPr>
              <w:t>（投标人评标价一评标基准价）/评标基准价 偏差率保留</w:t>
            </w:r>
            <w:r>
              <w:rPr>
                <w:rFonts w:ascii="Times New Roman" w:hAnsi="Times New Roman" w:eastAsia="Times New Roman" w:cs="Times New Roman"/>
                <w:color w:val="auto"/>
                <w:spacing w:val="0"/>
                <w:w w:val="100"/>
                <w:position w:val="0"/>
                <w:sz w:val="19"/>
                <w:szCs w:val="19"/>
                <w:highlight w:val="none"/>
              </w:rPr>
              <w:t>2</w:t>
            </w:r>
            <w:r>
              <w:rPr>
                <w:color w:val="auto"/>
                <w:spacing w:val="0"/>
                <w:w w:val="100"/>
                <w:position w:val="0"/>
                <w:highlight w:val="none"/>
              </w:rPr>
              <w:t>位小数</w:t>
            </w:r>
          </w:p>
        </w:tc>
      </w:tr>
    </w:tbl>
    <w:p>
      <w:pPr>
        <w:rPr>
          <w:color w:val="auto"/>
          <w:highlight w:val="none"/>
        </w:rPr>
      </w:pPr>
    </w:p>
    <w:tbl>
      <w:tblPr>
        <w:tblStyle w:val="10"/>
        <w:tblW w:w="9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1029"/>
        <w:gridCol w:w="80"/>
        <w:gridCol w:w="2370"/>
        <w:gridCol w:w="6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81"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widowControl w:val="0"/>
              <w:shd w:val="clear" w:color="auto" w:fill="auto"/>
              <w:bidi w:val="0"/>
              <w:spacing w:before="0" w:after="0" w:line="274" w:lineRule="exact"/>
              <w:ind w:left="0" w:leftChars="0" w:right="0" w:rightChars="0" w:firstLine="0" w:firstLineChars="0"/>
              <w:jc w:val="center"/>
              <w:rPr>
                <w:rFonts w:hint="eastAsia" w:ascii="宋体" w:hAnsi="宋体" w:eastAsia="宋体" w:cs="宋体"/>
                <w:color w:val="auto"/>
                <w:kern w:val="2"/>
                <w:sz w:val="19"/>
                <w:szCs w:val="19"/>
                <w:highlight w:val="none"/>
                <w:u w:val="none"/>
                <w:shd w:val="clear" w:color="auto" w:fill="auto"/>
                <w:lang w:val="en-US" w:eastAsia="en-US" w:bidi="zh-TW"/>
              </w:rPr>
            </w:pPr>
            <w:r>
              <w:rPr>
                <w:color w:val="auto"/>
                <w:spacing w:val="0"/>
                <w:w w:val="100"/>
                <w:position w:val="0"/>
                <w:highlight w:val="none"/>
              </w:rPr>
              <w:t>条款号</w:t>
            </w:r>
          </w:p>
        </w:tc>
        <w:tc>
          <w:tcPr>
            <w:tcW w:w="2450" w:type="dxa"/>
            <w:gridSpan w:val="2"/>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widowControl w:val="0"/>
              <w:shd w:val="clear" w:color="auto" w:fill="auto"/>
              <w:bidi w:val="0"/>
              <w:spacing w:before="0" w:after="0" w:line="274" w:lineRule="exact"/>
              <w:ind w:left="0" w:leftChars="0" w:right="0" w:rightChars="0" w:firstLine="0" w:firstLineChars="0"/>
              <w:jc w:val="center"/>
              <w:rPr>
                <w:rFonts w:hint="eastAsia" w:ascii="宋体" w:hAnsi="宋体" w:eastAsia="宋体" w:cs="宋体"/>
                <w:color w:val="auto"/>
                <w:kern w:val="2"/>
                <w:sz w:val="20"/>
                <w:szCs w:val="20"/>
                <w:highlight w:val="none"/>
                <w:u w:val="none"/>
                <w:shd w:val="clear" w:color="auto" w:fill="auto"/>
                <w:lang w:val="zh-TW" w:eastAsia="zh-TW" w:bidi="zh-TW"/>
              </w:rPr>
            </w:pPr>
            <w:r>
              <w:rPr>
                <w:color w:val="auto"/>
                <w:spacing w:val="0"/>
                <w:w w:val="100"/>
                <w:position w:val="0"/>
                <w:highlight w:val="none"/>
              </w:rPr>
              <w:t>评分因素</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0"/>
                <w:szCs w:val="20"/>
                <w:highlight w:val="none"/>
                <w:u w:val="none"/>
                <w:shd w:val="clear" w:color="auto" w:fill="auto"/>
                <w:lang w:val="en-US" w:eastAsia="zh-CN" w:bidi="zh-TW"/>
              </w:rPr>
            </w:pPr>
            <w:r>
              <w:rPr>
                <w:color w:val="auto"/>
                <w:spacing w:val="0"/>
                <w:w w:val="100"/>
                <w:position w:val="0"/>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35" w:hRule="atLeast"/>
          <w:jc w:val="center"/>
        </w:trPr>
        <w:tc>
          <w:tcPr>
            <w:tcW w:w="1029" w:type="dxa"/>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kern w:val="2"/>
                <w:sz w:val="19"/>
                <w:szCs w:val="19"/>
                <w:highlight w:val="none"/>
                <w:lang w:val="en-US" w:eastAsia="zh-CN" w:bidi="ar"/>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2. 2. </w:t>
            </w:r>
            <w:r>
              <w:rPr>
                <w:rFonts w:ascii="Times New Roman" w:hAnsi="Times New Roman" w:eastAsia="Times New Roman" w:cs="Times New Roman"/>
                <w:color w:val="auto"/>
                <w:spacing w:val="0"/>
                <w:w w:val="100"/>
                <w:position w:val="0"/>
                <w:sz w:val="19"/>
                <w:szCs w:val="19"/>
                <w:highlight w:val="none"/>
              </w:rPr>
              <w:t>4</w:t>
            </w:r>
          </w:p>
        </w:tc>
        <w:tc>
          <w:tcPr>
            <w:tcW w:w="2450" w:type="dxa"/>
            <w:gridSpan w:val="2"/>
            <w:tcBorders>
              <w:top w:val="single" w:color="auto" w:sz="4" w:space="0"/>
              <w:left w:val="single" w:color="auto" w:sz="4" w:space="0"/>
              <w:bottom w:val="single" w:color="auto" w:sz="4" w:space="0"/>
              <w:right w:val="nil"/>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0"/>
                <w:szCs w:val="20"/>
                <w:highlight w:val="none"/>
                <w:lang w:val="en-US" w:eastAsia="zh-CN" w:bidi="ar"/>
              </w:rPr>
            </w:pPr>
            <w:r>
              <w:rPr>
                <w:color w:val="auto"/>
                <w:spacing w:val="0"/>
                <w:w w:val="100"/>
                <w:position w:val="0"/>
                <w:highlight w:val="none"/>
              </w:rPr>
              <w:t>第二信封评标价</w:t>
            </w:r>
          </w:p>
        </w:tc>
        <w:tc>
          <w:tcPr>
            <w:tcW w:w="62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tabs>
                <w:tab w:val="left" w:pos="246"/>
                <w:tab w:val="left" w:pos="318"/>
                <w:tab w:val="left" w:pos="459"/>
              </w:tabs>
              <w:kinsoku/>
              <w:wordWrap/>
              <w:overflowPunct/>
              <w:topLinePunct w:val="0"/>
              <w:autoSpaceDE w:val="0"/>
              <w:autoSpaceDN w:val="0"/>
              <w:bidi w:val="0"/>
              <w:adjustRightInd/>
              <w:snapToGrid/>
              <w:spacing w:line="360" w:lineRule="auto"/>
              <w:ind w:firstLine="220" w:firstLineChars="1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100.0分</w:t>
            </w:r>
          </w:p>
          <w:p>
            <w:pPr>
              <w:keepNext w:val="0"/>
              <w:keepLines w:val="0"/>
              <w:pageBreakBefore w:val="0"/>
              <w:widowControl w:val="0"/>
              <w:tabs>
                <w:tab w:val="left" w:pos="246"/>
                <w:tab w:val="left" w:pos="318"/>
                <w:tab w:val="left" w:pos="459"/>
              </w:tabs>
              <w:kinsoku/>
              <w:wordWrap/>
              <w:overflowPunct/>
              <w:topLinePunct w:val="0"/>
              <w:autoSpaceDE w:val="0"/>
              <w:autoSpaceDN w:val="0"/>
              <w:bidi w:val="0"/>
              <w:adjustRightInd/>
              <w:snapToGrid/>
              <w:spacing w:line="360" w:lineRule="auto"/>
              <w:ind w:firstLine="220" w:firstLineChars="1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评标价得分计算公式示例：</w:t>
            </w:r>
          </w:p>
          <w:p>
            <w:pPr>
              <w:keepNext w:val="0"/>
              <w:keepLines w:val="0"/>
              <w:pageBreakBefore w:val="0"/>
              <w:widowControl w:val="0"/>
              <w:tabs>
                <w:tab w:val="left" w:pos="246"/>
                <w:tab w:val="left" w:pos="318"/>
                <w:tab w:val="left" w:pos="459"/>
              </w:tabs>
              <w:kinsoku/>
              <w:wordWrap/>
              <w:overflowPunct/>
              <w:topLinePunct w:val="0"/>
              <w:autoSpaceDE w:val="0"/>
              <w:autoSpaceDN w:val="0"/>
              <w:bidi w:val="0"/>
              <w:adjustRightInd/>
              <w:snapToGrid/>
              <w:spacing w:line="360" w:lineRule="auto"/>
              <w:ind w:firstLine="220" w:firstLineChars="1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（1）如果投标人的评标价&gt;评标基准价,则评标价得分=100-偏差率×100×E1；</w:t>
            </w:r>
          </w:p>
          <w:p>
            <w:pPr>
              <w:keepNext w:val="0"/>
              <w:keepLines w:val="0"/>
              <w:pageBreakBefore w:val="0"/>
              <w:widowControl w:val="0"/>
              <w:tabs>
                <w:tab w:val="left" w:pos="246"/>
                <w:tab w:val="left" w:pos="318"/>
                <w:tab w:val="left" w:pos="459"/>
              </w:tabs>
              <w:kinsoku/>
              <w:wordWrap/>
              <w:overflowPunct/>
              <w:topLinePunct w:val="0"/>
              <w:autoSpaceDE w:val="0"/>
              <w:autoSpaceDN w:val="0"/>
              <w:bidi w:val="0"/>
              <w:adjustRightInd/>
              <w:snapToGrid/>
              <w:spacing w:line="360" w:lineRule="auto"/>
              <w:ind w:firstLine="220" w:firstLineChars="1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（2）如果投标的人评标价≤评标基准价,则评标价得分=100+偏差率×100×E2；</w:t>
            </w:r>
          </w:p>
          <w:p>
            <w:pPr>
              <w:keepNext w:val="0"/>
              <w:keepLines w:val="0"/>
              <w:pageBreakBefore w:val="0"/>
              <w:widowControl w:val="0"/>
              <w:tabs>
                <w:tab w:val="left" w:pos="246"/>
                <w:tab w:val="left" w:pos="318"/>
                <w:tab w:val="left" w:pos="459"/>
              </w:tabs>
              <w:kinsoku/>
              <w:wordWrap/>
              <w:overflowPunct/>
              <w:topLinePunct w:val="0"/>
              <w:autoSpaceDE w:val="0"/>
              <w:autoSpaceDN w:val="0"/>
              <w:bidi w:val="0"/>
              <w:adjustRightInd/>
              <w:snapToGrid/>
              <w:spacing w:line="360" w:lineRule="auto"/>
              <w:ind w:firstLine="220" w:firstLineChars="1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其中：E1是评标价每高于评标基准价一个百分点的扣分值E1=2；E2是评标价每低于评标基准价一个百分点的扣分值E2=1。</w:t>
            </w:r>
          </w:p>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300" w:firstLineChars="0"/>
              <w:jc w:val="left"/>
              <w:textAlignment w:val="auto"/>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0"/>
                <w:highlight w:val="none"/>
              </w:rPr>
              <w:t>投标人的投标价等于评标基准价者得满分（满分为100分），每高于评标基准价一个百分点扣2分,每低于评标基准价一个百分点扣1分,中间值按比例内插计算。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459" w:hRule="atLeast"/>
          <w:jc w:val="center"/>
        </w:trPr>
        <w:tc>
          <w:tcPr>
            <w:tcW w:w="977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300" w:firstLineChars="0"/>
              <w:jc w:val="left"/>
              <w:textAlignment w:val="auto"/>
              <w:rPr>
                <w:rFonts w:hint="eastAsia" w:ascii="宋体" w:hAnsi="宋体" w:eastAsia="宋体" w:cs="宋体"/>
                <w:color w:val="auto"/>
                <w:kern w:val="0"/>
                <w:highlight w:val="none"/>
              </w:rPr>
            </w:pPr>
            <w:r>
              <w:rPr>
                <w:color w:val="auto"/>
                <w:spacing w:val="0"/>
                <w:w w:val="100"/>
                <w:position w:val="0"/>
                <w:highlight w:val="none"/>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383" w:hRule="atLeast"/>
          <w:jc w:val="center"/>
        </w:trPr>
        <w:tc>
          <w:tcPr>
            <w:tcW w:w="11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300" w:firstLineChars="0"/>
              <w:jc w:val="center"/>
              <w:textAlignment w:val="auto"/>
              <w:rPr>
                <w:rFonts w:hint="eastAsia" w:eastAsia="宋体"/>
                <w:color w:val="auto"/>
                <w:spacing w:val="0"/>
                <w:w w:val="100"/>
                <w:position w:val="0"/>
                <w:highlight w:val="none"/>
                <w:lang w:eastAsia="zh-CN"/>
              </w:rPr>
            </w:pPr>
            <w:r>
              <w:rPr>
                <w:rFonts w:hint="eastAsia"/>
                <w:color w:val="auto"/>
                <w:spacing w:val="0"/>
                <w:w w:val="100"/>
                <w:position w:val="0"/>
                <w:highlight w:val="none"/>
                <w:lang w:eastAsia="zh-CN"/>
              </w:rPr>
              <w:t>条款号</w:t>
            </w:r>
          </w:p>
        </w:tc>
        <w:tc>
          <w:tcPr>
            <w:tcW w:w="86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bidi w:val="0"/>
              <w:adjustRightInd/>
              <w:snapToGrid/>
              <w:spacing w:before="0" w:after="0" w:line="360" w:lineRule="auto"/>
              <w:ind w:left="0" w:leftChars="0" w:right="0" w:rightChars="0" w:firstLine="300" w:firstLineChars="0"/>
              <w:jc w:val="center"/>
              <w:textAlignment w:val="auto"/>
              <w:rPr>
                <w:rFonts w:hint="eastAsia" w:eastAsia="宋体"/>
                <w:color w:val="auto"/>
                <w:spacing w:val="0"/>
                <w:w w:val="100"/>
                <w:position w:val="0"/>
                <w:highlight w:val="none"/>
                <w:lang w:eastAsia="zh-CN"/>
              </w:rPr>
            </w:pPr>
            <w:r>
              <w:rPr>
                <w:rFonts w:hint="eastAsia"/>
                <w:color w:val="auto"/>
                <w:spacing w:val="0"/>
                <w:w w:val="100"/>
                <w:position w:val="0"/>
                <w:highlight w:val="none"/>
                <w:lang w:eastAsia="zh-CN"/>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781" w:hRule="atLeast"/>
          <w:jc w:val="center"/>
        </w:trPr>
        <w:tc>
          <w:tcPr>
            <w:tcW w:w="11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kern w:val="2"/>
                <w:sz w:val="20"/>
                <w:szCs w:val="20"/>
                <w:highlight w:val="none"/>
                <w:lang w:val="en-US" w:eastAsia="zh-CN" w:bidi="ar"/>
              </w:rPr>
            </w:pPr>
            <w:r>
              <w:rPr>
                <w:color w:val="auto"/>
                <w:spacing w:val="0"/>
                <w:w w:val="100"/>
                <w:position w:val="0"/>
                <w:highlight w:val="none"/>
              </w:rPr>
              <w:t>1</w:t>
            </w:r>
          </w:p>
        </w:tc>
        <w:tc>
          <w:tcPr>
            <w:tcW w:w="86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rPr>
              <w:t>1、评标办法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rPr>
              <w:t>本条细化为：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rPr>
              <w:t>本次评标釆用双信封形式合理低价法。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1评标委员会首先对投标文件第一个信封（商务与技术文件）进行初步评审（形式评审与响应性 评审、资格评审），通过第一个信封初步评审后的投标文件方可进入第二个信封的开标。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2第二个信封的开标在监督部门的监督下进行，未通过第一个信封初步评审投标人的第二个信封电子文件不予读取。</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3评标委员会对投标文件第二个信封进行形式和响应性评审，并按照本章第</w:t>
            </w:r>
            <w:r>
              <w:rPr>
                <w:color w:val="auto"/>
                <w:spacing w:val="0"/>
                <w:w w:val="100"/>
                <w:position w:val="0"/>
                <w:highlight w:val="none"/>
                <w:lang w:val="en-US" w:eastAsia="en-US" w:bidi="en-US"/>
              </w:rPr>
              <w:t>2.</w:t>
            </w:r>
            <w:r>
              <w:rPr>
                <w:color w:val="auto"/>
                <w:spacing w:val="0"/>
                <w:w w:val="100"/>
                <w:position w:val="0"/>
                <w:highlight w:val="none"/>
              </w:rPr>
              <w:t>2款规定的评分标准进行评分，然后按最终得分（最终得分即评标价得分加信用加分）由高到低顺序确定中标候选人推荐排序，但投标报价低于其成本的除外。</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lang w:val="en-US" w:eastAsia="en-US" w:bidi="en-US"/>
              </w:rPr>
              <w:t>1.4</w:t>
            </w:r>
            <w:r>
              <w:rPr>
                <w:color w:val="auto"/>
                <w:spacing w:val="0"/>
                <w:w w:val="100"/>
                <w:position w:val="0"/>
                <w:highlight w:val="none"/>
              </w:rPr>
              <w:t>评标委员会将按照本条第1条中确定的先后排序依次推荐第一、第二、第三中标候选人。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highlight w:val="none"/>
              </w:rPr>
            </w:pPr>
            <w:r>
              <w:rPr>
                <w:color w:val="auto"/>
                <w:spacing w:val="0"/>
                <w:w w:val="100"/>
                <w:position w:val="0"/>
                <w:highlight w:val="none"/>
                <w:lang w:val="en-US" w:eastAsia="en-US" w:bidi="en-US"/>
              </w:rPr>
              <w:t>1.</w:t>
            </w:r>
            <w:r>
              <w:rPr>
                <w:color w:val="auto"/>
                <w:spacing w:val="0"/>
                <w:w w:val="100"/>
                <w:position w:val="0"/>
                <w:highlight w:val="none"/>
              </w:rPr>
              <w:t>5通过第一个信封评审的投标人在3个及以上的，招标人将按规定的程序进行第二个信封开标； 在对第二个信封进行评审后，有效投标不足3个使得投标明显缺乏竞争的，评标委员会可以否决全部投标。评标委员会未否决全部投标的，应当在评标报告中阐明理由并推荐中标候选人。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firstLineChars="200"/>
              <w:jc w:val="left"/>
              <w:textAlignment w:val="auto"/>
              <w:rPr>
                <w:color w:val="auto"/>
                <w:spacing w:val="0"/>
                <w:w w:val="100"/>
                <w:position w:val="0"/>
                <w:highlight w:val="none"/>
              </w:rPr>
            </w:pPr>
            <w:r>
              <w:rPr>
                <w:color w:val="auto"/>
                <w:spacing w:val="0"/>
                <w:w w:val="100"/>
                <w:position w:val="0"/>
                <w:highlight w:val="none"/>
                <w:lang w:val="en-US" w:eastAsia="en-US" w:bidi="en-US"/>
              </w:rPr>
              <w:t>1.6</w:t>
            </w:r>
            <w:r>
              <w:rPr>
                <w:color w:val="auto"/>
                <w:spacing w:val="0"/>
                <w:w w:val="100"/>
                <w:position w:val="0"/>
                <w:highlight w:val="none"/>
              </w:rPr>
              <w:t>在评审过程中评标委员会认为投标人有围标串标、哄抬或压低标价谋取中标的嫌疑，评标委员会有权做出废标或重新招标。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rFonts w:hint="eastAsia" w:ascii="宋体" w:hAnsi="宋体" w:eastAsia="宋体" w:cs="宋体"/>
                <w:color w:val="auto"/>
                <w:spacing w:val="0"/>
                <w:w w:val="100"/>
                <w:kern w:val="2"/>
                <w:position w:val="0"/>
                <w:sz w:val="20"/>
                <w:szCs w:val="20"/>
                <w:highlight w:val="none"/>
                <w:lang w:val="en-US" w:eastAsia="zh-CN" w:bidi="ar"/>
              </w:rPr>
            </w:pPr>
            <w:r>
              <w:rPr>
                <w:color w:val="auto"/>
                <w:spacing w:val="0"/>
                <w:w w:val="100"/>
                <w:position w:val="0"/>
                <w:highlight w:val="none"/>
              </w:rPr>
              <w:t>通过第一个信封评审的投标人少于</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81" w:hRule="atLeast"/>
          <w:jc w:val="center"/>
        </w:trPr>
        <w:tc>
          <w:tcPr>
            <w:tcW w:w="11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eastAsia="宋体"/>
                <w:color w:val="auto"/>
                <w:spacing w:val="0"/>
                <w:w w:val="100"/>
                <w:position w:val="0"/>
                <w:highlight w:val="none"/>
                <w:lang w:val="en-US" w:eastAsia="zh-CN"/>
              </w:rPr>
            </w:pPr>
            <w:r>
              <w:rPr>
                <w:rFonts w:hint="eastAsia"/>
                <w:color w:val="auto"/>
                <w:spacing w:val="0"/>
                <w:w w:val="100"/>
                <w:position w:val="0"/>
                <w:highlight w:val="none"/>
                <w:lang w:val="en-US" w:eastAsia="zh-CN"/>
              </w:rPr>
              <w:t>3</w:t>
            </w:r>
          </w:p>
        </w:tc>
        <w:tc>
          <w:tcPr>
            <w:tcW w:w="86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right="0" w:firstLine="300"/>
              <w:jc w:val="left"/>
              <w:textAlignment w:val="auto"/>
              <w:rPr>
                <w:color w:val="auto"/>
                <w:highlight w:val="none"/>
              </w:rPr>
            </w:pPr>
            <w:r>
              <w:rPr>
                <w:color w:val="auto"/>
                <w:spacing w:val="0"/>
                <w:w w:val="100"/>
                <w:position w:val="0"/>
                <w:highlight w:val="none"/>
              </w:rPr>
              <w:t>因电子标固定</w:t>
            </w:r>
            <w:r>
              <w:rPr>
                <w:rFonts w:hint="eastAsia"/>
                <w:color w:val="auto"/>
                <w:spacing w:val="0"/>
                <w:w w:val="100"/>
                <w:position w:val="0"/>
                <w:highlight w:val="none"/>
                <w:lang w:eastAsia="zh-CN"/>
              </w:rPr>
              <w:t>格式</w:t>
            </w:r>
            <w:r>
              <w:rPr>
                <w:color w:val="auto"/>
                <w:spacing w:val="0"/>
                <w:w w:val="100"/>
                <w:position w:val="0"/>
                <w:highlight w:val="none"/>
              </w:rPr>
              <w:t>无法修改，招标文件中与此处不一致时，以此处为准。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、评标办法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color w:val="auto"/>
                <w:highlight w:val="none"/>
              </w:rPr>
            </w:pPr>
            <w:r>
              <w:rPr>
                <w:color w:val="auto"/>
                <w:spacing w:val="0"/>
                <w:w w:val="100"/>
                <w:position w:val="0"/>
                <w:highlight w:val="none"/>
              </w:rPr>
              <w:t>本条细化为：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00"/>
              <w:jc w:val="left"/>
              <w:textAlignment w:val="auto"/>
              <w:rPr>
                <w:color w:val="auto"/>
                <w:highlight w:val="none"/>
              </w:rPr>
            </w:pPr>
            <w:r>
              <w:rPr>
                <w:color w:val="auto"/>
                <w:spacing w:val="0"/>
                <w:w w:val="100"/>
                <w:position w:val="0"/>
                <w:highlight w:val="none"/>
              </w:rPr>
              <w:t>本次评标采用双信封形式合理低价法。</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1.1</w:t>
            </w:r>
            <w:r>
              <w:rPr>
                <w:color w:val="auto"/>
                <w:spacing w:val="0"/>
                <w:w w:val="100"/>
                <w:position w:val="0"/>
                <w:highlight w:val="none"/>
              </w:rPr>
              <w:t>评标委员会首先对投标文件第一个信封（商务与技术文件）进行初步评审（形式评审与响应性评审、资格评审），通过第一个信封初步评审后的投标文件方可进入第二个信封的开标。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1.2</w:t>
            </w:r>
            <w:r>
              <w:rPr>
                <w:color w:val="auto"/>
                <w:spacing w:val="0"/>
                <w:w w:val="100"/>
                <w:position w:val="0"/>
                <w:highlight w:val="none"/>
              </w:rPr>
              <w:t>第二个信封的开标在监督部门的监督下进行，未通过第一个信封初步评审投标人的第二个信封电子文件不予读取。</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1.3</w:t>
            </w:r>
            <w:r>
              <w:rPr>
                <w:color w:val="auto"/>
                <w:spacing w:val="0"/>
                <w:w w:val="100"/>
                <w:position w:val="0"/>
                <w:highlight w:val="none"/>
              </w:rPr>
              <w:t>评标委员会对投标文件第二个信封进行形式和响应性评审，并按照本章第</w:t>
            </w:r>
            <w:r>
              <w:rPr>
                <w:rFonts w:ascii="Times New Roman" w:hAnsi="Times New Roman" w:eastAsia="Times New Roman" w:cs="Times New Roman"/>
                <w:color w:val="auto"/>
                <w:spacing w:val="0"/>
                <w:w w:val="100"/>
                <w:position w:val="0"/>
                <w:sz w:val="19"/>
                <w:szCs w:val="19"/>
                <w:highlight w:val="none"/>
                <w:lang w:val="en-US" w:eastAsia="en-US" w:bidi="en-US"/>
              </w:rPr>
              <w:t>2.2</w:t>
            </w:r>
            <w:r>
              <w:rPr>
                <w:color w:val="auto"/>
                <w:spacing w:val="0"/>
                <w:w w:val="100"/>
                <w:position w:val="0"/>
                <w:highlight w:val="none"/>
              </w:rPr>
              <w:t>款规定的评分标准进行评分，然后按最终得分由高到低顺序确定中标候选人推荐排序，但投标报价低于其成本的除外。</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00" w:firstLineChars="200"/>
              <w:jc w:val="both"/>
              <w:textAlignment w:val="auto"/>
              <w:rPr>
                <w:color w:val="auto"/>
                <w:highlight w:val="none"/>
              </w:rPr>
            </w:pPr>
            <w:r>
              <w:rPr>
                <w:color w:val="auto"/>
                <w:spacing w:val="0"/>
                <w:w w:val="100"/>
                <w:position w:val="0"/>
                <w:highlight w:val="none"/>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rFonts w:ascii="宋体" w:hAnsi="宋体" w:eastAsia="宋体" w:cs="宋体"/>
                <w:color w:val="auto"/>
                <w:spacing w:val="0"/>
                <w:w w:val="100"/>
                <w:position w:val="0"/>
                <w:highlight w:val="none"/>
              </w:rPr>
            </w:pPr>
            <w:r>
              <w:rPr>
                <w:rFonts w:ascii="宋体" w:hAnsi="宋体" w:eastAsia="宋体" w:cs="宋体"/>
                <w:color w:val="auto"/>
                <w:spacing w:val="0"/>
                <w:w w:val="100"/>
                <w:position w:val="0"/>
                <w:highlight w:val="none"/>
                <w:lang w:val="en-US" w:eastAsia="en-US"/>
              </w:rPr>
              <w:t>1.4</w:t>
            </w:r>
            <w:r>
              <w:rPr>
                <w:rFonts w:ascii="宋体" w:hAnsi="宋体" w:eastAsia="宋体" w:cs="宋体"/>
                <w:color w:val="auto"/>
                <w:spacing w:val="0"/>
                <w:w w:val="100"/>
                <w:position w:val="0"/>
                <w:highlight w:val="none"/>
              </w:rPr>
              <w:t>评标委员会将按照本条第1条中确定的先后排序依次推荐第一、第二、第三中标候选人。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rFonts w:ascii="宋体" w:hAnsi="宋体" w:eastAsia="宋体" w:cs="宋体"/>
                <w:color w:val="auto"/>
                <w:spacing w:val="0"/>
                <w:w w:val="100"/>
                <w:position w:val="0"/>
                <w:highlight w:val="none"/>
              </w:rPr>
            </w:pPr>
            <w:r>
              <w:rPr>
                <w:rFonts w:ascii="宋体" w:hAnsi="宋体" w:eastAsia="宋体" w:cs="宋体"/>
                <w:color w:val="auto"/>
                <w:spacing w:val="0"/>
                <w:w w:val="100"/>
                <w:position w:val="0"/>
                <w:highlight w:val="none"/>
                <w:lang w:val="en-US" w:eastAsia="en-US"/>
              </w:rPr>
              <w:t>1.</w:t>
            </w:r>
            <w:r>
              <w:rPr>
                <w:rFonts w:ascii="宋体" w:hAnsi="宋体" w:eastAsia="宋体" w:cs="宋体"/>
                <w:color w:val="auto"/>
                <w:spacing w:val="0"/>
                <w:w w:val="100"/>
                <w:position w:val="0"/>
                <w:highlight w:val="none"/>
              </w:rPr>
              <w:t>5通过第一个信封评审的投标人在3个及以上的，招标人将按规定的程序进行第二个信封开标； 在对第二个信封进行评审后，有效投标不足3个使得投标明显缺乏竞争的，评标委员会可以否决全部投标。评标委员会未否决全部投标的，应当在评标报告中阐明理由并推荐中标候选人。</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0" w:right="0" w:firstLine="120"/>
              <w:jc w:val="both"/>
              <w:textAlignment w:val="auto"/>
              <w:rPr>
                <w:rFonts w:ascii="宋体" w:hAnsi="宋体" w:eastAsia="宋体" w:cs="宋体"/>
                <w:color w:val="auto"/>
                <w:spacing w:val="0"/>
                <w:w w:val="100"/>
                <w:position w:val="0"/>
                <w:highlight w:val="none"/>
              </w:rPr>
            </w:pPr>
            <w:r>
              <w:rPr>
                <w:rFonts w:ascii="宋体" w:hAnsi="宋体" w:eastAsia="宋体" w:cs="宋体"/>
                <w:color w:val="auto"/>
                <w:spacing w:val="0"/>
                <w:w w:val="100"/>
                <w:position w:val="0"/>
                <w:highlight w:val="none"/>
                <w:lang w:val="en-US" w:eastAsia="en-US"/>
              </w:rPr>
              <w:t>1.6</w:t>
            </w:r>
            <w:r>
              <w:rPr>
                <w:rFonts w:ascii="宋体" w:hAnsi="宋体" w:eastAsia="宋体" w:cs="宋体"/>
                <w:color w:val="auto"/>
                <w:spacing w:val="0"/>
                <w:w w:val="100"/>
                <w:position w:val="0"/>
                <w:highlight w:val="none"/>
              </w:rPr>
              <w:t>在评审过程中评标委员会认为投标人有围标串标、哄抬或压低标价谋取中标的嫌疑，评标委员会有权做出废标或重新招标。</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400" w:firstLineChars="200"/>
              <w:jc w:val="left"/>
              <w:textAlignment w:val="auto"/>
              <w:rPr>
                <w:color w:val="auto"/>
                <w:spacing w:val="0"/>
                <w:w w:val="100"/>
                <w:position w:val="0"/>
                <w:highlight w:val="none"/>
              </w:rPr>
            </w:pPr>
            <w:r>
              <w:rPr>
                <w:rFonts w:hint="eastAsia"/>
                <w:color w:val="auto"/>
                <w:spacing w:val="0"/>
                <w:w w:val="100"/>
                <w:position w:val="0"/>
                <w:highlight w:val="none"/>
                <w:lang w:val="en-US" w:eastAsia="zh-CN"/>
              </w:rPr>
              <w:t xml:space="preserve"> </w:t>
            </w:r>
            <w:r>
              <w:rPr>
                <w:rFonts w:hint="eastAsia" w:ascii="宋体" w:hAnsi="宋体" w:eastAsia="宋体" w:cs="Times New Roman"/>
                <w:b/>
                <w:bCs w:val="0"/>
                <w:color w:val="auto"/>
                <w:szCs w:val="21"/>
                <w:highlight w:val="none"/>
                <w:lang w:val="en-US" w:eastAsia="zh-CN"/>
              </w:rPr>
              <w:t xml:space="preserve"> 因电子标固定格式原因，删除本章“评标办法前附表 第二处 第2.2.1款、第2.2.2款和需要补充的其他内容：条款号1”中全部内容。</w:t>
            </w:r>
          </w:p>
        </w:tc>
      </w:tr>
    </w:tbl>
    <w:p>
      <w:pPr>
        <w:rPr>
          <w:color w:val="auto"/>
          <w:highlight w:val="none"/>
        </w:rPr>
      </w:pPr>
    </w:p>
    <w:p>
      <w:pPr>
        <w:pStyle w:val="21"/>
        <w:keepNext w:val="0"/>
        <w:keepLines w:val="0"/>
        <w:widowControl w:val="0"/>
        <w:shd w:val="clear" w:color="auto" w:fill="auto"/>
        <w:bidi w:val="0"/>
        <w:spacing w:before="0" w:after="0" w:line="410" w:lineRule="exact"/>
        <w:ind w:left="0" w:leftChars="0" w:right="0" w:firstLine="400" w:firstLineChars="200"/>
        <w:jc w:val="both"/>
        <w:rPr>
          <w:color w:val="auto"/>
          <w:highlight w:val="none"/>
        </w:rPr>
      </w:pPr>
      <w:r>
        <w:rPr>
          <w:color w:val="auto"/>
          <w:spacing w:val="0"/>
          <w:w w:val="100"/>
          <w:position w:val="0"/>
          <w:highlight w:val="none"/>
        </w:rPr>
        <w:t>“评标办法前附表”用于进一步明确正文中的未尽事宜，由招标人根据招标项目具体特点和实际需要编 制和填写。评标办法前附表是对评标办法正文的补充和细化，应对照评标办法正文中同一编号的条款一 起阅读和理解。如前附表与正文表述不一致时，以前附表的规定为准。</w:t>
      </w:r>
    </w:p>
    <w:p>
      <w:pPr>
        <w:spacing w:line="1" w:lineRule="exact"/>
        <w:rPr>
          <w:rFonts w:asciiTheme="minorHAnsi" w:hAnsiTheme="minorHAnsi" w:eastAsiaTheme="minorEastAsia" w:cstheme="minorBidi"/>
          <w:color w:val="auto"/>
          <w:kern w:val="2"/>
          <w:sz w:val="21"/>
          <w:szCs w:val="24"/>
          <w:highlight w:val="none"/>
          <w:lang w:val="en-US" w:eastAsia="zh-CN" w:bidi="ar-SA"/>
        </w:rPr>
      </w:pPr>
    </w:p>
    <w:p>
      <w:pPr>
        <w:widowControl w:val="0"/>
        <w:spacing w:after="79" w:line="1" w:lineRule="exact"/>
        <w:rPr>
          <w:color w:val="auto"/>
          <w:highlight w:val="none"/>
        </w:rPr>
      </w:pPr>
    </w:p>
    <w:p>
      <w:pPr>
        <w:pStyle w:val="19"/>
        <w:keepNext/>
        <w:keepLines/>
        <w:widowControl w:val="0"/>
        <w:shd w:val="clear" w:color="auto" w:fill="auto"/>
        <w:bidi w:val="0"/>
        <w:spacing w:before="0" w:after="200" w:line="412" w:lineRule="exact"/>
        <w:ind w:left="0" w:right="0" w:firstLine="0"/>
        <w:jc w:val="left"/>
        <w:rPr>
          <w:color w:val="auto"/>
          <w:sz w:val="24"/>
          <w:szCs w:val="24"/>
          <w:highlight w:val="none"/>
        </w:rPr>
      </w:pPr>
      <w:bookmarkStart w:id="67" w:name="bookmark8"/>
      <w:r>
        <w:rPr>
          <w:color w:val="auto"/>
          <w:spacing w:val="0"/>
          <w:w w:val="100"/>
          <w:position w:val="0"/>
          <w:sz w:val="24"/>
          <w:szCs w:val="24"/>
          <w:highlight w:val="none"/>
        </w:rPr>
        <w:t>正文内容</w:t>
      </w:r>
      <w:bookmarkEnd w:id="67"/>
    </w:p>
    <w:p>
      <w:pPr>
        <w:pStyle w:val="19"/>
        <w:keepNext/>
        <w:keepLines/>
        <w:widowControl w:val="0"/>
        <w:numPr>
          <w:ilvl w:val="0"/>
          <w:numId w:val="4"/>
        </w:numPr>
        <w:shd w:val="clear" w:color="auto" w:fill="auto"/>
        <w:tabs>
          <w:tab w:val="left" w:pos="358"/>
        </w:tabs>
        <w:bidi w:val="0"/>
        <w:spacing w:before="0" w:after="0" w:line="386" w:lineRule="auto"/>
        <w:ind w:left="0" w:right="0" w:firstLine="0"/>
        <w:jc w:val="left"/>
        <w:rPr>
          <w:color w:val="auto"/>
          <w:sz w:val="24"/>
          <w:szCs w:val="24"/>
          <w:highlight w:val="none"/>
        </w:rPr>
      </w:pPr>
      <w:bookmarkStart w:id="68" w:name="bookmark11"/>
      <w:bookmarkEnd w:id="68"/>
      <w:bookmarkStart w:id="69" w:name="bookmark9"/>
      <w:bookmarkStart w:id="70" w:name="bookmark12"/>
      <w:bookmarkStart w:id="71" w:name="bookmark10"/>
      <w:r>
        <w:rPr>
          <w:color w:val="auto"/>
          <w:spacing w:val="0"/>
          <w:w w:val="100"/>
          <w:position w:val="0"/>
          <w:sz w:val="24"/>
          <w:szCs w:val="24"/>
          <w:highlight w:val="none"/>
        </w:rPr>
        <w:t>评标方法</w:t>
      </w:r>
      <w:bookmarkEnd w:id="69"/>
      <w:bookmarkEnd w:id="70"/>
      <w:bookmarkEnd w:id="71"/>
    </w:p>
    <w:p>
      <w:pPr>
        <w:pStyle w:val="21"/>
        <w:keepNext w:val="0"/>
        <w:keepLines w:val="0"/>
        <w:widowControl w:val="0"/>
        <w:shd w:val="clear" w:color="auto" w:fill="auto"/>
        <w:bidi w:val="0"/>
        <w:spacing w:before="0" w:after="200"/>
        <w:ind w:left="0" w:right="0" w:firstLine="520"/>
        <w:jc w:val="both"/>
        <w:rPr>
          <w:color w:val="auto"/>
          <w:spacing w:val="0"/>
          <w:w w:val="100"/>
          <w:position w:val="0"/>
          <w:sz w:val="20"/>
          <w:szCs w:val="20"/>
          <w:highlight w:val="none"/>
        </w:rPr>
      </w:pPr>
      <w:r>
        <w:rPr>
          <w:color w:val="auto"/>
          <w:spacing w:val="0"/>
          <w:w w:val="100"/>
          <w:position w:val="0"/>
          <w:sz w:val="20"/>
          <w:szCs w:val="20"/>
          <w:highlight w:val="none"/>
        </w:rPr>
        <w:t>本次评标采用</w:t>
      </w:r>
      <w:r>
        <w:rPr>
          <w:color w:val="auto"/>
          <w:spacing w:val="0"/>
          <w:w w:val="100"/>
          <w:position w:val="0"/>
          <w:sz w:val="20"/>
          <w:szCs w:val="20"/>
          <w:highlight w:val="none"/>
          <w:lang w:val="zh-CN" w:eastAsia="zh-CN"/>
        </w:rPr>
        <w:t>合理低</w:t>
      </w:r>
      <w:r>
        <w:rPr>
          <w:color w:val="auto"/>
          <w:spacing w:val="0"/>
          <w:w w:val="100"/>
          <w:position w:val="0"/>
          <w:sz w:val="20"/>
          <w:szCs w:val="20"/>
          <w:highlight w:val="none"/>
        </w:rPr>
        <w:t>价法。评标委员会对满足招标文件实质性要求的投标文件，按照本章第</w:t>
      </w:r>
      <w:r>
        <w:rPr>
          <w:color w:val="auto"/>
          <w:spacing w:val="0"/>
          <w:w w:val="100"/>
          <w:position w:val="0"/>
          <w:sz w:val="20"/>
          <w:szCs w:val="20"/>
          <w:highlight w:val="none"/>
          <w:lang w:val="en-US" w:eastAsia="en-US"/>
        </w:rPr>
        <w:t>2.2</w:t>
      </w:r>
      <w:r>
        <w:rPr>
          <w:color w:val="auto"/>
          <w:spacing w:val="0"/>
          <w:w w:val="100"/>
          <w:position w:val="0"/>
          <w:sz w:val="20"/>
          <w:szCs w:val="20"/>
          <w:highlight w:val="none"/>
        </w:rPr>
        <w:t>款 规定的评分标准进行打分，并按得分由高到低顺序推荐中标候选人，或根据招标人授权直接确定中标 人，但投标报价低于其成本的除外。综合评分相等时，评标委员会应按照评标办法前附表规定的优先次 序推荐中标候选人或确定中标人。</w:t>
      </w:r>
    </w:p>
    <w:p>
      <w:pPr>
        <w:pStyle w:val="19"/>
        <w:keepNext/>
        <w:keepLines/>
        <w:widowControl w:val="0"/>
        <w:numPr>
          <w:ilvl w:val="0"/>
          <w:numId w:val="4"/>
        </w:numPr>
        <w:shd w:val="clear" w:color="auto" w:fill="auto"/>
        <w:tabs>
          <w:tab w:val="left" w:pos="358"/>
        </w:tabs>
        <w:bidi w:val="0"/>
        <w:spacing w:before="0" w:after="0" w:line="391" w:lineRule="auto"/>
        <w:ind w:left="0" w:right="0" w:firstLine="0"/>
        <w:jc w:val="left"/>
        <w:rPr>
          <w:color w:val="auto"/>
          <w:sz w:val="24"/>
          <w:szCs w:val="24"/>
          <w:highlight w:val="none"/>
        </w:rPr>
      </w:pPr>
      <w:bookmarkStart w:id="72" w:name="bookmark15"/>
      <w:bookmarkEnd w:id="72"/>
      <w:bookmarkStart w:id="73" w:name="bookmark16"/>
      <w:bookmarkStart w:id="74" w:name="bookmark14"/>
      <w:bookmarkStart w:id="75" w:name="bookmark13"/>
      <w:r>
        <w:rPr>
          <w:color w:val="auto"/>
          <w:spacing w:val="0"/>
          <w:w w:val="100"/>
          <w:position w:val="0"/>
          <w:sz w:val="24"/>
          <w:szCs w:val="24"/>
          <w:highlight w:val="none"/>
        </w:rPr>
        <w:t>评审标准</w:t>
      </w:r>
      <w:bookmarkEnd w:id="73"/>
      <w:bookmarkEnd w:id="74"/>
      <w:bookmarkEnd w:id="75"/>
    </w:p>
    <w:p>
      <w:pPr>
        <w:pStyle w:val="19"/>
        <w:keepNext/>
        <w:keepLines/>
        <w:widowControl w:val="0"/>
        <w:shd w:val="clear" w:color="auto" w:fill="auto"/>
        <w:bidi w:val="0"/>
        <w:spacing w:before="0" w:after="0" w:line="396" w:lineRule="auto"/>
        <w:ind w:left="0" w:right="0" w:firstLine="0"/>
        <w:jc w:val="left"/>
        <w:rPr>
          <w:color w:val="auto"/>
          <w:sz w:val="24"/>
          <w:szCs w:val="24"/>
          <w:highlight w:val="none"/>
        </w:rPr>
      </w:pPr>
      <w:bookmarkStart w:id="76" w:name="bookmark17"/>
      <w:bookmarkStart w:id="77" w:name="bookmark19"/>
      <w:bookmarkStart w:id="78" w:name="bookmark18"/>
      <w:r>
        <w:rPr>
          <w:rFonts w:ascii="Times New Roman" w:hAnsi="Times New Roman" w:eastAsia="Times New Roman" w:cs="Times New Roman"/>
          <w:b/>
          <w:bCs/>
          <w:color w:val="auto"/>
          <w:spacing w:val="0"/>
          <w:w w:val="100"/>
          <w:position w:val="0"/>
          <w:sz w:val="22"/>
          <w:szCs w:val="22"/>
          <w:highlight w:val="none"/>
          <w:lang w:val="en-US" w:eastAsia="en-US" w:bidi="en-US"/>
        </w:rPr>
        <w:t>2.1</w:t>
      </w:r>
      <w:r>
        <w:rPr>
          <w:color w:val="auto"/>
          <w:spacing w:val="0"/>
          <w:w w:val="100"/>
          <w:position w:val="0"/>
          <w:sz w:val="24"/>
          <w:szCs w:val="24"/>
          <w:highlight w:val="none"/>
        </w:rPr>
        <w:t>初步评审标准</w:t>
      </w:r>
      <w:bookmarkEnd w:id="76"/>
      <w:bookmarkEnd w:id="77"/>
      <w:bookmarkEnd w:id="78"/>
    </w:p>
    <w:p>
      <w:pPr>
        <w:pStyle w:val="21"/>
        <w:keepNext w:val="0"/>
        <w:keepLines w:val="0"/>
        <w:widowControl w:val="0"/>
        <w:shd w:val="clear" w:color="auto" w:fill="auto"/>
        <w:bidi w:val="0"/>
        <w:spacing w:before="0" w:after="0" w:line="458" w:lineRule="auto"/>
        <w:ind w:left="0" w:right="0" w:firstLine="5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2.1.1</w:t>
      </w:r>
      <w:r>
        <w:rPr>
          <w:color w:val="auto"/>
          <w:spacing w:val="0"/>
          <w:w w:val="100"/>
          <w:position w:val="0"/>
          <w:highlight w:val="none"/>
        </w:rPr>
        <w:t>形式评审标准：见评标办法前附表。</w:t>
      </w:r>
    </w:p>
    <w:p>
      <w:pPr>
        <w:pStyle w:val="21"/>
        <w:keepNext w:val="0"/>
        <w:keepLines w:val="0"/>
        <w:widowControl w:val="0"/>
        <w:shd w:val="clear" w:color="auto" w:fill="auto"/>
        <w:bidi w:val="0"/>
        <w:spacing w:before="0" w:after="0" w:line="458" w:lineRule="auto"/>
        <w:ind w:left="0" w:right="0" w:firstLine="5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2.1.2</w:t>
      </w:r>
      <w:r>
        <w:rPr>
          <w:color w:val="auto"/>
          <w:spacing w:val="0"/>
          <w:w w:val="100"/>
          <w:position w:val="0"/>
          <w:highlight w:val="none"/>
        </w:rPr>
        <w:t>资格评审标准：见评标办法前附表（适用于未进行资格预审的）。</w:t>
      </w:r>
    </w:p>
    <w:p>
      <w:pPr>
        <w:pStyle w:val="21"/>
        <w:keepNext w:val="0"/>
        <w:keepLines w:val="0"/>
        <w:widowControl w:val="0"/>
        <w:shd w:val="clear" w:color="auto" w:fill="auto"/>
        <w:bidi w:val="0"/>
        <w:spacing w:before="0" w:after="200" w:line="418" w:lineRule="exact"/>
        <w:ind w:left="0" w:right="0" w:firstLine="5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2.1.2</w:t>
      </w:r>
      <w:r>
        <w:rPr>
          <w:color w:val="auto"/>
          <w:spacing w:val="0"/>
          <w:w w:val="100"/>
          <w:position w:val="0"/>
          <w:highlight w:val="none"/>
        </w:rPr>
        <w:t>资格评审标准：见资格预审文件第三章“资格审查办法”详细审查标准（适用于己进行资格预审 的）。</w:t>
      </w:r>
    </w:p>
    <w:p>
      <w:pPr>
        <w:pStyle w:val="21"/>
        <w:keepNext w:val="0"/>
        <w:keepLines w:val="0"/>
        <w:widowControl w:val="0"/>
        <w:shd w:val="clear" w:color="auto" w:fill="auto"/>
        <w:bidi w:val="0"/>
        <w:spacing w:before="0" w:after="0" w:line="451" w:lineRule="auto"/>
        <w:ind w:left="0" w:right="0" w:firstLine="5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2.1.3</w:t>
      </w:r>
      <w:r>
        <w:rPr>
          <w:color w:val="auto"/>
          <w:spacing w:val="0"/>
          <w:w w:val="100"/>
          <w:position w:val="0"/>
          <w:highlight w:val="none"/>
        </w:rPr>
        <w:t>响应性评审标准：见评标办法前附表。</w:t>
      </w:r>
    </w:p>
    <w:p>
      <w:pPr>
        <w:pStyle w:val="19"/>
        <w:keepNext/>
        <w:keepLines/>
        <w:widowControl w:val="0"/>
        <w:shd w:val="clear" w:color="auto" w:fill="auto"/>
        <w:bidi w:val="0"/>
        <w:spacing w:before="0" w:after="0" w:line="391" w:lineRule="auto"/>
        <w:ind w:left="0" w:right="0" w:firstLine="0"/>
        <w:jc w:val="left"/>
        <w:rPr>
          <w:color w:val="auto"/>
          <w:sz w:val="24"/>
          <w:szCs w:val="24"/>
          <w:highlight w:val="none"/>
        </w:rPr>
      </w:pPr>
      <w:bookmarkStart w:id="79" w:name="bookmark20"/>
      <w:bookmarkStart w:id="80" w:name="bookmark21"/>
      <w:bookmarkStart w:id="81" w:name="bookmark22"/>
      <w:r>
        <w:rPr>
          <w:rFonts w:ascii="Times New Roman" w:hAnsi="Times New Roman" w:eastAsia="Times New Roman" w:cs="Times New Roman"/>
          <w:b/>
          <w:bCs/>
          <w:color w:val="auto"/>
          <w:spacing w:val="0"/>
          <w:w w:val="100"/>
          <w:position w:val="0"/>
          <w:sz w:val="22"/>
          <w:szCs w:val="22"/>
          <w:highlight w:val="none"/>
          <w:lang w:val="en-US" w:eastAsia="en-US" w:bidi="en-US"/>
        </w:rPr>
        <w:t>2.2</w:t>
      </w:r>
      <w:r>
        <w:rPr>
          <w:color w:val="auto"/>
          <w:spacing w:val="0"/>
          <w:w w:val="100"/>
          <w:position w:val="0"/>
          <w:sz w:val="24"/>
          <w:szCs w:val="24"/>
          <w:highlight w:val="none"/>
        </w:rPr>
        <w:t>分值构成与评分标准</w:t>
      </w:r>
      <w:bookmarkEnd w:id="79"/>
      <w:bookmarkEnd w:id="80"/>
      <w:bookmarkEnd w:id="81"/>
    </w:p>
    <w:p>
      <w:pPr>
        <w:pStyle w:val="21"/>
        <w:keepNext w:val="0"/>
        <w:keepLines w:val="0"/>
        <w:widowControl w:val="0"/>
        <w:shd w:val="clear" w:color="auto" w:fill="auto"/>
        <w:bidi w:val="0"/>
        <w:spacing w:before="0" w:after="0" w:line="451" w:lineRule="auto"/>
        <w:ind w:left="0" w:right="0" w:firstLine="5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2.2.1</w:t>
      </w:r>
      <w:r>
        <w:rPr>
          <w:color w:val="auto"/>
          <w:spacing w:val="0"/>
          <w:w w:val="100"/>
          <w:position w:val="0"/>
          <w:highlight w:val="none"/>
        </w:rPr>
        <w:t>分值构成</w:t>
      </w:r>
    </w:p>
    <w:p>
      <w:pPr>
        <w:pStyle w:val="22"/>
        <w:keepNext w:val="0"/>
        <w:keepLines w:val="0"/>
        <w:widowControl w:val="0"/>
        <w:shd w:val="clear" w:color="auto" w:fill="auto"/>
        <w:bidi w:val="0"/>
        <w:spacing w:before="0" w:after="200" w:line="240" w:lineRule="auto"/>
        <w:ind w:left="0" w:right="0" w:firstLine="500"/>
        <w:jc w:val="both"/>
        <w:rPr>
          <w:color w:val="auto"/>
          <w:highlight w:val="none"/>
        </w:rPr>
      </w:pPr>
      <w:r>
        <w:rPr>
          <w:color w:val="auto"/>
          <w:spacing w:val="0"/>
          <w:w w:val="100"/>
          <w:position w:val="0"/>
          <w:highlight w:val="none"/>
        </w:rPr>
        <w:t>评标价：见评标办法前附表。</w:t>
      </w:r>
    </w:p>
    <w:p>
      <w:pPr>
        <w:pStyle w:val="21"/>
        <w:keepNext w:val="0"/>
        <w:keepLines w:val="0"/>
        <w:widowControl w:val="0"/>
        <w:shd w:val="clear" w:color="auto" w:fill="auto"/>
        <w:bidi w:val="0"/>
        <w:spacing w:before="0" w:after="0" w:line="451" w:lineRule="auto"/>
        <w:ind w:left="0" w:right="0" w:firstLine="5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2.2.2</w:t>
      </w:r>
      <w:r>
        <w:rPr>
          <w:color w:val="auto"/>
          <w:spacing w:val="0"/>
          <w:w w:val="100"/>
          <w:position w:val="0"/>
          <w:highlight w:val="none"/>
        </w:rPr>
        <w:t>评标基准价计算</w:t>
      </w:r>
    </w:p>
    <w:p>
      <w:pPr>
        <w:pStyle w:val="22"/>
        <w:keepNext w:val="0"/>
        <w:keepLines w:val="0"/>
        <w:widowControl w:val="0"/>
        <w:shd w:val="clear" w:color="auto" w:fill="auto"/>
        <w:bidi w:val="0"/>
        <w:spacing w:before="0" w:after="200" w:line="240" w:lineRule="auto"/>
        <w:ind w:left="0" w:right="0" w:firstLine="500"/>
        <w:jc w:val="both"/>
        <w:rPr>
          <w:color w:val="auto"/>
          <w:highlight w:val="none"/>
        </w:rPr>
      </w:pPr>
      <w:r>
        <w:rPr>
          <w:color w:val="auto"/>
          <w:spacing w:val="0"/>
          <w:w w:val="100"/>
          <w:position w:val="0"/>
          <w:highlight w:val="none"/>
        </w:rPr>
        <w:t>评标基准价计算方法：见评标办法前附表。</w:t>
      </w:r>
    </w:p>
    <w:p>
      <w:pPr>
        <w:pStyle w:val="21"/>
        <w:keepNext w:val="0"/>
        <w:keepLines w:val="0"/>
        <w:widowControl w:val="0"/>
        <w:shd w:val="clear" w:color="auto" w:fill="auto"/>
        <w:bidi w:val="0"/>
        <w:spacing w:before="0" w:after="0" w:line="451" w:lineRule="auto"/>
        <w:ind w:left="0" w:right="0" w:firstLine="5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2.2.3</w:t>
      </w:r>
      <w:r>
        <w:rPr>
          <w:color w:val="auto"/>
          <w:spacing w:val="0"/>
          <w:w w:val="100"/>
          <w:position w:val="0"/>
          <w:highlight w:val="none"/>
        </w:rPr>
        <w:t>投标报价的偏差率计算</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r>
        <w:rPr>
          <w:color w:val="auto"/>
          <w:spacing w:val="0"/>
          <w:w w:val="100"/>
          <w:position w:val="0"/>
          <w:highlight w:val="none"/>
        </w:rPr>
        <w:t>投标报价的偏差率计算公式：见评标办法前附表</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p>
    <w:p>
      <w:pPr>
        <w:pStyle w:val="21"/>
        <w:keepNext w:val="0"/>
        <w:keepLines w:val="0"/>
        <w:widowControl w:val="0"/>
        <w:shd w:val="clear" w:color="auto" w:fill="auto"/>
        <w:bidi w:val="0"/>
        <w:spacing w:before="0" w:after="0" w:line="233" w:lineRule="exact"/>
        <w:ind w:left="0" w:leftChars="0" w:right="0" w:firstLine="570" w:firstLineChars="30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2.2.4</w:t>
      </w:r>
      <w:r>
        <w:rPr>
          <w:color w:val="auto"/>
          <w:spacing w:val="0"/>
          <w:w w:val="100"/>
          <w:position w:val="0"/>
          <w:highlight w:val="none"/>
        </w:rPr>
        <w:t>评分标准</w:t>
      </w:r>
    </w:p>
    <w:p>
      <w:pPr>
        <w:pStyle w:val="22"/>
        <w:keepNext w:val="0"/>
        <w:keepLines w:val="0"/>
        <w:widowControl w:val="0"/>
        <w:shd w:val="clear" w:color="auto" w:fill="auto"/>
        <w:bidi w:val="0"/>
        <w:spacing w:before="0" w:after="180" w:line="406" w:lineRule="exact"/>
        <w:ind w:left="0" w:right="0" w:firstLine="420"/>
        <w:jc w:val="both"/>
        <w:rPr>
          <w:color w:val="auto"/>
          <w:highlight w:val="none"/>
        </w:rPr>
      </w:pPr>
      <w:r>
        <w:rPr>
          <w:color w:val="auto"/>
          <w:spacing w:val="0"/>
          <w:w w:val="100"/>
          <w:position w:val="0"/>
          <w:highlight w:val="none"/>
        </w:rPr>
        <w:t>评标价评分标准：见评标办法前附表。</w:t>
      </w:r>
    </w:p>
    <w:p>
      <w:pPr>
        <w:pStyle w:val="19"/>
        <w:keepNext/>
        <w:keepLines/>
        <w:widowControl w:val="0"/>
        <w:shd w:val="clear" w:color="auto" w:fill="auto"/>
        <w:bidi w:val="0"/>
        <w:spacing w:before="0" w:after="180" w:line="240" w:lineRule="auto"/>
        <w:ind w:left="0" w:right="0" w:firstLine="0"/>
        <w:jc w:val="left"/>
        <w:rPr>
          <w:color w:val="auto"/>
          <w:sz w:val="24"/>
          <w:szCs w:val="24"/>
          <w:highlight w:val="none"/>
        </w:rPr>
      </w:pPr>
      <w:bookmarkStart w:id="82" w:name="bookmark25"/>
      <w:bookmarkStart w:id="83" w:name="bookmark24"/>
      <w:bookmarkStart w:id="84" w:name="bookmark23"/>
      <w:r>
        <w:rPr>
          <w:rFonts w:ascii="Times New Roman" w:hAnsi="Times New Roman" w:eastAsia="Times New Roman" w:cs="Times New Roman"/>
          <w:b/>
          <w:bCs/>
          <w:color w:val="auto"/>
          <w:spacing w:val="0"/>
          <w:w w:val="100"/>
          <w:position w:val="0"/>
          <w:sz w:val="22"/>
          <w:szCs w:val="22"/>
          <w:highlight w:val="none"/>
          <w:lang w:val="en-US" w:eastAsia="en-US" w:bidi="en-US"/>
        </w:rPr>
        <w:t>3.</w:t>
      </w:r>
      <w:r>
        <w:rPr>
          <w:color w:val="auto"/>
          <w:spacing w:val="0"/>
          <w:w w:val="100"/>
          <w:position w:val="0"/>
          <w:sz w:val="24"/>
          <w:szCs w:val="24"/>
          <w:highlight w:val="none"/>
        </w:rPr>
        <w:t>评标程序</w:t>
      </w:r>
      <w:bookmarkEnd w:id="82"/>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85" w:name="bookmark26"/>
      <w:r>
        <w:rPr>
          <w:rFonts w:ascii="Times New Roman" w:hAnsi="Times New Roman" w:eastAsia="Times New Roman" w:cs="Times New Roman"/>
          <w:b/>
          <w:bCs/>
          <w:color w:val="auto"/>
          <w:spacing w:val="0"/>
          <w:w w:val="100"/>
          <w:position w:val="0"/>
          <w:sz w:val="22"/>
          <w:szCs w:val="22"/>
          <w:highlight w:val="none"/>
          <w:lang w:val="en-US" w:eastAsia="en-US" w:bidi="en-US"/>
        </w:rPr>
        <w:t>3.1</w:t>
      </w:r>
      <w:r>
        <w:rPr>
          <w:color w:val="auto"/>
          <w:spacing w:val="0"/>
          <w:w w:val="100"/>
          <w:position w:val="0"/>
          <w:sz w:val="24"/>
          <w:szCs w:val="24"/>
          <w:highlight w:val="none"/>
        </w:rPr>
        <w:t>第一信封初步评审</w:t>
      </w:r>
      <w:bookmarkEnd w:id="83"/>
      <w:bookmarkEnd w:id="84"/>
      <w:bookmarkEnd w:id="85"/>
    </w:p>
    <w:p>
      <w:pPr>
        <w:pStyle w:val="22"/>
        <w:keepNext w:val="0"/>
        <w:keepLines w:val="0"/>
        <w:widowControl w:val="0"/>
        <w:shd w:val="clear" w:color="auto" w:fill="auto"/>
        <w:bidi w:val="0"/>
        <w:spacing w:before="0" w:after="0" w:line="408" w:lineRule="exact"/>
        <w:ind w:left="0" w:right="0" w:firstLine="4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3.1.1</w:t>
      </w:r>
      <w:r>
        <w:rPr>
          <w:color w:val="auto"/>
          <w:spacing w:val="0"/>
          <w:w w:val="100"/>
          <w:position w:val="0"/>
          <w:highlight w:val="none"/>
        </w:rPr>
        <w:t>评标委员会可以要求投标人提交第二章“投标人须知</w:t>
      </w:r>
      <w:r>
        <w:rPr>
          <w:color w:val="auto"/>
          <w:spacing w:val="0"/>
          <w:w w:val="100"/>
          <w:position w:val="0"/>
          <w:highlight w:val="none"/>
          <w:lang w:val="en-US" w:eastAsia="en-US" w:bidi="en-US"/>
        </w:rPr>
        <w:t>"</w:t>
      </w:r>
      <w:r>
        <w:rPr>
          <w:color w:val="auto"/>
          <w:spacing w:val="0"/>
          <w:w w:val="100"/>
          <w:position w:val="0"/>
          <w:highlight w:val="none"/>
        </w:rPr>
        <w:t>第</w:t>
      </w:r>
      <w:r>
        <w:rPr>
          <w:rFonts w:ascii="Times New Roman" w:hAnsi="Times New Roman" w:eastAsia="Times New Roman" w:cs="Times New Roman"/>
          <w:color w:val="auto"/>
          <w:spacing w:val="0"/>
          <w:w w:val="100"/>
          <w:position w:val="0"/>
          <w:sz w:val="19"/>
          <w:szCs w:val="19"/>
          <w:highlight w:val="none"/>
          <w:lang w:val="en-US" w:eastAsia="en-US" w:bidi="en-US"/>
        </w:rPr>
        <w:t xml:space="preserve">3. 5. </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项至第</w:t>
      </w:r>
      <w:r>
        <w:rPr>
          <w:rFonts w:ascii="Times New Roman" w:hAnsi="Times New Roman" w:eastAsia="Times New Roman" w:cs="Times New Roman"/>
          <w:color w:val="auto"/>
          <w:spacing w:val="0"/>
          <w:w w:val="100"/>
          <w:position w:val="0"/>
          <w:sz w:val="19"/>
          <w:szCs w:val="19"/>
          <w:highlight w:val="none"/>
          <w:lang w:val="en-US" w:eastAsia="en-US" w:bidi="en-US"/>
        </w:rPr>
        <w:t xml:space="preserve">3. 5. </w:t>
      </w:r>
      <w:r>
        <w:rPr>
          <w:rFonts w:ascii="Times New Roman" w:hAnsi="Times New Roman" w:eastAsia="Times New Roman" w:cs="Times New Roman"/>
          <w:color w:val="auto"/>
          <w:spacing w:val="0"/>
          <w:w w:val="100"/>
          <w:position w:val="0"/>
          <w:sz w:val="19"/>
          <w:szCs w:val="19"/>
          <w:highlight w:val="none"/>
        </w:rPr>
        <w:t>5</w:t>
      </w:r>
      <w:r>
        <w:rPr>
          <w:color w:val="auto"/>
          <w:spacing w:val="0"/>
          <w:w w:val="100"/>
          <w:position w:val="0"/>
          <w:highlight w:val="none"/>
        </w:rPr>
        <w:t>项规定的有关证明和证件的原件，以便核验。评标委员会依据本章第</w:t>
      </w:r>
      <w:r>
        <w:rPr>
          <w:rFonts w:ascii="Times New Roman" w:hAnsi="Times New Roman" w:eastAsia="Times New Roman" w:cs="Times New Roman"/>
          <w:color w:val="auto"/>
          <w:spacing w:val="0"/>
          <w:w w:val="100"/>
          <w:position w:val="0"/>
          <w:sz w:val="19"/>
          <w:szCs w:val="19"/>
          <w:highlight w:val="none"/>
          <w:lang w:val="en-US" w:eastAsia="en-US" w:bidi="en-US"/>
        </w:rPr>
        <w:t xml:space="preserve">2.1 </w:t>
      </w:r>
      <w:r>
        <w:rPr>
          <w:color w:val="auto"/>
          <w:spacing w:val="0"/>
          <w:w w:val="100"/>
          <w:position w:val="0"/>
          <w:highlight w:val="none"/>
        </w:rPr>
        <w:t>款规定的标准对投标文件第一个信封（商务及技术文件）进行初步评审。有一项不苻合评审标准的，评标委员会应否决其投标。（适用于未进行资 格预审的）</w:t>
      </w:r>
    </w:p>
    <w:p>
      <w:pPr>
        <w:pStyle w:val="22"/>
        <w:keepNext w:val="0"/>
        <w:keepLines w:val="0"/>
        <w:widowControl w:val="0"/>
        <w:shd w:val="clear" w:color="auto" w:fill="auto"/>
        <w:bidi w:val="0"/>
        <w:spacing w:before="0" w:after="180" w:line="408" w:lineRule="exact"/>
        <w:ind w:left="0" w:right="0" w:firstLine="4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3.1.1</w:t>
      </w:r>
      <w:r>
        <w:rPr>
          <w:color w:val="auto"/>
          <w:spacing w:val="0"/>
          <w:w w:val="100"/>
          <w:position w:val="0"/>
          <w:highlight w:val="none"/>
        </w:rPr>
        <w:t>评标委员会依据本章第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2. 1. </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项、第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2. 1. </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项规定的评审标准对投标文件第一个信封（商务及技术文件）进行初步评审。有一项不苻合评审标准的，评标委员会应否决其投标。当投标人资格预审 申请文件的内容发生重大变化时，评标委员会依据本章第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2. 1.2 </w:t>
      </w:r>
      <w:r>
        <w:rPr>
          <w:color w:val="auto"/>
          <w:spacing w:val="0"/>
          <w:w w:val="100"/>
          <w:position w:val="0"/>
          <w:highlight w:val="none"/>
        </w:rPr>
        <w:t>项规定的标准对其更新资料进行评审。 （适用于已进行资格预审的）</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86" w:name="bookmark27"/>
      <w:bookmarkStart w:id="87" w:name="bookmark28"/>
      <w:bookmarkStart w:id="88" w:name="bookmark29"/>
      <w:r>
        <w:rPr>
          <w:rFonts w:ascii="Times New Roman" w:hAnsi="Times New Roman" w:eastAsia="Times New Roman" w:cs="Times New Roman"/>
          <w:b/>
          <w:bCs/>
          <w:color w:val="auto"/>
          <w:spacing w:val="0"/>
          <w:w w:val="100"/>
          <w:position w:val="0"/>
          <w:sz w:val="22"/>
          <w:szCs w:val="22"/>
          <w:highlight w:val="none"/>
          <w:lang w:val="en-US" w:eastAsia="en-US" w:bidi="en-US"/>
        </w:rPr>
        <w:t>3.2</w:t>
      </w:r>
      <w:r>
        <w:rPr>
          <w:color w:val="auto"/>
          <w:spacing w:val="0"/>
          <w:w w:val="100"/>
          <w:position w:val="0"/>
          <w:sz w:val="24"/>
          <w:szCs w:val="24"/>
          <w:highlight w:val="none"/>
        </w:rPr>
        <w:t>第二个信封开标</w:t>
      </w:r>
      <w:bookmarkEnd w:id="86"/>
      <w:bookmarkEnd w:id="87"/>
      <w:bookmarkEnd w:id="88"/>
    </w:p>
    <w:p>
      <w:pPr>
        <w:pStyle w:val="22"/>
        <w:keepNext w:val="0"/>
        <w:keepLines w:val="0"/>
        <w:widowControl w:val="0"/>
        <w:shd w:val="clear" w:color="auto" w:fill="auto"/>
        <w:bidi w:val="0"/>
        <w:spacing w:before="0" w:after="180" w:line="414" w:lineRule="exact"/>
        <w:ind w:left="0" w:right="0" w:firstLine="420"/>
        <w:jc w:val="both"/>
        <w:rPr>
          <w:color w:val="auto"/>
          <w:spacing w:val="0"/>
          <w:w w:val="100"/>
          <w:position w:val="0"/>
          <w:highlight w:val="none"/>
        </w:rPr>
      </w:pPr>
      <w:r>
        <w:rPr>
          <w:color w:val="auto"/>
          <w:spacing w:val="0"/>
          <w:w w:val="100"/>
          <w:position w:val="0"/>
          <w:highlight w:val="none"/>
        </w:rPr>
        <w:t>第一个信封（商务及技术文件）评审结束后，招标人将按照第二章“投标人须知”第</w:t>
      </w:r>
      <w:r>
        <w:rPr>
          <w:rFonts w:ascii="Times New Roman" w:hAnsi="Times New Roman" w:eastAsia="Times New Roman" w:cs="Times New Roman"/>
          <w:color w:val="auto"/>
          <w:spacing w:val="0"/>
          <w:w w:val="100"/>
          <w:position w:val="0"/>
          <w:sz w:val="19"/>
          <w:szCs w:val="19"/>
          <w:highlight w:val="none"/>
          <w:lang w:val="en-US" w:eastAsia="en-US" w:bidi="en-US"/>
        </w:rPr>
        <w:t>5.1</w:t>
      </w:r>
      <w:r>
        <w:rPr>
          <w:color w:val="auto"/>
          <w:spacing w:val="0"/>
          <w:w w:val="100"/>
          <w:position w:val="0"/>
          <w:highlight w:val="none"/>
        </w:rPr>
        <w:t>款规定的时间和地点对通过投标文件第一个信封（商务及技术文件）评审的投标文件第二个信封（报价文件）进行 开标。</w:t>
      </w: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89" w:name="bookmark30"/>
      <w:bookmarkStart w:id="90" w:name="bookmark31"/>
      <w:bookmarkStart w:id="91" w:name="bookmark32"/>
      <w:r>
        <w:rPr>
          <w:rFonts w:ascii="Times New Roman" w:hAnsi="Times New Roman" w:eastAsia="Times New Roman" w:cs="Times New Roman"/>
          <w:b/>
          <w:bCs/>
          <w:color w:val="auto"/>
          <w:spacing w:val="0"/>
          <w:w w:val="100"/>
          <w:position w:val="0"/>
          <w:sz w:val="22"/>
          <w:szCs w:val="22"/>
          <w:highlight w:val="none"/>
          <w:lang w:val="en-US" w:eastAsia="en-US" w:bidi="en-US"/>
        </w:rPr>
        <w:t>3.3</w:t>
      </w:r>
      <w:r>
        <w:rPr>
          <w:color w:val="auto"/>
          <w:spacing w:val="0"/>
          <w:w w:val="100"/>
          <w:position w:val="0"/>
          <w:sz w:val="24"/>
          <w:szCs w:val="24"/>
          <w:highlight w:val="none"/>
        </w:rPr>
        <w:t>第二个信封初步评审</w:t>
      </w:r>
      <w:bookmarkEnd w:id="89"/>
      <w:bookmarkEnd w:id="90"/>
      <w:bookmarkEnd w:id="91"/>
    </w:p>
    <w:p>
      <w:pPr>
        <w:pStyle w:val="22"/>
        <w:keepNext w:val="0"/>
        <w:keepLines w:val="0"/>
        <w:widowControl w:val="0"/>
        <w:shd w:val="clear" w:color="auto" w:fill="auto"/>
        <w:bidi w:val="0"/>
        <w:spacing w:before="0" w:after="0" w:line="406" w:lineRule="exact"/>
        <w:ind w:left="0" w:right="0" w:firstLine="4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3.3.1</w:t>
      </w:r>
      <w:r>
        <w:rPr>
          <w:color w:val="auto"/>
          <w:spacing w:val="0"/>
          <w:w w:val="100"/>
          <w:position w:val="0"/>
          <w:highlight w:val="none"/>
        </w:rPr>
        <w:t>评标委员会依据本章第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w:t>
      </w:r>
      <w:r>
        <w:rPr>
          <w:rFonts w:hint="eastAsia" w:ascii="Times New Roman" w:hAnsi="Times New Roman" w:eastAsia="宋体" w:cs="Times New Roman"/>
          <w:color w:val="auto"/>
          <w:spacing w:val="0"/>
          <w:w w:val="100"/>
          <w:position w:val="0"/>
          <w:sz w:val="19"/>
          <w:szCs w:val="19"/>
          <w:highlight w:val="none"/>
          <w:lang w:val="en-US" w:eastAsia="zh-CN" w:bidi="en-US"/>
        </w:rPr>
        <w:t>1.</w:t>
      </w:r>
      <w:r>
        <w:rPr>
          <w:rFonts w:ascii="Times New Roman" w:hAnsi="Times New Roman" w:eastAsia="Times New Roman" w:cs="Times New Roman"/>
          <w:color w:val="auto"/>
          <w:spacing w:val="0"/>
          <w:w w:val="100"/>
          <w:position w:val="0"/>
          <w:sz w:val="19"/>
          <w:szCs w:val="19"/>
          <w:highlight w:val="none"/>
          <w:lang w:val="en-US" w:eastAsia="en-US" w:bidi="en-US"/>
        </w:rPr>
        <w:t xml:space="preserve"> </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项、第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2. 1. </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项规定的评审标准对投标文件第二个信封（报</w:t>
      </w:r>
      <w:r>
        <w:rPr>
          <w:rFonts w:hint="eastAsia"/>
          <w:color w:val="auto"/>
          <w:spacing w:val="0"/>
          <w:w w:val="100"/>
          <w:position w:val="0"/>
          <w:highlight w:val="none"/>
          <w:lang w:eastAsia="zh-CN"/>
        </w:rPr>
        <w:t>价</w:t>
      </w:r>
      <w:r>
        <w:rPr>
          <w:color w:val="auto"/>
          <w:spacing w:val="0"/>
          <w:w w:val="100"/>
          <w:position w:val="0"/>
          <w:highlight w:val="none"/>
        </w:rPr>
        <w:t>文件）进行初步评审。有一项不符合评审标准的，评标委员会应否决其投标。</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p>
    <w:p>
      <w:pPr>
        <w:pStyle w:val="22"/>
        <w:keepNext w:val="0"/>
        <w:keepLines w:val="0"/>
        <w:widowControl w:val="0"/>
        <w:shd w:val="clear" w:color="auto" w:fill="auto"/>
        <w:bidi w:val="0"/>
        <w:spacing w:before="0" w:after="0" w:line="406" w:lineRule="exact"/>
        <w:ind w:right="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3.3.2" </w:t>
      </w:r>
      <w:r>
        <w:rPr>
          <w:color w:val="auto"/>
          <w:spacing w:val="0"/>
          <w:w w:val="100"/>
          <w:position w:val="0"/>
          <w:highlight w:val="none"/>
        </w:rPr>
        <w:t>投标报价有算术错误的，评标委员会按以下原则对投标报价进</w:t>
      </w:r>
      <w:r>
        <w:rPr>
          <w:rFonts w:hint="eastAsia"/>
          <w:color w:val="auto"/>
          <w:spacing w:val="0"/>
          <w:w w:val="100"/>
          <w:position w:val="0"/>
          <w:highlight w:val="none"/>
          <w:lang w:eastAsia="zh-CN"/>
        </w:rPr>
        <w:t>行</w:t>
      </w:r>
      <w:r>
        <w:rPr>
          <w:color w:val="auto"/>
          <w:spacing w:val="0"/>
          <w:w w:val="100"/>
          <w:position w:val="0"/>
          <w:highlight w:val="none"/>
        </w:rPr>
        <w:t>修正，修正的价格经投标人书面确认后具有约束力。投标人不接受修正价格的，评标委员会应否决其投标。</w:t>
      </w:r>
    </w:p>
    <w:p>
      <w:pPr>
        <w:pStyle w:val="22"/>
        <w:keepNext w:val="0"/>
        <w:keepLines w:val="0"/>
        <w:widowControl w:val="0"/>
        <w:shd w:val="clear" w:color="auto" w:fill="auto"/>
        <w:tabs>
          <w:tab w:val="left" w:pos="937"/>
        </w:tabs>
        <w:bidi w:val="0"/>
        <w:spacing w:before="0" w:after="0" w:line="406" w:lineRule="exact"/>
        <w:ind w:left="0" w:right="0" w:firstLine="480"/>
        <w:jc w:val="both"/>
        <w:rPr>
          <w:color w:val="auto"/>
          <w:highlight w:val="none"/>
        </w:rPr>
      </w:pPr>
      <w:bookmarkStart w:id="92" w:name="bookmark33"/>
      <w:r>
        <w:rPr>
          <w:rFonts w:ascii="Times New Roman" w:hAnsi="Times New Roman" w:eastAsia="Times New Roman" w:cs="Times New Roman"/>
          <w:color w:val="auto"/>
          <w:spacing w:val="0"/>
          <w:w w:val="100"/>
          <w:position w:val="0"/>
          <w:sz w:val="19"/>
          <w:szCs w:val="19"/>
          <w:highlight w:val="none"/>
        </w:rPr>
        <w:t>（</w:t>
      </w:r>
      <w:bookmarkEnd w:id="92"/>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投标文件中的大写金额与小写金额不一致的，以大与金额为准；</w:t>
      </w:r>
    </w:p>
    <w:p>
      <w:pPr>
        <w:pStyle w:val="22"/>
        <w:keepNext w:val="0"/>
        <w:keepLines w:val="0"/>
        <w:widowControl w:val="0"/>
        <w:shd w:val="clear" w:color="auto" w:fill="auto"/>
        <w:tabs>
          <w:tab w:val="left" w:pos="990"/>
        </w:tabs>
        <w:bidi w:val="0"/>
        <w:spacing w:before="0" w:after="0" w:line="406" w:lineRule="exact"/>
        <w:ind w:left="0" w:right="0" w:firstLine="520"/>
        <w:jc w:val="both"/>
        <w:rPr>
          <w:color w:val="auto"/>
          <w:highlight w:val="none"/>
        </w:rPr>
      </w:pPr>
      <w:bookmarkStart w:id="93" w:name="bookmark34"/>
      <w:r>
        <w:rPr>
          <w:rFonts w:ascii="Times New Roman" w:hAnsi="Times New Roman" w:eastAsia="Times New Roman" w:cs="Times New Roman"/>
          <w:color w:val="auto"/>
          <w:spacing w:val="0"/>
          <w:w w:val="100"/>
          <w:position w:val="0"/>
          <w:sz w:val="19"/>
          <w:szCs w:val="19"/>
          <w:highlight w:val="none"/>
        </w:rPr>
        <w:t>（</w:t>
      </w:r>
      <w:bookmarkEnd w:id="93"/>
      <w:r>
        <w:rPr>
          <w:rFonts w:ascii="Times New Roman" w:hAnsi="Times New Roman" w:eastAsia="Times New Roman" w:cs="Times New Roman"/>
          <w:color w:val="auto"/>
          <w:spacing w:val="0"/>
          <w:w w:val="100"/>
          <w:position w:val="0"/>
          <w:sz w:val="19"/>
          <w:szCs w:val="19"/>
          <w:highlight w:val="none"/>
        </w:rPr>
        <w:t>2）</w:t>
      </w:r>
      <w:r>
        <w:rPr>
          <w:color w:val="auto"/>
          <w:spacing w:val="0"/>
          <w:w w:val="100"/>
          <w:position w:val="0"/>
          <w:highlight w:val="none"/>
          <w:lang w:val="zh-CN" w:eastAsia="zh-CN" w:bidi="zh-CN"/>
        </w:rPr>
        <w:t>总价金</w:t>
      </w:r>
      <w:r>
        <w:rPr>
          <w:color w:val="auto"/>
          <w:spacing w:val="0"/>
          <w:w w:val="100"/>
          <w:position w:val="0"/>
          <w:highlight w:val="none"/>
        </w:rPr>
        <w:t>额与依据单价计算出的结果不一致的，以单价金额为准修正总价，但单价金额小数点有明显错误的除外；</w:t>
      </w:r>
    </w:p>
    <w:p>
      <w:pPr>
        <w:pStyle w:val="22"/>
        <w:keepNext w:val="0"/>
        <w:keepLines w:val="0"/>
        <w:widowControl w:val="0"/>
        <w:shd w:val="clear" w:color="auto" w:fill="auto"/>
        <w:tabs>
          <w:tab w:val="left" w:pos="982"/>
        </w:tabs>
        <w:bidi w:val="0"/>
        <w:spacing w:before="0" w:after="0" w:line="406" w:lineRule="exact"/>
        <w:ind w:left="0" w:right="0" w:firstLine="520"/>
        <w:jc w:val="both"/>
        <w:rPr>
          <w:color w:val="auto"/>
          <w:highlight w:val="none"/>
        </w:rPr>
      </w:pPr>
      <w:bookmarkStart w:id="94" w:name="bookmark35"/>
      <w:r>
        <w:rPr>
          <w:rFonts w:ascii="Times New Roman" w:hAnsi="Times New Roman" w:eastAsia="Times New Roman" w:cs="Times New Roman"/>
          <w:color w:val="auto"/>
          <w:spacing w:val="0"/>
          <w:w w:val="100"/>
          <w:position w:val="0"/>
          <w:sz w:val="19"/>
          <w:szCs w:val="19"/>
          <w:highlight w:val="none"/>
        </w:rPr>
        <w:t>（</w:t>
      </w:r>
      <w:bookmarkEnd w:id="94"/>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当单价与数量相乘不等于合价时，以单价计算为准，如果单价有明显的小数点位置差错，应以标出的合价为准，同时对单价予以修正；</w:t>
      </w:r>
    </w:p>
    <w:p>
      <w:pPr>
        <w:pStyle w:val="22"/>
        <w:keepNext w:val="0"/>
        <w:keepLines w:val="0"/>
        <w:widowControl w:val="0"/>
        <w:shd w:val="clear" w:color="auto" w:fill="auto"/>
        <w:tabs>
          <w:tab w:val="left" w:pos="977"/>
        </w:tabs>
        <w:bidi w:val="0"/>
        <w:spacing w:before="0" w:after="0" w:line="406" w:lineRule="exact"/>
        <w:ind w:left="0" w:right="0" w:firstLine="520"/>
        <w:jc w:val="both"/>
        <w:rPr>
          <w:color w:val="auto"/>
          <w:highlight w:val="none"/>
        </w:rPr>
      </w:pPr>
      <w:bookmarkStart w:id="95" w:name="bookmark36"/>
      <w:r>
        <w:rPr>
          <w:rFonts w:ascii="Times New Roman" w:hAnsi="Times New Roman" w:eastAsia="Times New Roman" w:cs="Times New Roman"/>
          <w:color w:val="auto"/>
          <w:spacing w:val="0"/>
          <w:w w:val="100"/>
          <w:position w:val="0"/>
          <w:sz w:val="19"/>
          <w:szCs w:val="19"/>
          <w:highlight w:val="none"/>
        </w:rPr>
        <w:t>（</w:t>
      </w:r>
      <w:bookmarkEnd w:id="95"/>
      <w:r>
        <w:rPr>
          <w:rFonts w:ascii="Times New Roman" w:hAnsi="Times New Roman" w:eastAsia="Times New Roman" w:cs="Times New Roman"/>
          <w:color w:val="auto"/>
          <w:spacing w:val="0"/>
          <w:w w:val="100"/>
          <w:position w:val="0"/>
          <w:sz w:val="19"/>
          <w:szCs w:val="19"/>
          <w:highlight w:val="none"/>
        </w:rPr>
        <w:t>4）</w:t>
      </w:r>
      <w:r>
        <w:rPr>
          <w:color w:val="auto"/>
          <w:spacing w:val="0"/>
          <w:w w:val="100"/>
          <w:position w:val="0"/>
          <w:highlight w:val="none"/>
        </w:rPr>
        <w:t>当各子目的合价累计不等于总价时，应以各子目合价累计数为准，修</w:t>
      </w:r>
      <w:r>
        <w:rPr>
          <w:color w:val="auto"/>
          <w:spacing w:val="0"/>
          <w:w w:val="100"/>
          <w:position w:val="0"/>
          <w:highlight w:val="none"/>
          <w:lang w:val="zh-CN" w:eastAsia="zh-CN" w:bidi="zh-CN"/>
        </w:rPr>
        <w:t>正总价</w:t>
      </w:r>
      <w:r>
        <w:rPr>
          <w:color w:val="auto"/>
          <w:spacing w:val="0"/>
          <w:w w:val="100"/>
          <w:position w:val="0"/>
          <w:highlight w:val="none"/>
        </w:rPr>
        <w:t>。</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p>
    <w:p>
      <w:pPr>
        <w:pStyle w:val="22"/>
        <w:keepNext w:val="0"/>
        <w:keepLines w:val="0"/>
        <w:widowControl w:val="0"/>
        <w:shd w:val="clear" w:color="auto" w:fill="auto"/>
        <w:bidi w:val="0"/>
        <w:spacing w:before="0" w:after="0" w:line="406" w:lineRule="exact"/>
        <w:ind w:left="0" w:right="0" w:firstLine="5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3.3.3</w:t>
      </w:r>
      <w:r>
        <w:rPr>
          <w:color w:val="auto"/>
          <w:spacing w:val="0"/>
          <w:w w:val="100"/>
          <w:position w:val="0"/>
          <w:highlight w:val="none"/>
        </w:rPr>
        <w:t>工程量清单中的投标报价有其他错误的，评标委员会按以下原则对投标报价进行修正，修正的价格经投标人书面确认后具有约束力。投标人不接受修正价格的，评标委员会应否决其投标。</w:t>
      </w:r>
    </w:p>
    <w:p>
      <w:pPr>
        <w:pStyle w:val="22"/>
        <w:keepNext w:val="0"/>
        <w:keepLines w:val="0"/>
        <w:widowControl w:val="0"/>
        <w:shd w:val="clear" w:color="auto" w:fill="auto"/>
        <w:bidi w:val="0"/>
        <w:spacing w:before="0" w:after="0" w:line="403" w:lineRule="exact"/>
        <w:ind w:left="0" w:right="0" w:firstLine="0"/>
        <w:jc w:val="left"/>
        <w:rPr>
          <w:color w:val="auto"/>
          <w:highlight w:val="none"/>
        </w:rPr>
      </w:pPr>
      <w:r>
        <w:rPr>
          <w:rFonts w:ascii="Times New Roman" w:hAnsi="Times New Roman" w:eastAsia="Times New Roman" w:cs="Times New Roman"/>
          <w:color w:val="auto"/>
          <w:spacing w:val="0"/>
          <w:w w:val="100"/>
          <w:position w:val="0"/>
          <w:sz w:val="19"/>
          <w:szCs w:val="19"/>
          <w:highlight w:val="none"/>
        </w:rPr>
        <w:t xml:space="preserve">（1） </w:t>
      </w:r>
      <w:r>
        <w:rPr>
          <w:color w:val="auto"/>
          <w:spacing w:val="0"/>
          <w:w w:val="100"/>
          <w:position w:val="0"/>
          <w:highlight w:val="none"/>
        </w:rPr>
        <w:t>在招标人给定的工程量清单中漏报了某个工程子目的单价、合价或总额价，或所报单价、合价或总额价减少了报价</w:t>
      </w:r>
      <w:r>
        <w:rPr>
          <w:rFonts w:hint="eastAsia"/>
          <w:color w:val="auto"/>
          <w:spacing w:val="0"/>
          <w:w w:val="100"/>
          <w:position w:val="0"/>
          <w:highlight w:val="none"/>
          <w:lang w:eastAsia="zh-CN"/>
        </w:rPr>
        <w:t>范</w:t>
      </w:r>
      <w:r>
        <w:rPr>
          <w:color w:val="auto"/>
          <w:spacing w:val="0"/>
          <w:w w:val="100"/>
          <w:position w:val="0"/>
          <w:highlight w:val="none"/>
        </w:rPr>
        <w:t>围，则漏报的工程子目单价、合价和总额价或单价、合价和总额价中减少的报 价内容视为已含入其他工程子目的单价、合价和总额价之中。</w:t>
      </w:r>
    </w:p>
    <w:p>
      <w:pPr>
        <w:pStyle w:val="22"/>
        <w:keepNext w:val="0"/>
        <w:keepLines w:val="0"/>
        <w:widowControl w:val="0"/>
        <w:numPr>
          <w:ilvl w:val="0"/>
          <w:numId w:val="5"/>
        </w:numPr>
        <w:shd w:val="clear" w:color="auto" w:fill="auto"/>
        <w:tabs>
          <w:tab w:val="left" w:pos="997"/>
        </w:tabs>
        <w:bidi w:val="0"/>
        <w:spacing w:before="0" w:after="0" w:line="403" w:lineRule="exact"/>
        <w:ind w:left="0" w:right="0" w:firstLine="520"/>
        <w:jc w:val="left"/>
        <w:rPr>
          <w:color w:val="auto"/>
          <w:highlight w:val="none"/>
        </w:rPr>
      </w:pPr>
      <w:bookmarkStart w:id="96" w:name="bookmark37"/>
      <w:bookmarkEnd w:id="96"/>
      <w:r>
        <w:rPr>
          <w:color w:val="auto"/>
          <w:spacing w:val="0"/>
          <w:w w:val="100"/>
          <w:position w:val="0"/>
          <w:highlight w:val="none"/>
        </w:rPr>
        <w:t>在招标</w:t>
      </w:r>
      <w:r>
        <w:rPr>
          <w:color w:val="auto"/>
          <w:spacing w:val="0"/>
          <w:w w:val="100"/>
          <w:position w:val="0"/>
          <w:highlight w:val="none"/>
          <w:lang w:val="zh-CN" w:eastAsia="zh-CN" w:bidi="zh-CN"/>
        </w:rPr>
        <w:t>人给定</w:t>
      </w:r>
      <w:r>
        <w:rPr>
          <w:color w:val="auto"/>
          <w:spacing w:val="0"/>
          <w:w w:val="100"/>
          <w:position w:val="0"/>
          <w:highlight w:val="none"/>
        </w:rPr>
        <w:t>的工程量清单中多报了某个工程子目的单价、</w:t>
      </w:r>
      <w:r>
        <w:rPr>
          <w:color w:val="auto"/>
          <w:spacing w:val="0"/>
          <w:w w:val="100"/>
          <w:position w:val="0"/>
          <w:highlight w:val="none"/>
          <w:lang w:val="zh-CN" w:eastAsia="zh-CN" w:bidi="zh-CN"/>
        </w:rPr>
        <w:t>合价</w:t>
      </w:r>
      <w:r>
        <w:rPr>
          <w:color w:val="auto"/>
          <w:spacing w:val="0"/>
          <w:w w:val="100"/>
          <w:position w:val="0"/>
          <w:highlight w:val="none"/>
        </w:rPr>
        <w:t>或总额价，或所报单价、合价或总额价增加了报价</w:t>
      </w:r>
      <w:r>
        <w:rPr>
          <w:rFonts w:hint="eastAsia"/>
          <w:color w:val="auto"/>
          <w:spacing w:val="0"/>
          <w:w w:val="100"/>
          <w:position w:val="0"/>
          <w:highlight w:val="none"/>
          <w:lang w:eastAsia="zh-CN"/>
        </w:rPr>
        <w:t>范围</w:t>
      </w:r>
      <w:r>
        <w:rPr>
          <w:color w:val="auto"/>
          <w:spacing w:val="0"/>
          <w:w w:val="100"/>
          <w:position w:val="0"/>
          <w:highlight w:val="none"/>
        </w:rPr>
        <w:t>，则从投标报价中扣除多报的工程子目报价或工程子目报价中</w:t>
      </w:r>
      <w:r>
        <w:rPr>
          <w:rFonts w:hint="eastAsia"/>
          <w:color w:val="auto"/>
          <w:spacing w:val="0"/>
          <w:w w:val="100"/>
          <w:position w:val="0"/>
          <w:highlight w:val="none"/>
          <w:lang w:eastAsia="zh-CN"/>
        </w:rPr>
        <w:t>增加</w:t>
      </w:r>
      <w:r>
        <w:rPr>
          <w:color w:val="auto"/>
          <w:spacing w:val="0"/>
          <w:w w:val="100"/>
          <w:position w:val="0"/>
          <w:highlight w:val="none"/>
        </w:rPr>
        <w:t>了报价范围的部分报价。</w:t>
      </w:r>
    </w:p>
    <w:p>
      <w:pPr>
        <w:pStyle w:val="22"/>
        <w:keepNext w:val="0"/>
        <w:keepLines w:val="0"/>
        <w:widowControl w:val="0"/>
        <w:numPr>
          <w:ilvl w:val="0"/>
          <w:numId w:val="5"/>
        </w:numPr>
        <w:shd w:val="clear" w:color="auto" w:fill="auto"/>
        <w:tabs>
          <w:tab w:val="left" w:pos="989"/>
        </w:tabs>
        <w:bidi w:val="0"/>
        <w:spacing w:before="0" w:after="0" w:line="403" w:lineRule="exact"/>
        <w:ind w:left="0" w:right="0" w:firstLine="520"/>
        <w:jc w:val="left"/>
        <w:rPr>
          <w:color w:val="auto"/>
          <w:highlight w:val="none"/>
        </w:rPr>
      </w:pPr>
      <w:bookmarkStart w:id="97" w:name="bookmark38"/>
      <w:bookmarkEnd w:id="97"/>
      <w:r>
        <w:rPr>
          <w:color w:val="auto"/>
          <w:spacing w:val="0"/>
          <w:w w:val="100"/>
          <w:position w:val="0"/>
          <w:highlight w:val="none"/>
        </w:rPr>
        <w:t>当单价</w:t>
      </w:r>
      <w:r>
        <w:rPr>
          <w:color w:val="auto"/>
          <w:spacing w:val="0"/>
          <w:w w:val="100"/>
          <w:position w:val="0"/>
          <w:highlight w:val="none"/>
          <w:lang w:val="zh-CN" w:eastAsia="zh-CN" w:bidi="zh-CN"/>
        </w:rPr>
        <w:t>与</w:t>
      </w:r>
      <w:r>
        <w:rPr>
          <w:color w:val="auto"/>
          <w:spacing w:val="0"/>
          <w:w w:val="100"/>
          <w:position w:val="0"/>
          <w:highlight w:val="none"/>
        </w:rPr>
        <w:t>数量的乘积与合价(金额)虽然一致，但投标人修改了该子目的工程数量，则其合价按招标人给定的工程数量乘以投标人所报单价予以修正。</w:t>
      </w:r>
    </w:p>
    <w:p>
      <w:pPr>
        <w:pStyle w:val="22"/>
        <w:keepNext w:val="0"/>
        <w:keepLines w:val="0"/>
        <w:widowControl w:val="0"/>
        <w:shd w:val="clear" w:color="auto" w:fill="auto"/>
        <w:bidi w:val="0"/>
        <w:spacing w:before="0" w:after="240" w:line="482" w:lineRule="exact"/>
        <w:ind w:left="0" w:right="0" w:firstLine="42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3.3.4</w:t>
      </w:r>
      <w:r>
        <w:rPr>
          <w:color w:val="auto"/>
          <w:spacing w:val="0"/>
          <w:w w:val="100"/>
          <w:position w:val="0"/>
          <w:highlight w:val="none"/>
        </w:rPr>
        <w:t>修正后的最终投标报价若超过最高投标限价(如有)，评标委员会应否决其投标。</w:t>
      </w:r>
    </w:p>
    <w:p>
      <w:pPr>
        <w:pStyle w:val="22"/>
        <w:keepNext w:val="0"/>
        <w:keepLines w:val="0"/>
        <w:widowControl w:val="0"/>
        <w:shd w:val="clear" w:color="auto" w:fill="auto"/>
        <w:bidi w:val="0"/>
        <w:spacing w:before="0" w:after="0" w:line="451" w:lineRule="auto"/>
        <w:ind w:left="0" w:right="0" w:firstLine="38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3.3.5</w:t>
      </w:r>
      <w:r>
        <w:rPr>
          <w:color w:val="auto"/>
          <w:spacing w:val="0"/>
          <w:w w:val="100"/>
          <w:position w:val="0"/>
          <w:highlight w:val="none"/>
        </w:rPr>
        <w:t>修正后的最终投标报价仅作为签订合同的一个依据，不參与评标价得分的计算。</w:t>
      </w:r>
    </w:p>
    <w:p>
      <w:pPr>
        <w:pStyle w:val="22"/>
        <w:keepNext w:val="0"/>
        <w:keepLines w:val="0"/>
        <w:widowControl w:val="0"/>
        <w:shd w:val="clear" w:color="auto" w:fill="auto"/>
        <w:bidi w:val="0"/>
        <w:spacing w:before="0" w:after="0" w:line="240" w:lineRule="auto"/>
        <w:ind w:left="0" w:right="0" w:firstLine="500"/>
        <w:jc w:val="both"/>
        <w:rPr>
          <w:color w:val="auto"/>
          <w:spacing w:val="0"/>
          <w:w w:val="100"/>
          <w:position w:val="0"/>
          <w:highlight w:val="none"/>
        </w:rPr>
      </w:pP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98" w:name="bookmark41"/>
      <w:bookmarkStart w:id="99" w:name="bookmark39"/>
      <w:bookmarkStart w:id="100" w:name="bookmark40"/>
      <w:r>
        <w:rPr>
          <w:rFonts w:ascii="Times New Roman" w:hAnsi="Times New Roman" w:eastAsia="Times New Roman" w:cs="Times New Roman"/>
          <w:b/>
          <w:bCs/>
          <w:color w:val="auto"/>
          <w:spacing w:val="0"/>
          <w:w w:val="100"/>
          <w:position w:val="0"/>
          <w:sz w:val="22"/>
          <w:szCs w:val="22"/>
          <w:highlight w:val="none"/>
          <w:lang w:val="en-US" w:eastAsia="en-US" w:bidi="en-US"/>
        </w:rPr>
        <w:t>3.4</w:t>
      </w:r>
      <w:r>
        <w:rPr>
          <w:color w:val="auto"/>
          <w:spacing w:val="0"/>
          <w:w w:val="100"/>
          <w:position w:val="0"/>
          <w:sz w:val="24"/>
          <w:szCs w:val="24"/>
          <w:highlight w:val="none"/>
        </w:rPr>
        <w:t>第二个信封详细评审</w:t>
      </w:r>
      <w:bookmarkEnd w:id="98"/>
      <w:bookmarkEnd w:id="99"/>
      <w:bookmarkEnd w:id="100"/>
    </w:p>
    <w:p>
      <w:pPr>
        <w:pStyle w:val="22"/>
        <w:keepNext w:val="0"/>
        <w:keepLines w:val="0"/>
        <w:widowControl w:val="0"/>
        <w:shd w:val="clear" w:color="auto" w:fill="auto"/>
        <w:bidi w:val="0"/>
        <w:spacing w:before="0" w:after="200" w:line="408" w:lineRule="exact"/>
        <w:ind w:left="0" w:right="0" w:firstLine="420"/>
        <w:jc w:val="both"/>
        <w:rPr>
          <w:color w:val="auto"/>
          <w:spacing w:val="0"/>
          <w:w w:val="100"/>
          <w:position w:val="0"/>
          <w:highlight w:val="none"/>
          <w:vertAlign w:val="subscript"/>
          <w:lang w:val="en-US" w:eastAsia="en-US" w:bidi="en-US"/>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3.4.1 </w:t>
      </w:r>
      <w:r>
        <w:rPr>
          <w:color w:val="auto"/>
          <w:spacing w:val="0"/>
          <w:w w:val="100"/>
          <w:position w:val="0"/>
          <w:highlight w:val="none"/>
        </w:rPr>
        <w:t>评标委员会按本章第</w:t>
      </w:r>
      <w:r>
        <w:rPr>
          <w:rFonts w:ascii="Times New Roman" w:hAnsi="Times New Roman" w:eastAsia="Times New Roman" w:cs="Times New Roman"/>
          <w:color w:val="auto"/>
          <w:spacing w:val="0"/>
          <w:w w:val="100"/>
          <w:position w:val="0"/>
          <w:sz w:val="19"/>
          <w:szCs w:val="19"/>
          <w:highlight w:val="none"/>
          <w:lang w:val="en-US" w:eastAsia="en-US" w:bidi="en-US"/>
        </w:rPr>
        <w:t xml:space="preserve">2. </w:t>
      </w:r>
      <w:r>
        <w:rPr>
          <w:rFonts w:ascii="Times New Roman" w:hAnsi="Times New Roman" w:eastAsia="Times New Roman" w:cs="Times New Roman"/>
          <w:color w:val="auto"/>
          <w:spacing w:val="0"/>
          <w:w w:val="100"/>
          <w:position w:val="0"/>
          <w:sz w:val="19"/>
          <w:szCs w:val="19"/>
          <w:highlight w:val="none"/>
        </w:rPr>
        <w:t xml:space="preserve">2 </w:t>
      </w:r>
      <w:r>
        <w:rPr>
          <w:color w:val="auto"/>
          <w:spacing w:val="0"/>
          <w:w w:val="100"/>
          <w:position w:val="0"/>
          <w:highlight w:val="none"/>
        </w:rPr>
        <w:t>款规定的量化因素和分值进</w:t>
      </w:r>
      <w:r>
        <w:rPr>
          <w:rFonts w:hint="eastAsia"/>
          <w:color w:val="auto"/>
          <w:spacing w:val="0"/>
          <w:w w:val="100"/>
          <w:position w:val="0"/>
          <w:highlight w:val="none"/>
          <w:lang w:eastAsia="zh-CN"/>
        </w:rPr>
        <w:t>行</w:t>
      </w:r>
      <w:r>
        <w:rPr>
          <w:color w:val="auto"/>
          <w:spacing w:val="0"/>
          <w:w w:val="100"/>
          <w:position w:val="0"/>
          <w:highlight w:val="none"/>
        </w:rPr>
        <w:t>打分，并计算出综合评估得分(即评标价得分</w:t>
      </w:r>
      <w:r>
        <w:rPr>
          <w:color w:val="auto"/>
          <w:spacing w:val="0"/>
          <w:w w:val="100"/>
          <w:position w:val="0"/>
          <w:highlight w:val="none"/>
          <w:lang w:val="en-US" w:eastAsia="en-US" w:bidi="en-US"/>
        </w:rPr>
        <w:t>)</w:t>
      </w:r>
      <w:r>
        <w:rPr>
          <w:color w:val="auto"/>
          <w:spacing w:val="0"/>
          <w:w w:val="100"/>
          <w:position w:val="0"/>
          <w:highlight w:val="none"/>
          <w:vertAlign w:val="subscript"/>
          <w:lang w:val="en-US" w:eastAsia="en-US" w:bidi="en-US"/>
        </w:rPr>
        <w:t>o</w:t>
      </w:r>
    </w:p>
    <w:p>
      <w:pPr>
        <w:pStyle w:val="22"/>
        <w:keepNext w:val="0"/>
        <w:keepLines w:val="0"/>
        <w:widowControl w:val="0"/>
        <w:shd w:val="clear" w:color="auto" w:fill="auto"/>
        <w:bidi w:val="0"/>
        <w:spacing w:before="0" w:after="0" w:line="449" w:lineRule="auto"/>
        <w:ind w:left="0" w:right="0" w:firstLine="38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3.4.2</w:t>
      </w:r>
      <w:r>
        <w:rPr>
          <w:color w:val="auto"/>
          <w:spacing w:val="0"/>
          <w:w w:val="100"/>
          <w:position w:val="0"/>
          <w:highlight w:val="none"/>
        </w:rPr>
        <w:t>评分分值计算保留小数点后两位，小数点后第三位</w:t>
      </w:r>
      <w:r>
        <w:rPr>
          <w:color w:val="auto"/>
          <w:spacing w:val="0"/>
          <w:w w:val="100"/>
          <w:position w:val="0"/>
          <w:highlight w:val="none"/>
          <w:lang w:val="zh-CN" w:eastAsia="zh-CN" w:bidi="zh-CN"/>
        </w:rPr>
        <w:t>“四</w:t>
      </w:r>
      <w:r>
        <w:rPr>
          <w:color w:val="auto"/>
          <w:spacing w:val="0"/>
          <w:w w:val="100"/>
          <w:position w:val="0"/>
          <w:highlight w:val="none"/>
        </w:rPr>
        <w:t>舍五入"。</w:t>
      </w:r>
    </w:p>
    <w:p>
      <w:pPr>
        <w:pStyle w:val="22"/>
        <w:keepNext w:val="0"/>
        <w:keepLines w:val="0"/>
        <w:widowControl w:val="0"/>
        <w:shd w:val="clear" w:color="auto" w:fill="auto"/>
        <w:bidi w:val="0"/>
        <w:spacing w:before="0" w:after="200" w:line="408" w:lineRule="exact"/>
        <w:ind w:left="0" w:right="0" w:firstLine="420"/>
        <w:jc w:val="both"/>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3.4.3</w:t>
      </w:r>
      <w:r>
        <w:rPr>
          <w:color w:val="auto"/>
          <w:spacing w:val="0"/>
          <w:w w:val="100"/>
          <w:position w:val="0"/>
          <w:highlight w:val="none"/>
        </w:rPr>
        <w:t>评标委员会发现投标人的报价明显低于其他投标报价，</w:t>
      </w:r>
      <w:r>
        <w:rPr>
          <w:rFonts w:hint="eastAsia"/>
          <w:color w:val="auto"/>
          <w:spacing w:val="0"/>
          <w:w w:val="100"/>
          <w:position w:val="0"/>
          <w:highlight w:val="none"/>
          <w:lang w:eastAsia="zh-CN"/>
        </w:rPr>
        <w:t>使</w:t>
      </w:r>
      <w:r>
        <w:rPr>
          <w:color w:val="auto"/>
          <w:spacing w:val="0"/>
          <w:w w:val="100"/>
          <w:position w:val="0"/>
          <w:highlight w:val="none"/>
        </w:rPr>
        <w:t>得其投标报价可能低于其个别成本的，应要求该投标人作出书面说明并提供相应的证明材料。投标人不能合理说明或者不能提供相应证明 材料的，评标委员会应认定该投标人以低于成本报价竞标，并否决其投标。</w:t>
      </w: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101" w:name="bookmark44"/>
      <w:bookmarkStart w:id="102" w:name="bookmark42"/>
      <w:bookmarkStart w:id="103" w:name="bookmark43"/>
      <w:r>
        <w:rPr>
          <w:rFonts w:ascii="Times New Roman" w:hAnsi="Times New Roman" w:eastAsia="Times New Roman" w:cs="Times New Roman"/>
          <w:b/>
          <w:bCs/>
          <w:color w:val="auto"/>
          <w:spacing w:val="0"/>
          <w:w w:val="100"/>
          <w:position w:val="0"/>
          <w:sz w:val="22"/>
          <w:szCs w:val="22"/>
          <w:highlight w:val="none"/>
          <w:lang w:val="en-US" w:eastAsia="en-US" w:bidi="en-US"/>
        </w:rPr>
        <w:t>3.5</w:t>
      </w:r>
      <w:r>
        <w:rPr>
          <w:color w:val="auto"/>
          <w:spacing w:val="0"/>
          <w:w w:val="100"/>
          <w:position w:val="0"/>
          <w:sz w:val="24"/>
          <w:szCs w:val="24"/>
          <w:highlight w:val="none"/>
        </w:rPr>
        <w:t>投标文件相关信息的核查</w:t>
      </w:r>
      <w:bookmarkEnd w:id="101"/>
      <w:bookmarkEnd w:id="102"/>
      <w:bookmarkEnd w:id="103"/>
    </w:p>
    <w:p>
      <w:pPr>
        <w:pStyle w:val="22"/>
        <w:keepNext w:val="0"/>
        <w:keepLines w:val="0"/>
        <w:widowControl w:val="0"/>
        <w:shd w:val="clear" w:color="auto" w:fill="auto"/>
        <w:bidi w:val="0"/>
        <w:spacing w:before="0" w:after="200" w:line="410" w:lineRule="exact"/>
        <w:ind w:right="0"/>
        <w:jc w:val="left"/>
        <w:rPr>
          <w:color w:val="auto"/>
          <w:spacing w:val="0"/>
          <w:w w:val="100"/>
          <w:position w:val="0"/>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3. 5. </w:t>
      </w:r>
      <w:r>
        <w:rPr>
          <w:rFonts w:ascii="Times New Roman" w:hAnsi="Times New Roman" w:eastAsia="Times New Roman" w:cs="Times New Roman"/>
          <w:color w:val="auto"/>
          <w:spacing w:val="0"/>
          <w:w w:val="100"/>
          <w:position w:val="0"/>
          <w:sz w:val="19"/>
          <w:szCs w:val="19"/>
          <w:highlight w:val="none"/>
        </w:rPr>
        <w:t xml:space="preserve">1 </w:t>
      </w:r>
      <w:r>
        <w:rPr>
          <w:color w:val="auto"/>
          <w:spacing w:val="0"/>
          <w:w w:val="100"/>
          <w:position w:val="0"/>
          <w:highlight w:val="none"/>
        </w:rPr>
        <w:t>在评标过程中，评标委员会应查询交通运输主管部门“公路建设市场信用信息管理系统</w:t>
      </w:r>
      <w:r>
        <w:rPr>
          <w:color w:val="auto"/>
          <w:spacing w:val="0"/>
          <w:w w:val="100"/>
          <w:position w:val="0"/>
          <w:highlight w:val="none"/>
          <w:lang w:val="en-US" w:eastAsia="en-US" w:bidi="en-US"/>
        </w:rPr>
        <w:t>”</w:t>
      </w:r>
      <w:r>
        <w:rPr>
          <w:color w:val="auto"/>
          <w:spacing w:val="0"/>
          <w:w w:val="100"/>
          <w:position w:val="0"/>
          <w:highlight w:val="none"/>
        </w:rPr>
        <w:t>， 对投标人的资质、业绩、主要人员资历和目前在岗情况、信用等级等信息进</w:t>
      </w:r>
      <w:r>
        <w:rPr>
          <w:rFonts w:hint="eastAsia"/>
          <w:color w:val="auto"/>
          <w:spacing w:val="0"/>
          <w:w w:val="100"/>
          <w:position w:val="0"/>
          <w:highlight w:val="none"/>
          <w:lang w:eastAsia="zh-CN"/>
        </w:rPr>
        <w:t>行</w:t>
      </w:r>
      <w:r>
        <w:rPr>
          <w:color w:val="auto"/>
          <w:spacing w:val="0"/>
          <w:w w:val="100"/>
          <w:position w:val="0"/>
          <w:highlight w:val="none"/>
        </w:rPr>
        <w:t>核实。若投标文件载明的信息与交通运输主管部门</w:t>
      </w:r>
      <w:r>
        <w:rPr>
          <w:color w:val="auto"/>
          <w:spacing w:val="0"/>
          <w:w w:val="100"/>
          <w:position w:val="0"/>
          <w:highlight w:val="none"/>
          <w:lang w:val="zh-CN" w:eastAsia="zh-CN" w:bidi="zh-CN"/>
        </w:rPr>
        <w:t>“公</w:t>
      </w:r>
      <w:r>
        <w:rPr>
          <w:color w:val="auto"/>
          <w:spacing w:val="0"/>
          <w:w w:val="100"/>
          <w:position w:val="0"/>
          <w:highlight w:val="none"/>
        </w:rPr>
        <w:t>路建设市场信用信息管理系统”发布的信息不</w:t>
      </w:r>
      <w:r>
        <w:rPr>
          <w:rFonts w:hint="eastAsia"/>
          <w:color w:val="auto"/>
          <w:spacing w:val="0"/>
          <w:w w:val="100"/>
          <w:position w:val="0"/>
          <w:highlight w:val="none"/>
          <w:lang w:eastAsia="zh-CN"/>
        </w:rPr>
        <w:t>符</w:t>
      </w:r>
      <w:r>
        <w:rPr>
          <w:color w:val="auto"/>
          <w:spacing w:val="0"/>
          <w:w w:val="100"/>
          <w:position w:val="0"/>
          <w:highlight w:val="none"/>
        </w:rPr>
        <w:t>，使得投标人的资格条件 不符合招标文件规定的，评标委员会应当否决其投标。</w:t>
      </w:r>
    </w:p>
    <w:p>
      <w:pPr>
        <w:pStyle w:val="22"/>
        <w:keepNext w:val="0"/>
        <w:keepLines w:val="0"/>
        <w:widowControl w:val="0"/>
        <w:shd w:val="clear" w:color="auto" w:fill="auto"/>
        <w:bidi w:val="0"/>
        <w:spacing w:before="0" w:after="200" w:line="410" w:lineRule="exact"/>
        <w:ind w:left="0" w:right="0" w:firstLine="42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3. 5. </w:t>
      </w:r>
      <w:r>
        <w:rPr>
          <w:rFonts w:ascii="Times New Roman" w:hAnsi="Times New Roman" w:eastAsia="Times New Roman" w:cs="Times New Roman"/>
          <w:color w:val="auto"/>
          <w:spacing w:val="0"/>
          <w:w w:val="100"/>
          <w:position w:val="0"/>
          <w:sz w:val="19"/>
          <w:szCs w:val="19"/>
          <w:highlight w:val="none"/>
        </w:rPr>
        <w:t xml:space="preserve">2 </w:t>
      </w:r>
      <w:r>
        <w:rPr>
          <w:color w:val="auto"/>
          <w:spacing w:val="0"/>
          <w:w w:val="100"/>
          <w:position w:val="0"/>
          <w:highlight w:val="none"/>
        </w:rPr>
        <w:t>评标委员会应对在评标过程中发现的投标人与投标人之间、投标人与招标人之间存在的串通投标的情形进行评审和认定。投标人存在串通扱标、弄虚作假、行贿等违法</w:t>
      </w:r>
      <w:r>
        <w:rPr>
          <w:rFonts w:hint="eastAsia"/>
          <w:color w:val="auto"/>
          <w:spacing w:val="0"/>
          <w:w w:val="100"/>
          <w:position w:val="0"/>
          <w:highlight w:val="none"/>
          <w:lang w:eastAsia="zh-CN"/>
        </w:rPr>
        <w:t>行</w:t>
      </w:r>
      <w:r>
        <w:rPr>
          <w:color w:val="auto"/>
          <w:spacing w:val="0"/>
          <w:w w:val="100"/>
          <w:position w:val="0"/>
          <w:highlight w:val="none"/>
        </w:rPr>
        <w:t>为的，评标委员会应否决其投标。</w:t>
      </w:r>
    </w:p>
    <w:p>
      <w:pPr>
        <w:pStyle w:val="21"/>
        <w:keepNext w:val="0"/>
        <w:keepLines w:val="0"/>
        <w:widowControl w:val="0"/>
        <w:shd w:val="clear" w:color="auto" w:fill="auto"/>
        <w:bidi w:val="0"/>
        <w:spacing w:before="0" w:after="0" w:line="233" w:lineRule="exact"/>
        <w:ind w:left="0" w:right="0" w:firstLine="0"/>
        <w:jc w:val="both"/>
        <w:rPr>
          <w:color w:val="auto"/>
          <w:spacing w:val="0"/>
          <w:w w:val="100"/>
          <w:position w:val="0"/>
          <w:highlight w:val="none"/>
        </w:rPr>
      </w:pPr>
    </w:p>
    <w:p>
      <w:pPr>
        <w:pStyle w:val="21"/>
        <w:keepNext w:val="0"/>
        <w:keepLines w:val="0"/>
        <w:widowControl w:val="0"/>
        <w:shd w:val="clear" w:color="auto" w:fill="auto"/>
        <w:bidi w:val="0"/>
        <w:spacing w:before="0" w:after="0" w:line="233" w:lineRule="exact"/>
        <w:ind w:left="0" w:right="0" w:firstLine="0"/>
        <w:jc w:val="both"/>
        <w:rPr>
          <w:color w:val="auto"/>
          <w:spacing w:val="0"/>
          <w:w w:val="100"/>
          <w:position w:val="0"/>
          <w:highlight w:val="none"/>
        </w:rPr>
      </w:pPr>
    </w:p>
    <w:p>
      <w:pPr>
        <w:pStyle w:val="21"/>
        <w:keepNext w:val="0"/>
        <w:keepLines w:val="0"/>
        <w:widowControl w:val="0"/>
        <w:shd w:val="clear" w:color="auto" w:fill="auto"/>
        <w:bidi w:val="0"/>
        <w:spacing w:before="0" w:after="0" w:line="233" w:lineRule="exact"/>
        <w:ind w:left="0" w:right="0" w:firstLine="0"/>
        <w:jc w:val="both"/>
        <w:rPr>
          <w:color w:val="auto"/>
          <w:spacing w:val="0"/>
          <w:w w:val="100"/>
          <w:position w:val="0"/>
          <w:highlight w:val="none"/>
        </w:rPr>
      </w:pPr>
    </w:p>
    <w:p>
      <w:pPr>
        <w:pStyle w:val="21"/>
        <w:keepNext w:val="0"/>
        <w:keepLines w:val="0"/>
        <w:widowControl w:val="0"/>
        <w:shd w:val="clear" w:color="auto" w:fill="auto"/>
        <w:bidi w:val="0"/>
        <w:spacing w:before="0" w:after="0" w:line="233" w:lineRule="exact"/>
        <w:ind w:left="0" w:right="0" w:firstLine="0"/>
        <w:jc w:val="both"/>
        <w:rPr>
          <w:color w:val="auto"/>
          <w:spacing w:val="0"/>
          <w:w w:val="100"/>
          <w:position w:val="0"/>
          <w:highlight w:val="none"/>
        </w:rPr>
      </w:pPr>
    </w:p>
    <w:p>
      <w:pPr>
        <w:pStyle w:val="21"/>
        <w:keepNext w:val="0"/>
        <w:keepLines w:val="0"/>
        <w:widowControl w:val="0"/>
        <w:shd w:val="clear" w:color="auto" w:fill="auto"/>
        <w:bidi w:val="0"/>
        <w:spacing w:before="0" w:after="0" w:line="233" w:lineRule="exact"/>
        <w:ind w:left="0" w:right="0" w:firstLine="0"/>
        <w:jc w:val="both"/>
        <w:rPr>
          <w:color w:val="auto"/>
          <w:highlight w:val="none"/>
        </w:rPr>
      </w:pPr>
      <w:r>
        <w:rPr>
          <w:color w:val="auto"/>
          <w:spacing w:val="0"/>
          <w:w w:val="100"/>
          <w:position w:val="0"/>
          <w:highlight w:val="none"/>
        </w:rPr>
        <w:t>①如本项目招标由投标人按照招标人提供的书面工程量清单填写本合同各工程子目的单价、合价和总额价，则评标委员会 按照本章第</w:t>
      </w:r>
      <w:r>
        <w:rPr>
          <w:rFonts w:ascii="Times New Roman" w:hAnsi="Times New Roman" w:eastAsia="Times New Roman" w:cs="Times New Roman"/>
          <w:color w:val="auto"/>
          <w:spacing w:val="0"/>
          <w:w w:val="100"/>
          <w:position w:val="0"/>
          <w:sz w:val="19"/>
          <w:szCs w:val="19"/>
          <w:highlight w:val="none"/>
          <w:lang w:val="en-US" w:eastAsia="en-US" w:bidi="en-US"/>
        </w:rPr>
        <w:t>3.3.2</w:t>
      </w:r>
      <w:r>
        <w:rPr>
          <w:color w:val="auto"/>
          <w:spacing w:val="0"/>
          <w:w w:val="100"/>
          <w:position w:val="0"/>
          <w:highlight w:val="none"/>
        </w:rPr>
        <w:t>项和第</w:t>
      </w:r>
      <w:r>
        <w:rPr>
          <w:rFonts w:ascii="Times New Roman" w:hAnsi="Times New Roman" w:eastAsia="Times New Roman" w:cs="Times New Roman"/>
          <w:color w:val="auto"/>
          <w:spacing w:val="0"/>
          <w:w w:val="100"/>
          <w:position w:val="0"/>
          <w:sz w:val="19"/>
          <w:szCs w:val="19"/>
          <w:highlight w:val="none"/>
          <w:lang w:val="en-US" w:eastAsia="en-US" w:bidi="en-US"/>
        </w:rPr>
        <w:t>3.3.3</w:t>
      </w:r>
      <w:r>
        <w:rPr>
          <w:color w:val="auto"/>
          <w:spacing w:val="0"/>
          <w:w w:val="100"/>
          <w:position w:val="0"/>
          <w:highlight w:val="none"/>
        </w:rPr>
        <w:t>项的规定对投标人的投标报价进行修正。如本项目招标由投标人按照招标人提供的工程量 固化清单电子文件填写工程量，无须按照本章第</w:t>
      </w:r>
      <w:r>
        <w:rPr>
          <w:rFonts w:ascii="Times New Roman" w:hAnsi="Times New Roman" w:eastAsia="Times New Roman" w:cs="Times New Roman"/>
          <w:color w:val="auto"/>
          <w:spacing w:val="0"/>
          <w:w w:val="100"/>
          <w:position w:val="0"/>
          <w:sz w:val="19"/>
          <w:szCs w:val="19"/>
          <w:highlight w:val="none"/>
          <w:lang w:val="en-US" w:eastAsia="en-US" w:bidi="en-US"/>
        </w:rPr>
        <w:t>3.3.2</w:t>
      </w:r>
      <w:r>
        <w:rPr>
          <w:color w:val="auto"/>
          <w:spacing w:val="0"/>
          <w:w w:val="100"/>
          <w:position w:val="0"/>
          <w:highlight w:val="none"/>
        </w:rPr>
        <w:t>项和第</w:t>
      </w:r>
      <w:r>
        <w:rPr>
          <w:rFonts w:ascii="Times New Roman" w:hAnsi="Times New Roman" w:eastAsia="Times New Roman" w:cs="Times New Roman"/>
          <w:color w:val="auto"/>
          <w:spacing w:val="0"/>
          <w:w w:val="100"/>
          <w:position w:val="0"/>
          <w:sz w:val="19"/>
          <w:szCs w:val="19"/>
          <w:highlight w:val="none"/>
          <w:lang w:val="en-US" w:eastAsia="en-US" w:bidi="en-US"/>
        </w:rPr>
        <w:t>3.3.3</w:t>
      </w:r>
      <w:r>
        <w:rPr>
          <w:color w:val="auto"/>
          <w:spacing w:val="0"/>
          <w:w w:val="100"/>
          <w:position w:val="0"/>
          <w:highlight w:val="none"/>
        </w:rPr>
        <w:t>项的规定对投标报价进行修正，第</w:t>
      </w:r>
      <w:r>
        <w:rPr>
          <w:rFonts w:ascii="Times New Roman" w:hAnsi="Times New Roman" w:eastAsia="Times New Roman" w:cs="Times New Roman"/>
          <w:color w:val="auto"/>
          <w:spacing w:val="0"/>
          <w:w w:val="100"/>
          <w:position w:val="0"/>
          <w:sz w:val="19"/>
          <w:szCs w:val="19"/>
          <w:highlight w:val="none"/>
          <w:lang w:val="en-US" w:eastAsia="en-US" w:bidi="en-US"/>
        </w:rPr>
        <w:t>3.3.2</w:t>
      </w:r>
      <w:r>
        <w:rPr>
          <w:color w:val="auto"/>
          <w:spacing w:val="0"/>
          <w:w w:val="100"/>
          <w:position w:val="0"/>
          <w:highlight w:val="none"/>
        </w:rPr>
        <w:t>项至第</w:t>
      </w:r>
      <w:r>
        <w:rPr>
          <w:rFonts w:ascii="Times New Roman" w:hAnsi="Times New Roman" w:eastAsia="Times New Roman" w:cs="Times New Roman"/>
          <w:color w:val="auto"/>
          <w:spacing w:val="0"/>
          <w:w w:val="100"/>
          <w:position w:val="0"/>
          <w:sz w:val="19"/>
          <w:szCs w:val="19"/>
          <w:highlight w:val="none"/>
          <w:lang w:val="en-US" w:eastAsia="en-US" w:bidi="en-US"/>
        </w:rPr>
        <w:t xml:space="preserve">3.3.5 </w:t>
      </w:r>
      <w:r>
        <w:rPr>
          <w:color w:val="auto"/>
          <w:spacing w:val="0"/>
          <w:w w:val="100"/>
          <w:position w:val="0"/>
          <w:highlight w:val="none"/>
        </w:rPr>
        <w:t>项内容不适用。</w:t>
      </w:r>
    </w:p>
    <w:p>
      <w:pPr>
        <w:rPr>
          <w:color w:val="auto"/>
          <w:spacing w:val="0"/>
          <w:w w:val="100"/>
          <w:position w:val="0"/>
          <w:highlight w:val="none"/>
        </w:rPr>
      </w:pPr>
      <w:r>
        <w:rPr>
          <w:color w:val="auto"/>
          <w:spacing w:val="0"/>
          <w:w w:val="100"/>
          <w:position w:val="0"/>
          <w:highlight w:val="none"/>
        </w:rPr>
        <w:br w:type="page"/>
      </w:r>
    </w:p>
    <w:p>
      <w:pPr>
        <w:pStyle w:val="22"/>
        <w:keepNext w:val="0"/>
        <w:keepLines w:val="0"/>
        <w:widowControl w:val="0"/>
        <w:shd w:val="clear" w:color="auto" w:fill="auto"/>
        <w:bidi w:val="0"/>
        <w:spacing w:before="0" w:after="0" w:line="410" w:lineRule="exact"/>
        <w:ind w:left="0" w:right="0" w:firstLine="420"/>
        <w:jc w:val="left"/>
        <w:rPr>
          <w:color w:val="auto"/>
          <w:spacing w:val="0"/>
          <w:w w:val="100"/>
          <w:position w:val="0"/>
          <w:highlight w:val="none"/>
        </w:rPr>
      </w:pPr>
    </w:p>
    <w:p>
      <w:pPr>
        <w:pStyle w:val="22"/>
        <w:keepNext w:val="0"/>
        <w:keepLines w:val="0"/>
        <w:widowControl w:val="0"/>
        <w:numPr>
          <w:ilvl w:val="0"/>
          <w:numId w:val="6"/>
        </w:numPr>
        <w:shd w:val="clear" w:color="auto" w:fill="auto"/>
        <w:bidi w:val="0"/>
        <w:spacing w:before="0" w:after="0" w:line="451" w:lineRule="auto"/>
        <w:ind w:left="0" w:right="0" w:firstLine="500"/>
        <w:jc w:val="left"/>
        <w:rPr>
          <w:color w:val="auto"/>
          <w:highlight w:val="none"/>
        </w:rPr>
      </w:pPr>
      <w:r>
        <w:rPr>
          <w:color w:val="auto"/>
          <w:spacing w:val="0"/>
          <w:w w:val="100"/>
          <w:position w:val="0"/>
          <w:highlight w:val="none"/>
        </w:rPr>
        <w:t>有下列情形之一的，属于投标人相互串通投标：</w:t>
      </w:r>
    </w:p>
    <w:p>
      <w:pPr>
        <w:pStyle w:val="22"/>
        <w:keepNext w:val="0"/>
        <w:keepLines w:val="0"/>
        <w:widowControl w:val="0"/>
        <w:numPr>
          <w:ilvl w:val="0"/>
          <w:numId w:val="0"/>
        </w:numPr>
        <w:shd w:val="clear" w:color="auto" w:fill="auto"/>
        <w:tabs>
          <w:tab w:val="left" w:pos="685"/>
        </w:tabs>
        <w:bidi w:val="0"/>
        <w:spacing w:before="0" w:after="0" w:line="451" w:lineRule="auto"/>
        <w:ind w:left="380" w:leftChars="0" w:right="0" w:rightChars="0"/>
        <w:jc w:val="left"/>
        <w:rPr>
          <w:color w:val="auto"/>
          <w:highlight w:val="none"/>
        </w:rPr>
      </w:pPr>
      <w:bookmarkStart w:id="104" w:name="bookmark46"/>
      <w:bookmarkEnd w:id="104"/>
      <w:r>
        <w:rPr>
          <w:rFonts w:hint="eastAsia"/>
          <w:color w:val="auto"/>
          <w:spacing w:val="0"/>
          <w:w w:val="100"/>
          <w:position w:val="0"/>
          <w:highlight w:val="none"/>
          <w:lang w:val="en-US" w:eastAsia="zh-CN"/>
        </w:rPr>
        <w:t>a</w:t>
      </w:r>
      <w:r>
        <w:rPr>
          <w:color w:val="auto"/>
          <w:spacing w:val="0"/>
          <w:w w:val="100"/>
          <w:position w:val="0"/>
          <w:highlight w:val="none"/>
        </w:rPr>
        <w:t>投标人之间协商投标报价等投标文件的实质性内容；</w:t>
      </w:r>
    </w:p>
    <w:p>
      <w:pPr>
        <w:pStyle w:val="22"/>
        <w:keepNext w:val="0"/>
        <w:keepLines w:val="0"/>
        <w:widowControl w:val="0"/>
        <w:numPr>
          <w:ilvl w:val="0"/>
          <w:numId w:val="0"/>
        </w:numPr>
        <w:shd w:val="clear" w:color="auto" w:fill="auto"/>
        <w:tabs>
          <w:tab w:val="left" w:pos="700"/>
        </w:tabs>
        <w:bidi w:val="0"/>
        <w:spacing w:before="0" w:after="0" w:line="451" w:lineRule="auto"/>
        <w:ind w:left="380" w:leftChars="0" w:right="0" w:rightChars="0"/>
        <w:jc w:val="left"/>
        <w:rPr>
          <w:color w:val="auto"/>
          <w:highlight w:val="none"/>
        </w:rPr>
      </w:pPr>
      <w:bookmarkStart w:id="105" w:name="bookmark47"/>
      <w:bookmarkEnd w:id="105"/>
      <w:r>
        <w:rPr>
          <w:rFonts w:hint="eastAsia"/>
          <w:color w:val="auto"/>
          <w:spacing w:val="0"/>
          <w:w w:val="100"/>
          <w:position w:val="0"/>
          <w:highlight w:val="none"/>
          <w:lang w:val="en-US" w:eastAsia="zh-CN"/>
        </w:rPr>
        <w:t>b</w:t>
      </w:r>
      <w:r>
        <w:rPr>
          <w:color w:val="auto"/>
          <w:spacing w:val="0"/>
          <w:w w:val="100"/>
          <w:position w:val="0"/>
          <w:highlight w:val="none"/>
        </w:rPr>
        <w:t>投标人之间约定中标人；</w:t>
      </w:r>
    </w:p>
    <w:p>
      <w:pPr>
        <w:pStyle w:val="22"/>
        <w:keepNext w:val="0"/>
        <w:keepLines w:val="0"/>
        <w:widowControl w:val="0"/>
        <w:numPr>
          <w:ilvl w:val="0"/>
          <w:numId w:val="0"/>
        </w:numPr>
        <w:shd w:val="clear" w:color="auto" w:fill="auto"/>
        <w:tabs>
          <w:tab w:val="left" w:pos="700"/>
        </w:tabs>
        <w:bidi w:val="0"/>
        <w:spacing w:before="0" w:after="0" w:line="451" w:lineRule="auto"/>
        <w:ind w:left="380" w:leftChars="0" w:right="0" w:rightChars="0"/>
        <w:jc w:val="left"/>
        <w:rPr>
          <w:color w:val="auto"/>
          <w:highlight w:val="none"/>
        </w:rPr>
      </w:pPr>
      <w:bookmarkStart w:id="106" w:name="bookmark48"/>
      <w:bookmarkEnd w:id="106"/>
      <w:r>
        <w:rPr>
          <w:rFonts w:hint="eastAsia"/>
          <w:color w:val="auto"/>
          <w:spacing w:val="0"/>
          <w:w w:val="100"/>
          <w:position w:val="0"/>
          <w:highlight w:val="none"/>
          <w:lang w:val="en-US" w:eastAsia="zh-CN"/>
        </w:rPr>
        <w:t>c</w:t>
      </w:r>
      <w:r>
        <w:rPr>
          <w:color w:val="auto"/>
          <w:spacing w:val="0"/>
          <w:w w:val="100"/>
          <w:position w:val="0"/>
          <w:highlight w:val="none"/>
        </w:rPr>
        <w:t>投标人之间约定部分投标人放弃投标或者中标；</w:t>
      </w:r>
    </w:p>
    <w:p>
      <w:pPr>
        <w:pStyle w:val="22"/>
        <w:keepNext w:val="0"/>
        <w:keepLines w:val="0"/>
        <w:widowControl w:val="0"/>
        <w:numPr>
          <w:ilvl w:val="0"/>
          <w:numId w:val="0"/>
        </w:numPr>
        <w:shd w:val="clear" w:color="auto" w:fill="auto"/>
        <w:tabs>
          <w:tab w:val="left" w:pos="700"/>
        </w:tabs>
        <w:bidi w:val="0"/>
        <w:spacing w:before="0" w:after="0" w:line="451" w:lineRule="auto"/>
        <w:ind w:left="380" w:leftChars="0" w:right="0" w:rightChars="0"/>
        <w:jc w:val="left"/>
        <w:rPr>
          <w:color w:val="auto"/>
          <w:highlight w:val="none"/>
        </w:rPr>
      </w:pPr>
      <w:bookmarkStart w:id="107" w:name="bookmark49"/>
      <w:bookmarkEnd w:id="107"/>
      <w:r>
        <w:rPr>
          <w:rFonts w:hint="eastAsia"/>
          <w:color w:val="auto"/>
          <w:spacing w:val="0"/>
          <w:w w:val="100"/>
          <w:position w:val="0"/>
          <w:highlight w:val="none"/>
          <w:lang w:val="en-US" w:eastAsia="zh-CN"/>
        </w:rPr>
        <w:t>d</w:t>
      </w:r>
      <w:r>
        <w:rPr>
          <w:color w:val="auto"/>
          <w:spacing w:val="0"/>
          <w:w w:val="100"/>
          <w:position w:val="0"/>
          <w:highlight w:val="none"/>
        </w:rPr>
        <w:t>属于同一集团、协会、商会等组织成员的投标人按照该组织要求协同投标；</w:t>
      </w:r>
    </w:p>
    <w:p>
      <w:pPr>
        <w:pStyle w:val="22"/>
        <w:keepNext w:val="0"/>
        <w:keepLines w:val="0"/>
        <w:widowControl w:val="0"/>
        <w:numPr>
          <w:ilvl w:val="0"/>
          <w:numId w:val="0"/>
        </w:numPr>
        <w:shd w:val="clear" w:color="auto" w:fill="auto"/>
        <w:tabs>
          <w:tab w:val="left" w:pos="700"/>
        </w:tabs>
        <w:bidi w:val="0"/>
        <w:spacing w:before="0" w:after="0" w:line="451" w:lineRule="auto"/>
        <w:ind w:left="380" w:leftChars="0" w:right="0" w:rightChars="0"/>
        <w:jc w:val="left"/>
        <w:rPr>
          <w:color w:val="auto"/>
          <w:highlight w:val="none"/>
        </w:rPr>
      </w:pPr>
      <w:bookmarkStart w:id="108" w:name="bookmark50"/>
      <w:bookmarkEnd w:id="108"/>
      <w:r>
        <w:rPr>
          <w:rFonts w:hint="eastAsia"/>
          <w:color w:val="auto"/>
          <w:spacing w:val="0"/>
          <w:w w:val="100"/>
          <w:position w:val="0"/>
          <w:highlight w:val="none"/>
          <w:lang w:val="en-US" w:eastAsia="zh-CN"/>
        </w:rPr>
        <w:t>e</w:t>
      </w:r>
      <w:r>
        <w:rPr>
          <w:color w:val="auto"/>
          <w:spacing w:val="0"/>
          <w:w w:val="100"/>
          <w:position w:val="0"/>
          <w:highlight w:val="none"/>
        </w:rPr>
        <w:t>投标人之间为谋取中标或排斥特定投标人而采取的其他联合</w:t>
      </w:r>
      <w:r>
        <w:rPr>
          <w:rFonts w:hint="eastAsia"/>
          <w:color w:val="auto"/>
          <w:spacing w:val="0"/>
          <w:w w:val="100"/>
          <w:position w:val="0"/>
          <w:highlight w:val="none"/>
          <w:lang w:eastAsia="zh-CN"/>
        </w:rPr>
        <w:t>行</w:t>
      </w:r>
      <w:r>
        <w:rPr>
          <w:color w:val="auto"/>
          <w:spacing w:val="0"/>
          <w:w w:val="100"/>
          <w:position w:val="0"/>
          <w:highlight w:val="none"/>
        </w:rPr>
        <w:t>动。</w:t>
      </w:r>
    </w:p>
    <w:p>
      <w:pPr>
        <w:pStyle w:val="22"/>
        <w:keepNext w:val="0"/>
        <w:keepLines w:val="0"/>
        <w:widowControl w:val="0"/>
        <w:numPr>
          <w:ilvl w:val="0"/>
          <w:numId w:val="6"/>
        </w:numPr>
        <w:shd w:val="clear" w:color="auto" w:fill="auto"/>
        <w:bidi w:val="0"/>
        <w:spacing w:before="0" w:after="0" w:line="451" w:lineRule="auto"/>
        <w:ind w:left="0" w:right="0" w:firstLine="500"/>
        <w:jc w:val="left"/>
        <w:rPr>
          <w:color w:val="auto"/>
          <w:highlight w:val="none"/>
        </w:rPr>
      </w:pPr>
      <w:bookmarkStart w:id="109" w:name="bookmark51"/>
      <w:bookmarkEnd w:id="109"/>
      <w:r>
        <w:rPr>
          <w:color w:val="auto"/>
          <w:spacing w:val="0"/>
          <w:w w:val="100"/>
          <w:position w:val="0"/>
          <w:highlight w:val="none"/>
        </w:rPr>
        <w:t>有下列</w:t>
      </w:r>
      <w:r>
        <w:rPr>
          <w:color w:val="auto"/>
          <w:spacing w:val="0"/>
          <w:w w:val="100"/>
          <w:position w:val="0"/>
          <w:highlight w:val="none"/>
          <w:lang w:val="zh-CN" w:eastAsia="zh-CN" w:bidi="zh-CN"/>
        </w:rPr>
        <w:t>情形之</w:t>
      </w:r>
      <w:r>
        <w:rPr>
          <w:color w:val="auto"/>
          <w:spacing w:val="0"/>
          <w:w w:val="100"/>
          <w:position w:val="0"/>
          <w:highlight w:val="none"/>
        </w:rPr>
        <w:t>一的，视为投标人相互串通投标：</w:t>
      </w:r>
    </w:p>
    <w:p>
      <w:pPr>
        <w:pStyle w:val="22"/>
        <w:keepNext w:val="0"/>
        <w:keepLines w:val="0"/>
        <w:widowControl w:val="0"/>
        <w:numPr>
          <w:ilvl w:val="0"/>
          <w:numId w:val="0"/>
        </w:numPr>
        <w:shd w:val="clear" w:color="auto" w:fill="auto"/>
        <w:bidi w:val="0"/>
        <w:spacing w:before="0" w:after="0" w:line="451" w:lineRule="auto"/>
        <w:ind w:left="380" w:leftChars="0" w:right="0" w:rightChars="0"/>
        <w:jc w:val="left"/>
        <w:rPr>
          <w:color w:val="auto"/>
          <w:highlight w:val="none"/>
        </w:rPr>
      </w:pPr>
      <w:bookmarkStart w:id="110" w:name="bookmark52"/>
      <w:bookmarkEnd w:id="110"/>
      <w:r>
        <w:rPr>
          <w:rFonts w:hint="eastAsia"/>
          <w:color w:val="auto"/>
          <w:spacing w:val="0"/>
          <w:w w:val="100"/>
          <w:position w:val="0"/>
          <w:highlight w:val="none"/>
          <w:lang w:val="en-US" w:eastAsia="zh-CN"/>
        </w:rPr>
        <w:t>a</w:t>
      </w:r>
      <w:r>
        <w:rPr>
          <w:color w:val="auto"/>
          <w:spacing w:val="0"/>
          <w:w w:val="100"/>
          <w:position w:val="0"/>
          <w:highlight w:val="none"/>
        </w:rPr>
        <w:t>不同投标人的投标文件由同一单位或者个人编制；</w:t>
      </w:r>
    </w:p>
    <w:p>
      <w:pPr>
        <w:pStyle w:val="22"/>
        <w:keepNext w:val="0"/>
        <w:keepLines w:val="0"/>
        <w:widowControl w:val="0"/>
        <w:numPr>
          <w:ilvl w:val="0"/>
          <w:numId w:val="0"/>
        </w:numPr>
        <w:shd w:val="clear" w:color="auto" w:fill="auto"/>
        <w:tabs>
          <w:tab w:val="left" w:pos="704"/>
        </w:tabs>
        <w:bidi w:val="0"/>
        <w:spacing w:before="0" w:after="0" w:line="410" w:lineRule="exact"/>
        <w:ind w:left="360" w:leftChars="0" w:right="0" w:rightChars="0"/>
        <w:jc w:val="left"/>
        <w:rPr>
          <w:color w:val="auto"/>
          <w:highlight w:val="none"/>
        </w:rPr>
      </w:pPr>
      <w:bookmarkStart w:id="111" w:name="bookmark53"/>
      <w:bookmarkEnd w:id="111"/>
      <w:r>
        <w:rPr>
          <w:rFonts w:hint="eastAsia"/>
          <w:color w:val="auto"/>
          <w:spacing w:val="0"/>
          <w:w w:val="100"/>
          <w:position w:val="0"/>
          <w:highlight w:val="none"/>
          <w:lang w:val="en-US" w:eastAsia="zh-CN"/>
        </w:rPr>
        <w:t>b</w:t>
      </w:r>
      <w:r>
        <w:rPr>
          <w:color w:val="auto"/>
          <w:spacing w:val="0"/>
          <w:w w:val="100"/>
          <w:position w:val="0"/>
          <w:highlight w:val="none"/>
        </w:rPr>
        <w:t>不同投标人委托同一单位或者个人办理投标事宜；</w:t>
      </w:r>
    </w:p>
    <w:p>
      <w:pPr>
        <w:pStyle w:val="22"/>
        <w:keepNext w:val="0"/>
        <w:keepLines w:val="0"/>
        <w:widowControl w:val="0"/>
        <w:numPr>
          <w:ilvl w:val="0"/>
          <w:numId w:val="0"/>
        </w:numPr>
        <w:shd w:val="clear" w:color="auto" w:fill="auto"/>
        <w:tabs>
          <w:tab w:val="left" w:pos="704"/>
        </w:tabs>
        <w:bidi w:val="0"/>
        <w:spacing w:before="0" w:after="0" w:line="410" w:lineRule="exact"/>
        <w:ind w:left="360" w:leftChars="0" w:right="0" w:rightChars="0"/>
        <w:jc w:val="left"/>
        <w:rPr>
          <w:color w:val="auto"/>
          <w:highlight w:val="none"/>
        </w:rPr>
      </w:pPr>
      <w:bookmarkStart w:id="112" w:name="bookmark54"/>
      <w:bookmarkEnd w:id="112"/>
      <w:r>
        <w:rPr>
          <w:rFonts w:hint="eastAsia"/>
          <w:color w:val="auto"/>
          <w:spacing w:val="0"/>
          <w:w w:val="100"/>
          <w:position w:val="0"/>
          <w:highlight w:val="none"/>
          <w:lang w:val="en-US" w:eastAsia="zh-CN"/>
        </w:rPr>
        <w:t>c</w:t>
      </w:r>
      <w:r>
        <w:rPr>
          <w:color w:val="auto"/>
          <w:spacing w:val="0"/>
          <w:w w:val="100"/>
          <w:position w:val="0"/>
          <w:highlight w:val="none"/>
        </w:rPr>
        <w:t>不同投标人的投标文件载明的项目管理成员为同一人;</w:t>
      </w:r>
    </w:p>
    <w:p>
      <w:pPr>
        <w:pStyle w:val="22"/>
        <w:keepNext w:val="0"/>
        <w:keepLines w:val="0"/>
        <w:widowControl w:val="0"/>
        <w:numPr>
          <w:ilvl w:val="0"/>
          <w:numId w:val="0"/>
        </w:numPr>
        <w:shd w:val="clear" w:color="auto" w:fill="auto"/>
        <w:tabs>
          <w:tab w:val="left" w:pos="704"/>
        </w:tabs>
        <w:bidi w:val="0"/>
        <w:spacing w:before="0" w:after="0" w:line="410" w:lineRule="exact"/>
        <w:ind w:left="360" w:leftChars="0" w:right="0" w:rightChars="0"/>
        <w:jc w:val="left"/>
        <w:rPr>
          <w:color w:val="auto"/>
          <w:highlight w:val="none"/>
        </w:rPr>
      </w:pPr>
      <w:bookmarkStart w:id="113" w:name="bookmark55"/>
      <w:bookmarkEnd w:id="113"/>
      <w:r>
        <w:rPr>
          <w:rFonts w:hint="eastAsia"/>
          <w:color w:val="auto"/>
          <w:spacing w:val="0"/>
          <w:w w:val="100"/>
          <w:position w:val="0"/>
          <w:highlight w:val="none"/>
          <w:lang w:val="en-US" w:eastAsia="zh-CN"/>
        </w:rPr>
        <w:t>d</w:t>
      </w:r>
      <w:r>
        <w:rPr>
          <w:color w:val="auto"/>
          <w:spacing w:val="0"/>
          <w:w w:val="100"/>
          <w:position w:val="0"/>
          <w:highlight w:val="none"/>
        </w:rPr>
        <w:t>不同投标人的投标文件异常一致或者投标报价呈规律性差异；</w:t>
      </w:r>
    </w:p>
    <w:p>
      <w:pPr>
        <w:pStyle w:val="22"/>
        <w:keepNext w:val="0"/>
        <w:keepLines w:val="0"/>
        <w:widowControl w:val="0"/>
        <w:numPr>
          <w:ilvl w:val="0"/>
          <w:numId w:val="0"/>
        </w:numPr>
        <w:shd w:val="clear" w:color="auto" w:fill="auto"/>
        <w:tabs>
          <w:tab w:val="left" w:pos="704"/>
        </w:tabs>
        <w:bidi w:val="0"/>
        <w:spacing w:before="0" w:after="0" w:line="410" w:lineRule="exact"/>
        <w:ind w:left="360" w:leftChars="0" w:right="0" w:rightChars="0"/>
        <w:jc w:val="left"/>
        <w:rPr>
          <w:color w:val="auto"/>
          <w:highlight w:val="none"/>
        </w:rPr>
      </w:pPr>
      <w:bookmarkStart w:id="114" w:name="bookmark56"/>
      <w:bookmarkEnd w:id="114"/>
      <w:r>
        <w:rPr>
          <w:rFonts w:hint="eastAsia"/>
          <w:color w:val="auto"/>
          <w:spacing w:val="0"/>
          <w:w w:val="100"/>
          <w:position w:val="0"/>
          <w:highlight w:val="none"/>
          <w:lang w:val="en-US" w:eastAsia="zh-CN"/>
        </w:rPr>
        <w:t>e</w:t>
      </w:r>
      <w:r>
        <w:rPr>
          <w:color w:val="auto"/>
          <w:spacing w:val="0"/>
          <w:w w:val="100"/>
          <w:position w:val="0"/>
          <w:highlight w:val="none"/>
        </w:rPr>
        <w:t>不同投标人的投标文件相互混装;</w:t>
      </w:r>
    </w:p>
    <w:p>
      <w:pPr>
        <w:pStyle w:val="22"/>
        <w:keepNext w:val="0"/>
        <w:keepLines w:val="0"/>
        <w:widowControl w:val="0"/>
        <w:numPr>
          <w:ilvl w:val="0"/>
          <w:numId w:val="0"/>
        </w:numPr>
        <w:shd w:val="clear" w:color="auto" w:fill="auto"/>
        <w:tabs>
          <w:tab w:val="left" w:pos="704"/>
        </w:tabs>
        <w:bidi w:val="0"/>
        <w:spacing w:before="0" w:after="0" w:line="410" w:lineRule="exact"/>
        <w:ind w:left="360" w:leftChars="0" w:right="0" w:rightChars="0"/>
        <w:jc w:val="left"/>
        <w:rPr>
          <w:color w:val="auto"/>
          <w:highlight w:val="none"/>
        </w:rPr>
      </w:pPr>
      <w:bookmarkStart w:id="115" w:name="bookmark57"/>
      <w:bookmarkEnd w:id="115"/>
      <w:r>
        <w:rPr>
          <w:rFonts w:hint="eastAsia"/>
          <w:color w:val="auto"/>
          <w:spacing w:val="0"/>
          <w:w w:val="100"/>
          <w:position w:val="0"/>
          <w:highlight w:val="none"/>
          <w:lang w:val="en-US" w:eastAsia="zh-CN"/>
        </w:rPr>
        <w:t>f</w:t>
      </w:r>
      <w:r>
        <w:rPr>
          <w:color w:val="auto"/>
          <w:spacing w:val="0"/>
          <w:w w:val="100"/>
          <w:position w:val="0"/>
          <w:highlight w:val="none"/>
        </w:rPr>
        <w:t>不同投标人的投标保证金从同一单位或者个人的账户转出。</w:t>
      </w:r>
    </w:p>
    <w:p>
      <w:pPr>
        <w:pStyle w:val="22"/>
        <w:keepNext w:val="0"/>
        <w:keepLines w:val="0"/>
        <w:widowControl w:val="0"/>
        <w:numPr>
          <w:ilvl w:val="0"/>
          <w:numId w:val="6"/>
        </w:numPr>
        <w:shd w:val="clear" w:color="auto" w:fill="auto"/>
        <w:tabs>
          <w:tab w:val="left" w:pos="974"/>
        </w:tabs>
        <w:bidi w:val="0"/>
        <w:spacing w:before="0" w:after="0" w:line="410" w:lineRule="exact"/>
        <w:ind w:left="0" w:right="0" w:firstLine="500"/>
        <w:jc w:val="left"/>
        <w:rPr>
          <w:color w:val="auto"/>
          <w:highlight w:val="none"/>
        </w:rPr>
      </w:pPr>
      <w:bookmarkStart w:id="116" w:name="bookmark58"/>
      <w:bookmarkEnd w:id="116"/>
      <w:r>
        <w:rPr>
          <w:color w:val="auto"/>
          <w:spacing w:val="0"/>
          <w:w w:val="100"/>
          <w:position w:val="0"/>
          <w:highlight w:val="none"/>
        </w:rPr>
        <w:t>有下列情形之一的，属于招标人与投标人串通投标：</w:t>
      </w:r>
    </w:p>
    <w:p>
      <w:pPr>
        <w:pStyle w:val="22"/>
        <w:keepNext w:val="0"/>
        <w:keepLines w:val="0"/>
        <w:widowControl w:val="0"/>
        <w:numPr>
          <w:ilvl w:val="0"/>
          <w:numId w:val="7"/>
        </w:numPr>
        <w:shd w:val="clear" w:color="auto" w:fill="auto"/>
        <w:tabs>
          <w:tab w:val="left" w:pos="690"/>
        </w:tabs>
        <w:bidi w:val="0"/>
        <w:spacing w:before="0" w:after="0" w:line="410" w:lineRule="exact"/>
        <w:ind w:left="0" w:right="0" w:firstLine="360"/>
        <w:jc w:val="left"/>
        <w:rPr>
          <w:color w:val="auto"/>
          <w:highlight w:val="none"/>
        </w:rPr>
      </w:pPr>
      <w:bookmarkStart w:id="117" w:name="bookmark59"/>
      <w:bookmarkEnd w:id="117"/>
      <w:r>
        <w:rPr>
          <w:color w:val="auto"/>
          <w:spacing w:val="0"/>
          <w:w w:val="100"/>
          <w:position w:val="0"/>
          <w:highlight w:val="none"/>
        </w:rPr>
        <w:t>招标人在开标前开启投标文件并将有关信息泄露给其他投标人；</w:t>
      </w:r>
    </w:p>
    <w:p>
      <w:pPr>
        <w:pStyle w:val="22"/>
        <w:keepNext w:val="0"/>
        <w:keepLines w:val="0"/>
        <w:widowControl w:val="0"/>
        <w:numPr>
          <w:ilvl w:val="0"/>
          <w:numId w:val="7"/>
        </w:numPr>
        <w:shd w:val="clear" w:color="auto" w:fill="auto"/>
        <w:tabs>
          <w:tab w:val="left" w:pos="704"/>
        </w:tabs>
        <w:bidi w:val="0"/>
        <w:spacing w:before="0" w:after="0" w:line="410" w:lineRule="exact"/>
        <w:ind w:left="0" w:right="0" w:firstLine="360"/>
        <w:jc w:val="left"/>
        <w:rPr>
          <w:color w:val="auto"/>
          <w:highlight w:val="none"/>
        </w:rPr>
      </w:pPr>
      <w:bookmarkStart w:id="118" w:name="bookmark60"/>
      <w:bookmarkEnd w:id="118"/>
      <w:r>
        <w:rPr>
          <w:color w:val="auto"/>
          <w:spacing w:val="0"/>
          <w:w w:val="100"/>
          <w:position w:val="0"/>
          <w:highlight w:val="none"/>
        </w:rPr>
        <w:t>招标人直接或</w:t>
      </w:r>
      <w:r>
        <w:rPr>
          <w:color w:val="auto"/>
          <w:spacing w:val="0"/>
          <w:w w:val="100"/>
          <w:position w:val="0"/>
          <w:highlight w:val="none"/>
          <w:lang w:val="zh-CN" w:eastAsia="zh-CN" w:bidi="zh-CN"/>
        </w:rPr>
        <w:t>者间接</w:t>
      </w:r>
      <w:r>
        <w:rPr>
          <w:color w:val="auto"/>
          <w:spacing w:val="0"/>
          <w:w w:val="100"/>
          <w:position w:val="0"/>
          <w:highlight w:val="none"/>
        </w:rPr>
        <w:t>向投标人泄露标底、评标委员会成员等信息；</w:t>
      </w:r>
    </w:p>
    <w:p>
      <w:pPr>
        <w:pStyle w:val="22"/>
        <w:keepNext w:val="0"/>
        <w:keepLines w:val="0"/>
        <w:widowControl w:val="0"/>
        <w:numPr>
          <w:ilvl w:val="0"/>
          <w:numId w:val="7"/>
        </w:numPr>
        <w:shd w:val="clear" w:color="auto" w:fill="auto"/>
        <w:tabs>
          <w:tab w:val="left" w:pos="704"/>
        </w:tabs>
        <w:bidi w:val="0"/>
        <w:spacing w:before="0" w:after="0" w:line="410" w:lineRule="exact"/>
        <w:ind w:left="0" w:right="0" w:firstLine="360"/>
        <w:jc w:val="left"/>
        <w:rPr>
          <w:color w:val="auto"/>
          <w:highlight w:val="none"/>
        </w:rPr>
      </w:pPr>
      <w:bookmarkStart w:id="119" w:name="bookmark61"/>
      <w:bookmarkEnd w:id="119"/>
      <w:r>
        <w:rPr>
          <w:color w:val="auto"/>
          <w:spacing w:val="0"/>
          <w:w w:val="100"/>
          <w:position w:val="0"/>
          <w:highlight w:val="none"/>
        </w:rPr>
        <w:t>招标人明示或者暗示投标人圧低或者抬高投标报价；</w:t>
      </w:r>
    </w:p>
    <w:p>
      <w:pPr>
        <w:pStyle w:val="22"/>
        <w:keepNext w:val="0"/>
        <w:keepLines w:val="0"/>
        <w:widowControl w:val="0"/>
        <w:numPr>
          <w:ilvl w:val="0"/>
          <w:numId w:val="7"/>
        </w:numPr>
        <w:shd w:val="clear" w:color="auto" w:fill="auto"/>
        <w:tabs>
          <w:tab w:val="left" w:pos="704"/>
        </w:tabs>
        <w:bidi w:val="0"/>
        <w:spacing w:before="0" w:after="0" w:line="410" w:lineRule="exact"/>
        <w:ind w:left="0" w:right="0" w:firstLine="360"/>
        <w:jc w:val="left"/>
        <w:rPr>
          <w:color w:val="auto"/>
          <w:highlight w:val="none"/>
        </w:rPr>
      </w:pPr>
      <w:bookmarkStart w:id="120" w:name="bookmark62"/>
      <w:bookmarkEnd w:id="120"/>
      <w:r>
        <w:rPr>
          <w:color w:val="auto"/>
          <w:spacing w:val="0"/>
          <w:w w:val="100"/>
          <w:position w:val="0"/>
          <w:highlight w:val="none"/>
        </w:rPr>
        <w:t>招标人授意投标人撤换、修改投标文件；</w:t>
      </w:r>
    </w:p>
    <w:p>
      <w:pPr>
        <w:pStyle w:val="22"/>
        <w:keepNext w:val="0"/>
        <w:keepLines w:val="0"/>
        <w:widowControl w:val="0"/>
        <w:numPr>
          <w:ilvl w:val="0"/>
          <w:numId w:val="7"/>
        </w:numPr>
        <w:shd w:val="clear" w:color="auto" w:fill="auto"/>
        <w:tabs>
          <w:tab w:val="left" w:pos="704"/>
        </w:tabs>
        <w:bidi w:val="0"/>
        <w:spacing w:before="0" w:after="0" w:line="410" w:lineRule="exact"/>
        <w:ind w:left="0" w:right="0" w:firstLine="360"/>
        <w:jc w:val="left"/>
        <w:rPr>
          <w:color w:val="auto"/>
          <w:highlight w:val="none"/>
        </w:rPr>
      </w:pPr>
      <w:bookmarkStart w:id="121" w:name="bookmark63"/>
      <w:bookmarkEnd w:id="121"/>
      <w:r>
        <w:rPr>
          <w:color w:val="auto"/>
          <w:spacing w:val="0"/>
          <w:w w:val="100"/>
          <w:position w:val="0"/>
          <w:highlight w:val="none"/>
        </w:rPr>
        <w:t>招标人明示或者暗示投标人为特定投标人中标提供方便；</w:t>
      </w:r>
    </w:p>
    <w:p>
      <w:pPr>
        <w:pStyle w:val="22"/>
        <w:keepNext w:val="0"/>
        <w:keepLines w:val="0"/>
        <w:widowControl w:val="0"/>
        <w:numPr>
          <w:ilvl w:val="0"/>
          <w:numId w:val="7"/>
        </w:numPr>
        <w:shd w:val="clear" w:color="auto" w:fill="auto"/>
        <w:tabs>
          <w:tab w:val="left" w:pos="704"/>
        </w:tabs>
        <w:bidi w:val="0"/>
        <w:spacing w:before="0" w:after="0" w:line="410" w:lineRule="exact"/>
        <w:ind w:left="0" w:right="0" w:firstLine="360"/>
        <w:jc w:val="left"/>
        <w:rPr>
          <w:color w:val="auto"/>
          <w:highlight w:val="none"/>
        </w:rPr>
      </w:pPr>
      <w:bookmarkStart w:id="122" w:name="bookmark64"/>
      <w:bookmarkEnd w:id="122"/>
      <w:r>
        <w:rPr>
          <w:color w:val="auto"/>
          <w:spacing w:val="0"/>
          <w:w w:val="100"/>
          <w:position w:val="0"/>
          <w:highlight w:val="none"/>
        </w:rPr>
        <w:t>招标人与投标人为谋求特定投标人中标而采取的其他串通行为。</w:t>
      </w:r>
    </w:p>
    <w:p>
      <w:pPr>
        <w:pStyle w:val="22"/>
        <w:keepNext w:val="0"/>
        <w:keepLines w:val="0"/>
        <w:widowControl w:val="0"/>
        <w:numPr>
          <w:ilvl w:val="0"/>
          <w:numId w:val="6"/>
        </w:numPr>
        <w:shd w:val="clear" w:color="auto" w:fill="auto"/>
        <w:tabs>
          <w:tab w:val="left" w:pos="974"/>
        </w:tabs>
        <w:bidi w:val="0"/>
        <w:spacing w:before="0" w:after="0" w:line="410" w:lineRule="exact"/>
        <w:ind w:left="0" w:right="0" w:firstLine="500"/>
        <w:jc w:val="left"/>
        <w:rPr>
          <w:color w:val="auto"/>
          <w:highlight w:val="none"/>
        </w:rPr>
      </w:pPr>
      <w:bookmarkStart w:id="123" w:name="bookmark65"/>
      <w:bookmarkEnd w:id="123"/>
      <w:r>
        <w:rPr>
          <w:color w:val="auto"/>
          <w:spacing w:val="0"/>
          <w:w w:val="100"/>
          <w:position w:val="0"/>
          <w:highlight w:val="none"/>
        </w:rPr>
        <w:t>投标人有下列情形之一的，属于弄虚作假的</w:t>
      </w:r>
      <w:r>
        <w:rPr>
          <w:rFonts w:hint="eastAsia"/>
          <w:color w:val="auto"/>
          <w:spacing w:val="0"/>
          <w:w w:val="100"/>
          <w:position w:val="0"/>
          <w:highlight w:val="none"/>
          <w:lang w:eastAsia="zh-CN"/>
        </w:rPr>
        <w:t>行</w:t>
      </w:r>
      <w:r>
        <w:rPr>
          <w:color w:val="auto"/>
          <w:spacing w:val="0"/>
          <w:w w:val="100"/>
          <w:position w:val="0"/>
          <w:highlight w:val="none"/>
        </w:rPr>
        <w:t>为：</w:t>
      </w:r>
    </w:p>
    <w:p>
      <w:pPr>
        <w:pStyle w:val="22"/>
        <w:keepNext w:val="0"/>
        <w:keepLines w:val="0"/>
        <w:widowControl w:val="0"/>
        <w:numPr>
          <w:ilvl w:val="0"/>
          <w:numId w:val="8"/>
        </w:numPr>
        <w:shd w:val="clear" w:color="auto" w:fill="auto"/>
        <w:tabs>
          <w:tab w:val="left" w:pos="690"/>
        </w:tabs>
        <w:bidi w:val="0"/>
        <w:spacing w:before="0" w:after="180" w:line="410" w:lineRule="exact"/>
        <w:ind w:left="0" w:right="0" w:firstLine="360"/>
        <w:jc w:val="left"/>
        <w:rPr>
          <w:color w:val="auto"/>
          <w:highlight w:val="none"/>
        </w:rPr>
      </w:pPr>
      <w:bookmarkStart w:id="124" w:name="bookmark66"/>
      <w:bookmarkEnd w:id="124"/>
      <w:r>
        <w:rPr>
          <w:rFonts w:hint="eastAsia" w:ascii="Times New Roman" w:hAnsi="Times New Roman" w:eastAsia="宋体" w:cs="Times New Roman"/>
          <w:color w:val="auto"/>
          <w:spacing w:val="0"/>
          <w:w w:val="100"/>
          <w:position w:val="0"/>
          <w:sz w:val="19"/>
          <w:szCs w:val="19"/>
          <w:highlight w:val="none"/>
          <w:lang w:eastAsia="zh-CN"/>
        </w:rPr>
        <w:t>使</w:t>
      </w:r>
      <w:r>
        <w:rPr>
          <w:color w:val="auto"/>
          <w:spacing w:val="0"/>
          <w:w w:val="100"/>
          <w:position w:val="0"/>
          <w:highlight w:val="none"/>
        </w:rPr>
        <w:t>用通过受让或者租借等方式获取的资格、资质证书投标；</w:t>
      </w:r>
    </w:p>
    <w:p>
      <w:pPr>
        <w:pStyle w:val="22"/>
        <w:keepNext w:val="0"/>
        <w:keepLines w:val="0"/>
        <w:widowControl w:val="0"/>
        <w:numPr>
          <w:ilvl w:val="0"/>
          <w:numId w:val="8"/>
        </w:numPr>
        <w:shd w:val="clear" w:color="auto" w:fill="auto"/>
        <w:tabs>
          <w:tab w:val="left" w:pos="704"/>
        </w:tabs>
        <w:bidi w:val="0"/>
        <w:spacing w:before="0" w:after="0" w:line="451" w:lineRule="auto"/>
        <w:ind w:left="0" w:right="0" w:firstLine="360"/>
        <w:jc w:val="left"/>
        <w:rPr>
          <w:color w:val="auto"/>
          <w:highlight w:val="none"/>
        </w:rPr>
      </w:pPr>
      <w:bookmarkStart w:id="125" w:name="bookmark67"/>
      <w:bookmarkEnd w:id="125"/>
      <w:r>
        <w:rPr>
          <w:rFonts w:hint="eastAsia" w:ascii="Times New Roman" w:hAnsi="Times New Roman" w:eastAsia="Times New Roman" w:cs="Times New Roman"/>
          <w:color w:val="auto"/>
          <w:spacing w:val="0"/>
          <w:w w:val="100"/>
          <w:position w:val="0"/>
          <w:sz w:val="19"/>
          <w:szCs w:val="19"/>
          <w:highlight w:val="none"/>
          <w:lang w:eastAsia="zh-CN"/>
        </w:rPr>
        <w:t>使</w:t>
      </w:r>
      <w:r>
        <w:rPr>
          <w:color w:val="auto"/>
          <w:spacing w:val="0"/>
          <w:w w:val="100"/>
          <w:position w:val="0"/>
          <w:highlight w:val="none"/>
        </w:rPr>
        <w:t>用伪造、变造的许可证件；</w:t>
      </w:r>
    </w:p>
    <w:p>
      <w:pPr>
        <w:pStyle w:val="22"/>
        <w:keepNext w:val="0"/>
        <w:keepLines w:val="0"/>
        <w:widowControl w:val="0"/>
        <w:numPr>
          <w:ilvl w:val="0"/>
          <w:numId w:val="8"/>
        </w:numPr>
        <w:shd w:val="clear" w:color="auto" w:fill="auto"/>
        <w:tabs>
          <w:tab w:val="left" w:pos="704"/>
        </w:tabs>
        <w:bidi w:val="0"/>
        <w:spacing w:before="0" w:after="0" w:line="410" w:lineRule="exact"/>
        <w:ind w:left="0" w:right="0" w:firstLine="360"/>
        <w:jc w:val="left"/>
        <w:rPr>
          <w:color w:val="auto"/>
          <w:highlight w:val="none"/>
        </w:rPr>
      </w:pPr>
      <w:bookmarkStart w:id="126" w:name="bookmark68"/>
      <w:bookmarkEnd w:id="126"/>
      <w:r>
        <w:rPr>
          <w:color w:val="auto"/>
          <w:spacing w:val="0"/>
          <w:w w:val="100"/>
          <w:position w:val="0"/>
          <w:highlight w:val="none"/>
        </w:rPr>
        <w:t>提供虚假的财务状况或者业绩；</w:t>
      </w:r>
    </w:p>
    <w:p>
      <w:pPr>
        <w:pStyle w:val="22"/>
        <w:keepNext w:val="0"/>
        <w:keepLines w:val="0"/>
        <w:widowControl w:val="0"/>
        <w:numPr>
          <w:ilvl w:val="0"/>
          <w:numId w:val="8"/>
        </w:numPr>
        <w:shd w:val="clear" w:color="auto" w:fill="auto"/>
        <w:tabs>
          <w:tab w:val="left" w:pos="704"/>
        </w:tabs>
        <w:bidi w:val="0"/>
        <w:spacing w:before="0" w:after="0" w:line="410" w:lineRule="exact"/>
        <w:ind w:left="0" w:right="0" w:firstLine="360"/>
        <w:jc w:val="left"/>
        <w:rPr>
          <w:color w:val="auto"/>
          <w:highlight w:val="none"/>
        </w:rPr>
      </w:pPr>
      <w:bookmarkStart w:id="127" w:name="bookmark69"/>
      <w:bookmarkEnd w:id="127"/>
      <w:r>
        <w:rPr>
          <w:color w:val="auto"/>
          <w:spacing w:val="0"/>
          <w:w w:val="100"/>
          <w:position w:val="0"/>
          <w:highlight w:val="none"/>
        </w:rPr>
        <w:t>提供虚假的项目负责人或者主要技术人员简历、劳动关系证明；</w:t>
      </w:r>
    </w:p>
    <w:p>
      <w:pPr>
        <w:pStyle w:val="22"/>
        <w:keepNext w:val="0"/>
        <w:keepLines w:val="0"/>
        <w:widowControl w:val="0"/>
        <w:numPr>
          <w:ilvl w:val="0"/>
          <w:numId w:val="8"/>
        </w:numPr>
        <w:shd w:val="clear" w:color="auto" w:fill="auto"/>
        <w:tabs>
          <w:tab w:val="left" w:pos="704"/>
        </w:tabs>
        <w:bidi w:val="0"/>
        <w:spacing w:before="0" w:after="0" w:line="410" w:lineRule="exact"/>
        <w:ind w:left="0" w:right="0" w:firstLine="360"/>
        <w:jc w:val="left"/>
        <w:rPr>
          <w:color w:val="auto"/>
          <w:highlight w:val="none"/>
        </w:rPr>
      </w:pPr>
      <w:bookmarkStart w:id="128" w:name="bookmark70"/>
      <w:bookmarkEnd w:id="128"/>
      <w:r>
        <w:rPr>
          <w:color w:val="auto"/>
          <w:spacing w:val="0"/>
          <w:w w:val="100"/>
          <w:position w:val="0"/>
          <w:highlight w:val="none"/>
        </w:rPr>
        <w:t>提供虚假的信用状况；</w:t>
      </w:r>
    </w:p>
    <w:p>
      <w:pPr>
        <w:pStyle w:val="22"/>
        <w:keepNext w:val="0"/>
        <w:keepLines w:val="0"/>
        <w:widowControl w:val="0"/>
        <w:numPr>
          <w:ilvl w:val="0"/>
          <w:numId w:val="8"/>
        </w:numPr>
        <w:shd w:val="clear" w:color="auto" w:fill="auto"/>
        <w:tabs>
          <w:tab w:val="left" w:pos="704"/>
        </w:tabs>
        <w:bidi w:val="0"/>
        <w:spacing w:before="0" w:after="180" w:line="410" w:lineRule="exact"/>
        <w:ind w:left="0" w:right="0" w:firstLine="360"/>
        <w:jc w:val="left"/>
        <w:rPr>
          <w:color w:val="auto"/>
          <w:highlight w:val="none"/>
        </w:rPr>
      </w:pPr>
      <w:bookmarkStart w:id="129" w:name="bookmark71"/>
      <w:bookmarkEnd w:id="129"/>
      <w:r>
        <w:rPr>
          <w:color w:val="auto"/>
          <w:spacing w:val="0"/>
          <w:w w:val="100"/>
          <w:position w:val="0"/>
          <w:highlight w:val="none"/>
        </w:rPr>
        <w:t>其他弄虚作假的彳亍为。</w:t>
      </w: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130" w:name="bookmark72"/>
      <w:bookmarkStart w:id="131" w:name="bookmark74"/>
      <w:bookmarkStart w:id="132" w:name="bookmark73"/>
      <w:r>
        <w:rPr>
          <w:rFonts w:ascii="Times New Roman" w:hAnsi="Times New Roman" w:eastAsia="Times New Roman" w:cs="Times New Roman"/>
          <w:b/>
          <w:bCs/>
          <w:color w:val="auto"/>
          <w:spacing w:val="0"/>
          <w:w w:val="100"/>
          <w:position w:val="0"/>
          <w:sz w:val="22"/>
          <w:szCs w:val="22"/>
          <w:highlight w:val="none"/>
          <w:lang w:val="en-US" w:eastAsia="en-US" w:bidi="en-US"/>
        </w:rPr>
        <w:t>3.6</w:t>
      </w:r>
      <w:r>
        <w:rPr>
          <w:color w:val="auto"/>
          <w:spacing w:val="0"/>
          <w:w w:val="100"/>
          <w:position w:val="0"/>
          <w:sz w:val="24"/>
          <w:szCs w:val="24"/>
          <w:highlight w:val="none"/>
        </w:rPr>
        <w:t>投标文件的澄清和说明</w:t>
      </w:r>
      <w:bookmarkEnd w:id="130"/>
      <w:bookmarkEnd w:id="131"/>
      <w:bookmarkEnd w:id="132"/>
    </w:p>
    <w:p>
      <w:pPr>
        <w:pStyle w:val="22"/>
        <w:keepNext w:val="0"/>
        <w:keepLines w:val="0"/>
        <w:widowControl w:val="0"/>
        <w:shd w:val="clear" w:color="auto" w:fill="auto"/>
        <w:bidi w:val="0"/>
        <w:spacing w:before="0" w:after="0" w:line="410" w:lineRule="exact"/>
        <w:ind w:left="0" w:right="0" w:firstLine="44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3. 6. </w:t>
      </w:r>
      <w:r>
        <w:rPr>
          <w:rFonts w:ascii="Times New Roman" w:hAnsi="Times New Roman" w:eastAsia="Times New Roman" w:cs="Times New Roman"/>
          <w:color w:val="auto"/>
          <w:spacing w:val="0"/>
          <w:w w:val="100"/>
          <w:position w:val="0"/>
          <w:sz w:val="19"/>
          <w:szCs w:val="19"/>
          <w:highlight w:val="none"/>
        </w:rPr>
        <w:t>1</w:t>
      </w:r>
      <w:r>
        <w:rPr>
          <w:color w:val="auto"/>
          <w:spacing w:val="0"/>
          <w:w w:val="100"/>
          <w:position w:val="0"/>
          <w:highlight w:val="none"/>
        </w:rPr>
        <w:t>在评标过程中，评标委员会可以书面形式要求投标人对投标文件中含义不明确的内容、明显文字或者计算错误进行书面澄清或说明。评标委员会不接受投标人主动提出的澄清、说明。投标人不按评标委员会要求澄清或说明的，评标委员会应否决其投标。</w:t>
      </w:r>
    </w:p>
    <w:p>
      <w:pPr>
        <w:pStyle w:val="22"/>
        <w:keepNext w:val="0"/>
        <w:keepLines w:val="0"/>
        <w:widowControl w:val="0"/>
        <w:shd w:val="clear" w:color="auto" w:fill="auto"/>
        <w:bidi w:val="0"/>
        <w:spacing w:before="0" w:after="0" w:line="410" w:lineRule="exact"/>
        <w:ind w:left="0" w:right="0" w:firstLine="44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3. 6. </w:t>
      </w:r>
      <w:r>
        <w:rPr>
          <w:rFonts w:ascii="Times New Roman" w:hAnsi="Times New Roman" w:eastAsia="Times New Roman" w:cs="Times New Roman"/>
          <w:color w:val="auto"/>
          <w:spacing w:val="0"/>
          <w:w w:val="100"/>
          <w:position w:val="0"/>
          <w:sz w:val="19"/>
          <w:szCs w:val="19"/>
          <w:highlight w:val="none"/>
        </w:rPr>
        <w:t>2</w:t>
      </w:r>
      <w:r>
        <w:rPr>
          <w:color w:val="auto"/>
          <w:spacing w:val="0"/>
          <w:w w:val="100"/>
          <w:position w:val="0"/>
          <w:highlight w:val="none"/>
        </w:rPr>
        <w:t>澄清和说明不得超出投标文件的范围或改变投标文件的实质性内容(算术性错误修正除</w:t>
      </w:r>
      <w:r>
        <w:rPr>
          <w:rFonts w:hint="eastAsia"/>
          <w:color w:val="auto"/>
          <w:spacing w:val="0"/>
          <w:w w:val="100"/>
          <w:position w:val="0"/>
          <w:highlight w:val="none"/>
          <w:lang w:eastAsia="zh-CN"/>
        </w:rPr>
        <w:t>外</w:t>
      </w:r>
      <w:r>
        <w:rPr>
          <w:color w:val="auto"/>
          <w:spacing w:val="0"/>
          <w:w w:val="100"/>
          <w:position w:val="0"/>
          <w:highlight w:val="none"/>
        </w:rPr>
        <w:t>)。 投标人的书面澄清、说明属于投标文件的组成部分。</w:t>
      </w:r>
    </w:p>
    <w:p>
      <w:pPr>
        <w:pStyle w:val="22"/>
        <w:keepNext w:val="0"/>
        <w:keepLines w:val="0"/>
        <w:widowControl w:val="0"/>
        <w:shd w:val="clear" w:color="auto" w:fill="auto"/>
        <w:bidi w:val="0"/>
        <w:spacing w:before="0" w:after="0" w:line="410" w:lineRule="exact"/>
        <w:ind w:left="0" w:right="0" w:firstLine="44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3. 6. </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评标委员会不得暗示或诱导投标人作出澄清、说明，对投标人提交的澄清、说明有疑问的， 可以要求投标人进一步澄清或说明，直至满足评标委员会的要求。</w:t>
      </w:r>
    </w:p>
    <w:p>
      <w:pPr>
        <w:pStyle w:val="22"/>
        <w:keepNext w:val="0"/>
        <w:keepLines w:val="0"/>
        <w:widowControl w:val="0"/>
        <w:shd w:val="clear" w:color="auto" w:fill="auto"/>
        <w:bidi w:val="0"/>
        <w:spacing w:before="0" w:after="180" w:line="410" w:lineRule="exact"/>
        <w:ind w:left="0" w:right="0" w:firstLine="44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3. 6. </w:t>
      </w:r>
      <w:r>
        <w:rPr>
          <w:rFonts w:ascii="Times New Roman" w:hAnsi="Times New Roman" w:eastAsia="Times New Roman" w:cs="Times New Roman"/>
          <w:color w:val="auto"/>
          <w:spacing w:val="0"/>
          <w:w w:val="100"/>
          <w:position w:val="0"/>
          <w:sz w:val="19"/>
          <w:szCs w:val="19"/>
          <w:highlight w:val="none"/>
        </w:rPr>
        <w:t>4</w:t>
      </w:r>
      <w:r>
        <w:rPr>
          <w:color w:val="auto"/>
          <w:spacing w:val="0"/>
          <w:w w:val="100"/>
          <w:position w:val="0"/>
          <w:highlight w:val="none"/>
        </w:rPr>
        <w:t>凡超出招标文件规定的或纟合发包人带来未曾要求的利益的变化、偏姜或其他因素在评标时不 予考虑。</w:t>
      </w:r>
    </w:p>
    <w:p>
      <w:pPr>
        <w:pStyle w:val="19"/>
        <w:keepNext/>
        <w:keepLines/>
        <w:widowControl w:val="0"/>
        <w:shd w:val="clear" w:color="auto" w:fill="auto"/>
        <w:bidi w:val="0"/>
        <w:spacing w:before="0" w:after="0" w:line="240" w:lineRule="auto"/>
        <w:ind w:left="0" w:right="0" w:firstLine="0"/>
        <w:jc w:val="left"/>
        <w:rPr>
          <w:color w:val="auto"/>
          <w:sz w:val="24"/>
          <w:szCs w:val="24"/>
          <w:highlight w:val="none"/>
        </w:rPr>
      </w:pPr>
      <w:bookmarkStart w:id="133" w:name="bookmark76"/>
      <w:bookmarkStart w:id="134" w:name="bookmark75"/>
      <w:bookmarkStart w:id="135" w:name="bookmark77"/>
      <w:r>
        <w:rPr>
          <w:rFonts w:ascii="Times New Roman" w:hAnsi="Times New Roman" w:eastAsia="Times New Roman" w:cs="Times New Roman"/>
          <w:b/>
          <w:bCs/>
          <w:color w:val="auto"/>
          <w:spacing w:val="0"/>
          <w:w w:val="100"/>
          <w:position w:val="0"/>
          <w:sz w:val="22"/>
          <w:szCs w:val="22"/>
          <w:highlight w:val="none"/>
          <w:lang w:val="en-US" w:eastAsia="en-US" w:bidi="en-US"/>
        </w:rPr>
        <w:t>3.7</w:t>
      </w:r>
      <w:r>
        <w:rPr>
          <w:color w:val="auto"/>
          <w:spacing w:val="0"/>
          <w:w w:val="100"/>
          <w:position w:val="0"/>
          <w:sz w:val="24"/>
          <w:szCs w:val="24"/>
          <w:highlight w:val="none"/>
        </w:rPr>
        <w:t>不得否决投标的情形</w:t>
      </w:r>
      <w:bookmarkEnd w:id="133"/>
      <w:bookmarkEnd w:id="134"/>
      <w:bookmarkEnd w:id="135"/>
    </w:p>
    <w:p>
      <w:pPr>
        <w:pStyle w:val="22"/>
        <w:keepNext w:val="0"/>
        <w:keepLines w:val="0"/>
        <w:widowControl w:val="0"/>
        <w:shd w:val="clear" w:color="auto" w:fill="auto"/>
        <w:bidi w:val="0"/>
        <w:spacing w:before="0" w:after="180" w:line="396" w:lineRule="exact"/>
        <w:ind w:left="0" w:right="0" w:firstLine="380"/>
        <w:jc w:val="left"/>
        <w:rPr>
          <w:color w:val="auto"/>
          <w:highlight w:val="none"/>
        </w:rPr>
      </w:pPr>
      <w:r>
        <w:rPr>
          <w:color w:val="auto"/>
          <w:spacing w:val="0"/>
          <w:w w:val="100"/>
          <w:position w:val="0"/>
          <w:highlight w:val="none"/>
        </w:rPr>
        <w:t>投标文件存在</w:t>
      </w:r>
      <w:r>
        <w:rPr>
          <w:color w:val="auto"/>
          <w:spacing w:val="0"/>
          <w:w w:val="100"/>
          <w:position w:val="0"/>
          <w:highlight w:val="none"/>
          <w:lang w:val="zh-CN" w:eastAsia="zh-CN" w:bidi="zh-CN"/>
        </w:rPr>
        <w:t>第二章“投</w:t>
      </w:r>
      <w:r>
        <w:rPr>
          <w:color w:val="auto"/>
          <w:spacing w:val="0"/>
          <w:w w:val="100"/>
          <w:position w:val="0"/>
          <w:highlight w:val="none"/>
        </w:rPr>
        <w:t>标人须知"第</w:t>
      </w:r>
      <w:r>
        <w:rPr>
          <w:rFonts w:ascii="Times New Roman" w:hAnsi="Times New Roman" w:eastAsia="Times New Roman" w:cs="Times New Roman"/>
          <w:color w:val="auto"/>
          <w:spacing w:val="0"/>
          <w:w w:val="100"/>
          <w:position w:val="0"/>
          <w:sz w:val="19"/>
          <w:szCs w:val="19"/>
          <w:highlight w:val="none"/>
          <w:lang w:val="en-US" w:eastAsia="en-US" w:bidi="en-US"/>
        </w:rPr>
        <w:t xml:space="preserve">1.12. </w:t>
      </w:r>
      <w:r>
        <w:rPr>
          <w:rFonts w:ascii="Times New Roman" w:hAnsi="Times New Roman" w:eastAsia="Times New Roman" w:cs="Times New Roman"/>
          <w:color w:val="auto"/>
          <w:spacing w:val="0"/>
          <w:w w:val="100"/>
          <w:position w:val="0"/>
          <w:sz w:val="19"/>
          <w:szCs w:val="19"/>
          <w:highlight w:val="none"/>
        </w:rPr>
        <w:t>3</w:t>
      </w:r>
      <w:r>
        <w:rPr>
          <w:color w:val="auto"/>
          <w:spacing w:val="0"/>
          <w:w w:val="100"/>
          <w:position w:val="0"/>
          <w:highlight w:val="none"/>
        </w:rPr>
        <w:t>项所列情形的，均视为细微偏差，评标委员会不得否 决投标人的投标，应按照第二章“投标人</w:t>
      </w:r>
      <w:r>
        <w:rPr>
          <w:color w:val="auto"/>
          <w:spacing w:val="0"/>
          <w:w w:val="100"/>
          <w:position w:val="0"/>
          <w:highlight w:val="none"/>
          <w:lang w:val="zh-CN" w:eastAsia="zh-CN" w:bidi="zh-CN"/>
        </w:rPr>
        <w:t>须知”</w:t>
      </w:r>
      <w:r>
        <w:rPr>
          <w:color w:val="auto"/>
          <w:spacing w:val="0"/>
          <w:w w:val="100"/>
          <w:position w:val="0"/>
          <w:highlight w:val="none"/>
        </w:rPr>
        <w:t>第</w:t>
      </w:r>
      <w:r>
        <w:rPr>
          <w:rFonts w:ascii="Times New Roman" w:hAnsi="Times New Roman" w:eastAsia="Times New Roman" w:cs="Times New Roman"/>
          <w:color w:val="auto"/>
          <w:spacing w:val="0"/>
          <w:w w:val="100"/>
          <w:position w:val="0"/>
          <w:sz w:val="19"/>
          <w:szCs w:val="19"/>
          <w:highlight w:val="none"/>
          <w:lang w:val="en-US" w:eastAsia="en-US" w:bidi="en-US"/>
        </w:rPr>
        <w:t xml:space="preserve">1. 12. </w:t>
      </w:r>
      <w:r>
        <w:rPr>
          <w:rFonts w:ascii="Times New Roman" w:hAnsi="Times New Roman" w:eastAsia="Times New Roman" w:cs="Times New Roman"/>
          <w:color w:val="auto"/>
          <w:spacing w:val="0"/>
          <w:w w:val="100"/>
          <w:position w:val="0"/>
          <w:sz w:val="19"/>
          <w:szCs w:val="19"/>
          <w:highlight w:val="none"/>
        </w:rPr>
        <w:t>4</w:t>
      </w:r>
      <w:r>
        <w:rPr>
          <w:color w:val="auto"/>
          <w:spacing w:val="0"/>
          <w:w w:val="100"/>
          <w:position w:val="0"/>
          <w:highlight w:val="none"/>
        </w:rPr>
        <w:t>项规定的原则处理。</w:t>
      </w:r>
    </w:p>
    <w:p>
      <w:pPr>
        <w:pStyle w:val="19"/>
        <w:keepNext/>
        <w:keepLines/>
        <w:widowControl w:val="0"/>
        <w:shd w:val="clear" w:color="auto" w:fill="auto"/>
        <w:bidi w:val="0"/>
        <w:spacing w:before="0" w:after="0" w:line="240" w:lineRule="auto"/>
        <w:ind w:left="0" w:right="0" w:firstLine="0"/>
        <w:jc w:val="left"/>
        <w:rPr>
          <w:color w:val="auto"/>
          <w:highlight w:val="none"/>
        </w:rPr>
      </w:pPr>
      <w:bookmarkStart w:id="136" w:name="bookmark78"/>
      <w:bookmarkStart w:id="137" w:name="bookmark80"/>
      <w:bookmarkStart w:id="138" w:name="bookmark79"/>
      <w:r>
        <w:rPr>
          <w:color w:val="auto"/>
          <w:spacing w:val="0"/>
          <w:w w:val="100"/>
          <w:position w:val="0"/>
          <w:sz w:val="20"/>
          <w:szCs w:val="20"/>
          <w:highlight w:val="none"/>
          <w:lang w:val="en-US" w:eastAsia="en-US" w:bidi="en-US"/>
        </w:rPr>
        <w:t>3.8</w:t>
      </w:r>
      <w:r>
        <w:rPr>
          <w:color w:val="auto"/>
          <w:spacing w:val="0"/>
          <w:w w:val="100"/>
          <w:position w:val="0"/>
          <w:highlight w:val="none"/>
        </w:rPr>
        <w:t>评标结果</w:t>
      </w:r>
      <w:bookmarkEnd w:id="136"/>
      <w:bookmarkEnd w:id="137"/>
      <w:bookmarkEnd w:id="138"/>
    </w:p>
    <w:p>
      <w:pPr>
        <w:pStyle w:val="22"/>
        <w:keepNext w:val="0"/>
        <w:keepLines w:val="0"/>
        <w:widowControl w:val="0"/>
        <w:shd w:val="clear" w:color="auto" w:fill="auto"/>
        <w:bidi w:val="0"/>
        <w:spacing w:before="0" w:after="200" w:line="240" w:lineRule="auto"/>
        <w:ind w:left="0" w:right="0" w:firstLine="420"/>
        <w:jc w:val="left"/>
        <w:rPr>
          <w:color w:val="auto"/>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3. 8. </w:t>
      </w:r>
      <w:r>
        <w:rPr>
          <w:rFonts w:ascii="Times New Roman" w:hAnsi="Times New Roman" w:eastAsia="Times New Roman" w:cs="Times New Roman"/>
          <w:color w:val="auto"/>
          <w:spacing w:val="0"/>
          <w:w w:val="100"/>
          <w:position w:val="0"/>
          <w:sz w:val="19"/>
          <w:szCs w:val="19"/>
          <w:highlight w:val="none"/>
          <w:lang w:val="zh-CN" w:eastAsia="zh-CN" w:bidi="zh-CN"/>
        </w:rPr>
        <w:t>1</w:t>
      </w:r>
      <w:r>
        <w:rPr>
          <w:color w:val="auto"/>
          <w:spacing w:val="0"/>
          <w:w w:val="100"/>
          <w:position w:val="0"/>
          <w:highlight w:val="none"/>
        </w:rPr>
        <w:t>除第二章</w:t>
      </w:r>
      <w:r>
        <w:rPr>
          <w:color w:val="auto"/>
          <w:spacing w:val="0"/>
          <w:w w:val="100"/>
          <w:position w:val="0"/>
          <w:highlight w:val="none"/>
          <w:lang w:val="zh-CN" w:eastAsia="zh-CN" w:bidi="zh-CN"/>
        </w:rPr>
        <w:t>“投标</w:t>
      </w:r>
      <w:r>
        <w:rPr>
          <w:color w:val="auto"/>
          <w:spacing w:val="0"/>
          <w:w w:val="100"/>
          <w:position w:val="0"/>
          <w:highlight w:val="none"/>
        </w:rPr>
        <w:t>人须知</w:t>
      </w:r>
      <w:r>
        <w:rPr>
          <w:color w:val="auto"/>
          <w:spacing w:val="0"/>
          <w:w w:val="100"/>
          <w:position w:val="0"/>
          <w:highlight w:val="none"/>
          <w:lang w:val="en-US" w:eastAsia="en-US" w:bidi="en-US"/>
        </w:rPr>
        <w:t>"</w:t>
      </w:r>
      <w:r>
        <w:rPr>
          <w:color w:val="auto"/>
          <w:spacing w:val="0"/>
          <w:w w:val="100"/>
          <w:position w:val="0"/>
          <w:highlight w:val="none"/>
        </w:rPr>
        <w:t>前附表授权直接确定中标人</w:t>
      </w:r>
      <w:r>
        <w:rPr>
          <w:rFonts w:hint="eastAsia"/>
          <w:color w:val="auto"/>
          <w:spacing w:val="0"/>
          <w:w w:val="100"/>
          <w:position w:val="0"/>
          <w:highlight w:val="none"/>
          <w:lang w:eastAsia="zh-CN"/>
        </w:rPr>
        <w:t>外</w:t>
      </w:r>
      <w:r>
        <w:rPr>
          <w:color w:val="auto"/>
          <w:spacing w:val="0"/>
          <w:w w:val="100"/>
          <w:position w:val="0"/>
          <w:highlight w:val="none"/>
        </w:rPr>
        <w:t>，评标委员会按照得分由高到低的顺序推荐中标候选人，并标明 排序。</w:t>
      </w:r>
    </w:p>
    <w:p>
      <w:pPr>
        <w:pStyle w:val="22"/>
        <w:keepNext w:val="0"/>
        <w:keepLines w:val="0"/>
        <w:widowControl w:val="0"/>
        <w:shd w:val="clear" w:color="auto" w:fill="auto"/>
        <w:bidi w:val="0"/>
        <w:spacing w:before="0" w:after="200" w:line="240" w:lineRule="auto"/>
        <w:ind w:left="0" w:right="0" w:firstLine="420"/>
        <w:jc w:val="left"/>
        <w:rPr>
          <w:color w:val="auto"/>
          <w:spacing w:val="0"/>
          <w:w w:val="100"/>
          <w:position w:val="0"/>
          <w:highlight w:val="none"/>
        </w:rPr>
      </w:pPr>
      <w:r>
        <w:rPr>
          <w:rFonts w:ascii="Times New Roman" w:hAnsi="Times New Roman" w:eastAsia="Times New Roman" w:cs="Times New Roman"/>
          <w:color w:val="auto"/>
          <w:spacing w:val="0"/>
          <w:w w:val="100"/>
          <w:position w:val="0"/>
          <w:sz w:val="19"/>
          <w:szCs w:val="19"/>
          <w:highlight w:val="none"/>
          <w:lang w:val="en-US" w:eastAsia="en-US" w:bidi="en-US"/>
        </w:rPr>
        <w:t xml:space="preserve">3. 8. </w:t>
      </w:r>
      <w:r>
        <w:rPr>
          <w:rFonts w:ascii="Times New Roman" w:hAnsi="Times New Roman" w:eastAsia="Times New Roman" w:cs="Times New Roman"/>
          <w:color w:val="auto"/>
          <w:spacing w:val="0"/>
          <w:w w:val="100"/>
          <w:position w:val="0"/>
          <w:sz w:val="19"/>
          <w:szCs w:val="19"/>
          <w:highlight w:val="none"/>
        </w:rPr>
        <w:t xml:space="preserve">2 </w:t>
      </w:r>
      <w:r>
        <w:rPr>
          <w:color w:val="auto"/>
          <w:spacing w:val="0"/>
          <w:w w:val="100"/>
          <w:position w:val="0"/>
          <w:highlight w:val="none"/>
        </w:rPr>
        <w:t>评标委员会完成评标后，应向招标人提交书面评标报告。</w:t>
      </w:r>
    </w:p>
    <w:p>
      <w:pPr>
        <w:pStyle w:val="22"/>
        <w:keepNext w:val="0"/>
        <w:keepLines w:val="0"/>
        <w:widowControl w:val="0"/>
        <w:shd w:val="clear" w:color="auto" w:fill="auto"/>
        <w:bidi w:val="0"/>
        <w:spacing w:before="0" w:after="200" w:line="240" w:lineRule="auto"/>
        <w:ind w:left="0" w:right="0" w:firstLine="420"/>
        <w:jc w:val="left"/>
        <w:rPr>
          <w:color w:val="auto"/>
          <w:spacing w:val="0"/>
          <w:w w:val="100"/>
          <w:position w:val="0"/>
          <w:highlight w:val="none"/>
        </w:rPr>
      </w:pPr>
    </w:p>
    <w:p>
      <w:pPr>
        <w:pStyle w:val="22"/>
        <w:keepNext w:val="0"/>
        <w:keepLines w:val="0"/>
        <w:widowControl w:val="0"/>
        <w:shd w:val="clear" w:color="auto" w:fill="auto"/>
        <w:bidi w:val="0"/>
        <w:spacing w:before="0" w:after="200" w:line="240" w:lineRule="auto"/>
        <w:ind w:left="0" w:right="0" w:firstLine="420"/>
        <w:jc w:val="left"/>
        <w:rPr>
          <w:color w:val="auto"/>
          <w:spacing w:val="0"/>
          <w:w w:val="100"/>
          <w:position w:val="0"/>
          <w:highlight w:val="none"/>
        </w:rPr>
      </w:pPr>
    </w:p>
    <w:p>
      <w:pPr>
        <w:pStyle w:val="15"/>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jc w:val="both"/>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四、招标人联系方式</w:t>
      </w:r>
    </w:p>
    <w:p>
      <w:pPr>
        <w:pStyle w:val="9"/>
        <w:spacing w:line="360" w:lineRule="auto"/>
        <w:rPr>
          <w:rFonts w:hint="eastAsia" w:cs="宋体"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w:t>
      </w:r>
      <w:r>
        <w:rPr>
          <w:rFonts w:hint="eastAsia" w:cs="宋体" w:asciiTheme="minorEastAsia" w:hAnsiTheme="minorEastAsia" w:eastAsiaTheme="minorEastAsia"/>
          <w:sz w:val="21"/>
          <w:szCs w:val="21"/>
        </w:rPr>
        <w:t>宁夏交投工程建设管理有限公司</w:t>
      </w:r>
    </w:p>
    <w:p>
      <w:pPr>
        <w:pStyle w:val="9"/>
        <w:spacing w:line="360" w:lineRule="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地    址：宁夏银川市北京中路175号</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 xml:space="preserve">  </w:t>
      </w:r>
    </w:p>
    <w:p>
      <w:pPr>
        <w:pStyle w:val="9"/>
        <w:spacing w:line="360" w:lineRule="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邮政编码：75</w:t>
      </w:r>
      <w:r>
        <w:rPr>
          <w:rFonts w:hint="eastAsia" w:cs="宋体" w:asciiTheme="minorEastAsia" w:hAnsiTheme="minorEastAsia" w:eastAsiaTheme="minorEastAsia"/>
          <w:sz w:val="21"/>
          <w:szCs w:val="21"/>
          <w:lang w:val="en-US" w:eastAsia="zh-CN"/>
        </w:rPr>
        <w:t xml:space="preserve">0000  </w:t>
      </w:r>
      <w:r>
        <w:rPr>
          <w:rFonts w:hint="eastAsia" w:cs="宋体" w:asciiTheme="minorEastAsia" w:hAnsiTheme="minorEastAsia" w:eastAsiaTheme="minorEastAsia"/>
          <w:sz w:val="21"/>
          <w:szCs w:val="21"/>
        </w:rPr>
        <w:t xml:space="preserve"> </w:t>
      </w:r>
    </w:p>
    <w:p>
      <w:pPr>
        <w:pStyle w:val="9"/>
        <w:spacing w:line="360" w:lineRule="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 系 人：</w:t>
      </w:r>
      <w:r>
        <w:rPr>
          <w:rFonts w:hint="eastAsia" w:cs="宋体" w:asciiTheme="minorEastAsia" w:hAnsiTheme="minorEastAsia" w:eastAsiaTheme="minorEastAsia"/>
          <w:sz w:val="21"/>
          <w:szCs w:val="21"/>
          <w:lang w:val="en-US" w:eastAsia="zh-CN"/>
        </w:rPr>
        <w:t>乔</w:t>
      </w:r>
      <w:r>
        <w:rPr>
          <w:rFonts w:hint="eastAsia" w:cs="宋体" w:asciiTheme="minorEastAsia" w:hAnsiTheme="minorEastAsia" w:eastAsiaTheme="minorEastAsia"/>
          <w:sz w:val="21"/>
          <w:szCs w:val="21"/>
        </w:rPr>
        <w:t>先生</w:t>
      </w:r>
    </w:p>
    <w:p>
      <w:pPr>
        <w:pStyle w:val="9"/>
        <w:spacing w:line="360" w:lineRule="auto"/>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电    话：0951-2967846</w:t>
      </w:r>
    </w:p>
    <w:p>
      <w:pPr>
        <w:spacing w:line="360" w:lineRule="auto"/>
        <w:ind w:firstLine="420" w:firstLineChars="200"/>
        <w:rPr>
          <w:color w:val="auto"/>
          <w:spacing w:val="0"/>
          <w:w w:val="100"/>
          <w:position w:val="0"/>
          <w:highlight w:val="none"/>
        </w:rPr>
        <w:sectPr>
          <w:footerReference r:id="rId3" w:type="default"/>
          <w:footnotePr>
            <w:numFmt w:val="decimal"/>
          </w:footnotePr>
          <w:pgSz w:w="11900" w:h="16840"/>
          <w:pgMar w:top="1346" w:right="891" w:bottom="1283" w:left="1231" w:header="918" w:footer="850" w:gutter="0"/>
          <w:pgNumType w:fmt="decimal"/>
          <w:cols w:space="720" w:num="1"/>
          <w:rtlGutter w:val="0"/>
          <w:docGrid w:linePitch="360" w:charSpace="0"/>
        </w:sect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pStyle w:val="15"/>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40" w:lineRule="exact"/>
        <w:ind w:right="335" w:rightChars="0"/>
        <w:jc w:val="both"/>
        <w:textAlignment w:val="auto"/>
        <w:rPr>
          <w:rFonts w:hint="eastAsia" w:ascii="宋体" w:hAnsi="宋体" w:eastAsia="宋体" w:cs="宋体"/>
          <w:color w:val="000000"/>
          <w:w w:val="95"/>
          <w:sz w:val="21"/>
          <w:szCs w:val="21"/>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689"/>
      <w:rPr>
        <w:rFonts w:ascii="Calibri" w:hAnsi="Calibri" w:eastAsia="Calibri" w:cs="Calibri"/>
        <w:sz w:val="17"/>
        <w:szCs w:val="17"/>
      </w:rPr>
    </w:pPr>
    <w:r>
      <w:rPr>
        <w:rFonts w:ascii="Calibri" w:hAnsi="Calibri" w:eastAsia="Calibri" w:cs="Calibri"/>
        <w:sz w:val="17"/>
        <w:szCs w:val="17"/>
      </w:rPr>
      <w:t>66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1">
    <w:nsid w:val="D7F9FE59"/>
    <w:multiLevelType w:val="singleLevel"/>
    <w:tmpl w:val="D7F9FE5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
    <w:nsid w:val="DCBA6B53"/>
    <w:multiLevelType w:val="singleLevel"/>
    <w:tmpl w:val="DCBA6B5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
    <w:nsid w:val="FF747D29"/>
    <w:multiLevelType w:val="singleLevel"/>
    <w:tmpl w:val="FF747D29"/>
    <w:lvl w:ilvl="0" w:tentative="0">
      <w:start w:val="1"/>
      <w:numFmt w:val="decimal"/>
      <w:suff w:val="nothing"/>
      <w:lvlText w:val="（%1）"/>
      <w:lvlJc w:val="left"/>
    </w:lvl>
  </w:abstractNum>
  <w:abstractNum w:abstractNumId="4">
    <w:nsid w:val="0248C179"/>
    <w:multiLevelType w:val="singleLevel"/>
    <w:tmpl w:val="0248C179"/>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5">
    <w:nsid w:val="0E640482"/>
    <w:multiLevelType w:val="singleLevel"/>
    <w:tmpl w:val="0E640482"/>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6">
    <w:nsid w:val="46A08BB8"/>
    <w:multiLevelType w:val="singleLevel"/>
    <w:tmpl w:val="46A08BB8"/>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abstractNum>
  <w:abstractNum w:abstractNumId="7">
    <w:nsid w:val="623ABD8A"/>
    <w:multiLevelType w:val="singleLevel"/>
    <w:tmpl w:val="623ABD8A"/>
    <w:lvl w:ilvl="0" w:tentative="0">
      <w:start w:val="5"/>
      <w:numFmt w:val="decimal"/>
      <w:suff w:val="space"/>
      <w:lvlText w:val="%1."/>
      <w:lvlJc w:val="left"/>
    </w:lvl>
  </w:abstractNum>
  <w:num w:numId="1">
    <w:abstractNumId w:val="3"/>
  </w:num>
  <w:num w:numId="2">
    <w:abstractNumId w:val="4"/>
  </w:num>
  <w:num w:numId="3">
    <w:abstractNumId w:val="7"/>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mZkMWVjZDdjYzIzNWQwYmNiNWRjNThlNTNjMzIifQ=="/>
  </w:docVars>
  <w:rsids>
    <w:rsidRoot w:val="406777B4"/>
    <w:rsid w:val="0132783D"/>
    <w:rsid w:val="02071DD7"/>
    <w:rsid w:val="022E7E09"/>
    <w:rsid w:val="02A8425B"/>
    <w:rsid w:val="02BF3353"/>
    <w:rsid w:val="05922FA0"/>
    <w:rsid w:val="09FB7366"/>
    <w:rsid w:val="0A195A3E"/>
    <w:rsid w:val="0D1E5A7C"/>
    <w:rsid w:val="0D442DD2"/>
    <w:rsid w:val="0D845C38"/>
    <w:rsid w:val="0DAE2941"/>
    <w:rsid w:val="0EB45D35"/>
    <w:rsid w:val="0FFC3E38"/>
    <w:rsid w:val="11166833"/>
    <w:rsid w:val="11B5429E"/>
    <w:rsid w:val="11D5049D"/>
    <w:rsid w:val="12415B32"/>
    <w:rsid w:val="131E40C5"/>
    <w:rsid w:val="15415E49"/>
    <w:rsid w:val="15966195"/>
    <w:rsid w:val="16CB4564"/>
    <w:rsid w:val="16DF3B6C"/>
    <w:rsid w:val="1735378C"/>
    <w:rsid w:val="17793FC0"/>
    <w:rsid w:val="17953714"/>
    <w:rsid w:val="17BB1EE3"/>
    <w:rsid w:val="1A023DF9"/>
    <w:rsid w:val="1A1245F4"/>
    <w:rsid w:val="1A78230D"/>
    <w:rsid w:val="1AA41354"/>
    <w:rsid w:val="1B845DC8"/>
    <w:rsid w:val="1B8F5B60"/>
    <w:rsid w:val="1CDE6BE3"/>
    <w:rsid w:val="1F2667DB"/>
    <w:rsid w:val="1FD60202"/>
    <w:rsid w:val="20651585"/>
    <w:rsid w:val="208337BA"/>
    <w:rsid w:val="20866C05"/>
    <w:rsid w:val="234E00AF"/>
    <w:rsid w:val="23631987"/>
    <w:rsid w:val="2377306D"/>
    <w:rsid w:val="23B343B6"/>
    <w:rsid w:val="248144B4"/>
    <w:rsid w:val="248A3369"/>
    <w:rsid w:val="254259F1"/>
    <w:rsid w:val="290870F3"/>
    <w:rsid w:val="294A57BC"/>
    <w:rsid w:val="2AD57308"/>
    <w:rsid w:val="2B54647E"/>
    <w:rsid w:val="2DCC054E"/>
    <w:rsid w:val="2E100D83"/>
    <w:rsid w:val="2F68074A"/>
    <w:rsid w:val="2FBE01D2"/>
    <w:rsid w:val="2FDB53C0"/>
    <w:rsid w:val="301F52AD"/>
    <w:rsid w:val="32C57C62"/>
    <w:rsid w:val="341E3ACD"/>
    <w:rsid w:val="35FC399A"/>
    <w:rsid w:val="36851BE2"/>
    <w:rsid w:val="37517D16"/>
    <w:rsid w:val="388F0AF6"/>
    <w:rsid w:val="38C509BB"/>
    <w:rsid w:val="3B620744"/>
    <w:rsid w:val="3BB70A8F"/>
    <w:rsid w:val="3BBE32F5"/>
    <w:rsid w:val="3E500D27"/>
    <w:rsid w:val="3EDF3E59"/>
    <w:rsid w:val="3F823162"/>
    <w:rsid w:val="3FE060DB"/>
    <w:rsid w:val="406777B4"/>
    <w:rsid w:val="40B82BB4"/>
    <w:rsid w:val="41173D7E"/>
    <w:rsid w:val="41AA2E44"/>
    <w:rsid w:val="42900328"/>
    <w:rsid w:val="44A122DD"/>
    <w:rsid w:val="457F003D"/>
    <w:rsid w:val="46CB3641"/>
    <w:rsid w:val="47125F21"/>
    <w:rsid w:val="483E7B42"/>
    <w:rsid w:val="4B101F6A"/>
    <w:rsid w:val="4B6202EC"/>
    <w:rsid w:val="4BF76C86"/>
    <w:rsid w:val="4C3677AE"/>
    <w:rsid w:val="4CAA3CF8"/>
    <w:rsid w:val="4E81291C"/>
    <w:rsid w:val="51826FF2"/>
    <w:rsid w:val="537F5EDF"/>
    <w:rsid w:val="54B0031A"/>
    <w:rsid w:val="550F3292"/>
    <w:rsid w:val="55C82819"/>
    <w:rsid w:val="56336B0D"/>
    <w:rsid w:val="56AC391A"/>
    <w:rsid w:val="56E16569"/>
    <w:rsid w:val="571406EC"/>
    <w:rsid w:val="572C2443"/>
    <w:rsid w:val="57EB539A"/>
    <w:rsid w:val="57FB365A"/>
    <w:rsid w:val="595D090E"/>
    <w:rsid w:val="5BAA7871"/>
    <w:rsid w:val="5CD10E2D"/>
    <w:rsid w:val="5CE62B2B"/>
    <w:rsid w:val="5E2E29DB"/>
    <w:rsid w:val="5E8C7702"/>
    <w:rsid w:val="616D20F2"/>
    <w:rsid w:val="61AF1358"/>
    <w:rsid w:val="631A7ACB"/>
    <w:rsid w:val="63770981"/>
    <w:rsid w:val="64DD2A65"/>
    <w:rsid w:val="651B358E"/>
    <w:rsid w:val="67B57CC9"/>
    <w:rsid w:val="6844104D"/>
    <w:rsid w:val="68B41D2F"/>
    <w:rsid w:val="68ED4432"/>
    <w:rsid w:val="68F24605"/>
    <w:rsid w:val="6B480E55"/>
    <w:rsid w:val="6BAC4F3F"/>
    <w:rsid w:val="6BDF4621"/>
    <w:rsid w:val="6C9E7002"/>
    <w:rsid w:val="6D68758C"/>
    <w:rsid w:val="6DBB3B60"/>
    <w:rsid w:val="6DE210EC"/>
    <w:rsid w:val="6DE76703"/>
    <w:rsid w:val="6E364F94"/>
    <w:rsid w:val="6EE921E4"/>
    <w:rsid w:val="6F06705D"/>
    <w:rsid w:val="6FDB4872"/>
    <w:rsid w:val="71B0505E"/>
    <w:rsid w:val="722C0B88"/>
    <w:rsid w:val="73102258"/>
    <w:rsid w:val="750E0A19"/>
    <w:rsid w:val="75EA4FE2"/>
    <w:rsid w:val="76164029"/>
    <w:rsid w:val="76344111"/>
    <w:rsid w:val="76426BCC"/>
    <w:rsid w:val="765A0952"/>
    <w:rsid w:val="768E777C"/>
    <w:rsid w:val="77E43CB3"/>
    <w:rsid w:val="7A7F1A71"/>
    <w:rsid w:val="7C87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1"/>
    <w:unhideWhenUsed/>
    <w:qFormat/>
    <w:uiPriority w:val="0"/>
    <w:pPr>
      <w:spacing w:before="22"/>
      <w:ind w:left="1144" w:right="1155"/>
      <w:jc w:val="center"/>
      <w:outlineLvl w:val="1"/>
    </w:pPr>
    <w:rPr>
      <w:sz w:val="44"/>
      <w:szCs w:val="44"/>
    </w:rPr>
  </w:style>
  <w:style w:type="paragraph" w:styleId="5">
    <w:name w:val="heading 4"/>
    <w:basedOn w:val="1"/>
    <w:next w:val="1"/>
    <w:unhideWhenUsed/>
    <w:qFormat/>
    <w:uiPriority w:val="9"/>
    <w:pPr>
      <w:spacing w:before="43"/>
      <w:ind w:right="10"/>
      <w:jc w:val="center"/>
      <w:outlineLvl w:val="3"/>
    </w:pPr>
    <w:rPr>
      <w:sz w:val="30"/>
      <w:szCs w:val="30"/>
    </w:rPr>
  </w:style>
  <w:style w:type="paragraph" w:styleId="6">
    <w:name w:val="heading 8"/>
    <w:basedOn w:val="1"/>
    <w:next w:val="1"/>
    <w:qFormat/>
    <w:uiPriority w:val="1"/>
    <w:pPr>
      <w:spacing w:before="1"/>
      <w:ind w:left="440"/>
      <w:outlineLvl w:val="7"/>
    </w:pPr>
    <w:rPr>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7">
    <w:name w:val="Body Text Indent"/>
    <w:basedOn w:val="1"/>
    <w:qFormat/>
    <w:uiPriority w:val="0"/>
    <w:pPr>
      <w:ind w:firstLine="648"/>
    </w:pPr>
    <w:rPr>
      <w:sz w:val="32"/>
      <w:szCs w:val="20"/>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First Indent 2"/>
    <w:basedOn w:val="7"/>
    <w:next w:val="1"/>
    <w:qFormat/>
    <w:uiPriority w:val="0"/>
    <w:pPr>
      <w:ind w:firstLine="420" w:firstLine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20" w:firstLine="420"/>
    </w:pPr>
  </w:style>
  <w:style w:type="paragraph" w:customStyle="1" w:styleId="16">
    <w:name w:val="首行缩进"/>
    <w:basedOn w:val="1"/>
    <w:qFormat/>
    <w:uiPriority w:val="0"/>
    <w:pPr>
      <w:spacing w:line="360" w:lineRule="auto"/>
      <w:ind w:left="210" w:leftChars="100" w:firstLine="420" w:firstLineChars="200"/>
    </w:pPr>
  </w:style>
  <w:style w:type="paragraph" w:customStyle="1" w:styleId="17">
    <w:name w:val="A居中标题"/>
    <w:basedOn w:val="1"/>
    <w:qFormat/>
    <w:uiPriority w:val="0"/>
    <w:pPr>
      <w:spacing w:beforeLines="100" w:afterLines="100" w:line="360" w:lineRule="auto"/>
      <w:jc w:val="center"/>
    </w:pPr>
    <w:rPr>
      <w:rFonts w:hint="eastAsia" w:ascii="宋体" w:hAnsi="宋体" w:eastAsia="宋体" w:cs="Times New Roman"/>
      <w:b/>
      <w:kern w:val="0"/>
      <w:sz w:val="32"/>
      <w:szCs w:val="32"/>
    </w:rPr>
  </w:style>
  <w:style w:type="paragraph" w:customStyle="1" w:styleId="18">
    <w:name w:val="Default"/>
    <w:basedOn w:val="1"/>
    <w:qFormat/>
    <w:uiPriority w:val="0"/>
    <w:pPr>
      <w:autoSpaceDE w:val="0"/>
      <w:autoSpaceDN w:val="0"/>
      <w:adjustRightInd w:val="0"/>
      <w:jc w:val="left"/>
    </w:pPr>
    <w:rPr>
      <w:rFonts w:ascii="Times New Roman" w:hAnsi="Times New Roman" w:cs="Times New Roman"/>
      <w:color w:val="000000"/>
      <w:kern w:val="0"/>
      <w:sz w:val="24"/>
    </w:rPr>
  </w:style>
  <w:style w:type="paragraph" w:customStyle="1" w:styleId="19">
    <w:name w:val="Heading #2|1"/>
    <w:basedOn w:val="1"/>
    <w:qFormat/>
    <w:uiPriority w:val="0"/>
    <w:pPr>
      <w:widowControl w:val="0"/>
      <w:shd w:val="clear" w:color="auto" w:fill="auto"/>
      <w:spacing w:after="420"/>
      <w:ind w:firstLine="460"/>
      <w:outlineLvl w:val="1"/>
    </w:pPr>
    <w:rPr>
      <w:rFonts w:ascii="宋体" w:hAnsi="宋体" w:eastAsia="宋体" w:cs="宋体"/>
      <w:sz w:val="22"/>
      <w:szCs w:val="22"/>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286" w:lineRule="exact"/>
    </w:pPr>
    <w:rPr>
      <w:rFonts w:ascii="宋体" w:hAnsi="宋体" w:eastAsia="宋体" w:cs="宋体"/>
      <w:color w:val="281FCA"/>
      <w:sz w:val="20"/>
      <w:szCs w:val="20"/>
      <w:u w:val="none"/>
      <w:shd w:val="clear" w:color="auto" w:fill="auto"/>
      <w:lang w:val="zh-TW" w:eastAsia="zh-TW" w:bidi="zh-TW"/>
    </w:rPr>
  </w:style>
  <w:style w:type="paragraph" w:customStyle="1" w:styleId="21">
    <w:name w:val="Body text|2"/>
    <w:basedOn w:val="1"/>
    <w:qFormat/>
    <w:uiPriority w:val="0"/>
    <w:pPr>
      <w:widowControl w:val="0"/>
      <w:shd w:val="clear" w:color="auto" w:fill="auto"/>
      <w:spacing w:line="406" w:lineRule="exact"/>
      <w:ind w:firstLine="460"/>
    </w:pPr>
    <w:rPr>
      <w:rFonts w:ascii="宋体" w:hAnsi="宋体" w:eastAsia="宋体" w:cs="宋体"/>
      <w:sz w:val="20"/>
      <w:szCs w:val="20"/>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after="14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12849</Words>
  <Characters>13506</Characters>
  <Lines>0</Lines>
  <Paragraphs>0</Paragraphs>
  <TotalTime>0</TotalTime>
  <ScaleCrop>false</ScaleCrop>
  <LinksUpToDate>false</LinksUpToDate>
  <CharactersWithSpaces>13761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苹果BaBa</cp:lastModifiedBy>
  <dcterms:modified xsi:type="dcterms:W3CDTF">2023-05-17T09:23:35Z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71454BB53B46439C89B45F8AFE841F8F</vt:lpwstr>
  </property>
</Properties>
</file>