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uto"/>
        <w:ind w:left="-199" w:leftChars="-95" w:right="-168" w:rightChars="-80" w:firstLine="0" w:firstLineChars="0"/>
        <w:jc w:val="center"/>
        <w:rPr>
          <w:rFonts w:hint="eastAsia" w:asciiTheme="minorEastAsia" w:hAnsiTheme="minorEastAsia" w:eastAsiaTheme="minorEastAsia" w:cstheme="minorEastAsia"/>
          <w:b/>
          <w:bCs/>
          <w:color w:val="000000"/>
          <w:kern w:val="0"/>
          <w:sz w:val="36"/>
          <w:szCs w:val="36"/>
          <w:lang w:val="en-US" w:eastAsia="zh-CN" w:bidi="ar"/>
        </w:rPr>
      </w:pPr>
      <w:r>
        <w:rPr>
          <w:rFonts w:hint="eastAsia" w:asciiTheme="minorEastAsia" w:hAnsiTheme="minorEastAsia" w:eastAsiaTheme="minorEastAsia" w:cstheme="minorEastAsia"/>
          <w:b/>
          <w:bCs/>
          <w:color w:val="000000"/>
          <w:kern w:val="0"/>
          <w:sz w:val="36"/>
          <w:szCs w:val="36"/>
          <w:lang w:val="en-US" w:eastAsia="zh-CN" w:bidi="ar"/>
        </w:rPr>
        <w:t>G20线K1511+700宁夏公路管理中心银川分中心综合办公楼维修改造项目关键内容</w:t>
      </w:r>
    </w:p>
    <w:p>
      <w:pPr>
        <w:keepNext w:val="0"/>
        <w:keepLines w:val="0"/>
        <w:widowControl/>
        <w:numPr>
          <w:ilvl w:val="0"/>
          <w:numId w:val="1"/>
        </w:numPr>
        <w:suppressLineNumbers w:val="0"/>
        <w:spacing w:line="360" w:lineRule="auto"/>
        <w:ind w:left="-199" w:leftChars="-95" w:right="-168" w:rightChars="-80" w:firstLine="0" w:firstLineChars="0"/>
        <w:jc w:val="both"/>
        <w:outlineLvl w:val="0"/>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项目概况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95" w:right="-168" w:rightChars="-80" w:firstLine="480" w:firstLineChars="200"/>
        <w:jc w:val="both"/>
        <w:textAlignment w:val="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宁夏公路管理中心银川分中心位于银川市兴庆区青银高速公路银川东收费站北侧。其综合办公楼建于2000年，建筑面积9865.4㎡，六层框剪结构。本次维修改造内容包括更换办公楼电动钢化玻璃大门、对更换门造成损坏的台阶进行修复、办公楼消火栓</w:t>
      </w:r>
      <w:r>
        <w:rPr>
          <w:rFonts w:hint="eastAsia" w:ascii="宋体" w:hAnsi="宋体" w:eastAsia="宋体" w:cs="宋体"/>
          <w:color w:val="auto"/>
          <w:sz w:val="24"/>
          <w:szCs w:val="24"/>
          <w:lang w:eastAsia="zh-CN"/>
        </w:rPr>
        <w:t>及消防水箱</w:t>
      </w:r>
      <w:r>
        <w:rPr>
          <w:rFonts w:hint="eastAsia" w:ascii="宋体" w:hAnsi="宋体" w:eastAsia="宋体" w:cs="宋体"/>
          <w:color w:val="auto"/>
          <w:sz w:val="24"/>
          <w:szCs w:val="24"/>
        </w:rPr>
        <w:t>进行更换、</w:t>
      </w:r>
      <w:r>
        <w:rPr>
          <w:rFonts w:hint="eastAsia" w:ascii="宋体" w:hAnsi="宋体" w:eastAsia="宋体" w:cs="宋体"/>
          <w:color w:val="auto"/>
          <w:sz w:val="24"/>
          <w:szCs w:val="24"/>
          <w:lang w:eastAsia="zh-CN"/>
        </w:rPr>
        <w:t>档案室</w:t>
      </w:r>
      <w:r>
        <w:rPr>
          <w:rFonts w:hint="eastAsia" w:ascii="宋体" w:hAnsi="宋体" w:eastAsia="宋体" w:cs="宋体"/>
          <w:color w:val="auto"/>
          <w:sz w:val="24"/>
          <w:szCs w:val="24"/>
        </w:rPr>
        <w:t>改造（粉刷乳胶漆墙面、做矿棉板吊顶、增加3C 钢化玻璃、隔断、做防静电地板、安装防盗门、增加监控系统、门禁系统等）、院内绿化管网维修更换等工程内容</w:t>
      </w:r>
      <w:r>
        <w:rPr>
          <w:rFonts w:hint="eastAsia" w:ascii="宋体" w:hAnsi="宋体" w:eastAsia="宋体" w:cs="宋体"/>
          <w:color w:val="auto"/>
          <w:sz w:val="24"/>
          <w:szCs w:val="24"/>
          <w:lang w:val="en-US" w:eastAsia="zh-CN"/>
        </w:rPr>
        <w:t>。</w:t>
      </w:r>
    </w:p>
    <w:p>
      <w:pPr>
        <w:keepNext w:val="0"/>
        <w:keepLines w:val="0"/>
        <w:widowControl/>
        <w:numPr>
          <w:ilvl w:val="0"/>
          <w:numId w:val="0"/>
        </w:numPr>
        <w:suppressLineNumbers w:val="0"/>
        <w:spacing w:line="360" w:lineRule="auto"/>
        <w:ind w:leftChars="-95" w:right="-168" w:rightChars="-80"/>
        <w:jc w:val="both"/>
        <w:outlineLvl w:val="0"/>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 xml:space="preserve">二、对投标人的全部资格条件要求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详见招标公告。 </w:t>
      </w:r>
    </w:p>
    <w:p>
      <w:pPr>
        <w:keepNext w:val="0"/>
        <w:keepLines w:val="0"/>
        <w:widowControl/>
        <w:numPr>
          <w:ilvl w:val="0"/>
          <w:numId w:val="0"/>
        </w:numPr>
        <w:suppressLineNumbers w:val="0"/>
        <w:spacing w:line="360" w:lineRule="auto"/>
        <w:ind w:leftChars="-95" w:right="-168" w:rightChars="-80"/>
        <w:jc w:val="both"/>
        <w:outlineLvl w:val="0"/>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三、资格审查办法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1.满足《中华人民共和国政府采购法》第二十二条规定：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2.落实政府采购政策需满足的资格要求：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（1）中小微企业参加宁夏政府采购活动，依据《政府采购促进中小企业发展管理办法》 (财库〔2020〕46 号）、《宁夏回族自治区政府采购促进中小企业发展管理办法实施细则》（宁财规发〔2021〕2 号）和《宁夏回族自治区财政厅 发展和改革委员会 工业和信息化厅 住房和城乡 建设厅 交通运输厅 水利厅 公共资源 交易管理局 中国人民银行银川中心 支行关于落实政府采购促进中小企业发展有关措施的通知》(宁财（采）发〔2022〕 275号），小型和微型企业应提供《中小企业声明函》，对报价给予5%扣除，用扣除后的价格参与评审。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（2）根据《政府采购支持监狱企业发展有关问题的通知》（财库[2014]68号），监狱企业视同为小型、微型企业，监狱企业应提供证明文件,对报价给予5%的扣除，用扣除后的价格参与评审；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根据《财政部民政部中国残疾人联合会关于促进残疾人就业政府采购政策的通知》（财库〔2017〕141号）、《自治区财政厅残疾人联合会关于政府采购支持残疾人就业有关问题的通知》（宁财（采）发〔2020〕545号），残疾人企业应提供声明函，对报价给予5%的扣除，用扣除后的价格参与评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根据《自治区财政厅关于明确法人及其分支机构参加政府采购活动相关事项的通知》（宁财（采）发【2021】22号），分支机构不能参与政府采购活动，只能以法人身份参加。但银行、保险、石油石化、电力、电信等有行业特殊情况的，允许分支机构在总公司授权的基础上参加政府采购活动。投标供应商为分支机构的，分支机构提供的声明函不参与价格折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3.本项目的特定资格要求：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（1）提供在中华人民共和国境内注册的法人或其他组织的营业执照（或事业单位法人证书，或社会团体法人登记证书），如投标供应商为自然人的需提供自然人身份证明；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（2）法人授权委托书、法定代表人及被授权人身份证复印件（法定代表人直接响应可不提供，但须提供法定代表人身份证复印件）；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通过“信用中国”网站、中国政府采购网查询相关主体信用记录，对列入失信被执行人、重大税收违法案件当事人名单、政府采购严重违法失信行为记录名单的供应商（处罚期限尚未届满的），拒绝其参与政府采购活动（以采购人或采购代理机构在开标当天查询的结果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（4）具有良好的商业信誉和健全的财务会计制度承诺书；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（5）依法缴纳税收和社会保障资金承诺书；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（5）参加政府采购活动前三年内，在经营活动中没有重大违法记录承诺书；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（7）提供履行合同所必须的设备和专业技术能力承诺函；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b/>
          <w:bCs/>
          <w:color w:val="000000"/>
          <w:kern w:val="0"/>
          <w:sz w:val="32"/>
          <w:szCs w:val="32"/>
          <w:lang w:val="en-US" w:eastAsia="zh-CN" w:bidi="ar"/>
        </w:rPr>
      </w:pPr>
      <w:r>
        <w:rPr>
          <w:rFonts w:hint="eastAsia" w:ascii="宋体" w:hAnsi="宋体" w:eastAsia="宋体" w:cs="宋体"/>
          <w:color w:val="auto"/>
          <w:sz w:val="24"/>
          <w:szCs w:val="24"/>
          <w:lang w:val="en-US" w:eastAsia="zh-CN"/>
        </w:rPr>
        <w:t>（8）具备建筑工程施工总承包三级及以上资质且在有效期内，且具备建设主管部门颁发的有效安全生产许可证。</w:t>
      </w:r>
    </w:p>
    <w:p>
      <w:pPr>
        <w:keepNext w:val="0"/>
        <w:keepLines w:val="0"/>
        <w:widowControl/>
        <w:numPr>
          <w:ilvl w:val="0"/>
          <w:numId w:val="0"/>
        </w:numPr>
        <w:suppressLineNumbers w:val="0"/>
        <w:spacing w:line="360" w:lineRule="auto"/>
        <w:ind w:leftChars="-95" w:right="-168" w:rightChars="-80"/>
        <w:jc w:val="both"/>
        <w:outlineLvl w:val="0"/>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四、评标办法全文</w:t>
      </w:r>
    </w:p>
    <w:p>
      <w:pPr>
        <w:spacing w:before="2" w:line="375" w:lineRule="auto"/>
        <w:ind w:left="30" w:right="80" w:firstLine="453"/>
        <w:rPr>
          <w:rFonts w:hint="eastAsia" w:ascii="宋体" w:hAnsi="宋体" w:eastAsia="宋体" w:cs="宋体"/>
          <w:spacing w:val="8"/>
          <w:sz w:val="24"/>
          <w:szCs w:val="24"/>
        </w:rPr>
      </w:pPr>
      <w:r>
        <w:rPr>
          <w:rFonts w:hint="eastAsia" w:ascii="宋体" w:hAnsi="宋体" w:eastAsia="宋体" w:cs="宋体"/>
          <w:spacing w:val="8"/>
          <w:sz w:val="24"/>
          <w:szCs w:val="24"/>
        </w:rPr>
        <w:t>磋商小组将按照本项目磋商文件进行综合评审工作，采购人或者采购代理机构负责磋商的组织工作。工作程序如下：</w:t>
      </w:r>
    </w:p>
    <w:p>
      <w:pPr>
        <w:spacing w:before="2" w:line="375" w:lineRule="auto"/>
        <w:ind w:left="30" w:right="80" w:firstLine="453"/>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1</w:t>
      </w:r>
      <w:r>
        <w:rPr>
          <w:rFonts w:hint="eastAsia" w:ascii="宋体" w:hAnsi="宋体" w:eastAsia="宋体" w:cs="宋体"/>
          <w:spacing w:val="8"/>
          <w:sz w:val="24"/>
          <w:szCs w:val="24"/>
        </w:rPr>
        <w:t>、磋商准备工作，由采购人或者采购代理机构负责</w:t>
      </w:r>
    </w:p>
    <w:p>
      <w:pPr>
        <w:spacing w:before="2" w:line="375" w:lineRule="auto"/>
        <w:ind w:left="30" w:right="80" w:firstLine="453"/>
        <w:rPr>
          <w:rFonts w:hint="eastAsia" w:ascii="宋体" w:hAnsi="宋体" w:eastAsia="宋体" w:cs="宋体"/>
          <w:spacing w:val="8"/>
          <w:sz w:val="24"/>
          <w:szCs w:val="24"/>
        </w:rPr>
      </w:pPr>
      <w:r>
        <w:rPr>
          <w:rFonts w:hint="eastAsia" w:ascii="宋体" w:hAnsi="宋体" w:eastAsia="宋体" w:cs="宋体"/>
          <w:spacing w:val="8"/>
          <w:sz w:val="24"/>
          <w:szCs w:val="24"/>
        </w:rPr>
        <w:t>1.核对磋商小组专家身份和采购人代表授权函；</w:t>
      </w:r>
    </w:p>
    <w:p>
      <w:pPr>
        <w:spacing w:before="2" w:line="375" w:lineRule="auto"/>
        <w:ind w:left="30" w:right="80" w:firstLine="453"/>
        <w:rPr>
          <w:rFonts w:hint="eastAsia" w:ascii="宋体" w:hAnsi="宋体" w:eastAsia="宋体" w:cs="宋体"/>
          <w:spacing w:val="8"/>
          <w:sz w:val="24"/>
          <w:szCs w:val="24"/>
        </w:rPr>
      </w:pPr>
      <w:r>
        <w:rPr>
          <w:rFonts w:hint="eastAsia" w:ascii="宋体" w:hAnsi="宋体" w:eastAsia="宋体" w:cs="宋体"/>
          <w:spacing w:val="8"/>
          <w:sz w:val="24"/>
          <w:szCs w:val="24"/>
        </w:rPr>
        <w:t>2.宣布磋商现场纪律，集中保管通讯工具；</w:t>
      </w:r>
    </w:p>
    <w:p>
      <w:pPr>
        <w:spacing w:before="2" w:line="375" w:lineRule="auto"/>
        <w:ind w:left="30" w:right="80" w:firstLine="453"/>
        <w:rPr>
          <w:rFonts w:hint="eastAsia" w:ascii="宋体" w:hAnsi="宋体" w:eastAsia="宋体" w:cs="宋体"/>
          <w:spacing w:val="8"/>
          <w:sz w:val="24"/>
          <w:szCs w:val="24"/>
        </w:rPr>
      </w:pPr>
      <w:r>
        <w:rPr>
          <w:rFonts w:hint="eastAsia" w:ascii="宋体" w:hAnsi="宋体" w:eastAsia="宋体" w:cs="宋体"/>
          <w:spacing w:val="8"/>
          <w:sz w:val="24"/>
          <w:szCs w:val="24"/>
        </w:rPr>
        <w:t>3.公布供应商名单，告知磋商小组专家应当回避的情形；</w:t>
      </w:r>
    </w:p>
    <w:p>
      <w:pPr>
        <w:spacing w:before="2" w:line="375" w:lineRule="auto"/>
        <w:ind w:left="30" w:right="80" w:firstLine="453"/>
        <w:rPr>
          <w:rFonts w:hint="eastAsia" w:ascii="宋体" w:hAnsi="宋体" w:eastAsia="宋体" w:cs="宋体"/>
          <w:spacing w:val="8"/>
          <w:sz w:val="24"/>
          <w:szCs w:val="24"/>
        </w:rPr>
      </w:pPr>
      <w:r>
        <w:rPr>
          <w:rFonts w:hint="eastAsia" w:ascii="宋体" w:hAnsi="宋体" w:eastAsia="宋体" w:cs="宋体"/>
          <w:spacing w:val="8"/>
          <w:sz w:val="24"/>
          <w:szCs w:val="24"/>
        </w:rPr>
        <w:t>4.组织磋商小组推选组长，采购人代表不得担任组长；</w:t>
      </w:r>
    </w:p>
    <w:p>
      <w:pPr>
        <w:spacing w:before="2" w:line="375" w:lineRule="auto"/>
        <w:ind w:left="30" w:right="80" w:firstLine="453"/>
        <w:rPr>
          <w:rFonts w:hint="eastAsia" w:ascii="宋体" w:hAnsi="宋体" w:eastAsia="宋体" w:cs="宋体"/>
          <w:spacing w:val="8"/>
          <w:sz w:val="24"/>
          <w:szCs w:val="24"/>
        </w:rPr>
      </w:pPr>
      <w:r>
        <w:rPr>
          <w:rFonts w:hint="eastAsia" w:ascii="宋体" w:hAnsi="宋体" w:eastAsia="宋体" w:cs="宋体"/>
          <w:spacing w:val="8"/>
          <w:sz w:val="24"/>
          <w:szCs w:val="24"/>
        </w:rPr>
        <w:t>5.根据磋商小组的要求介绍政府采购相关政策法律、磋商文件。</w:t>
      </w:r>
    </w:p>
    <w:p>
      <w:pPr>
        <w:spacing w:before="2" w:line="375" w:lineRule="auto"/>
        <w:ind w:left="30" w:right="80" w:firstLine="453"/>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2</w:t>
      </w:r>
      <w:r>
        <w:rPr>
          <w:rFonts w:hint="eastAsia" w:ascii="宋体" w:hAnsi="宋体" w:eastAsia="宋体" w:cs="宋体"/>
          <w:spacing w:val="8"/>
          <w:sz w:val="24"/>
          <w:szCs w:val="24"/>
        </w:rPr>
        <w:t>、符合性审查工作</w:t>
      </w:r>
    </w:p>
    <w:p>
      <w:pPr>
        <w:spacing w:before="2" w:line="375" w:lineRule="auto"/>
        <w:ind w:left="30" w:right="80" w:firstLine="453"/>
        <w:rPr>
          <w:rFonts w:hint="eastAsia" w:ascii="宋体" w:hAnsi="宋体" w:eastAsia="宋体" w:cs="宋体"/>
          <w:spacing w:val="8"/>
          <w:sz w:val="24"/>
          <w:szCs w:val="24"/>
        </w:rPr>
      </w:pPr>
      <w:r>
        <w:rPr>
          <w:rFonts w:hint="eastAsia" w:ascii="宋体" w:hAnsi="宋体" w:eastAsia="宋体" w:cs="宋体"/>
          <w:spacing w:val="8"/>
          <w:sz w:val="24"/>
          <w:szCs w:val="24"/>
        </w:rPr>
        <w:t>磋商小组开展符合性审查。符合性审查是指依据磋商文件的规定，从商务和技术角度对响应文件的有效性和完整性进行审查，以确定是否对磋商文件的实质性要求做出响应。</w:t>
      </w:r>
    </w:p>
    <w:tbl>
      <w:tblPr>
        <w:tblStyle w:val="8"/>
        <w:tblW w:w="9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3263"/>
        <w:gridCol w:w="5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23" w:type="dxa"/>
            <w:vAlign w:val="center"/>
          </w:tcPr>
          <w:p>
            <w:pPr>
              <w:bidi w:val="0"/>
              <w:spacing w:line="48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3263" w:type="dxa"/>
            <w:vAlign w:val="center"/>
          </w:tcPr>
          <w:p>
            <w:pPr>
              <w:bidi w:val="0"/>
              <w:spacing w:line="480" w:lineRule="auto"/>
              <w:jc w:val="center"/>
              <w:rPr>
                <w:rFonts w:hint="eastAsia" w:ascii="宋体" w:hAnsi="宋体" w:eastAsia="宋体" w:cs="宋体"/>
                <w:sz w:val="24"/>
                <w:szCs w:val="24"/>
              </w:rPr>
            </w:pPr>
            <w:r>
              <w:rPr>
                <w:rFonts w:hint="eastAsia" w:ascii="宋体" w:hAnsi="宋体" w:eastAsia="宋体" w:cs="宋体"/>
                <w:sz w:val="24"/>
                <w:szCs w:val="24"/>
              </w:rPr>
              <w:t>审查项目</w:t>
            </w:r>
          </w:p>
        </w:tc>
        <w:tc>
          <w:tcPr>
            <w:tcW w:w="5657" w:type="dxa"/>
            <w:vAlign w:val="center"/>
          </w:tcPr>
          <w:p>
            <w:pPr>
              <w:bidi w:val="0"/>
              <w:spacing w:line="480" w:lineRule="auto"/>
              <w:jc w:val="center"/>
              <w:rPr>
                <w:rFonts w:hint="eastAsia" w:ascii="宋体" w:hAnsi="宋体" w:eastAsia="宋体" w:cs="宋体"/>
                <w:sz w:val="24"/>
                <w:szCs w:val="24"/>
              </w:rPr>
            </w:pPr>
            <w:r>
              <w:rPr>
                <w:rFonts w:hint="eastAsia" w:ascii="宋体" w:hAnsi="宋体" w:eastAsia="宋体" w:cs="宋体"/>
                <w:sz w:val="24"/>
                <w:szCs w:val="24"/>
              </w:rPr>
              <w:t>审查内容（无效投标认定条件）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pStyle w:val="2"/>
              <w:widowControl w:val="0"/>
              <w:tabs>
                <w:tab w:val="left" w:pos="567"/>
              </w:tabs>
              <w:spacing w:line="48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3263" w:type="dxa"/>
            <w:vAlign w:val="center"/>
          </w:tcPr>
          <w:p>
            <w:pPr>
              <w:pStyle w:val="2"/>
              <w:widowControl w:val="0"/>
              <w:tabs>
                <w:tab w:val="left" w:pos="567"/>
              </w:tabs>
              <w:spacing w:line="48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投标书的盖章、签署</w:t>
            </w:r>
          </w:p>
        </w:tc>
        <w:tc>
          <w:tcPr>
            <w:tcW w:w="5657" w:type="dxa"/>
            <w:vAlign w:val="center"/>
          </w:tcPr>
          <w:p>
            <w:pPr>
              <w:pStyle w:val="2"/>
              <w:widowControl w:val="0"/>
              <w:tabs>
                <w:tab w:val="left" w:pos="567"/>
              </w:tabs>
              <w:spacing w:line="48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是否按招标文件投标书格式要求签字、盖章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pStyle w:val="2"/>
              <w:widowControl w:val="0"/>
              <w:tabs>
                <w:tab w:val="left" w:pos="567"/>
              </w:tabs>
              <w:spacing w:line="48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3263" w:type="dxa"/>
            <w:vAlign w:val="center"/>
          </w:tcPr>
          <w:p>
            <w:pPr>
              <w:pStyle w:val="2"/>
              <w:widowControl w:val="0"/>
              <w:tabs>
                <w:tab w:val="left" w:pos="567"/>
              </w:tabs>
              <w:spacing w:line="48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投标报价的完整性及有效性</w:t>
            </w:r>
          </w:p>
        </w:tc>
        <w:tc>
          <w:tcPr>
            <w:tcW w:w="5657" w:type="dxa"/>
            <w:vAlign w:val="center"/>
          </w:tcPr>
          <w:p>
            <w:pPr>
              <w:pStyle w:val="2"/>
              <w:widowControl w:val="0"/>
              <w:tabs>
                <w:tab w:val="left" w:pos="567"/>
              </w:tabs>
              <w:spacing w:line="48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是否对招标文件内容进行全面响应，存在漏报、错报或多个报价的情形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23" w:type="dxa"/>
            <w:vAlign w:val="center"/>
          </w:tcPr>
          <w:p>
            <w:pPr>
              <w:pStyle w:val="2"/>
              <w:widowControl w:val="0"/>
              <w:tabs>
                <w:tab w:val="left" w:pos="567"/>
              </w:tabs>
              <w:spacing w:line="48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3263" w:type="dxa"/>
            <w:vAlign w:val="center"/>
          </w:tcPr>
          <w:p>
            <w:pPr>
              <w:pStyle w:val="2"/>
              <w:widowControl w:val="0"/>
              <w:tabs>
                <w:tab w:val="left" w:pos="567"/>
              </w:tabs>
              <w:spacing w:line="48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磋商有效期</w:t>
            </w:r>
          </w:p>
        </w:tc>
        <w:tc>
          <w:tcPr>
            <w:tcW w:w="5657" w:type="dxa"/>
            <w:vAlign w:val="center"/>
          </w:tcPr>
          <w:p>
            <w:pPr>
              <w:pStyle w:val="2"/>
              <w:widowControl w:val="0"/>
              <w:tabs>
                <w:tab w:val="left" w:pos="567"/>
              </w:tabs>
              <w:spacing w:line="48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是否响应招标文件要求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pStyle w:val="2"/>
              <w:widowControl w:val="0"/>
              <w:tabs>
                <w:tab w:val="left" w:pos="567"/>
              </w:tabs>
              <w:spacing w:line="48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3263" w:type="dxa"/>
            <w:vAlign w:val="center"/>
          </w:tcPr>
          <w:p>
            <w:pPr>
              <w:pStyle w:val="2"/>
              <w:widowControl w:val="0"/>
              <w:tabs>
                <w:tab w:val="left" w:pos="567"/>
              </w:tabs>
              <w:spacing w:line="48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合同履行期限</w:t>
            </w:r>
          </w:p>
        </w:tc>
        <w:tc>
          <w:tcPr>
            <w:tcW w:w="5657" w:type="dxa"/>
            <w:vAlign w:val="center"/>
          </w:tcPr>
          <w:p>
            <w:pPr>
              <w:pStyle w:val="2"/>
              <w:widowControl w:val="0"/>
              <w:tabs>
                <w:tab w:val="left" w:pos="567"/>
              </w:tabs>
              <w:spacing w:line="48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是否响应招标文件要求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pPr>
              <w:pStyle w:val="2"/>
              <w:widowControl w:val="0"/>
              <w:tabs>
                <w:tab w:val="left" w:pos="567"/>
              </w:tabs>
              <w:spacing w:line="48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3263" w:type="dxa"/>
            <w:vAlign w:val="center"/>
          </w:tcPr>
          <w:p>
            <w:pPr>
              <w:pStyle w:val="2"/>
              <w:widowControl w:val="0"/>
              <w:tabs>
                <w:tab w:val="left" w:pos="567"/>
              </w:tabs>
              <w:spacing w:line="48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投标保证金</w:t>
            </w:r>
          </w:p>
        </w:tc>
        <w:tc>
          <w:tcPr>
            <w:tcW w:w="5657" w:type="dxa"/>
            <w:vAlign w:val="center"/>
          </w:tcPr>
          <w:p>
            <w:pPr>
              <w:pStyle w:val="2"/>
              <w:widowControl w:val="0"/>
              <w:tabs>
                <w:tab w:val="left" w:pos="567"/>
              </w:tabs>
              <w:spacing w:line="48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是否响应招标文件要求</w:t>
            </w:r>
          </w:p>
        </w:tc>
      </w:tr>
    </w:tbl>
    <w:p>
      <w:pPr>
        <w:pStyle w:val="2"/>
        <w:rPr>
          <w:rFonts w:hint="eastAsia"/>
        </w:rPr>
      </w:pPr>
      <w:bookmarkStart w:id="2" w:name="_GoBack"/>
      <w:bookmarkEnd w:id="2"/>
    </w:p>
    <w:p>
      <w:pPr>
        <w:spacing w:before="2" w:line="375" w:lineRule="auto"/>
        <w:ind w:left="30" w:right="80" w:firstLine="453"/>
        <w:rPr>
          <w:rFonts w:hint="eastAsia" w:ascii="宋体" w:hAnsi="宋体" w:eastAsia="宋体" w:cs="宋体"/>
          <w:spacing w:val="8"/>
          <w:sz w:val="24"/>
          <w:szCs w:val="24"/>
        </w:rPr>
      </w:pPr>
      <w:r>
        <w:rPr>
          <w:rFonts w:hint="eastAsia" w:ascii="宋体" w:hAnsi="宋体" w:eastAsia="宋体" w:cs="宋体"/>
          <w:spacing w:val="8"/>
          <w:sz w:val="24"/>
          <w:szCs w:val="24"/>
        </w:rPr>
        <w:t>1.要求供应商对响应文件有关事项作出澄清或者说明 (如有)；</w:t>
      </w:r>
    </w:p>
    <w:p>
      <w:pPr>
        <w:spacing w:before="2" w:line="375" w:lineRule="auto"/>
        <w:ind w:left="30" w:right="80" w:firstLine="453"/>
        <w:rPr>
          <w:rFonts w:hint="eastAsia" w:ascii="宋体" w:hAnsi="宋体" w:eastAsia="宋体" w:cs="宋体"/>
          <w:spacing w:val="8"/>
          <w:sz w:val="24"/>
          <w:szCs w:val="24"/>
        </w:rPr>
      </w:pPr>
      <w:r>
        <w:rPr>
          <w:rFonts w:hint="eastAsia" w:ascii="宋体" w:hAnsi="宋体" w:eastAsia="宋体" w:cs="宋体"/>
          <w:spacing w:val="8"/>
          <w:sz w:val="24"/>
          <w:szCs w:val="24"/>
        </w:rPr>
        <w:t>2.依照磋商文件规定的评审程序、方法和标准进行独立评审；</w:t>
      </w:r>
    </w:p>
    <w:p>
      <w:pPr>
        <w:spacing w:before="2" w:line="375" w:lineRule="auto"/>
        <w:ind w:left="30" w:right="80" w:firstLine="453"/>
        <w:rPr>
          <w:rFonts w:hint="eastAsia" w:ascii="宋体" w:hAnsi="宋体" w:eastAsia="宋体" w:cs="宋体"/>
          <w:spacing w:val="8"/>
          <w:sz w:val="24"/>
          <w:szCs w:val="24"/>
        </w:rPr>
      </w:pPr>
      <w:r>
        <w:rPr>
          <w:rFonts w:hint="eastAsia" w:ascii="宋体" w:hAnsi="宋体" w:eastAsia="宋体" w:cs="宋体"/>
          <w:b/>
          <w:bCs/>
          <w:spacing w:val="8"/>
          <w:sz w:val="24"/>
          <w:szCs w:val="24"/>
        </w:rPr>
        <w:t>本项目为综合评分法，评标委员会对满足磋商文件全部实质性要求的响应文件，按照磋商文件规定的评审因素的量化指标进行评审打分，以评审得分从高到低顺序确定成交供应商。</w:t>
      </w:r>
    </w:p>
    <w:p>
      <w:pPr>
        <w:spacing w:before="2" w:line="375" w:lineRule="auto"/>
        <w:ind w:left="30" w:right="80" w:firstLine="453"/>
        <w:rPr>
          <w:rFonts w:hint="eastAsia" w:ascii="宋体" w:hAnsi="宋体" w:eastAsia="宋体" w:cs="宋体"/>
          <w:spacing w:val="8"/>
          <w:sz w:val="24"/>
          <w:szCs w:val="24"/>
        </w:rPr>
      </w:pPr>
      <w:r>
        <w:rPr>
          <w:rFonts w:hint="eastAsia" w:ascii="宋体" w:hAnsi="宋体" w:eastAsia="宋体" w:cs="宋体"/>
          <w:spacing w:val="8"/>
          <w:sz w:val="24"/>
          <w:szCs w:val="24"/>
        </w:rPr>
        <w:t>磋商小组每位成员独立对每个有效供应商的响应文件进行评价、打分；然后汇总每个供应商的得分，计算得分平均值，以平均值由高到低进行排序，按排序顺序推荐成交供应商。分值计算保留小数点后两位，第三位四舍五入。</w:t>
      </w:r>
    </w:p>
    <w:p>
      <w:pPr>
        <w:spacing w:before="2" w:line="375" w:lineRule="auto"/>
        <w:ind w:left="30" w:right="80" w:firstLine="453"/>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3</w:t>
      </w:r>
      <w:r>
        <w:rPr>
          <w:rFonts w:hint="eastAsia" w:ascii="宋体" w:hAnsi="宋体" w:eastAsia="宋体" w:cs="宋体"/>
          <w:spacing w:val="8"/>
          <w:sz w:val="24"/>
          <w:szCs w:val="24"/>
        </w:rPr>
        <w:t>、采购人或者采购代理机构核对评审结果</w:t>
      </w:r>
    </w:p>
    <w:p>
      <w:pPr>
        <w:spacing w:before="2" w:line="375" w:lineRule="auto"/>
        <w:ind w:left="30" w:right="80" w:firstLine="453"/>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4</w:t>
      </w:r>
      <w:r>
        <w:rPr>
          <w:rFonts w:hint="eastAsia" w:ascii="宋体" w:hAnsi="宋体" w:eastAsia="宋体" w:cs="宋体"/>
          <w:spacing w:val="8"/>
          <w:sz w:val="24"/>
          <w:szCs w:val="24"/>
        </w:rPr>
        <w:t>、评审标准中应考虑下列因素</w:t>
      </w:r>
    </w:p>
    <w:p>
      <w:pPr>
        <w:spacing w:before="2" w:line="375" w:lineRule="auto"/>
        <w:ind w:left="30" w:right="80" w:firstLine="453"/>
        <w:rPr>
          <w:rFonts w:hint="eastAsia" w:ascii="宋体" w:hAnsi="宋体" w:eastAsia="宋体" w:cs="宋体"/>
          <w:spacing w:val="8"/>
          <w:sz w:val="24"/>
          <w:szCs w:val="24"/>
        </w:rPr>
      </w:pPr>
      <w:r>
        <w:rPr>
          <w:rFonts w:hint="eastAsia" w:ascii="宋体" w:hAnsi="宋体" w:eastAsia="宋体" w:cs="宋体"/>
          <w:spacing w:val="8"/>
          <w:sz w:val="24"/>
          <w:szCs w:val="24"/>
        </w:rPr>
        <w:t>1.政府采购政策要求</w:t>
      </w:r>
    </w:p>
    <w:p>
      <w:pPr>
        <w:spacing w:before="2" w:line="375" w:lineRule="auto"/>
        <w:ind w:left="30" w:right="80" w:firstLine="453"/>
        <w:rPr>
          <w:rFonts w:hint="eastAsia" w:ascii="宋体" w:hAnsi="宋体" w:eastAsia="宋体" w:cs="宋体"/>
          <w:spacing w:val="8"/>
          <w:sz w:val="24"/>
          <w:szCs w:val="24"/>
        </w:rPr>
      </w:pPr>
      <w:r>
        <w:rPr>
          <w:rFonts w:hint="eastAsia" w:ascii="宋体" w:hAnsi="宋体" w:eastAsia="宋体" w:cs="宋体"/>
          <w:spacing w:val="8"/>
          <w:sz w:val="24"/>
          <w:szCs w:val="24"/>
        </w:rPr>
        <w:t>中小企业：不属于专门面向中小企业采购的项目，中小微企业参加宁夏政府采购活动，依据《政府采购促进中小企业发展管理办法》 (财库〔2020〕46 号）、《宁夏回族自治区政府采购促进中小企业发展管理办法实施细则》（宁财规发〔2021〕2 号）和《宁夏回族自治区财政厅 发展和改革委员会 工业和信息化厅 住房和城乡 建设厅 交通运输厅 水利厅 公共资源 交易管理局 中国人民银行银川中心 支行关于落实政府采购促进中小企业发展有关措施的通知》(宁财（采）发〔2022〕275号），小型和微型企业应提供《中小企业声明函》，对报价给予5%扣除，用扣除后的价格参与评审。</w:t>
      </w:r>
    </w:p>
    <w:p>
      <w:pPr>
        <w:spacing w:before="2" w:line="375" w:lineRule="auto"/>
        <w:ind w:right="80"/>
        <w:rPr>
          <w:rFonts w:hint="eastAsia" w:ascii="宋体" w:hAnsi="宋体" w:eastAsia="宋体" w:cs="宋体"/>
          <w:spacing w:val="8"/>
          <w:sz w:val="24"/>
          <w:szCs w:val="24"/>
        </w:rPr>
      </w:pPr>
      <w:r>
        <w:rPr>
          <w:rFonts w:hint="eastAsia" w:ascii="宋体" w:hAnsi="宋体" w:eastAsia="宋体" w:cs="宋体"/>
          <w:spacing w:val="8"/>
          <w:sz w:val="24"/>
          <w:szCs w:val="24"/>
        </w:rPr>
        <w:t>残疾人福利性企业：不属于专门面向中小企业采购的项目，根据《三部门联合发布关于促进残疾人就业政府采购政策的通知》（财库〔2017〕141 号）及《自治区财政厅残疾人联合会关于政府采购支持残疾人就业有关问题的通知》（宁财（采）发〔2020〕545 号）的规定，对提供《残疾人福利性单位声明函》的残疾人福利性单位或残疾人辅助性就业机构，对其投标总价扣除5%后参与评审。</w:t>
      </w:r>
    </w:p>
    <w:p>
      <w:pPr>
        <w:spacing w:before="2" w:line="375" w:lineRule="auto"/>
        <w:ind w:left="30" w:right="80" w:firstLine="453"/>
        <w:rPr>
          <w:rFonts w:hint="eastAsia" w:ascii="宋体" w:hAnsi="宋体" w:eastAsia="宋体" w:cs="宋体"/>
          <w:spacing w:val="8"/>
          <w:sz w:val="24"/>
          <w:szCs w:val="24"/>
        </w:rPr>
      </w:pPr>
      <w:r>
        <w:rPr>
          <w:rFonts w:hint="eastAsia" w:ascii="宋体" w:hAnsi="宋体" w:eastAsia="宋体" w:cs="宋体"/>
          <w:spacing w:val="8"/>
          <w:sz w:val="24"/>
          <w:szCs w:val="24"/>
        </w:rPr>
        <w:t>残疾人福利性单位或残疾人辅助性就业机构与大中型企业和其他自然人、法人或者其他组织组成联合体共同参加非专门面向中小企业的政府采购活动,残疾人福利性单位或残疾人辅助性就业机构协议合同金额占到联合体协议合同总金额 30%以上的,给予联合体3%的价格扣除。残疾人福利性单位或残疾人辅助性就业机构按照上述规定的政策获取政府采购合同后,不得分包或转包给大型、中型企业。</w:t>
      </w:r>
    </w:p>
    <w:p>
      <w:pPr>
        <w:spacing w:before="2" w:line="375" w:lineRule="auto"/>
        <w:ind w:left="30" w:right="80" w:firstLine="453"/>
        <w:rPr>
          <w:rFonts w:hint="eastAsia" w:ascii="宋体" w:hAnsi="宋体" w:eastAsia="宋体" w:cs="宋体"/>
          <w:spacing w:val="8"/>
          <w:sz w:val="24"/>
          <w:szCs w:val="24"/>
        </w:rPr>
      </w:pPr>
      <w:r>
        <w:rPr>
          <w:rFonts w:hint="eastAsia" w:ascii="宋体" w:hAnsi="宋体" w:eastAsia="宋体" w:cs="宋体"/>
          <w:spacing w:val="8"/>
          <w:sz w:val="24"/>
          <w:szCs w:val="24"/>
        </w:rPr>
        <w:t>监狱企业：根据《财政部 司法部关于政府采购支持监狱企业发展有关问题的通知》（财库〔2014〕68号）的规定，由省级以上监狱管理局、戒毒管理局（含新疆生产建设兵团）出具的属于监狱企业的证明文件的投标人，其投标报价扣除5%后参与评审。</w:t>
      </w:r>
    </w:p>
    <w:p>
      <w:pPr>
        <w:spacing w:before="2" w:line="375" w:lineRule="auto"/>
        <w:ind w:left="30" w:right="80" w:firstLine="453"/>
        <w:rPr>
          <w:rFonts w:hint="eastAsia" w:ascii="宋体" w:hAnsi="宋体" w:eastAsia="宋体" w:cs="宋体"/>
          <w:spacing w:val="8"/>
          <w:sz w:val="24"/>
          <w:szCs w:val="24"/>
        </w:rPr>
      </w:pPr>
      <w:r>
        <w:rPr>
          <w:rFonts w:hint="eastAsia" w:ascii="宋体" w:hAnsi="宋体" w:eastAsia="宋体" w:cs="宋体"/>
          <w:spacing w:val="8"/>
          <w:sz w:val="24"/>
          <w:szCs w:val="24"/>
        </w:rPr>
        <w:t>联合体中小微企业协议合同金额占到联合体协议合同总金额 30% 以上的：可给予联合体 2% 的价格扣除。联合体各方均为小型、微型企业和监狱企业的，联合体视同为小型、微型企业和监狱企业。对于同时属于小微企业、监狱企业、残疾人福利性单位的，不重复进行投标报价扣除（按较高比例扣除）。</w:t>
      </w:r>
    </w:p>
    <w:p>
      <w:pPr>
        <w:spacing w:before="2" w:line="375" w:lineRule="auto"/>
        <w:ind w:left="30" w:right="80" w:firstLine="453"/>
        <w:rPr>
          <w:rFonts w:hint="eastAsia" w:ascii="宋体" w:hAnsi="宋体" w:eastAsia="宋体" w:cs="宋体"/>
          <w:spacing w:val="8"/>
          <w:sz w:val="24"/>
          <w:szCs w:val="24"/>
        </w:rPr>
      </w:pPr>
      <w:r>
        <w:rPr>
          <w:rFonts w:hint="eastAsia" w:ascii="宋体" w:hAnsi="宋体" w:eastAsia="宋体" w:cs="宋体"/>
          <w:spacing w:val="8"/>
          <w:sz w:val="24"/>
          <w:szCs w:val="24"/>
        </w:rPr>
        <w:t>其他政府采购政策要求：/</w:t>
      </w:r>
    </w:p>
    <w:p>
      <w:pPr>
        <w:spacing w:before="2" w:line="375" w:lineRule="auto"/>
        <w:ind w:left="30" w:right="80" w:firstLine="453"/>
        <w:rPr>
          <w:rFonts w:hint="eastAsia" w:ascii="宋体" w:hAnsi="宋体" w:eastAsia="宋体" w:cs="宋体"/>
          <w:spacing w:val="8"/>
          <w:sz w:val="24"/>
          <w:szCs w:val="24"/>
        </w:rPr>
      </w:pPr>
      <w:bookmarkStart w:id="0" w:name="_Toc27308"/>
      <w:r>
        <w:rPr>
          <w:rFonts w:hint="eastAsia" w:ascii="宋体" w:hAnsi="宋体" w:eastAsia="宋体" w:cs="宋体"/>
          <w:spacing w:val="8"/>
          <w:sz w:val="24"/>
          <w:szCs w:val="24"/>
        </w:rPr>
        <w:t>2.中标候选人并列时的处理方式</w:t>
      </w:r>
      <w:bookmarkEnd w:id="0"/>
    </w:p>
    <w:p>
      <w:pPr>
        <w:spacing w:before="2" w:line="375" w:lineRule="auto"/>
        <w:ind w:left="30" w:right="80" w:firstLine="453"/>
        <w:rPr>
          <w:rFonts w:hint="eastAsia" w:ascii="宋体" w:hAnsi="宋体" w:eastAsia="宋体" w:cs="宋体"/>
          <w:spacing w:val="8"/>
          <w:sz w:val="24"/>
          <w:szCs w:val="24"/>
        </w:rPr>
      </w:pPr>
      <w:r>
        <w:rPr>
          <w:rFonts w:hint="eastAsia" w:ascii="宋体" w:hAnsi="宋体" w:eastAsia="宋体" w:cs="宋体"/>
          <w:spacing w:val="8"/>
          <w:sz w:val="24"/>
          <w:szCs w:val="24"/>
        </w:rPr>
        <w:t>如采用最低评标办法，则：报价相同的，由采购人或者采购人委托评标委员会按照招标文件规定的方式确定一个参加评标的投标人，招标文件未规定的采取随机抽取方式确定，其他投标无效；（</w:t>
      </w:r>
      <w:r>
        <w:rPr>
          <w:rFonts w:hint="eastAsia" w:ascii="宋体" w:hAnsi="宋体" w:eastAsia="宋体" w:cs="宋体"/>
          <w:b/>
          <w:bCs/>
          <w:spacing w:val="8"/>
          <w:sz w:val="24"/>
          <w:szCs w:val="24"/>
        </w:rPr>
        <w:t>本项目不适用）</w:t>
      </w:r>
    </w:p>
    <w:p>
      <w:pPr>
        <w:spacing w:before="2" w:line="375" w:lineRule="auto"/>
        <w:ind w:left="30" w:right="80" w:firstLine="453"/>
        <w:rPr>
          <w:rFonts w:hint="eastAsia" w:ascii="宋体" w:hAnsi="宋体" w:eastAsia="宋体" w:cs="宋体"/>
          <w:b/>
          <w:bCs/>
          <w:spacing w:val="8"/>
          <w:sz w:val="24"/>
          <w:szCs w:val="24"/>
        </w:rPr>
      </w:pPr>
      <w:r>
        <w:rPr>
          <w:rFonts w:hint="eastAsia" w:ascii="宋体" w:hAnsi="宋体" w:eastAsia="宋体" w:cs="宋体"/>
          <w:b/>
          <w:bCs/>
          <w:spacing w:val="8"/>
          <w:sz w:val="24"/>
          <w:szCs w:val="24"/>
          <w:lang w:val="en-US" w:eastAsia="zh-CN"/>
        </w:rPr>
        <w:t>本项目</w:t>
      </w:r>
      <w:r>
        <w:rPr>
          <w:rFonts w:hint="eastAsia" w:ascii="宋体" w:hAnsi="宋体" w:eastAsia="宋体" w:cs="宋体"/>
          <w:b/>
          <w:bCs/>
          <w:spacing w:val="8"/>
          <w:sz w:val="24"/>
          <w:szCs w:val="24"/>
        </w:rPr>
        <w:t>采用综合评分法，磋商结果按评审后得分由高到低顺序排列。得分相同的，按修正和扣除后的投标报价由低到高顺序排列。得分与投标报价均相同时，则按照技术指标优劣得分顺序确定排列。</w:t>
      </w:r>
    </w:p>
    <w:p>
      <w:pPr>
        <w:keepNext w:val="0"/>
        <w:keepLines w:val="0"/>
        <w:widowControl/>
        <w:numPr>
          <w:ilvl w:val="0"/>
          <w:numId w:val="0"/>
        </w:numPr>
        <w:suppressLineNumbers w:val="0"/>
        <w:spacing w:line="360" w:lineRule="auto"/>
        <w:ind w:leftChars="-95" w:right="-168" w:rightChars="-80"/>
        <w:jc w:val="both"/>
        <w:outlineLvl w:val="0"/>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五、评审因素和指标</w:t>
      </w:r>
    </w:p>
    <w:p>
      <w:pPr>
        <w:pStyle w:val="15"/>
        <w:jc w:val="center"/>
        <w:rPr>
          <w:rFonts w:ascii="宋体" w:hAnsi="宋体" w:eastAsia="宋体" w:cs="宋体"/>
          <w:spacing w:val="8"/>
          <w:sz w:val="28"/>
          <w:szCs w:val="28"/>
        </w:rPr>
      </w:pPr>
      <w:r>
        <w:rPr>
          <w:rFonts w:hint="eastAsia" w:ascii="宋体" w:hAnsi="宋体" w:eastAsia="宋体" w:cs="宋体"/>
          <w:b/>
          <w:bCs/>
          <w:sz w:val="28"/>
          <w:szCs w:val="28"/>
          <w:lang w:val="en-US" w:eastAsia="zh-CN"/>
        </w:rPr>
        <w:t>综合评分法分值构成</w:t>
      </w:r>
    </w:p>
    <w:p>
      <w:pPr>
        <w:spacing w:line="46" w:lineRule="exact"/>
        <w:jc w:val="center"/>
      </w:pPr>
    </w:p>
    <w:tbl>
      <w:tblPr>
        <w:tblStyle w:val="7"/>
        <w:tblW w:w="97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0"/>
        <w:gridCol w:w="728"/>
        <w:gridCol w:w="75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jc w:val="center"/>
        </w:trPr>
        <w:tc>
          <w:tcPr>
            <w:tcW w:w="1490" w:type="dxa"/>
            <w:vAlign w:val="center"/>
          </w:tcPr>
          <w:p>
            <w:pPr>
              <w:pStyle w:val="11"/>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spacing w:val="8"/>
                <w:kern w:val="2"/>
                <w:sz w:val="24"/>
                <w:szCs w:val="24"/>
                <w:lang w:val="en-US" w:eastAsia="zh-CN" w:bidi="ar-SA"/>
              </w:rPr>
            </w:pPr>
            <w:r>
              <w:rPr>
                <w:rFonts w:hint="eastAsia" w:ascii="宋体" w:hAnsi="宋体" w:eastAsia="宋体" w:cs="宋体"/>
                <w:spacing w:val="8"/>
                <w:kern w:val="2"/>
                <w:sz w:val="24"/>
                <w:szCs w:val="24"/>
                <w:lang w:val="en-US" w:eastAsia="zh-CN" w:bidi="ar-SA"/>
              </w:rPr>
              <w:t>分值构成</w:t>
            </w:r>
          </w:p>
        </w:tc>
        <w:tc>
          <w:tcPr>
            <w:tcW w:w="728" w:type="dxa"/>
            <w:vAlign w:val="center"/>
          </w:tcPr>
          <w:p>
            <w:pPr>
              <w:pStyle w:val="11"/>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spacing w:val="8"/>
                <w:kern w:val="2"/>
                <w:sz w:val="24"/>
                <w:szCs w:val="24"/>
                <w:lang w:val="en-US" w:eastAsia="zh-CN" w:bidi="ar-SA"/>
              </w:rPr>
            </w:pPr>
          </w:p>
        </w:tc>
        <w:tc>
          <w:tcPr>
            <w:tcW w:w="7574" w:type="dxa"/>
            <w:tcBorders>
              <w:right w:val="single" w:color="auto" w:sz="4" w:space="0"/>
            </w:tcBorders>
            <w:vAlign w:val="center"/>
          </w:tcPr>
          <w:p>
            <w:pPr>
              <w:keepNext w:val="0"/>
              <w:keepLines w:val="0"/>
              <w:pageBreakBefore w:val="0"/>
              <w:widowControl w:val="0"/>
              <w:kinsoku/>
              <w:wordWrap/>
              <w:overflowPunct/>
              <w:topLinePunct w:val="0"/>
              <w:bidi w:val="0"/>
              <w:adjustRightInd/>
              <w:snapToGrid/>
              <w:spacing w:line="288" w:lineRule="auto"/>
              <w:textAlignment w:val="auto"/>
              <w:rPr>
                <w:rFonts w:hint="eastAsia" w:ascii="宋体" w:hAnsi="宋体" w:eastAsia="宋体" w:cs="宋体"/>
                <w:spacing w:val="8"/>
                <w:kern w:val="2"/>
                <w:sz w:val="24"/>
                <w:szCs w:val="24"/>
                <w:lang w:val="en-US" w:eastAsia="zh-CN" w:bidi="ar-SA"/>
              </w:rPr>
            </w:pPr>
            <w:r>
              <w:rPr>
                <w:rFonts w:hint="eastAsia" w:ascii="宋体" w:hAnsi="宋体" w:eastAsia="宋体" w:cs="宋体"/>
                <w:spacing w:val="8"/>
                <w:kern w:val="2"/>
                <w:sz w:val="24"/>
                <w:szCs w:val="24"/>
                <w:lang w:val="en-US" w:eastAsia="zh-CN" w:bidi="ar-SA"/>
              </w:rPr>
              <w:t>总分100分，其中：</w:t>
            </w:r>
          </w:p>
          <w:p>
            <w:pPr>
              <w:keepNext w:val="0"/>
              <w:keepLines w:val="0"/>
              <w:pageBreakBefore w:val="0"/>
              <w:widowControl w:val="0"/>
              <w:kinsoku/>
              <w:wordWrap/>
              <w:overflowPunct/>
              <w:topLinePunct w:val="0"/>
              <w:bidi w:val="0"/>
              <w:adjustRightInd/>
              <w:snapToGrid/>
              <w:spacing w:line="288" w:lineRule="auto"/>
              <w:textAlignment w:val="auto"/>
              <w:rPr>
                <w:rFonts w:hint="eastAsia" w:ascii="宋体" w:hAnsi="宋体" w:eastAsia="宋体" w:cs="宋体"/>
                <w:spacing w:val="8"/>
                <w:kern w:val="2"/>
                <w:sz w:val="24"/>
                <w:szCs w:val="24"/>
                <w:lang w:val="en-US" w:eastAsia="zh-CN" w:bidi="ar-SA"/>
              </w:rPr>
            </w:pPr>
            <w:r>
              <w:rPr>
                <w:rFonts w:hint="eastAsia" w:ascii="宋体" w:hAnsi="宋体" w:eastAsia="宋体" w:cs="宋体"/>
                <w:spacing w:val="8"/>
                <w:kern w:val="2"/>
                <w:sz w:val="24"/>
                <w:szCs w:val="24"/>
                <w:lang w:val="en-US" w:eastAsia="zh-CN" w:bidi="ar-SA"/>
              </w:rPr>
              <w:t>投标报价：20分</w:t>
            </w:r>
          </w:p>
          <w:p>
            <w:pPr>
              <w:keepNext w:val="0"/>
              <w:keepLines w:val="0"/>
              <w:pageBreakBefore w:val="0"/>
              <w:widowControl w:val="0"/>
              <w:kinsoku/>
              <w:wordWrap/>
              <w:overflowPunct/>
              <w:topLinePunct w:val="0"/>
              <w:bidi w:val="0"/>
              <w:adjustRightInd/>
              <w:snapToGrid/>
              <w:spacing w:line="288" w:lineRule="auto"/>
              <w:textAlignment w:val="auto"/>
              <w:rPr>
                <w:rFonts w:hint="eastAsia" w:ascii="宋体" w:hAnsi="宋体" w:eastAsia="宋体" w:cs="宋体"/>
                <w:spacing w:val="8"/>
                <w:kern w:val="2"/>
                <w:sz w:val="24"/>
                <w:szCs w:val="24"/>
                <w:lang w:val="en-US" w:eastAsia="zh-CN" w:bidi="ar-SA"/>
              </w:rPr>
            </w:pPr>
            <w:r>
              <w:rPr>
                <w:rFonts w:hint="eastAsia" w:ascii="宋体" w:hAnsi="宋体" w:eastAsia="宋体" w:cs="宋体"/>
                <w:spacing w:val="8"/>
                <w:kern w:val="2"/>
                <w:sz w:val="24"/>
                <w:szCs w:val="24"/>
                <w:lang w:val="en-US" w:eastAsia="zh-CN" w:bidi="ar-SA"/>
              </w:rPr>
              <w:t>业绩：15分</w:t>
            </w:r>
          </w:p>
          <w:p>
            <w:pPr>
              <w:keepNext w:val="0"/>
              <w:keepLines w:val="0"/>
              <w:pageBreakBefore w:val="0"/>
              <w:widowControl w:val="0"/>
              <w:kinsoku/>
              <w:wordWrap/>
              <w:overflowPunct/>
              <w:topLinePunct w:val="0"/>
              <w:bidi w:val="0"/>
              <w:adjustRightInd/>
              <w:snapToGrid/>
              <w:spacing w:line="288" w:lineRule="auto"/>
              <w:textAlignment w:val="auto"/>
              <w:rPr>
                <w:rFonts w:hint="eastAsia" w:ascii="宋体" w:hAnsi="宋体" w:eastAsia="宋体" w:cs="宋体"/>
                <w:spacing w:val="8"/>
                <w:kern w:val="2"/>
                <w:sz w:val="24"/>
                <w:szCs w:val="24"/>
                <w:lang w:val="en-US" w:eastAsia="zh-CN" w:bidi="ar-SA"/>
              </w:rPr>
            </w:pPr>
            <w:r>
              <w:rPr>
                <w:rFonts w:hint="eastAsia" w:ascii="宋体" w:hAnsi="宋体" w:eastAsia="宋体" w:cs="宋体"/>
                <w:spacing w:val="8"/>
                <w:kern w:val="2"/>
                <w:sz w:val="24"/>
                <w:szCs w:val="24"/>
                <w:lang w:val="en-US" w:eastAsia="zh-CN" w:bidi="ar-SA"/>
              </w:rPr>
              <w:t>人员：20分</w:t>
            </w:r>
          </w:p>
          <w:p>
            <w:pPr>
              <w:keepNext w:val="0"/>
              <w:keepLines w:val="0"/>
              <w:pageBreakBefore w:val="0"/>
              <w:widowControl w:val="0"/>
              <w:kinsoku/>
              <w:wordWrap/>
              <w:overflowPunct/>
              <w:topLinePunct w:val="0"/>
              <w:bidi w:val="0"/>
              <w:adjustRightInd/>
              <w:snapToGrid/>
              <w:spacing w:line="288" w:lineRule="auto"/>
              <w:textAlignment w:val="auto"/>
              <w:rPr>
                <w:rFonts w:hint="eastAsia" w:ascii="宋体" w:hAnsi="宋体" w:eastAsia="宋体" w:cs="宋体"/>
                <w:spacing w:val="8"/>
                <w:kern w:val="2"/>
                <w:sz w:val="24"/>
                <w:szCs w:val="24"/>
                <w:lang w:val="en-US" w:eastAsia="zh-CN" w:bidi="ar-SA"/>
              </w:rPr>
            </w:pPr>
            <w:r>
              <w:rPr>
                <w:rFonts w:hint="eastAsia" w:ascii="宋体" w:hAnsi="宋体" w:eastAsia="宋体" w:cs="宋体"/>
                <w:spacing w:val="8"/>
                <w:kern w:val="2"/>
                <w:sz w:val="24"/>
                <w:szCs w:val="24"/>
                <w:lang w:val="en-US" w:eastAsia="zh-CN" w:bidi="ar-SA"/>
              </w:rPr>
              <w:t>技术评审因素：45分</w:t>
            </w:r>
          </w:p>
          <w:p>
            <w:pPr>
              <w:keepNext w:val="0"/>
              <w:keepLines w:val="0"/>
              <w:pageBreakBefore w:val="0"/>
              <w:widowControl w:val="0"/>
              <w:kinsoku/>
              <w:wordWrap/>
              <w:overflowPunct/>
              <w:topLinePunct w:val="0"/>
              <w:bidi w:val="0"/>
              <w:adjustRightInd/>
              <w:snapToGrid/>
              <w:spacing w:line="288" w:lineRule="auto"/>
              <w:textAlignment w:val="auto"/>
              <w:rPr>
                <w:rFonts w:hint="eastAsia" w:ascii="宋体" w:hAnsi="宋体" w:eastAsia="宋体" w:cs="宋体"/>
                <w:spacing w:val="8"/>
                <w:kern w:val="2"/>
                <w:sz w:val="24"/>
                <w:szCs w:val="24"/>
                <w:lang w:val="en-US" w:eastAsia="zh-CN" w:bidi="ar-SA"/>
              </w:rPr>
            </w:pPr>
            <w:r>
              <w:rPr>
                <w:rFonts w:hint="eastAsia" w:ascii="宋体" w:hAnsi="宋体" w:eastAsia="宋体" w:cs="宋体"/>
                <w:spacing w:val="8"/>
                <w:kern w:val="2"/>
                <w:sz w:val="24"/>
                <w:szCs w:val="24"/>
                <w:lang w:val="en-US" w:eastAsia="zh-CN" w:bidi="ar-SA"/>
              </w:rPr>
              <w:t>（1）对本项目理解及服务方案：20分</w:t>
            </w:r>
          </w:p>
          <w:p>
            <w:pPr>
              <w:keepNext w:val="0"/>
              <w:keepLines w:val="0"/>
              <w:pageBreakBefore w:val="0"/>
              <w:widowControl w:val="0"/>
              <w:kinsoku/>
              <w:wordWrap/>
              <w:overflowPunct/>
              <w:topLinePunct w:val="0"/>
              <w:bidi w:val="0"/>
              <w:adjustRightInd/>
              <w:snapToGrid/>
              <w:spacing w:line="288" w:lineRule="auto"/>
              <w:textAlignment w:val="auto"/>
              <w:rPr>
                <w:rFonts w:hint="eastAsia" w:ascii="宋体" w:hAnsi="宋体" w:eastAsia="宋体" w:cs="宋体"/>
                <w:spacing w:val="8"/>
                <w:kern w:val="2"/>
                <w:sz w:val="24"/>
                <w:szCs w:val="24"/>
                <w:lang w:val="en-US" w:eastAsia="zh-CN" w:bidi="ar-SA"/>
              </w:rPr>
            </w:pPr>
            <w:r>
              <w:rPr>
                <w:rFonts w:hint="eastAsia" w:ascii="宋体" w:hAnsi="宋体" w:eastAsia="宋体" w:cs="宋体"/>
                <w:spacing w:val="8"/>
                <w:kern w:val="2"/>
                <w:sz w:val="24"/>
                <w:szCs w:val="24"/>
                <w:lang w:val="en-US" w:eastAsia="zh-CN" w:bidi="ar-SA"/>
              </w:rPr>
              <w:t>（2）重点、难点分析及应对措施：10分</w:t>
            </w:r>
          </w:p>
          <w:p>
            <w:pPr>
              <w:keepNext w:val="0"/>
              <w:keepLines w:val="0"/>
              <w:pageBreakBefore w:val="0"/>
              <w:widowControl w:val="0"/>
              <w:kinsoku/>
              <w:wordWrap/>
              <w:overflowPunct/>
              <w:topLinePunct w:val="0"/>
              <w:bidi w:val="0"/>
              <w:adjustRightInd/>
              <w:snapToGrid/>
              <w:spacing w:line="288" w:lineRule="auto"/>
              <w:textAlignment w:val="auto"/>
              <w:rPr>
                <w:rFonts w:hint="eastAsia" w:ascii="宋体" w:hAnsi="宋体" w:eastAsia="宋体" w:cs="宋体"/>
                <w:spacing w:val="8"/>
                <w:kern w:val="2"/>
                <w:sz w:val="24"/>
                <w:szCs w:val="24"/>
                <w:lang w:val="en-US" w:eastAsia="zh-CN" w:bidi="ar-SA"/>
              </w:rPr>
            </w:pPr>
            <w:r>
              <w:rPr>
                <w:rFonts w:hint="eastAsia" w:ascii="宋体" w:hAnsi="宋体" w:eastAsia="宋体" w:cs="宋体"/>
                <w:spacing w:val="8"/>
                <w:kern w:val="2"/>
                <w:sz w:val="24"/>
                <w:szCs w:val="24"/>
                <w:lang w:val="en-US" w:eastAsia="zh-CN" w:bidi="ar-SA"/>
              </w:rPr>
              <w:t>（3）后续服务安排及保证措施：10分</w:t>
            </w:r>
          </w:p>
          <w:p>
            <w:pPr>
              <w:pStyle w:val="11"/>
              <w:keepNext w:val="0"/>
              <w:keepLines w:val="0"/>
              <w:pageBreakBefore w:val="0"/>
              <w:widowControl w:val="0"/>
              <w:kinsoku/>
              <w:wordWrap/>
              <w:overflowPunct/>
              <w:topLinePunct w:val="0"/>
              <w:bidi w:val="0"/>
              <w:adjustRightInd/>
              <w:snapToGrid/>
              <w:spacing w:line="288" w:lineRule="auto"/>
              <w:jc w:val="both"/>
              <w:textAlignment w:val="auto"/>
              <w:rPr>
                <w:rFonts w:hint="eastAsia" w:ascii="宋体" w:hAnsi="宋体" w:eastAsia="宋体" w:cs="宋体"/>
                <w:spacing w:val="8"/>
                <w:kern w:val="2"/>
                <w:sz w:val="24"/>
                <w:szCs w:val="24"/>
                <w:lang w:val="en-US" w:eastAsia="zh-CN" w:bidi="ar-SA"/>
              </w:rPr>
            </w:pPr>
            <w:r>
              <w:rPr>
                <w:rFonts w:hint="eastAsia" w:ascii="宋体" w:hAnsi="宋体" w:eastAsia="宋体" w:cs="宋体"/>
                <w:spacing w:val="8"/>
                <w:kern w:val="2"/>
                <w:sz w:val="24"/>
                <w:szCs w:val="24"/>
                <w:lang w:val="en-US" w:eastAsia="zh-CN" w:bidi="ar-SA"/>
              </w:rPr>
              <w:t>（4）服务承诺：5分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490" w:type="dxa"/>
            <w:vAlign w:val="center"/>
          </w:tcPr>
          <w:p>
            <w:pPr>
              <w:pStyle w:val="11"/>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spacing w:val="8"/>
                <w:kern w:val="2"/>
                <w:sz w:val="24"/>
                <w:szCs w:val="24"/>
                <w:lang w:val="en-US" w:eastAsia="zh-CN" w:bidi="ar-SA"/>
              </w:rPr>
            </w:pPr>
            <w:bookmarkStart w:id="1" w:name="_bookmark6"/>
            <w:bookmarkEnd w:id="1"/>
            <w:r>
              <w:rPr>
                <w:rFonts w:hint="eastAsia" w:ascii="宋体" w:hAnsi="宋体" w:eastAsia="宋体" w:cs="宋体"/>
                <w:spacing w:val="8"/>
                <w:kern w:val="2"/>
                <w:sz w:val="24"/>
                <w:szCs w:val="24"/>
                <w:lang w:val="en-US" w:eastAsia="zh-CN" w:bidi="ar-SA"/>
              </w:rPr>
              <w:t>评分项目</w:t>
            </w:r>
          </w:p>
        </w:tc>
        <w:tc>
          <w:tcPr>
            <w:tcW w:w="728" w:type="dxa"/>
            <w:vAlign w:val="center"/>
          </w:tcPr>
          <w:p>
            <w:pPr>
              <w:pStyle w:val="11"/>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spacing w:val="8"/>
                <w:kern w:val="2"/>
                <w:sz w:val="24"/>
                <w:szCs w:val="24"/>
                <w:lang w:val="en-US" w:eastAsia="zh-CN" w:bidi="ar-SA"/>
              </w:rPr>
            </w:pPr>
            <w:r>
              <w:rPr>
                <w:rFonts w:hint="eastAsia" w:ascii="宋体" w:hAnsi="宋体" w:eastAsia="宋体" w:cs="宋体"/>
                <w:spacing w:val="8"/>
                <w:kern w:val="2"/>
                <w:sz w:val="24"/>
                <w:szCs w:val="24"/>
                <w:lang w:val="en-US" w:eastAsia="zh-CN" w:bidi="ar-SA"/>
              </w:rPr>
              <w:t>分值</w:t>
            </w:r>
          </w:p>
        </w:tc>
        <w:tc>
          <w:tcPr>
            <w:tcW w:w="7574" w:type="dxa"/>
            <w:tcBorders>
              <w:right w:val="single" w:color="auto" w:sz="4" w:space="0"/>
            </w:tcBorders>
            <w:vAlign w:val="center"/>
          </w:tcPr>
          <w:p>
            <w:pPr>
              <w:pStyle w:val="11"/>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spacing w:val="8"/>
                <w:kern w:val="2"/>
                <w:sz w:val="24"/>
                <w:szCs w:val="24"/>
                <w:lang w:val="en-US" w:eastAsia="zh-CN" w:bidi="ar-SA"/>
              </w:rPr>
            </w:pPr>
            <w:r>
              <w:rPr>
                <w:rFonts w:hint="eastAsia" w:ascii="宋体" w:hAnsi="宋体" w:eastAsia="宋体" w:cs="宋体"/>
                <w:spacing w:val="8"/>
                <w:kern w:val="2"/>
                <w:sz w:val="24"/>
                <w:szCs w:val="24"/>
                <w:lang w:val="en-US" w:eastAsia="zh-CN" w:bidi="ar-SA"/>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90" w:type="dxa"/>
            <w:tcBorders>
              <w:bottom w:val="single" w:color="auto" w:sz="4" w:space="0"/>
            </w:tcBorders>
            <w:vAlign w:val="center"/>
          </w:tcPr>
          <w:p>
            <w:pPr>
              <w:pStyle w:val="11"/>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spacing w:val="8"/>
                <w:kern w:val="2"/>
                <w:sz w:val="24"/>
                <w:szCs w:val="24"/>
                <w:lang w:val="en-US" w:eastAsia="zh-CN" w:bidi="ar-SA"/>
              </w:rPr>
            </w:pPr>
            <w:r>
              <w:rPr>
                <w:rFonts w:hint="eastAsia" w:ascii="宋体" w:hAnsi="宋体" w:eastAsia="宋体" w:cs="宋体"/>
                <w:spacing w:val="8"/>
                <w:kern w:val="2"/>
                <w:sz w:val="24"/>
                <w:szCs w:val="24"/>
                <w:lang w:val="en-US" w:eastAsia="zh-CN" w:bidi="ar-SA"/>
              </w:rPr>
              <w:t>响应报价</w:t>
            </w:r>
          </w:p>
        </w:tc>
        <w:tc>
          <w:tcPr>
            <w:tcW w:w="728" w:type="dxa"/>
            <w:vAlign w:val="center"/>
          </w:tcPr>
          <w:p>
            <w:pPr>
              <w:pStyle w:val="11"/>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spacing w:val="8"/>
                <w:kern w:val="2"/>
                <w:sz w:val="24"/>
                <w:szCs w:val="24"/>
                <w:lang w:val="en-US" w:eastAsia="zh-CN" w:bidi="ar-SA"/>
              </w:rPr>
            </w:pPr>
            <w:r>
              <w:rPr>
                <w:rFonts w:hint="eastAsia" w:ascii="宋体" w:hAnsi="宋体" w:eastAsia="宋体" w:cs="宋体"/>
                <w:spacing w:val="8"/>
                <w:kern w:val="2"/>
                <w:sz w:val="24"/>
                <w:szCs w:val="24"/>
                <w:lang w:val="en-US" w:eastAsia="zh-CN" w:bidi="ar-SA"/>
              </w:rPr>
              <w:t>20分</w:t>
            </w:r>
          </w:p>
        </w:tc>
        <w:tc>
          <w:tcPr>
            <w:tcW w:w="7574" w:type="dxa"/>
            <w:tcBorders>
              <w:right w:val="single" w:color="auto" w:sz="4" w:space="0"/>
            </w:tcBorders>
            <w:vAlign w:val="center"/>
          </w:tcPr>
          <w:p>
            <w:pPr>
              <w:pStyle w:val="11"/>
              <w:keepNext w:val="0"/>
              <w:keepLines w:val="0"/>
              <w:pageBreakBefore w:val="0"/>
              <w:widowControl w:val="0"/>
              <w:kinsoku/>
              <w:wordWrap/>
              <w:overflowPunct/>
              <w:topLinePunct w:val="0"/>
              <w:bidi w:val="0"/>
              <w:adjustRightInd/>
              <w:snapToGrid/>
              <w:spacing w:line="312" w:lineRule="auto"/>
              <w:ind w:right="42" w:rightChars="20"/>
              <w:textAlignment w:val="auto"/>
              <w:rPr>
                <w:rFonts w:hint="eastAsia" w:ascii="宋体" w:hAnsi="宋体" w:eastAsia="宋体" w:cs="宋体"/>
                <w:spacing w:val="8"/>
                <w:kern w:val="2"/>
                <w:sz w:val="24"/>
                <w:szCs w:val="24"/>
                <w:lang w:val="en-US" w:eastAsia="zh-CN" w:bidi="ar-SA"/>
              </w:rPr>
            </w:pPr>
            <w:r>
              <w:rPr>
                <w:rFonts w:hint="eastAsia" w:ascii="宋体" w:hAnsi="宋体" w:eastAsia="宋体" w:cs="宋体"/>
                <w:spacing w:val="8"/>
                <w:kern w:val="2"/>
                <w:sz w:val="24"/>
                <w:szCs w:val="24"/>
                <w:lang w:val="en-US" w:eastAsia="zh-CN" w:bidi="ar-SA"/>
              </w:rPr>
              <w:t>供应商的价格分统一按下列公式计算：响应报价得分=（评标基准价/最后投标报价）×20。评标基准价：满足磋商文件要求且最后投标价格最低的投标报价。</w:t>
            </w:r>
          </w:p>
          <w:p>
            <w:pPr>
              <w:pStyle w:val="11"/>
              <w:keepNext w:val="0"/>
              <w:keepLines w:val="0"/>
              <w:pageBreakBefore w:val="0"/>
              <w:widowControl w:val="0"/>
              <w:kinsoku/>
              <w:wordWrap/>
              <w:overflowPunct/>
              <w:topLinePunct w:val="0"/>
              <w:bidi w:val="0"/>
              <w:adjustRightInd/>
              <w:snapToGrid/>
              <w:spacing w:line="312" w:lineRule="auto"/>
              <w:ind w:right="42" w:rightChars="20"/>
              <w:textAlignment w:val="auto"/>
              <w:rPr>
                <w:rFonts w:hint="eastAsia" w:ascii="宋体" w:hAnsi="宋体" w:eastAsia="宋体" w:cs="宋体"/>
                <w:spacing w:val="8"/>
                <w:kern w:val="2"/>
                <w:sz w:val="24"/>
                <w:szCs w:val="24"/>
                <w:lang w:val="en-US" w:eastAsia="zh-CN" w:bidi="ar-SA"/>
              </w:rPr>
            </w:pPr>
            <w:r>
              <w:rPr>
                <w:rFonts w:hint="eastAsia" w:ascii="宋体" w:hAnsi="宋体" w:eastAsia="宋体" w:cs="宋体"/>
                <w:spacing w:val="8"/>
                <w:kern w:val="2"/>
                <w:sz w:val="24"/>
                <w:szCs w:val="24"/>
                <w:lang w:val="en-US" w:eastAsia="zh-CN" w:bidi="ar-SA"/>
              </w:rPr>
              <w:t>注：项目评审过程中，不得去掉报价中的最高报价和最低报价。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90" w:type="dxa"/>
            <w:vAlign w:val="center"/>
          </w:tcPr>
          <w:p>
            <w:pPr>
              <w:pStyle w:val="11"/>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spacing w:val="8"/>
                <w:kern w:val="2"/>
                <w:sz w:val="24"/>
                <w:szCs w:val="24"/>
                <w:lang w:val="en-US" w:eastAsia="zh-CN" w:bidi="ar-SA"/>
              </w:rPr>
            </w:pPr>
            <w:r>
              <w:rPr>
                <w:rFonts w:hint="eastAsia" w:ascii="宋体" w:hAnsi="宋体" w:eastAsia="宋体" w:cs="宋体"/>
                <w:spacing w:val="8"/>
                <w:kern w:val="2"/>
                <w:sz w:val="24"/>
                <w:szCs w:val="24"/>
                <w:lang w:val="en-US" w:eastAsia="zh-CN" w:bidi="ar-SA"/>
              </w:rPr>
              <w:t>业绩</w:t>
            </w:r>
          </w:p>
        </w:tc>
        <w:tc>
          <w:tcPr>
            <w:tcW w:w="728" w:type="dxa"/>
            <w:vAlign w:val="center"/>
          </w:tcPr>
          <w:p>
            <w:pPr>
              <w:pStyle w:val="11"/>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spacing w:val="8"/>
                <w:kern w:val="2"/>
                <w:sz w:val="24"/>
                <w:szCs w:val="24"/>
                <w:lang w:val="en-US" w:eastAsia="zh-CN" w:bidi="ar-SA"/>
              </w:rPr>
            </w:pPr>
            <w:r>
              <w:rPr>
                <w:rFonts w:hint="eastAsia" w:ascii="宋体" w:hAnsi="宋体" w:eastAsia="宋体" w:cs="宋体"/>
                <w:spacing w:val="8"/>
                <w:kern w:val="2"/>
                <w:sz w:val="24"/>
                <w:szCs w:val="24"/>
                <w:lang w:val="en-US" w:eastAsia="zh-CN" w:bidi="ar-SA"/>
              </w:rPr>
              <w:t>15分</w:t>
            </w:r>
          </w:p>
        </w:tc>
        <w:tc>
          <w:tcPr>
            <w:tcW w:w="7574" w:type="dxa"/>
            <w:tcBorders>
              <w:right w:val="single" w:color="auto" w:sz="4" w:space="0"/>
            </w:tcBorders>
            <w:vAlign w:val="center"/>
          </w:tcPr>
          <w:p>
            <w:pPr>
              <w:pStyle w:val="11"/>
              <w:keepNext w:val="0"/>
              <w:keepLines w:val="0"/>
              <w:pageBreakBefore w:val="0"/>
              <w:widowControl w:val="0"/>
              <w:kinsoku/>
              <w:wordWrap/>
              <w:overflowPunct/>
              <w:topLinePunct w:val="0"/>
              <w:bidi w:val="0"/>
              <w:adjustRightInd/>
              <w:snapToGrid/>
              <w:spacing w:line="312" w:lineRule="auto"/>
              <w:ind w:right="42" w:rightChars="20"/>
              <w:jc w:val="both"/>
              <w:textAlignment w:val="auto"/>
              <w:rPr>
                <w:rFonts w:hint="eastAsia" w:ascii="宋体" w:hAnsi="宋体" w:eastAsia="宋体" w:cs="宋体"/>
                <w:spacing w:val="8"/>
                <w:kern w:val="2"/>
                <w:sz w:val="24"/>
                <w:szCs w:val="24"/>
                <w:lang w:val="en-US" w:eastAsia="zh-CN" w:bidi="ar-SA"/>
              </w:rPr>
            </w:pPr>
            <w:r>
              <w:rPr>
                <w:rFonts w:hint="eastAsia" w:ascii="宋体" w:hAnsi="宋体" w:eastAsia="宋体" w:cs="宋体"/>
                <w:spacing w:val="8"/>
                <w:kern w:val="2"/>
                <w:sz w:val="24"/>
                <w:szCs w:val="24"/>
                <w:lang w:val="en-US" w:eastAsia="zh-CN" w:bidi="ar-SA"/>
              </w:rPr>
              <w:t>近五年（自2018年5月17日至磋商文件递交截止之日）内，完成过1个房屋建筑工程（新建或改扩建或维修）施工业绩得9分；在此基础上，每增加1个近五年（自2018年5月17日至磋商文件递交截止之日）的房屋建筑工程（新建或改扩建或维修）施工业绩加3分，最高加6分。（提供中标通知书或合同协议书复印件并加盖投标单位公章，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8" w:hRule="atLeast"/>
          <w:jc w:val="center"/>
        </w:trPr>
        <w:tc>
          <w:tcPr>
            <w:tcW w:w="1490" w:type="dxa"/>
            <w:vAlign w:val="center"/>
          </w:tcPr>
          <w:p>
            <w:pPr>
              <w:pStyle w:val="11"/>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spacing w:val="8"/>
                <w:kern w:val="2"/>
                <w:sz w:val="24"/>
                <w:szCs w:val="24"/>
                <w:lang w:val="en-US" w:eastAsia="zh-CN" w:bidi="ar-SA"/>
              </w:rPr>
            </w:pPr>
            <w:r>
              <w:rPr>
                <w:rFonts w:hint="eastAsia" w:ascii="宋体" w:hAnsi="宋体" w:eastAsia="宋体" w:cs="宋体"/>
                <w:spacing w:val="8"/>
                <w:kern w:val="2"/>
                <w:sz w:val="24"/>
                <w:szCs w:val="24"/>
                <w:lang w:val="en-US" w:eastAsia="zh-CN" w:bidi="ar-SA"/>
              </w:rPr>
              <w:t>人员</w:t>
            </w:r>
          </w:p>
        </w:tc>
        <w:tc>
          <w:tcPr>
            <w:tcW w:w="728" w:type="dxa"/>
            <w:vAlign w:val="center"/>
          </w:tcPr>
          <w:p>
            <w:pPr>
              <w:pStyle w:val="11"/>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spacing w:val="8"/>
                <w:kern w:val="2"/>
                <w:sz w:val="24"/>
                <w:szCs w:val="24"/>
                <w:lang w:val="en-US" w:eastAsia="zh-CN" w:bidi="ar-SA"/>
              </w:rPr>
            </w:pPr>
            <w:r>
              <w:rPr>
                <w:rFonts w:hint="eastAsia" w:ascii="宋体" w:hAnsi="宋体" w:eastAsia="宋体" w:cs="宋体"/>
                <w:spacing w:val="8"/>
                <w:kern w:val="2"/>
                <w:sz w:val="24"/>
                <w:szCs w:val="24"/>
                <w:lang w:val="en-US" w:eastAsia="zh-CN" w:bidi="ar-SA"/>
              </w:rPr>
              <w:t>20分</w:t>
            </w:r>
          </w:p>
        </w:tc>
        <w:tc>
          <w:tcPr>
            <w:tcW w:w="7574" w:type="dxa"/>
            <w:tcBorders>
              <w:right w:val="single" w:color="auto" w:sz="4" w:space="0"/>
            </w:tcBorders>
            <w:vAlign w:val="center"/>
          </w:tcPr>
          <w:p>
            <w:pPr>
              <w:pStyle w:val="11"/>
              <w:keepNext w:val="0"/>
              <w:keepLines w:val="0"/>
              <w:pageBreakBefore w:val="0"/>
              <w:widowControl w:val="0"/>
              <w:numPr>
                <w:ilvl w:val="0"/>
                <w:numId w:val="0"/>
              </w:numPr>
              <w:kinsoku/>
              <w:wordWrap/>
              <w:overflowPunct/>
              <w:topLinePunct w:val="0"/>
              <w:bidi w:val="0"/>
              <w:adjustRightInd/>
              <w:snapToGrid/>
              <w:spacing w:line="312" w:lineRule="auto"/>
              <w:ind w:right="42" w:rightChars="20"/>
              <w:jc w:val="both"/>
              <w:textAlignment w:val="auto"/>
              <w:rPr>
                <w:rFonts w:hint="eastAsia" w:ascii="宋体" w:hAnsi="宋体" w:eastAsia="宋体" w:cs="宋体"/>
                <w:spacing w:val="8"/>
                <w:kern w:val="2"/>
                <w:sz w:val="24"/>
                <w:szCs w:val="24"/>
                <w:lang w:val="en-US" w:eastAsia="zh-CN" w:bidi="ar-SA"/>
              </w:rPr>
            </w:pPr>
            <w:r>
              <w:rPr>
                <w:rFonts w:hint="eastAsia" w:ascii="宋体" w:hAnsi="宋体" w:eastAsia="宋体" w:cs="宋体"/>
                <w:spacing w:val="8"/>
                <w:kern w:val="2"/>
                <w:sz w:val="24"/>
                <w:szCs w:val="24"/>
                <w:lang w:val="en-US" w:eastAsia="zh-CN" w:bidi="ar-SA"/>
              </w:rPr>
              <w:t>1.项目经理具有建筑工程相关专业中级及以上职称得2.5分，具备建筑工程二级及以上注册建造师得2.5分，持有交通运输主管部门或建设主管部门颁发的B类安全生产考核证书得2.5分。（提供注册建造师证、职称证、安全生产考核证证明材料复印件并加盖投标单位公章，否则不得分）</w:t>
            </w:r>
          </w:p>
          <w:p>
            <w:pPr>
              <w:pStyle w:val="11"/>
              <w:keepNext w:val="0"/>
              <w:keepLines w:val="0"/>
              <w:pageBreakBefore w:val="0"/>
              <w:widowControl w:val="0"/>
              <w:numPr>
                <w:ilvl w:val="0"/>
                <w:numId w:val="0"/>
              </w:numPr>
              <w:kinsoku/>
              <w:wordWrap/>
              <w:overflowPunct/>
              <w:topLinePunct w:val="0"/>
              <w:bidi w:val="0"/>
              <w:adjustRightInd/>
              <w:snapToGrid/>
              <w:spacing w:line="312" w:lineRule="auto"/>
              <w:ind w:right="42" w:rightChars="20"/>
              <w:jc w:val="both"/>
              <w:textAlignment w:val="auto"/>
              <w:rPr>
                <w:rFonts w:hint="eastAsia" w:ascii="宋体" w:hAnsi="宋体" w:eastAsia="宋体" w:cs="宋体"/>
                <w:spacing w:val="8"/>
                <w:kern w:val="2"/>
                <w:sz w:val="24"/>
                <w:szCs w:val="24"/>
                <w:lang w:val="en-US" w:eastAsia="zh-CN" w:bidi="ar-SA"/>
              </w:rPr>
            </w:pPr>
            <w:r>
              <w:rPr>
                <w:rFonts w:hint="eastAsia" w:ascii="宋体" w:hAnsi="宋体" w:eastAsia="宋体" w:cs="宋体"/>
                <w:spacing w:val="8"/>
                <w:kern w:val="2"/>
                <w:sz w:val="24"/>
                <w:szCs w:val="24"/>
                <w:lang w:val="en-US" w:eastAsia="zh-CN" w:bidi="ar-SA"/>
              </w:rPr>
              <w:t>2.项目经理近五年（自2018年5月17日至磋商文件递交截止之日）内，完成过1个房屋建筑工程（新建或改扩建或维修）施工业绩得5分。（提供中标通知书或合同协议书或交（竣）工验收证明材料或项目竣工备案登记表，以上证明材料中须体现项目经理担任的职务，并加盖投标单位公章，否则不得分）</w:t>
            </w:r>
          </w:p>
          <w:p>
            <w:pPr>
              <w:pStyle w:val="11"/>
              <w:keepNext w:val="0"/>
              <w:keepLines w:val="0"/>
              <w:pageBreakBefore w:val="0"/>
              <w:widowControl w:val="0"/>
              <w:numPr>
                <w:ilvl w:val="0"/>
                <w:numId w:val="0"/>
              </w:numPr>
              <w:kinsoku/>
              <w:wordWrap/>
              <w:overflowPunct/>
              <w:topLinePunct w:val="0"/>
              <w:bidi w:val="0"/>
              <w:adjustRightInd/>
              <w:snapToGrid/>
              <w:spacing w:line="312" w:lineRule="auto"/>
              <w:ind w:right="42" w:rightChars="20"/>
              <w:jc w:val="both"/>
              <w:textAlignment w:val="auto"/>
              <w:rPr>
                <w:rFonts w:hint="eastAsia" w:ascii="宋体" w:hAnsi="宋体" w:eastAsia="宋体" w:cs="宋体"/>
                <w:spacing w:val="8"/>
                <w:kern w:val="2"/>
                <w:sz w:val="24"/>
                <w:szCs w:val="24"/>
                <w:lang w:val="en-US" w:eastAsia="zh-CN" w:bidi="ar-SA"/>
              </w:rPr>
            </w:pPr>
            <w:r>
              <w:rPr>
                <w:rFonts w:hint="eastAsia" w:ascii="宋体" w:hAnsi="宋体" w:eastAsia="宋体" w:cs="宋体"/>
                <w:spacing w:val="8"/>
                <w:kern w:val="2"/>
                <w:sz w:val="24"/>
                <w:szCs w:val="24"/>
                <w:lang w:val="en-US" w:eastAsia="zh-CN" w:bidi="ar-SA"/>
              </w:rPr>
              <w:t>1.项目技术负责人具有中级及以上职称得 2.5分。（提供职称证证明材料复印件并加盖投标单位公章，否则不得分）</w:t>
            </w:r>
          </w:p>
          <w:p>
            <w:pPr>
              <w:pStyle w:val="11"/>
              <w:keepNext w:val="0"/>
              <w:keepLines w:val="0"/>
              <w:pageBreakBefore w:val="0"/>
              <w:widowControl w:val="0"/>
              <w:numPr>
                <w:ilvl w:val="0"/>
                <w:numId w:val="0"/>
              </w:numPr>
              <w:kinsoku/>
              <w:wordWrap/>
              <w:overflowPunct/>
              <w:topLinePunct w:val="0"/>
              <w:bidi w:val="0"/>
              <w:adjustRightInd/>
              <w:snapToGrid/>
              <w:spacing w:line="312" w:lineRule="auto"/>
              <w:ind w:right="42" w:rightChars="20"/>
              <w:jc w:val="both"/>
              <w:textAlignment w:val="auto"/>
              <w:rPr>
                <w:rFonts w:hint="eastAsia" w:ascii="宋体" w:hAnsi="宋体" w:eastAsia="宋体" w:cs="宋体"/>
                <w:spacing w:val="8"/>
                <w:kern w:val="2"/>
                <w:sz w:val="24"/>
                <w:szCs w:val="24"/>
                <w:lang w:val="en-US" w:eastAsia="zh-CN" w:bidi="ar-SA"/>
              </w:rPr>
            </w:pPr>
            <w:r>
              <w:rPr>
                <w:rFonts w:hint="eastAsia" w:ascii="宋体" w:hAnsi="宋体" w:eastAsia="宋体" w:cs="宋体"/>
                <w:spacing w:val="8"/>
                <w:kern w:val="2"/>
                <w:sz w:val="24"/>
                <w:szCs w:val="24"/>
                <w:lang w:val="en-US" w:eastAsia="zh-CN" w:bidi="ar-SA"/>
              </w:rPr>
              <w:t>2.项目技术负责人近五年（自2018年5月17日至磋商文件递交截止之日）内，完成过1个房屋建筑工程（新建或改扩建或维修）施工业绩得5分。（提供中标通知书或合同协议书或交（竣）工验收证明材料或项目竣工备案登记表，以上证明材料中须体现项目技术负责人担任的职务，并加盖投标单位公章，否则不得分）</w:t>
            </w:r>
          </w:p>
          <w:p>
            <w:pPr>
              <w:pStyle w:val="11"/>
              <w:keepNext w:val="0"/>
              <w:keepLines w:val="0"/>
              <w:pageBreakBefore w:val="0"/>
              <w:widowControl w:val="0"/>
              <w:kinsoku/>
              <w:wordWrap/>
              <w:overflowPunct/>
              <w:topLinePunct w:val="0"/>
              <w:bidi w:val="0"/>
              <w:adjustRightInd/>
              <w:snapToGrid/>
              <w:spacing w:line="312" w:lineRule="auto"/>
              <w:ind w:right="42" w:rightChars="20"/>
              <w:jc w:val="both"/>
              <w:textAlignment w:val="auto"/>
              <w:rPr>
                <w:rFonts w:hint="eastAsia" w:ascii="宋体" w:hAnsi="宋体" w:eastAsia="宋体" w:cs="宋体"/>
                <w:spacing w:val="8"/>
                <w:kern w:val="2"/>
                <w:sz w:val="24"/>
                <w:szCs w:val="24"/>
                <w:lang w:val="en-US" w:eastAsia="zh-CN" w:bidi="ar-SA"/>
              </w:rPr>
            </w:pPr>
            <w:r>
              <w:rPr>
                <w:rFonts w:hint="eastAsia" w:ascii="宋体" w:hAnsi="宋体" w:eastAsia="宋体" w:cs="宋体"/>
                <w:spacing w:val="8"/>
                <w:kern w:val="2"/>
                <w:sz w:val="24"/>
                <w:szCs w:val="24"/>
                <w:lang w:val="en-US" w:eastAsia="zh-CN" w:bidi="ar-SA"/>
              </w:rPr>
              <w:t>注</w:t>
            </w:r>
            <w:r>
              <w:rPr>
                <w:rFonts w:hint="eastAsia" w:ascii="宋体" w:hAnsi="宋体" w:eastAsia="宋体" w:cs="宋体"/>
                <w:spacing w:val="8"/>
                <w:kern w:val="2"/>
                <w:sz w:val="24"/>
                <w:szCs w:val="24"/>
                <w:lang w:val="zh-TW" w:eastAsia="zh-TW" w:bidi="ar-SA"/>
              </w:rPr>
              <w:t>：</w:t>
            </w:r>
            <w:r>
              <w:rPr>
                <w:rFonts w:hint="eastAsia" w:ascii="宋体" w:hAnsi="宋体" w:eastAsia="宋体" w:cs="宋体"/>
                <w:spacing w:val="8"/>
                <w:kern w:val="2"/>
                <w:sz w:val="24"/>
                <w:szCs w:val="24"/>
                <w:lang w:val="en-US" w:eastAsia="zh-CN" w:bidi="ar-SA"/>
              </w:rPr>
              <w:t>项目经理和项目技术负责人须提供</w:t>
            </w:r>
            <w:r>
              <w:rPr>
                <w:rFonts w:hint="eastAsia" w:ascii="宋体" w:hAnsi="宋体" w:eastAsia="宋体" w:cs="宋体"/>
                <w:spacing w:val="8"/>
                <w:kern w:val="2"/>
                <w:sz w:val="24"/>
                <w:szCs w:val="24"/>
                <w:lang w:val="zh-TW" w:eastAsia="zh-TW" w:bidi="ar-SA"/>
              </w:rPr>
              <w:t>202</w:t>
            </w:r>
            <w:r>
              <w:rPr>
                <w:rFonts w:hint="eastAsia" w:ascii="宋体" w:hAnsi="宋体" w:eastAsia="宋体" w:cs="宋体"/>
                <w:spacing w:val="8"/>
                <w:kern w:val="2"/>
                <w:sz w:val="24"/>
                <w:szCs w:val="24"/>
                <w:lang w:val="en-US" w:eastAsia="zh-CN" w:bidi="ar-SA"/>
              </w:rPr>
              <w:t>2</w:t>
            </w:r>
            <w:r>
              <w:rPr>
                <w:rFonts w:hint="eastAsia" w:ascii="宋体" w:hAnsi="宋体" w:eastAsia="宋体" w:cs="宋体"/>
                <w:spacing w:val="8"/>
                <w:kern w:val="2"/>
                <w:sz w:val="24"/>
                <w:szCs w:val="24"/>
                <w:lang w:val="zh-TW" w:eastAsia="zh-TW" w:bidi="ar-SA"/>
              </w:rPr>
              <w:t>年1</w:t>
            </w:r>
            <w:r>
              <w:rPr>
                <w:rFonts w:hint="eastAsia" w:ascii="宋体" w:hAnsi="宋体" w:eastAsia="宋体" w:cs="宋体"/>
                <w:spacing w:val="8"/>
                <w:kern w:val="2"/>
                <w:sz w:val="24"/>
                <w:szCs w:val="24"/>
                <w:lang w:val="en-US" w:eastAsia="zh-CN" w:bidi="ar-SA"/>
              </w:rPr>
              <w:t>1</w:t>
            </w:r>
            <w:r>
              <w:rPr>
                <w:rFonts w:hint="eastAsia" w:ascii="宋体" w:hAnsi="宋体" w:eastAsia="宋体" w:cs="宋体"/>
                <w:spacing w:val="8"/>
                <w:kern w:val="2"/>
                <w:sz w:val="24"/>
                <w:szCs w:val="24"/>
                <w:lang w:val="zh-TW" w:eastAsia="zh-TW" w:bidi="ar-SA"/>
              </w:rPr>
              <w:t>月至今任意连续三个月的社保证明</w:t>
            </w:r>
            <w:r>
              <w:rPr>
                <w:rFonts w:hint="eastAsia" w:ascii="宋体" w:hAnsi="宋体" w:eastAsia="宋体" w:cs="宋体"/>
                <w:spacing w:val="8"/>
                <w:kern w:val="2"/>
                <w:sz w:val="24"/>
                <w:szCs w:val="24"/>
                <w:lang w:val="en-US" w:eastAsia="zh-CN" w:bidi="ar-SA"/>
              </w:rPr>
              <w:t>材料复印件，同时</w:t>
            </w:r>
            <w:r>
              <w:rPr>
                <w:rFonts w:hint="eastAsia" w:ascii="宋体" w:hAnsi="宋体" w:eastAsia="宋体" w:cs="宋体"/>
                <w:spacing w:val="8"/>
                <w:kern w:val="2"/>
                <w:sz w:val="24"/>
                <w:szCs w:val="24"/>
                <w:lang w:val="zh-TW" w:eastAsia="zh-TW" w:bidi="ar-SA"/>
              </w:rPr>
              <w:t>要求项目经理</w:t>
            </w:r>
            <w:r>
              <w:rPr>
                <w:rFonts w:hint="eastAsia" w:ascii="宋体" w:hAnsi="宋体" w:eastAsia="宋体" w:cs="宋体"/>
                <w:spacing w:val="8"/>
                <w:kern w:val="2"/>
                <w:sz w:val="24"/>
                <w:szCs w:val="24"/>
                <w:lang w:val="en-US" w:eastAsia="zh-CN" w:bidi="ar-SA"/>
              </w:rPr>
              <w:t>和项目</w:t>
            </w:r>
            <w:r>
              <w:rPr>
                <w:rFonts w:hint="eastAsia" w:ascii="宋体" w:hAnsi="宋体" w:eastAsia="宋体" w:cs="宋体"/>
                <w:spacing w:val="8"/>
                <w:kern w:val="2"/>
                <w:sz w:val="24"/>
                <w:szCs w:val="24"/>
                <w:lang w:val="zh-TW" w:eastAsia="zh-TW" w:bidi="ar-SA"/>
              </w:rPr>
              <w:t>技术负责人无在岗项目</w:t>
            </w:r>
            <w:r>
              <w:rPr>
                <w:rFonts w:hint="eastAsia" w:ascii="宋体" w:hAnsi="宋体" w:eastAsia="宋体" w:cs="宋体"/>
                <w:spacing w:val="8"/>
                <w:kern w:val="2"/>
                <w:sz w:val="24"/>
                <w:szCs w:val="24"/>
                <w:lang w:val="zh-TW" w:eastAsia="zh-CN" w:bidi="ar-SA"/>
              </w:rPr>
              <w:t>。</w:t>
            </w:r>
            <w:r>
              <w:rPr>
                <w:rFonts w:hint="eastAsia" w:ascii="宋体" w:hAnsi="宋体" w:eastAsia="宋体" w:cs="宋体"/>
                <w:spacing w:val="8"/>
                <w:kern w:val="2"/>
                <w:sz w:val="24"/>
                <w:szCs w:val="24"/>
                <w:lang w:val="zh-TW" w:eastAsia="zh-TW" w:bidi="ar-SA"/>
              </w:rPr>
              <w:t>无在岗项目是指：①目前未在其它项目上中标或任职；②在其它项目上中标或已任职，且中标或已任职项目的合同工期与本项目的工期重叠，但本项目中标后能够从该项目上撤离的，则供应商应提供承诺上述人员能够从该项目撤离的书面承诺，承诺的内容为上述人员能够从中标项目或已任职项目上撤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4" w:hRule="atLeast"/>
          <w:jc w:val="center"/>
        </w:trPr>
        <w:tc>
          <w:tcPr>
            <w:tcW w:w="1490" w:type="dxa"/>
            <w:vAlign w:val="center"/>
          </w:tcPr>
          <w:p>
            <w:pPr>
              <w:pStyle w:val="11"/>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spacing w:val="8"/>
                <w:kern w:val="2"/>
                <w:sz w:val="24"/>
                <w:szCs w:val="24"/>
                <w:lang w:val="en-US" w:eastAsia="zh-CN" w:bidi="ar-SA"/>
              </w:rPr>
            </w:pPr>
            <w:r>
              <w:rPr>
                <w:rFonts w:hint="eastAsia" w:ascii="宋体" w:hAnsi="宋体" w:eastAsia="宋体" w:cs="宋体"/>
                <w:spacing w:val="8"/>
                <w:kern w:val="2"/>
                <w:sz w:val="24"/>
                <w:szCs w:val="24"/>
                <w:lang w:val="en-US" w:eastAsia="zh-CN" w:bidi="ar-SA"/>
              </w:rPr>
              <w:t>对本项目理解及服务方案</w:t>
            </w:r>
          </w:p>
        </w:tc>
        <w:tc>
          <w:tcPr>
            <w:tcW w:w="728" w:type="dxa"/>
            <w:vAlign w:val="center"/>
          </w:tcPr>
          <w:p>
            <w:pPr>
              <w:pStyle w:val="11"/>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spacing w:val="8"/>
                <w:kern w:val="2"/>
                <w:sz w:val="24"/>
                <w:szCs w:val="24"/>
                <w:lang w:val="en-US" w:eastAsia="zh-CN" w:bidi="ar-SA"/>
              </w:rPr>
            </w:pPr>
            <w:r>
              <w:rPr>
                <w:rFonts w:hint="eastAsia" w:ascii="宋体" w:hAnsi="宋体" w:eastAsia="宋体" w:cs="宋体"/>
                <w:spacing w:val="8"/>
                <w:kern w:val="2"/>
                <w:sz w:val="24"/>
                <w:szCs w:val="24"/>
                <w:lang w:val="en-US" w:eastAsia="zh-CN" w:bidi="ar-SA"/>
              </w:rPr>
              <w:t>20分</w:t>
            </w:r>
          </w:p>
        </w:tc>
        <w:tc>
          <w:tcPr>
            <w:tcW w:w="7574" w:type="dxa"/>
            <w:tcBorders>
              <w:right w:val="single" w:color="auto" w:sz="4" w:space="0"/>
            </w:tcBorders>
            <w:vAlign w:val="center"/>
          </w:tcPr>
          <w:p>
            <w:pPr>
              <w:pStyle w:val="11"/>
              <w:keepNext w:val="0"/>
              <w:keepLines w:val="0"/>
              <w:pageBreakBefore w:val="0"/>
              <w:widowControl w:val="0"/>
              <w:kinsoku/>
              <w:wordWrap/>
              <w:overflowPunct/>
              <w:topLinePunct w:val="0"/>
              <w:bidi w:val="0"/>
              <w:adjustRightInd/>
              <w:snapToGrid/>
              <w:spacing w:line="312" w:lineRule="auto"/>
              <w:ind w:right="42" w:rightChars="20"/>
              <w:jc w:val="both"/>
              <w:textAlignment w:val="auto"/>
              <w:rPr>
                <w:rFonts w:hint="eastAsia" w:ascii="宋体" w:hAnsi="宋体" w:eastAsia="宋体" w:cs="宋体"/>
                <w:spacing w:val="8"/>
                <w:kern w:val="2"/>
                <w:sz w:val="24"/>
                <w:szCs w:val="24"/>
                <w:lang w:val="en-US" w:eastAsia="zh-CN" w:bidi="ar-SA"/>
              </w:rPr>
            </w:pPr>
            <w:r>
              <w:rPr>
                <w:rFonts w:hint="eastAsia" w:ascii="宋体" w:hAnsi="宋体" w:eastAsia="宋体" w:cs="宋体"/>
                <w:spacing w:val="8"/>
                <w:kern w:val="2"/>
                <w:sz w:val="24"/>
                <w:szCs w:val="24"/>
                <w:lang w:val="en-US" w:eastAsia="zh-CN" w:bidi="ar-SA"/>
              </w:rPr>
              <w:t>对本项目的理解及服务方案内容的全面性、详细程度等进行评审。</w:t>
            </w:r>
          </w:p>
          <w:p>
            <w:pPr>
              <w:pStyle w:val="11"/>
              <w:keepNext w:val="0"/>
              <w:keepLines w:val="0"/>
              <w:pageBreakBefore w:val="0"/>
              <w:widowControl w:val="0"/>
              <w:kinsoku/>
              <w:wordWrap/>
              <w:overflowPunct/>
              <w:topLinePunct w:val="0"/>
              <w:bidi w:val="0"/>
              <w:adjustRightInd/>
              <w:snapToGrid/>
              <w:spacing w:line="312" w:lineRule="auto"/>
              <w:ind w:right="42" w:rightChars="20"/>
              <w:jc w:val="both"/>
              <w:textAlignment w:val="auto"/>
              <w:rPr>
                <w:rFonts w:hint="eastAsia" w:ascii="宋体" w:hAnsi="宋体" w:eastAsia="宋体" w:cs="宋体"/>
                <w:spacing w:val="8"/>
                <w:kern w:val="2"/>
                <w:sz w:val="24"/>
                <w:szCs w:val="24"/>
                <w:lang w:val="en-US" w:eastAsia="zh-CN" w:bidi="ar-SA"/>
              </w:rPr>
            </w:pPr>
            <w:r>
              <w:rPr>
                <w:rFonts w:hint="eastAsia" w:ascii="宋体" w:hAnsi="宋体" w:eastAsia="宋体" w:cs="宋体"/>
                <w:spacing w:val="8"/>
                <w:kern w:val="2"/>
                <w:sz w:val="24"/>
                <w:szCs w:val="24"/>
                <w:lang w:val="en-US" w:eastAsia="zh-CN" w:bidi="ar-SA"/>
              </w:rPr>
              <w:t>供应商理解透彻、方案内容完善、合理、操作性强的得16-20分；理解较透彻、方案内容较完善、合理、操作性较强的得12-16分；理解基本合理、方案内容基本完善、合理、操作性一般的得12分。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90" w:type="dxa"/>
            <w:vAlign w:val="center"/>
          </w:tcPr>
          <w:p>
            <w:pPr>
              <w:pStyle w:val="11"/>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spacing w:val="8"/>
                <w:kern w:val="2"/>
                <w:sz w:val="24"/>
                <w:szCs w:val="24"/>
                <w:lang w:val="en-US" w:eastAsia="zh-CN" w:bidi="ar-SA"/>
              </w:rPr>
            </w:pPr>
            <w:r>
              <w:rPr>
                <w:rFonts w:hint="eastAsia" w:ascii="宋体" w:hAnsi="宋体" w:eastAsia="宋体" w:cs="宋体"/>
                <w:spacing w:val="8"/>
                <w:kern w:val="2"/>
                <w:sz w:val="24"/>
                <w:szCs w:val="24"/>
                <w:lang w:val="en-US" w:eastAsia="zh-CN" w:bidi="ar-SA"/>
              </w:rPr>
              <w:t>重点、难点分析及应对措施</w:t>
            </w:r>
          </w:p>
        </w:tc>
        <w:tc>
          <w:tcPr>
            <w:tcW w:w="728" w:type="dxa"/>
            <w:vAlign w:val="center"/>
          </w:tcPr>
          <w:p>
            <w:pPr>
              <w:pStyle w:val="11"/>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spacing w:val="8"/>
                <w:kern w:val="2"/>
                <w:sz w:val="24"/>
                <w:szCs w:val="24"/>
                <w:lang w:val="en-US" w:eastAsia="zh-CN" w:bidi="ar-SA"/>
              </w:rPr>
            </w:pPr>
            <w:r>
              <w:rPr>
                <w:rFonts w:hint="eastAsia" w:ascii="宋体" w:hAnsi="宋体" w:eastAsia="宋体" w:cs="宋体"/>
                <w:spacing w:val="8"/>
                <w:kern w:val="2"/>
                <w:sz w:val="24"/>
                <w:szCs w:val="24"/>
                <w:lang w:val="en-US" w:eastAsia="zh-CN" w:bidi="ar-SA"/>
              </w:rPr>
              <w:t>10分</w:t>
            </w:r>
          </w:p>
        </w:tc>
        <w:tc>
          <w:tcPr>
            <w:tcW w:w="7574" w:type="dxa"/>
            <w:tcBorders>
              <w:right w:val="single" w:color="auto" w:sz="4" w:space="0"/>
            </w:tcBorders>
            <w:vAlign w:val="center"/>
          </w:tcPr>
          <w:p>
            <w:pPr>
              <w:pStyle w:val="11"/>
              <w:keepNext w:val="0"/>
              <w:keepLines w:val="0"/>
              <w:pageBreakBefore w:val="0"/>
              <w:widowControl w:val="0"/>
              <w:kinsoku/>
              <w:wordWrap/>
              <w:overflowPunct/>
              <w:topLinePunct w:val="0"/>
              <w:bidi w:val="0"/>
              <w:adjustRightInd/>
              <w:snapToGrid/>
              <w:spacing w:line="312" w:lineRule="auto"/>
              <w:ind w:right="42" w:rightChars="20"/>
              <w:jc w:val="both"/>
              <w:textAlignment w:val="auto"/>
              <w:rPr>
                <w:rFonts w:hint="eastAsia" w:ascii="宋体" w:hAnsi="宋体" w:eastAsia="宋体" w:cs="宋体"/>
                <w:spacing w:val="8"/>
                <w:kern w:val="2"/>
                <w:sz w:val="24"/>
                <w:szCs w:val="24"/>
                <w:lang w:val="en-US" w:eastAsia="zh-CN" w:bidi="ar-SA"/>
              </w:rPr>
            </w:pPr>
            <w:r>
              <w:rPr>
                <w:rFonts w:hint="eastAsia" w:ascii="宋体" w:hAnsi="宋体" w:eastAsia="宋体" w:cs="宋体"/>
                <w:spacing w:val="8"/>
                <w:kern w:val="2"/>
                <w:sz w:val="24"/>
                <w:szCs w:val="24"/>
                <w:lang w:val="en-US" w:eastAsia="zh-CN" w:bidi="ar-SA"/>
              </w:rPr>
              <w:t>对本项目的重点、难点的分析及应对措施阐述的针对性、完善程度、合理情况等进行评审。</w:t>
            </w:r>
          </w:p>
          <w:p>
            <w:pPr>
              <w:pStyle w:val="11"/>
              <w:keepNext w:val="0"/>
              <w:keepLines w:val="0"/>
              <w:pageBreakBefore w:val="0"/>
              <w:widowControl w:val="0"/>
              <w:kinsoku/>
              <w:wordWrap/>
              <w:overflowPunct/>
              <w:topLinePunct w:val="0"/>
              <w:bidi w:val="0"/>
              <w:adjustRightInd/>
              <w:snapToGrid/>
              <w:spacing w:line="312" w:lineRule="auto"/>
              <w:ind w:right="42" w:rightChars="20"/>
              <w:jc w:val="both"/>
              <w:textAlignment w:val="auto"/>
              <w:rPr>
                <w:rFonts w:hint="eastAsia" w:ascii="宋体" w:hAnsi="宋体" w:eastAsia="宋体" w:cs="宋体"/>
                <w:spacing w:val="8"/>
                <w:kern w:val="2"/>
                <w:sz w:val="24"/>
                <w:szCs w:val="24"/>
                <w:lang w:val="en-US" w:eastAsia="zh-CN" w:bidi="ar-SA"/>
              </w:rPr>
            </w:pPr>
            <w:r>
              <w:rPr>
                <w:rFonts w:hint="eastAsia" w:ascii="宋体" w:hAnsi="宋体" w:eastAsia="宋体" w:cs="宋体"/>
                <w:spacing w:val="8"/>
                <w:kern w:val="2"/>
                <w:sz w:val="24"/>
                <w:szCs w:val="24"/>
                <w:lang w:val="en-US" w:eastAsia="zh-CN" w:bidi="ar-SA"/>
              </w:rPr>
              <w:t>供应商分析合理、完善、措施得当的得8-10分；分析较合理、完善、措施较得当的得6-8分；分析基本合理、措施基本得当的得6分。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90" w:type="dxa"/>
            <w:vAlign w:val="center"/>
          </w:tcPr>
          <w:p>
            <w:pPr>
              <w:pStyle w:val="11"/>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spacing w:val="8"/>
                <w:kern w:val="2"/>
                <w:sz w:val="24"/>
                <w:szCs w:val="24"/>
                <w:lang w:val="en-US" w:eastAsia="zh-CN" w:bidi="ar-SA"/>
              </w:rPr>
            </w:pPr>
            <w:r>
              <w:rPr>
                <w:rFonts w:hint="eastAsia" w:ascii="宋体" w:hAnsi="宋体" w:eastAsia="宋体" w:cs="宋体"/>
                <w:spacing w:val="8"/>
                <w:kern w:val="2"/>
                <w:sz w:val="24"/>
                <w:szCs w:val="24"/>
                <w:lang w:val="en-US" w:eastAsia="zh-CN" w:bidi="ar-SA"/>
              </w:rPr>
              <w:t>后续服务安排及保证措施</w:t>
            </w:r>
          </w:p>
        </w:tc>
        <w:tc>
          <w:tcPr>
            <w:tcW w:w="728" w:type="dxa"/>
            <w:vAlign w:val="center"/>
          </w:tcPr>
          <w:p>
            <w:pPr>
              <w:pStyle w:val="11"/>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spacing w:val="8"/>
                <w:kern w:val="2"/>
                <w:sz w:val="24"/>
                <w:szCs w:val="24"/>
                <w:lang w:val="en-US" w:eastAsia="zh-CN" w:bidi="ar-SA"/>
              </w:rPr>
            </w:pPr>
            <w:r>
              <w:rPr>
                <w:rFonts w:hint="eastAsia" w:ascii="宋体" w:hAnsi="宋体" w:eastAsia="宋体" w:cs="宋体"/>
                <w:spacing w:val="8"/>
                <w:kern w:val="2"/>
                <w:sz w:val="24"/>
                <w:szCs w:val="24"/>
                <w:lang w:val="en-US" w:eastAsia="zh-CN" w:bidi="ar-SA"/>
              </w:rPr>
              <w:t>10分</w:t>
            </w:r>
          </w:p>
        </w:tc>
        <w:tc>
          <w:tcPr>
            <w:tcW w:w="7574" w:type="dxa"/>
            <w:tcBorders>
              <w:right w:val="single" w:color="auto" w:sz="4" w:space="0"/>
            </w:tcBorders>
            <w:vAlign w:val="center"/>
          </w:tcPr>
          <w:p>
            <w:pPr>
              <w:pStyle w:val="11"/>
              <w:keepNext w:val="0"/>
              <w:keepLines w:val="0"/>
              <w:pageBreakBefore w:val="0"/>
              <w:widowControl w:val="0"/>
              <w:kinsoku/>
              <w:wordWrap/>
              <w:overflowPunct/>
              <w:topLinePunct w:val="0"/>
              <w:bidi w:val="0"/>
              <w:adjustRightInd/>
              <w:snapToGrid/>
              <w:spacing w:line="312" w:lineRule="auto"/>
              <w:ind w:right="42" w:rightChars="20"/>
              <w:jc w:val="both"/>
              <w:textAlignment w:val="auto"/>
              <w:rPr>
                <w:rFonts w:hint="eastAsia" w:ascii="宋体" w:hAnsi="宋体" w:eastAsia="宋体" w:cs="宋体"/>
                <w:spacing w:val="8"/>
                <w:kern w:val="2"/>
                <w:sz w:val="24"/>
                <w:szCs w:val="24"/>
                <w:lang w:val="en-US" w:eastAsia="zh-CN" w:bidi="ar-SA"/>
              </w:rPr>
            </w:pPr>
            <w:r>
              <w:rPr>
                <w:rFonts w:hint="eastAsia" w:ascii="宋体" w:hAnsi="宋体" w:eastAsia="宋体" w:cs="宋体"/>
                <w:spacing w:val="8"/>
                <w:kern w:val="2"/>
                <w:sz w:val="24"/>
                <w:szCs w:val="24"/>
                <w:lang w:val="en-US" w:eastAsia="zh-CN" w:bidi="ar-SA"/>
              </w:rPr>
              <w:t>对本项目的后续服务的安排及保证措施阐述的合理性、完善性等进行评审。</w:t>
            </w:r>
          </w:p>
          <w:p>
            <w:pPr>
              <w:pStyle w:val="11"/>
              <w:keepNext w:val="0"/>
              <w:keepLines w:val="0"/>
              <w:pageBreakBefore w:val="0"/>
              <w:widowControl w:val="0"/>
              <w:kinsoku/>
              <w:wordWrap/>
              <w:overflowPunct/>
              <w:topLinePunct w:val="0"/>
              <w:bidi w:val="0"/>
              <w:adjustRightInd/>
              <w:snapToGrid/>
              <w:spacing w:line="312" w:lineRule="auto"/>
              <w:ind w:right="42" w:rightChars="20"/>
              <w:jc w:val="both"/>
              <w:textAlignment w:val="auto"/>
              <w:rPr>
                <w:rFonts w:hint="eastAsia" w:ascii="宋体" w:hAnsi="宋体" w:eastAsia="宋体" w:cs="宋体"/>
                <w:spacing w:val="8"/>
                <w:kern w:val="2"/>
                <w:sz w:val="24"/>
                <w:szCs w:val="24"/>
                <w:lang w:val="en-US" w:eastAsia="zh-CN" w:bidi="ar-SA"/>
              </w:rPr>
            </w:pPr>
            <w:r>
              <w:rPr>
                <w:rFonts w:hint="eastAsia" w:ascii="宋体" w:hAnsi="宋体" w:eastAsia="宋体" w:cs="宋体"/>
                <w:spacing w:val="8"/>
                <w:kern w:val="2"/>
                <w:sz w:val="24"/>
                <w:szCs w:val="24"/>
                <w:lang w:val="en-US" w:eastAsia="zh-CN" w:bidi="ar-SA"/>
              </w:rPr>
              <w:t>供应商后续服务安排合理、措施得当的得8-10分；安排较合理、措施较完善的得6-8分；安排基本合理、措施基本得当的得6分。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90" w:type="dxa"/>
            <w:vAlign w:val="center"/>
          </w:tcPr>
          <w:p>
            <w:pPr>
              <w:pStyle w:val="11"/>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spacing w:val="8"/>
                <w:kern w:val="2"/>
                <w:sz w:val="24"/>
                <w:szCs w:val="24"/>
                <w:lang w:val="en-US" w:eastAsia="zh-CN" w:bidi="ar-SA"/>
              </w:rPr>
            </w:pPr>
            <w:r>
              <w:rPr>
                <w:rFonts w:hint="eastAsia" w:ascii="宋体" w:hAnsi="宋体" w:eastAsia="宋体" w:cs="宋体"/>
                <w:spacing w:val="8"/>
                <w:kern w:val="2"/>
                <w:sz w:val="24"/>
                <w:szCs w:val="24"/>
                <w:lang w:val="en-US" w:eastAsia="zh-CN" w:bidi="ar-SA"/>
              </w:rPr>
              <w:t>服务承诺</w:t>
            </w:r>
          </w:p>
        </w:tc>
        <w:tc>
          <w:tcPr>
            <w:tcW w:w="728" w:type="dxa"/>
            <w:vAlign w:val="center"/>
          </w:tcPr>
          <w:p>
            <w:pPr>
              <w:pStyle w:val="11"/>
              <w:keepNext w:val="0"/>
              <w:keepLines w:val="0"/>
              <w:pageBreakBefore w:val="0"/>
              <w:widowControl w:val="0"/>
              <w:kinsoku/>
              <w:wordWrap/>
              <w:overflowPunct/>
              <w:topLinePunct w:val="0"/>
              <w:bidi w:val="0"/>
              <w:adjustRightInd/>
              <w:snapToGrid/>
              <w:spacing w:line="312" w:lineRule="auto"/>
              <w:jc w:val="center"/>
              <w:textAlignment w:val="auto"/>
              <w:rPr>
                <w:rFonts w:hint="eastAsia" w:ascii="宋体" w:hAnsi="宋体" w:eastAsia="宋体" w:cs="宋体"/>
                <w:spacing w:val="8"/>
                <w:kern w:val="2"/>
                <w:sz w:val="24"/>
                <w:szCs w:val="24"/>
                <w:lang w:val="en-US" w:eastAsia="zh-CN" w:bidi="ar-SA"/>
              </w:rPr>
            </w:pPr>
            <w:r>
              <w:rPr>
                <w:rFonts w:hint="eastAsia" w:ascii="宋体" w:hAnsi="宋体" w:eastAsia="宋体" w:cs="宋体"/>
                <w:spacing w:val="8"/>
                <w:kern w:val="2"/>
                <w:sz w:val="24"/>
                <w:szCs w:val="24"/>
                <w:lang w:val="en-US" w:eastAsia="zh-CN" w:bidi="ar-SA"/>
              </w:rPr>
              <w:t>5分</w:t>
            </w:r>
          </w:p>
        </w:tc>
        <w:tc>
          <w:tcPr>
            <w:tcW w:w="7574" w:type="dxa"/>
            <w:tcBorders>
              <w:right w:val="single" w:color="auto" w:sz="4" w:space="0"/>
            </w:tcBorders>
            <w:vAlign w:val="center"/>
          </w:tcPr>
          <w:p>
            <w:pPr>
              <w:pStyle w:val="11"/>
              <w:keepNext w:val="0"/>
              <w:keepLines w:val="0"/>
              <w:pageBreakBefore w:val="0"/>
              <w:widowControl w:val="0"/>
              <w:kinsoku/>
              <w:wordWrap/>
              <w:overflowPunct/>
              <w:topLinePunct w:val="0"/>
              <w:bidi w:val="0"/>
              <w:adjustRightInd/>
              <w:snapToGrid/>
              <w:spacing w:line="312" w:lineRule="auto"/>
              <w:ind w:right="42" w:rightChars="20"/>
              <w:jc w:val="both"/>
              <w:textAlignment w:val="auto"/>
              <w:rPr>
                <w:rFonts w:hint="eastAsia" w:ascii="宋体" w:hAnsi="宋体" w:eastAsia="宋体" w:cs="宋体"/>
                <w:spacing w:val="8"/>
                <w:kern w:val="2"/>
                <w:sz w:val="24"/>
                <w:szCs w:val="24"/>
                <w:lang w:val="en-US" w:eastAsia="zh-CN" w:bidi="ar-SA"/>
              </w:rPr>
            </w:pPr>
            <w:r>
              <w:rPr>
                <w:rFonts w:hint="eastAsia" w:ascii="宋体" w:hAnsi="宋体" w:eastAsia="宋体" w:cs="宋体"/>
                <w:spacing w:val="8"/>
                <w:kern w:val="2"/>
                <w:sz w:val="24"/>
                <w:szCs w:val="24"/>
                <w:lang w:val="en-US" w:eastAsia="zh-CN" w:bidi="ar-SA"/>
              </w:rPr>
              <w:t>对本项目的服务承诺进行评审。</w:t>
            </w:r>
          </w:p>
          <w:p>
            <w:pPr>
              <w:pStyle w:val="11"/>
              <w:keepNext w:val="0"/>
              <w:keepLines w:val="0"/>
              <w:pageBreakBefore w:val="0"/>
              <w:widowControl w:val="0"/>
              <w:kinsoku/>
              <w:wordWrap/>
              <w:overflowPunct/>
              <w:topLinePunct w:val="0"/>
              <w:bidi w:val="0"/>
              <w:adjustRightInd/>
              <w:snapToGrid/>
              <w:spacing w:line="312" w:lineRule="auto"/>
              <w:ind w:right="42" w:rightChars="20"/>
              <w:jc w:val="both"/>
              <w:textAlignment w:val="auto"/>
              <w:rPr>
                <w:rFonts w:hint="eastAsia" w:ascii="宋体" w:hAnsi="宋体" w:eastAsia="宋体" w:cs="宋体"/>
                <w:spacing w:val="8"/>
                <w:kern w:val="2"/>
                <w:sz w:val="24"/>
                <w:szCs w:val="24"/>
                <w:lang w:val="en-US" w:eastAsia="zh-CN" w:bidi="ar-SA"/>
              </w:rPr>
            </w:pPr>
            <w:r>
              <w:rPr>
                <w:rFonts w:hint="eastAsia" w:ascii="宋体" w:hAnsi="宋体" w:eastAsia="宋体" w:cs="宋体"/>
                <w:spacing w:val="8"/>
                <w:kern w:val="2"/>
                <w:sz w:val="24"/>
                <w:szCs w:val="24"/>
                <w:lang w:val="en-US" w:eastAsia="zh-CN" w:bidi="ar-SA"/>
              </w:rPr>
              <w:t>服务承诺详细、合理的得4-5分；服务承诺较详细、较合理的得3-4分；服务承诺一般、基本合理的得3分。</w:t>
            </w:r>
          </w:p>
        </w:tc>
      </w:tr>
    </w:tbl>
    <w:p>
      <w:pPr>
        <w:bidi w:val="0"/>
        <w:rPr>
          <w:rFonts w:hint="eastAsia"/>
          <w:lang w:val="en-US" w:eastAsia="zh-CN"/>
        </w:rPr>
      </w:pPr>
    </w:p>
    <w:p>
      <w:pPr>
        <w:keepNext w:val="0"/>
        <w:keepLines w:val="0"/>
        <w:widowControl/>
        <w:numPr>
          <w:ilvl w:val="0"/>
          <w:numId w:val="0"/>
        </w:numPr>
        <w:suppressLineNumbers w:val="0"/>
        <w:spacing w:line="360" w:lineRule="auto"/>
        <w:ind w:leftChars="-95" w:right="-168" w:rightChars="-80"/>
        <w:jc w:val="both"/>
        <w:outlineLvl w:val="0"/>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六、招标人联系方式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382" w:rightChars="-182"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招标人：宁夏公路管理中心银川分中心</w:t>
      </w:r>
      <w:r>
        <w:rPr>
          <w:rFonts w:hint="eastAsia" w:ascii="宋体" w:hAnsi="宋体" w:eastAsia="宋体" w:cs="宋体"/>
          <w:color w:val="auto"/>
          <w:spacing w:val="-11"/>
          <w:sz w:val="24"/>
          <w:szCs w:val="24"/>
          <w:lang w:val="en-US" w:eastAsia="zh-CN"/>
        </w:rPr>
        <w:t xml:space="preserve">     </w:t>
      </w:r>
      <w:r>
        <w:rPr>
          <w:rFonts w:hint="eastAsia" w:ascii="宋体" w:hAnsi="宋体" w:eastAsia="宋体" w:cs="宋体"/>
          <w:color w:val="auto"/>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004" w:rightChars="-478" w:firstLine="480" w:firstLineChars="200"/>
        <w:jc w:val="both"/>
        <w:textAlignment w:val="baseline"/>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sz w:val="24"/>
          <w:szCs w:val="24"/>
          <w:lang w:val="en-US" w:eastAsia="zh-CN"/>
        </w:rPr>
        <w:t>地址：银川市兴庆区青银高速公路银川</w:t>
      </w:r>
      <w:r>
        <w:rPr>
          <w:rFonts w:hint="eastAsia" w:ascii="宋体" w:hAnsi="宋体" w:eastAsia="宋体" w:cs="宋体"/>
          <w:snapToGrid w:val="0"/>
          <w:color w:val="auto"/>
          <w:kern w:val="0"/>
          <w:sz w:val="24"/>
          <w:szCs w:val="24"/>
          <w:lang w:val="en-US" w:eastAsia="zh-CN"/>
        </w:rPr>
        <w:t>东收费站北侧大楼</w:t>
      </w:r>
    </w:p>
    <w:p>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default"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 xml:space="preserve">联系人：米先生                          </w:t>
      </w:r>
    </w:p>
    <w:p>
      <w:pPr>
        <w:keepNext w:val="0"/>
        <w:keepLines w:val="0"/>
        <w:pageBreakBefore w:val="0"/>
        <w:wordWrap/>
        <w:overflowPunct/>
        <w:topLinePunct w:val="0"/>
        <w:bidi w:val="0"/>
        <w:spacing w:line="360" w:lineRule="auto"/>
        <w:ind w:firstLine="480" w:firstLineChars="200"/>
        <w:rPr>
          <w:rFonts w:hint="eastAsia"/>
          <w:sz w:val="24"/>
          <w:szCs w:val="24"/>
          <w:lang w:val="en-US" w:eastAsia="zh-CN"/>
        </w:rPr>
      </w:pPr>
      <w:r>
        <w:rPr>
          <w:rFonts w:hint="eastAsia" w:ascii="宋体" w:hAnsi="宋体" w:eastAsia="宋体" w:cs="宋体"/>
          <w:snapToGrid w:val="0"/>
          <w:color w:val="auto"/>
          <w:kern w:val="0"/>
          <w:sz w:val="24"/>
          <w:szCs w:val="24"/>
          <w:lang w:val="en-US" w:eastAsia="zh-CN"/>
        </w:rPr>
        <w:t>电话：0951—8597161</w:t>
      </w:r>
    </w:p>
    <w:p>
      <w:pPr>
        <w:jc w:val="both"/>
      </w:pPr>
    </w:p>
    <w:sectPr>
      <w:headerReference r:id="rId3" w:type="default"/>
      <w:footerReference r:id="rId4" w:type="default"/>
      <w:pgSz w:w="11906" w:h="16838"/>
      <w:pgMar w:top="1134" w:right="1417" w:bottom="56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85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52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4343"/>
      <w:rPr>
        <w:rFonts w:ascii="黑体" w:hAnsi="黑体" w:eastAsia="黑体" w:cs="黑体"/>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9D1EB"/>
    <w:multiLevelType w:val="singleLevel"/>
    <w:tmpl w:val="0B69D1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jYmFjNTkyNjQyNDMyZjYxNjQwNjc3OTg3N2IyOTMifQ=="/>
  </w:docVars>
  <w:rsids>
    <w:rsidRoot w:val="646E122D"/>
    <w:rsid w:val="00F2457B"/>
    <w:rsid w:val="04E1301F"/>
    <w:rsid w:val="16CE661D"/>
    <w:rsid w:val="220E5F73"/>
    <w:rsid w:val="2ACD3DD6"/>
    <w:rsid w:val="33093FF2"/>
    <w:rsid w:val="34DA4C04"/>
    <w:rsid w:val="37393473"/>
    <w:rsid w:val="44E672A8"/>
    <w:rsid w:val="4F2B646D"/>
    <w:rsid w:val="61DD60EA"/>
    <w:rsid w:val="62C97D57"/>
    <w:rsid w:val="646E122D"/>
    <w:rsid w:val="68E6522A"/>
    <w:rsid w:val="696352AD"/>
    <w:rsid w:val="71B83C0D"/>
    <w:rsid w:val="74152EE8"/>
    <w:rsid w:val="76461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836"/>
    </w:pPr>
    <w:rPr>
      <w:rFonts w:ascii="宋体" w:hAnsi="宋体" w:eastAsia="宋体" w:cs="宋体"/>
      <w:sz w:val="21"/>
      <w:szCs w:val="21"/>
      <w:lang w:val="zh-CN" w:eastAsia="zh-CN" w:bidi="zh-CN"/>
    </w:rPr>
  </w:style>
  <w:style w:type="paragraph" w:styleId="3">
    <w:name w:val="Body Text Indent"/>
    <w:basedOn w:val="1"/>
    <w:qFormat/>
    <w:uiPriority w:val="0"/>
    <w:pPr>
      <w:ind w:firstLine="648"/>
    </w:pPr>
    <w:rPr>
      <w:sz w:val="32"/>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next w:val="1"/>
    <w:qFormat/>
    <w:uiPriority w:val="0"/>
    <w:pPr>
      <w:ind w:firstLine="420" w:firstLineChars="200"/>
    </w:p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
    <w:name w:val="Table Normal"/>
    <w:unhideWhenUsed/>
    <w:qFormat/>
    <w:uiPriority w:val="0"/>
    <w:tblPr>
      <w:tblCellMar>
        <w:top w:w="0" w:type="dxa"/>
        <w:left w:w="0" w:type="dxa"/>
        <w:bottom w:w="0" w:type="dxa"/>
        <w:right w:w="0" w:type="dxa"/>
      </w:tblCellMar>
    </w:tblPr>
  </w:style>
  <w:style w:type="paragraph" w:customStyle="1" w:styleId="11">
    <w:name w:val="Table Paragraph"/>
    <w:basedOn w:val="12"/>
    <w:qFormat/>
    <w:uiPriority w:val="1"/>
    <w:rPr>
      <w:rFonts w:ascii="Times New Roman" w:hAnsi="Times New Roman"/>
      <w:szCs w:val="24"/>
    </w:rPr>
  </w:style>
  <w:style w:type="paragraph" w:customStyle="1" w:styleId="12">
    <w:name w:val="正文_0_0"/>
    <w:next w:val="13"/>
    <w:qFormat/>
    <w:uiPriority w:val="0"/>
    <w:pPr>
      <w:widowControl w:val="0"/>
      <w:autoSpaceDE w:val="0"/>
      <w:autoSpaceDN w:val="0"/>
    </w:pPr>
    <w:rPr>
      <w:rFonts w:ascii="宋体" w:hAnsi="宋体" w:eastAsia="宋体" w:cs="黑体"/>
      <w:sz w:val="22"/>
      <w:szCs w:val="22"/>
      <w:lang w:val="zh-CN" w:eastAsia="zh-CN" w:bidi="zh-CN"/>
    </w:rPr>
  </w:style>
  <w:style w:type="paragraph" w:customStyle="1" w:styleId="13">
    <w:name w:val="标题 2_0_0"/>
    <w:basedOn w:val="12"/>
    <w:next w:val="14"/>
    <w:qFormat/>
    <w:uiPriority w:val="0"/>
    <w:pPr>
      <w:spacing w:before="260" w:after="260" w:line="416" w:lineRule="auto"/>
      <w:outlineLvl w:val="1"/>
    </w:pPr>
    <w:rPr>
      <w:rFonts w:ascii="Arial" w:hAnsi="Arial" w:eastAsia="黑体"/>
      <w:b/>
      <w:bCs/>
      <w:sz w:val="32"/>
      <w:szCs w:val="32"/>
    </w:rPr>
  </w:style>
  <w:style w:type="paragraph" w:customStyle="1" w:styleId="14">
    <w:name w:val="正文缩进_0_0"/>
    <w:basedOn w:val="12"/>
    <w:qFormat/>
    <w:uiPriority w:val="0"/>
    <w:pPr>
      <w:ind w:firstLine="420"/>
    </w:pPr>
    <w:rPr>
      <w:sz w:val="20"/>
    </w:rPr>
  </w:style>
  <w:style w:type="paragraph" w:customStyle="1" w:styleId="15">
    <w:name w:val="首行缩进"/>
    <w:basedOn w:val="1"/>
    <w:qFormat/>
    <w:uiPriority w:val="0"/>
    <w:pPr>
      <w:spacing w:line="360" w:lineRule="auto"/>
      <w:ind w:left="210" w:leftChars="100" w:firstLine="420" w:firstLineChars="200"/>
    </w:pPr>
    <w:rPr>
      <w:rFonts w:ascii="宋体" w:hAnsi="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4096</Words>
  <Characters>4326</Characters>
  <Lines>0</Lines>
  <Paragraphs>0</Paragraphs>
  <TotalTime>1</TotalTime>
  <ScaleCrop>false</ScaleCrop>
  <LinksUpToDate>false</LinksUpToDate>
  <CharactersWithSpaces>4386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2023-03-15T09:35:00Z</dcterms:created>
  <dc:creator>狗狗脸 </dc:creator>
  <cp:lastModifiedBy>狗狗脸 </cp:lastModifiedBy>
  <cp:lastPrinted>2023-04-28T04:16:00Z</cp:lastPrinted>
  <dcterms:modified xsi:type="dcterms:W3CDTF">2023-05-17T02:53:53Z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4380DE4A9E5B419397AED476C5CABEAF</vt:lpwstr>
  </property>
</Properties>
</file>