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44"/>
          <w:szCs w:val="52"/>
          <w:highlight w:val="none"/>
        </w:rPr>
      </w:pPr>
      <w:r>
        <w:rPr>
          <w:rFonts w:hint="eastAsia" w:ascii="宋体" w:hAnsi="宋体" w:eastAsia="宋体" w:cs="宋体"/>
          <w:b/>
          <w:bCs/>
          <w:color w:val="auto"/>
          <w:sz w:val="44"/>
          <w:szCs w:val="52"/>
          <w:highlight w:val="none"/>
          <w:lang w:eastAsia="zh-CN"/>
        </w:rPr>
        <w:t>宁夏公路管理中心石嘴山分中心2023年日常养护维修项目</w:t>
      </w:r>
      <w:r>
        <w:rPr>
          <w:rFonts w:hint="eastAsia" w:ascii="宋体" w:hAnsi="宋体" w:eastAsia="宋体" w:cs="宋体"/>
          <w:b/>
          <w:bCs/>
          <w:color w:val="auto"/>
          <w:sz w:val="44"/>
          <w:szCs w:val="52"/>
          <w:highlight w:val="none"/>
          <w:lang w:val="en-US" w:eastAsia="zh-CN"/>
        </w:rPr>
        <w:t>B组1标段（二次</w:t>
      </w:r>
      <w:bookmarkStart w:id="51" w:name="_GoBack"/>
      <w:bookmarkEnd w:id="51"/>
      <w:r>
        <w:rPr>
          <w:rFonts w:hint="eastAsia" w:ascii="宋体" w:hAnsi="宋体" w:eastAsia="宋体" w:cs="宋体"/>
          <w:b/>
          <w:bCs/>
          <w:color w:val="auto"/>
          <w:sz w:val="44"/>
          <w:szCs w:val="52"/>
          <w:highlight w:val="none"/>
          <w:lang w:val="en-US" w:eastAsia="zh-CN"/>
        </w:rPr>
        <w:t>）</w:t>
      </w:r>
      <w:r>
        <w:rPr>
          <w:rFonts w:hint="eastAsia" w:ascii="宋体" w:hAnsi="宋体" w:eastAsia="宋体" w:cs="宋体"/>
          <w:b/>
          <w:bCs/>
          <w:color w:val="auto"/>
          <w:sz w:val="44"/>
          <w:szCs w:val="52"/>
          <w:highlight w:val="none"/>
        </w:rPr>
        <w:t>招标关键内容</w:t>
      </w:r>
    </w:p>
    <w:p>
      <w:pPr>
        <w:bidi w:val="0"/>
        <w:spacing w:line="36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一、投标人资格要求</w:t>
      </w:r>
    </w:p>
    <w:p>
      <w:pPr>
        <w:bidi w:val="0"/>
        <w:jc w:val="center"/>
        <w:rPr>
          <w:rFonts w:hint="eastAsia" w:ascii="仿宋" w:hAnsi="仿宋" w:eastAsia="仿宋" w:cs="仿宋"/>
          <w:sz w:val="32"/>
          <w:szCs w:val="32"/>
          <w:highlight w:val="none"/>
        </w:rPr>
      </w:pPr>
      <w:bookmarkStart w:id="0" w:name="_Toc23078"/>
      <w:bookmarkStart w:id="1" w:name="_Toc22875"/>
      <w:bookmarkStart w:id="2" w:name="_Toc10545"/>
      <w:bookmarkStart w:id="3" w:name="_Toc5939"/>
      <w:r>
        <w:rPr>
          <w:rFonts w:hint="eastAsia" w:ascii="仿宋" w:hAnsi="仿宋" w:eastAsia="仿宋" w:cs="仿宋"/>
          <w:sz w:val="32"/>
          <w:szCs w:val="32"/>
          <w:highlight w:val="none"/>
        </w:rPr>
        <w:t>附录1资格审查条件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资质最低条件</w:t>
      </w:r>
      <w:bookmarkEnd w:id="0"/>
      <w:bookmarkEnd w:id="1"/>
      <w:bookmarkEnd w:id="2"/>
      <w:r>
        <w:rPr>
          <w:rFonts w:hint="eastAsia" w:ascii="仿宋" w:hAnsi="仿宋" w:eastAsia="仿宋" w:cs="仿宋"/>
          <w:sz w:val="32"/>
          <w:szCs w:val="32"/>
          <w:highlight w:val="none"/>
          <w:lang w:eastAsia="zh-CN"/>
        </w:rPr>
        <w:t>）</w:t>
      </w:r>
      <w:bookmarkEnd w:id="3"/>
      <w:bookmarkStart w:id="4" w:name="_bookmark13"/>
      <w:bookmarkEnd w:id="4"/>
      <w:bookmarkStart w:id="5" w:name="_Toc29239"/>
      <w:bookmarkStart w:id="6" w:name="_Toc256000004"/>
      <w:bookmarkStart w:id="7" w:name="_Toc18487"/>
      <w:bookmarkStart w:id="8" w:name="_Toc22654"/>
      <w:bookmarkStart w:id="9" w:name="_Toc368"/>
      <w:bookmarkStart w:id="10" w:name="_Toc19031"/>
      <w:bookmarkStart w:id="11" w:name="_Toc6923"/>
      <w:bookmarkStart w:id="12" w:name="_Toc6459"/>
      <w:bookmarkStart w:id="13" w:name="_Toc26752"/>
      <w:bookmarkStart w:id="14" w:name="_Toc3048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center"/>
          </w:tcPr>
          <w:p>
            <w:pPr>
              <w:bidi w:val="0"/>
              <w:spacing w:line="360" w:lineRule="auto"/>
              <w:jc w:val="both"/>
              <w:rPr>
                <w:rFonts w:hint="eastAsia" w:ascii="仿宋" w:hAnsi="仿宋" w:eastAsia="仿宋" w:cs="仿宋"/>
                <w:b w:val="0"/>
                <w:bCs w:val="0"/>
                <w:sz w:val="32"/>
                <w:szCs w:val="32"/>
                <w:highlight w:val="none"/>
                <w:vertAlign w:val="baseline"/>
                <w:lang w:val="en-US" w:eastAsia="zh-CN"/>
              </w:rPr>
            </w:pPr>
            <w:r>
              <w:rPr>
                <w:rFonts w:hint="eastAsia" w:ascii="仿宋" w:hAnsi="仿宋" w:eastAsia="仿宋" w:cs="仿宋"/>
                <w:b w:val="0"/>
                <w:bCs w:val="0"/>
                <w:sz w:val="32"/>
                <w:szCs w:val="32"/>
                <w:highlight w:val="none"/>
                <w:vertAlign w:val="baseline"/>
                <w:lang w:val="en-US" w:eastAsia="zh-CN"/>
              </w:rPr>
              <w:t>B组1标段：</w:t>
            </w:r>
          </w:p>
          <w:p>
            <w:pPr>
              <w:bidi w:val="0"/>
              <w:spacing w:line="360" w:lineRule="auto"/>
              <w:ind w:firstLine="640" w:firstLineChars="200"/>
              <w:jc w:val="both"/>
              <w:rPr>
                <w:rFonts w:hint="eastAsia" w:ascii="仿宋" w:hAnsi="仿宋" w:eastAsia="仿宋" w:cs="仿宋"/>
                <w:b w:val="0"/>
                <w:bCs w:val="0"/>
                <w:sz w:val="32"/>
                <w:szCs w:val="32"/>
                <w:highlight w:val="none"/>
                <w:vertAlign w:val="baseline"/>
                <w:lang w:val="en-US" w:eastAsia="zh-CN"/>
              </w:rPr>
            </w:pPr>
            <w:r>
              <w:rPr>
                <w:rFonts w:hint="eastAsia" w:ascii="仿宋" w:hAnsi="仿宋" w:eastAsia="仿宋" w:cs="仿宋"/>
                <w:b w:val="0"/>
                <w:bCs w:val="0"/>
                <w:sz w:val="32"/>
                <w:szCs w:val="32"/>
                <w:highlight w:val="none"/>
                <w:vertAlign w:val="baseline"/>
                <w:lang w:val="en-US" w:eastAsia="zh-CN"/>
              </w:rPr>
              <w:t>1.投标人具有法人或其他组织资格；持有工商行政管理部门核发的有效企业营业执照或事业单位法人证书或社会团体法人登记证书；</w:t>
            </w:r>
          </w:p>
          <w:p>
            <w:pPr>
              <w:bidi w:val="0"/>
              <w:spacing w:line="360" w:lineRule="auto"/>
              <w:ind w:firstLine="640" w:firstLineChars="200"/>
              <w:jc w:val="both"/>
              <w:rPr>
                <w:rFonts w:hint="eastAsia" w:ascii="仿宋" w:hAnsi="仿宋" w:eastAsia="仿宋" w:cs="仿宋"/>
                <w:b w:val="0"/>
                <w:bCs w:val="0"/>
                <w:sz w:val="32"/>
                <w:szCs w:val="32"/>
                <w:highlight w:val="none"/>
                <w:vertAlign w:val="baseline"/>
                <w:lang w:val="en-US" w:eastAsia="zh-CN"/>
              </w:rPr>
            </w:pPr>
            <w:r>
              <w:rPr>
                <w:rFonts w:hint="eastAsia" w:ascii="仿宋" w:hAnsi="仿宋" w:eastAsia="仿宋" w:cs="仿宋"/>
                <w:b w:val="0"/>
                <w:bCs w:val="0"/>
                <w:sz w:val="32"/>
                <w:szCs w:val="32"/>
                <w:highlight w:val="none"/>
                <w:vertAlign w:val="baseline"/>
                <w:lang w:val="en-US" w:eastAsia="zh-CN"/>
              </w:rPr>
              <w:t>2.具备交通运输主管部门颁发的桥梁养护甲级资质或同时具备公路养护工程三类甲级和三类乙级资质证书，且在有效期内；</w:t>
            </w:r>
          </w:p>
          <w:p>
            <w:pPr>
              <w:bidi w:val="0"/>
              <w:spacing w:line="360" w:lineRule="auto"/>
              <w:ind w:firstLine="640" w:firstLineChars="200"/>
              <w:jc w:val="both"/>
              <w:rPr>
                <w:rFonts w:hint="eastAsia" w:ascii="仿宋" w:hAnsi="仿宋" w:eastAsia="仿宋" w:cs="仿宋"/>
                <w:sz w:val="32"/>
                <w:szCs w:val="32"/>
                <w:highlight w:val="none"/>
              </w:rPr>
            </w:pPr>
            <w:r>
              <w:rPr>
                <w:rFonts w:hint="eastAsia" w:ascii="仿宋" w:hAnsi="仿宋" w:eastAsia="仿宋" w:cs="仿宋"/>
                <w:b w:val="0"/>
                <w:bCs w:val="0"/>
                <w:sz w:val="32"/>
                <w:szCs w:val="32"/>
                <w:highlight w:val="none"/>
                <w:vertAlign w:val="baseline"/>
                <w:lang w:val="en-US" w:eastAsia="zh-CN"/>
              </w:rPr>
              <w:t>3.具备建设行政主管部门颁发的有效的安全生产许可证，并在人员、设备、资金等方面具有相应的施工能力；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center"/>
          </w:tcPr>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注：修改补充投标人须知正文第3.5.1项：</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投标人基本情况表”应附企业营业执照或事业单位法人证书或社会团体法人登记证书和组织机构代码证（按照“三证合一”或“五证合一”登记制度进行登记的，可仅提供营业执照，下同）、施工资质证书、安全生产许可证的</w:t>
            </w:r>
            <w:r>
              <w:rPr>
                <w:rFonts w:hint="eastAsia" w:ascii="仿宋" w:hAnsi="仿宋" w:eastAsia="仿宋" w:cs="仿宋"/>
                <w:sz w:val="32"/>
                <w:szCs w:val="32"/>
                <w:highlight w:val="none"/>
                <w:lang w:eastAsia="zh-CN"/>
              </w:rPr>
              <w:t>彩色影印件</w:t>
            </w:r>
            <w:r>
              <w:rPr>
                <w:rFonts w:hint="eastAsia" w:ascii="仿宋" w:hAnsi="仿宋" w:eastAsia="仿宋" w:cs="仿宋"/>
                <w:sz w:val="32"/>
                <w:szCs w:val="32"/>
                <w:highlight w:val="none"/>
                <w:lang w:val="en-US" w:eastAsia="zh-CN"/>
              </w:rPr>
              <w:t>。</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企业营业执照或事业单位法人证书或社会团体法人登记证书和组织机构代码证、施工资质证书、安全生产许可证的彩色影印件应提供全本（证书封面、封底、空白页除外），应包括投标人名称、投标人其他相关信息、颁发机构名称、投标人信息变更情况等关键页在内。</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（3）对于法人发生重组或变更的投标人，应在投标文件中提供附有法人重组或变更时相关部门的合法批件、变更时的企业法人营业执照和资质证书的变更记录的彩色影印件。</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彩色影印件。</w:t>
            </w:r>
          </w:p>
          <w:p>
            <w:pPr>
              <w:bidi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（5）招标文件中其他地方与此处不一致时，以此处为准。</w:t>
            </w:r>
          </w:p>
        </w:tc>
      </w:tr>
    </w:tbl>
    <w:p>
      <w:pPr>
        <w:bidi w:val="0"/>
        <w:jc w:val="center"/>
        <w:rPr>
          <w:rFonts w:hint="eastAsia" w:ascii="仿宋" w:hAnsi="仿宋" w:eastAsia="仿宋" w:cs="仿宋"/>
          <w:sz w:val="32"/>
          <w:szCs w:val="32"/>
          <w:highlight w:val="none"/>
        </w:rPr>
      </w:pPr>
      <w:bookmarkStart w:id="15" w:name="_Toc3919"/>
      <w:r>
        <w:rPr>
          <w:rFonts w:hint="eastAsia" w:ascii="仿宋" w:hAnsi="仿宋" w:eastAsia="仿宋" w:cs="仿宋"/>
          <w:sz w:val="32"/>
          <w:szCs w:val="32"/>
          <w:highlight w:val="none"/>
        </w:rPr>
        <w:t>附录2资格审查条件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财务最低要求</w:t>
      </w:r>
      <w:bookmarkEnd w:id="5"/>
      <w:bookmarkEnd w:id="6"/>
      <w:bookmarkEnd w:id="7"/>
      <w:bookmarkEnd w:id="8"/>
      <w:bookmarkEnd w:id="9"/>
      <w:bookmarkEnd w:id="10"/>
      <w:bookmarkEnd w:id="11"/>
      <w:bookmarkEnd w:id="12"/>
      <w:bookmarkEnd w:id="13"/>
      <w:bookmarkEnd w:id="14"/>
      <w:r>
        <w:rPr>
          <w:rFonts w:hint="eastAsia" w:ascii="仿宋" w:hAnsi="仿宋" w:eastAsia="仿宋" w:cs="仿宋"/>
          <w:sz w:val="32"/>
          <w:szCs w:val="32"/>
          <w:highlight w:val="none"/>
          <w:lang w:eastAsia="zh-CN"/>
        </w:rPr>
        <w:t>）</w:t>
      </w:r>
      <w:bookmarkEnd w:id="15"/>
      <w:bookmarkStart w:id="16" w:name="_bookmark14"/>
      <w:bookmarkEnd w:id="16"/>
      <w:bookmarkStart w:id="17" w:name="_Toc25961"/>
      <w:bookmarkStart w:id="18" w:name="_Toc19522"/>
      <w:bookmarkStart w:id="19" w:name="_Toc13107"/>
      <w:bookmarkStart w:id="20" w:name="_Toc16398"/>
      <w:bookmarkStart w:id="21" w:name="_Toc256000005"/>
      <w:bookmarkStart w:id="22" w:name="_Toc4428"/>
      <w:bookmarkStart w:id="23" w:name="_Toc4092"/>
      <w:bookmarkStart w:id="24" w:name="_Toc15775"/>
      <w:bookmarkStart w:id="25" w:name="_Toc25025"/>
      <w:bookmarkStart w:id="26" w:name="_Toc6262"/>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0" w:type="dxa"/>
            <w:noWrap w:val="0"/>
            <w:vAlign w:val="top"/>
          </w:tcPr>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投标人提供近3年（2019年至2021年）经审计的财务报表，且提供的每一年度财务报表中年末的流动资产与流动负债比均不小于1。</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注：1.各标段投标人应在投标文件中附近三年经会计师事务所或审计机构审计的财务会计报表，包括资产负债表、现金流量表、利润表和财务情况说明书的彩色影印件。</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2.投标人的成立时间少于规定年份的可以对本项目投标，应提供成立以来的财务状况表，且投标人所提供的财务报表均需满足以上要求。</w:t>
            </w:r>
          </w:p>
          <w:p>
            <w:pPr>
              <w:bidi w:val="0"/>
              <w:spacing w:line="360" w:lineRule="auto"/>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3.投标人如为集团公司，财务会计报表指合并财务会计报表。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top"/>
          </w:tcPr>
          <w:p>
            <w:pPr>
              <w:spacing w:line="36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注：修改补充投标人须知正文第3.5.2项：</w:t>
            </w:r>
          </w:p>
          <w:p>
            <w:pPr>
              <w:spacing w:line="36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（1）各标段投标人应在投标文件中附近3年经会计师事务所或审计机构审计的财务会计报表，包括资产负债表、现金流量表、利润表和财务情况说明书的彩色影印件；</w:t>
            </w:r>
          </w:p>
          <w:p>
            <w:pPr>
              <w:spacing w:line="36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（2）投标人的成立时间少于该年份规定的可以对本项目投标，应提供成立以来的财务状况表，且投标人所提供的所有年份的财务报表均需满足</w:t>
            </w:r>
            <w:r>
              <w:rPr>
                <w:rFonts w:hint="eastAsia" w:ascii="仿宋" w:hAnsi="仿宋" w:eastAsia="仿宋" w:cs="仿宋"/>
                <w:sz w:val="32"/>
                <w:szCs w:val="32"/>
                <w:highlight w:val="none"/>
                <w:lang w:val="en-US" w:eastAsia="zh-CN"/>
              </w:rPr>
              <w:t>以上</w:t>
            </w:r>
            <w:r>
              <w:rPr>
                <w:rFonts w:hint="eastAsia" w:ascii="仿宋" w:hAnsi="仿宋" w:eastAsia="仿宋" w:cs="仿宋"/>
                <w:sz w:val="32"/>
                <w:szCs w:val="32"/>
                <w:highlight w:val="none"/>
                <w:lang w:eastAsia="zh-CN"/>
              </w:rPr>
              <w:t>要求；</w:t>
            </w:r>
          </w:p>
          <w:p>
            <w:pPr>
              <w:spacing w:line="36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（3）投标人如为集团公司，财务会计报表指合并财务会计报表；</w:t>
            </w:r>
          </w:p>
          <w:p>
            <w:p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（4）招标文件中其他地方与此处不一致时，以此处为准。</w:t>
            </w:r>
          </w:p>
        </w:tc>
      </w:tr>
    </w:tbl>
    <w:p>
      <w:pPr>
        <w:bidi w:val="0"/>
        <w:jc w:val="center"/>
        <w:rPr>
          <w:rFonts w:hint="eastAsia" w:ascii="仿宋" w:hAnsi="仿宋" w:eastAsia="仿宋" w:cs="仿宋"/>
          <w:sz w:val="32"/>
          <w:szCs w:val="32"/>
          <w:highlight w:val="none"/>
        </w:rPr>
      </w:pPr>
      <w:bookmarkStart w:id="27" w:name="_Toc19974"/>
      <w:r>
        <w:rPr>
          <w:rFonts w:hint="eastAsia" w:ascii="仿宋" w:hAnsi="仿宋" w:eastAsia="仿宋" w:cs="仿宋"/>
          <w:sz w:val="32"/>
          <w:szCs w:val="32"/>
          <w:highlight w:val="none"/>
        </w:rPr>
        <w:t>附录3资格审查条件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业绩最低要求</w:t>
      </w:r>
      <w:bookmarkEnd w:id="17"/>
      <w:bookmarkEnd w:id="18"/>
      <w:bookmarkEnd w:id="19"/>
      <w:bookmarkEnd w:id="20"/>
      <w:bookmarkEnd w:id="21"/>
      <w:bookmarkEnd w:id="22"/>
      <w:bookmarkEnd w:id="23"/>
      <w:bookmarkEnd w:id="24"/>
      <w:bookmarkEnd w:id="25"/>
      <w:bookmarkEnd w:id="26"/>
      <w:r>
        <w:rPr>
          <w:rFonts w:hint="eastAsia" w:ascii="仿宋" w:hAnsi="仿宋" w:eastAsia="仿宋" w:cs="仿宋"/>
          <w:sz w:val="32"/>
          <w:szCs w:val="32"/>
          <w:highlight w:val="none"/>
          <w:lang w:eastAsia="zh-CN"/>
        </w:rPr>
        <w:t>）</w:t>
      </w:r>
      <w:bookmarkEnd w:id="27"/>
      <w:bookmarkStart w:id="28" w:name="_Toc15999"/>
      <w:bookmarkStart w:id="29" w:name="_Toc25539"/>
      <w:bookmarkStart w:id="30" w:name="_Toc21867"/>
      <w:bookmarkStart w:id="31" w:name="_Toc21781"/>
      <w:bookmarkStart w:id="32" w:name="_Toc12542"/>
      <w:bookmarkStart w:id="33" w:name="_Toc256000006"/>
      <w:bookmarkStart w:id="34" w:name="_Toc16296"/>
      <w:bookmarkStart w:id="35" w:name="_Toc5246"/>
      <w:bookmarkStart w:id="36" w:name="_Toc1147"/>
      <w:bookmarkStart w:id="37" w:name="_Toc19357"/>
    </w:p>
    <w:tbl>
      <w:tblPr>
        <w:tblStyle w:val="9"/>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0" w:type="dxa"/>
            <w:noWrap w:val="0"/>
            <w:vAlign w:val="center"/>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10" w:type="dxa"/>
            <w:noWrap w:val="0"/>
            <w:vAlign w:val="center"/>
          </w:tcPr>
          <w:p>
            <w:pPr>
              <w:bidi w:val="0"/>
              <w:spacing w:line="360" w:lineRule="auto"/>
              <w:jc w:val="both"/>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B组1标段：</w:t>
            </w:r>
          </w:p>
          <w:p>
            <w:pPr>
              <w:bidi w:val="0"/>
              <w:spacing w:line="360" w:lineRule="auto"/>
              <w:ind w:firstLine="640" w:firstLineChars="200"/>
              <w:jc w:val="both"/>
              <w:rPr>
                <w:rFonts w:hint="eastAsia" w:ascii="仿宋" w:hAnsi="仿宋" w:eastAsia="仿宋" w:cs="仿宋"/>
                <w:sz w:val="32"/>
                <w:szCs w:val="32"/>
                <w:highlight w:val="none"/>
              </w:rPr>
            </w:pPr>
            <w:r>
              <w:rPr>
                <w:rFonts w:hint="eastAsia" w:ascii="仿宋" w:hAnsi="仿宋" w:eastAsia="仿宋" w:cs="仿宋"/>
                <w:b w:val="0"/>
                <w:bCs w:val="0"/>
                <w:sz w:val="32"/>
                <w:szCs w:val="32"/>
                <w:highlight w:val="none"/>
                <w:lang w:val="en-US" w:eastAsia="zh-CN"/>
              </w:rPr>
              <w:t>投标人在近3年（指2020年5月12日至投标截止之日，以交工日期为准）至少完成过1个合同额不少于140万元的二级及以上等级公路大桥或特大桥梁养护工程施工或维修业绩。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0" w:type="dxa"/>
            <w:noWrap w:val="0"/>
            <w:vAlign w:val="center"/>
          </w:tcPr>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注：修改补充投标人须知正文第3.5.3项：</w:t>
            </w:r>
          </w:p>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（1）投标人填报的业绩应是已列入交通运输部或省级交通运输主管部门主管的“全国公路建设市场信用信息管理系统”并公开的主包已建业绩或分包已建业绩。</w:t>
            </w:r>
          </w:p>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近年完成的类似项目情况表”应附在交通运输部“全国公路建设市场信用信息管理系统”中查询到的企业“业绩信息”相关项目网页截图，即包括“项目名称”“项目类型”“合同价”“主要工程量”“人员履约信息”等栏目在内的项目详细信息网页截图。在交通运输部“全国公路建设市场信用信息管理系统”中无法查询的，应附省级交通运输主管部门“公路建设市场信用信息管理系统”中查询到的网页截图。</w:t>
            </w:r>
            <w:r>
              <w:rPr>
                <w:rFonts w:hint="eastAsia" w:ascii="仿宋" w:hAnsi="仿宋" w:eastAsia="仿宋" w:cs="仿宋"/>
                <w:b/>
                <w:bCs/>
                <w:sz w:val="32"/>
                <w:szCs w:val="32"/>
                <w:highlight w:val="none"/>
                <w:lang w:val="en-US" w:eastAsia="zh-CN"/>
              </w:rPr>
              <w:t>除网页截图外，投标人无须再提供任何业绩证明资料。</w:t>
            </w:r>
          </w:p>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（3）如投标人未提供相关项目网页截图或相关项目网页截图中的信息无法证实投标人满足招标文件规定的资格审查条件（业绩最低要求），则该项目业绩不予认定。</w:t>
            </w:r>
          </w:p>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的投诉，招标人一经查实将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w:t>
            </w:r>
          </w:p>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（5）《宁夏回族自治区公路建设与养护市场信用信息管理系统》已正常开启，由于端口号变化，本系统的登录地址变更为：http://222.75.71.73:8081/CISS/main/highway</w:t>
            </w:r>
            <w:r>
              <w:rPr>
                <w:rFonts w:hint="eastAsia" w:ascii="仿宋" w:hAnsi="仿宋" w:eastAsia="仿宋" w:cs="仿宋"/>
                <w:sz w:val="32"/>
                <w:szCs w:val="32"/>
                <w:highlight w:val="none"/>
                <w:lang w:val="en-US" w:eastAsia="zh-CN"/>
              </w:rPr>
              <w:fldChar w:fldCharType="begin"/>
            </w:r>
            <w:r>
              <w:rPr>
                <w:rFonts w:hint="eastAsia" w:ascii="仿宋" w:hAnsi="仿宋" w:eastAsia="仿宋" w:cs="仿宋"/>
                <w:sz w:val="32"/>
                <w:szCs w:val="32"/>
                <w:highlight w:val="none"/>
                <w:lang w:val="en-US" w:eastAsia="zh-CN"/>
              </w:rPr>
              <w:instrText xml:space="preserve"> HYPERLINK "http://222.75.71.73:8081/CISS/main/highway，如投标人需要，请正确登陆。" </w:instrText>
            </w:r>
            <w:r>
              <w:rPr>
                <w:rFonts w:hint="eastAsia" w:ascii="仿宋" w:hAnsi="仿宋" w:eastAsia="仿宋" w:cs="仿宋"/>
                <w:sz w:val="32"/>
                <w:szCs w:val="32"/>
                <w:highlight w:val="none"/>
                <w:lang w:val="en-US" w:eastAsia="zh-CN"/>
              </w:rPr>
              <w:fldChar w:fldCharType="separate"/>
            </w:r>
            <w:r>
              <w:rPr>
                <w:rFonts w:hint="eastAsia" w:ascii="仿宋" w:hAnsi="仿宋" w:eastAsia="仿宋" w:cs="仿宋"/>
                <w:sz w:val="32"/>
                <w:szCs w:val="32"/>
                <w:highlight w:val="none"/>
                <w:lang w:val="en-US" w:eastAsia="zh-CN"/>
              </w:rPr>
              <w:t>，如投标人需要，请正确登录。</w:t>
            </w:r>
            <w:r>
              <w:rPr>
                <w:rFonts w:hint="eastAsia" w:ascii="仿宋" w:hAnsi="仿宋" w:eastAsia="仿宋" w:cs="仿宋"/>
                <w:sz w:val="32"/>
                <w:szCs w:val="32"/>
                <w:highlight w:val="none"/>
                <w:lang w:val="en-US" w:eastAsia="zh-CN"/>
              </w:rPr>
              <w:fldChar w:fldCharType="end"/>
            </w:r>
          </w:p>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（6）如部分地区省级交通运输主管部门的“公路建设市场信用信息管理系统”需要登录才可查询业绩的，投标企业必须提供登录账号密码，如不提供导致评标委员会无法查询业绩的，则该项目业绩不予认定。</w:t>
            </w:r>
          </w:p>
          <w:p>
            <w:p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（7）招标文件中其他地方与此处不一致时，以此处为准。</w:t>
            </w:r>
          </w:p>
        </w:tc>
      </w:tr>
    </w:tbl>
    <w:p>
      <w:pPr>
        <w:bidi w:val="0"/>
        <w:jc w:val="center"/>
        <w:rPr>
          <w:rFonts w:hint="eastAsia" w:ascii="仿宋" w:hAnsi="仿宋" w:eastAsia="仿宋" w:cs="仿宋"/>
          <w:sz w:val="32"/>
          <w:szCs w:val="32"/>
          <w:highlight w:val="none"/>
        </w:rPr>
      </w:pPr>
      <w:bookmarkStart w:id="38" w:name="_Toc6255"/>
      <w:r>
        <w:rPr>
          <w:rFonts w:hint="eastAsia" w:ascii="仿宋" w:hAnsi="仿宋" w:eastAsia="仿宋" w:cs="仿宋"/>
          <w:sz w:val="32"/>
          <w:szCs w:val="32"/>
          <w:highlight w:val="none"/>
        </w:rPr>
        <w:t>附录4资格审查条件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信誉最低要求</w:t>
      </w:r>
      <w:bookmarkEnd w:id="28"/>
      <w:bookmarkEnd w:id="29"/>
      <w:bookmarkEnd w:id="30"/>
      <w:bookmarkEnd w:id="31"/>
      <w:bookmarkEnd w:id="32"/>
      <w:bookmarkEnd w:id="33"/>
      <w:bookmarkEnd w:id="34"/>
      <w:r>
        <w:rPr>
          <w:rFonts w:hint="eastAsia" w:ascii="仿宋" w:hAnsi="仿宋" w:eastAsia="仿宋" w:cs="仿宋"/>
          <w:sz w:val="32"/>
          <w:szCs w:val="32"/>
          <w:highlight w:val="none"/>
        </w:rPr>
        <w:t>）</w:t>
      </w:r>
      <w:bookmarkEnd w:id="35"/>
      <w:bookmarkEnd w:id="36"/>
      <w:bookmarkEnd w:id="37"/>
      <w:bookmarkEnd w:id="38"/>
      <w:bookmarkStart w:id="39" w:name="_bookmark16"/>
      <w:bookmarkEnd w:id="39"/>
      <w:bookmarkStart w:id="40" w:name="_Toc871"/>
      <w:bookmarkStart w:id="41" w:name="_Toc31600"/>
      <w:bookmarkStart w:id="42" w:name="_Toc19066"/>
      <w:bookmarkStart w:id="43" w:name="_Toc14140"/>
      <w:bookmarkStart w:id="44" w:name="_Toc26870"/>
      <w:bookmarkStart w:id="45" w:name="_Toc22577"/>
      <w:bookmarkStart w:id="46" w:name="_Toc31938"/>
      <w:bookmarkStart w:id="47" w:name="_Toc256000007"/>
      <w:bookmarkStart w:id="48" w:name="_Toc1138"/>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top"/>
          </w:tcPr>
          <w:p>
            <w:p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center"/>
          </w:tcPr>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未被省级及以上交通运输主管部门取消招标项目所在地的投标资格且处于有效期内</w:t>
            </w:r>
            <w:r>
              <w:rPr>
                <w:rFonts w:hint="eastAsia" w:ascii="仿宋" w:hAnsi="仿宋" w:eastAsia="仿宋" w:cs="仿宋"/>
                <w:sz w:val="32"/>
                <w:szCs w:val="32"/>
                <w:highlight w:val="none"/>
              </w:rPr>
              <w:t>；</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未被责令停业，暂扣或吊销执照，或吊销资质证书，或吊销安全生产许可证；</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未进入清算程序，或被宣告破产，或其他丧失履约能力的情形；</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在国家企业信用信息公示系统（</w:t>
            </w:r>
            <w:r>
              <w:rPr>
                <w:rFonts w:hint="eastAsia" w:ascii="仿宋" w:hAnsi="仿宋" w:eastAsia="仿宋" w:cs="仿宋"/>
                <w:sz w:val="32"/>
                <w:szCs w:val="32"/>
                <w:highlight w:val="none"/>
                <w:lang w:eastAsia="zh-CN"/>
              </w:rPr>
              <w:t>http:</w:t>
            </w:r>
            <w:r>
              <w:rPr>
                <w:rFonts w:hint="eastAsia" w:ascii="仿宋" w:hAnsi="仿宋" w:eastAsia="仿宋" w:cs="仿宋"/>
                <w:sz w:val="32"/>
                <w:szCs w:val="32"/>
                <w:highlight w:val="none"/>
              </w:rPr>
              <w:t>//www.gsxt.gov.cn/）中未被列入严重违法失信企业名单；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提供</w:t>
            </w:r>
            <w:r>
              <w:rPr>
                <w:rFonts w:hint="eastAsia" w:ascii="仿宋" w:hAnsi="仿宋" w:eastAsia="仿宋" w:cs="仿宋"/>
                <w:sz w:val="32"/>
                <w:szCs w:val="32"/>
                <w:highlight w:val="none"/>
                <w:lang w:val="en-US" w:eastAsia="zh-CN"/>
              </w:rPr>
              <w:t>网站查询</w:t>
            </w:r>
            <w:r>
              <w:rPr>
                <w:rFonts w:hint="eastAsia" w:ascii="仿宋" w:hAnsi="仿宋" w:eastAsia="仿宋" w:cs="仿宋"/>
                <w:sz w:val="32"/>
                <w:szCs w:val="32"/>
                <w:highlight w:val="none"/>
              </w:rPr>
              <w:t>截图</w:t>
            </w:r>
            <w:r>
              <w:rPr>
                <w:rFonts w:hint="eastAsia" w:ascii="仿宋" w:hAnsi="仿宋" w:eastAsia="仿宋" w:cs="仿宋"/>
                <w:sz w:val="32"/>
                <w:szCs w:val="32"/>
                <w:highlight w:val="none"/>
                <w:lang w:eastAsia="zh-CN"/>
              </w:rPr>
              <w:t>）</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在“信用中国”（</w:t>
            </w:r>
            <w:r>
              <w:rPr>
                <w:rFonts w:hint="eastAsia" w:ascii="仿宋" w:hAnsi="仿宋" w:eastAsia="仿宋" w:cs="仿宋"/>
                <w:sz w:val="32"/>
                <w:szCs w:val="32"/>
                <w:highlight w:val="none"/>
                <w:lang w:eastAsia="zh-CN"/>
              </w:rPr>
              <w:t>http:</w:t>
            </w:r>
            <w:r>
              <w:rPr>
                <w:rFonts w:hint="eastAsia" w:ascii="仿宋" w:hAnsi="仿宋" w:eastAsia="仿宋" w:cs="仿宋"/>
                <w:sz w:val="32"/>
                <w:szCs w:val="32"/>
                <w:highlight w:val="none"/>
              </w:rPr>
              <w:t>//www.creditchina.gov.cn）、“信用宁夏”（</w:t>
            </w:r>
            <w:r>
              <w:rPr>
                <w:rFonts w:hint="eastAsia" w:ascii="仿宋" w:hAnsi="仿宋" w:eastAsia="仿宋" w:cs="仿宋"/>
                <w:sz w:val="32"/>
                <w:szCs w:val="32"/>
                <w:highlight w:val="none"/>
                <w:lang w:eastAsia="zh-CN"/>
              </w:rPr>
              <w:t>http:</w:t>
            </w:r>
            <w:r>
              <w:rPr>
                <w:rFonts w:hint="eastAsia" w:ascii="仿宋" w:hAnsi="仿宋" w:eastAsia="仿宋" w:cs="仿宋"/>
                <w:sz w:val="32"/>
                <w:szCs w:val="32"/>
                <w:highlight w:val="none"/>
              </w:rPr>
              <w:t>//credit.nx.gov.cn/）网站中未被列入失信被执行人、企业经营异常名录、重大税收违法案件当事人名单；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提供</w:t>
            </w:r>
            <w:r>
              <w:rPr>
                <w:rFonts w:hint="eastAsia" w:ascii="仿宋" w:hAnsi="仿宋" w:eastAsia="仿宋" w:cs="仿宋"/>
                <w:sz w:val="32"/>
                <w:szCs w:val="32"/>
                <w:highlight w:val="none"/>
                <w:lang w:val="en-US" w:eastAsia="zh-CN"/>
              </w:rPr>
              <w:t>网站查询</w:t>
            </w:r>
            <w:r>
              <w:rPr>
                <w:rFonts w:hint="eastAsia" w:ascii="仿宋" w:hAnsi="仿宋" w:eastAsia="仿宋" w:cs="仿宋"/>
                <w:sz w:val="32"/>
                <w:szCs w:val="32"/>
                <w:highlight w:val="none"/>
              </w:rPr>
              <w:t>截图</w:t>
            </w:r>
            <w:r>
              <w:rPr>
                <w:rFonts w:hint="eastAsia" w:ascii="仿宋" w:hAnsi="仿宋" w:eastAsia="仿宋" w:cs="仿宋"/>
                <w:sz w:val="32"/>
                <w:szCs w:val="32"/>
                <w:highlight w:val="none"/>
                <w:lang w:eastAsia="zh-CN"/>
              </w:rPr>
              <w:t>）</w:t>
            </w:r>
          </w:p>
          <w:p>
            <w:pP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投标人及其法定代表人、拟委任的项目经理自</w:t>
            </w:r>
            <w:r>
              <w:rPr>
                <w:rFonts w:hint="eastAsia" w:ascii="仿宋" w:hAnsi="仿宋" w:eastAsia="仿宋" w:cs="仿宋"/>
                <w:sz w:val="32"/>
                <w:szCs w:val="32"/>
                <w:highlight w:val="none"/>
                <w:lang w:val="en-US" w:eastAsia="zh-CN"/>
              </w:rPr>
              <w:t>2020年5月12日</w:t>
            </w:r>
            <w:r>
              <w:rPr>
                <w:rFonts w:hint="eastAsia" w:ascii="仿宋" w:hAnsi="仿宋" w:eastAsia="仿宋" w:cs="仿宋"/>
                <w:sz w:val="32"/>
                <w:szCs w:val="32"/>
                <w:highlight w:val="none"/>
              </w:rPr>
              <w:t>以来无行贿犯罪行为；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提供承诺函</w:t>
            </w:r>
            <w:r>
              <w:rPr>
                <w:rFonts w:hint="eastAsia" w:ascii="仿宋" w:hAnsi="仿宋" w:eastAsia="仿宋" w:cs="仿宋"/>
                <w:sz w:val="32"/>
                <w:szCs w:val="32"/>
                <w:highlight w:val="none"/>
                <w:lang w:eastAsia="zh-CN"/>
              </w:rPr>
              <w:t>）</w:t>
            </w:r>
          </w:p>
          <w:p>
            <w:pPr>
              <w:bidi w:val="0"/>
              <w:spacing w:line="360" w:lineRule="auto"/>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不存在法律法规或投标人须知前附表规定的其他不合格情形。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center"/>
          </w:tcPr>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注：1.投标人提供“投标人信誉情况表”时，按照以上内容及投标文件格式中的要求提供证明资料。</w:t>
            </w:r>
          </w:p>
          <w:p>
            <w:p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2.招标文件中其他地方与此处不一致时，以此处为准。</w:t>
            </w:r>
          </w:p>
        </w:tc>
      </w:tr>
    </w:tbl>
    <w:p>
      <w:pPr>
        <w:bidi w:val="0"/>
        <w:jc w:val="center"/>
        <w:rPr>
          <w:rFonts w:hint="eastAsia" w:ascii="仿宋" w:hAnsi="仿宋" w:eastAsia="仿宋" w:cs="仿宋"/>
          <w:sz w:val="32"/>
          <w:szCs w:val="32"/>
          <w:highlight w:val="none"/>
        </w:rPr>
      </w:pPr>
      <w:bookmarkStart w:id="49" w:name="_Toc1005"/>
      <w:bookmarkStart w:id="50" w:name="_Toc29303"/>
      <w:r>
        <w:rPr>
          <w:rFonts w:hint="eastAsia" w:ascii="仿宋" w:hAnsi="仿宋" w:eastAsia="仿宋" w:cs="仿宋"/>
          <w:sz w:val="32"/>
          <w:szCs w:val="32"/>
          <w:highlight w:val="none"/>
        </w:rPr>
        <w:t>附录5资格审查条件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项目经理和项目总工最低要求</w:t>
      </w:r>
      <w:bookmarkEnd w:id="40"/>
      <w:bookmarkEnd w:id="41"/>
      <w:bookmarkEnd w:id="42"/>
      <w:bookmarkEnd w:id="43"/>
      <w:bookmarkEnd w:id="44"/>
      <w:bookmarkEnd w:id="45"/>
      <w:bookmarkEnd w:id="46"/>
      <w:bookmarkEnd w:id="47"/>
      <w:bookmarkEnd w:id="48"/>
      <w:bookmarkEnd w:id="49"/>
      <w:r>
        <w:rPr>
          <w:rFonts w:hint="eastAsia" w:ascii="仿宋" w:hAnsi="仿宋" w:eastAsia="仿宋" w:cs="仿宋"/>
          <w:sz w:val="32"/>
          <w:szCs w:val="32"/>
          <w:highlight w:val="none"/>
          <w:lang w:eastAsia="zh-CN"/>
        </w:rPr>
        <w:t>）</w:t>
      </w:r>
      <w:bookmarkEnd w:id="50"/>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018"/>
        <w:gridCol w:w="4639"/>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3" w:type="dxa"/>
            <w:noWrap w:val="0"/>
            <w:vAlign w:val="center"/>
          </w:tcPr>
          <w:p>
            <w:pPr>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lang w:val="en-US" w:eastAsia="zh-CN"/>
              </w:rPr>
              <w:t>人员</w:t>
            </w:r>
          </w:p>
        </w:tc>
        <w:tc>
          <w:tcPr>
            <w:tcW w:w="1018" w:type="dxa"/>
            <w:noWrap w:val="0"/>
            <w:vAlign w:val="center"/>
          </w:tcPr>
          <w:p>
            <w:pPr>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lang w:val="en-US" w:eastAsia="zh-CN"/>
              </w:rPr>
              <w:t>数量</w:t>
            </w:r>
          </w:p>
        </w:tc>
        <w:tc>
          <w:tcPr>
            <w:tcW w:w="4639" w:type="dxa"/>
            <w:noWrap w:val="0"/>
            <w:vAlign w:val="center"/>
          </w:tcPr>
          <w:p>
            <w:pPr>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lang w:val="en-US" w:eastAsia="zh-CN"/>
              </w:rPr>
              <w:t>资格要求</w:t>
            </w:r>
          </w:p>
        </w:tc>
        <w:tc>
          <w:tcPr>
            <w:tcW w:w="2990" w:type="dxa"/>
            <w:noWrap w:val="0"/>
            <w:vAlign w:val="center"/>
          </w:tcPr>
          <w:p>
            <w:pPr>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lang w:val="en-US" w:eastAsia="zh-CN"/>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项目</w:t>
            </w:r>
          </w:p>
          <w:p>
            <w:pPr>
              <w:bidi w:val="0"/>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rPr>
              <w:t>经理</w:t>
            </w:r>
          </w:p>
        </w:tc>
        <w:tc>
          <w:tcPr>
            <w:tcW w:w="1018" w:type="dxa"/>
            <w:noWrap w:val="0"/>
            <w:vAlign w:val="center"/>
          </w:tcPr>
          <w:p>
            <w:pPr>
              <w:bidi w:val="0"/>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rPr>
              <w:t>1</w:t>
            </w:r>
          </w:p>
        </w:tc>
        <w:tc>
          <w:tcPr>
            <w:tcW w:w="4639" w:type="dxa"/>
            <w:noWrap w:val="0"/>
            <w:vAlign w:val="center"/>
          </w:tcPr>
          <w:p>
            <w:pPr>
              <w:spacing w:line="360" w:lineRule="auto"/>
              <w:rPr>
                <w:rFonts w:hint="eastAsia" w:ascii="仿宋" w:hAnsi="仿宋" w:eastAsia="仿宋" w:cs="仿宋"/>
                <w:b/>
                <w:bCs/>
                <w:i w:val="0"/>
                <w:iCs w:val="0"/>
                <w:sz w:val="32"/>
                <w:szCs w:val="32"/>
                <w:highlight w:val="none"/>
                <w:lang w:val="en-US" w:eastAsia="zh-CN"/>
              </w:rPr>
            </w:pPr>
            <w:r>
              <w:rPr>
                <w:rFonts w:hint="eastAsia" w:ascii="仿宋" w:hAnsi="仿宋" w:eastAsia="仿宋" w:cs="仿宋"/>
                <w:b/>
                <w:bCs/>
                <w:i w:val="0"/>
                <w:iCs w:val="0"/>
                <w:sz w:val="32"/>
                <w:szCs w:val="32"/>
                <w:highlight w:val="none"/>
                <w:lang w:val="en-US" w:eastAsia="zh-CN"/>
              </w:rPr>
              <w:t>B组1标段：</w:t>
            </w:r>
          </w:p>
          <w:p>
            <w:pPr>
              <w:spacing w:line="360" w:lineRule="auto"/>
              <w:ind w:firstLine="643" w:firstLineChars="200"/>
              <w:rPr>
                <w:rFonts w:hint="eastAsia" w:ascii="仿宋" w:hAnsi="仿宋" w:eastAsia="仿宋" w:cs="仿宋"/>
                <w:sz w:val="32"/>
                <w:szCs w:val="32"/>
                <w:highlight w:val="none"/>
                <w:vertAlign w:val="baseline"/>
              </w:rPr>
            </w:pPr>
            <w:r>
              <w:rPr>
                <w:rFonts w:hint="eastAsia" w:ascii="仿宋" w:hAnsi="仿宋" w:eastAsia="仿宋" w:cs="仿宋"/>
                <w:b/>
                <w:bCs/>
                <w:sz w:val="32"/>
                <w:szCs w:val="32"/>
                <w:highlight w:val="none"/>
                <w:lang w:eastAsia="zh-CN"/>
              </w:rPr>
              <w:t>项目经理：</w:t>
            </w:r>
            <w:r>
              <w:rPr>
                <w:rFonts w:hint="eastAsia" w:ascii="仿宋" w:hAnsi="仿宋" w:eastAsia="仿宋" w:cs="仿宋"/>
                <w:sz w:val="32"/>
                <w:szCs w:val="32"/>
                <w:highlight w:val="none"/>
                <w:lang w:eastAsia="zh-CN"/>
              </w:rPr>
              <w:t>具有公路工程相关专业中级及以上职称，并具有住房和城乡建设部颁发的公路工程专业二级及以上注册建造师证，持有交通运输主管部门或建设主管部门颁发的B类安全生产考核证书。近3年内（指2020年5月12日至投标截止之日，以交工日期为准）至少担任过1个二级及以上等级公路大桥或特大桥梁养护工程施工或维修的项目经理（项目负责人）职务，（或至少担任过2个项目副经理职务）。</w:t>
            </w:r>
          </w:p>
        </w:tc>
        <w:tc>
          <w:tcPr>
            <w:tcW w:w="2990" w:type="dxa"/>
            <w:vMerge w:val="restart"/>
            <w:noWrap w:val="0"/>
            <w:vAlign w:val="center"/>
          </w:tcPr>
          <w:p>
            <w:pPr>
              <w:spacing w:line="360" w:lineRule="auto"/>
              <w:rPr>
                <w:rFonts w:hint="eastAsia" w:ascii="仿宋" w:hAnsi="仿宋" w:eastAsia="仿宋" w:cs="仿宋"/>
                <w:kern w:val="2"/>
                <w:sz w:val="32"/>
                <w:szCs w:val="32"/>
                <w:highlight w:val="none"/>
                <w:vertAlign w:val="baseline"/>
                <w:lang w:val="en-US" w:eastAsia="zh-CN" w:bidi="ar-SA"/>
              </w:rPr>
            </w:pPr>
            <w:r>
              <w:rPr>
                <w:rFonts w:hint="eastAsia" w:ascii="仿宋" w:hAnsi="仿宋" w:eastAsia="仿宋" w:cs="仿宋"/>
                <w:sz w:val="32"/>
                <w:szCs w:val="32"/>
                <w:highlight w:val="none"/>
                <w:lang w:eastAsia="zh-CN"/>
              </w:rPr>
              <w:t>无在岗项目是指：①目前未在其他项目上中标或任职；②在其他项目上中标或已任职，且中标或已任职项目的合同工期与本项目的工期重叠，但本项目中标后能够从该项目上撤离。则投标人必须在本次投标文件中提供书面承诺</w:t>
            </w:r>
            <w:r>
              <w:rPr>
                <w:rFonts w:hint="eastAsia" w:ascii="仿宋" w:hAnsi="仿宋" w:eastAsia="仿宋" w:cs="仿宋"/>
                <w:sz w:val="32"/>
                <w:szCs w:val="32"/>
                <w:highlight w:val="none"/>
                <w:lang w:val="en-US" w:eastAsia="zh-CN"/>
              </w:rPr>
              <w:t>原件的</w:t>
            </w:r>
            <w:r>
              <w:rPr>
                <w:rFonts w:hint="eastAsia" w:ascii="仿宋" w:hAnsi="仿宋" w:eastAsia="仿宋" w:cs="仿宋"/>
                <w:sz w:val="32"/>
                <w:szCs w:val="32"/>
                <w:highlight w:val="none"/>
                <w:lang w:eastAsia="zh-CN"/>
              </w:rPr>
              <w:t>彩色影印件，承诺的内容为上述人员能够从中标项目或已任职项目上撤离。未填写在岗要求或未提供承诺证明材料的，其资格审查不通过。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项目</w:t>
            </w:r>
          </w:p>
          <w:p>
            <w:pPr>
              <w:bidi w:val="0"/>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rPr>
              <w:t>总工</w:t>
            </w:r>
          </w:p>
        </w:tc>
        <w:tc>
          <w:tcPr>
            <w:tcW w:w="1018" w:type="dxa"/>
            <w:noWrap w:val="0"/>
            <w:vAlign w:val="center"/>
          </w:tcPr>
          <w:p>
            <w:pPr>
              <w:bidi w:val="0"/>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rPr>
              <w:t>1</w:t>
            </w:r>
          </w:p>
        </w:tc>
        <w:tc>
          <w:tcPr>
            <w:tcW w:w="4639" w:type="dxa"/>
            <w:noWrap w:val="0"/>
            <w:vAlign w:val="center"/>
          </w:tcPr>
          <w:p>
            <w:pPr>
              <w:spacing w:line="360" w:lineRule="auto"/>
              <w:rPr>
                <w:rFonts w:hint="eastAsia" w:ascii="仿宋" w:hAnsi="仿宋" w:eastAsia="仿宋" w:cs="仿宋"/>
                <w:b/>
                <w:bCs/>
                <w:i w:val="0"/>
                <w:iCs w:val="0"/>
                <w:sz w:val="32"/>
                <w:szCs w:val="32"/>
                <w:highlight w:val="none"/>
                <w:lang w:val="en-US" w:eastAsia="zh-CN"/>
              </w:rPr>
            </w:pPr>
            <w:r>
              <w:rPr>
                <w:rFonts w:hint="eastAsia" w:ascii="仿宋" w:hAnsi="仿宋" w:eastAsia="仿宋" w:cs="仿宋"/>
                <w:b/>
                <w:bCs/>
                <w:i w:val="0"/>
                <w:iCs w:val="0"/>
                <w:sz w:val="32"/>
                <w:szCs w:val="32"/>
                <w:highlight w:val="none"/>
                <w:lang w:val="en-US" w:eastAsia="zh-CN"/>
              </w:rPr>
              <w:t>B组1标段：</w:t>
            </w:r>
          </w:p>
          <w:p>
            <w:pPr>
              <w:spacing w:line="360" w:lineRule="auto"/>
              <w:ind w:firstLine="643" w:firstLineChars="200"/>
              <w:rPr>
                <w:rFonts w:hint="eastAsia" w:ascii="仿宋" w:hAnsi="仿宋" w:eastAsia="仿宋" w:cs="仿宋"/>
                <w:sz w:val="32"/>
                <w:szCs w:val="32"/>
                <w:highlight w:val="none"/>
                <w:vertAlign w:val="baseline"/>
              </w:rPr>
            </w:pPr>
            <w:r>
              <w:rPr>
                <w:rFonts w:hint="eastAsia" w:ascii="仿宋" w:hAnsi="仿宋" w:eastAsia="仿宋" w:cs="仿宋"/>
                <w:b/>
                <w:bCs/>
                <w:kern w:val="2"/>
                <w:sz w:val="32"/>
                <w:szCs w:val="32"/>
                <w:highlight w:val="none"/>
                <w:lang w:val="en-US" w:eastAsia="zh-CN" w:bidi="ar-SA"/>
              </w:rPr>
              <w:t>项目总工：</w:t>
            </w:r>
            <w:r>
              <w:rPr>
                <w:rFonts w:hint="eastAsia" w:ascii="仿宋" w:hAnsi="仿宋" w:eastAsia="仿宋" w:cs="仿宋"/>
                <w:kern w:val="2"/>
                <w:sz w:val="32"/>
                <w:szCs w:val="32"/>
                <w:highlight w:val="none"/>
                <w:lang w:val="en-US" w:eastAsia="zh-CN" w:bidi="ar-SA"/>
              </w:rPr>
              <w:t>具有公路工程相关专业中级及以上职称。近3年内（指2020年5月12日至投标截止之日，以交工日期为准）至少担任过1个二级及以上等级公路大桥或特大桥梁养护工程施工或维修的项目总工（技术负责人）职务，（或至少担任过2个项目副总工职务）。</w:t>
            </w:r>
          </w:p>
        </w:tc>
        <w:tc>
          <w:tcPr>
            <w:tcW w:w="2990" w:type="dxa"/>
            <w:vMerge w:val="continue"/>
            <w:noWrap w:val="0"/>
            <w:vAlign w:val="center"/>
          </w:tcPr>
          <w:p>
            <w:pPr>
              <w:bidi w:val="0"/>
              <w:spacing w:line="360" w:lineRule="auto"/>
              <w:jc w:val="center"/>
              <w:rPr>
                <w:rFonts w:hint="eastAsia" w:ascii="仿宋" w:hAnsi="仿宋" w:eastAsia="仿宋" w:cs="仿宋"/>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noWrap w:val="0"/>
            <w:vAlign w:val="center"/>
          </w:tcPr>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注：修改补充投标人须知正文第3.5.5项：</w:t>
            </w:r>
          </w:p>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（1）投标人应按资格审查资料表（六）拟委任的项目经理和项目总工资历表的格式要求分别填写项目经理和项目总工的资历，还应后附相关资格证明材料的彩色影印件。</w:t>
            </w:r>
          </w:p>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项目经理须提供的资格证明材料：身份证、职称资格证书、建造师注册证书、安全生产考核合格证书、建造师注册证书及安全生产考核合格证书在政府相关部门网站上公开信息的网页截图、投标人所属社保机构出具的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lang w:eastAsia="zh-CN"/>
              </w:rPr>
              <w:t>月至今任意连续3个月社保缴费证明或其他能够证明参加社保的有效证明材料、人员相关业绩的网页截图、在岗撤离承诺书（如需、格式自拟）。</w:t>
            </w:r>
          </w:p>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（3）项目总工须提供的资格证明材料：身份证、职称资格证书、投标人所属社保机构出具的2022年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lang w:eastAsia="zh-CN"/>
              </w:rPr>
              <w:t>月至今任意连续3个月社保缴费证明或其他能够证明参加社保的有效证明材料、相关业绩的网页截图、在岗撤离承诺书（如需、格式自拟）。</w:t>
            </w:r>
          </w:p>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4）项目经理和项目总工其他要求：必须是在投标人单位参加社会保险的全日制从业人员；注册建造师证书注册的单位必须为投标人，社保缴费单位与投标人名称必须一致；所有证件需清楚地反映有效期、年检情况及单位变更情况信息（如有）；所附人员的各类证书、证照以及各种证明材料中该人员的姓名应完全一致（除曾用名）。</w:t>
            </w:r>
          </w:p>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5）“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资料。如投标人未提供相关业绩网页截图复印件或相关业绩网页截图中的信息无法证实投标人满足招标文件规定的资格审查条件（项目经理和项目总工最低要求），则该项目业绩不予认定。</w:t>
            </w:r>
            <w:r>
              <w:rPr>
                <w:rFonts w:hint="eastAsia" w:ascii="仿宋" w:hAnsi="仿宋" w:eastAsia="仿宋" w:cs="仿宋"/>
                <w:b/>
                <w:bCs/>
                <w:sz w:val="32"/>
                <w:szCs w:val="32"/>
                <w:highlight w:val="none"/>
                <w:lang w:val="en-US" w:eastAsia="zh-CN"/>
              </w:rPr>
              <w:t>如部分地区省级交通运输主管部门的“公路建设市场信用信息管理系统”需要登录才可查询业绩的，投标企业必须提供登录账号密码，如不提供导致评标委员会无法查询业绩的，则该项目业绩不予认定。</w:t>
            </w:r>
          </w:p>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6）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）根据《交通运输部关于取消一批证明事项的决定》（交法规[2020]1号）文件规定，投标人的项目经理和项目总工如在岗，但本项目中标后能够从该项目上撤离，投标人无需书面证明，提供在岗撤离承诺书即可。</w:t>
            </w:r>
          </w:p>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lang w:eastAsia="zh-CN"/>
              </w:rPr>
              <w:t>）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并依据《宁夏回族自治区公路建设与养护市场信用评价管理办法（试行）》对投标人本次投标行为进行评价，同时将评价结果上报宁夏交通运输厅，并在宁夏交通运输厅网站予以公布。</w:t>
            </w:r>
          </w:p>
          <w:p>
            <w:pPr>
              <w:bidi w:val="0"/>
              <w:spacing w:line="360" w:lineRule="auto"/>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lang w:eastAsia="zh-CN"/>
              </w:rPr>
              <w:t>）招标文件中其他地方与此处不一致时，以此处为准。</w:t>
            </w:r>
          </w:p>
        </w:tc>
      </w:tr>
    </w:tbl>
    <w:p>
      <w:pPr>
        <w:bidi w:val="0"/>
        <w:rPr>
          <w:rFonts w:hint="eastAsia" w:ascii="仿宋" w:hAnsi="仿宋" w:eastAsia="仿宋" w:cs="仿宋"/>
          <w:b/>
          <w:bCs/>
          <w:i w:val="0"/>
          <w:iCs w:val="0"/>
          <w:color w:val="auto"/>
          <w:sz w:val="32"/>
          <w:szCs w:val="40"/>
          <w:highlight w:val="none"/>
        </w:rPr>
      </w:pPr>
      <w:r>
        <w:rPr>
          <w:rFonts w:hint="eastAsia" w:ascii="仿宋" w:hAnsi="仿宋" w:eastAsia="仿宋" w:cs="仿宋"/>
          <w:b/>
          <w:bCs/>
          <w:i w:val="0"/>
          <w:iCs w:val="0"/>
          <w:color w:val="auto"/>
          <w:sz w:val="32"/>
          <w:szCs w:val="40"/>
          <w:highlight w:val="none"/>
        </w:rPr>
        <w:t>二、评标办法全文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364"/>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2412" w:type="dxa"/>
            <w:gridSpan w:val="2"/>
            <w:noWrap w:val="0"/>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条款号</w:t>
            </w:r>
          </w:p>
        </w:tc>
        <w:tc>
          <w:tcPr>
            <w:tcW w:w="7366" w:type="dxa"/>
            <w:noWrap w:val="0"/>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8" w:type="dxa"/>
            <w:noWrap w:val="0"/>
            <w:vAlign w:val="center"/>
          </w:tcPr>
          <w:p>
            <w:pPr>
              <w:bidi w:val="0"/>
              <w:spacing w:line="24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1</w:t>
            </w:r>
          </w:p>
        </w:tc>
        <w:tc>
          <w:tcPr>
            <w:tcW w:w="1364" w:type="dxa"/>
            <w:noWrap w:val="0"/>
            <w:vAlign w:val="center"/>
          </w:tcPr>
          <w:p>
            <w:pPr>
              <w:bidi w:val="0"/>
              <w:spacing w:line="24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评标</w:t>
            </w:r>
          </w:p>
          <w:p>
            <w:pPr>
              <w:bidi w:val="0"/>
              <w:spacing w:line="24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方法</w:t>
            </w:r>
          </w:p>
        </w:tc>
        <w:tc>
          <w:tcPr>
            <w:tcW w:w="7366" w:type="dxa"/>
            <w:noWrap w:val="0"/>
            <w:vAlign w:val="center"/>
          </w:tcPr>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综合评分相等时，评标委员会依次按照以下优先顺序推荐中标候选人或确定中标人： </w:t>
            </w:r>
          </w:p>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（1）评标价低的投标人优先； </w:t>
            </w:r>
          </w:p>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（2）最新年度被宁夏回族自治区交通运输厅评为较高信用等级的投标人优先:以宁夏回族自治区交通运输厅网站公布的最新年度宁夏公路建设与养护市场从业单位（公路养护工程施工企业）信用等级评价结果为准 </w:t>
            </w:r>
          </w:p>
          <w:p>
            <w:pPr>
              <w:numPr>
                <w:ilvl w:val="0"/>
                <w:numId w:val="0"/>
              </w:numPr>
              <w:bidi w:val="0"/>
              <w:spacing w:line="360" w:lineRule="auto"/>
              <w:ind w:left="0" w:leftChars="0" w:firstLine="0" w:firstLineChars="0"/>
              <w:jc w:val="both"/>
              <w:rPr>
                <w:rFonts w:hint="eastAsia" w:ascii="仿宋" w:hAnsi="仿宋" w:eastAsia="仿宋" w:cs="仿宋"/>
                <w:sz w:val="32"/>
                <w:szCs w:val="32"/>
                <w:highlight w:val="none"/>
                <w:lang w:eastAsia="zh-CN"/>
              </w:rPr>
            </w:pPr>
            <w:r>
              <w:rPr>
                <w:rFonts w:hint="eastAsia" w:ascii="仿宋" w:hAnsi="仿宋" w:eastAsia="仿宋" w:cs="仿宋"/>
                <w:color w:val="auto"/>
                <w:sz w:val="32"/>
                <w:szCs w:val="32"/>
                <w:highlight w:val="none"/>
                <w:lang w:eastAsia="zh-CN"/>
              </w:rPr>
              <w:t xml:space="preserve">（3）由评标委员会根据施工组织设计的编制情况投票确定其推荐排序。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8" w:type="dxa"/>
            <w:noWrap w:val="0"/>
            <w:vAlign w:val="center"/>
          </w:tcPr>
          <w:p>
            <w:pPr>
              <w:bidi w:val="0"/>
              <w:spacing w:line="24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2.1.1</w:t>
            </w:r>
          </w:p>
        </w:tc>
        <w:tc>
          <w:tcPr>
            <w:tcW w:w="1364" w:type="dxa"/>
            <w:noWrap w:val="0"/>
            <w:vAlign w:val="center"/>
          </w:tcPr>
          <w:p>
            <w:pPr>
              <w:bidi w:val="0"/>
              <w:spacing w:line="24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形式评审与响应性评审标准</w:t>
            </w:r>
          </w:p>
        </w:tc>
        <w:tc>
          <w:tcPr>
            <w:tcW w:w="7366" w:type="dxa"/>
            <w:noWrap w:val="0"/>
            <w:vAlign w:val="center"/>
          </w:tcPr>
          <w:p>
            <w:pPr>
              <w:numPr>
                <w:ilvl w:val="0"/>
                <w:numId w:val="0"/>
              </w:numPr>
              <w:bidi w:val="0"/>
              <w:spacing w:line="360" w:lineRule="auto"/>
              <w:ind w:leftChars="0" w:right="0" w:rightChars="0"/>
              <w:jc w:val="both"/>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第一个信封（商务及技术文件）评审标准：</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投标文件按照招标文件规定的格式、内容填写，字迹清晰可辨：</w:t>
            </w:r>
          </w:p>
          <w:p>
            <w:pPr>
              <w:numPr>
                <w:ilvl w:val="0"/>
                <w:numId w:val="0"/>
              </w:numPr>
              <w:bidi w:val="0"/>
              <w:spacing w:line="360" w:lineRule="auto"/>
              <w:ind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a.投标函按招标文件规定填报了项目名称、组别、补遗书编号（如有）、工期、工程质量要求、安全目标等；</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b.投标函附录的所有内容和数据均符合招标文件规定；</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c.投标文件中有承诺函、规范投标行为承诺函、使用农民工承诺等内容，其内容文字与招标文件规定一致，未进行修改和删减且签字盖章齐全；</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d.按照招标文件规定的格式、内容编制了施工组织设计及项目管理机构相关图表；</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e.投标文件组成齐全完整，内容均按规定填写。</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f.投标文件封面及扉页上写明的组别与投标函中写明的组别一致。</w:t>
            </w:r>
          </w:p>
          <w:p>
            <w:pPr>
              <w:numPr>
                <w:ilvl w:val="0"/>
                <w:numId w:val="0"/>
              </w:numPr>
              <w:bidi w:val="0"/>
              <w:spacing w:line="360" w:lineRule="auto"/>
              <w:ind w:leftChars="0" w:right="0" w:rightChars="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投标文件上法定代表人或其授权代理人的签字、投标人的单位章盖章齐全，符合招标文件规定</w:t>
            </w:r>
            <w:r>
              <w:rPr>
                <w:rFonts w:hint="eastAsia" w:ascii="仿宋" w:hAnsi="仿宋" w:eastAsia="仿宋" w:cs="仿宋"/>
                <w:color w:val="auto"/>
                <w:sz w:val="32"/>
                <w:szCs w:val="32"/>
                <w:highlight w:val="none"/>
                <w:lang w:eastAsia="zh-CN"/>
              </w:rPr>
              <w:t>，符合投标人须知3.7.3条要求（除授权书、法定代表人身份证明、联合体协议书（如有）需亲笔签名）</w:t>
            </w:r>
            <w:r>
              <w:rPr>
                <w:rFonts w:hint="eastAsia" w:ascii="仿宋" w:hAnsi="仿宋" w:eastAsia="仿宋" w:cs="仿宋"/>
                <w:sz w:val="32"/>
                <w:szCs w:val="32"/>
                <w:highlight w:val="none"/>
                <w:lang w:eastAsia="zh-CN"/>
              </w:rPr>
              <w:t>。</w:t>
            </w:r>
          </w:p>
          <w:p>
            <w:pPr>
              <w:numPr>
                <w:ilvl w:val="0"/>
                <w:numId w:val="0"/>
              </w:numPr>
              <w:bidi w:val="0"/>
              <w:spacing w:line="360" w:lineRule="auto"/>
              <w:ind w:leftChars="0" w:right="0" w:rightChars="0"/>
              <w:jc w:val="both"/>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本项目不缴纳投标保证金。</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4</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投标人法定代表人授权代理人签署投标文件的，需提交授权委托书，且授权人和被授权人均在授权委托书上</w:t>
            </w:r>
            <w:r>
              <w:rPr>
                <w:rFonts w:hint="eastAsia" w:ascii="仿宋" w:hAnsi="仿宋" w:eastAsia="仿宋" w:cs="仿宋"/>
                <w:sz w:val="32"/>
                <w:szCs w:val="32"/>
                <w:highlight w:val="none"/>
                <w:lang w:eastAsia="zh-CN"/>
              </w:rPr>
              <w:t>亲笔</w:t>
            </w:r>
            <w:r>
              <w:rPr>
                <w:rFonts w:hint="eastAsia" w:ascii="仿宋" w:hAnsi="仿宋" w:eastAsia="仿宋" w:cs="仿宋"/>
                <w:sz w:val="32"/>
                <w:szCs w:val="32"/>
                <w:highlight w:val="none"/>
              </w:rPr>
              <w:t>签名。</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投标人法定代表人亲自签署投标文件的，提供了法定代表人身份证明，且法定代表人在法定代表人身份证明上</w:t>
            </w:r>
            <w:r>
              <w:rPr>
                <w:rFonts w:hint="eastAsia" w:ascii="仿宋" w:hAnsi="仿宋" w:eastAsia="仿宋" w:cs="仿宋"/>
                <w:sz w:val="32"/>
                <w:szCs w:val="32"/>
                <w:highlight w:val="none"/>
                <w:lang w:eastAsia="zh-CN"/>
              </w:rPr>
              <w:t>亲笔</w:t>
            </w:r>
            <w:r>
              <w:rPr>
                <w:rFonts w:hint="eastAsia" w:ascii="仿宋" w:hAnsi="仿宋" w:eastAsia="仿宋" w:cs="仿宋"/>
                <w:sz w:val="32"/>
                <w:szCs w:val="32"/>
                <w:highlight w:val="none"/>
              </w:rPr>
              <w:t>签名。</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6</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本项目不接受联合体投标。</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本项目不允许分包。</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8</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同一投标人未提交两个以上不同的投标文件。</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9</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投标文件中未出现有关投标报价的内容。</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10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投标文件载明的招标项目完成期限未超过招标文件规定的时限。</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11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投标文件对招标文件的实质性要求和条件作出了响应。</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12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权利义务符合招标文件规定：</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a.投标人应接受招标文件规定的风险划分原则，未提出新的风险划分办法；</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b.投标人未增加发包人的责任范围，或减少投标人义务；</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c.投标人未提出不同的工程验收、计量、支付办法；</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d.投标人对合同纠纷、事故处理办法未提出异议；</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e.投标人在投标活动中无欺诈行为；</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f.投标人未对合同条款有重要保留。</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）围标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串标审查：如果有证据显示投标人以他人名义投标、与他人串通投标、以行贿手段谋取中标，以及投标弄虚作假的，评标委员会应对该投标文件作无效投标处理。</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）评标委员会要对投标人的财务能力</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管理水平和以往施工业绩及履约信誉进行详细评审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如发现投标文件有以下情况之一的，评标委员会将对其作无效投标处理：</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a.承诺的质量标准低于招标文件或国家强制性标准要求；</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b.提供虚假施工业绩及履约信誉证明材料。</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投标文件和提交方式要满足投标人须知之规定。</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）按评标委员会要求澄清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说明或补正的。</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）未附有招标人不能接受的其他条件。</w:t>
            </w:r>
          </w:p>
          <w:p>
            <w:pPr>
              <w:numPr>
                <w:ilvl w:val="0"/>
                <w:numId w:val="0"/>
              </w:numPr>
              <w:bidi w:val="0"/>
              <w:spacing w:line="360" w:lineRule="auto"/>
              <w:ind w:leftChars="0" w:right="0" w:rightChars="0"/>
              <w:jc w:val="both"/>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第二个信封（报价文件）评审标准：</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（1）投标文件按照招标文件规定的格式、内容填写，字迹清晰可辨：</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a</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投标函按招标文件规定填报了项目名称、组别、标段号、补遗书编号（如有）、投标价（包括大写金额和小写金额）；</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b</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已标价工程量清单说明文字与招标文件规定一致，未进行实质性修改和删减；</w:t>
            </w:r>
            <w:r>
              <w:rPr>
                <w:rFonts w:hint="eastAsia" w:ascii="仿宋" w:hAnsi="仿宋" w:eastAsia="仿宋" w:cs="仿宋"/>
                <w:sz w:val="32"/>
                <w:szCs w:val="32"/>
                <w:highlight w:val="none"/>
                <w:lang w:val="en-US" w:eastAsia="zh-CN"/>
              </w:rPr>
              <w:t>未对工程量清单电子清单中的文字、数据、格式和运算定义进行修改</w:t>
            </w:r>
            <w:r>
              <w:rPr>
                <w:rFonts w:hint="eastAsia" w:ascii="仿宋" w:hAnsi="仿宋" w:eastAsia="仿宋" w:cs="仿宋"/>
                <w:sz w:val="32"/>
                <w:szCs w:val="32"/>
                <w:highlight w:val="none"/>
              </w:rPr>
              <w:t>；</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c</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投标文件组成齐全完整，内容均按规定填写。</w:t>
            </w:r>
          </w:p>
          <w:p>
            <w:pPr>
              <w:numPr>
                <w:ilvl w:val="0"/>
                <w:numId w:val="0"/>
              </w:numPr>
              <w:bidi w:val="0"/>
              <w:spacing w:line="360" w:lineRule="auto"/>
              <w:ind w:leftChars="0" w:right="0" w:rightChars="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w:t>
            </w:r>
            <w:r>
              <w:rPr>
                <w:rFonts w:hint="eastAsia" w:ascii="仿宋" w:hAnsi="仿宋" w:eastAsia="仿宋" w:cs="仿宋"/>
                <w:color w:val="auto"/>
                <w:sz w:val="32"/>
                <w:szCs w:val="32"/>
                <w:highlight w:val="none"/>
              </w:rPr>
              <w:t>投标文件格式中（包括但不限于投标函、已标价工程量清单等）明确要求投标人法定代表人或其委托代理人的签字，明确要求投标人加盖单位章的，符合招标文件规定，符合投标人须知3.7.3条要求</w:t>
            </w:r>
            <w:r>
              <w:rPr>
                <w:rFonts w:hint="eastAsia" w:ascii="仿宋" w:hAnsi="仿宋" w:eastAsia="仿宋" w:cs="仿宋"/>
                <w:sz w:val="32"/>
                <w:szCs w:val="32"/>
                <w:highlight w:val="none"/>
                <w:lang w:eastAsia="zh-CN"/>
              </w:rPr>
              <w:t>。</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）投标报价中报价满足投标人须知的要求及满足以下要求：</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a</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投标报价的大写金额能确定具体数值；</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b</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投标报价未超过招标文件设定的最高投标限价；</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c</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投标报价大写金额无错误且可唱出；</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d</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未提交调价函；</w:t>
            </w:r>
          </w:p>
          <w:p>
            <w:pPr>
              <w:numPr>
                <w:ilvl w:val="0"/>
                <w:numId w:val="0"/>
              </w:numPr>
              <w:bidi w:val="0"/>
              <w:spacing w:line="360" w:lineRule="auto"/>
              <w:ind w:leftChars="0" w:right="0" w:right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e</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同一投标人未提交两个以上不同的投标报价；</w:t>
            </w:r>
          </w:p>
          <w:p>
            <w:pPr>
              <w:numPr>
                <w:ilvl w:val="0"/>
                <w:numId w:val="0"/>
              </w:numPr>
              <w:bidi w:val="0"/>
              <w:spacing w:line="360" w:lineRule="auto"/>
              <w:ind w:left="0" w:leftChars="0" w:right="0" w:rightChars="0" w:firstLine="0" w:firstLineChars="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）投标文件未附有招标人不能接受的其他条件。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2" w:hRule="atLeast"/>
          <w:jc w:val="center"/>
        </w:trPr>
        <w:tc>
          <w:tcPr>
            <w:tcW w:w="1048" w:type="dxa"/>
            <w:noWrap w:val="0"/>
            <w:vAlign w:val="center"/>
          </w:tcPr>
          <w:p>
            <w:pPr>
              <w:bidi w:val="0"/>
              <w:spacing w:line="24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2.1.2</w:t>
            </w:r>
          </w:p>
        </w:tc>
        <w:tc>
          <w:tcPr>
            <w:tcW w:w="1364" w:type="dxa"/>
            <w:noWrap w:val="0"/>
            <w:vAlign w:val="center"/>
          </w:tcPr>
          <w:p>
            <w:pPr>
              <w:bidi w:val="0"/>
              <w:spacing w:line="24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资格评审标准</w:t>
            </w:r>
          </w:p>
        </w:tc>
        <w:tc>
          <w:tcPr>
            <w:tcW w:w="7366" w:type="dxa"/>
            <w:noWrap w:val="0"/>
            <w:vAlign w:val="center"/>
          </w:tcPr>
          <w:p>
            <w:pPr>
              <w:numPr>
                <w:ilvl w:val="0"/>
                <w:numId w:val="1"/>
              </w:num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投标人具备有效的营业执照、组织机构代码证、税务登记证（或三证合一的营业执照）、资质证书、安全生产许可证等招标文件要求提交的证照，且所有证照在正本中均为彩色扫描件或彩色复印件；</w:t>
            </w:r>
          </w:p>
          <w:p>
            <w:pPr>
              <w:numPr>
                <w:ilvl w:val="0"/>
                <w:numId w:val="1"/>
              </w:num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投标人的资质等级符合招标文件投标人须知附录1（包括小注）规定；</w:t>
            </w:r>
          </w:p>
          <w:p>
            <w:pPr>
              <w:numPr>
                <w:ilvl w:val="0"/>
                <w:numId w:val="1"/>
              </w:num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投标人的财务状况符合招标文件投标人须知附录2（包括小注）规定；</w:t>
            </w:r>
          </w:p>
          <w:p>
            <w:pPr>
              <w:numPr>
                <w:ilvl w:val="0"/>
                <w:numId w:val="1"/>
              </w:num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投标人的业绩符合招标文件投标人须知附录3（包括小注）规定；</w:t>
            </w:r>
          </w:p>
          <w:p>
            <w:pPr>
              <w:numPr>
                <w:ilvl w:val="0"/>
                <w:numId w:val="1"/>
              </w:num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投标人的信誉符合招标文件投标人须知附录4（包括小注）规定；</w:t>
            </w:r>
          </w:p>
          <w:p>
            <w:pPr>
              <w:numPr>
                <w:ilvl w:val="0"/>
                <w:numId w:val="1"/>
              </w:num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投标人的项目经理和项目总工符合招标文件附录5（包括小注）规定；</w:t>
            </w:r>
          </w:p>
          <w:p>
            <w:pPr>
              <w:numPr>
                <w:ilvl w:val="0"/>
                <w:numId w:val="1"/>
              </w:num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2.2.1</w:t>
            </w:r>
          </w:p>
        </w:tc>
        <w:tc>
          <w:tcPr>
            <w:tcW w:w="1364" w:type="dxa"/>
            <w:noWrap w:val="0"/>
            <w:vAlign w:val="center"/>
          </w:tcPr>
          <w:p>
            <w:pPr>
              <w:bidi w:val="0"/>
              <w:spacing w:line="24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分值构成总分100分</w:t>
            </w:r>
          </w:p>
        </w:tc>
        <w:tc>
          <w:tcPr>
            <w:tcW w:w="7366" w:type="dxa"/>
            <w:noWrap w:val="0"/>
            <w:vAlign w:val="center"/>
          </w:tcPr>
          <w:p>
            <w:p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8" w:type="dxa"/>
            <w:noWrap w:val="0"/>
            <w:vAlign w:val="center"/>
          </w:tcPr>
          <w:p>
            <w:pPr>
              <w:bidi w:val="0"/>
              <w:spacing w:line="24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2.2.2</w:t>
            </w:r>
          </w:p>
        </w:tc>
        <w:tc>
          <w:tcPr>
            <w:tcW w:w="1364" w:type="dxa"/>
            <w:noWrap w:val="0"/>
            <w:vAlign w:val="center"/>
          </w:tcPr>
          <w:p>
            <w:pPr>
              <w:bidi w:val="0"/>
              <w:spacing w:line="24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评标基准价计算方法</w:t>
            </w:r>
          </w:p>
        </w:tc>
        <w:tc>
          <w:tcPr>
            <w:tcW w:w="7366" w:type="dxa"/>
            <w:noWrap w:val="0"/>
            <w:vAlign w:val="center"/>
          </w:tcPr>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一、计算公式字母含义</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1.P为评标基准价；</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2.Di为评标价：Di＝投标函文字报价；</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3.N为有效评标价的数量（有效评标价：除第一信封经评标委员会否决的投标人及第二信封开标现场被宣布为不进入评标基准价计算的评标价之外，剩余所有投标人的评标价均为有效评标价）；</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4.K为评标基准价系数：K值取值范围为0.980、0.985、0.990、0.995、1.000共5个数值，在开标现场由</w:t>
            </w:r>
            <w:r>
              <w:rPr>
                <w:rFonts w:hint="eastAsia" w:ascii="仿宋" w:hAnsi="仿宋" w:eastAsia="仿宋" w:cs="仿宋"/>
                <w:sz w:val="32"/>
                <w:szCs w:val="40"/>
                <w:highlight w:val="none"/>
                <w:lang w:eastAsia="zh-CN"/>
              </w:rPr>
              <w:t>招标人或监督人</w:t>
            </w:r>
            <w:r>
              <w:rPr>
                <w:rFonts w:hint="eastAsia" w:ascii="仿宋" w:hAnsi="仿宋" w:eastAsia="仿宋" w:cs="仿宋"/>
                <w:sz w:val="32"/>
                <w:szCs w:val="40"/>
                <w:highlight w:val="none"/>
              </w:rPr>
              <w:t>随机抽取一个K值，并当场公布；</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5.n1为去掉最高有效评标价的数量，n2为去掉最低有效评标价的数量。</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n1、n2的取值方法：</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当N＜6时，n1、n2均取0；</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当6≤N＜10，n1、n2均取1；</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当N≥10时，n1在取值区间1～M-1中现场由</w:t>
            </w:r>
            <w:r>
              <w:rPr>
                <w:rFonts w:hint="eastAsia" w:ascii="仿宋" w:hAnsi="仿宋" w:eastAsia="仿宋" w:cs="仿宋"/>
                <w:sz w:val="32"/>
                <w:szCs w:val="40"/>
                <w:highlight w:val="none"/>
                <w:lang w:eastAsia="zh-CN"/>
              </w:rPr>
              <w:t>招标人或监督人</w:t>
            </w:r>
            <w:r>
              <w:rPr>
                <w:rFonts w:hint="eastAsia" w:ascii="仿宋" w:hAnsi="仿宋" w:eastAsia="仿宋" w:cs="仿宋"/>
                <w:sz w:val="32"/>
                <w:szCs w:val="40"/>
                <w:highlight w:val="none"/>
              </w:rPr>
              <w:t>随机抽取，n2在取值区间1～M+1中现场由</w:t>
            </w:r>
            <w:r>
              <w:rPr>
                <w:rFonts w:hint="eastAsia" w:ascii="仿宋" w:hAnsi="仿宋" w:eastAsia="仿宋" w:cs="仿宋"/>
                <w:sz w:val="32"/>
                <w:szCs w:val="40"/>
                <w:highlight w:val="none"/>
                <w:lang w:eastAsia="zh-CN"/>
              </w:rPr>
              <w:t>招标人或监督人</w:t>
            </w:r>
            <w:r>
              <w:rPr>
                <w:rFonts w:hint="eastAsia" w:ascii="仿宋" w:hAnsi="仿宋" w:eastAsia="仿宋" w:cs="仿宋"/>
                <w:sz w:val="32"/>
                <w:szCs w:val="40"/>
                <w:highlight w:val="none"/>
              </w:rPr>
              <w:t>随机抽取，M=N/4，M去尾取整数。</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二、评标基准价计算方法</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在开标现场，招标人将当场计算并宣布评标基准价。</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（1）评标价的确定：评标价=投标函文字报价</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（2）评标基准价的确定：共有三种不同的评标基准价计算方法，</w:t>
            </w:r>
            <w:r>
              <w:rPr>
                <w:rFonts w:hint="eastAsia" w:ascii="仿宋" w:hAnsi="仿宋" w:eastAsia="仿宋" w:cs="仿宋"/>
                <w:sz w:val="32"/>
                <w:szCs w:val="40"/>
                <w:highlight w:val="none"/>
                <w:lang w:eastAsia="zh-CN"/>
              </w:rPr>
              <w:t>招标人或监督人</w:t>
            </w:r>
            <w:r>
              <w:rPr>
                <w:rFonts w:hint="eastAsia" w:ascii="仿宋" w:hAnsi="仿宋" w:eastAsia="仿宋" w:cs="仿宋"/>
                <w:sz w:val="32"/>
                <w:szCs w:val="40"/>
                <w:highlight w:val="none"/>
              </w:rPr>
              <w:t>在开标现场随机抽取以下其中一种方法作为当次招标评标基准价的计算方法，按已抽取的评标基准价计算方法由</w:t>
            </w:r>
            <w:r>
              <w:rPr>
                <w:rFonts w:hint="eastAsia" w:ascii="仿宋" w:hAnsi="仿宋" w:eastAsia="仿宋" w:cs="仿宋"/>
                <w:sz w:val="32"/>
                <w:szCs w:val="40"/>
                <w:highlight w:val="none"/>
                <w:lang w:eastAsia="zh-CN"/>
              </w:rPr>
              <w:t>招标人或监督人</w:t>
            </w:r>
            <w:r>
              <w:rPr>
                <w:rFonts w:hint="eastAsia" w:ascii="仿宋" w:hAnsi="仿宋" w:eastAsia="仿宋" w:cs="仿宋"/>
                <w:sz w:val="32"/>
                <w:szCs w:val="40"/>
                <w:highlight w:val="none"/>
              </w:rPr>
              <w:t>抽取相关计算参数。</w:t>
            </w:r>
          </w:p>
          <w:p>
            <w:pPr>
              <w:spacing w:line="360" w:lineRule="auto"/>
              <w:rPr>
                <w:rFonts w:hint="eastAsia" w:ascii="仿宋" w:hAnsi="仿宋" w:eastAsia="仿宋" w:cs="仿宋"/>
                <w:sz w:val="32"/>
                <w:szCs w:val="40"/>
                <w:highlight w:val="none"/>
              </w:rPr>
            </w:pPr>
            <w:r>
              <w:rPr>
                <w:rFonts w:hint="eastAsia" w:ascii="仿宋" w:hAnsi="仿宋" w:eastAsia="仿宋" w:cs="仿宋"/>
                <w:b/>
                <w:bCs/>
                <w:sz w:val="32"/>
                <w:szCs w:val="40"/>
                <w:highlight w:val="none"/>
              </w:rPr>
              <w:t>评标基准价方法1（平均值随机系数法）：</w:t>
            </w:r>
            <w:r>
              <w:rPr>
                <w:rFonts w:hint="eastAsia" w:ascii="仿宋" w:hAnsi="仿宋" w:eastAsia="仿宋" w:cs="仿宋"/>
                <w:sz w:val="32"/>
                <w:szCs w:val="40"/>
                <w:highlight w:val="none"/>
              </w:rPr>
              <w:t>有效评标价去掉n1个最高评标价和n2个最低评标价后取平均值，乘以评标基准价系数K作为评标基准价Ｐ。</w:t>
            </w:r>
          </w:p>
          <w:p>
            <w:pPr>
              <w:spacing w:line="360" w:lineRule="auto"/>
              <w:rPr>
                <w:rFonts w:hint="eastAsia" w:ascii="仿宋" w:hAnsi="仿宋" w:eastAsia="仿宋" w:cs="仿宋"/>
                <w:sz w:val="32"/>
                <w:szCs w:val="40"/>
                <w:highlight w:val="none"/>
              </w:rPr>
            </w:pPr>
            <w:r>
              <w:rPr>
                <w:rFonts w:hint="eastAsia" w:ascii="仿宋" w:hAnsi="仿宋" w:eastAsia="仿宋" w:cs="仿宋"/>
                <w:b/>
                <w:bCs/>
                <w:sz w:val="32"/>
                <w:szCs w:val="40"/>
                <w:highlight w:val="none"/>
              </w:rPr>
              <w:t>评标基准价方法2（价差随机系数法）：</w:t>
            </w:r>
            <w:r>
              <w:rPr>
                <w:rFonts w:hint="eastAsia" w:ascii="仿宋" w:hAnsi="仿宋" w:eastAsia="仿宋" w:cs="仿宋"/>
                <w:sz w:val="32"/>
                <w:szCs w:val="40"/>
                <w:highlight w:val="none"/>
              </w:rPr>
              <w:t>先去掉n1个最高有效评标价和n2个最低有效评标价，用剩余有效评标价中最大评标价与最小评标价之差与调整系数乘积加最小评标价作为评标基准价。</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P＝（Dmax-Dmin）×Ks+Dmin</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式中：Dmax为去掉n1个最高有效评标价后的最大评标价数值。</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Dmin为去掉n2个最低有效评标价后的最小评标价数值。</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Ks为随机调整系数：Ks＝（X+Y/10）/10，其中X、Y为开标现场随机抽取的两个系数，各设5个数值，分别为2、3、4、5、6。</w:t>
            </w:r>
          </w:p>
          <w:p>
            <w:pPr>
              <w:spacing w:line="360" w:lineRule="auto"/>
              <w:rPr>
                <w:rFonts w:hint="eastAsia" w:ascii="仿宋" w:hAnsi="仿宋" w:eastAsia="仿宋" w:cs="仿宋"/>
                <w:sz w:val="32"/>
                <w:szCs w:val="40"/>
                <w:highlight w:val="none"/>
              </w:rPr>
            </w:pPr>
            <w:r>
              <w:rPr>
                <w:rFonts w:hint="eastAsia" w:ascii="仿宋" w:hAnsi="仿宋" w:eastAsia="仿宋" w:cs="仿宋"/>
                <w:b/>
                <w:bCs/>
                <w:sz w:val="32"/>
                <w:szCs w:val="40"/>
                <w:highlight w:val="none"/>
              </w:rPr>
              <w:t>评标基准价方法3（随机权重法）：</w:t>
            </w:r>
            <w:r>
              <w:rPr>
                <w:rFonts w:hint="eastAsia" w:ascii="仿宋" w:hAnsi="仿宋" w:eastAsia="仿宋" w:cs="仿宋"/>
                <w:sz w:val="32"/>
                <w:szCs w:val="40"/>
                <w:highlight w:val="none"/>
              </w:rPr>
              <w:t>先去掉n1个最高有效评标价和n2个最低有效评标价后的平均值，用最高投标限价与平均值的权值之和作为评标基准价。</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P=D平均×K1×Q1+B上限×K2×Q2</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式中：D平均为去掉n1个最高评标价和n2个最低评标价后的平均值</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B上限为投标最高限价</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K1、K2、Q1、Q2权重系数：</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Q2=1-Q1，Q1取值范围30%～70%；</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K1的取值范围为：95%～100%；</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K2的取值范围为</w:t>
            </w:r>
            <w:r>
              <w:rPr>
                <w:rFonts w:hint="eastAsia" w:ascii="仿宋" w:hAnsi="仿宋" w:eastAsia="仿宋" w:cs="仿宋"/>
                <w:sz w:val="32"/>
                <w:szCs w:val="40"/>
                <w:highlight w:val="none"/>
                <w:lang w:eastAsia="zh-CN"/>
              </w:rPr>
              <w:t>（</w:t>
            </w:r>
            <w:r>
              <w:rPr>
                <w:rFonts w:hint="eastAsia" w:ascii="仿宋" w:hAnsi="仿宋" w:eastAsia="仿宋" w:cs="仿宋"/>
                <w:sz w:val="32"/>
                <w:szCs w:val="40"/>
                <w:highlight w:val="none"/>
              </w:rPr>
              <w:t>85%+E%)～(90%+E%)，其中E为0至5的自然数，由招标人在编制招标文件时结合项目实际自行选取E值后明确K2的取值范围。</w:t>
            </w:r>
          </w:p>
          <w:p>
            <w:pPr>
              <w:spacing w:line="360" w:lineRule="auto"/>
              <w:rPr>
                <w:rFonts w:hint="eastAsia" w:ascii="仿宋" w:hAnsi="仿宋" w:eastAsia="仿宋" w:cs="仿宋"/>
                <w:sz w:val="32"/>
                <w:szCs w:val="40"/>
                <w:highlight w:val="none"/>
              </w:rPr>
            </w:pPr>
            <w:r>
              <w:rPr>
                <w:rFonts w:hint="eastAsia" w:ascii="仿宋" w:hAnsi="仿宋" w:eastAsia="仿宋" w:cs="仿宋"/>
                <w:sz w:val="32"/>
                <w:szCs w:val="40"/>
                <w:highlight w:val="none"/>
              </w:rPr>
              <w:t>Q1值、K1值、K2值均在第二信封开标现场随机抽取确定。Q1取值的步长不大于1%，K1和K2取值的步长不大于0.5%。</w:t>
            </w:r>
          </w:p>
          <w:p>
            <w:pPr>
              <w:spacing w:line="360" w:lineRule="auto"/>
              <w:rPr>
                <w:rFonts w:hint="eastAsia" w:ascii="仿宋" w:hAnsi="仿宋" w:eastAsia="仿宋" w:cs="仿宋"/>
                <w:sz w:val="32"/>
                <w:szCs w:val="40"/>
                <w:highlight w:val="none"/>
              </w:rPr>
            </w:pPr>
            <w:r>
              <w:rPr>
                <w:rFonts w:hint="eastAsia" w:ascii="仿宋" w:hAnsi="仿宋" w:eastAsia="仿宋" w:cs="仿宋"/>
                <w:b/>
                <w:bCs/>
                <w:sz w:val="32"/>
                <w:szCs w:val="40"/>
                <w:highlight w:val="none"/>
              </w:rPr>
              <w:t>明确E=3，明确K2的取值范围；</w:t>
            </w:r>
            <w:r>
              <w:rPr>
                <w:rFonts w:hint="eastAsia" w:ascii="仿宋" w:hAnsi="仿宋" w:eastAsia="仿宋" w:cs="仿宋"/>
                <w:sz w:val="32"/>
                <w:szCs w:val="40"/>
                <w:highlight w:val="none"/>
              </w:rPr>
              <w:t>Q1取值的步长现场从0.1%、0.2%、0.3%、0.4%、0.5%、0.6%、0.7%、0.8%、0.9%、1.0%共10个数值中随机抽取；K1和K2取值的步长现场从0.1%、0.2%、0.3%、0.4%、0.5%共5个数值中随机抽取。</w:t>
            </w:r>
          </w:p>
          <w:p>
            <w:pPr>
              <w:spacing w:line="360" w:lineRule="auto"/>
              <w:rPr>
                <w:rFonts w:hint="eastAsia" w:ascii="仿宋" w:hAnsi="仿宋" w:eastAsia="仿宋" w:cs="仿宋"/>
                <w:sz w:val="32"/>
                <w:szCs w:val="40"/>
                <w:highlight w:val="none"/>
                <w:lang w:eastAsia="zh-CN"/>
              </w:rPr>
            </w:pPr>
            <w:r>
              <w:rPr>
                <w:rFonts w:hint="eastAsia" w:ascii="仿宋" w:hAnsi="仿宋" w:eastAsia="仿宋" w:cs="仿宋"/>
                <w:sz w:val="32"/>
                <w:szCs w:val="40"/>
                <w:highlight w:val="none"/>
              </w:rPr>
              <w:t>Q1值、K1值、K2值的抽取，</w:t>
            </w:r>
            <w:r>
              <w:rPr>
                <w:rFonts w:hint="eastAsia" w:ascii="仿宋" w:hAnsi="仿宋" w:eastAsia="仿宋" w:cs="仿宋"/>
                <w:b/>
                <w:bCs/>
                <w:sz w:val="32"/>
                <w:szCs w:val="40"/>
                <w:highlight w:val="none"/>
              </w:rPr>
              <w:t>如项目分组招标，对应系数按照组进行抽取；如未分组，对应系数按照标段进行抽取。</w:t>
            </w:r>
          </w:p>
          <w:p>
            <w:pPr>
              <w:spacing w:line="360" w:lineRule="auto"/>
              <w:rPr>
                <w:rFonts w:hint="eastAsia" w:ascii="仿宋" w:hAnsi="仿宋" w:eastAsia="仿宋" w:cs="仿宋"/>
                <w:sz w:val="32"/>
                <w:szCs w:val="32"/>
                <w:highlight w:val="none"/>
              </w:rPr>
            </w:pPr>
            <w:r>
              <w:rPr>
                <w:rFonts w:hint="eastAsia" w:ascii="仿宋" w:hAnsi="仿宋" w:eastAsia="仿宋" w:cs="仿宋"/>
                <w:sz w:val="32"/>
                <w:szCs w:val="40"/>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2.2.3</w:t>
            </w:r>
          </w:p>
        </w:tc>
        <w:tc>
          <w:tcPr>
            <w:tcW w:w="1364" w:type="dxa"/>
            <w:noWrap w:val="0"/>
            <w:vAlign w:val="center"/>
          </w:tcPr>
          <w:p>
            <w:pPr>
              <w:bidi w:val="0"/>
              <w:spacing w:line="24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评标价的偏差率计算公式</w:t>
            </w:r>
          </w:p>
        </w:tc>
        <w:tc>
          <w:tcPr>
            <w:tcW w:w="7366" w:type="dxa"/>
            <w:noWrap w:val="0"/>
            <w:vAlign w:val="center"/>
          </w:tcPr>
          <w:p>
            <w:p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偏差率=100%×（投标人评标价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评标基准价）/评标基准价</w:t>
            </w:r>
          </w:p>
          <w:p>
            <w:p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偏差率保留</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2.2.4</w:t>
            </w:r>
          </w:p>
        </w:tc>
        <w:tc>
          <w:tcPr>
            <w:tcW w:w="1364" w:type="dxa"/>
            <w:noWrap w:val="0"/>
            <w:vAlign w:val="center"/>
          </w:tcPr>
          <w:p>
            <w:pPr>
              <w:bidi w:val="0"/>
              <w:spacing w:line="24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评标价</w:t>
            </w:r>
          </w:p>
        </w:tc>
        <w:tc>
          <w:tcPr>
            <w:tcW w:w="7366" w:type="dxa"/>
            <w:noWrap w:val="0"/>
            <w:vAlign w:val="center"/>
          </w:tcPr>
          <w:p>
            <w:p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评标价得分计算公式示例</w:t>
            </w:r>
            <w:r>
              <w:rPr>
                <w:rFonts w:hint="eastAsia" w:ascii="仿宋" w:hAnsi="仿宋" w:eastAsia="仿宋" w:cs="仿宋"/>
                <w:sz w:val="32"/>
                <w:szCs w:val="32"/>
                <w:highlight w:val="none"/>
                <w:lang w:eastAsia="zh-CN"/>
              </w:rPr>
              <w:t>：</w:t>
            </w:r>
          </w:p>
          <w:p>
            <w:p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(1)如果投标人的评标价&gt;评标基准价,则评标价得分=100-偏差率×100×E1； </w:t>
            </w:r>
          </w:p>
          <w:p>
            <w:p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(2)如果投标的人评标价≤评标基准价,则评标价得分=100+偏差率×100×E2； </w:t>
            </w:r>
          </w:p>
          <w:p>
            <w:p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其中:E1 是评标价每高于评标基准价1个百分点的扣分值；E2 是评标价每低于评标基准价1个百分点的扣分值；招标人可依据招标项目具体特点和实际需要设置E1、E2，但E1大于E2。</w:t>
            </w:r>
          </w:p>
          <w:p>
            <w:pPr>
              <w:bidi w:val="0"/>
              <w:spacing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明确E1=2、E2=1。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240" w:lineRule="auto"/>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p>
        </w:tc>
        <w:tc>
          <w:tcPr>
            <w:tcW w:w="8730" w:type="dxa"/>
            <w:gridSpan w:val="2"/>
            <w:noWrap w:val="0"/>
            <w:vAlign w:val="center"/>
          </w:tcPr>
          <w:p>
            <w:pPr>
              <w:numPr>
                <w:ilvl w:val="0"/>
                <w:numId w:val="0"/>
              </w:numPr>
              <w:spacing w:line="360" w:lineRule="auto"/>
              <w:ind w:leftChars="0"/>
              <w:rPr>
                <w:rFonts w:hint="eastAsia" w:ascii="仿宋" w:hAnsi="仿宋" w:eastAsia="仿宋" w:cs="仿宋"/>
                <w:sz w:val="32"/>
                <w:szCs w:val="32"/>
                <w:highlight w:val="none"/>
              </w:rPr>
            </w:pPr>
            <w:r>
              <w:rPr>
                <w:rFonts w:hint="eastAsia" w:ascii="仿宋" w:hAnsi="仿宋" w:eastAsia="仿宋" w:cs="仿宋"/>
                <w:sz w:val="32"/>
                <w:szCs w:val="32"/>
                <w:highlight w:val="none"/>
              </w:rPr>
              <w:t>1.评标委员会首先对投标文件第一个信封（商务与技术文件）进行初步评审（形式评审与响应性评审、资格评审），通过第一个信封初步评审后的投标文件方可进入第二个信封的开标。</w:t>
            </w:r>
          </w:p>
          <w:p>
            <w:pPr>
              <w:numPr>
                <w:ilvl w:val="0"/>
                <w:numId w:val="0"/>
              </w:numPr>
              <w:spacing w:line="360" w:lineRule="auto"/>
              <w:ind w:leftChars="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.第二个信封的开标在监督部门的监督下进行，未通过第一个信封初步评审投标人的第二个信封电子文件不予读取。</w:t>
            </w:r>
          </w:p>
          <w:p>
            <w:pPr>
              <w:numPr>
                <w:ilvl w:val="0"/>
                <w:numId w:val="0"/>
              </w:numPr>
              <w:spacing w:line="360" w:lineRule="auto"/>
              <w:ind w:leftChars="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评标委员会对投标文件第二个信封进行形式和响应性评审，并按照本章第2.2款规定的评分标准进行评分，然后按最终得分（最终得分即评标价得分）由高到低顺序确定中标候选人推荐排序，但投标报价低于其成本的除外。</w:t>
            </w:r>
          </w:p>
          <w:p>
            <w:pPr>
              <w:numPr>
                <w:ilvl w:val="0"/>
                <w:numId w:val="0"/>
              </w:numPr>
              <w:spacing w:line="360" w:lineRule="auto"/>
              <w:ind w:leftChars="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.评标委员会将按照本条第1条中确定的先后排序依次推荐第一、第二、第三中标候选人。</w:t>
            </w:r>
          </w:p>
          <w:p>
            <w:pPr>
              <w:numPr>
                <w:ilvl w:val="0"/>
                <w:numId w:val="0"/>
              </w:numPr>
              <w:spacing w:line="360" w:lineRule="auto"/>
              <w:ind w:leftChars="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本组通过第一个信封评审的投标人数量在本组标段数量3倍及以上的，招标人将按规定的程序进行第二个信封开标；本组通过第一个信封评审的投标人数量少于本组标段数量3倍的，评标委员会可以否决全部投标；未否决全部投标的，评标委员会应当在评标报告中阐明理由，招标人将按规定的程序进行第二个信封（报价文件）开标，但评标委员会在进行第二个信封评审时仍有权否决全部投标；在对第二个信封进行评审后，本标段有效投标不足3个使得投标明显缺乏竞争的，评标委员会可以否决全部投标。评标委员会未否决全部投标的，应当在评标报告中阐明理由并推荐中标候选人。</w:t>
            </w:r>
          </w:p>
          <w:p>
            <w:pPr>
              <w:numPr>
                <w:ilvl w:val="0"/>
                <w:numId w:val="0"/>
              </w:numPr>
              <w:spacing w:line="360" w:lineRule="auto"/>
              <w:ind w:left="0" w:leftChars="0" w:firstLine="0" w:firstLineChars="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.在评审过程中评标委员会认为投标人有围标串标、哄抬或压低标价谋取中标的嫌疑，评标委员会有权</w:t>
            </w:r>
            <w:r>
              <w:rPr>
                <w:rFonts w:hint="eastAsia" w:ascii="仿宋" w:hAnsi="仿宋" w:eastAsia="仿宋" w:cs="仿宋"/>
                <w:sz w:val="32"/>
                <w:szCs w:val="32"/>
                <w:highlight w:val="none"/>
                <w:lang w:eastAsia="zh-CN"/>
              </w:rPr>
              <w:t>作出</w:t>
            </w:r>
            <w:r>
              <w:rPr>
                <w:rFonts w:hint="eastAsia" w:ascii="仿宋" w:hAnsi="仿宋" w:eastAsia="仿宋" w:cs="仿宋"/>
                <w:sz w:val="32"/>
                <w:szCs w:val="32"/>
                <w:highlight w:val="none"/>
              </w:rPr>
              <w:t>否决投标或重新招标。</w:t>
            </w:r>
          </w:p>
        </w:tc>
      </w:tr>
    </w:tbl>
    <w:p>
      <w:pPr>
        <w:bidi w:val="0"/>
        <w:spacing w:line="360" w:lineRule="auto"/>
        <w:ind w:firstLine="640" w:firstLineChars="20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注：以上内容如与招标文件不一致，以招标文件为准。</w:t>
      </w:r>
    </w:p>
    <w:p>
      <w:pPr>
        <w:bidi w:val="0"/>
        <w:spacing w:line="360" w:lineRule="auto"/>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三、联系方式</w:t>
      </w:r>
    </w:p>
    <w:p>
      <w:pPr>
        <w:bidi w:val="0"/>
        <w:spacing w:line="360" w:lineRule="auto"/>
        <w:ind w:firstLine="640" w:firstLineChars="20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招标人：宁夏公路管理中心石嘴山分中心</w:t>
      </w:r>
    </w:p>
    <w:p>
      <w:pPr>
        <w:bidi w:val="0"/>
        <w:spacing w:line="360" w:lineRule="auto"/>
        <w:ind w:firstLine="640" w:firstLineChars="20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地址：宁夏石嘴山市大武口区游艺东街521号</w:t>
      </w:r>
    </w:p>
    <w:p>
      <w:pPr>
        <w:bidi w:val="0"/>
        <w:spacing w:line="360" w:lineRule="auto"/>
        <w:ind w:firstLine="640" w:firstLineChars="20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邮政编码：753000</w:t>
      </w:r>
    </w:p>
    <w:p>
      <w:pPr>
        <w:bidi w:val="0"/>
        <w:spacing w:line="360" w:lineRule="auto"/>
        <w:ind w:firstLine="640" w:firstLineChars="20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联系人：李先生</w:t>
      </w:r>
    </w:p>
    <w:p>
      <w:pPr>
        <w:bidi w:val="0"/>
        <w:spacing w:line="360" w:lineRule="auto"/>
        <w:ind w:firstLine="640" w:firstLineChars="20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电话：0952-2059813</w:t>
      </w:r>
    </w:p>
    <w:sectPr>
      <w:pgSz w:w="11906" w:h="16838"/>
      <w:pgMar w:top="113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45471"/>
    <w:multiLevelType w:val="singleLevel"/>
    <w:tmpl w:val="F944547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OGZiODRkMjU4ZGNjNWMzZTY5ZjY1YmU1ODU1M2EifQ=="/>
  </w:docVars>
  <w:rsids>
    <w:rsidRoot w:val="0B96175E"/>
    <w:rsid w:val="061F3824"/>
    <w:rsid w:val="06B93983"/>
    <w:rsid w:val="06ED4991"/>
    <w:rsid w:val="09760C58"/>
    <w:rsid w:val="0B96175E"/>
    <w:rsid w:val="10134C85"/>
    <w:rsid w:val="28132A62"/>
    <w:rsid w:val="2C7E168E"/>
    <w:rsid w:val="308903C5"/>
    <w:rsid w:val="322576B3"/>
    <w:rsid w:val="386A2371"/>
    <w:rsid w:val="3C065C4A"/>
    <w:rsid w:val="3D8755E1"/>
    <w:rsid w:val="3E455077"/>
    <w:rsid w:val="4EA9732E"/>
    <w:rsid w:val="5E811C50"/>
    <w:rsid w:val="6275491E"/>
    <w:rsid w:val="73FF2864"/>
    <w:rsid w:val="74042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922" w:lineRule="exact"/>
      <w:jc w:val="center"/>
      <w:outlineLvl w:val="0"/>
    </w:pPr>
    <w:rPr>
      <w:rFonts w:ascii="宋体" w:hAnsi="宋体" w:eastAsia="宋体" w:cs="宋体"/>
      <w:b/>
      <w:bCs/>
      <w:sz w:val="72"/>
      <w:szCs w:val="72"/>
      <w:lang w:val="zh-CN" w:eastAsia="zh-CN" w:bidi="zh-CN"/>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w:basedOn w:val="1"/>
    <w:next w:val="1"/>
    <w:qFormat/>
    <w:uiPriority w:val="1"/>
    <w:pPr>
      <w:ind w:left="836"/>
    </w:pPr>
    <w:rPr>
      <w:rFonts w:ascii="宋体" w:hAnsi="宋体" w:eastAsia="宋体" w:cs="宋体"/>
      <w:sz w:val="21"/>
      <w:szCs w:val="21"/>
      <w:lang w:val="zh-CN" w:eastAsia="zh-CN" w:bidi="zh-CN"/>
    </w:rPr>
  </w:style>
  <w:style w:type="paragraph" w:styleId="6">
    <w:name w:val="Body Text Indent"/>
    <w:basedOn w:val="1"/>
    <w:qFormat/>
    <w:uiPriority w:val="0"/>
    <w:pPr>
      <w:spacing w:after="120"/>
      <w:ind w:left="420" w:leftChars="200"/>
    </w:pPr>
  </w:style>
  <w:style w:type="paragraph" w:styleId="7">
    <w:name w:val="Body Text First Indent 2"/>
    <w:basedOn w:val="6"/>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8341</Words>
  <Characters>8868</Characters>
  <Lines>0</Lines>
  <Paragraphs>0</Paragraphs>
  <TotalTime>0</TotalTime>
  <ScaleCrop>false</ScaleCrop>
  <LinksUpToDate>false</LinksUpToDate>
  <CharactersWithSpaces>8876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2022-06-27T10:17:00Z</dcterms:created>
  <dc:creator>zhou。</dc:creator>
  <cp:lastModifiedBy>zhou。</cp:lastModifiedBy>
  <dcterms:modified xsi:type="dcterms:W3CDTF">2023-05-12T02:23:31Z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5D3658DCF7F94E9ABFDD6D27BA5BA5B4</vt:lpwstr>
  </property>
</Properties>
</file>