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360" w:lineRule="auto"/>
        <w:ind w:left="-199" w:leftChars="-95" w:right="-168" w:rightChars="-80" w:firstLine="0" w:firstLineChars="0"/>
        <w:jc w:val="center"/>
        <w:rPr>
          <w:rFonts w:hint="eastAsia" w:asciiTheme="minorEastAsia" w:hAnsiTheme="minorEastAsia" w:eastAsiaTheme="minorEastAsia" w:cstheme="minorEastAsia"/>
          <w:b/>
          <w:bCs/>
          <w:color w:val="auto"/>
          <w:spacing w:val="-4"/>
          <w:sz w:val="32"/>
          <w:szCs w:val="32"/>
          <w:highlight w:val="none"/>
          <w:shd w:val="clear" w:color="auto" w:fill="FFFFFE"/>
          <w:lang w:val="en-US" w:eastAsia="zh-CN"/>
        </w:rPr>
      </w:pPr>
      <w:r>
        <w:rPr>
          <w:rFonts w:hint="eastAsia" w:asciiTheme="minorEastAsia" w:hAnsiTheme="minorEastAsia" w:eastAsiaTheme="minorEastAsia" w:cstheme="minorEastAsia"/>
          <w:b/>
          <w:bCs/>
          <w:color w:val="auto"/>
          <w:spacing w:val="-4"/>
          <w:sz w:val="32"/>
          <w:szCs w:val="32"/>
          <w:highlight w:val="none"/>
          <w:shd w:val="clear" w:color="auto" w:fill="FFFFFE"/>
          <w:lang w:val="en-US" w:eastAsia="zh-CN"/>
        </w:rPr>
        <w:t>宁夏公路管理中心银川分中心2023年G110线K1274+050</w:t>
      </w:r>
    </w:p>
    <w:p>
      <w:pPr>
        <w:keepNext w:val="0"/>
        <w:keepLines w:val="0"/>
        <w:widowControl/>
        <w:suppressLineNumbers w:val="0"/>
        <w:spacing w:line="360" w:lineRule="auto"/>
        <w:ind w:left="-199" w:leftChars="-95" w:right="-168" w:rightChars="-80" w:firstLine="0" w:firstLineChars="0"/>
        <w:jc w:val="center"/>
        <w:rPr>
          <w:rFonts w:hint="eastAsia" w:asciiTheme="minorEastAsia" w:hAnsiTheme="minorEastAsia" w:eastAsiaTheme="minorEastAsia" w:cstheme="minorEastAsia"/>
          <w:b/>
          <w:bCs/>
          <w:color w:val="000000"/>
          <w:kern w:val="0"/>
          <w:sz w:val="32"/>
          <w:szCs w:val="32"/>
          <w:lang w:val="en-US" w:eastAsia="zh-CN" w:bidi="ar"/>
        </w:rPr>
      </w:pPr>
      <w:r>
        <w:rPr>
          <w:rFonts w:hint="eastAsia" w:asciiTheme="minorEastAsia" w:hAnsiTheme="minorEastAsia" w:eastAsiaTheme="minorEastAsia" w:cstheme="minorEastAsia"/>
          <w:b/>
          <w:bCs/>
          <w:color w:val="auto"/>
          <w:spacing w:val="-4"/>
          <w:sz w:val="32"/>
          <w:szCs w:val="32"/>
          <w:highlight w:val="none"/>
          <w:shd w:val="clear" w:color="auto" w:fill="FFFFFE"/>
          <w:lang w:val="en-US" w:eastAsia="zh-CN"/>
        </w:rPr>
        <w:t>黄羊滩公路养护站站房扩建工程</w:t>
      </w:r>
      <w:r>
        <w:rPr>
          <w:rFonts w:hint="eastAsia" w:asciiTheme="minorEastAsia" w:hAnsiTheme="minorEastAsia" w:eastAsiaTheme="minorEastAsia" w:cstheme="minorEastAsia"/>
          <w:b/>
          <w:bCs/>
          <w:color w:val="000000"/>
          <w:kern w:val="0"/>
          <w:sz w:val="32"/>
          <w:szCs w:val="32"/>
          <w:lang w:val="en-US" w:eastAsia="zh-CN" w:bidi="ar"/>
        </w:rPr>
        <w:t>关键内容</w:t>
      </w:r>
    </w:p>
    <w:p>
      <w:pPr>
        <w:keepNext w:val="0"/>
        <w:keepLines w:val="0"/>
        <w:widowControl/>
        <w:numPr>
          <w:ilvl w:val="0"/>
          <w:numId w:val="1"/>
        </w:numPr>
        <w:suppressLineNumbers w:val="0"/>
        <w:spacing w:line="360" w:lineRule="auto"/>
        <w:ind w:left="-199" w:leftChars="-95" w:right="-168" w:rightChars="-80" w:firstLine="0" w:firstLineChars="0"/>
        <w:jc w:val="both"/>
        <w:outlineLvl w:val="0"/>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项目概况</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宁夏公路管理中心银川分中心2023年G110线K1274+050黄羊滩公路养护站站房扩建工程：新建餐厅一座143.37㎡、生产用房内墙粉刷1789.51㎡、更换窗户162㎡、更换屋面防水384.9㎡、增加吊顶676.25㎡、室外恢复混凝土路面400㎡等。</w:t>
      </w:r>
    </w:p>
    <w:p>
      <w:pPr>
        <w:keepNext w:val="0"/>
        <w:keepLines w:val="0"/>
        <w:widowControl/>
        <w:numPr>
          <w:ilvl w:val="0"/>
          <w:numId w:val="0"/>
        </w:numPr>
        <w:suppressLineNumbers w:val="0"/>
        <w:spacing w:line="360" w:lineRule="auto"/>
        <w:ind w:leftChars="-95" w:right="-168" w:rightChars="-80"/>
        <w:jc w:val="both"/>
        <w:outlineLvl w:val="0"/>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 xml:space="preserve">二、对投标人的全部资格条件要求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详见招标公告。 </w:t>
      </w:r>
    </w:p>
    <w:p>
      <w:pPr>
        <w:keepNext w:val="0"/>
        <w:keepLines w:val="0"/>
        <w:widowControl/>
        <w:numPr>
          <w:ilvl w:val="0"/>
          <w:numId w:val="0"/>
        </w:numPr>
        <w:suppressLineNumbers w:val="0"/>
        <w:spacing w:line="360" w:lineRule="auto"/>
        <w:ind w:leftChars="-95" w:right="-168" w:rightChars="-80"/>
        <w:jc w:val="both"/>
        <w:outlineLvl w:val="0"/>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三、资格审查办法</w:t>
      </w:r>
    </w:p>
    <w:p>
      <w:pPr>
        <w:spacing w:before="75" w:line="181" w:lineRule="auto"/>
        <w:ind w:firstLine="2985"/>
        <w:outlineLvl w:val="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附录</w:t>
      </w:r>
      <w:r>
        <w:rPr>
          <w:rFonts w:hint="eastAsia" w:asciiTheme="minorEastAsia" w:hAnsiTheme="minorEastAsia" w:eastAsiaTheme="minorEastAsia" w:cstheme="minorEastAsia"/>
          <w:color w:val="auto"/>
          <w:spacing w:val="-9"/>
          <w:sz w:val="24"/>
          <w:szCs w:val="24"/>
        </w:rPr>
        <w:t xml:space="preserve"> </w:t>
      </w:r>
      <w:r>
        <w:rPr>
          <w:rFonts w:hint="eastAsia" w:asciiTheme="minorEastAsia" w:hAnsiTheme="minorEastAsia" w:eastAsiaTheme="minorEastAsia" w:cstheme="minorEastAsia"/>
          <w:color w:val="auto"/>
          <w:spacing w:val="4"/>
          <w:sz w:val="24"/>
          <w:szCs w:val="24"/>
        </w:rPr>
        <w:t>1</w:t>
      </w:r>
      <w:r>
        <w:rPr>
          <w:rFonts w:hint="eastAsia" w:asciiTheme="minorEastAsia" w:hAnsiTheme="minorEastAsia" w:eastAsiaTheme="minorEastAsia" w:cstheme="minorEastAsia"/>
          <w:color w:val="auto"/>
          <w:spacing w:val="-14"/>
          <w:sz w:val="24"/>
          <w:szCs w:val="24"/>
        </w:rPr>
        <w:t xml:space="preserve"> </w:t>
      </w:r>
      <w:r>
        <w:rPr>
          <w:rFonts w:hint="eastAsia" w:asciiTheme="minorEastAsia" w:hAnsiTheme="minorEastAsia" w:eastAsiaTheme="minorEastAsia" w:cstheme="minorEastAsia"/>
          <w:color w:val="auto"/>
          <w:spacing w:val="4"/>
          <w:sz w:val="24"/>
          <w:szCs w:val="24"/>
        </w:rPr>
        <w:t>资格审查条件(资质最低条件)</w:t>
      </w:r>
    </w:p>
    <w:p>
      <w:pPr>
        <w:rPr>
          <w:rFonts w:hint="eastAsia" w:asciiTheme="minorEastAsia" w:hAnsiTheme="minorEastAsia" w:eastAsiaTheme="minorEastAsia" w:cstheme="minorEastAsia"/>
          <w:color w:val="auto"/>
          <w:sz w:val="24"/>
          <w:szCs w:val="24"/>
        </w:rPr>
      </w:pPr>
    </w:p>
    <w:p>
      <w:pPr>
        <w:spacing w:line="192" w:lineRule="exact"/>
        <w:rPr>
          <w:rFonts w:hint="eastAsia" w:asciiTheme="minorEastAsia" w:hAnsiTheme="minorEastAsia" w:eastAsiaTheme="minorEastAsia" w:cstheme="minorEastAsia"/>
          <w:color w:val="auto"/>
          <w:sz w:val="24"/>
          <w:szCs w:val="24"/>
        </w:rPr>
      </w:pPr>
    </w:p>
    <w:tbl>
      <w:tblPr>
        <w:tblStyle w:val="9"/>
        <w:tblW w:w="958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5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6" w:hRule="atLeast"/>
        </w:trPr>
        <w:tc>
          <w:tcPr>
            <w:tcW w:w="9582" w:type="dxa"/>
            <w:noWrap w:val="0"/>
            <w:vAlign w:val="center"/>
          </w:tcPr>
          <w:p>
            <w:pPr>
              <w:spacing w:before="16" w:line="189"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施工企业资质等级要求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02" w:hRule="atLeast"/>
        </w:trPr>
        <w:tc>
          <w:tcPr>
            <w:tcW w:w="9582"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投标人具有法人或其他组织资格；持有工商行政管理部门核发的有效企业营业执照或事业单位法人证书或社会团体法人登记证书，具备建设主管部门颁发的建筑工程施工总承包三级（含）以上等级资质，以上资质证书须在有效期内，具备建设主管部门颁发的有效安全生产许可证，并在人员、设备、资金等方面具有相应的施工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5" w:hRule="atLeast"/>
        </w:trPr>
        <w:tc>
          <w:tcPr>
            <w:tcW w:w="9582" w:type="dxa"/>
            <w:noWrap w:val="0"/>
            <w:vAlign w:val="top"/>
          </w:tcPr>
          <w:p>
            <w:pPr>
              <w:bidi w:val="0"/>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注：</w:t>
            </w:r>
          </w:p>
          <w:p>
            <w:pPr>
              <w:bidi w:val="0"/>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修改补充投标人须知正文第3.5.1项：</w:t>
            </w:r>
          </w:p>
          <w:p>
            <w:pPr>
              <w:bidi w:val="0"/>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投标人基本情况表”应附企业营业执照和组织机构代码证（按照“三证合一”或“五证合一”登记制度进行登记的，可仅提供营业执照，下同）、施工资质证书、安全生产许可证、基本账户开户银行提供的开户或账户信息证明的彩色复印件。</w:t>
            </w:r>
          </w:p>
          <w:p>
            <w:pPr>
              <w:bidi w:val="0"/>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企业法人营业执照和组织机构代码证、施工资质证书、安全生产许可证的扫描件应提供全本（证书封面、封底、空白页除外），应包括投标人名称、投标人其他相关信息、颁发机构名称、投标人信息变更情况等关键页在内。</w:t>
            </w:r>
          </w:p>
          <w:p>
            <w:pPr>
              <w:bidi w:val="0"/>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（3）对于法人发生重组或变更的投标人，应在投标文件中提供附有法人重组或变更时相关部门的合法批件、变更时的企业法人营业执照和资质证书的变更记录彩色扫描件。</w:t>
            </w:r>
          </w:p>
          <w:p>
            <w:pPr>
              <w:bidi w:val="0"/>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根据《交通运输部关于取消一批证明事项的决定》（交法规[2020]1号）文件规定，投标人无须提供在国家企业信用信息公示系统中基础信息（体现股东及出资详细信息）的网页截图或由法定的社会验资机构出具的验资报告或注册地工商部门出具的股东出资情况证明复印件。</w:t>
            </w:r>
          </w:p>
          <w:p>
            <w:pPr>
              <w:keepNext w:val="0"/>
              <w:keepLines w:val="0"/>
              <w:pageBreakBefore w:val="0"/>
              <w:widowControl/>
              <w:kinsoku w:val="0"/>
              <w:wordWrap/>
              <w:overflowPunct/>
              <w:topLinePunct w:val="0"/>
              <w:autoSpaceDE w:val="0"/>
              <w:autoSpaceDN w:val="0"/>
              <w:bidi w:val="0"/>
              <w:adjustRightInd w:val="0"/>
              <w:snapToGrid w:val="0"/>
              <w:spacing w:before="3" w:line="288" w:lineRule="auto"/>
              <w:ind w:right="68"/>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lang w:val="en-US" w:eastAsia="zh-CN"/>
              </w:rPr>
              <w:t>（5）招标文件中其他地方与此处不一致时，以此处为准。</w:t>
            </w:r>
          </w:p>
        </w:tc>
      </w:tr>
    </w:tbl>
    <w:p>
      <w:pPr>
        <w:spacing w:before="75" w:line="181" w:lineRule="auto"/>
        <w:ind w:firstLine="2985"/>
        <w:outlineLvl w:val="9"/>
        <w:rPr>
          <w:rFonts w:hint="eastAsia" w:asciiTheme="minorEastAsia" w:hAnsiTheme="minorEastAsia" w:eastAsiaTheme="minorEastAsia" w:cstheme="minorEastAsia"/>
          <w:color w:val="auto"/>
          <w:spacing w:val="5"/>
          <w:sz w:val="24"/>
          <w:szCs w:val="24"/>
        </w:rPr>
      </w:pPr>
      <w:bookmarkStart w:id="0" w:name="_bookmark4"/>
      <w:bookmarkEnd w:id="0"/>
      <w:bookmarkStart w:id="1" w:name="_Toc23661"/>
    </w:p>
    <w:p>
      <w:pPr>
        <w:spacing w:before="75" w:line="181" w:lineRule="auto"/>
        <w:ind w:firstLine="2985"/>
        <w:outlineLvl w:val="9"/>
        <w:rPr>
          <w:rFonts w:hint="eastAsia" w:asciiTheme="minorEastAsia" w:hAnsiTheme="minorEastAsia" w:eastAsiaTheme="minorEastAsia" w:cstheme="minorEastAsia"/>
          <w:color w:val="auto"/>
          <w:spacing w:val="5"/>
          <w:sz w:val="24"/>
          <w:szCs w:val="24"/>
        </w:rPr>
      </w:pPr>
    </w:p>
    <w:p>
      <w:pPr>
        <w:spacing w:before="75" w:line="181" w:lineRule="auto"/>
        <w:ind w:firstLine="2985"/>
        <w:outlineLvl w:val="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附录</w:t>
      </w:r>
      <w:r>
        <w:rPr>
          <w:rFonts w:hint="eastAsia" w:asciiTheme="minorEastAsia" w:hAnsiTheme="minorEastAsia" w:eastAsiaTheme="minorEastAsia" w:cstheme="minorEastAsia"/>
          <w:color w:val="auto"/>
          <w:spacing w:val="-26"/>
          <w:sz w:val="24"/>
          <w:szCs w:val="24"/>
        </w:rPr>
        <w:t xml:space="preserve"> </w:t>
      </w:r>
      <w:r>
        <w:rPr>
          <w:rFonts w:hint="eastAsia" w:asciiTheme="minorEastAsia" w:hAnsiTheme="minorEastAsia" w:eastAsiaTheme="minorEastAsia" w:cstheme="minorEastAsia"/>
          <w:color w:val="auto"/>
          <w:spacing w:val="5"/>
          <w:sz w:val="24"/>
          <w:szCs w:val="24"/>
        </w:rPr>
        <w:t>2</w:t>
      </w:r>
      <w:r>
        <w:rPr>
          <w:rFonts w:hint="eastAsia" w:asciiTheme="minorEastAsia" w:hAnsiTheme="minorEastAsia" w:eastAsiaTheme="minorEastAsia" w:cstheme="minorEastAsia"/>
          <w:color w:val="auto"/>
          <w:spacing w:val="-14"/>
          <w:sz w:val="24"/>
          <w:szCs w:val="24"/>
        </w:rPr>
        <w:t xml:space="preserve"> </w:t>
      </w:r>
      <w:r>
        <w:rPr>
          <w:rFonts w:hint="eastAsia" w:asciiTheme="minorEastAsia" w:hAnsiTheme="minorEastAsia" w:eastAsiaTheme="minorEastAsia" w:cstheme="minorEastAsia"/>
          <w:color w:val="auto"/>
          <w:spacing w:val="5"/>
          <w:sz w:val="24"/>
          <w:szCs w:val="24"/>
        </w:rPr>
        <w:t>资格审查条件(财务最低要求)</w:t>
      </w:r>
      <w:bookmarkEnd w:id="1"/>
    </w:p>
    <w:p>
      <w:pPr>
        <w:rPr>
          <w:rFonts w:hint="eastAsia" w:asciiTheme="minorEastAsia" w:hAnsiTheme="minorEastAsia" w:eastAsiaTheme="minorEastAsia" w:cstheme="minorEastAsia"/>
          <w:color w:val="auto"/>
          <w:sz w:val="24"/>
          <w:szCs w:val="24"/>
        </w:rPr>
      </w:pPr>
    </w:p>
    <w:p>
      <w:pPr>
        <w:spacing w:line="192" w:lineRule="exact"/>
        <w:rPr>
          <w:rFonts w:hint="eastAsia" w:asciiTheme="minorEastAsia" w:hAnsiTheme="minorEastAsia" w:eastAsiaTheme="minorEastAsia" w:cstheme="minorEastAsia"/>
          <w:color w:val="auto"/>
          <w:sz w:val="24"/>
          <w:szCs w:val="24"/>
        </w:rPr>
      </w:pPr>
    </w:p>
    <w:tbl>
      <w:tblPr>
        <w:tblStyle w:val="9"/>
        <w:tblW w:w="958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5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trPr>
        <w:tc>
          <w:tcPr>
            <w:tcW w:w="9582" w:type="dxa"/>
            <w:noWrap w:val="0"/>
            <w:vAlign w:val="top"/>
          </w:tcPr>
          <w:p>
            <w:pPr>
              <w:spacing w:before="17" w:line="189" w:lineRule="auto"/>
              <w:ind w:firstLine="43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财务要求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5" w:hRule="atLeast"/>
        </w:trPr>
        <w:tc>
          <w:tcPr>
            <w:tcW w:w="9582" w:type="dxa"/>
            <w:noWrap w:val="0"/>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
              </w:rPr>
            </w:pPr>
            <w:r>
              <w:rPr>
                <w:rFonts w:hint="eastAsia" w:asciiTheme="minorEastAsia" w:hAnsiTheme="minorEastAsia" w:eastAsiaTheme="minorEastAsia" w:cstheme="minorEastAsia"/>
                <w:snapToGrid w:val="0"/>
                <w:color w:val="auto"/>
                <w:kern w:val="0"/>
                <w:sz w:val="24"/>
                <w:szCs w:val="24"/>
                <w:lang w:val="en-US" w:eastAsia="zh-CN" w:bidi="ar"/>
              </w:rPr>
              <w:t>投标人须提</w:t>
            </w:r>
            <w:r>
              <w:rPr>
                <w:rFonts w:hint="eastAsia" w:asciiTheme="minorEastAsia" w:hAnsiTheme="minorEastAsia" w:eastAsiaTheme="minorEastAsia" w:cstheme="minorEastAsia"/>
                <w:snapToGrid w:val="0"/>
                <w:color w:val="auto"/>
                <w:kern w:val="0"/>
                <w:sz w:val="24"/>
                <w:szCs w:val="24"/>
                <w:highlight w:val="none"/>
                <w:lang w:val="en-US" w:eastAsia="zh-CN" w:bidi="ar"/>
              </w:rPr>
              <w:t>交近三年（2019年、2020年、2021年）经审计的财务报表，并满足以下要求：</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1.投标人在近三年</w:t>
            </w:r>
            <w:r>
              <w:rPr>
                <w:rFonts w:hint="eastAsia" w:asciiTheme="minorEastAsia" w:hAnsiTheme="minorEastAsia" w:eastAsiaTheme="minorEastAsia" w:cstheme="minorEastAsia"/>
                <w:snapToGrid w:val="0"/>
                <w:color w:val="auto"/>
                <w:kern w:val="0"/>
                <w:sz w:val="24"/>
                <w:szCs w:val="24"/>
                <w:highlight w:val="none"/>
                <w:lang w:val="en-US" w:eastAsia="zh-CN" w:bidi="ar"/>
              </w:rPr>
              <w:t>（2019年至2021年）</w:t>
            </w:r>
            <w:r>
              <w:rPr>
                <w:rFonts w:hint="eastAsia" w:asciiTheme="minorEastAsia" w:hAnsiTheme="minorEastAsia" w:eastAsiaTheme="minorEastAsia" w:cstheme="minorEastAsia"/>
                <w:color w:val="auto"/>
                <w:sz w:val="24"/>
                <w:szCs w:val="24"/>
                <w:highlight w:val="none"/>
                <w:lang w:val="en-US" w:eastAsia="zh-CN"/>
              </w:rPr>
              <w:t>每一年度末的流动资产与流动负债比均不小于1。</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lang w:val="en-US" w:eastAsia="zh-CN"/>
              </w:rPr>
              <w:t>2.投标人提供近三年</w:t>
            </w:r>
            <w:r>
              <w:rPr>
                <w:rFonts w:hint="eastAsia" w:asciiTheme="minorEastAsia" w:hAnsiTheme="minorEastAsia" w:eastAsiaTheme="minorEastAsia" w:cstheme="minorEastAsia"/>
                <w:snapToGrid w:val="0"/>
                <w:color w:val="auto"/>
                <w:kern w:val="0"/>
                <w:sz w:val="24"/>
                <w:szCs w:val="24"/>
                <w:highlight w:val="none"/>
                <w:lang w:val="en-US" w:eastAsia="zh-CN" w:bidi="ar"/>
              </w:rPr>
              <w:t>（2019年至2021年）</w:t>
            </w:r>
            <w:r>
              <w:rPr>
                <w:rFonts w:hint="eastAsia" w:asciiTheme="minorEastAsia" w:hAnsiTheme="minorEastAsia" w:eastAsiaTheme="minorEastAsia" w:cstheme="minorEastAsia"/>
                <w:color w:val="auto"/>
                <w:sz w:val="24"/>
                <w:szCs w:val="24"/>
                <w:highlight w:val="none"/>
                <w:lang w:val="en-US" w:eastAsia="zh-CN"/>
              </w:rPr>
              <w:t>经审计的财务报表。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9" w:hRule="atLeast"/>
        </w:trPr>
        <w:tc>
          <w:tcPr>
            <w:tcW w:w="9582" w:type="dxa"/>
            <w:noWrap w:val="0"/>
            <w:vAlign w:val="top"/>
          </w:tcPr>
          <w:p>
            <w:pPr>
              <w:spacing w:line="360"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注：</w:t>
            </w:r>
          </w:p>
          <w:p>
            <w:pPr>
              <w:spacing w:line="360"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修改补充投标人须知正文第3.5.2项：</w:t>
            </w:r>
          </w:p>
          <w:p>
            <w:pPr>
              <w:spacing w:line="360"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（1）投标人应在投标文件中附近3个会计年度经会计师事务所或审计机构审计的财务会计报表，包括资产负债表、现金流量表、利润表和财务情况说明书的彩色影印件。</w:t>
            </w:r>
          </w:p>
          <w:p>
            <w:pPr>
              <w:spacing w:line="360"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（2）投标人的成立时间少于规定年份的可以对本项目投标，应提供成立以来的财务状况表，且投标人所提供的财务报表均需满足以上要求。</w:t>
            </w:r>
          </w:p>
          <w:p>
            <w:pPr>
              <w:spacing w:line="360"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（3）投标人如为集团公司，财务会计报表指合并财务会计报表；</w:t>
            </w:r>
          </w:p>
          <w:p>
            <w:pPr>
              <w:bidi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（4）招标文件中其他地方与此处不一致时，以此处为准。</w:t>
            </w:r>
          </w:p>
        </w:tc>
      </w:tr>
    </w:tbl>
    <w:p>
      <w:pPr>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4"/>
          <w:szCs w:val="24"/>
        </w:rPr>
        <w:sectPr>
          <w:headerReference r:id="rId3" w:type="default"/>
          <w:footerReference r:id="rId4" w:type="default"/>
          <w:pgSz w:w="11910" w:h="16845"/>
          <w:pgMar w:top="964" w:right="1066" w:bottom="1061" w:left="1246" w:header="0" w:footer="944" w:gutter="0"/>
          <w:pgNumType w:fmt="decimal"/>
          <w:cols w:space="720" w:num="1"/>
        </w:sectPr>
      </w:pPr>
    </w:p>
    <w:p>
      <w:pPr>
        <w:spacing w:before="75" w:line="181" w:lineRule="auto"/>
        <w:ind w:firstLine="2985"/>
        <w:outlineLvl w:val="1"/>
        <w:rPr>
          <w:rFonts w:hint="eastAsia" w:asciiTheme="minorEastAsia" w:hAnsiTheme="minorEastAsia" w:eastAsiaTheme="minorEastAsia" w:cstheme="minorEastAsia"/>
          <w:color w:val="auto"/>
          <w:sz w:val="24"/>
          <w:szCs w:val="24"/>
        </w:rPr>
      </w:pPr>
      <w:bookmarkStart w:id="2" w:name="_bookmark5"/>
      <w:bookmarkEnd w:id="2"/>
      <w:bookmarkStart w:id="3" w:name="_Toc32346"/>
      <w:r>
        <w:rPr>
          <w:rFonts w:hint="eastAsia" w:asciiTheme="minorEastAsia" w:hAnsiTheme="minorEastAsia" w:eastAsiaTheme="minorEastAsia" w:cstheme="minorEastAsia"/>
          <w:color w:val="auto"/>
          <w:spacing w:val="5"/>
          <w:sz w:val="24"/>
          <w:szCs w:val="24"/>
        </w:rPr>
        <w:t>附录</w:t>
      </w:r>
      <w:r>
        <w:rPr>
          <w:rFonts w:hint="eastAsia" w:asciiTheme="minorEastAsia" w:hAnsiTheme="minorEastAsia" w:eastAsiaTheme="minorEastAsia" w:cstheme="minorEastAsia"/>
          <w:color w:val="auto"/>
          <w:spacing w:val="-26"/>
          <w:sz w:val="24"/>
          <w:szCs w:val="24"/>
        </w:rPr>
        <w:t xml:space="preserve"> </w:t>
      </w:r>
      <w:r>
        <w:rPr>
          <w:rFonts w:hint="eastAsia" w:asciiTheme="minorEastAsia" w:hAnsiTheme="minorEastAsia" w:eastAsiaTheme="minorEastAsia" w:cstheme="minorEastAsia"/>
          <w:color w:val="auto"/>
          <w:spacing w:val="5"/>
          <w:sz w:val="24"/>
          <w:szCs w:val="24"/>
        </w:rPr>
        <w:t>3</w:t>
      </w:r>
      <w:r>
        <w:rPr>
          <w:rFonts w:hint="eastAsia" w:asciiTheme="minorEastAsia" w:hAnsiTheme="minorEastAsia" w:eastAsiaTheme="minorEastAsia" w:cstheme="minorEastAsia"/>
          <w:color w:val="auto"/>
          <w:spacing w:val="-14"/>
          <w:sz w:val="24"/>
          <w:szCs w:val="24"/>
        </w:rPr>
        <w:t xml:space="preserve"> </w:t>
      </w:r>
      <w:r>
        <w:rPr>
          <w:rFonts w:hint="eastAsia" w:asciiTheme="minorEastAsia" w:hAnsiTheme="minorEastAsia" w:eastAsiaTheme="minorEastAsia" w:cstheme="minorEastAsia"/>
          <w:color w:val="auto"/>
          <w:spacing w:val="5"/>
          <w:sz w:val="24"/>
          <w:szCs w:val="24"/>
        </w:rPr>
        <w:t>资格审查条件(业绩最低要求)</w:t>
      </w:r>
      <w:bookmarkEnd w:id="3"/>
    </w:p>
    <w:p>
      <w:pPr>
        <w:spacing w:line="192" w:lineRule="exact"/>
        <w:rPr>
          <w:rFonts w:hint="eastAsia" w:asciiTheme="minorEastAsia" w:hAnsiTheme="minorEastAsia" w:eastAsiaTheme="minorEastAsia" w:cstheme="minorEastAsia"/>
          <w:color w:val="auto"/>
          <w:sz w:val="24"/>
          <w:szCs w:val="24"/>
        </w:rPr>
      </w:pPr>
    </w:p>
    <w:tbl>
      <w:tblPr>
        <w:tblStyle w:val="9"/>
        <w:tblW w:w="967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6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trPr>
        <w:tc>
          <w:tcPr>
            <w:tcW w:w="9672" w:type="dxa"/>
            <w:noWrap w:val="0"/>
            <w:vAlign w:val="center"/>
          </w:tcPr>
          <w:p>
            <w:pPr>
              <w:spacing w:before="16" w:line="189"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业绩要求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9672" w:type="dxa"/>
            <w:noWrap w:val="0"/>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投标人在近3年内（指2020年4月28日至</w:t>
            </w:r>
            <w:r>
              <w:rPr>
                <w:rFonts w:hint="eastAsia" w:asciiTheme="minorEastAsia" w:hAnsiTheme="minorEastAsia" w:cstheme="minorEastAsia"/>
                <w:color w:val="auto"/>
                <w:sz w:val="24"/>
                <w:szCs w:val="24"/>
                <w:lang w:val="en-US" w:eastAsia="zh-CN"/>
              </w:rPr>
              <w:t>2023年5月22日</w:t>
            </w:r>
            <w:r>
              <w:rPr>
                <w:rFonts w:hint="eastAsia" w:asciiTheme="minorEastAsia" w:hAnsiTheme="minorEastAsia" w:eastAsiaTheme="minorEastAsia" w:cstheme="minorEastAsia"/>
                <w:color w:val="auto"/>
                <w:sz w:val="24"/>
                <w:szCs w:val="24"/>
                <w:lang w:val="en-US" w:eastAsia="zh-CN"/>
              </w:rPr>
              <w:t>，以交工日期为准）至少完成过1个合同金额不少于</w:t>
            </w:r>
            <w:r>
              <w:rPr>
                <w:rFonts w:hint="eastAsia" w:asciiTheme="minorEastAsia" w:hAnsiTheme="minorEastAsia" w:cstheme="minorEastAsia"/>
                <w:color w:val="auto"/>
                <w:sz w:val="24"/>
                <w:szCs w:val="24"/>
                <w:lang w:val="en-US" w:eastAsia="zh-CN"/>
              </w:rPr>
              <w:t>142万元</w:t>
            </w:r>
            <w:r>
              <w:rPr>
                <w:rFonts w:hint="eastAsia" w:asciiTheme="minorEastAsia" w:hAnsiTheme="minorEastAsia" w:eastAsiaTheme="minorEastAsia" w:cstheme="minorEastAsia"/>
                <w:color w:val="auto"/>
                <w:sz w:val="24"/>
                <w:szCs w:val="24"/>
                <w:lang w:val="en-US" w:eastAsia="zh-CN"/>
              </w:rPr>
              <w:t>的房屋建筑工程(新建或改扩建)施工业绩且该施工业绩是以投标人名义签署的合同业绩。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trPr>
        <w:tc>
          <w:tcPr>
            <w:tcW w:w="9672" w:type="dxa"/>
            <w:noWrap w:val="0"/>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注：</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修改补充投标人须知正文第 3.5.3 项：</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（1）投标人应按资格审查资料中的表（四）（近年完成</w:t>
            </w:r>
            <w:bookmarkStart w:id="30" w:name="_GoBack"/>
            <w:bookmarkEnd w:id="30"/>
            <w:r>
              <w:rPr>
                <w:rFonts w:hint="eastAsia" w:asciiTheme="minorEastAsia" w:hAnsiTheme="minorEastAsia" w:eastAsiaTheme="minorEastAsia" w:cstheme="minorEastAsia"/>
                <w:b w:val="0"/>
                <w:bCs w:val="0"/>
                <w:color w:val="auto"/>
                <w:sz w:val="24"/>
                <w:szCs w:val="24"/>
                <w:highlight w:val="none"/>
                <w:lang w:val="en-US" w:eastAsia="zh-CN"/>
              </w:rPr>
              <w:t>的类似项目情况表）填写所提供的业绩，提供的每个业绩均应填写，未按照表（四）（近年完成的类似项目情况表）规定的格式填报的业绩，其业绩审查将不予认可。</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sz w:val="24"/>
                <w:szCs w:val="24"/>
                <w:highlight w:val="none"/>
                <w:lang w:val="en-US" w:eastAsia="zh-CN"/>
              </w:rPr>
              <w:t>（2）投标人填报的类似项目应是“以投标人名义签署的合同业绩”；投标人需提供网查业绩或相关业绩证明材料扫描件。网查业绩或相关业绩证明材料扫描件信息能够反映项目时间、工程内容、合同金额、交工日期等招标文件规定的业绩最低要求</w:t>
            </w:r>
            <w:r>
              <w:rPr>
                <w:rFonts w:hint="eastAsia" w:asciiTheme="minorEastAsia" w:hAnsiTheme="minorEastAsia" w:eastAsiaTheme="minorEastAsia" w:cstheme="minorEastAsia"/>
                <w:color w:val="auto"/>
                <w:kern w:val="0"/>
                <w:sz w:val="24"/>
                <w:szCs w:val="24"/>
                <w:lang w:val="en-US" w:eastAsia="zh-CN" w:bidi="ar"/>
              </w:rPr>
              <w:t xml:space="preserve">，否则不予认可。 </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lang w:val="en-US" w:eastAsia="zh-CN" w:bidi="ar"/>
              </w:rPr>
              <w:t>（3）“近年完成的类似项目情况表”应附在交通运输部“全国公路建设市场信用信息管理系统” 或住房和城乡建设部“全国建筑市场监管公共服务平台”中查询到的企业“业绩信息”相关项目网页截图，即包括“项目名称”“项目类型”“合同价”“建筑面积”“建设规模”“人员信息”“交（竣）工验收”等栏目在内的项目详细信息网页截图。在交通运输部“全国公路建设市场信用信息管理系统”或住房和城乡建设部“全国建筑市场监管公共服务平台”中无法查询的，应附项目所在地省级交通运输主管部门“公路建设市场信用信息管理系统”或项目所在地省级住建主管部门网站“建筑市场监管服务系统”中查询到的网页截图。若投标人无法提供以上网站的网查业绩，须提供中标通知书、合</w:t>
            </w:r>
            <w:r>
              <w:rPr>
                <w:rFonts w:hint="eastAsia" w:asciiTheme="minorEastAsia" w:hAnsiTheme="minorEastAsia" w:eastAsiaTheme="minorEastAsia" w:cstheme="minorEastAsia"/>
                <w:color w:val="auto"/>
                <w:kern w:val="0"/>
                <w:sz w:val="24"/>
                <w:szCs w:val="24"/>
                <w:highlight w:val="none"/>
                <w:lang w:val="en-US" w:eastAsia="zh-CN" w:bidi="ar"/>
              </w:rPr>
              <w:t>同和交（竣）工验收报告等证明材料彩色扫描件，否则业绩不予认定。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4）投标人对其递交投标文件中所有证明材料的真实性负责，若招标人收到反映投标人提供了虚假材料、不实信息或隐瞒招标文件要求填报的信息方面等的投诉，招标人一经查实将不予退还投标保证金，并认定为失信投标行为(如中标同时取消其中标资格)，并依据《宁夏回族自治区公路建设与养护市场信用评价管理办法(试行)》(宁交规发(2021〕5号)文件对投标人本次投标行为进行评价，同时将评价结果上报宁夏交通运输厅，并在宁夏交通运输厅网站予以公布。其他要求同《公路工程标准施工招标文件》(2018年版)。</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（5）投标人提供的施工业绩应是以投标人名义签署的合同业绩，其母公司及下属专业单位签署合同的业绩、联合体业绩在资格审查中均不予认可。</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（6）投标人提供的业绩达不到附录 3 业绩最低要求的，其资格审查不予通过。</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（7）宁夏公路建设市场信息管理系统已正常开启，由于端口号变化，本系统的登录地址变更为：https://222.75.70.115:8084/CISS/main/home/，如投标人需要，请正确登陆。</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sz w:val="24"/>
                <w:szCs w:val="24"/>
                <w:highlight w:val="none"/>
                <w:lang w:val="en-US" w:eastAsia="zh-CN"/>
              </w:rPr>
              <w:t>（8）招标文件中其他地方与此处不一致时，以此处为准。</w:t>
            </w:r>
          </w:p>
        </w:tc>
      </w:tr>
    </w:tbl>
    <w:p>
      <w:pPr>
        <w:pStyle w:val="6"/>
        <w:rPr>
          <w:rFonts w:hint="eastAsia" w:asciiTheme="minorEastAsia" w:hAnsiTheme="minorEastAsia" w:eastAsiaTheme="minorEastAsia" w:cstheme="minorEastAsia"/>
          <w:color w:val="auto"/>
          <w:sz w:val="24"/>
          <w:szCs w:val="24"/>
        </w:rPr>
        <w:sectPr>
          <w:headerReference r:id="rId5" w:type="default"/>
          <w:footerReference r:id="rId6" w:type="default"/>
          <w:pgSz w:w="11910" w:h="16845"/>
          <w:pgMar w:top="1134" w:right="1066" w:bottom="1134" w:left="1246" w:header="0" w:footer="944" w:gutter="0"/>
          <w:pgNumType w:fmt="decimal"/>
          <w:cols w:space="720" w:num="1"/>
        </w:sectPr>
      </w:pPr>
    </w:p>
    <w:p>
      <w:pPr>
        <w:spacing w:before="74" w:line="181" w:lineRule="auto"/>
        <w:ind w:firstLine="2925"/>
        <w:outlineLvl w:val="1"/>
        <w:rPr>
          <w:rFonts w:hint="eastAsia" w:asciiTheme="minorEastAsia" w:hAnsiTheme="minorEastAsia" w:eastAsiaTheme="minorEastAsia" w:cstheme="minorEastAsia"/>
          <w:color w:val="auto"/>
          <w:sz w:val="24"/>
          <w:szCs w:val="24"/>
        </w:rPr>
      </w:pPr>
      <w:bookmarkStart w:id="4" w:name="_bookmark6"/>
      <w:bookmarkEnd w:id="4"/>
      <w:bookmarkStart w:id="5" w:name="_Toc10802"/>
      <w:r>
        <w:rPr>
          <w:rFonts w:hint="eastAsia" w:asciiTheme="minorEastAsia" w:hAnsiTheme="minorEastAsia" w:eastAsiaTheme="minorEastAsia" w:cstheme="minorEastAsia"/>
          <w:color w:val="auto"/>
          <w:spacing w:val="4"/>
          <w:sz w:val="24"/>
          <w:szCs w:val="24"/>
        </w:rPr>
        <w:t>附录</w:t>
      </w:r>
      <w:r>
        <w:rPr>
          <w:rFonts w:hint="eastAsia" w:asciiTheme="minorEastAsia" w:hAnsiTheme="minorEastAsia" w:eastAsiaTheme="minorEastAsia" w:cstheme="minorEastAsia"/>
          <w:color w:val="auto"/>
          <w:spacing w:val="-23"/>
          <w:sz w:val="24"/>
          <w:szCs w:val="24"/>
        </w:rPr>
        <w:t xml:space="preserve"> </w:t>
      </w:r>
      <w:r>
        <w:rPr>
          <w:rFonts w:hint="eastAsia" w:asciiTheme="minorEastAsia" w:hAnsiTheme="minorEastAsia" w:eastAsiaTheme="minorEastAsia" w:cstheme="minorEastAsia"/>
          <w:color w:val="auto"/>
          <w:spacing w:val="4"/>
          <w:sz w:val="24"/>
          <w:szCs w:val="24"/>
        </w:rPr>
        <w:t>4</w:t>
      </w:r>
      <w:r>
        <w:rPr>
          <w:rFonts w:hint="eastAsia" w:asciiTheme="minorEastAsia" w:hAnsiTheme="minorEastAsia" w:eastAsiaTheme="minorEastAsia" w:cstheme="minorEastAsia"/>
          <w:color w:val="auto"/>
          <w:spacing w:val="-14"/>
          <w:sz w:val="24"/>
          <w:szCs w:val="24"/>
        </w:rPr>
        <w:t xml:space="preserve"> </w:t>
      </w:r>
      <w:r>
        <w:rPr>
          <w:rFonts w:hint="eastAsia" w:asciiTheme="minorEastAsia" w:hAnsiTheme="minorEastAsia" w:eastAsiaTheme="minorEastAsia" w:cstheme="minorEastAsia"/>
          <w:color w:val="auto"/>
          <w:spacing w:val="4"/>
          <w:sz w:val="24"/>
          <w:szCs w:val="24"/>
        </w:rPr>
        <w:t>资格审查条件(信誉最低要求）</w:t>
      </w:r>
      <w:bookmarkEnd w:id="5"/>
    </w:p>
    <w:p>
      <w:pPr>
        <w:rPr>
          <w:rFonts w:hint="eastAsia" w:asciiTheme="minorEastAsia" w:hAnsiTheme="minorEastAsia" w:eastAsiaTheme="minorEastAsia" w:cstheme="minorEastAsia"/>
          <w:color w:val="auto"/>
          <w:sz w:val="24"/>
          <w:szCs w:val="24"/>
        </w:rPr>
      </w:pPr>
    </w:p>
    <w:p>
      <w:pPr>
        <w:spacing w:line="192" w:lineRule="exact"/>
        <w:rPr>
          <w:rFonts w:hint="eastAsia" w:asciiTheme="minorEastAsia" w:hAnsiTheme="minorEastAsia" w:eastAsiaTheme="minorEastAsia" w:cstheme="minorEastAsia"/>
          <w:color w:val="auto"/>
          <w:sz w:val="24"/>
          <w:szCs w:val="24"/>
        </w:rPr>
      </w:pPr>
    </w:p>
    <w:tbl>
      <w:tblPr>
        <w:tblStyle w:val="9"/>
        <w:tblW w:w="979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7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9798" w:type="dxa"/>
            <w:noWrap w:val="0"/>
            <w:vAlign w:val="center"/>
          </w:tcPr>
          <w:p>
            <w:pPr>
              <w:spacing w:before="16" w:line="189" w:lineRule="auto"/>
              <w:ind w:firstLine="4349"/>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信誉要求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72" w:hRule="atLeast"/>
        </w:trPr>
        <w:tc>
          <w:tcPr>
            <w:tcW w:w="979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highlight w:val="none"/>
                <w:lang w:val="en-US" w:eastAsia="zh-CN"/>
              </w:rPr>
              <w:t>1）未被省级及以上交通运输主管部门或住房和城乡建设部门取消招标项目所在地的投标资格且处于有效期内；</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未被责令停业，暂扣或吊销执照，或吊销资质证书；</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未进入清算程序，或被宣告破产，或其他丧失履约能力的情形；</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在国家企业信用信息公示系统中未被列入严重违法失信企业名单；</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在“信用中国”、“信用宁夏”网站中未被列入失信被执行人、企业经营异常名录、重大税收违法案件当事人名单；</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在“中国执行信息公开网”中未被列入失信被执行人名单；</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7</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投标人及其法定代表人、拟委任的项目经理</w:t>
            </w:r>
            <w:r>
              <w:rPr>
                <w:rFonts w:hint="eastAsia" w:asciiTheme="minorEastAsia" w:hAnsiTheme="minorEastAsia" w:eastAsiaTheme="minorEastAsia" w:cstheme="minorEastAsia"/>
                <w:color w:val="auto"/>
                <w:sz w:val="24"/>
                <w:szCs w:val="24"/>
                <w:highlight w:val="none"/>
                <w:lang w:eastAsia="zh-CN"/>
              </w:rPr>
              <w:t>、项目总工</w:t>
            </w:r>
            <w:r>
              <w:rPr>
                <w:rFonts w:hint="eastAsia" w:asciiTheme="minorEastAsia" w:hAnsiTheme="minorEastAsia" w:eastAsiaTheme="minorEastAsia" w:cstheme="minorEastAsia"/>
                <w:color w:val="auto"/>
                <w:sz w:val="24"/>
                <w:szCs w:val="24"/>
                <w:highlight w:val="none"/>
              </w:rPr>
              <w:t>自</w:t>
            </w:r>
            <w:r>
              <w:rPr>
                <w:rFonts w:hint="eastAsia" w:asciiTheme="minorEastAsia" w:hAnsiTheme="minorEastAsia" w:eastAsiaTheme="minorEastAsia" w:cstheme="minorEastAsia"/>
                <w:color w:val="auto"/>
                <w:sz w:val="24"/>
                <w:szCs w:val="24"/>
                <w:highlight w:val="none"/>
                <w:lang w:val="en-US" w:eastAsia="zh-CN"/>
              </w:rPr>
              <w:t>2020年4月28日</w:t>
            </w:r>
            <w:r>
              <w:rPr>
                <w:rFonts w:hint="eastAsia" w:asciiTheme="minorEastAsia" w:hAnsiTheme="minorEastAsia" w:eastAsiaTheme="minorEastAsia" w:cstheme="minorEastAsia"/>
                <w:color w:val="auto"/>
                <w:sz w:val="24"/>
                <w:szCs w:val="24"/>
                <w:highlight w:val="none"/>
              </w:rPr>
              <w:t>以来无行贿犯罪行为</w:t>
            </w:r>
            <w:r>
              <w:rPr>
                <w:rFonts w:hint="eastAsia" w:asciiTheme="minorEastAsia" w:hAnsiTheme="minorEastAsia" w:eastAsiaTheme="minorEastAsia" w:cstheme="minorEastAsia"/>
                <w:color w:val="auto"/>
                <w:sz w:val="24"/>
                <w:szCs w:val="24"/>
                <w:highlight w:val="none"/>
                <w:lang w:eastAsia="zh-CN"/>
              </w:rPr>
              <w:t>（附承诺函）</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8</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未在宁夏人力资源社会保障部门门户网站或“信用中国”网站或国家企业信用信息公示系统或地方信用信息共享平台存在拖欠农民工工资违法失信行为的，或查询到存在拖欠农民工工资违法失信行为但已由处罚机关出具了已不再拖欠农民工资证明书的；</w:t>
            </w:r>
          </w:p>
          <w:p>
            <w:pPr>
              <w:bidi w:val="0"/>
              <w:spacing w:line="360" w:lineRule="auto"/>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rPr>
              <w:t>（9）不存在法律法规或投标人须知前附表规定的其他不合格情形。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6" w:hRule="atLeast"/>
        </w:trPr>
        <w:tc>
          <w:tcPr>
            <w:tcW w:w="9798" w:type="dxa"/>
            <w:noWrap w:val="0"/>
            <w:vAlign w:val="center"/>
          </w:tcPr>
          <w:p>
            <w:pPr>
              <w:bidi w:val="0"/>
              <w:spacing w:line="360"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注：1.投标人提供“投标人信誉情况表”时，按照以上内容及投标文件格式中的要求提供证明资料。</w:t>
            </w:r>
          </w:p>
          <w:p>
            <w:pPr>
              <w:bidi w:val="0"/>
              <w:spacing w:line="360" w:lineRule="auto"/>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2.招标文件中其他地方与此处不一致时，以此处为准。</w:t>
            </w:r>
          </w:p>
        </w:tc>
      </w:tr>
    </w:tbl>
    <w:p>
      <w:pPr>
        <w:rPr>
          <w:rFonts w:hint="eastAsia" w:asciiTheme="minorEastAsia" w:hAnsiTheme="minorEastAsia" w:eastAsiaTheme="minorEastAsia" w:cstheme="minorEastAsia"/>
          <w:color w:val="auto"/>
          <w:sz w:val="24"/>
          <w:szCs w:val="24"/>
        </w:rPr>
        <w:sectPr>
          <w:pgSz w:w="11910" w:h="16845"/>
          <w:pgMar w:top="1134" w:right="1066" w:bottom="1134" w:left="1246" w:header="0" w:footer="944" w:gutter="0"/>
          <w:pgNumType w:fmt="decimal"/>
          <w:cols w:space="720" w:num="1"/>
        </w:sectPr>
      </w:pPr>
    </w:p>
    <w:p>
      <w:pPr>
        <w:spacing w:before="75" w:line="181" w:lineRule="auto"/>
        <w:jc w:val="center"/>
        <w:outlineLvl w:val="1"/>
        <w:rPr>
          <w:rFonts w:hint="eastAsia" w:asciiTheme="minorEastAsia" w:hAnsiTheme="minorEastAsia" w:eastAsiaTheme="minorEastAsia" w:cstheme="minorEastAsia"/>
          <w:color w:val="auto"/>
          <w:sz w:val="24"/>
          <w:szCs w:val="24"/>
        </w:rPr>
      </w:pPr>
      <w:bookmarkStart w:id="6" w:name="_bookmark7"/>
      <w:bookmarkEnd w:id="6"/>
      <w:bookmarkStart w:id="7" w:name="_Toc22401"/>
      <w:r>
        <w:rPr>
          <w:rFonts w:hint="eastAsia" w:asciiTheme="minorEastAsia" w:hAnsiTheme="minorEastAsia" w:eastAsiaTheme="minorEastAsia" w:cstheme="minorEastAsia"/>
          <w:color w:val="auto"/>
          <w:spacing w:val="6"/>
          <w:sz w:val="24"/>
          <w:szCs w:val="24"/>
        </w:rPr>
        <w:t>附录</w:t>
      </w:r>
      <w:r>
        <w:rPr>
          <w:rFonts w:hint="eastAsia" w:asciiTheme="minorEastAsia" w:hAnsiTheme="minorEastAsia" w:eastAsiaTheme="minorEastAsia" w:cstheme="minorEastAsia"/>
          <w:color w:val="auto"/>
          <w:spacing w:val="-13"/>
          <w:sz w:val="24"/>
          <w:szCs w:val="24"/>
        </w:rPr>
        <w:t xml:space="preserve"> </w:t>
      </w:r>
      <w:r>
        <w:rPr>
          <w:rFonts w:hint="eastAsia" w:asciiTheme="minorEastAsia" w:hAnsiTheme="minorEastAsia" w:eastAsiaTheme="minorEastAsia" w:cstheme="minorEastAsia"/>
          <w:color w:val="auto"/>
          <w:spacing w:val="6"/>
          <w:sz w:val="24"/>
          <w:szCs w:val="24"/>
        </w:rPr>
        <w:t>5</w:t>
      </w:r>
      <w:r>
        <w:rPr>
          <w:rFonts w:hint="eastAsia" w:asciiTheme="minorEastAsia" w:hAnsiTheme="minorEastAsia" w:eastAsiaTheme="minorEastAsia" w:cstheme="minorEastAsia"/>
          <w:color w:val="auto"/>
          <w:spacing w:val="-14"/>
          <w:sz w:val="24"/>
          <w:szCs w:val="24"/>
        </w:rPr>
        <w:t xml:space="preserve"> </w:t>
      </w:r>
      <w:r>
        <w:rPr>
          <w:rFonts w:hint="eastAsia" w:asciiTheme="minorEastAsia" w:hAnsiTheme="minorEastAsia" w:eastAsiaTheme="minorEastAsia" w:cstheme="minorEastAsia"/>
          <w:color w:val="auto"/>
          <w:spacing w:val="6"/>
          <w:sz w:val="24"/>
          <w:szCs w:val="24"/>
        </w:rPr>
        <w:t>资格审查条件(项目经理和项目总工最低要求)</w:t>
      </w:r>
      <w:bookmarkEnd w:id="7"/>
    </w:p>
    <w:p>
      <w:pPr>
        <w:rPr>
          <w:rFonts w:hint="eastAsia" w:asciiTheme="minorEastAsia" w:hAnsiTheme="minorEastAsia" w:eastAsiaTheme="minorEastAsia" w:cstheme="minorEastAsia"/>
          <w:color w:val="auto"/>
          <w:sz w:val="24"/>
          <w:szCs w:val="24"/>
        </w:rPr>
      </w:pPr>
    </w:p>
    <w:p>
      <w:pPr>
        <w:spacing w:line="192" w:lineRule="exact"/>
        <w:rPr>
          <w:rFonts w:hint="eastAsia" w:asciiTheme="minorEastAsia" w:hAnsiTheme="minorEastAsia" w:eastAsiaTheme="minorEastAsia" w:cstheme="minorEastAsia"/>
          <w:color w:val="auto"/>
          <w:sz w:val="24"/>
          <w:szCs w:val="24"/>
        </w:rPr>
      </w:pPr>
    </w:p>
    <w:tbl>
      <w:tblPr>
        <w:tblStyle w:val="9"/>
        <w:tblW w:w="95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6"/>
        <w:gridCol w:w="869"/>
        <w:gridCol w:w="5084"/>
        <w:gridCol w:w="24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7" w:hRule="atLeast"/>
          <w:jc w:val="center"/>
        </w:trPr>
        <w:tc>
          <w:tcPr>
            <w:tcW w:w="1146" w:type="dxa"/>
            <w:noWrap w:val="0"/>
            <w:vAlign w:val="center"/>
          </w:tcPr>
          <w:p>
            <w:pPr>
              <w:spacing w:before="16" w:line="189"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人员</w:t>
            </w:r>
          </w:p>
        </w:tc>
        <w:tc>
          <w:tcPr>
            <w:tcW w:w="869" w:type="dxa"/>
            <w:noWrap w:val="0"/>
            <w:vAlign w:val="center"/>
          </w:tcPr>
          <w:p>
            <w:pPr>
              <w:spacing w:before="16" w:line="189"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数量</w:t>
            </w:r>
          </w:p>
        </w:tc>
        <w:tc>
          <w:tcPr>
            <w:tcW w:w="5084" w:type="dxa"/>
            <w:noWrap w:val="0"/>
            <w:vAlign w:val="center"/>
          </w:tcPr>
          <w:p>
            <w:pPr>
              <w:spacing w:before="16" w:line="189"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资格要求</w:t>
            </w:r>
          </w:p>
        </w:tc>
        <w:tc>
          <w:tcPr>
            <w:tcW w:w="2407" w:type="dxa"/>
            <w:noWrap w:val="0"/>
            <w:vAlign w:val="center"/>
          </w:tcPr>
          <w:p>
            <w:pPr>
              <w:spacing w:before="16" w:line="189"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在岗要求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10" w:hRule="atLeast"/>
          <w:jc w:val="center"/>
        </w:trPr>
        <w:tc>
          <w:tcPr>
            <w:tcW w:w="1146" w:type="dxa"/>
            <w:noWrap w:val="0"/>
            <w:vAlign w:val="center"/>
          </w:tcPr>
          <w:p>
            <w:pPr>
              <w:spacing w:before="75" w:line="181"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项目经理</w:t>
            </w:r>
          </w:p>
        </w:tc>
        <w:tc>
          <w:tcPr>
            <w:tcW w:w="869" w:type="dxa"/>
            <w:noWrap w:val="0"/>
            <w:vAlign w:val="center"/>
          </w:tcPr>
          <w:p>
            <w:pPr>
              <w:spacing w:before="74" w:line="18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50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具有建筑工程相关专业中级及以上职称，并具有住建部颁发的建筑工程专业二级注册建造师证，持有交通运输主管部门或建设主管部门颁发的B类安全生产考核证书。近三年内 （指2020年4月28日至</w:t>
            </w:r>
            <w:r>
              <w:rPr>
                <w:rFonts w:hint="eastAsia" w:asciiTheme="minorEastAsia" w:hAnsiTheme="minorEastAsia" w:cstheme="minorEastAsia"/>
                <w:color w:val="auto"/>
                <w:sz w:val="24"/>
                <w:szCs w:val="24"/>
                <w:lang w:val="en-US" w:eastAsia="zh-CN"/>
              </w:rPr>
              <w:t>2023年5月22日</w:t>
            </w:r>
            <w:r>
              <w:rPr>
                <w:rFonts w:hint="eastAsia" w:asciiTheme="minorEastAsia" w:hAnsiTheme="minorEastAsia" w:eastAsiaTheme="minorEastAsia" w:cstheme="minorEastAsia"/>
                <w:color w:val="auto"/>
                <w:sz w:val="24"/>
                <w:szCs w:val="24"/>
                <w:lang w:val="en-US" w:eastAsia="zh-CN"/>
              </w:rPr>
              <w:t>，以交工日期为准），担任过房屋建筑工程（新建或改扩建）施工的项目经理（项目负责人）职务，业绩数量至少为1个（如为项目副经理职务业绩数量至少为2个）</w:t>
            </w:r>
          </w:p>
        </w:tc>
        <w:tc>
          <w:tcPr>
            <w:tcW w:w="2407" w:type="dxa"/>
            <w:vMerge w:val="restart"/>
            <w:tcBorders>
              <w:bottom w:val="nil"/>
            </w:tcBorders>
            <w:noWrap w:val="0"/>
            <w:vAlign w:val="center"/>
          </w:tcPr>
          <w:p>
            <w:pPr>
              <w:spacing w:before="74" w:line="304" w:lineRule="auto"/>
              <w:ind w:right="178"/>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无在岗项目是指：①目前未在其他项目上中标或任职；②在其他项目上中标或已任职，且中标或已任职项目的合同工期与本项目的工期重叠，但本项目中标后能够从该项目上撤离。则投标人必须在本次投标文件中提供</w:t>
            </w:r>
            <w:r>
              <w:rPr>
                <w:rFonts w:hint="eastAsia" w:asciiTheme="minorEastAsia" w:hAnsiTheme="minorEastAsia" w:cstheme="minorEastAsia"/>
                <w:color w:val="auto"/>
                <w:sz w:val="24"/>
                <w:szCs w:val="24"/>
                <w:lang w:eastAsia="zh-CN"/>
              </w:rPr>
              <w:t>由该项目发包人出具的、</w:t>
            </w:r>
            <w:r>
              <w:rPr>
                <w:rFonts w:hint="eastAsia" w:asciiTheme="minorEastAsia" w:hAnsiTheme="minorEastAsia" w:eastAsiaTheme="minorEastAsia" w:cstheme="minorEastAsia"/>
                <w:color w:val="auto"/>
                <w:sz w:val="24"/>
                <w:szCs w:val="24"/>
                <w:lang w:eastAsia="zh-CN"/>
              </w:rPr>
              <w:t>承诺上述人员能够从</w:t>
            </w:r>
            <w:r>
              <w:rPr>
                <w:rFonts w:hint="eastAsia" w:asciiTheme="minorEastAsia" w:hAnsiTheme="minorEastAsia" w:cstheme="minorEastAsia"/>
                <w:color w:val="auto"/>
                <w:sz w:val="24"/>
                <w:szCs w:val="24"/>
                <w:lang w:eastAsia="zh-CN"/>
              </w:rPr>
              <w:t>该项目</w:t>
            </w:r>
            <w:r>
              <w:rPr>
                <w:rFonts w:hint="eastAsia" w:asciiTheme="minorEastAsia" w:hAnsiTheme="minorEastAsia" w:eastAsiaTheme="minorEastAsia" w:cstheme="minorEastAsia"/>
                <w:color w:val="auto"/>
                <w:sz w:val="24"/>
                <w:szCs w:val="24"/>
                <w:lang w:eastAsia="zh-CN"/>
              </w:rPr>
              <w:t>撤离</w:t>
            </w:r>
            <w:r>
              <w:rPr>
                <w:rFonts w:hint="eastAsia" w:asciiTheme="minorEastAsia" w:hAnsiTheme="minorEastAsia" w:cstheme="minorEastAsia"/>
                <w:color w:val="auto"/>
                <w:sz w:val="24"/>
                <w:szCs w:val="24"/>
                <w:lang w:eastAsia="zh-CN"/>
              </w:rPr>
              <w:t>的书面承诺</w:t>
            </w:r>
            <w:r>
              <w:rPr>
                <w:rFonts w:hint="eastAsia" w:asciiTheme="minorEastAsia" w:hAnsiTheme="minorEastAsia" w:eastAsiaTheme="minorEastAsia" w:cstheme="minorEastAsia"/>
                <w:color w:val="auto"/>
                <w:sz w:val="24"/>
                <w:szCs w:val="24"/>
                <w:lang w:eastAsia="zh-CN"/>
              </w:rPr>
              <w:t>。未填写在岗要求或未提供承诺证明材料的，其资格审查不通过。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4" w:hRule="atLeast"/>
          <w:jc w:val="center"/>
        </w:trPr>
        <w:tc>
          <w:tcPr>
            <w:tcW w:w="1146" w:type="dxa"/>
            <w:noWrap w:val="0"/>
            <w:vAlign w:val="center"/>
          </w:tcPr>
          <w:p>
            <w:pPr>
              <w:spacing w:before="75" w:line="181"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项目总工</w:t>
            </w:r>
          </w:p>
        </w:tc>
        <w:tc>
          <w:tcPr>
            <w:tcW w:w="869" w:type="dxa"/>
            <w:noWrap w:val="0"/>
            <w:vAlign w:val="center"/>
          </w:tcPr>
          <w:p>
            <w:pPr>
              <w:spacing w:before="75" w:line="18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50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具有建筑工程相关专业中级及以上职称。近三年内（指2020年4月28日至</w:t>
            </w:r>
            <w:r>
              <w:rPr>
                <w:rFonts w:hint="eastAsia" w:asciiTheme="minorEastAsia" w:hAnsiTheme="minorEastAsia" w:cstheme="minorEastAsia"/>
                <w:color w:val="auto"/>
                <w:sz w:val="24"/>
                <w:szCs w:val="24"/>
                <w:lang w:val="en-US" w:eastAsia="zh-CN"/>
              </w:rPr>
              <w:t>2023年5月22日</w:t>
            </w:r>
            <w:r>
              <w:rPr>
                <w:rFonts w:hint="eastAsia" w:asciiTheme="minorEastAsia" w:hAnsiTheme="minorEastAsia" w:eastAsiaTheme="minorEastAsia" w:cstheme="minorEastAsia"/>
                <w:color w:val="auto"/>
                <w:sz w:val="24"/>
                <w:szCs w:val="24"/>
                <w:lang w:val="en-US" w:eastAsia="zh-CN"/>
              </w:rPr>
              <w:t>，以交工日期为准），担任过房屋建筑工程（新建或改扩建）施工的项目总工（技术负责人）职务，业绩数量至少为1个（如为项目副总工职务业绩数量至少为 2个）。</w:t>
            </w:r>
          </w:p>
        </w:tc>
        <w:tc>
          <w:tcPr>
            <w:tcW w:w="2407" w:type="dxa"/>
            <w:vMerge w:val="continue"/>
            <w:tcBorders>
              <w:top w:val="nil"/>
            </w:tcBorders>
            <w:noWrap w:val="0"/>
            <w:vAlign w:val="top"/>
          </w:tcPr>
          <w:p>
            <w:pPr>
              <w:rPr>
                <w:rFonts w:hint="eastAsia" w:asciiTheme="minorEastAsia" w:hAnsiTheme="minorEastAsia" w:eastAsiaTheme="minorEastAsia" w:cstheme="minorEastAsia"/>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34" w:hRule="atLeast"/>
          <w:jc w:val="center"/>
        </w:trPr>
        <w:tc>
          <w:tcPr>
            <w:tcW w:w="9506" w:type="dxa"/>
            <w:gridSpan w:val="4"/>
            <w:noWrap w:val="0"/>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注：</w:t>
            </w:r>
          </w:p>
          <w:p>
            <w:pPr>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修改补充投标人须知正文第3.5.5项：</w:t>
            </w:r>
          </w:p>
          <w:p>
            <w:pPr>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（1）投标人应按资格审查资料表（六）拟委任的项目经理和项目总工资历表的格式要求分别填写项目经理和项目总工（技术负责人）的资历，还应后附相关资格证明材料的彩色扫描件。</w:t>
            </w:r>
          </w:p>
          <w:p>
            <w:pPr>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项目经理须提供的资格证明材料：身份证、职称资格证书、建造师注册证书、安全生产考核合格证书、建造师注册证书及安全生产考核合格证书在政府相关部门网站上公开信息的网页截图、投标人所属社保机构出具的202</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lang w:eastAsia="zh-CN"/>
              </w:rPr>
              <w:t>月至今任意连续3个月社保缴费证明或其他能够证明参加社保的有效证明材料（</w:t>
            </w:r>
            <w:r>
              <w:rPr>
                <w:rFonts w:hint="eastAsia" w:asciiTheme="minorEastAsia" w:hAnsiTheme="minorEastAsia" w:eastAsiaTheme="minorEastAsia" w:cstheme="minorEastAsia"/>
                <w:color w:val="auto"/>
                <w:sz w:val="24"/>
                <w:szCs w:val="24"/>
                <w:highlight w:val="none"/>
                <w:lang w:val="en-US" w:eastAsia="zh-CN"/>
              </w:rPr>
              <w:t>明确显示出已缴纳或已到账</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以及</w:t>
            </w:r>
            <w:r>
              <w:rPr>
                <w:rFonts w:hint="eastAsia" w:asciiTheme="minorEastAsia" w:hAnsiTheme="minorEastAsia" w:eastAsiaTheme="minorEastAsia" w:cstheme="minorEastAsia"/>
                <w:color w:val="auto"/>
                <w:sz w:val="24"/>
                <w:szCs w:val="24"/>
                <w:highlight w:val="none"/>
                <w:lang w:eastAsia="zh-CN"/>
              </w:rPr>
              <w:t>人员相关业绩的网页截图</w:t>
            </w:r>
            <w:r>
              <w:rPr>
                <w:rFonts w:hint="eastAsia" w:asciiTheme="minorEastAsia" w:hAnsiTheme="minorEastAsia" w:eastAsiaTheme="minorEastAsia" w:cstheme="minorEastAsia"/>
                <w:color w:val="auto"/>
                <w:sz w:val="24"/>
                <w:szCs w:val="24"/>
                <w:highlight w:val="none"/>
                <w:lang w:val="en-US" w:eastAsia="zh-CN"/>
              </w:rPr>
              <w:t>或相关证明材料彩色扫描件</w:t>
            </w:r>
            <w:r>
              <w:rPr>
                <w:rFonts w:hint="eastAsia" w:asciiTheme="minorEastAsia" w:hAnsiTheme="minorEastAsia" w:eastAsiaTheme="minorEastAsia" w:cstheme="minorEastAsia"/>
                <w:color w:val="auto"/>
                <w:sz w:val="24"/>
                <w:szCs w:val="24"/>
                <w:highlight w:val="none"/>
                <w:lang w:eastAsia="zh-CN"/>
              </w:rPr>
              <w:t>、在岗撤离承诺书（如需、格式自拟）。</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（3）项目总工（技术负责人）须提供的资格证明材料：身份证、职称资格证书、投标人所属社保机构出具的202</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lang w:eastAsia="zh-CN"/>
              </w:rPr>
              <w:t>月至今任意连续3个月社保缴费证明或其他能够证明参加社保的有效证明材料</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明确显示出已缴纳或已到账</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以及</w:t>
            </w:r>
            <w:r>
              <w:rPr>
                <w:rFonts w:hint="eastAsia" w:asciiTheme="minorEastAsia" w:hAnsiTheme="minorEastAsia" w:eastAsiaTheme="minorEastAsia" w:cstheme="minorEastAsia"/>
                <w:color w:val="auto"/>
                <w:sz w:val="24"/>
                <w:szCs w:val="24"/>
                <w:highlight w:val="none"/>
                <w:lang w:eastAsia="zh-CN"/>
              </w:rPr>
              <w:t>相关业绩的网页截图</w:t>
            </w:r>
            <w:r>
              <w:rPr>
                <w:rFonts w:hint="eastAsia" w:asciiTheme="minorEastAsia" w:hAnsiTheme="minorEastAsia" w:eastAsiaTheme="minorEastAsia" w:cstheme="minorEastAsia"/>
                <w:color w:val="auto"/>
                <w:sz w:val="24"/>
                <w:szCs w:val="24"/>
                <w:highlight w:val="none"/>
                <w:lang w:val="en-US" w:eastAsia="zh-CN"/>
              </w:rPr>
              <w:t>或相关证明材料彩色扫描件</w:t>
            </w:r>
            <w:r>
              <w:rPr>
                <w:rFonts w:hint="eastAsia" w:asciiTheme="minorEastAsia" w:hAnsiTheme="minorEastAsia" w:eastAsiaTheme="minorEastAsia" w:cstheme="minorEastAsia"/>
                <w:color w:val="auto"/>
                <w:sz w:val="24"/>
                <w:szCs w:val="24"/>
                <w:highlight w:val="none"/>
                <w:lang w:eastAsia="zh-CN"/>
              </w:rPr>
              <w:t>、在岗撤离承诺书（如需、格式自拟）。</w:t>
            </w:r>
          </w:p>
          <w:p>
            <w:pPr>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项目经理和项目总工（技术负责人）其他要求：必须是在投标人单位参加社会保险的全日制从业人员；注册建造师证书注册的单位必须为投标人，社保缴费单位与投标人名称必须一致；所有证件需清楚地反映有效期、年检情况及单位变更情况信息（如有）；所附人员的各类证书、证照以及各种证明材料中该人员的姓名应完全一致（除曾用名）。</w:t>
            </w:r>
          </w:p>
          <w:p>
            <w:pPr>
              <w:bidi w:val="0"/>
              <w:spacing w:line="360" w:lineRule="auto"/>
              <w:jc w:val="both"/>
              <w:rPr>
                <w:rFonts w:hint="eastAsia" w:asciiTheme="minorEastAsia" w:hAnsiTheme="minorEastAsia" w:eastAsiaTheme="minorEastAsia" w:cstheme="minorEastAsia"/>
                <w:snapToGrid w:val="0"/>
                <w:color w:val="auto"/>
                <w:kern w:val="0"/>
                <w:sz w:val="24"/>
                <w:szCs w:val="24"/>
                <w:highlight w:val="none"/>
                <w:lang w:eastAsia="zh-CN"/>
              </w:rPr>
            </w:pPr>
            <w:r>
              <w:rPr>
                <w:rFonts w:hint="eastAsia" w:asciiTheme="minorEastAsia" w:hAnsiTheme="minorEastAsia" w:eastAsiaTheme="minorEastAsia" w:cstheme="minorEastAsia"/>
                <w:snapToGrid w:val="0"/>
                <w:color w:val="auto"/>
                <w:kern w:val="0"/>
                <w:sz w:val="24"/>
                <w:szCs w:val="24"/>
                <w:highlight w:val="none"/>
                <w:lang w:eastAsia="zh-CN"/>
              </w:rPr>
              <w:t>（5）“拟委任的项目经理和项目总工资历表”还应附</w:t>
            </w:r>
            <w:r>
              <w:rPr>
                <w:rFonts w:hint="eastAsia" w:asciiTheme="minorEastAsia" w:hAnsiTheme="minorEastAsia" w:eastAsiaTheme="minorEastAsia" w:cstheme="minorEastAsia"/>
                <w:color w:val="auto"/>
                <w:kern w:val="0"/>
                <w:sz w:val="24"/>
                <w:szCs w:val="24"/>
                <w:lang w:val="en-US" w:eastAsia="zh-CN" w:bidi="ar"/>
              </w:rPr>
              <w:t>在交通运输部“全国公路建设市场信用信息管理系统”或住房和城乡建设部“全国建筑市场监管公共服务平台”中查询到的企业“业绩信息”相关项目网页截图，即包括“项目名称”“项目类型”“合同价”“建筑面积”“建设规模”“人员信息”“交（竣）工验收”等栏目在内的项目详细信息网页截图。在交通运输部“全国公路建设市场信用信息管理系统”或住房和城乡建设部“全国建筑市场监管公共服务平台”中无法查询的，应附项目所在地省级交通运输主管部门“公路建设市场信用信息管理系统”或项目所在地省级住建主管部门网站“建筑市场监管服务系统”中查询到的网页截图。若无法提供以上网站的网查业绩，须提供</w:t>
            </w:r>
            <w:r>
              <w:rPr>
                <w:rFonts w:hint="eastAsia" w:asciiTheme="minorEastAsia" w:hAnsiTheme="minorEastAsia" w:eastAsiaTheme="minorEastAsia" w:cstheme="minorEastAsia"/>
                <w:snapToGrid w:val="0"/>
                <w:color w:val="auto"/>
                <w:kern w:val="0"/>
                <w:sz w:val="24"/>
                <w:szCs w:val="24"/>
                <w:highlight w:val="none"/>
                <w:lang w:eastAsia="zh-CN"/>
              </w:rPr>
              <w:t>相关业绩的证明资料扫描件（</w:t>
            </w:r>
            <w:r>
              <w:rPr>
                <w:rFonts w:hint="eastAsia" w:asciiTheme="minorEastAsia" w:hAnsiTheme="minorEastAsia" w:eastAsiaTheme="minorEastAsia" w:cstheme="minorEastAsia"/>
                <w:b/>
                <w:bCs/>
                <w:snapToGrid w:val="0"/>
                <w:color w:val="auto"/>
                <w:kern w:val="0"/>
                <w:sz w:val="24"/>
                <w:szCs w:val="24"/>
                <w:highlight w:val="none"/>
                <w:lang w:eastAsia="zh-CN"/>
              </w:rPr>
              <w:t>中标通知书（必须有）、合同协议书（必须有），以及交（竣）工验收证明材料或项目竣工备案登记表（二选一）的彩色扫描件</w:t>
            </w:r>
            <w:r>
              <w:rPr>
                <w:rFonts w:hint="eastAsia" w:asciiTheme="minorEastAsia" w:hAnsiTheme="minorEastAsia" w:eastAsiaTheme="minorEastAsia" w:cstheme="minorEastAsia"/>
                <w:snapToGrid w:val="0"/>
                <w:color w:val="auto"/>
                <w:kern w:val="0"/>
                <w:sz w:val="24"/>
                <w:szCs w:val="24"/>
                <w:highlight w:val="none"/>
                <w:lang w:eastAsia="zh-CN"/>
              </w:rPr>
              <w:t>）。如投标人提供相关业绩证明资料信息无法证实投标人满足招标文件规定的资格审查条件(项目经理和项目总工最低要求)，则该项目业绩不予认定。其他要求同《公路工程标准施工招标文件》(2018年版)。</w:t>
            </w:r>
          </w:p>
          <w:p>
            <w:pPr>
              <w:bidi w:val="0"/>
              <w:spacing w:line="360" w:lineRule="auto"/>
              <w:jc w:val="both"/>
              <w:rPr>
                <w:rFonts w:hint="eastAsia" w:asciiTheme="minorEastAsia" w:hAnsiTheme="minorEastAsia" w:eastAsiaTheme="minorEastAsia" w:cstheme="minorEastAsia"/>
                <w:snapToGrid w:val="0"/>
                <w:color w:val="auto"/>
                <w:kern w:val="0"/>
                <w:sz w:val="24"/>
                <w:szCs w:val="24"/>
                <w:highlight w:val="none"/>
                <w:lang w:eastAsia="zh-CN"/>
              </w:rPr>
            </w:pPr>
            <w:r>
              <w:rPr>
                <w:rFonts w:hint="eastAsia" w:asciiTheme="minorEastAsia" w:hAnsiTheme="minorEastAsia" w:eastAsiaTheme="minorEastAsia" w:cstheme="minorEastAsia"/>
                <w:snapToGrid w:val="0"/>
                <w:color w:val="auto"/>
                <w:kern w:val="0"/>
                <w:sz w:val="24"/>
                <w:szCs w:val="24"/>
                <w:highlight w:val="none"/>
                <w:lang w:eastAsia="zh-CN"/>
              </w:rPr>
              <w:t>（</w:t>
            </w:r>
            <w:r>
              <w:rPr>
                <w:rFonts w:hint="eastAsia" w:asciiTheme="minorEastAsia" w:hAnsiTheme="minorEastAsia" w:eastAsiaTheme="minorEastAsia" w:cstheme="minorEastAsia"/>
                <w:snapToGrid w:val="0"/>
                <w:color w:val="auto"/>
                <w:kern w:val="0"/>
                <w:sz w:val="24"/>
                <w:szCs w:val="24"/>
                <w:highlight w:val="none"/>
                <w:lang w:val="en-US" w:eastAsia="zh-CN"/>
              </w:rPr>
              <w:t>6</w:t>
            </w:r>
            <w:r>
              <w:rPr>
                <w:rFonts w:hint="eastAsia" w:asciiTheme="minorEastAsia" w:hAnsiTheme="minorEastAsia" w:eastAsiaTheme="minorEastAsia" w:cstheme="minorEastAsia"/>
                <w:snapToGrid w:val="0"/>
                <w:color w:val="auto"/>
                <w:kern w:val="0"/>
                <w:sz w:val="24"/>
                <w:szCs w:val="24"/>
                <w:highlight w:val="none"/>
                <w:lang w:eastAsia="zh-CN"/>
              </w:rPr>
              <w:t>）在评审过程中招标人将通过网上核实投标人所提供的网页截图的内容、建造师注册证书、安全生产考核合格证书等相关信息，核实后如发现投标人提供的网页截图、信息与招标人核实的内容不一致的，或投标人提供虚假截屏信息的，招标人将视为该投标文件不符合招标文件的规定，在资格评审中不予通过。</w:t>
            </w:r>
          </w:p>
          <w:p>
            <w:pPr>
              <w:bidi w:val="0"/>
              <w:spacing w:line="360" w:lineRule="auto"/>
              <w:jc w:val="both"/>
              <w:rPr>
                <w:rFonts w:hint="eastAsia" w:asciiTheme="minorEastAsia" w:hAnsiTheme="minorEastAsia" w:eastAsiaTheme="minorEastAsia" w:cstheme="minorEastAsia"/>
                <w:snapToGrid w:val="0"/>
                <w:color w:val="auto"/>
                <w:kern w:val="0"/>
                <w:sz w:val="24"/>
                <w:szCs w:val="24"/>
                <w:highlight w:val="none"/>
                <w:lang w:eastAsia="zh-CN"/>
              </w:rPr>
            </w:pPr>
            <w:r>
              <w:rPr>
                <w:rFonts w:hint="eastAsia" w:asciiTheme="minorEastAsia" w:hAnsiTheme="minorEastAsia" w:eastAsiaTheme="minorEastAsia" w:cstheme="minorEastAsia"/>
                <w:snapToGrid w:val="0"/>
                <w:color w:val="auto"/>
                <w:kern w:val="0"/>
                <w:sz w:val="24"/>
                <w:szCs w:val="24"/>
                <w:highlight w:val="none"/>
                <w:lang w:eastAsia="zh-CN"/>
              </w:rPr>
              <w:t>（</w:t>
            </w:r>
            <w:r>
              <w:rPr>
                <w:rFonts w:hint="eastAsia" w:asciiTheme="minorEastAsia" w:hAnsiTheme="minorEastAsia" w:eastAsiaTheme="minorEastAsia" w:cstheme="minorEastAsia"/>
                <w:snapToGrid w:val="0"/>
                <w:color w:val="auto"/>
                <w:kern w:val="0"/>
                <w:sz w:val="24"/>
                <w:szCs w:val="24"/>
                <w:highlight w:val="none"/>
                <w:lang w:val="en-US" w:eastAsia="zh-CN"/>
              </w:rPr>
              <w:t>7</w:t>
            </w:r>
            <w:r>
              <w:rPr>
                <w:rFonts w:hint="eastAsia" w:asciiTheme="minorEastAsia" w:hAnsiTheme="minorEastAsia" w:eastAsiaTheme="minorEastAsia" w:cstheme="minorEastAsia"/>
                <w:snapToGrid w:val="0"/>
                <w:color w:val="auto"/>
                <w:kern w:val="0"/>
                <w:sz w:val="24"/>
                <w:szCs w:val="24"/>
                <w:highlight w:val="none"/>
                <w:lang w:eastAsia="zh-CN"/>
              </w:rPr>
              <w:t>）投标人对投标文件中拟委任的项目经理、项目总工是否在岗必须如实填报，在评标过程中或公示期间，若招标人收到有关反映投标人项目经理、项目总工有在岗项目的投诉，招标人一经查实将认定为失信投标行为，取消其中标资格，按照交通运输部关于修订《公路施工企业信用评价规则（试行）》的通知（交公路规〔2021〕4号）或宁夏交通运输厅关于印发《宁夏回族自治区公路建设与养护市场信用评价管理办法（试行）》的通知（宁交规发〔2021〕5号）相关规定进行信用等级评价， 同时将评价结果上报宁夏交通运输厅，并在交通运输厅网站予以公布。</w:t>
            </w:r>
          </w:p>
          <w:p>
            <w:pPr>
              <w:bidi w:val="0"/>
              <w:spacing w:line="360" w:lineRule="auto"/>
              <w:jc w:val="both"/>
              <w:rPr>
                <w:rFonts w:hint="eastAsia" w:asciiTheme="minorEastAsia" w:hAnsiTheme="minorEastAsia" w:eastAsiaTheme="minorEastAsia" w:cstheme="minorEastAsia"/>
                <w:snapToGrid w:val="0"/>
                <w:color w:val="auto"/>
                <w:kern w:val="0"/>
                <w:sz w:val="24"/>
                <w:szCs w:val="24"/>
                <w:highlight w:val="none"/>
                <w:lang w:eastAsia="zh-CN"/>
              </w:rPr>
            </w:pPr>
            <w:r>
              <w:rPr>
                <w:rFonts w:hint="eastAsia" w:asciiTheme="minorEastAsia" w:hAnsiTheme="minorEastAsia" w:eastAsiaTheme="minorEastAsia" w:cstheme="minorEastAsia"/>
                <w:snapToGrid w:val="0"/>
                <w:color w:val="auto"/>
                <w:kern w:val="0"/>
                <w:sz w:val="24"/>
                <w:szCs w:val="24"/>
                <w:highlight w:val="none"/>
                <w:lang w:eastAsia="zh-CN"/>
              </w:rPr>
              <w:t>（</w:t>
            </w:r>
            <w:r>
              <w:rPr>
                <w:rFonts w:hint="eastAsia" w:asciiTheme="minorEastAsia" w:hAnsiTheme="minorEastAsia" w:eastAsiaTheme="minorEastAsia" w:cstheme="minorEastAsia"/>
                <w:snapToGrid w:val="0"/>
                <w:color w:val="auto"/>
                <w:kern w:val="0"/>
                <w:sz w:val="24"/>
                <w:szCs w:val="24"/>
                <w:highlight w:val="none"/>
                <w:lang w:val="en-US" w:eastAsia="zh-CN"/>
              </w:rPr>
              <w:t>8</w:t>
            </w:r>
            <w:r>
              <w:rPr>
                <w:rFonts w:hint="eastAsia" w:asciiTheme="minorEastAsia" w:hAnsiTheme="minorEastAsia" w:eastAsiaTheme="minorEastAsia" w:cstheme="minorEastAsia"/>
                <w:snapToGrid w:val="0"/>
                <w:color w:val="auto"/>
                <w:kern w:val="0"/>
                <w:sz w:val="24"/>
                <w:szCs w:val="24"/>
                <w:highlight w:val="none"/>
                <w:lang w:eastAsia="zh-CN"/>
              </w:rPr>
              <w:t>）投标人对其递交投标文件中所有证明材料的真实性负责，若招标人收到反映投标人提供了虚假材料、不实信息或隐瞒招标文件要求填报的信息方面等的投诉，招标人一经查实将不予退还投标保证金，并认定为失信投标行为(如中标同时取消其中标资格)，并依据《宁夏回族自治区公路建设与养护市场信用评价管理办法(试行)》(宁交规发(2021〕5号)文件对投标人本次投标行为进行评价，同时将评价结果上报宁夏交通运输厅，并在宁夏交通运输厅网站予以公布。其他要求同《公路工程标准施工招标文件》(2018年版)。</w:t>
            </w:r>
          </w:p>
          <w:p>
            <w:pPr>
              <w:bidi w:val="0"/>
              <w:spacing w:line="360" w:lineRule="auto"/>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napToGrid w:val="0"/>
                <w:color w:val="auto"/>
                <w:kern w:val="0"/>
                <w:sz w:val="24"/>
                <w:szCs w:val="24"/>
                <w:highlight w:val="none"/>
                <w:lang w:eastAsia="zh-CN"/>
              </w:rPr>
              <w:t>（</w:t>
            </w:r>
            <w:r>
              <w:rPr>
                <w:rFonts w:hint="eastAsia" w:asciiTheme="minorEastAsia" w:hAnsiTheme="minorEastAsia" w:eastAsiaTheme="minorEastAsia" w:cstheme="minorEastAsia"/>
                <w:snapToGrid w:val="0"/>
                <w:color w:val="auto"/>
                <w:kern w:val="0"/>
                <w:sz w:val="24"/>
                <w:szCs w:val="24"/>
                <w:highlight w:val="none"/>
                <w:lang w:val="en-US" w:eastAsia="zh-CN"/>
              </w:rPr>
              <w:t>9</w:t>
            </w:r>
            <w:r>
              <w:rPr>
                <w:rFonts w:hint="eastAsia" w:asciiTheme="minorEastAsia" w:hAnsiTheme="minorEastAsia" w:eastAsiaTheme="minorEastAsia" w:cstheme="minorEastAsia"/>
                <w:snapToGrid w:val="0"/>
                <w:color w:val="auto"/>
                <w:kern w:val="0"/>
                <w:sz w:val="24"/>
                <w:szCs w:val="24"/>
                <w:highlight w:val="none"/>
                <w:lang w:eastAsia="zh-CN"/>
              </w:rPr>
              <w:t>）招标文件中其他地方与此处不一致时，以此处为准。</w:t>
            </w:r>
          </w:p>
        </w:tc>
      </w:tr>
    </w:tbl>
    <w:p>
      <w:pPr>
        <w:keepNext w:val="0"/>
        <w:keepLines w:val="0"/>
        <w:widowControl/>
        <w:numPr>
          <w:ilvl w:val="0"/>
          <w:numId w:val="0"/>
        </w:numPr>
        <w:suppressLineNumbers w:val="0"/>
        <w:spacing w:line="360" w:lineRule="auto"/>
        <w:ind w:leftChars="-95" w:right="-168" w:rightChars="-80"/>
        <w:jc w:val="both"/>
        <w:outlineLvl w:val="9"/>
        <w:rPr>
          <w:rFonts w:hint="eastAsia" w:ascii="宋体" w:hAnsi="宋体" w:eastAsia="宋体" w:cs="宋体"/>
          <w:b/>
          <w:bCs/>
          <w:color w:val="000000"/>
          <w:kern w:val="0"/>
          <w:sz w:val="32"/>
          <w:szCs w:val="32"/>
          <w:lang w:val="en-US" w:eastAsia="zh-CN" w:bidi="ar"/>
        </w:rPr>
      </w:pPr>
    </w:p>
    <w:p>
      <w:pPr>
        <w:keepNext w:val="0"/>
        <w:keepLines w:val="0"/>
        <w:widowControl/>
        <w:numPr>
          <w:ilvl w:val="0"/>
          <w:numId w:val="0"/>
        </w:numPr>
        <w:suppressLineNumbers w:val="0"/>
        <w:spacing w:line="360" w:lineRule="auto"/>
        <w:ind w:leftChars="-95" w:right="-168" w:rightChars="-80"/>
        <w:jc w:val="both"/>
        <w:outlineLvl w:val="0"/>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四、评标办法全文</w:t>
      </w:r>
    </w:p>
    <w:p>
      <w:pPr>
        <w:pStyle w:val="6"/>
        <w:rPr>
          <w:rFonts w:hint="eastAsia"/>
          <w:lang w:val="en-US" w:eastAsia="zh-CN"/>
        </w:rPr>
      </w:pPr>
    </w:p>
    <w:p>
      <w:pPr>
        <w:spacing w:line="240" w:lineRule="auto"/>
        <w:ind w:firstLine="122"/>
        <w:jc w:val="center"/>
        <w:outlineLvl w:val="2"/>
        <w:rPr>
          <w:rFonts w:ascii="宋体" w:hAnsi="宋体" w:eastAsia="宋体" w:cs="宋体"/>
          <w:sz w:val="14"/>
          <w:szCs w:val="14"/>
        </w:rPr>
      </w:pPr>
      <w:bookmarkStart w:id="8" w:name="_Toc29314"/>
      <w:bookmarkStart w:id="9" w:name="_Toc3189"/>
      <w:r>
        <w:rPr>
          <w:rFonts w:ascii="黑体" w:hAnsi="黑体" w:eastAsia="黑体" w:cs="黑体"/>
          <w:spacing w:val="-1"/>
          <w:sz w:val="28"/>
          <w:szCs w:val="28"/>
        </w:rPr>
        <w:t>评标办法前附表</w:t>
      </w:r>
      <w:bookmarkEnd w:id="8"/>
      <w:bookmarkEnd w:id="9"/>
    </w:p>
    <w:p/>
    <w:p>
      <w:pPr>
        <w:spacing w:line="19" w:lineRule="exact"/>
      </w:pPr>
    </w:p>
    <w:tbl>
      <w:tblPr>
        <w:tblStyle w:val="9"/>
        <w:tblW w:w="889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3"/>
        <w:gridCol w:w="1501"/>
        <w:gridCol w:w="63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jc w:val="center"/>
        </w:trPr>
        <w:tc>
          <w:tcPr>
            <w:tcW w:w="2514" w:type="dxa"/>
            <w:gridSpan w:val="2"/>
            <w:noWrap w:val="0"/>
            <w:vAlign w:val="top"/>
          </w:tcPr>
          <w:p>
            <w:pPr>
              <w:spacing w:before="122" w:line="186" w:lineRule="auto"/>
              <w:ind w:firstLine="688"/>
              <w:rPr>
                <w:rFonts w:hint="eastAsia" w:ascii="宋体" w:hAnsi="宋体" w:eastAsia="宋体" w:cs="宋体"/>
                <w:sz w:val="21"/>
                <w:szCs w:val="21"/>
              </w:rPr>
            </w:pPr>
            <w:r>
              <w:rPr>
                <w:rFonts w:hint="eastAsia" w:ascii="宋体" w:hAnsi="宋体" w:eastAsia="宋体" w:cs="宋体"/>
                <w:spacing w:val="-2"/>
                <w:sz w:val="21"/>
                <w:szCs w:val="21"/>
              </w:rPr>
              <w:t>条款号</w:t>
            </w:r>
          </w:p>
        </w:tc>
        <w:tc>
          <w:tcPr>
            <w:tcW w:w="6384" w:type="dxa"/>
            <w:noWrap w:val="0"/>
            <w:vAlign w:val="top"/>
          </w:tcPr>
          <w:p>
            <w:pPr>
              <w:spacing w:before="122" w:line="186" w:lineRule="auto"/>
              <w:ind w:firstLine="2502"/>
              <w:rPr>
                <w:rFonts w:hint="eastAsia" w:ascii="宋体" w:hAnsi="宋体" w:eastAsia="宋体" w:cs="宋体"/>
                <w:sz w:val="21"/>
                <w:szCs w:val="21"/>
              </w:rPr>
            </w:pPr>
            <w:r>
              <w:rPr>
                <w:rFonts w:hint="eastAsia" w:ascii="宋体" w:hAnsi="宋体" w:eastAsia="宋体" w:cs="宋体"/>
                <w:sz w:val="21"/>
                <w:szCs w:val="21"/>
              </w:rPr>
              <w:t>评审因素与评审标准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jc w:val="center"/>
        </w:trPr>
        <w:tc>
          <w:tcPr>
            <w:tcW w:w="1013" w:type="dxa"/>
            <w:noWrap w:val="0"/>
            <w:vAlign w:val="center"/>
          </w:tcPr>
          <w:p>
            <w:pPr>
              <w:spacing w:before="60"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501" w:type="dxa"/>
            <w:noWrap w:val="0"/>
            <w:vAlign w:val="center"/>
          </w:tcPr>
          <w:p>
            <w:pPr>
              <w:spacing w:before="69" w:line="240" w:lineRule="auto"/>
              <w:jc w:val="center"/>
              <w:rPr>
                <w:rFonts w:hint="eastAsia" w:ascii="宋体" w:hAnsi="宋体" w:eastAsia="宋体" w:cs="宋体"/>
                <w:color w:val="auto"/>
                <w:sz w:val="21"/>
                <w:szCs w:val="21"/>
              </w:rPr>
            </w:pPr>
            <w:r>
              <w:rPr>
                <w:rFonts w:hint="eastAsia" w:ascii="宋体" w:hAnsi="宋体" w:eastAsia="宋体" w:cs="宋体"/>
                <w:color w:val="auto"/>
                <w:spacing w:val="-1"/>
                <w:sz w:val="21"/>
                <w:szCs w:val="21"/>
              </w:rPr>
              <w:t>评标方法</w:t>
            </w:r>
          </w:p>
        </w:tc>
        <w:tc>
          <w:tcPr>
            <w:tcW w:w="6384" w:type="dxa"/>
            <w:noWrap w:val="0"/>
            <w:vAlign w:val="top"/>
          </w:tcPr>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评标价得分</w:t>
            </w:r>
            <w:r>
              <w:rPr>
                <w:rFonts w:hint="eastAsia" w:ascii="宋体" w:hAnsi="宋体" w:eastAsia="宋体" w:cs="宋体"/>
                <w:color w:val="auto"/>
                <w:sz w:val="21"/>
                <w:szCs w:val="21"/>
                <w:highlight w:val="none"/>
              </w:rPr>
              <w:t xml:space="preserve">相等时，评标委员会依次按照以下优先顺序推荐中标候选人或确定中标人：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（1）评标价低的投标人优先；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年度被宁夏交通运输厅评为较高信用等级的投标人优先：以《自治区交通运输厅关于公布202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年宁夏公路建设市场从业单位信用等级评价结果的通知》（宁交函[2022]130号）文件中的信用评价等级为准；</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由评标委员会根据施工组织设计的编制情况投票确定其推荐排序。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1013" w:type="dxa"/>
            <w:noWrap w:val="0"/>
            <w:vAlign w:val="top"/>
          </w:tcPr>
          <w:p>
            <w:pPr>
              <w:spacing w:line="250" w:lineRule="auto"/>
              <w:rPr>
                <w:rFonts w:hint="eastAsia" w:ascii="宋体" w:hAnsi="宋体" w:eastAsia="宋体" w:cs="宋体"/>
                <w:color w:val="auto"/>
                <w:sz w:val="21"/>
                <w:szCs w:val="21"/>
              </w:rPr>
            </w:pPr>
          </w:p>
          <w:p>
            <w:pPr>
              <w:spacing w:line="250" w:lineRule="auto"/>
              <w:rPr>
                <w:rFonts w:hint="eastAsia" w:ascii="宋体" w:hAnsi="宋体" w:eastAsia="宋体" w:cs="宋体"/>
                <w:color w:val="auto"/>
                <w:sz w:val="21"/>
                <w:szCs w:val="21"/>
              </w:rPr>
            </w:pPr>
          </w:p>
          <w:p>
            <w:pPr>
              <w:spacing w:line="250" w:lineRule="auto"/>
              <w:rPr>
                <w:rFonts w:hint="eastAsia" w:ascii="宋体" w:hAnsi="宋体" w:eastAsia="宋体" w:cs="宋体"/>
                <w:color w:val="auto"/>
                <w:sz w:val="21"/>
                <w:szCs w:val="21"/>
              </w:rPr>
            </w:pPr>
          </w:p>
          <w:p>
            <w:pPr>
              <w:spacing w:line="251" w:lineRule="auto"/>
              <w:rPr>
                <w:rFonts w:hint="eastAsia" w:ascii="宋体" w:hAnsi="宋体" w:eastAsia="宋体" w:cs="宋体"/>
                <w:color w:val="auto"/>
                <w:sz w:val="21"/>
                <w:szCs w:val="21"/>
              </w:rPr>
            </w:pPr>
          </w:p>
          <w:p>
            <w:pPr>
              <w:spacing w:line="251" w:lineRule="auto"/>
              <w:rPr>
                <w:rFonts w:hint="eastAsia" w:ascii="宋体" w:hAnsi="宋体" w:eastAsia="宋体" w:cs="宋体"/>
                <w:color w:val="auto"/>
                <w:sz w:val="21"/>
                <w:szCs w:val="21"/>
              </w:rPr>
            </w:pPr>
          </w:p>
          <w:p>
            <w:pPr>
              <w:spacing w:line="251" w:lineRule="auto"/>
              <w:rPr>
                <w:rFonts w:hint="eastAsia" w:ascii="宋体" w:hAnsi="宋体" w:eastAsia="宋体" w:cs="宋体"/>
                <w:color w:val="auto"/>
                <w:sz w:val="21"/>
                <w:szCs w:val="21"/>
              </w:rPr>
            </w:pPr>
          </w:p>
          <w:p>
            <w:pPr>
              <w:spacing w:line="251" w:lineRule="auto"/>
              <w:rPr>
                <w:rFonts w:hint="eastAsia" w:ascii="宋体" w:hAnsi="宋体" w:eastAsia="宋体" w:cs="宋体"/>
                <w:color w:val="auto"/>
                <w:sz w:val="21"/>
                <w:szCs w:val="21"/>
              </w:rPr>
            </w:pPr>
          </w:p>
          <w:p>
            <w:pPr>
              <w:spacing w:line="251" w:lineRule="auto"/>
              <w:rPr>
                <w:rFonts w:hint="eastAsia" w:ascii="宋体" w:hAnsi="宋体" w:eastAsia="宋体" w:cs="宋体"/>
                <w:color w:val="auto"/>
                <w:sz w:val="21"/>
                <w:szCs w:val="21"/>
              </w:rPr>
            </w:pPr>
          </w:p>
          <w:p>
            <w:pPr>
              <w:spacing w:line="251" w:lineRule="auto"/>
              <w:rPr>
                <w:rFonts w:hint="eastAsia" w:ascii="宋体" w:hAnsi="宋体" w:eastAsia="宋体" w:cs="宋体"/>
                <w:color w:val="auto"/>
                <w:sz w:val="21"/>
                <w:szCs w:val="21"/>
              </w:rPr>
            </w:pPr>
          </w:p>
          <w:p>
            <w:pPr>
              <w:spacing w:line="251" w:lineRule="auto"/>
              <w:rPr>
                <w:rFonts w:hint="eastAsia" w:ascii="宋体" w:hAnsi="宋体" w:eastAsia="宋体" w:cs="宋体"/>
                <w:color w:val="auto"/>
                <w:sz w:val="21"/>
                <w:szCs w:val="21"/>
              </w:rPr>
            </w:pPr>
          </w:p>
          <w:p>
            <w:pPr>
              <w:spacing w:line="251" w:lineRule="auto"/>
              <w:rPr>
                <w:rFonts w:hint="eastAsia" w:ascii="宋体" w:hAnsi="宋体" w:eastAsia="宋体" w:cs="宋体"/>
                <w:color w:val="auto"/>
                <w:sz w:val="21"/>
                <w:szCs w:val="21"/>
              </w:rPr>
            </w:pPr>
          </w:p>
          <w:p>
            <w:pPr>
              <w:spacing w:line="251" w:lineRule="auto"/>
              <w:rPr>
                <w:rFonts w:hint="eastAsia" w:ascii="宋体" w:hAnsi="宋体" w:eastAsia="宋体" w:cs="宋体"/>
                <w:color w:val="auto"/>
                <w:sz w:val="21"/>
                <w:szCs w:val="21"/>
              </w:rPr>
            </w:pPr>
          </w:p>
          <w:p>
            <w:pPr>
              <w:spacing w:line="251" w:lineRule="auto"/>
              <w:rPr>
                <w:rFonts w:hint="eastAsia" w:ascii="宋体" w:hAnsi="宋体" w:eastAsia="宋体" w:cs="宋体"/>
                <w:color w:val="auto"/>
                <w:sz w:val="21"/>
                <w:szCs w:val="21"/>
              </w:rPr>
            </w:pPr>
          </w:p>
          <w:p>
            <w:pPr>
              <w:spacing w:before="60" w:line="360" w:lineRule="exact"/>
              <w:ind w:firstLine="157"/>
              <w:rPr>
                <w:rFonts w:hint="eastAsia" w:ascii="宋体" w:hAnsi="宋体" w:eastAsia="宋体" w:cs="宋体"/>
                <w:color w:val="auto"/>
                <w:sz w:val="21"/>
                <w:szCs w:val="21"/>
              </w:rPr>
            </w:pPr>
            <w:r>
              <w:rPr>
                <w:rFonts w:hint="eastAsia" w:ascii="宋体" w:hAnsi="宋体" w:eastAsia="宋体" w:cs="宋体"/>
                <w:color w:val="auto"/>
                <w:spacing w:val="-1"/>
                <w:position w:val="13"/>
                <w:sz w:val="21"/>
                <w:szCs w:val="21"/>
              </w:rPr>
              <w:t>2.1.1</w:t>
            </w:r>
          </w:p>
          <w:p>
            <w:pPr>
              <w:spacing w:line="204" w:lineRule="auto"/>
              <w:ind w:firstLine="157"/>
              <w:rPr>
                <w:rFonts w:hint="eastAsia" w:ascii="宋体" w:hAnsi="宋体" w:eastAsia="宋体" w:cs="宋体"/>
                <w:color w:val="auto"/>
                <w:sz w:val="21"/>
                <w:szCs w:val="21"/>
              </w:rPr>
            </w:pPr>
          </w:p>
        </w:tc>
        <w:tc>
          <w:tcPr>
            <w:tcW w:w="1501" w:type="dxa"/>
            <w:noWrap w:val="0"/>
            <w:vAlign w:val="top"/>
          </w:tcPr>
          <w:p>
            <w:pPr>
              <w:spacing w:line="254" w:lineRule="auto"/>
              <w:rPr>
                <w:rFonts w:hint="eastAsia" w:ascii="宋体" w:hAnsi="宋体" w:eastAsia="宋体" w:cs="宋体"/>
                <w:color w:val="auto"/>
                <w:sz w:val="21"/>
                <w:szCs w:val="21"/>
              </w:rPr>
            </w:pPr>
          </w:p>
          <w:p>
            <w:pPr>
              <w:spacing w:line="254" w:lineRule="auto"/>
              <w:rPr>
                <w:rFonts w:hint="eastAsia" w:ascii="宋体" w:hAnsi="宋体" w:eastAsia="宋体" w:cs="宋体"/>
                <w:color w:val="auto"/>
                <w:sz w:val="21"/>
                <w:szCs w:val="21"/>
              </w:rPr>
            </w:pPr>
          </w:p>
          <w:p>
            <w:pPr>
              <w:spacing w:line="254" w:lineRule="auto"/>
              <w:rPr>
                <w:rFonts w:hint="eastAsia" w:ascii="宋体" w:hAnsi="宋体" w:eastAsia="宋体" w:cs="宋体"/>
                <w:color w:val="auto"/>
                <w:sz w:val="21"/>
                <w:szCs w:val="21"/>
              </w:rPr>
            </w:pPr>
          </w:p>
          <w:p>
            <w:pPr>
              <w:spacing w:line="254" w:lineRule="auto"/>
              <w:rPr>
                <w:rFonts w:hint="eastAsia" w:ascii="宋体" w:hAnsi="宋体" w:eastAsia="宋体" w:cs="宋体"/>
                <w:color w:val="auto"/>
                <w:sz w:val="21"/>
                <w:szCs w:val="21"/>
              </w:rPr>
            </w:pPr>
          </w:p>
          <w:p>
            <w:pPr>
              <w:spacing w:line="254" w:lineRule="auto"/>
              <w:rPr>
                <w:rFonts w:hint="eastAsia" w:ascii="宋体" w:hAnsi="宋体" w:eastAsia="宋体" w:cs="宋体"/>
                <w:color w:val="auto"/>
                <w:sz w:val="21"/>
                <w:szCs w:val="21"/>
              </w:rPr>
            </w:pPr>
          </w:p>
          <w:p>
            <w:pPr>
              <w:spacing w:line="254" w:lineRule="auto"/>
              <w:rPr>
                <w:rFonts w:hint="eastAsia" w:ascii="宋体" w:hAnsi="宋体" w:eastAsia="宋体" w:cs="宋体"/>
                <w:color w:val="auto"/>
                <w:sz w:val="21"/>
                <w:szCs w:val="21"/>
              </w:rPr>
            </w:pPr>
          </w:p>
          <w:p>
            <w:pPr>
              <w:spacing w:line="254" w:lineRule="auto"/>
              <w:rPr>
                <w:rFonts w:hint="eastAsia" w:ascii="宋体" w:hAnsi="宋体" w:eastAsia="宋体" w:cs="宋体"/>
                <w:color w:val="auto"/>
                <w:sz w:val="21"/>
                <w:szCs w:val="21"/>
              </w:rPr>
            </w:pPr>
          </w:p>
          <w:p>
            <w:pPr>
              <w:spacing w:line="255" w:lineRule="auto"/>
              <w:rPr>
                <w:rFonts w:hint="eastAsia" w:ascii="宋体" w:hAnsi="宋体" w:eastAsia="宋体" w:cs="宋体"/>
                <w:color w:val="auto"/>
                <w:sz w:val="21"/>
                <w:szCs w:val="21"/>
              </w:rPr>
            </w:pPr>
          </w:p>
          <w:p>
            <w:pPr>
              <w:spacing w:line="255" w:lineRule="auto"/>
              <w:rPr>
                <w:rFonts w:hint="eastAsia" w:ascii="宋体" w:hAnsi="宋体" w:eastAsia="宋体" w:cs="宋体"/>
                <w:color w:val="auto"/>
                <w:sz w:val="21"/>
                <w:szCs w:val="21"/>
              </w:rPr>
            </w:pPr>
          </w:p>
          <w:p>
            <w:pPr>
              <w:spacing w:line="255" w:lineRule="auto"/>
              <w:rPr>
                <w:rFonts w:hint="eastAsia" w:ascii="宋体" w:hAnsi="宋体" w:eastAsia="宋体" w:cs="宋体"/>
                <w:color w:val="auto"/>
                <w:sz w:val="21"/>
                <w:szCs w:val="21"/>
              </w:rPr>
            </w:pPr>
          </w:p>
          <w:p>
            <w:pPr>
              <w:spacing w:line="255" w:lineRule="auto"/>
              <w:rPr>
                <w:rFonts w:hint="eastAsia" w:ascii="宋体" w:hAnsi="宋体" w:eastAsia="宋体" w:cs="宋体"/>
                <w:color w:val="auto"/>
                <w:sz w:val="21"/>
                <w:szCs w:val="21"/>
              </w:rPr>
            </w:pPr>
          </w:p>
          <w:p>
            <w:pPr>
              <w:spacing w:line="255" w:lineRule="auto"/>
              <w:rPr>
                <w:rFonts w:hint="eastAsia" w:ascii="宋体" w:hAnsi="宋体" w:eastAsia="宋体" w:cs="宋体"/>
                <w:color w:val="auto"/>
                <w:sz w:val="21"/>
                <w:szCs w:val="21"/>
              </w:rPr>
            </w:pPr>
          </w:p>
          <w:p>
            <w:pPr>
              <w:spacing w:before="69" w:line="316" w:lineRule="auto"/>
              <w:ind w:left="213" w:right="208" w:firstLine="3"/>
              <w:rPr>
                <w:rFonts w:hint="eastAsia" w:ascii="宋体" w:hAnsi="宋体" w:eastAsia="宋体" w:cs="宋体"/>
                <w:color w:val="auto"/>
                <w:sz w:val="21"/>
                <w:szCs w:val="21"/>
              </w:rPr>
            </w:pPr>
            <w:r>
              <w:rPr>
                <w:rFonts w:hint="eastAsia" w:ascii="宋体" w:hAnsi="宋体" w:eastAsia="宋体" w:cs="宋体"/>
                <w:color w:val="auto"/>
                <w:spacing w:val="-3"/>
                <w:sz w:val="21"/>
                <w:szCs w:val="21"/>
              </w:rPr>
              <w:t>形式评审</w:t>
            </w:r>
            <w:r>
              <w:rPr>
                <w:rFonts w:hint="eastAsia" w:ascii="宋体" w:hAnsi="宋体" w:eastAsia="宋体" w:cs="宋体"/>
                <w:color w:val="auto"/>
                <w:spacing w:val="3"/>
                <w:sz w:val="21"/>
                <w:szCs w:val="21"/>
              </w:rPr>
              <w:t xml:space="preserve"> </w:t>
            </w:r>
            <w:r>
              <w:rPr>
                <w:rFonts w:hint="eastAsia" w:ascii="宋体" w:hAnsi="宋体" w:eastAsia="宋体" w:cs="宋体"/>
                <w:color w:val="auto"/>
                <w:spacing w:val="-2"/>
                <w:sz w:val="21"/>
                <w:szCs w:val="21"/>
              </w:rPr>
              <w:t>与响应性</w:t>
            </w:r>
            <w:r>
              <w:rPr>
                <w:rFonts w:hint="eastAsia" w:ascii="宋体" w:hAnsi="宋体" w:eastAsia="宋体" w:cs="宋体"/>
                <w:color w:val="auto"/>
                <w:spacing w:val="3"/>
                <w:sz w:val="21"/>
                <w:szCs w:val="21"/>
              </w:rPr>
              <w:t xml:space="preserve"> </w:t>
            </w:r>
            <w:r>
              <w:rPr>
                <w:rFonts w:hint="eastAsia" w:ascii="宋体" w:hAnsi="宋体" w:eastAsia="宋体" w:cs="宋体"/>
                <w:color w:val="auto"/>
                <w:spacing w:val="-2"/>
                <w:sz w:val="21"/>
                <w:szCs w:val="21"/>
              </w:rPr>
              <w:t>评审标准</w:t>
            </w:r>
          </w:p>
        </w:tc>
        <w:tc>
          <w:tcPr>
            <w:tcW w:w="6384" w:type="dxa"/>
            <w:noWrap w:val="0"/>
            <w:vAlign w:val="top"/>
          </w:tcPr>
          <w:p>
            <w:pPr>
              <w:pStyle w:val="6"/>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第一个信封（商务及技术文件）评审标准：</w:t>
            </w:r>
          </w:p>
          <w:p>
            <w:pPr>
              <w:pStyle w:val="6"/>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(1)投标文件按照招标文件规定的格式、内容填写，字迹清晰可辨：</w:t>
            </w:r>
          </w:p>
          <w:p>
            <w:pPr>
              <w:pStyle w:val="6"/>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a.投标函按招标文件规定填报了项目名称、</w:t>
            </w:r>
            <w:r>
              <w:rPr>
                <w:rFonts w:hint="eastAsia" w:ascii="宋体" w:hAnsi="宋体" w:eastAsia="宋体" w:cs="宋体"/>
                <w:color w:val="auto"/>
                <w:sz w:val="21"/>
                <w:szCs w:val="21"/>
                <w:highlight w:val="none"/>
                <w:lang w:eastAsia="zh-CN"/>
              </w:rPr>
              <w:t>标段号</w:t>
            </w:r>
            <w:r>
              <w:rPr>
                <w:rFonts w:hint="eastAsia" w:ascii="宋体" w:hAnsi="宋体" w:eastAsia="宋体" w:cs="宋体"/>
                <w:color w:val="auto"/>
                <w:sz w:val="21"/>
                <w:szCs w:val="21"/>
                <w:highlight w:val="none"/>
              </w:rPr>
              <w:t>、补遗书编号（如有）、工期、工程质量要求、安全目标等；</w:t>
            </w:r>
          </w:p>
          <w:p>
            <w:pPr>
              <w:pStyle w:val="6"/>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b.投标函附录的所有内容和数据均符合招标文件规定；</w:t>
            </w:r>
          </w:p>
          <w:p>
            <w:pPr>
              <w:pStyle w:val="6"/>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c.投标文件中有承诺函、规范投标行为承诺函、使用农民工承诺等内容，其内容文字与招标文件规定一致，未进行修改和删减且签字盖章齐全；</w:t>
            </w:r>
          </w:p>
          <w:p>
            <w:pPr>
              <w:pStyle w:val="6"/>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d.按照招标文件规定的格式、内容编制了施工组织设计及项目管理机构相关图表；</w:t>
            </w:r>
          </w:p>
          <w:p>
            <w:pPr>
              <w:numPr>
                <w:ilvl w:val="0"/>
                <w:numId w:val="0"/>
              </w:numPr>
              <w:bidi w:val="0"/>
              <w:spacing w:line="360" w:lineRule="auto"/>
              <w:ind w:leftChars="0" w:right="0" w:rightChars="0"/>
              <w:jc w:val="both"/>
              <w:rPr>
                <w:rFonts w:hint="eastAsia"/>
                <w:color w:val="auto"/>
              </w:rPr>
            </w:pPr>
            <w:r>
              <w:rPr>
                <w:rFonts w:hint="eastAsia" w:ascii="宋体" w:hAnsi="宋体" w:eastAsia="宋体" w:cs="宋体"/>
                <w:color w:val="auto"/>
                <w:sz w:val="21"/>
                <w:szCs w:val="21"/>
                <w:highlight w:val="none"/>
              </w:rPr>
              <w:t>e.投标文件组成齐全完整，内容均按规定填写，按招标文件规定的形式装订。</w:t>
            </w:r>
          </w:p>
          <w:p>
            <w:pPr>
              <w:pStyle w:val="6"/>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(2)投标文件上法定代表人或其授权代理人的签字、投标人的单位章盖章齐全，符合招标文件规定。</w:t>
            </w:r>
          </w:p>
          <w:p>
            <w:pPr>
              <w:pStyle w:val="6"/>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(3)投标人按照招标文件的规定提供了投标保证金：</w:t>
            </w:r>
          </w:p>
          <w:p>
            <w:pPr>
              <w:pStyle w:val="6"/>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a.投标保证金金额符合招标文件规定的金额，且投标保证金有效期不少于投标有效期；</w:t>
            </w:r>
          </w:p>
          <w:p>
            <w:pPr>
              <w:pStyle w:val="6"/>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b.若投标保证金采用现金或支票形式提交，投标人应在递交投标文件截止时间之前，将投标保证金由投标人的基本账户转入招标人指定账户；</w:t>
            </w:r>
          </w:p>
          <w:p>
            <w:pPr>
              <w:pStyle w:val="6"/>
              <w:spacing w:line="360" w:lineRule="auto"/>
              <w:ind w:left="0" w:leftChars="0" w:firstLine="0" w:firstLineChars="0"/>
              <w:rPr>
                <w:rFonts w:hint="default" w:eastAsia="宋体"/>
                <w:color w:val="auto"/>
                <w:lang w:val="en-US" w:eastAsia="zh-CN"/>
              </w:rPr>
            </w:pPr>
            <w:r>
              <w:rPr>
                <w:rFonts w:hint="eastAsia" w:ascii="宋体" w:hAnsi="宋体" w:eastAsia="宋体" w:cs="宋体"/>
                <w:color w:val="auto"/>
                <w:sz w:val="21"/>
                <w:szCs w:val="21"/>
                <w:highlight w:val="none"/>
              </w:rPr>
              <w:t>c.若投标保证金采用保函形式提交，保函的格式、开具保函的银行、保函的有效期均满足招标文件要求，且递交投标文件截止时间之前向招标人单独密封提交了保函原件。</w:t>
            </w:r>
          </w:p>
          <w:p>
            <w:pPr>
              <w:pStyle w:val="6"/>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(4)投标人法定代表人授权代理人签署投标文件的，需提交授权委托书，且授权人和被授权人均在授权委托书上亲笔签名。</w:t>
            </w:r>
          </w:p>
          <w:p>
            <w:pPr>
              <w:pStyle w:val="6"/>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(5)投标人法定代表人亲自签署投标文件的，提供了法定代表人身份证明，且法定代表人在法定代表人身份证明上签名。</w:t>
            </w:r>
          </w:p>
          <w:p>
            <w:pPr>
              <w:pStyle w:val="6"/>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(6)本项目不接受联合体投标。</w:t>
            </w:r>
          </w:p>
          <w:p>
            <w:pPr>
              <w:pStyle w:val="6"/>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(7)本项目不允许分包。</w:t>
            </w:r>
          </w:p>
          <w:p>
            <w:pPr>
              <w:pStyle w:val="6"/>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(8)同一投标人未提交两个以上不同的投标文件。</w:t>
            </w:r>
          </w:p>
          <w:p>
            <w:pPr>
              <w:pStyle w:val="6"/>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(9)投标文件中未出现有关投标报价的内容。</w:t>
            </w:r>
          </w:p>
          <w:p>
            <w:pPr>
              <w:pStyle w:val="6"/>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(10)投标文件载明的招标项目完成期限未超过招标文件规定的时限。</w:t>
            </w:r>
          </w:p>
          <w:p>
            <w:pPr>
              <w:pStyle w:val="6"/>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(11)投标文件对招标文件的实质性要求和条件作出了响应。</w:t>
            </w:r>
          </w:p>
          <w:p>
            <w:pPr>
              <w:pStyle w:val="6"/>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(12)权利义务符合招标文件规定：</w:t>
            </w:r>
          </w:p>
          <w:p>
            <w:pPr>
              <w:pStyle w:val="6"/>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a.投标人应接受招标文件规定的风险划分原则，未提出新的风险划分办法；</w:t>
            </w:r>
          </w:p>
          <w:p>
            <w:pPr>
              <w:pStyle w:val="6"/>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b.投标人未增加发包人的责任范围，或减少投标人义务；</w:t>
            </w:r>
          </w:p>
          <w:p>
            <w:pPr>
              <w:pStyle w:val="6"/>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c.投标人未提出不同的工程验收、计量、支付办法；</w:t>
            </w:r>
          </w:p>
          <w:p>
            <w:pPr>
              <w:pStyle w:val="6"/>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d.投标人对合同纠纷、事故处理办法未提出异议；</w:t>
            </w:r>
          </w:p>
          <w:p>
            <w:pPr>
              <w:pStyle w:val="6"/>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e.投标人在投标活动中无欺诈行为；</w:t>
            </w:r>
          </w:p>
          <w:p>
            <w:pPr>
              <w:pStyle w:val="6"/>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f.投标人未对合同条款有重要保留。</w:t>
            </w:r>
          </w:p>
          <w:p>
            <w:pPr>
              <w:numPr>
                <w:ilvl w:val="0"/>
                <w:numId w:val="0"/>
              </w:numPr>
              <w:bidi w:val="0"/>
              <w:spacing w:line="360" w:lineRule="auto"/>
              <w:ind w:leftChars="0" w:right="0" w:rightChars="0"/>
              <w:jc w:val="both"/>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w:t>
            </w:r>
            <w:r>
              <w:rPr>
                <w:rFonts w:hint="eastAsia" w:ascii="宋体" w:hAnsi="宋体" w:eastAsia="宋体" w:cs="宋体"/>
                <w:snapToGrid w:val="0"/>
                <w:color w:val="auto"/>
                <w:kern w:val="0"/>
                <w:sz w:val="21"/>
                <w:szCs w:val="21"/>
                <w:highlight w:val="none"/>
                <w:lang w:val="en-US" w:eastAsia="zh-CN"/>
              </w:rPr>
              <w:t>3</w:t>
            </w:r>
            <w:r>
              <w:rPr>
                <w:rFonts w:hint="eastAsia" w:ascii="宋体" w:hAnsi="宋体" w:eastAsia="宋体" w:cs="宋体"/>
                <w:snapToGrid w:val="0"/>
                <w:color w:val="auto"/>
                <w:kern w:val="0"/>
                <w:sz w:val="21"/>
                <w:szCs w:val="21"/>
                <w:highlight w:val="none"/>
              </w:rPr>
              <w:t>）围标、串标审查：如果有证据显示投标人以他人名义投标、与他人串通投标、以行贿手段谋取中标，以及投标弄虚作假的，评标委员会应对该投标文件作无效投标处理。</w:t>
            </w:r>
          </w:p>
          <w:p>
            <w:pPr>
              <w:numPr>
                <w:ilvl w:val="0"/>
                <w:numId w:val="0"/>
              </w:numPr>
              <w:bidi w:val="0"/>
              <w:spacing w:line="360" w:lineRule="auto"/>
              <w:ind w:leftChars="0" w:right="0" w:rightChars="0"/>
              <w:jc w:val="both"/>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w:t>
            </w:r>
            <w:r>
              <w:rPr>
                <w:rFonts w:hint="eastAsia" w:ascii="宋体" w:hAnsi="宋体" w:eastAsia="宋体" w:cs="宋体"/>
                <w:snapToGrid w:val="0"/>
                <w:color w:val="auto"/>
                <w:kern w:val="0"/>
                <w:sz w:val="21"/>
                <w:szCs w:val="21"/>
                <w:highlight w:val="none"/>
                <w:lang w:val="en-US" w:eastAsia="zh-CN"/>
              </w:rPr>
              <w:t>4</w:t>
            </w:r>
            <w:r>
              <w:rPr>
                <w:rFonts w:hint="eastAsia" w:ascii="宋体" w:hAnsi="宋体" w:eastAsia="宋体" w:cs="宋体"/>
                <w:snapToGrid w:val="0"/>
                <w:color w:val="auto"/>
                <w:kern w:val="0"/>
                <w:sz w:val="21"/>
                <w:szCs w:val="21"/>
                <w:highlight w:val="none"/>
              </w:rPr>
              <w:t>）评标委员会要对投标人的财务能力、管理水平和以往施工业绩及履约信誉进行详细评审。如发现投标文件有以下情况之一的，评标委员会将对其作无效投标处理：</w:t>
            </w:r>
          </w:p>
          <w:p>
            <w:pPr>
              <w:numPr>
                <w:ilvl w:val="0"/>
                <w:numId w:val="0"/>
              </w:numPr>
              <w:bidi w:val="0"/>
              <w:spacing w:line="360" w:lineRule="auto"/>
              <w:ind w:leftChars="0" w:right="0" w:rightChars="0"/>
              <w:jc w:val="both"/>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a.承诺的质量标准低于招标文件或国家强制性标准要求；</w:t>
            </w:r>
          </w:p>
          <w:p>
            <w:pPr>
              <w:numPr>
                <w:ilvl w:val="0"/>
                <w:numId w:val="0"/>
              </w:numPr>
              <w:bidi w:val="0"/>
              <w:spacing w:line="360" w:lineRule="auto"/>
              <w:ind w:leftChars="0" w:right="0" w:rightChars="0"/>
              <w:jc w:val="both"/>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b.提供虚假施工业绩及履约信誉证明材料。</w:t>
            </w:r>
          </w:p>
          <w:p>
            <w:pPr>
              <w:numPr>
                <w:ilvl w:val="0"/>
                <w:numId w:val="0"/>
              </w:numPr>
              <w:bidi w:val="0"/>
              <w:spacing w:line="360" w:lineRule="auto"/>
              <w:ind w:leftChars="0" w:right="0" w:rightChars="0"/>
              <w:jc w:val="both"/>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15</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rPr>
              <w:t>投标文件和提交方式要满足投标人须知之规定。</w:t>
            </w:r>
          </w:p>
          <w:p>
            <w:pPr>
              <w:numPr>
                <w:ilvl w:val="0"/>
                <w:numId w:val="0"/>
              </w:numPr>
              <w:bidi w:val="0"/>
              <w:spacing w:line="360" w:lineRule="auto"/>
              <w:ind w:leftChars="0" w:right="0" w:rightChars="0"/>
              <w:jc w:val="both"/>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w:t>
            </w:r>
            <w:r>
              <w:rPr>
                <w:rFonts w:hint="eastAsia" w:ascii="宋体" w:hAnsi="宋体" w:eastAsia="宋体" w:cs="宋体"/>
                <w:snapToGrid w:val="0"/>
                <w:color w:val="auto"/>
                <w:kern w:val="0"/>
                <w:sz w:val="21"/>
                <w:szCs w:val="21"/>
                <w:highlight w:val="none"/>
                <w:lang w:val="en-US" w:eastAsia="zh-CN"/>
              </w:rPr>
              <w:t>6</w:t>
            </w:r>
            <w:r>
              <w:rPr>
                <w:rFonts w:hint="eastAsia" w:ascii="宋体" w:hAnsi="宋体" w:eastAsia="宋体" w:cs="宋体"/>
                <w:snapToGrid w:val="0"/>
                <w:color w:val="auto"/>
                <w:kern w:val="0"/>
                <w:sz w:val="21"/>
                <w:szCs w:val="21"/>
                <w:highlight w:val="none"/>
              </w:rPr>
              <w:t>）按评标委员会要求澄清、说明或补正的。</w:t>
            </w:r>
          </w:p>
          <w:p>
            <w:pPr>
              <w:numPr>
                <w:ilvl w:val="0"/>
                <w:numId w:val="0"/>
              </w:numPr>
              <w:bidi w:val="0"/>
              <w:spacing w:line="360" w:lineRule="auto"/>
              <w:ind w:leftChars="0" w:right="0" w:rightChars="0"/>
              <w:jc w:val="both"/>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w:t>
            </w:r>
            <w:r>
              <w:rPr>
                <w:rFonts w:hint="eastAsia" w:ascii="宋体" w:hAnsi="宋体" w:eastAsia="宋体" w:cs="宋体"/>
                <w:snapToGrid w:val="0"/>
                <w:color w:val="auto"/>
                <w:kern w:val="0"/>
                <w:sz w:val="21"/>
                <w:szCs w:val="21"/>
                <w:highlight w:val="none"/>
                <w:lang w:val="en-US" w:eastAsia="zh-CN"/>
              </w:rPr>
              <w:t>7</w:t>
            </w:r>
            <w:r>
              <w:rPr>
                <w:rFonts w:hint="eastAsia" w:ascii="宋体" w:hAnsi="宋体" w:eastAsia="宋体" w:cs="宋体"/>
                <w:snapToGrid w:val="0"/>
                <w:color w:val="auto"/>
                <w:kern w:val="0"/>
                <w:sz w:val="21"/>
                <w:szCs w:val="21"/>
                <w:highlight w:val="none"/>
              </w:rPr>
              <w:t>）未附有招标人不能接受的其他条件。</w:t>
            </w:r>
          </w:p>
          <w:p>
            <w:pPr>
              <w:pStyle w:val="6"/>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第二个信封（报价文件）评审标准：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投标文件按照招标文件规定的格式、内容填写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字迹清晰可辨：</w:t>
            </w:r>
          </w:p>
          <w:p>
            <w:pPr>
              <w:numPr>
                <w:ilvl w:val="0"/>
                <w:numId w:val="0"/>
              </w:numPr>
              <w:bidi w:val="0"/>
              <w:spacing w:line="360" w:lineRule="auto"/>
              <w:ind w:leftChars="0"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投标函按招标文件规定填报了项目名称、标段号、补遗书编号（如有）、投标价（包括大写金额和小写金额）；</w:t>
            </w:r>
          </w:p>
          <w:p>
            <w:pPr>
              <w:numPr>
                <w:ilvl w:val="0"/>
                <w:numId w:val="0"/>
              </w:numPr>
              <w:bidi w:val="0"/>
              <w:spacing w:line="360" w:lineRule="auto"/>
              <w:ind w:leftChars="0" w:right="0" w:right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b</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已标价工程量清单说明、投标报价说明、计日工说明、其他说明以及工程量清 单表中文字与招标文件规定一致，未进行实质性修改和删减</w:t>
            </w:r>
            <w:r>
              <w:rPr>
                <w:rFonts w:hint="eastAsia" w:ascii="宋体" w:hAnsi="宋体" w:eastAsia="宋体" w:cs="宋体"/>
                <w:color w:val="auto"/>
                <w:sz w:val="21"/>
                <w:szCs w:val="21"/>
                <w:highlight w:val="none"/>
                <w:lang w:eastAsia="zh-CN"/>
              </w:rPr>
              <w:t>；</w:t>
            </w:r>
          </w:p>
          <w:p>
            <w:pPr>
              <w:numPr>
                <w:ilvl w:val="0"/>
                <w:numId w:val="0"/>
              </w:numPr>
              <w:bidi w:val="0"/>
              <w:spacing w:line="360" w:lineRule="auto"/>
              <w:ind w:leftChars="0"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投标文件组成齐全完整，内容均按规定填写。</w:t>
            </w:r>
          </w:p>
          <w:p>
            <w:pPr>
              <w:numPr>
                <w:ilvl w:val="0"/>
                <w:numId w:val="0"/>
              </w:numPr>
              <w:bidi w:val="0"/>
              <w:spacing w:line="360" w:lineRule="auto"/>
              <w:ind w:leftChars="0" w:right="0" w:right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（2）投标文件上法定代表人或其授权代理人的签字、投标人的单位章盖章齐全，符合招标文件规定</w:t>
            </w:r>
            <w:r>
              <w:rPr>
                <w:rFonts w:hint="eastAsia" w:ascii="宋体" w:hAnsi="宋体" w:eastAsia="宋体" w:cs="宋体"/>
                <w:color w:val="auto"/>
                <w:sz w:val="21"/>
                <w:szCs w:val="21"/>
                <w:highlight w:val="none"/>
                <w:lang w:eastAsia="zh-CN"/>
              </w:rPr>
              <w:t>。</w:t>
            </w:r>
          </w:p>
          <w:p>
            <w:pPr>
              <w:numPr>
                <w:ilvl w:val="0"/>
                <w:numId w:val="0"/>
              </w:numPr>
              <w:bidi w:val="0"/>
              <w:spacing w:line="360" w:lineRule="auto"/>
              <w:ind w:leftChars="0"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）投标报价中报价满足投标人须知的要求及满足以下要求：</w:t>
            </w:r>
          </w:p>
          <w:p>
            <w:pPr>
              <w:numPr>
                <w:ilvl w:val="0"/>
                <w:numId w:val="0"/>
              </w:numPr>
              <w:bidi w:val="0"/>
              <w:spacing w:line="360" w:lineRule="auto"/>
              <w:ind w:leftChars="0"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投标报价的大写金额能确定具体数值；</w:t>
            </w:r>
          </w:p>
          <w:p>
            <w:pPr>
              <w:numPr>
                <w:ilvl w:val="0"/>
                <w:numId w:val="0"/>
              </w:numPr>
              <w:bidi w:val="0"/>
              <w:spacing w:line="360" w:lineRule="auto"/>
              <w:ind w:leftChars="0"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投标报价未超过招标文件设定的最高投标限价；</w:t>
            </w:r>
          </w:p>
          <w:p>
            <w:pPr>
              <w:numPr>
                <w:ilvl w:val="0"/>
                <w:numId w:val="0"/>
              </w:numPr>
              <w:bidi w:val="0"/>
              <w:spacing w:line="360" w:lineRule="auto"/>
              <w:ind w:leftChars="0"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投标报价大写金额无错误且可唱出；</w:t>
            </w:r>
          </w:p>
          <w:p>
            <w:pPr>
              <w:numPr>
                <w:ilvl w:val="0"/>
                <w:numId w:val="0"/>
              </w:numPr>
              <w:bidi w:val="0"/>
              <w:spacing w:line="360" w:lineRule="auto"/>
              <w:ind w:leftChars="0"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未提交调价函；</w:t>
            </w:r>
          </w:p>
          <w:p>
            <w:pPr>
              <w:numPr>
                <w:ilvl w:val="0"/>
                <w:numId w:val="0"/>
              </w:numPr>
              <w:bidi w:val="0"/>
              <w:spacing w:line="360" w:lineRule="auto"/>
              <w:ind w:leftChars="0"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同一投标人未提交两个以上不同的投标报价；</w:t>
            </w:r>
          </w:p>
          <w:p>
            <w:pPr>
              <w:pStyle w:val="6"/>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）投标文件未附有招标人不能接受的其他条件。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1013" w:type="dxa"/>
            <w:noWrap w:val="0"/>
            <w:vAlign w:val="center"/>
          </w:tcPr>
          <w:p>
            <w:pPr>
              <w:spacing w:line="204" w:lineRule="auto"/>
              <w:ind w:firstLine="157"/>
              <w:jc w:val="center"/>
              <w:rPr>
                <w:rFonts w:hint="default" w:ascii="宋体" w:hAnsi="宋体" w:eastAsia="宋体" w:cs="宋体"/>
                <w:color w:val="auto"/>
                <w:spacing w:val="-1"/>
                <w:sz w:val="21"/>
                <w:szCs w:val="21"/>
                <w:lang w:val="en-US" w:eastAsia="zh-CN"/>
              </w:rPr>
            </w:pPr>
            <w:r>
              <w:rPr>
                <w:rFonts w:hint="eastAsia" w:ascii="宋体" w:hAnsi="宋体" w:eastAsia="宋体" w:cs="宋体"/>
                <w:color w:val="auto"/>
                <w:spacing w:val="-1"/>
                <w:sz w:val="21"/>
                <w:szCs w:val="21"/>
                <w:lang w:val="en-US" w:eastAsia="zh-CN"/>
              </w:rPr>
              <w:t>2.1.2</w:t>
            </w:r>
          </w:p>
        </w:tc>
        <w:tc>
          <w:tcPr>
            <w:tcW w:w="1501" w:type="dxa"/>
            <w:noWrap w:val="0"/>
            <w:vAlign w:val="center"/>
          </w:tcPr>
          <w:p>
            <w:pPr>
              <w:spacing w:before="69" w:line="316" w:lineRule="auto"/>
              <w:ind w:left="213" w:right="208" w:firstLine="3"/>
              <w:jc w:val="center"/>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资格评</w:t>
            </w:r>
          </w:p>
          <w:p>
            <w:pPr>
              <w:spacing w:before="69" w:line="316" w:lineRule="auto"/>
              <w:ind w:left="213" w:right="208" w:firstLine="3"/>
              <w:jc w:val="center"/>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审标准</w:t>
            </w:r>
          </w:p>
        </w:tc>
        <w:tc>
          <w:tcPr>
            <w:tcW w:w="6384" w:type="dxa"/>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159" w:firstLineChars="76"/>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人具备有效的营业执照、组织机构代码证、税务登记证（或三证合一的营业执照）、资质证书、安全生产许可证、基本账户开户许可证等招标文件要求提交的证照，且所有证照在正本中均为彩色扫描件或彩色复印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159" w:firstLineChars="76"/>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投标人的资质等级符合招标文件投标人须知附录1（包括小注）规定；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159" w:firstLineChars="76"/>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投标人的财务状况符合招标文件投标人须知附录2（包括小注）规定；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159" w:firstLineChars="76"/>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投标人的业绩符合招标文件投标人须知附录3（包括小注）规定；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159" w:firstLineChars="76"/>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投标人的信誉符合招标文件投标人须知附录4（包括小注）规定；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159" w:firstLineChars="76"/>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投标人的项目经理和项目总工符合招标文件附录5（包括小注）规定；</w:t>
            </w:r>
          </w:p>
          <w:p>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firstLine="159" w:firstLineChars="76"/>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投标人不存在第二章“投标人须知”第1.4.3项或第1.4.4项规定的任何一种情形。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1013" w:type="dxa"/>
            <w:noWrap w:val="0"/>
            <w:vAlign w:val="center"/>
          </w:tcPr>
          <w:p>
            <w:pPr>
              <w:spacing w:line="204" w:lineRule="auto"/>
              <w:ind w:firstLine="157"/>
              <w:jc w:val="both"/>
              <w:rPr>
                <w:rFonts w:hint="eastAsia" w:ascii="宋体" w:hAnsi="宋体" w:eastAsia="宋体" w:cs="宋体"/>
                <w:color w:val="auto"/>
                <w:spacing w:val="-1"/>
                <w:sz w:val="21"/>
                <w:szCs w:val="21"/>
                <w:lang w:val="en-US" w:eastAsia="zh-CN"/>
              </w:rPr>
            </w:pPr>
            <w:r>
              <w:rPr>
                <w:rFonts w:hint="eastAsia" w:ascii="宋体" w:hAnsi="宋体" w:eastAsia="宋体" w:cs="宋体"/>
                <w:color w:val="auto"/>
                <w:spacing w:val="-1"/>
                <w:sz w:val="21"/>
                <w:szCs w:val="21"/>
                <w:lang w:val="en-US" w:eastAsia="zh-CN"/>
              </w:rPr>
              <w:t>2.2.1</w:t>
            </w:r>
          </w:p>
        </w:tc>
        <w:tc>
          <w:tcPr>
            <w:tcW w:w="1501" w:type="dxa"/>
            <w:noWrap w:val="0"/>
            <w:vAlign w:val="center"/>
          </w:tcPr>
          <w:p>
            <w:pPr>
              <w:spacing w:before="69" w:line="316" w:lineRule="auto"/>
              <w:ind w:left="213" w:right="208" w:firstLine="3"/>
              <w:jc w:val="both"/>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分值构成</w:t>
            </w:r>
          </w:p>
          <w:p>
            <w:pPr>
              <w:spacing w:before="69" w:line="316" w:lineRule="auto"/>
              <w:ind w:right="208"/>
              <w:jc w:val="center"/>
              <w:rPr>
                <w:rFonts w:hint="eastAsia" w:ascii="宋体" w:hAnsi="宋体" w:eastAsia="宋体" w:cs="宋体"/>
                <w:color w:val="auto"/>
                <w:spacing w:val="-3"/>
                <w:sz w:val="21"/>
                <w:szCs w:val="21"/>
              </w:rPr>
            </w:pPr>
            <w:r>
              <w:rPr>
                <w:rFonts w:hint="eastAsia" w:ascii="宋体" w:hAnsi="宋体" w:eastAsia="宋体" w:cs="宋体"/>
                <w:color w:val="auto"/>
                <w:spacing w:val="-3"/>
                <w:sz w:val="20"/>
                <w:szCs w:val="20"/>
              </w:rPr>
              <w:t>（总分100分）</w:t>
            </w:r>
          </w:p>
        </w:tc>
        <w:tc>
          <w:tcPr>
            <w:tcW w:w="6384" w:type="dxa"/>
            <w:noWrap w:val="0"/>
            <w:vAlign w:val="center"/>
          </w:tcPr>
          <w:p>
            <w:pPr>
              <w:pStyle w:val="6"/>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评标价：100分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1013" w:type="dxa"/>
            <w:noWrap w:val="0"/>
            <w:vAlign w:val="center"/>
          </w:tcPr>
          <w:p>
            <w:pPr>
              <w:spacing w:line="204" w:lineRule="auto"/>
              <w:ind w:firstLine="157"/>
              <w:jc w:val="both"/>
              <w:rPr>
                <w:rFonts w:hint="eastAsia" w:ascii="宋体" w:hAnsi="宋体" w:eastAsia="宋体" w:cs="宋体"/>
                <w:color w:val="auto"/>
                <w:spacing w:val="-1"/>
                <w:sz w:val="21"/>
                <w:szCs w:val="21"/>
                <w:lang w:val="en-US" w:eastAsia="zh-CN"/>
              </w:rPr>
            </w:pPr>
            <w:r>
              <w:rPr>
                <w:rFonts w:hint="eastAsia" w:ascii="宋体" w:hAnsi="宋体" w:eastAsia="宋体" w:cs="宋体"/>
                <w:color w:val="auto"/>
                <w:spacing w:val="-1"/>
                <w:sz w:val="21"/>
                <w:szCs w:val="21"/>
                <w:lang w:val="en-US" w:eastAsia="zh-CN"/>
              </w:rPr>
              <w:t>2.2.2</w:t>
            </w:r>
          </w:p>
        </w:tc>
        <w:tc>
          <w:tcPr>
            <w:tcW w:w="1501" w:type="dxa"/>
            <w:noWrap w:val="0"/>
            <w:vAlign w:val="center"/>
          </w:tcPr>
          <w:p>
            <w:pPr>
              <w:spacing w:before="69" w:line="316" w:lineRule="auto"/>
              <w:ind w:left="213" w:right="208" w:firstLine="3"/>
              <w:jc w:val="center"/>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评标基准价计算方法</w:t>
            </w:r>
          </w:p>
          <w:p>
            <w:pPr>
              <w:spacing w:before="69" w:line="316" w:lineRule="auto"/>
              <w:ind w:left="213" w:right="208" w:firstLine="3"/>
              <w:jc w:val="center"/>
              <w:rPr>
                <w:rFonts w:hint="eastAsia" w:ascii="宋体" w:hAnsi="宋体" w:eastAsia="宋体" w:cs="宋体"/>
                <w:color w:val="auto"/>
                <w:spacing w:val="-3"/>
                <w:sz w:val="21"/>
                <w:szCs w:val="21"/>
              </w:rPr>
            </w:pPr>
          </w:p>
        </w:tc>
        <w:tc>
          <w:tcPr>
            <w:tcW w:w="63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一、计算公式字母含义</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 xml:space="preserve">1. P为评标基准价；    </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2. Di为评标价：Di＝投标函文字报价；</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3. N为有效评标价的数量（有效评标价：除第一信封经评标委员会否决的投标人及第二信封开标现场被宣布为不进入评标基准价计算的评标价之外，剩余所有投标人的评标价均为有效评标价）；</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4. K为评标基准价系数：K值取值范围为0.980、0.985、0.990、0.995、1.000共5个数值，在开标现场由投标人代表随机抽取一个K值，并当场公布（（K值每组只抽一次，组内各标段不再抽取）；</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5. n1为去掉最高有效评标价的数量，n2为去掉最低有效评标价的数量（n1、n2的取值组内各标段分别抽取）。</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n1、n2的取值方法：</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当N＜6时，n1、n2均取0；</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当6≤N＜10，n1、n2均取1；</w:t>
            </w:r>
          </w:p>
          <w:p>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both"/>
              <w:textAlignment w:val="baseline"/>
              <w:rPr>
                <w:rFonts w:hint="eastAsia"/>
                <w:color w:val="auto"/>
                <w:lang w:eastAsia="zh-CN"/>
              </w:rPr>
            </w:pPr>
            <w:r>
              <w:rPr>
                <w:rFonts w:hint="eastAsia" w:ascii="宋体" w:hAnsi="宋体" w:eastAsia="宋体" w:cs="宋体"/>
                <w:color w:val="auto"/>
                <w:lang w:eastAsia="zh-CN"/>
              </w:rPr>
              <w:t>当N≥10时，n1在取值区间1～M-1中现场随机抽取，n2在取值区间1～M+1中现场随机抽取，M=N/4，M去尾取整数。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1013" w:type="dxa"/>
            <w:noWrap w:val="0"/>
            <w:vAlign w:val="center"/>
          </w:tcPr>
          <w:p>
            <w:pPr>
              <w:spacing w:line="204" w:lineRule="auto"/>
              <w:ind w:firstLine="157"/>
              <w:jc w:val="both"/>
              <w:rPr>
                <w:rFonts w:hint="eastAsia" w:ascii="宋体" w:hAnsi="宋体" w:eastAsia="宋体" w:cs="宋体"/>
                <w:color w:val="auto"/>
                <w:spacing w:val="-1"/>
                <w:sz w:val="21"/>
                <w:szCs w:val="21"/>
                <w:lang w:val="en-US" w:eastAsia="zh-CN"/>
              </w:rPr>
            </w:pPr>
            <w:r>
              <w:rPr>
                <w:rFonts w:hint="eastAsia" w:ascii="宋体" w:hAnsi="宋体" w:eastAsia="宋体" w:cs="宋体"/>
                <w:color w:val="auto"/>
                <w:spacing w:val="-1"/>
                <w:sz w:val="21"/>
                <w:szCs w:val="21"/>
                <w:lang w:val="en-US" w:eastAsia="zh-CN"/>
              </w:rPr>
              <w:t>2.2.3</w:t>
            </w:r>
          </w:p>
        </w:tc>
        <w:tc>
          <w:tcPr>
            <w:tcW w:w="1501" w:type="dxa"/>
            <w:noWrap w:val="0"/>
            <w:vAlign w:val="center"/>
          </w:tcPr>
          <w:p>
            <w:pPr>
              <w:spacing w:before="69" w:line="316" w:lineRule="auto"/>
              <w:ind w:left="213" w:right="208" w:firstLine="3"/>
              <w:jc w:val="center"/>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评标基准价计算方法</w:t>
            </w:r>
          </w:p>
        </w:tc>
        <w:tc>
          <w:tcPr>
            <w:tcW w:w="63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sz w:val="21"/>
                <w:szCs w:val="21"/>
              </w:rPr>
              <w:t>二</w:t>
            </w:r>
            <w:r>
              <w:rPr>
                <w:rFonts w:hint="eastAsia" w:ascii="宋体" w:hAnsi="宋体" w:eastAsia="宋体" w:cs="宋体"/>
                <w:color w:val="auto"/>
                <w:lang w:eastAsia="zh-CN"/>
              </w:rPr>
              <w:t>、评标基准价计算方法</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以下三种评标基准价计算方法，招标人在开标现场随机抽取其中一种方法作为当次招标评标基准价的计算方法，按已抽取的评标基准价计算方法抽取相关计算参数。</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评标基准价方法1（平均值随机系数法）：有效评标价去掉n1个最高评标价和n2个最低评标价后取平均值，乘以评标基准价系数K作为评标基准价Ｐ。</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wp:posOffset>
                  </wp:positionH>
                  <wp:positionV relativeFrom="paragraph">
                    <wp:posOffset>121920</wp:posOffset>
                  </wp:positionV>
                  <wp:extent cx="3862705" cy="735965"/>
                  <wp:effectExtent l="0" t="0" r="4445" b="6985"/>
                  <wp:wrapNone/>
                  <wp:docPr id="4" name="图片_1"/>
                  <wp:cNvGraphicFramePr/>
                  <a:graphic xmlns:a="http://schemas.openxmlformats.org/drawingml/2006/main">
                    <a:graphicData uri="http://schemas.openxmlformats.org/drawingml/2006/picture">
                      <pic:pic xmlns:pic="http://schemas.openxmlformats.org/drawingml/2006/picture">
                        <pic:nvPicPr>
                          <pic:cNvPr id="4" name="图片_1"/>
                          <pic:cNvPicPr/>
                        </pic:nvPicPr>
                        <pic:blipFill>
                          <a:blip r:embed="rId10"/>
                          <a:stretch>
                            <a:fillRect/>
                          </a:stretch>
                        </pic:blipFill>
                        <pic:spPr>
                          <a:xfrm>
                            <a:off x="0" y="0"/>
                            <a:ext cx="3862705" cy="735965"/>
                          </a:xfrm>
                          <a:prstGeom prst="rect">
                            <a:avLst/>
                          </a:prstGeom>
                          <a:noFill/>
                          <a:ln>
                            <a:noFill/>
                          </a:ln>
                        </pic:spPr>
                      </pic:pic>
                    </a:graphicData>
                  </a:graphic>
                </wp:anchor>
              </w:drawing>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评标基准价方法2（价差随机系数法）：先去掉n1个最高有效评标价和n2个最低有效评标价，用剩余有效评标价中最大评标价与最小评标价之差与调整系数乘积加最小评标价作为评标基准价。</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P＝（Dmax - Dmin）×  Ks  +  Dmin</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式中：Dmax为去掉n1个最高有效评标价后的最大评标价数值。</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Dmin为去掉n2个最低有效评标价后的最小评标价数值。</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Ks为随机调整系数：Ks＝（X+Y/10）/10,其中X、Y为开标现场抽取的两个系数，各设5个数值，分别为2、3、4、5、6。</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评标基准价方法3（随机权重法）：先去掉n1个最高有效评标价和n2个最低有效评标价后的平均值，用最高投标限价与平均值的权值之和作为评标基准价。</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P =D平均×K1×Q1 + B上限×K2 ×Q2</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式中：D平均为去掉n1个最高评标价和n2个最低评标价后的平均值</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B上限为投标最高限价</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K1、K2、Q1 、Q2权重系数：</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Q2 = 1- Q1， Q1取值范围30%～70%；</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K1 的取值范围为 95%～100%；</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K2 的取值范围为(85%+E%)～(90%+E%)，其中E为0至5的自然数，由招标人在编制招标文件时结合项目实际自行选取E值后明确K2的取值范围，本项目E=3。</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Q1值、K1值、K2值均在第二信封开标现场随机抽取确定。Q1取值的步长不大于1%，K1和K2取值的步长不大于0.5%。</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Q1取值的步长现场从0.1%、0.2%、0.3%、0.4%、0.5%、0.6%、0.7%、0.8%、0.9%、1.0%共10个数值中随机抽取，K1 和K2 取值的步长现场从0.1%、0.2%、0.3%、0.4%、0.5%共5个数值中随机抽取。</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sz w:val="21"/>
                <w:szCs w:val="21"/>
              </w:rPr>
            </w:pPr>
            <w:r>
              <w:rPr>
                <w:rFonts w:hint="eastAsia" w:ascii="宋体" w:hAnsi="宋体" w:eastAsia="宋体" w:cs="宋体"/>
                <w:color w:val="auto"/>
                <w:lang w:eastAsia="zh-CN"/>
              </w:rPr>
              <w:t>Q1值、K1值、K2值的抽取，如项目分组招标，对应系数按照组进行抽取；如未分组，对应系数按照标段进行抽取。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1013" w:type="dxa"/>
            <w:noWrap w:val="0"/>
            <w:vAlign w:val="center"/>
          </w:tcPr>
          <w:p>
            <w:pPr>
              <w:spacing w:line="204" w:lineRule="auto"/>
              <w:ind w:firstLine="157" w:firstLineChars="0"/>
              <w:jc w:val="both"/>
              <w:rPr>
                <w:rFonts w:hint="eastAsia" w:ascii="宋体" w:hAnsi="宋体" w:eastAsia="宋体" w:cs="宋体"/>
                <w:color w:val="auto"/>
                <w:spacing w:val="-1"/>
                <w:sz w:val="21"/>
                <w:szCs w:val="21"/>
                <w:lang w:val="en-US" w:eastAsia="zh-CN"/>
              </w:rPr>
            </w:pPr>
            <w:r>
              <w:rPr>
                <w:rFonts w:hint="eastAsia" w:ascii="宋体" w:hAnsi="宋体" w:eastAsia="宋体" w:cs="宋体"/>
                <w:color w:val="auto"/>
                <w:spacing w:val="-1"/>
                <w:sz w:val="21"/>
                <w:szCs w:val="21"/>
                <w:lang w:eastAsia="zh-CN"/>
              </w:rPr>
              <w:t>条款号</w:t>
            </w:r>
          </w:p>
        </w:tc>
        <w:tc>
          <w:tcPr>
            <w:tcW w:w="1501" w:type="dxa"/>
            <w:noWrap w:val="0"/>
            <w:vAlign w:val="center"/>
          </w:tcPr>
          <w:p>
            <w:pPr>
              <w:spacing w:before="69" w:line="316" w:lineRule="auto"/>
              <w:ind w:left="213" w:leftChars="0" w:right="208" w:rightChars="0" w:firstLine="3" w:firstLineChars="0"/>
              <w:jc w:val="center"/>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条款内容</w:t>
            </w:r>
          </w:p>
        </w:tc>
        <w:tc>
          <w:tcPr>
            <w:tcW w:w="6384" w:type="dxa"/>
            <w:noWrap w:val="0"/>
            <w:vAlign w:val="center"/>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1013" w:type="dxa"/>
            <w:noWrap w:val="0"/>
            <w:vAlign w:val="top"/>
          </w:tcPr>
          <w:p>
            <w:pPr>
              <w:pStyle w:val="10"/>
              <w:spacing w:before="4" w:line="360" w:lineRule="auto"/>
              <w:rPr>
                <w:rFonts w:hint="eastAsia" w:ascii="宋体" w:hAnsi="宋体" w:eastAsia="宋体" w:cs="宋体"/>
                <w:snapToGrid w:val="0"/>
                <w:color w:val="auto"/>
                <w:spacing w:val="-3"/>
                <w:kern w:val="0"/>
                <w:sz w:val="21"/>
                <w:szCs w:val="21"/>
              </w:rPr>
            </w:pPr>
          </w:p>
          <w:p>
            <w:pPr>
              <w:pStyle w:val="10"/>
              <w:spacing w:line="360" w:lineRule="auto"/>
              <w:ind w:left="99" w:leftChars="0" w:right="97" w:rightChars="0"/>
              <w:jc w:val="center"/>
              <w:rPr>
                <w:rFonts w:hint="eastAsia" w:ascii="宋体" w:hAnsi="宋体" w:eastAsia="宋体" w:cs="宋体"/>
                <w:snapToGrid w:val="0"/>
                <w:color w:val="auto"/>
                <w:spacing w:val="-3"/>
                <w:kern w:val="0"/>
                <w:sz w:val="21"/>
                <w:szCs w:val="21"/>
                <w:lang w:eastAsia="zh-CN"/>
              </w:rPr>
            </w:pPr>
            <w:r>
              <w:rPr>
                <w:rFonts w:hint="eastAsia" w:ascii="宋体" w:hAnsi="宋体" w:eastAsia="宋体" w:cs="宋体"/>
                <w:snapToGrid w:val="0"/>
                <w:color w:val="auto"/>
                <w:spacing w:val="-3"/>
                <w:kern w:val="0"/>
                <w:sz w:val="21"/>
                <w:szCs w:val="21"/>
              </w:rPr>
              <w:t>2.2.1</w:t>
            </w:r>
          </w:p>
        </w:tc>
        <w:tc>
          <w:tcPr>
            <w:tcW w:w="1501" w:type="dxa"/>
            <w:noWrap w:val="0"/>
            <w:vAlign w:val="top"/>
          </w:tcPr>
          <w:p>
            <w:pPr>
              <w:pStyle w:val="10"/>
              <w:spacing w:before="102" w:line="360" w:lineRule="auto"/>
              <w:ind w:left="170" w:right="168"/>
              <w:jc w:val="both"/>
              <w:rPr>
                <w:rFonts w:hint="eastAsia" w:ascii="宋体" w:hAnsi="宋体" w:eastAsia="宋体" w:cs="宋体"/>
                <w:snapToGrid w:val="0"/>
                <w:color w:val="auto"/>
                <w:spacing w:val="-3"/>
                <w:kern w:val="0"/>
                <w:sz w:val="21"/>
                <w:szCs w:val="21"/>
              </w:rPr>
            </w:pPr>
            <w:r>
              <w:rPr>
                <w:rFonts w:hint="eastAsia" w:ascii="宋体" w:hAnsi="宋体" w:eastAsia="宋体" w:cs="宋体"/>
                <w:snapToGrid w:val="0"/>
                <w:color w:val="auto"/>
                <w:spacing w:val="-3"/>
                <w:kern w:val="0"/>
                <w:sz w:val="21"/>
                <w:szCs w:val="21"/>
              </w:rPr>
              <w:t>分值构成</w:t>
            </w:r>
          </w:p>
          <w:p>
            <w:pPr>
              <w:pStyle w:val="10"/>
              <w:spacing w:before="5" w:line="360" w:lineRule="auto"/>
              <w:ind w:left="170" w:right="166"/>
              <w:jc w:val="both"/>
              <w:rPr>
                <w:rFonts w:hint="eastAsia" w:ascii="宋体" w:hAnsi="宋体" w:eastAsia="宋体" w:cs="宋体"/>
                <w:snapToGrid w:val="0"/>
                <w:color w:val="auto"/>
                <w:spacing w:val="-3"/>
                <w:kern w:val="0"/>
                <w:sz w:val="21"/>
                <w:szCs w:val="21"/>
              </w:rPr>
            </w:pPr>
            <w:r>
              <w:rPr>
                <w:rFonts w:hint="eastAsia" w:ascii="宋体" w:hAnsi="宋体" w:eastAsia="宋体" w:cs="宋体"/>
                <w:snapToGrid w:val="0"/>
                <w:color w:val="auto"/>
                <w:spacing w:val="-3"/>
                <w:kern w:val="0"/>
                <w:sz w:val="21"/>
                <w:szCs w:val="21"/>
              </w:rPr>
              <w:t>（总分</w:t>
            </w:r>
          </w:p>
          <w:p>
            <w:pPr>
              <w:pStyle w:val="10"/>
              <w:spacing w:before="2" w:line="360" w:lineRule="auto"/>
              <w:ind w:left="112" w:leftChars="0"/>
              <w:rPr>
                <w:rFonts w:hint="eastAsia" w:ascii="宋体" w:hAnsi="宋体" w:eastAsia="宋体" w:cs="宋体"/>
                <w:snapToGrid w:val="0"/>
                <w:color w:val="auto"/>
                <w:spacing w:val="-3"/>
                <w:kern w:val="0"/>
                <w:sz w:val="21"/>
                <w:szCs w:val="21"/>
              </w:rPr>
            </w:pPr>
            <w:r>
              <w:rPr>
                <w:rFonts w:hint="eastAsia" w:ascii="宋体" w:hAnsi="宋体" w:eastAsia="宋体" w:cs="宋体"/>
                <w:snapToGrid w:val="0"/>
                <w:color w:val="auto"/>
                <w:spacing w:val="-3"/>
                <w:kern w:val="0"/>
                <w:sz w:val="21"/>
                <w:szCs w:val="21"/>
              </w:rPr>
              <w:t>100.0 分）</w:t>
            </w:r>
          </w:p>
        </w:tc>
        <w:tc>
          <w:tcPr>
            <w:tcW w:w="6384" w:type="dxa"/>
            <w:noWrap w:val="0"/>
            <w:vAlign w:val="top"/>
          </w:tcPr>
          <w:p>
            <w:pPr>
              <w:pStyle w:val="10"/>
              <w:spacing w:before="4" w:line="360" w:lineRule="auto"/>
              <w:rPr>
                <w:color w:val="auto"/>
                <w:sz w:val="21"/>
                <w:szCs w:val="21"/>
              </w:rPr>
            </w:pPr>
          </w:p>
          <w:p>
            <w:pPr>
              <w:pStyle w:val="10"/>
              <w:spacing w:line="360" w:lineRule="auto"/>
              <w:ind w:left="108" w:leftChars="0"/>
              <w:rPr>
                <w:rFonts w:hint="eastAsia" w:ascii="宋体" w:hAnsi="宋体" w:eastAsia="宋体" w:cs="宋体"/>
                <w:color w:val="auto"/>
                <w:sz w:val="21"/>
                <w:szCs w:val="21"/>
              </w:rPr>
            </w:pPr>
            <w:r>
              <w:rPr>
                <w:color w:val="auto"/>
                <w:w w:val="95"/>
                <w:sz w:val="21"/>
                <w:szCs w:val="21"/>
              </w:rPr>
              <w:t>评标价：100.0</w:t>
            </w:r>
            <w:r>
              <w:rPr>
                <w:color w:val="auto"/>
                <w:spacing w:val="-9"/>
                <w:w w:val="95"/>
                <w:sz w:val="21"/>
                <w:szCs w:val="21"/>
              </w:rPr>
              <w:t xml:space="preserve">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013" w:type="dxa"/>
            <w:noWrap w:val="0"/>
            <w:vAlign w:val="top"/>
          </w:tcPr>
          <w:p>
            <w:pPr>
              <w:pStyle w:val="10"/>
              <w:spacing w:line="360" w:lineRule="auto"/>
              <w:rPr>
                <w:rFonts w:hint="eastAsia" w:ascii="宋体" w:hAnsi="宋体" w:eastAsia="宋体" w:cs="宋体"/>
                <w:snapToGrid w:val="0"/>
                <w:color w:val="auto"/>
                <w:spacing w:val="-3"/>
                <w:kern w:val="0"/>
                <w:sz w:val="21"/>
                <w:szCs w:val="21"/>
              </w:rPr>
            </w:pPr>
          </w:p>
          <w:p>
            <w:pPr>
              <w:pStyle w:val="10"/>
              <w:spacing w:line="360" w:lineRule="auto"/>
              <w:rPr>
                <w:rFonts w:hint="eastAsia" w:ascii="宋体" w:hAnsi="宋体" w:eastAsia="宋体" w:cs="宋体"/>
                <w:snapToGrid w:val="0"/>
                <w:color w:val="auto"/>
                <w:spacing w:val="-3"/>
                <w:kern w:val="0"/>
                <w:sz w:val="21"/>
                <w:szCs w:val="21"/>
              </w:rPr>
            </w:pPr>
          </w:p>
          <w:p>
            <w:pPr>
              <w:pStyle w:val="10"/>
              <w:spacing w:line="360" w:lineRule="auto"/>
              <w:rPr>
                <w:rFonts w:hint="eastAsia" w:ascii="宋体" w:hAnsi="宋体" w:eastAsia="宋体" w:cs="宋体"/>
                <w:snapToGrid w:val="0"/>
                <w:color w:val="auto"/>
                <w:spacing w:val="-3"/>
                <w:kern w:val="0"/>
                <w:sz w:val="21"/>
                <w:szCs w:val="21"/>
              </w:rPr>
            </w:pPr>
          </w:p>
          <w:p>
            <w:pPr>
              <w:pStyle w:val="10"/>
              <w:spacing w:before="6" w:line="360" w:lineRule="auto"/>
              <w:rPr>
                <w:rFonts w:hint="eastAsia" w:ascii="宋体" w:hAnsi="宋体" w:eastAsia="宋体" w:cs="宋体"/>
                <w:snapToGrid w:val="0"/>
                <w:color w:val="auto"/>
                <w:spacing w:val="-3"/>
                <w:kern w:val="0"/>
                <w:sz w:val="21"/>
                <w:szCs w:val="21"/>
              </w:rPr>
            </w:pPr>
          </w:p>
          <w:p>
            <w:pPr>
              <w:pStyle w:val="10"/>
              <w:spacing w:line="360" w:lineRule="auto"/>
              <w:ind w:left="99" w:leftChars="0" w:right="97" w:rightChars="0"/>
              <w:jc w:val="center"/>
              <w:rPr>
                <w:rFonts w:hint="default" w:ascii="宋体" w:hAnsi="宋体" w:eastAsia="宋体" w:cs="宋体"/>
                <w:snapToGrid w:val="0"/>
                <w:color w:val="auto"/>
                <w:spacing w:val="-3"/>
                <w:kern w:val="0"/>
                <w:sz w:val="21"/>
                <w:szCs w:val="21"/>
                <w:lang w:val="en-US" w:eastAsia="zh-CN"/>
              </w:rPr>
            </w:pPr>
            <w:r>
              <w:rPr>
                <w:rFonts w:hint="eastAsia" w:ascii="宋体" w:hAnsi="宋体" w:eastAsia="宋体" w:cs="宋体"/>
                <w:snapToGrid w:val="0"/>
                <w:color w:val="auto"/>
                <w:spacing w:val="-3"/>
                <w:kern w:val="0"/>
                <w:sz w:val="21"/>
                <w:szCs w:val="21"/>
              </w:rPr>
              <w:t>2.2.2</w:t>
            </w:r>
          </w:p>
        </w:tc>
        <w:tc>
          <w:tcPr>
            <w:tcW w:w="1501" w:type="dxa"/>
            <w:noWrap w:val="0"/>
            <w:vAlign w:val="top"/>
          </w:tcPr>
          <w:p>
            <w:pPr>
              <w:pStyle w:val="10"/>
              <w:spacing w:line="360" w:lineRule="auto"/>
              <w:rPr>
                <w:rFonts w:hint="eastAsia" w:ascii="宋体" w:hAnsi="宋体" w:eastAsia="宋体" w:cs="宋体"/>
                <w:snapToGrid w:val="0"/>
                <w:color w:val="auto"/>
                <w:spacing w:val="-3"/>
                <w:kern w:val="0"/>
                <w:sz w:val="21"/>
                <w:szCs w:val="21"/>
              </w:rPr>
            </w:pPr>
          </w:p>
          <w:p>
            <w:pPr>
              <w:pStyle w:val="10"/>
              <w:spacing w:line="360" w:lineRule="auto"/>
              <w:rPr>
                <w:rFonts w:hint="eastAsia" w:ascii="宋体" w:hAnsi="宋体" w:eastAsia="宋体" w:cs="宋体"/>
                <w:snapToGrid w:val="0"/>
                <w:color w:val="auto"/>
                <w:spacing w:val="-3"/>
                <w:kern w:val="0"/>
                <w:sz w:val="21"/>
                <w:szCs w:val="21"/>
              </w:rPr>
            </w:pPr>
          </w:p>
          <w:p>
            <w:pPr>
              <w:pStyle w:val="10"/>
              <w:spacing w:before="1" w:line="360" w:lineRule="auto"/>
              <w:rPr>
                <w:rFonts w:hint="eastAsia" w:ascii="宋体" w:hAnsi="宋体" w:eastAsia="宋体" w:cs="宋体"/>
                <w:snapToGrid w:val="0"/>
                <w:color w:val="auto"/>
                <w:spacing w:val="-3"/>
                <w:kern w:val="0"/>
                <w:sz w:val="21"/>
                <w:szCs w:val="21"/>
              </w:rPr>
            </w:pPr>
          </w:p>
          <w:p>
            <w:pPr>
              <w:pStyle w:val="10"/>
              <w:spacing w:line="360" w:lineRule="auto"/>
              <w:ind w:left="191" w:leftChars="0" w:right="186" w:rightChars="0"/>
              <w:jc w:val="center"/>
              <w:rPr>
                <w:rFonts w:hint="eastAsia" w:ascii="宋体" w:hAnsi="宋体" w:eastAsia="宋体" w:cs="宋体"/>
                <w:snapToGrid w:val="0"/>
                <w:color w:val="auto"/>
                <w:spacing w:val="-3"/>
                <w:kern w:val="0"/>
                <w:sz w:val="21"/>
                <w:szCs w:val="21"/>
              </w:rPr>
            </w:pPr>
            <w:r>
              <w:rPr>
                <w:rFonts w:hint="eastAsia" w:ascii="宋体" w:hAnsi="宋体" w:eastAsia="宋体" w:cs="宋体"/>
                <w:snapToGrid w:val="0"/>
                <w:color w:val="auto"/>
                <w:spacing w:val="-3"/>
                <w:kern w:val="0"/>
                <w:sz w:val="21"/>
                <w:szCs w:val="21"/>
              </w:rPr>
              <w:t>评标基准价计算方法</w:t>
            </w:r>
          </w:p>
        </w:tc>
        <w:tc>
          <w:tcPr>
            <w:tcW w:w="6384"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招标人设有最高限价，目的是防止哄抬标价，投标价超出此最高限价的，招标人将视为超出招标人的支付能力，评标基准价计算时不把这样的投标价计算在内，并且其投标报价得分为零分，投标文件其他部分不再进行评审。</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评标基准价的计算：</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在开标现场，招标人将当场计算并宣布评标基准价。</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评标价的确定：评标价=投标函文字报价</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评标价平均值的计算：</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除按第二章“投标人须知”第 5.2.4 项规定开标现场被宣布为不进入评标基准价计算的投标报价之外，所有通过第一信封评审的投标人评标价去掉一个最高值和一个最低值后的算术平均值即为评标价平均值（如果参与评标价平均值计算的有效投标人少于 5 家时，则计算评标价平均值时不去掉最高值和最低值）。</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(3) 评标基准价的确定：</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招标人设置评标基准价系数为</w:t>
            </w:r>
            <w:r>
              <w:rPr>
                <w:rFonts w:hint="eastAsia" w:ascii="宋体" w:hAnsi="宋体" w:eastAsia="宋体" w:cs="宋体"/>
                <w:color w:val="auto"/>
                <w:u w:val="single"/>
                <w:lang w:val="en-US" w:eastAsia="zh-CN"/>
              </w:rPr>
              <w:t xml:space="preserve">      </w:t>
            </w:r>
            <w:r>
              <w:rPr>
                <w:rFonts w:hint="eastAsia" w:ascii="宋体" w:hAnsi="宋体" w:eastAsia="宋体" w:cs="宋体"/>
                <w:color w:val="auto"/>
                <w:lang w:eastAsia="zh-CN"/>
              </w:rPr>
              <w:t>，开标现场由投标人代表随机抽取，评标价平均值乘以现场抽取的评标基准价系数作为评标基准价。</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sz w:val="21"/>
                <w:szCs w:val="21"/>
              </w:rPr>
            </w:pPr>
            <w:r>
              <w:rPr>
                <w:rFonts w:hint="eastAsia" w:ascii="宋体" w:hAnsi="宋体" w:eastAsia="宋体" w:cs="宋体"/>
                <w:color w:val="auto"/>
                <w:lang w:eastAsia="zh-CN"/>
              </w:rPr>
              <w:t>在评标过程中，评标委员会应对招标人计算的评标基准价进行复核，存在计算错 误的应予以修正并在评标报告中作出说明。除此之外，评标基准价在整个评标期间 保持不变，不随任何因素发生变化。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013" w:type="dxa"/>
            <w:noWrap w:val="0"/>
            <w:vAlign w:val="top"/>
          </w:tcPr>
          <w:p>
            <w:pPr>
              <w:pStyle w:val="10"/>
              <w:spacing w:before="5" w:line="360" w:lineRule="auto"/>
              <w:rPr>
                <w:color w:val="auto"/>
                <w:sz w:val="21"/>
                <w:szCs w:val="21"/>
              </w:rPr>
            </w:pPr>
          </w:p>
          <w:p>
            <w:pPr>
              <w:pStyle w:val="10"/>
              <w:spacing w:line="360" w:lineRule="auto"/>
              <w:ind w:left="119" w:leftChars="0"/>
              <w:jc w:val="center"/>
              <w:rPr>
                <w:color w:val="auto"/>
                <w:sz w:val="21"/>
                <w:szCs w:val="21"/>
              </w:rPr>
            </w:pPr>
            <w:r>
              <w:rPr>
                <w:color w:val="auto"/>
                <w:sz w:val="21"/>
                <w:szCs w:val="21"/>
              </w:rPr>
              <w:t>2.2.3</w:t>
            </w:r>
          </w:p>
        </w:tc>
        <w:tc>
          <w:tcPr>
            <w:tcW w:w="1501" w:type="dxa"/>
            <w:noWrap w:val="0"/>
            <w:vAlign w:val="top"/>
          </w:tcPr>
          <w:p>
            <w:pPr>
              <w:pStyle w:val="10"/>
              <w:spacing w:before="103" w:line="360" w:lineRule="auto"/>
              <w:ind w:left="191" w:leftChars="0" w:right="186" w:rightChars="0"/>
              <w:jc w:val="both"/>
              <w:rPr>
                <w:color w:val="auto"/>
                <w:spacing w:val="-2"/>
                <w:sz w:val="21"/>
                <w:szCs w:val="21"/>
              </w:rPr>
            </w:pPr>
            <w:r>
              <w:rPr>
                <w:color w:val="auto"/>
                <w:spacing w:val="-2"/>
                <w:sz w:val="21"/>
                <w:szCs w:val="21"/>
              </w:rPr>
              <w:t>评标价的偏差率计</w:t>
            </w:r>
            <w:r>
              <w:rPr>
                <w:color w:val="auto"/>
                <w:sz w:val="21"/>
                <w:szCs w:val="21"/>
              </w:rPr>
              <w:t>算公式</w:t>
            </w:r>
          </w:p>
        </w:tc>
        <w:tc>
          <w:tcPr>
            <w:tcW w:w="6384" w:type="dxa"/>
            <w:noWrap w:val="0"/>
            <w:vAlign w:val="top"/>
          </w:tcPr>
          <w:p>
            <w:pPr>
              <w:pStyle w:val="10"/>
              <w:spacing w:before="9" w:line="360" w:lineRule="auto"/>
              <w:rPr>
                <w:rFonts w:hint="eastAsia" w:ascii="宋体" w:hAnsi="宋体" w:eastAsia="宋体" w:cs="宋体"/>
                <w:snapToGrid w:val="0"/>
                <w:color w:val="auto"/>
                <w:kern w:val="0"/>
                <w:sz w:val="21"/>
                <w:szCs w:val="21"/>
                <w:lang w:eastAsia="zh-CN"/>
              </w:rPr>
            </w:pP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textAlignment w:val="auto"/>
              <w:rPr>
                <w:color w:val="auto"/>
                <w:w w:val="95"/>
                <w:sz w:val="21"/>
                <w:szCs w:val="21"/>
              </w:rPr>
            </w:pPr>
            <w:r>
              <w:rPr>
                <w:rFonts w:hint="eastAsia" w:ascii="宋体" w:hAnsi="宋体" w:eastAsia="宋体" w:cs="宋体"/>
                <w:snapToGrid w:val="0"/>
                <w:color w:val="auto"/>
                <w:kern w:val="0"/>
                <w:sz w:val="21"/>
                <w:szCs w:val="21"/>
                <w:lang w:eastAsia="zh-CN"/>
              </w:rPr>
              <w:t>偏差率=100%×（投标人评标价－评标基准价）/评标基准价偏差率保留 2 位小数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jc w:val="center"/>
        </w:trPr>
        <w:tc>
          <w:tcPr>
            <w:tcW w:w="1013" w:type="dxa"/>
            <w:noWrap w:val="0"/>
            <w:vAlign w:val="center"/>
          </w:tcPr>
          <w:p>
            <w:pPr>
              <w:pStyle w:val="10"/>
              <w:spacing w:line="360" w:lineRule="auto"/>
              <w:jc w:val="center"/>
              <w:rPr>
                <w:rFonts w:hint="eastAsia" w:ascii="宋体" w:hAnsi="宋体" w:eastAsia="宋体" w:cs="宋体"/>
                <w:snapToGrid w:val="0"/>
                <w:color w:val="auto"/>
                <w:spacing w:val="-3"/>
                <w:kern w:val="0"/>
                <w:sz w:val="21"/>
                <w:szCs w:val="21"/>
              </w:rPr>
            </w:pPr>
            <w:r>
              <w:rPr>
                <w:rFonts w:hint="eastAsia" w:ascii="宋体" w:hAnsi="宋体" w:eastAsia="宋体" w:cs="宋体"/>
                <w:snapToGrid w:val="0"/>
                <w:color w:val="auto"/>
                <w:spacing w:val="-3"/>
                <w:kern w:val="0"/>
                <w:sz w:val="21"/>
                <w:szCs w:val="21"/>
              </w:rPr>
              <w:t>条款号</w:t>
            </w:r>
          </w:p>
        </w:tc>
        <w:tc>
          <w:tcPr>
            <w:tcW w:w="1501" w:type="dxa"/>
            <w:noWrap w:val="0"/>
            <w:vAlign w:val="center"/>
          </w:tcPr>
          <w:p>
            <w:pPr>
              <w:pStyle w:val="10"/>
              <w:spacing w:line="360" w:lineRule="auto"/>
              <w:jc w:val="center"/>
              <w:rPr>
                <w:rFonts w:hint="eastAsia" w:ascii="宋体" w:hAnsi="宋体" w:eastAsia="宋体" w:cs="宋体"/>
                <w:snapToGrid w:val="0"/>
                <w:color w:val="auto"/>
                <w:spacing w:val="-3"/>
                <w:kern w:val="0"/>
                <w:sz w:val="21"/>
                <w:szCs w:val="21"/>
              </w:rPr>
            </w:pPr>
            <w:r>
              <w:rPr>
                <w:rFonts w:hint="eastAsia" w:ascii="宋体" w:hAnsi="宋体" w:eastAsia="宋体" w:cs="宋体"/>
                <w:snapToGrid w:val="0"/>
                <w:color w:val="auto"/>
                <w:spacing w:val="-3"/>
                <w:kern w:val="0"/>
                <w:sz w:val="21"/>
                <w:szCs w:val="21"/>
              </w:rPr>
              <w:t>评分因素</w:t>
            </w:r>
          </w:p>
        </w:tc>
        <w:tc>
          <w:tcPr>
            <w:tcW w:w="6384" w:type="dxa"/>
            <w:noWrap w:val="0"/>
            <w:vAlign w:val="center"/>
          </w:tcPr>
          <w:p>
            <w:pPr>
              <w:pStyle w:val="10"/>
              <w:spacing w:line="360" w:lineRule="auto"/>
              <w:jc w:val="center"/>
              <w:rPr>
                <w:rFonts w:hint="eastAsia" w:ascii="宋体" w:hAnsi="宋体" w:eastAsia="宋体" w:cs="宋体"/>
                <w:snapToGrid w:val="0"/>
                <w:color w:val="auto"/>
                <w:spacing w:val="-3"/>
                <w:kern w:val="0"/>
                <w:sz w:val="21"/>
                <w:szCs w:val="21"/>
              </w:rPr>
            </w:pPr>
            <w:r>
              <w:rPr>
                <w:rFonts w:hint="eastAsia" w:ascii="宋体" w:hAnsi="宋体" w:eastAsia="宋体" w:cs="宋体"/>
                <w:snapToGrid w:val="0"/>
                <w:color w:val="auto"/>
                <w:spacing w:val="-3"/>
                <w:kern w:val="0"/>
                <w:sz w:val="21"/>
                <w:szCs w:val="21"/>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013" w:type="dxa"/>
            <w:noWrap w:val="0"/>
            <w:vAlign w:val="top"/>
          </w:tcPr>
          <w:p>
            <w:pPr>
              <w:pStyle w:val="10"/>
              <w:spacing w:line="360" w:lineRule="auto"/>
              <w:rPr>
                <w:color w:val="auto"/>
                <w:sz w:val="21"/>
                <w:szCs w:val="21"/>
              </w:rPr>
            </w:pPr>
          </w:p>
          <w:p>
            <w:pPr>
              <w:pStyle w:val="10"/>
              <w:spacing w:line="360" w:lineRule="auto"/>
              <w:rPr>
                <w:color w:val="auto"/>
                <w:sz w:val="21"/>
                <w:szCs w:val="21"/>
              </w:rPr>
            </w:pPr>
          </w:p>
          <w:p>
            <w:pPr>
              <w:pStyle w:val="10"/>
              <w:spacing w:line="360" w:lineRule="auto"/>
              <w:rPr>
                <w:color w:val="auto"/>
                <w:sz w:val="21"/>
                <w:szCs w:val="21"/>
              </w:rPr>
            </w:pPr>
          </w:p>
          <w:p>
            <w:pPr>
              <w:pStyle w:val="10"/>
              <w:spacing w:before="5" w:line="360" w:lineRule="auto"/>
              <w:rPr>
                <w:color w:val="auto"/>
                <w:sz w:val="21"/>
                <w:szCs w:val="21"/>
              </w:rPr>
            </w:pPr>
          </w:p>
          <w:p>
            <w:pPr>
              <w:pStyle w:val="10"/>
              <w:spacing w:line="360" w:lineRule="auto"/>
              <w:ind w:left="87" w:leftChars="0" w:right="84" w:rightChars="0"/>
              <w:jc w:val="center"/>
              <w:rPr>
                <w:color w:val="auto"/>
                <w:w w:val="65"/>
                <w:sz w:val="21"/>
                <w:szCs w:val="21"/>
              </w:rPr>
            </w:pPr>
            <w:r>
              <w:rPr>
                <w:color w:val="auto"/>
                <w:sz w:val="21"/>
                <w:szCs w:val="21"/>
              </w:rPr>
              <w:t>2.2.4</w:t>
            </w:r>
          </w:p>
        </w:tc>
        <w:tc>
          <w:tcPr>
            <w:tcW w:w="1501" w:type="dxa"/>
            <w:noWrap w:val="0"/>
            <w:vAlign w:val="top"/>
          </w:tcPr>
          <w:p>
            <w:pPr>
              <w:pStyle w:val="10"/>
              <w:spacing w:line="360" w:lineRule="auto"/>
              <w:rPr>
                <w:color w:val="auto"/>
                <w:sz w:val="21"/>
                <w:szCs w:val="21"/>
              </w:rPr>
            </w:pPr>
          </w:p>
          <w:p>
            <w:pPr>
              <w:pStyle w:val="10"/>
              <w:spacing w:line="360" w:lineRule="auto"/>
              <w:rPr>
                <w:color w:val="auto"/>
                <w:sz w:val="21"/>
                <w:szCs w:val="21"/>
              </w:rPr>
            </w:pPr>
          </w:p>
          <w:p>
            <w:pPr>
              <w:pStyle w:val="10"/>
              <w:spacing w:before="135" w:line="360" w:lineRule="auto"/>
              <w:ind w:left="161" w:leftChars="0" w:right="158" w:rightChars="0"/>
              <w:jc w:val="center"/>
              <w:rPr>
                <w:color w:val="auto"/>
                <w:spacing w:val="-2"/>
                <w:sz w:val="21"/>
                <w:szCs w:val="21"/>
              </w:rPr>
            </w:pPr>
            <w:r>
              <w:rPr>
                <w:color w:val="auto"/>
                <w:spacing w:val="-4"/>
                <w:sz w:val="21"/>
                <w:szCs w:val="21"/>
              </w:rPr>
              <w:t>第二信封评标</w:t>
            </w:r>
            <w:r>
              <w:rPr>
                <w:color w:val="auto"/>
                <w:sz w:val="21"/>
                <w:szCs w:val="21"/>
              </w:rPr>
              <w:t>价</w:t>
            </w:r>
          </w:p>
        </w:tc>
        <w:tc>
          <w:tcPr>
            <w:tcW w:w="6384" w:type="dxa"/>
            <w:noWrap w:val="0"/>
            <w:vAlign w:val="top"/>
          </w:tcPr>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 xml:space="preserve">评标价得分计算公式示例: </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 xml:space="preserve">(1)如果投标人的评标价&gt;评标基准价,则评标价得分=100-偏差率×100×E1； </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 xml:space="preserve">(2)如果投标的人评标价≤评标基准价,则评标价得分=100+偏差率×100×E2； </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其中:E1 是评标价每高于评标基准价1个百分点的扣分值；E2 是评标价每低于评标基准价1个百分点的扣分值；招标人可依据招标项目具体特点和实际需要设置E1、E2，但E1大于E2。</w:t>
            </w:r>
          </w:p>
          <w:p>
            <w:pPr>
              <w:pStyle w:val="10"/>
              <w:spacing w:before="9" w:line="360" w:lineRule="auto"/>
              <w:rPr>
                <w:color w:val="auto"/>
                <w:sz w:val="21"/>
                <w:szCs w:val="21"/>
              </w:rPr>
            </w:pPr>
            <w:r>
              <w:rPr>
                <w:rFonts w:hint="eastAsia" w:ascii="宋体" w:hAnsi="宋体" w:eastAsia="宋体" w:cs="宋体"/>
                <w:snapToGrid w:val="0"/>
                <w:color w:val="auto"/>
                <w:kern w:val="0"/>
                <w:sz w:val="21"/>
                <w:szCs w:val="21"/>
                <w:lang w:eastAsia="zh-CN"/>
              </w:rPr>
              <w:t>本项目E1=2、E2=1。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898" w:type="dxa"/>
            <w:gridSpan w:val="3"/>
            <w:noWrap w:val="0"/>
            <w:vAlign w:val="top"/>
          </w:tcPr>
          <w:p>
            <w:pPr>
              <w:pStyle w:val="10"/>
              <w:spacing w:line="360" w:lineRule="auto"/>
              <w:ind w:left="317" w:leftChars="0"/>
              <w:rPr>
                <w:rFonts w:hint="eastAsia"/>
                <w:color w:val="auto"/>
                <w:sz w:val="21"/>
                <w:szCs w:val="21"/>
              </w:rPr>
            </w:pPr>
            <w:r>
              <w:rPr>
                <w:color w:val="auto"/>
                <w:sz w:val="21"/>
                <w:szCs w:val="21"/>
              </w:rPr>
              <w:t>需要补充的其他内容：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jc w:val="center"/>
        </w:trPr>
        <w:tc>
          <w:tcPr>
            <w:tcW w:w="1013" w:type="dxa"/>
            <w:noWrap w:val="0"/>
            <w:vAlign w:val="center"/>
          </w:tcPr>
          <w:p>
            <w:pPr>
              <w:pStyle w:val="10"/>
              <w:spacing w:line="360" w:lineRule="auto"/>
              <w:jc w:val="center"/>
              <w:rPr>
                <w:rFonts w:hint="eastAsia" w:ascii="宋体" w:hAnsi="宋体" w:eastAsia="宋体" w:cs="宋体"/>
                <w:snapToGrid w:val="0"/>
                <w:color w:val="auto"/>
                <w:spacing w:val="-3"/>
                <w:kern w:val="0"/>
                <w:sz w:val="21"/>
                <w:szCs w:val="21"/>
                <w:lang w:val="en-US" w:eastAsia="zh-CN"/>
              </w:rPr>
            </w:pPr>
            <w:r>
              <w:rPr>
                <w:rFonts w:hint="eastAsia" w:ascii="宋体" w:hAnsi="宋体" w:eastAsia="宋体" w:cs="宋体"/>
                <w:snapToGrid w:val="0"/>
                <w:color w:val="auto"/>
                <w:spacing w:val="-3"/>
                <w:kern w:val="0"/>
                <w:sz w:val="21"/>
                <w:szCs w:val="21"/>
              </w:rPr>
              <w:t>条款号</w:t>
            </w:r>
          </w:p>
        </w:tc>
        <w:tc>
          <w:tcPr>
            <w:tcW w:w="7885" w:type="dxa"/>
            <w:gridSpan w:val="2"/>
            <w:noWrap w:val="0"/>
            <w:vAlign w:val="center"/>
          </w:tcPr>
          <w:p>
            <w:pPr>
              <w:pStyle w:val="10"/>
              <w:spacing w:line="360" w:lineRule="auto"/>
              <w:jc w:val="center"/>
              <w:rPr>
                <w:rFonts w:hint="eastAsia" w:ascii="宋体" w:hAnsi="宋体" w:eastAsia="宋体" w:cs="宋体"/>
                <w:snapToGrid w:val="0"/>
                <w:color w:val="auto"/>
                <w:spacing w:val="-3"/>
                <w:kern w:val="0"/>
                <w:sz w:val="21"/>
                <w:szCs w:val="21"/>
                <w:lang w:eastAsia="zh-CN"/>
              </w:rPr>
            </w:pPr>
            <w:r>
              <w:rPr>
                <w:rFonts w:hint="eastAsia" w:ascii="宋体" w:hAnsi="宋体" w:eastAsia="宋体" w:cs="宋体"/>
                <w:snapToGrid w:val="0"/>
                <w:color w:val="auto"/>
                <w:spacing w:val="-3"/>
                <w:kern w:val="0"/>
                <w:sz w:val="21"/>
                <w:szCs w:val="21"/>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013" w:type="dxa"/>
            <w:noWrap w:val="0"/>
            <w:vAlign w:val="center"/>
          </w:tcPr>
          <w:p>
            <w:pPr>
              <w:spacing w:line="204" w:lineRule="auto"/>
              <w:ind w:firstLine="157" w:firstLineChars="0"/>
              <w:jc w:val="both"/>
              <w:rPr>
                <w:rFonts w:hint="eastAsia" w:ascii="宋体" w:hAnsi="宋体" w:eastAsia="宋体" w:cs="宋体"/>
                <w:color w:val="auto"/>
                <w:spacing w:val="-1"/>
                <w:sz w:val="21"/>
                <w:szCs w:val="21"/>
                <w:lang w:val="en-US" w:eastAsia="zh-CN"/>
              </w:rPr>
            </w:pPr>
          </w:p>
        </w:tc>
        <w:tc>
          <w:tcPr>
            <w:tcW w:w="7885" w:type="dxa"/>
            <w:gridSpan w:val="2"/>
            <w:noWrap w:val="0"/>
            <w:vAlign w:val="center"/>
          </w:tcPr>
          <w:p>
            <w:pPr>
              <w:pStyle w:val="10"/>
              <w:numPr>
                <w:ilvl w:val="0"/>
                <w:numId w:val="2"/>
              </w:numPr>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评标办法</w:t>
            </w:r>
          </w:p>
          <w:p>
            <w:pPr>
              <w:pStyle w:val="10"/>
              <w:numPr>
                <w:ilvl w:val="0"/>
                <w:numId w:val="0"/>
              </w:numPr>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本条细化为：</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本次评标采用双信封形式合理低价法。</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val="en-US" w:eastAsia="zh-CN"/>
              </w:rPr>
              <w:t>1.1</w:t>
            </w:r>
            <w:r>
              <w:rPr>
                <w:rFonts w:hint="eastAsia" w:ascii="宋体" w:hAnsi="宋体" w:eastAsia="宋体" w:cs="宋体"/>
                <w:snapToGrid w:val="0"/>
                <w:color w:val="auto"/>
                <w:kern w:val="0"/>
                <w:sz w:val="21"/>
                <w:szCs w:val="21"/>
                <w:lang w:eastAsia="zh-CN"/>
              </w:rPr>
              <w:t>评标委员会首先对投标文件第一个信封（商务与技术文件）进行初步评审（形式评审与响应性评审、资格评审），通过第一个信封初步评审后的投标文件方可进入第二个信封的开标。</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val="en-US" w:eastAsia="zh-CN"/>
              </w:rPr>
              <w:t>1.2</w:t>
            </w:r>
            <w:r>
              <w:rPr>
                <w:rFonts w:hint="eastAsia" w:ascii="宋体" w:hAnsi="宋体" w:eastAsia="宋体" w:cs="宋体"/>
                <w:snapToGrid w:val="0"/>
                <w:color w:val="auto"/>
                <w:kern w:val="0"/>
                <w:sz w:val="21"/>
                <w:szCs w:val="21"/>
                <w:lang w:eastAsia="zh-CN"/>
              </w:rPr>
              <w:t>第二个信封的开标在监督部门的监督下进行，未通过第一个信封初步评审投标人的第二个信封电子文件不予读取。</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val="en-US" w:eastAsia="zh-CN"/>
              </w:rPr>
              <w:t>1.3</w:t>
            </w:r>
            <w:r>
              <w:rPr>
                <w:rFonts w:hint="eastAsia" w:ascii="宋体" w:hAnsi="宋体" w:eastAsia="宋体" w:cs="宋体"/>
                <w:snapToGrid w:val="0"/>
                <w:color w:val="auto"/>
                <w:kern w:val="0"/>
                <w:sz w:val="21"/>
                <w:szCs w:val="21"/>
                <w:lang w:eastAsia="zh-CN"/>
              </w:rPr>
              <w:t>评标委员会对投标文件第二个信封进行形式和响应性评审，并按照本章第 2.2 款规定的评分标准进行评分，然后按最终得分（最终得分即评标价得分加信用加分）由高到低顺序确定中标候选人推荐排序，但投标报价低于其成本的除外。</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当两家及以上投标人在标段中的最终得分相等时，若评标价不相等，以评标价较低者优先；当两家及以上投标人在标段中的最终得分相等且评标价也相等时，若各投标人工程量清单子目单价也相同时，视为串标，其投标均被否决。</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val="en-US" w:eastAsia="zh-CN"/>
              </w:rPr>
              <w:t>1.4</w:t>
            </w:r>
            <w:r>
              <w:rPr>
                <w:rFonts w:hint="eastAsia" w:ascii="宋体" w:hAnsi="宋体" w:eastAsia="宋体" w:cs="宋体"/>
                <w:snapToGrid w:val="0"/>
                <w:color w:val="auto"/>
                <w:kern w:val="0"/>
                <w:sz w:val="21"/>
                <w:szCs w:val="21"/>
                <w:lang w:eastAsia="zh-CN"/>
              </w:rPr>
              <w:t>评标委员会将按照本条第1条中确定的先后排序依次推荐第一、第二、第三中标候选人。</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val="en-US" w:eastAsia="zh-CN"/>
              </w:rPr>
              <w:t>1.5</w:t>
            </w:r>
            <w:r>
              <w:rPr>
                <w:rFonts w:hint="eastAsia" w:ascii="宋体" w:hAnsi="宋体" w:eastAsia="宋体" w:cs="宋体"/>
                <w:snapToGrid w:val="0"/>
                <w:color w:val="auto"/>
                <w:kern w:val="0"/>
                <w:sz w:val="21"/>
                <w:szCs w:val="21"/>
                <w:lang w:eastAsia="zh-CN"/>
              </w:rPr>
              <w:t>通过第一个信封评审的投标人在3个及以上的，招标人将按规定的程序进行第二个信封开标；在对第二个信封进行评审后，有效投标不足3个使得投标明显缺乏竞争的，评标委员会可以否决全部投标。评标委员会未否决全部投标的，应当在评标报告中阐明理由并推荐中标候选人。</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val="en-US" w:eastAsia="zh-CN"/>
              </w:rPr>
              <w:t>1.6</w:t>
            </w:r>
            <w:r>
              <w:rPr>
                <w:rFonts w:hint="eastAsia" w:ascii="宋体" w:hAnsi="宋体" w:eastAsia="宋体" w:cs="宋体"/>
                <w:snapToGrid w:val="0"/>
                <w:color w:val="auto"/>
                <w:kern w:val="0"/>
                <w:sz w:val="21"/>
                <w:szCs w:val="21"/>
                <w:lang w:eastAsia="zh-CN"/>
              </w:rPr>
              <w:t>在评审过程中评标委员会认为投标人有围标串标、哄抬或压低标价谋取中标的嫌疑，评标委员会有权做出废标或重新招标。</w:t>
            </w:r>
          </w:p>
          <w:p>
            <w:pPr>
              <w:pStyle w:val="10"/>
              <w:spacing w:before="9" w:line="360" w:lineRule="auto"/>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eastAsia="zh-CN"/>
              </w:rPr>
              <w:t>通过第一个信封评审的投标人少于3个的，评标委员会可以否决全部投标；未否决全部投标的，评标委员会应当在评标报告中阐明理由，招标人将按规定的程序进行第二个信封（报价文件）开标，但评标委员会在进行第二个信封评审时仍有权否决全部投标；评标委员会未在第二个信封评审时否决全部投标的，应当在评标报告中阐明理由并推荐中标候选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013" w:type="dxa"/>
            <w:noWrap w:val="0"/>
            <w:vAlign w:val="center"/>
          </w:tcPr>
          <w:p>
            <w:pPr>
              <w:spacing w:line="204" w:lineRule="auto"/>
              <w:ind w:firstLine="157" w:firstLineChars="0"/>
              <w:jc w:val="both"/>
              <w:rPr>
                <w:rFonts w:hint="eastAsia" w:ascii="宋体" w:hAnsi="宋体" w:eastAsia="宋体" w:cs="宋体"/>
                <w:color w:val="auto"/>
                <w:spacing w:val="-1"/>
                <w:sz w:val="21"/>
                <w:szCs w:val="21"/>
                <w:lang w:val="en-US" w:eastAsia="zh-CN"/>
              </w:rPr>
            </w:pPr>
          </w:p>
        </w:tc>
        <w:tc>
          <w:tcPr>
            <w:tcW w:w="7885" w:type="dxa"/>
            <w:gridSpan w:val="2"/>
            <w:noWrap w:val="0"/>
            <w:vAlign w:val="center"/>
          </w:tcPr>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3.5.2 条细化为：</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3.5.2 评标委员会应对在评标过程中发现的投标人与投标人之间、投标人与招标人之间存在的串通投标的情形进行评审和认定。投标人存在串通投标、弄虚作假、行贿等违法行为的，评标委员会应否决其投标。</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（1）有下列情形之一的，属于投标人相互串通投标： a.投标人之间协商投标报价等投标文件的实质性内容； b.投标人之间约定中标人；</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c.投标人之间约定部分投标人放弃投标或者中标；</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 xml:space="preserve">d.属于同一集团、协会、商会等组织成员的投标人按照该组织要求协同投标； </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e.投标人之间为谋取中标或排斥特定投标人而采取的其他联合行动。</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（2）有下列情形之一的，视为投标人相互串通投标： a.不同投标人的投标文件由同一单位或者个人编制； b.不同投标人委托同一单位或者个人办理投标事宜；</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c.不同投标人的投标文件载明的项目管理成员为同一人；</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d.不同投标人的投标文件异常一致或者投标报价呈规律性差异； e.不同投标人的投标文件相互混装；</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f.不同投标人的投标保证金从同一单位或者个人的账户转出。 g.不同投标人编制的投标文件存在两处以上相同错误的；</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h.不同投标人的投标文件由同一投标人编制或者打印、复印的； i.不同投标人的投标文件由同一投标人送达或者分发的；</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参加投标活动的人员为同一项目其他投标人的在职人员的；</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不同投标人的法定代表人或者委托代理人、项目负责人、项目总监等人员有在同一单位缴纳社会保险的；</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不同投标人的投标保证金由同一自然人、法人、其他组织账户或者同一账户资金缴纳，或者不同投标人的投标保证金从各自的基本账户转出，但所需资金来自同一自然人、法人或者其他组织账户的；</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不同投标人参与同一项目招标投标活动中，使用的计算机网卡 MAC 地址、CPU序列号、硬盘序列号、加密锁序列号等信息相同的。</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（3）有下列情形之一的，属于招标人与投标人串通投标：</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a.招标人在开标前开启投标文件并将有关信息泄露给其他投标人；</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b.招标人直接或者间接向投标人泄露标底、评标委员会成员等信息； c.招标人明示或者暗示投标人压低或者抬高投标报价；</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招标人授意投标人撤换、修改投标文件；</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招标人明示或者暗示投标人为特定投标人中标提供方便；</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招标人与投标人为谋求特定投标人中标而采取的其他串通行为。</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（4）有下列情形之一的，应当视为招标人、招标代理机构、评标委员会成员与投标人串通投标：</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招标人、招标代理机构故意损毁、篡改特定的投标文件内容，或者在资格预审时损毁、篡改特定的资格预审申请文件内容的；</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招标人、招标代理机构、评标委员会成员直接或者间接向投标人或者投标人的利害关系人泄漏获取资格预审文件或者通过资格预审的申请人的名称、数量的；或者泄漏获取招标文件的潜在投标人的名称、数量的；</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招标人、招标代理机构、评标委员会成员直接或者间接向投标人或者投标人的利害关系人泄漏资格审查或者评标情况的；</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招标人、招标代理机构以胁迫、劝退、利诱等方式，使特定投标人以外的其他投标人放弃投标或者中标人放弃中标的；</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在依法必须进行招标的项目的中标人确定前，投标人已经开展该项目招标范围内的工作  的。</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（5）投标人有下列情形之一的，属于弄虚作假的行为：</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a.使用通过受让或者租借等方式获取的资格、资质证书投标； b.使用伪造、变造的许可证件；</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c.提供虚假的财务状况或者业绩、荣誉；</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d.提供虚假的项目负责人或主要技术人员简历、劳动关系证明； e.提供虚假的信用状况；</w:t>
            </w:r>
          </w:p>
          <w:p>
            <w:pPr>
              <w:pStyle w:val="10"/>
              <w:spacing w:before="9" w:line="360" w:lineRule="auto"/>
              <w:rPr>
                <w:color w:val="auto"/>
              </w:rPr>
            </w:pPr>
            <w:r>
              <w:rPr>
                <w:rFonts w:hint="eastAsia" w:ascii="宋体" w:hAnsi="宋体" w:eastAsia="宋体" w:cs="宋体"/>
                <w:snapToGrid w:val="0"/>
                <w:color w:val="auto"/>
                <w:kern w:val="0"/>
                <w:sz w:val="21"/>
                <w:szCs w:val="21"/>
                <w:lang w:eastAsia="zh-CN"/>
              </w:rPr>
              <w:t>f.其他弄虚作假的行为。</w:t>
            </w:r>
          </w:p>
        </w:tc>
      </w:tr>
    </w:tbl>
    <w:p>
      <w:pPr>
        <w:pStyle w:val="3"/>
        <w:spacing w:before="70" w:line="364" w:lineRule="auto"/>
        <w:ind w:left="220" w:right="229" w:firstLine="314"/>
        <w:jc w:val="both"/>
        <w:rPr>
          <w:rFonts w:hint="eastAsia" w:ascii="宋体" w:hAnsi="宋体" w:eastAsia="宋体" w:cs="宋体"/>
          <w:snapToGrid w:val="0"/>
          <w:color w:val="auto"/>
          <w:kern w:val="0"/>
          <w:sz w:val="21"/>
          <w:szCs w:val="24"/>
          <w:highlight w:val="none"/>
          <w:lang w:eastAsia="zh-CN"/>
        </w:rPr>
      </w:pPr>
    </w:p>
    <w:p>
      <w:pPr>
        <w:pStyle w:val="3"/>
        <w:spacing w:before="70" w:line="364" w:lineRule="auto"/>
        <w:ind w:left="220" w:right="229" w:firstLine="314"/>
        <w:jc w:val="both"/>
        <w:rPr>
          <w:rFonts w:hint="eastAsia" w:ascii="宋体" w:hAnsi="宋体" w:eastAsia="宋体" w:cs="宋体"/>
          <w:snapToGrid w:val="0"/>
          <w:color w:val="auto"/>
          <w:kern w:val="0"/>
          <w:sz w:val="21"/>
          <w:szCs w:val="24"/>
          <w:highlight w:val="none"/>
          <w:lang w:eastAsia="zh-CN"/>
        </w:rPr>
      </w:pPr>
      <w:r>
        <w:rPr>
          <w:rFonts w:hint="eastAsia" w:ascii="宋体" w:hAnsi="宋体" w:eastAsia="宋体" w:cs="宋体"/>
          <w:snapToGrid w:val="0"/>
          <w:color w:val="auto"/>
          <w:kern w:val="0"/>
          <w:sz w:val="21"/>
          <w:szCs w:val="24"/>
          <w:highlight w:val="none"/>
          <w:lang w:eastAsia="zh-CN"/>
        </w:rPr>
        <w:t>“评标办法前附表”用于进一步明确正文中的未尽事宜，由招标人根据招标项目具体特点和实际需要编制和填写。评标办法前附表是对评标办法正文的补充和细化，应对照评标办法正文中同一编号的条款一起阅读和理解。如前附表与正文表述不一致时，以前附表的规定为准。</w:t>
      </w:r>
    </w:p>
    <w:p>
      <w:pPr>
        <w:spacing w:before="3"/>
        <w:ind w:left="220"/>
        <w:outlineLvl w:val="9"/>
        <w:rPr>
          <w:color w:val="auto"/>
        </w:rPr>
      </w:pPr>
    </w:p>
    <w:p>
      <w:pPr>
        <w:pStyle w:val="6"/>
        <w:rPr>
          <w:rFonts w:ascii="宋体" w:hAnsi="宋体" w:eastAsia="宋体" w:cs="宋体"/>
          <w:color w:val="auto"/>
          <w:spacing w:val="-3"/>
          <w:sz w:val="24"/>
          <w:szCs w:val="24"/>
        </w:rPr>
        <w:sectPr>
          <w:headerReference r:id="rId7" w:type="default"/>
          <w:footerReference r:id="rId8" w:type="default"/>
          <w:pgSz w:w="11907" w:h="16841"/>
          <w:pgMar w:top="1166" w:right="1584" w:bottom="1045" w:left="1615" w:header="883" w:footer="922" w:gutter="0"/>
          <w:pgNumType w:fmt="decimal"/>
          <w:cols w:space="720" w:num="1"/>
        </w:sectPr>
      </w:pPr>
    </w:p>
    <w:p>
      <w:pPr>
        <w:numPr>
          <w:ilvl w:val="0"/>
          <w:numId w:val="0"/>
        </w:numPr>
        <w:spacing w:line="360" w:lineRule="auto"/>
        <w:ind w:leftChars="0"/>
        <w:outlineLvl w:val="2"/>
        <w:rPr>
          <w:rFonts w:hint="eastAsia" w:ascii="宋体" w:hAnsi="宋体" w:eastAsia="宋体" w:cs="宋体"/>
          <w:b/>
          <w:bCs/>
          <w:color w:val="auto"/>
          <w:sz w:val="21"/>
          <w:szCs w:val="24"/>
          <w:highlight w:val="none"/>
          <w:lang w:eastAsia="zh-CN"/>
        </w:rPr>
      </w:pPr>
      <w:bookmarkStart w:id="10" w:name="_Toc26315"/>
      <w:bookmarkStart w:id="11" w:name="_Toc13955"/>
      <w:bookmarkStart w:id="12" w:name="_Toc30646"/>
      <w:bookmarkStart w:id="13" w:name="_Toc6449"/>
      <w:r>
        <w:rPr>
          <w:rFonts w:hint="eastAsia" w:ascii="宋体" w:hAnsi="宋体" w:eastAsia="宋体" w:cs="宋体"/>
          <w:b/>
          <w:bCs/>
          <w:color w:val="auto"/>
          <w:sz w:val="21"/>
          <w:szCs w:val="24"/>
          <w:highlight w:val="none"/>
          <w:lang w:eastAsia="zh-CN"/>
        </w:rPr>
        <w:t>1.评标方法</w:t>
      </w:r>
      <w:bookmarkEnd w:id="10"/>
      <w:bookmarkEnd w:id="11"/>
      <w:bookmarkEnd w:id="12"/>
      <w:bookmarkEnd w:id="13"/>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本次评标采用合理低价法。评标委员会对满足招标文件实质性要求的投标文件，按照本章第2.2款规定的评分标准进行打分，并按得分由高到低顺序推荐中标候选人，但投标报价低于其成本的除外。综合评分相等时，评标委员会应按照评标办法前附表规定的优先次序推荐中标候选人。</w:t>
      </w:r>
    </w:p>
    <w:p>
      <w:pPr>
        <w:numPr>
          <w:ilvl w:val="0"/>
          <w:numId w:val="0"/>
        </w:numPr>
        <w:spacing w:line="360" w:lineRule="auto"/>
        <w:ind w:leftChars="0"/>
        <w:outlineLvl w:val="2"/>
        <w:rPr>
          <w:rFonts w:hint="eastAsia" w:ascii="宋体" w:hAnsi="宋体" w:eastAsia="宋体" w:cs="宋体"/>
          <w:b/>
          <w:bCs/>
          <w:color w:val="auto"/>
          <w:sz w:val="21"/>
          <w:szCs w:val="24"/>
          <w:highlight w:val="none"/>
          <w:lang w:eastAsia="zh-CN"/>
        </w:rPr>
      </w:pPr>
      <w:bookmarkStart w:id="14" w:name="_Toc19814"/>
      <w:bookmarkStart w:id="15" w:name="_Toc7388"/>
      <w:bookmarkStart w:id="16" w:name="_Toc23736"/>
      <w:bookmarkStart w:id="17" w:name="_Toc23967"/>
      <w:r>
        <w:rPr>
          <w:rFonts w:hint="eastAsia" w:ascii="宋体" w:hAnsi="宋体" w:eastAsia="宋体" w:cs="宋体"/>
          <w:b/>
          <w:bCs/>
          <w:color w:val="auto"/>
          <w:sz w:val="21"/>
          <w:szCs w:val="24"/>
          <w:highlight w:val="none"/>
          <w:lang w:eastAsia="zh-CN"/>
        </w:rPr>
        <w:t>2.评审标准</w:t>
      </w:r>
      <w:bookmarkEnd w:id="14"/>
      <w:bookmarkEnd w:id="15"/>
      <w:bookmarkEnd w:id="16"/>
      <w:bookmarkEnd w:id="17"/>
    </w:p>
    <w:p>
      <w:pPr>
        <w:numPr>
          <w:ilvl w:val="0"/>
          <w:numId w:val="0"/>
        </w:numPr>
        <w:spacing w:line="360" w:lineRule="auto"/>
        <w:ind w:leftChars="0" w:firstLine="420" w:firstLineChars="0"/>
        <w:outlineLvl w:val="2"/>
        <w:rPr>
          <w:rFonts w:hint="eastAsia" w:ascii="宋体" w:hAnsi="宋体" w:eastAsia="宋体" w:cs="宋体"/>
          <w:color w:val="auto"/>
          <w:sz w:val="21"/>
          <w:szCs w:val="24"/>
          <w:highlight w:val="none"/>
          <w:lang w:eastAsia="zh-CN"/>
        </w:rPr>
      </w:pPr>
      <w:bookmarkStart w:id="18" w:name="_Toc29520"/>
      <w:bookmarkStart w:id="19" w:name="_Toc9470"/>
      <w:bookmarkStart w:id="20" w:name="_Toc673"/>
      <w:bookmarkStart w:id="21" w:name="_Toc32169"/>
      <w:r>
        <w:rPr>
          <w:rFonts w:hint="eastAsia" w:ascii="宋体" w:hAnsi="宋体" w:eastAsia="宋体" w:cs="宋体"/>
          <w:color w:val="auto"/>
          <w:sz w:val="21"/>
          <w:szCs w:val="24"/>
          <w:highlight w:val="none"/>
          <w:lang w:eastAsia="zh-CN"/>
        </w:rPr>
        <w:t>2.1初步评审标准</w:t>
      </w:r>
      <w:bookmarkEnd w:id="18"/>
      <w:bookmarkEnd w:id="19"/>
      <w:bookmarkEnd w:id="20"/>
      <w:bookmarkEnd w:id="21"/>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2.1.1形式评审标准：见评标办法前附表。</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2.1.2资格评审标准：见评标办法前附表（适用于未进行资格预审的）。</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2.1.3响应性评审标准：见评标办法前附表。</w:t>
      </w:r>
    </w:p>
    <w:p>
      <w:pPr>
        <w:numPr>
          <w:ilvl w:val="0"/>
          <w:numId w:val="0"/>
        </w:numPr>
        <w:spacing w:line="360" w:lineRule="auto"/>
        <w:ind w:leftChars="0" w:firstLine="420" w:firstLineChars="0"/>
        <w:outlineLvl w:val="2"/>
        <w:rPr>
          <w:rFonts w:hint="eastAsia" w:ascii="宋体" w:hAnsi="宋体" w:eastAsia="宋体" w:cs="宋体"/>
          <w:color w:val="auto"/>
          <w:sz w:val="21"/>
          <w:szCs w:val="24"/>
          <w:highlight w:val="none"/>
          <w:lang w:eastAsia="zh-CN"/>
        </w:rPr>
      </w:pPr>
      <w:bookmarkStart w:id="22" w:name="_Toc28893"/>
      <w:bookmarkStart w:id="23" w:name="_Toc18439"/>
      <w:bookmarkStart w:id="24" w:name="_Toc19832"/>
      <w:bookmarkStart w:id="25" w:name="_Toc14775"/>
      <w:r>
        <w:rPr>
          <w:rFonts w:hint="eastAsia" w:ascii="宋体" w:hAnsi="宋体" w:eastAsia="宋体" w:cs="宋体"/>
          <w:color w:val="auto"/>
          <w:sz w:val="21"/>
          <w:szCs w:val="24"/>
          <w:highlight w:val="none"/>
          <w:lang w:eastAsia="zh-CN"/>
        </w:rPr>
        <w:t>2.2、分值构成与评分标准分值构成</w:t>
      </w:r>
      <w:bookmarkEnd w:id="22"/>
      <w:bookmarkEnd w:id="23"/>
      <w:bookmarkEnd w:id="24"/>
      <w:bookmarkEnd w:id="25"/>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评标价：见评标办法前附表。</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2.2.1评标基准价计算</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评标基准价计算方法：见评标办法前附表。</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2.2.2评标价的偏差率计算</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评标价的偏差率计算公式：见评标办法前附表。</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2.2.3评分标准</w:t>
      </w:r>
    </w:p>
    <w:p>
      <w:pPr>
        <w:numPr>
          <w:ilvl w:val="0"/>
          <w:numId w:val="0"/>
        </w:numPr>
        <w:spacing w:line="360" w:lineRule="auto"/>
        <w:ind w:leftChars="0" w:firstLine="420" w:firstLineChars="0"/>
        <w:rPr>
          <w:rFonts w:hint="eastAsia" w:ascii="宋体" w:hAnsi="宋体" w:eastAsia="宋体" w:cs="宋体"/>
          <w:b/>
          <w:bCs/>
          <w:color w:val="auto"/>
          <w:sz w:val="21"/>
          <w:szCs w:val="24"/>
          <w:highlight w:val="none"/>
          <w:lang w:eastAsia="zh-CN"/>
        </w:rPr>
      </w:pPr>
      <w:r>
        <w:rPr>
          <w:rFonts w:hint="eastAsia" w:ascii="宋体" w:hAnsi="宋体" w:eastAsia="宋体" w:cs="宋体"/>
          <w:b/>
          <w:bCs/>
          <w:color w:val="auto"/>
          <w:sz w:val="21"/>
          <w:szCs w:val="24"/>
          <w:highlight w:val="none"/>
          <w:lang w:eastAsia="zh-CN"/>
        </w:rPr>
        <w:t>评标价评分标准：见评标办法前附表</w:t>
      </w:r>
    </w:p>
    <w:p>
      <w:pPr>
        <w:numPr>
          <w:ilvl w:val="0"/>
          <w:numId w:val="0"/>
        </w:numPr>
        <w:spacing w:line="360" w:lineRule="auto"/>
        <w:ind w:leftChars="0"/>
        <w:outlineLvl w:val="2"/>
        <w:rPr>
          <w:rFonts w:hint="eastAsia" w:ascii="宋体" w:hAnsi="宋体" w:eastAsia="宋体" w:cs="宋体"/>
          <w:b/>
          <w:bCs/>
          <w:color w:val="auto"/>
          <w:sz w:val="21"/>
          <w:szCs w:val="24"/>
          <w:highlight w:val="none"/>
          <w:lang w:eastAsia="zh-CN"/>
        </w:rPr>
      </w:pPr>
      <w:bookmarkStart w:id="26" w:name="_Toc15788"/>
      <w:bookmarkStart w:id="27" w:name="_Toc21004"/>
      <w:bookmarkStart w:id="28" w:name="_Toc6203"/>
      <w:bookmarkStart w:id="29" w:name="_Toc31822"/>
      <w:r>
        <w:rPr>
          <w:rFonts w:hint="eastAsia" w:ascii="宋体" w:hAnsi="宋体" w:eastAsia="宋体" w:cs="宋体"/>
          <w:b/>
          <w:bCs/>
          <w:color w:val="auto"/>
          <w:sz w:val="21"/>
          <w:szCs w:val="24"/>
          <w:highlight w:val="none"/>
          <w:lang w:eastAsia="zh-CN"/>
        </w:rPr>
        <w:t>3.评标程序</w:t>
      </w:r>
      <w:bookmarkEnd w:id="26"/>
      <w:bookmarkEnd w:id="27"/>
      <w:bookmarkEnd w:id="28"/>
      <w:bookmarkEnd w:id="29"/>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3.1第一个信封初步评审</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3.1.1评标委员会可以要求投标人提交第二章“投标人须知”第3.5.1项至第3.5.6项规定的有关证明和证件的原件，以便核验。评标委员会依据本章第2.1款规定的标准对投标文件第一个信封（商务及技术文件）进行初步评审。有一项不符合评审标准的，评标委员会应否决其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3.1.2第二个信封开标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第一个封（商务及技术文件）评审</w:t>
      </w:r>
      <w:r>
        <w:rPr>
          <w:rFonts w:hint="eastAsia" w:ascii="宋体" w:hAnsi="宋体" w:eastAsia="宋体" w:cs="宋体"/>
          <w:color w:val="auto"/>
          <w:sz w:val="21"/>
          <w:szCs w:val="24"/>
          <w:highlight w:val="none"/>
          <w:lang w:val="en-US" w:eastAsia="zh-CN"/>
        </w:rPr>
        <w:t>结束</w:t>
      </w:r>
      <w:r>
        <w:rPr>
          <w:rFonts w:hint="eastAsia" w:ascii="宋体" w:hAnsi="宋体" w:eastAsia="宋体" w:cs="宋体"/>
          <w:color w:val="auto"/>
          <w:sz w:val="21"/>
          <w:szCs w:val="24"/>
          <w:highlight w:val="none"/>
          <w:lang w:eastAsia="zh-CN"/>
        </w:rPr>
        <w:t>后，招标人将按照第二章“投标人须知”第5.1款规定的时间和地点对通过投标文件第一个信封（商务及技术文件）评审的投标文件第二个信封（报价文件）进行开标。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3.2第二个信封初步评审</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3.2.1评标委员会依据本章第2.1.1项、第2.1.3项规定的评审标准对投标文件第二个信封（报价文件）进行初步评审。有一项不符合评审标准的，评标委员会应否决其投标。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3.2.2投标报价有算术错误的，评标委员会按以下原则对投标报价进行修正，修正的价格经投标人书面确认后具有约束力。投标人不接受修正价格的，评标委员会应否决其投标。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（1）投标文件中的大写金额与小写金额不一致的，以大写金额为准；</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（2）总价金额与依据单价计算出的结果不一致的，以单价</w:t>
      </w:r>
      <w:r>
        <w:rPr>
          <w:rFonts w:hint="eastAsia" w:ascii="宋体" w:hAnsi="宋体" w:eastAsia="宋体" w:cs="宋体"/>
          <w:color w:val="auto"/>
          <w:sz w:val="21"/>
          <w:szCs w:val="24"/>
          <w:highlight w:val="none"/>
          <w:lang w:val="en-US" w:eastAsia="zh-CN"/>
        </w:rPr>
        <w:t>金额</w:t>
      </w:r>
      <w:r>
        <w:rPr>
          <w:rFonts w:hint="eastAsia" w:ascii="宋体" w:hAnsi="宋体" w:eastAsia="宋体" w:cs="宋体"/>
          <w:color w:val="auto"/>
          <w:sz w:val="21"/>
          <w:szCs w:val="24"/>
          <w:highlight w:val="none"/>
          <w:lang w:eastAsia="zh-CN"/>
        </w:rPr>
        <w:t>为准修正总价，但单价金额小数点有明显错误的除外；</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（3）当单价与数量相乘不等于合价时，以单价计算为准，如果单价有明显的小数点位置差错，应以标出的合价为准，同时对单价予以修正；</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（4）当各子目的合价累计不等于总价时，应以各子目合价累计数为准，修正总价。</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3.3.1工程量清单中的投标报价有其他错误的，评标委员会按以下原则对投标报价进行修正，修正的价格经投标人书面确认后具有约束力。投标人不接受修正价格的，评标委员会应否决其投标。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在招标人给定的工程量清单中多报了某个工程子目的单价、合价或总额价，或所报单价、合价或总额价增加了报价范围，则从投标报价中扣除多报的工程子目报价或工程子目报价中</w:t>
      </w:r>
      <w:r>
        <w:rPr>
          <w:rFonts w:hint="eastAsia" w:ascii="宋体" w:hAnsi="宋体" w:cs="宋体"/>
          <w:color w:val="auto"/>
          <w:sz w:val="21"/>
          <w:szCs w:val="24"/>
          <w:highlight w:val="none"/>
          <w:lang w:eastAsia="zh-CN"/>
        </w:rPr>
        <w:t>增加</w:t>
      </w:r>
      <w:r>
        <w:rPr>
          <w:rFonts w:hint="eastAsia" w:ascii="宋体" w:hAnsi="宋体" w:eastAsia="宋体" w:cs="宋体"/>
          <w:color w:val="auto"/>
          <w:sz w:val="21"/>
          <w:szCs w:val="24"/>
          <w:highlight w:val="none"/>
          <w:lang w:eastAsia="zh-CN"/>
        </w:rPr>
        <w:t>了报价范围的部分报价。</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（3）当单价与数量的乘积与合价（金额）虽然一致，但投标人修改了该子目的工程数量，则其合价按招标人给定的工程数量乘以投标人所报单价予以修正。</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3.3.2修正后的最终投标报价若超过最高投标报价（如有），评标委员会应否决其投标。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3.3.3修正后的最终投标报价仅作为签订合同的一个依据，不参与评标价得分的计算。3.4第二个信封详细评审</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3.4.1评标委员会按本章第2.2款规定的量化因素和分值进行打分，并计算出综合评估得分（即评标价得分）。</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3.4.2投标人得分分值计算保留小数点后三位，小数点后第三位“四舍五入”。</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3.4.3评标委员会发现投标人的报价明显低于其他投标报价，使得其投标报价可能低于其个别成本的，应要求该投标人</w:t>
      </w:r>
      <w:r>
        <w:rPr>
          <w:rFonts w:hint="eastAsia" w:ascii="宋体" w:hAnsi="宋体" w:cs="宋体"/>
          <w:color w:val="auto"/>
          <w:sz w:val="21"/>
          <w:szCs w:val="24"/>
          <w:highlight w:val="none"/>
          <w:lang w:eastAsia="zh-CN"/>
        </w:rPr>
        <w:t>作出</w:t>
      </w:r>
      <w:r>
        <w:rPr>
          <w:rFonts w:hint="eastAsia" w:ascii="宋体" w:hAnsi="宋体" w:eastAsia="宋体" w:cs="宋体"/>
          <w:color w:val="auto"/>
          <w:sz w:val="21"/>
          <w:szCs w:val="24"/>
          <w:highlight w:val="none"/>
          <w:lang w:eastAsia="zh-CN"/>
        </w:rPr>
        <w:t>书面说明并提供相应的证明材料。投标人不能合理说明或不能提供相应证明材料的，评标委员会应认定该投标人以低于成本报价竞标，并否决其投标。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3.5投标文件相关信息的核查</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3.5.1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3.5.2评标委员会应对在评标过程中发现的投标人与投标人之间、投标人与招标人之间存在的串通投标的情形进行评审和认定。投标人存在串通投标、弄虚作假、行贿等违法行为的，评标委员会应否决其投标。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（1）有下列情形之一的，属于投标人相互串通投标：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a.投标人之间协商投标报价等投标文件的实质性内容；</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b.投标人之间约定中标人；</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c.投标人之间约定部分投标人放弃投标或中标；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d.属于同一集团、协会、商会等组织成员的投标人按照该组织要求协同投标；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e.投标人之间为谋取中标或排斥特定投标人而采取的其他联合行动。</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（2）有下列情形之一的，视为投标人相互串通投标：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a.不同投标人的投标文件由同一单位或个人编制；</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b.不同投标人委托同一单位或个人办理投标事宜；</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c.不同投标人的投标文件载明的项目管理成员为同一人；</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d.不同投标人的投标文件异常一致或投标报价呈规律性差异；</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e.不同投标人的投标文件相互混装；</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f.不同投标人的投标保证金从同一单位或个人的账户转出。</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（3）有下列情形之一的，属于招标人与投标人串通投标：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a.招标人在开标前开启投标文件并将有关信息泄露给其他投标人；</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b.招标人直接或间接向投标人泄露标底、评标委员会成员等信息；</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c.招标人明示或暗示投标人；</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d.招标人授意投标人撤换、修改投标文件；</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e.招标人明示或暗示投标人为特定投标人中标提供方便；</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f.招标人与投标人为谋求特定投标人中标而采取的其他串通行为。</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（4）投标人有下列情形之一的，属于弄虚作假的行为：</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a.使用通过受让或租借等方式获取的资格、资质证书投标；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b.使用伪造、变造的许可证件；</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c.提供虚假的财务状况或业绩；</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d.提供虚假的项目负责人或主要技术人员简历、劳动关系证明；</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e.提供虚假的信用状况；</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f.其他弄虚作假的行为。</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3.6投标文件的澄清和说明</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val="en-US" w:eastAsia="zh-CN"/>
        </w:rPr>
        <w:t>3.6.1</w:t>
      </w:r>
      <w:r>
        <w:rPr>
          <w:rFonts w:hint="eastAsia" w:ascii="宋体" w:hAnsi="宋体" w:eastAsia="宋体" w:cs="宋体"/>
          <w:color w:val="auto"/>
          <w:sz w:val="21"/>
          <w:szCs w:val="24"/>
          <w:highlight w:val="none"/>
          <w:lang w:eastAsia="zh-CN"/>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val="en-US" w:eastAsia="zh-CN"/>
        </w:rPr>
        <w:t>3.6.2</w:t>
      </w:r>
      <w:r>
        <w:rPr>
          <w:rFonts w:hint="eastAsia" w:ascii="宋体" w:hAnsi="宋体" w:eastAsia="宋体" w:cs="宋体"/>
          <w:color w:val="auto"/>
          <w:sz w:val="21"/>
          <w:szCs w:val="24"/>
          <w:highlight w:val="none"/>
          <w:lang w:eastAsia="zh-CN"/>
        </w:rPr>
        <w:t>澄清和说明不得超出投标文件的范围或改变投标文件的实质性内容（算术性错误的修正除外）。投标人的书面澄清、说明属于投标文件的组成部分。</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val="en-US" w:eastAsia="zh-CN"/>
        </w:rPr>
        <w:t>3.6.3</w:t>
      </w:r>
      <w:r>
        <w:rPr>
          <w:rFonts w:hint="eastAsia" w:ascii="宋体" w:hAnsi="宋体" w:eastAsia="宋体" w:cs="宋体"/>
          <w:color w:val="auto"/>
          <w:sz w:val="21"/>
          <w:szCs w:val="24"/>
          <w:highlight w:val="none"/>
          <w:lang w:eastAsia="zh-CN"/>
        </w:rPr>
        <w:t>评标委员会不得暗示或诱导投标人作出澄清、说明，对投标人提交的澄清、说明有疑问的，可以要求投标人进一步澄清或说明，直至满足评标委员会的要求。</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val="en-US" w:eastAsia="zh-CN"/>
        </w:rPr>
        <w:t>3.6.4</w:t>
      </w:r>
      <w:r>
        <w:rPr>
          <w:rFonts w:hint="eastAsia" w:ascii="宋体" w:hAnsi="宋体" w:eastAsia="宋体" w:cs="宋体"/>
          <w:color w:val="auto"/>
          <w:sz w:val="21"/>
          <w:szCs w:val="24"/>
          <w:highlight w:val="none"/>
          <w:lang w:eastAsia="zh-CN"/>
        </w:rPr>
        <w:t>凡超出招标文件规定的或给发包人带来未曾要求的利益的变化、偏差或其他因素在评标时不予考虑。</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3.7不得否决投标的情形</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投标文件存在第二章“投标人须知”第1.12.3项所列情形的，均视为细微偏差，评标委员会不得否决投标人的投标，应按照第二章“投标人须知”第1.12.4项规定的原则处理。</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3.8、评标结果</w:t>
      </w:r>
    </w:p>
    <w:p>
      <w:pPr>
        <w:numPr>
          <w:ilvl w:val="0"/>
          <w:numId w:val="0"/>
        </w:numPr>
        <w:spacing w:line="360" w:lineRule="auto"/>
        <w:ind w:leftChars="0" w:firstLine="420" w:firstLineChars="0"/>
        <w:rPr>
          <w:rFonts w:hint="eastAsia" w:ascii="宋体" w:hAnsi="宋体" w:eastAsia="宋体" w:cs="宋体"/>
          <w:sz w:val="21"/>
          <w:szCs w:val="24"/>
          <w:highlight w:val="none"/>
          <w:lang w:eastAsia="zh-CN"/>
        </w:rPr>
      </w:pPr>
      <w:r>
        <w:rPr>
          <w:rFonts w:hint="eastAsia" w:ascii="宋体" w:hAnsi="宋体" w:eastAsia="宋体" w:cs="宋体"/>
          <w:color w:val="auto"/>
          <w:sz w:val="21"/>
          <w:szCs w:val="24"/>
          <w:highlight w:val="none"/>
          <w:lang w:eastAsia="zh-CN"/>
        </w:rPr>
        <w:t>3.8.1除第二章“投标人须知”前附表授权直接确定中标人外，评标委员会按照得分由高到低的顺序推荐中标候选人，并标明排序。</w:t>
      </w:r>
    </w:p>
    <w:p>
      <w:pPr>
        <w:pStyle w:val="3"/>
        <w:ind w:left="0" w:leftChars="0" w:firstLine="420" w:firstLineChars="0"/>
        <w:rPr>
          <w:rFonts w:hint="eastAsia" w:ascii="宋体" w:hAnsi="宋体" w:eastAsia="宋体" w:cs="宋体"/>
          <w:highlight w:val="none"/>
        </w:rPr>
      </w:pPr>
      <w:r>
        <w:rPr>
          <w:rFonts w:hint="eastAsia" w:ascii="宋体" w:hAnsi="宋体" w:eastAsia="宋体" w:cs="宋体"/>
          <w:sz w:val="21"/>
          <w:szCs w:val="24"/>
          <w:highlight w:val="none"/>
          <w:lang w:val="en-US" w:eastAsia="zh-CN"/>
        </w:rPr>
        <w:t>3.8.2</w:t>
      </w:r>
      <w:r>
        <w:rPr>
          <w:rFonts w:hint="eastAsia" w:ascii="宋体" w:hAnsi="宋体" w:eastAsia="宋体" w:cs="宋体"/>
          <w:sz w:val="21"/>
          <w:szCs w:val="24"/>
          <w:highlight w:val="none"/>
          <w:lang w:eastAsia="zh-CN"/>
        </w:rPr>
        <w:t>评标委员会完成评标后，应向招标人提交书面评标报告。</w:t>
      </w:r>
    </w:p>
    <w:p>
      <w:pPr>
        <w:rPr>
          <w:rFonts w:hint="eastAsia"/>
          <w:lang w:val="en-US" w:eastAsia="zh-CN"/>
        </w:rPr>
      </w:pPr>
    </w:p>
    <w:p>
      <w:pPr>
        <w:keepNext w:val="0"/>
        <w:keepLines w:val="0"/>
        <w:widowControl/>
        <w:numPr>
          <w:ilvl w:val="0"/>
          <w:numId w:val="0"/>
        </w:numPr>
        <w:suppressLineNumbers w:val="0"/>
        <w:spacing w:line="360" w:lineRule="auto"/>
        <w:ind w:leftChars="-95" w:right="-168" w:rightChars="-80"/>
        <w:jc w:val="both"/>
        <w:outlineLvl w:val="0"/>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五、招标人联系方式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382" w:rightChars="-182"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招标人：宁夏公路管理中心银川分中心</w:t>
      </w:r>
      <w:r>
        <w:rPr>
          <w:rFonts w:hint="eastAsia" w:ascii="宋体" w:hAnsi="宋体" w:eastAsia="宋体" w:cs="宋体"/>
          <w:color w:val="auto"/>
          <w:spacing w:val="-11"/>
          <w:sz w:val="24"/>
          <w:szCs w:val="24"/>
          <w:lang w:val="en-US" w:eastAsia="zh-CN"/>
        </w:rPr>
        <w:t xml:space="preserve">     </w:t>
      </w:r>
      <w:r>
        <w:rPr>
          <w:rFonts w:hint="eastAsia" w:ascii="宋体" w:hAnsi="宋体" w:eastAsia="宋体" w:cs="宋体"/>
          <w:color w:val="auto"/>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004" w:rightChars="-478" w:firstLine="480" w:firstLineChars="200"/>
        <w:jc w:val="both"/>
        <w:textAlignment w:val="baseline"/>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sz w:val="24"/>
          <w:szCs w:val="24"/>
          <w:lang w:val="en-US" w:eastAsia="zh-CN"/>
        </w:rPr>
        <w:t>地址：银川市兴庆区青银高速公路银川</w:t>
      </w:r>
      <w:r>
        <w:rPr>
          <w:rFonts w:hint="eastAsia" w:ascii="宋体" w:hAnsi="宋体" w:eastAsia="宋体" w:cs="宋体"/>
          <w:snapToGrid w:val="0"/>
          <w:color w:val="auto"/>
          <w:kern w:val="0"/>
          <w:sz w:val="24"/>
          <w:szCs w:val="24"/>
          <w:lang w:val="en-US" w:eastAsia="zh-CN"/>
        </w:rPr>
        <w:t>东收费站北侧大楼</w:t>
      </w:r>
    </w:p>
    <w:p>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default" w:ascii="宋体" w:hAnsi="宋体" w:eastAsia="宋体" w:cs="宋体"/>
          <w:snapToGrid w:val="0"/>
          <w:color w:val="auto"/>
          <w:kern w:val="0"/>
          <w:sz w:val="24"/>
          <w:szCs w:val="24"/>
          <w:lang w:val="en-US" w:eastAsia="zh-CN"/>
        </w:rPr>
      </w:pPr>
      <w:r>
        <w:rPr>
          <w:rFonts w:hint="eastAsia" w:ascii="宋体" w:hAnsi="宋体" w:eastAsia="宋体" w:cs="宋体"/>
          <w:snapToGrid w:val="0"/>
          <w:color w:val="auto"/>
          <w:kern w:val="0"/>
          <w:sz w:val="24"/>
          <w:szCs w:val="24"/>
          <w:lang w:val="en-US" w:eastAsia="zh-CN"/>
        </w:rPr>
        <w:t xml:space="preserve">联系人：刘先生                         </w:t>
      </w:r>
    </w:p>
    <w:p>
      <w:pPr>
        <w:keepNext w:val="0"/>
        <w:keepLines w:val="0"/>
        <w:pageBreakBefore w:val="0"/>
        <w:wordWrap/>
        <w:overflowPunct/>
        <w:topLinePunct w:val="0"/>
        <w:bidi w:val="0"/>
        <w:spacing w:line="360" w:lineRule="auto"/>
        <w:ind w:firstLine="480" w:firstLineChars="200"/>
        <w:rPr>
          <w:rFonts w:hint="eastAsia"/>
          <w:sz w:val="24"/>
          <w:szCs w:val="24"/>
          <w:lang w:val="en-US" w:eastAsia="zh-CN"/>
        </w:rPr>
      </w:pPr>
      <w:r>
        <w:rPr>
          <w:rFonts w:hint="eastAsia" w:ascii="宋体" w:hAnsi="宋体" w:eastAsia="宋体" w:cs="宋体"/>
          <w:snapToGrid w:val="0"/>
          <w:color w:val="auto"/>
          <w:kern w:val="0"/>
          <w:sz w:val="24"/>
          <w:szCs w:val="24"/>
          <w:lang w:val="en-US" w:eastAsia="zh-CN"/>
        </w:rPr>
        <w:t>电话：0951-6153780</w:t>
      </w:r>
    </w:p>
    <w:p>
      <w:pPr>
        <w:jc w:val="both"/>
      </w:pPr>
    </w:p>
    <w:sectPr>
      <w:pgSz w:w="11906" w:h="16838"/>
      <w:pgMar w:top="1134" w:right="1417" w:bottom="56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816"/>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20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815"/>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22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85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52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黑体"/>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黑体"/>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4343"/>
      <w:rPr>
        <w:rFonts w:ascii="黑体" w:hAnsi="黑体" w:eastAsia="黑体" w:cs="黑体"/>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69D1EB"/>
    <w:multiLevelType w:val="singleLevel"/>
    <w:tmpl w:val="0B69D1EB"/>
    <w:lvl w:ilvl="0" w:tentative="0">
      <w:start w:val="1"/>
      <w:numFmt w:val="chineseCounting"/>
      <w:suff w:val="nothing"/>
      <w:lvlText w:val="%1、"/>
      <w:lvlJc w:val="left"/>
      <w:rPr>
        <w:rFonts w:hint="eastAsia"/>
      </w:rPr>
    </w:lvl>
  </w:abstractNum>
  <w:abstractNum w:abstractNumId="1">
    <w:nsid w:val="5A3389DB"/>
    <w:multiLevelType w:val="singleLevel"/>
    <w:tmpl w:val="5A3389D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zODJlZDJlZmI5ZWM5Y2Q1OTk5NDgyZDZkMDQ2ZjMifQ=="/>
  </w:docVars>
  <w:rsids>
    <w:rsidRoot w:val="646E122D"/>
    <w:rsid w:val="04E1301F"/>
    <w:rsid w:val="16CE661D"/>
    <w:rsid w:val="220E5F73"/>
    <w:rsid w:val="33093FF2"/>
    <w:rsid w:val="34DA4C04"/>
    <w:rsid w:val="37393473"/>
    <w:rsid w:val="4F2B646D"/>
    <w:rsid w:val="646E122D"/>
    <w:rsid w:val="68E6522A"/>
    <w:rsid w:val="71B83C0D"/>
    <w:rsid w:val="76461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next w:val="1"/>
    <w:qFormat/>
    <w:uiPriority w:val="1"/>
    <w:pPr>
      <w:ind w:left="836"/>
    </w:pPr>
    <w:rPr>
      <w:rFonts w:ascii="宋体" w:hAnsi="宋体" w:eastAsia="宋体" w:cs="宋体"/>
      <w:sz w:val="21"/>
      <w:szCs w:val="21"/>
      <w:lang w:val="zh-CN" w:eastAsia="zh-CN" w:bidi="zh-CN"/>
    </w:rPr>
  </w:style>
  <w:style w:type="paragraph" w:styleId="4">
    <w:name w:val="Body Text Indent"/>
    <w:basedOn w:val="1"/>
    <w:qFormat/>
    <w:uiPriority w:val="0"/>
    <w:pPr>
      <w:ind w:firstLine="648"/>
    </w:pPr>
    <w:rPr>
      <w:sz w:val="32"/>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2"/>
    <w:basedOn w:val="4"/>
    <w:next w:val="1"/>
    <w:qFormat/>
    <w:uiPriority w:val="0"/>
    <w:pPr>
      <w:ind w:firstLine="420" w:firstLineChars="200"/>
    </w:pPr>
  </w:style>
  <w:style w:type="table" w:customStyle="1" w:styleId="9">
    <w:name w:val="Table Normal"/>
    <w:unhideWhenUsed/>
    <w:qFormat/>
    <w:uiPriority w:val="0"/>
    <w:tblPr>
      <w:tblCellMar>
        <w:top w:w="0" w:type="dxa"/>
        <w:left w:w="0" w:type="dxa"/>
        <w:bottom w:w="0" w:type="dxa"/>
        <w:right w:w="0" w:type="dxa"/>
      </w:tblCellMar>
    </w:tblPr>
  </w:style>
  <w:style w:type="paragraph" w:customStyle="1" w:styleId="10">
    <w:name w:val="Table Paragraph"/>
    <w:basedOn w:val="1"/>
    <w:qFormat/>
    <w:uiPriority w:val="1"/>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13848</Words>
  <Characters>14648</Characters>
  <Lines>0</Lines>
  <Paragraphs>0</Paragraphs>
  <TotalTime>20</TotalTime>
  <ScaleCrop>false</ScaleCrop>
  <LinksUpToDate>false</LinksUpToDate>
  <CharactersWithSpaces>14777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2023-03-15T09:35:00Z</dcterms:created>
  <dc:creator>狗狗脸 </dc:creator>
  <cp:lastModifiedBy>Administrator</cp:lastModifiedBy>
  <cp:lastPrinted>2023-04-28T04:16:00Z</cp:lastPrinted>
  <dcterms:modified xsi:type="dcterms:W3CDTF">2023-04-28T06:27:52Z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4380DE4A9E5B419397AED476C5CABEAF</vt:lpwstr>
  </property>
</Properties>
</file>