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center"/>
        <w:rPr>
          <w:rFonts w:hint="default" w:eastAsia="宋体"/>
          <w:b/>
          <w:bCs/>
          <w:sz w:val="21"/>
          <w:szCs w:val="21"/>
          <w:lang w:val="en-US" w:eastAsia="zh-CN"/>
        </w:rPr>
      </w:pPr>
      <w:r>
        <w:rPr>
          <w:rFonts w:hint="eastAsia" w:ascii="宋体" w:hAnsi="宋体" w:eastAsia="宋体" w:cs="宋体"/>
          <w:b/>
          <w:bCs/>
          <w:sz w:val="24"/>
          <w:szCs w:val="24"/>
          <w:lang w:val="en-US" w:eastAsia="zh-CN" w:bidi="ar-SA"/>
        </w:rPr>
        <w:t>宁夏公路管理中心银川分中心劳务派遣服务项目</w:t>
      </w:r>
      <w:r>
        <w:rPr>
          <w:rFonts w:hint="eastAsia"/>
          <w:b/>
          <w:bCs/>
          <w:sz w:val="24"/>
          <w:szCs w:val="24"/>
          <w:lang w:val="en-US" w:eastAsia="zh-CN"/>
        </w:rPr>
        <w:t>关键内容</w:t>
      </w:r>
    </w:p>
    <w:p>
      <w:pPr>
        <w:widowControl/>
        <w:spacing w:line="360" w:lineRule="auto"/>
        <w:ind w:left="285"/>
        <w:rPr>
          <w:rFonts w:hint="eastAsia" w:eastAsia="宋体"/>
          <w:b/>
          <w:bCs/>
          <w:sz w:val="21"/>
          <w:szCs w:val="21"/>
          <w:lang w:val="en-US" w:eastAsia="zh-CN"/>
        </w:rPr>
      </w:pPr>
      <w:r>
        <w:rPr>
          <w:rFonts w:hint="eastAsia"/>
          <w:b/>
          <w:bCs/>
          <w:sz w:val="21"/>
          <w:szCs w:val="21"/>
        </w:rPr>
        <w:t>一、</w:t>
      </w:r>
      <w:r>
        <w:rPr>
          <w:rFonts w:hint="eastAsia"/>
          <w:b/>
          <w:bCs/>
          <w:sz w:val="21"/>
          <w:szCs w:val="21"/>
          <w:lang w:val="en-US" w:eastAsia="zh-CN"/>
        </w:rPr>
        <w:t>项目概况</w:t>
      </w:r>
    </w:p>
    <w:p>
      <w:pPr>
        <w:widowControl/>
        <w:spacing w:line="360" w:lineRule="auto"/>
        <w:ind w:firstLine="420" w:firstLineChars="200"/>
        <w:jc w:val="left"/>
        <w:rPr>
          <w:rFonts w:hint="eastAsia" w:ascii="宋体" w:hAnsi="宋体" w:cs="宋体"/>
          <w:kern w:val="0"/>
          <w:sz w:val="21"/>
          <w:szCs w:val="21"/>
        </w:rPr>
      </w:pPr>
      <w:r>
        <w:rPr>
          <w:rFonts w:hint="eastAsia" w:ascii="宋体" w:hAnsi="宋体" w:cs="宋体"/>
          <w:kern w:val="0"/>
          <w:sz w:val="21"/>
          <w:szCs w:val="21"/>
        </w:rPr>
        <w:t>本次招标共划分为1个标段，具体内容如下：</w:t>
      </w:r>
    </w:p>
    <w:p>
      <w:pPr>
        <w:widowControl/>
        <w:spacing w:line="360" w:lineRule="auto"/>
        <w:ind w:firstLine="420" w:firstLineChars="200"/>
        <w:jc w:val="left"/>
        <w:rPr>
          <w:rFonts w:hint="eastAsia" w:ascii="宋体" w:hAnsi="宋体" w:cs="宋体"/>
          <w:kern w:val="0"/>
          <w:sz w:val="21"/>
          <w:szCs w:val="21"/>
        </w:rPr>
      </w:pPr>
      <w:r>
        <w:rPr>
          <w:rFonts w:hint="eastAsia" w:ascii="宋体" w:hAnsi="宋体" w:cs="宋体"/>
          <w:kern w:val="0"/>
          <w:sz w:val="21"/>
          <w:szCs w:val="21"/>
        </w:rPr>
        <w:t>宁夏公路管理中心银川分中心劳务派遣服务，具体分为两类人员：一类为长期劳务派遣人员，一类为临时劳务用工人员。其中临时劳务用工人员使用期限最长不超过6个月。根据近年劳务派遣人员使用情况及管养公路里程，本项目预计长期劳务派遣人员约</w:t>
      </w:r>
      <w:r>
        <w:rPr>
          <w:rFonts w:hint="eastAsia" w:ascii="宋体" w:hAnsi="宋体" w:cs="宋体"/>
          <w:kern w:val="0"/>
          <w:sz w:val="21"/>
          <w:szCs w:val="21"/>
          <w:highlight w:val="none"/>
        </w:rPr>
        <w:t>136</w:t>
      </w:r>
      <w:r>
        <w:rPr>
          <w:rFonts w:hint="eastAsia" w:ascii="宋体" w:hAnsi="宋体" w:cs="宋体"/>
          <w:kern w:val="0"/>
          <w:sz w:val="21"/>
          <w:szCs w:val="21"/>
        </w:rPr>
        <w:t>人/年(含厨师、驾驶员、公路养护辅助人员、服务区保洁员等)，具体人数以用工单位实际需求为准。临时劳务用工工日约为每年11500个工日（具体工日数以养护生产实际需求为准，主要用于应对道路突发事件的处置、满足大忙季节公路养护集中生产的临时用工需求，雨雪灾害、汛期等特殊时期养护生产的需求）。派遣人员年龄必须符合国家法定的相关劳动年龄，身体健康，品行端正，无任何犯罪记录。具体人员要求由招标人根据所需岗位的性质和行业特点进行设定。其他内容详见招标文件第五章“发包人要求”。</w:t>
      </w:r>
    </w:p>
    <w:p>
      <w:pPr>
        <w:widowControl/>
        <w:spacing w:line="360" w:lineRule="auto"/>
        <w:rPr>
          <w:rFonts w:hint="eastAsia"/>
          <w:b/>
          <w:bCs/>
          <w:sz w:val="21"/>
          <w:szCs w:val="21"/>
          <w:lang w:val="en-US" w:eastAsia="zh-CN"/>
        </w:rPr>
      </w:pPr>
      <w:r>
        <w:rPr>
          <w:rFonts w:hint="eastAsia"/>
          <w:b/>
          <w:bCs/>
          <w:sz w:val="21"/>
          <w:szCs w:val="21"/>
          <w:lang w:val="en-US" w:eastAsia="zh-CN"/>
        </w:rPr>
        <w:t xml:space="preserve">二、对投标人的全部资格条件要求 </w:t>
      </w:r>
    </w:p>
    <w:p>
      <w:pPr>
        <w:autoSpaceDE/>
        <w:autoSpaceDN/>
        <w:spacing w:line="360" w:lineRule="auto"/>
        <w:ind w:firstLine="420" w:firstLineChars="200"/>
        <w:jc w:val="left"/>
        <w:rPr>
          <w:rFonts w:hint="eastAsia"/>
          <w:b/>
          <w:bCs/>
          <w:sz w:val="21"/>
          <w:szCs w:val="21"/>
          <w:lang w:val="en-US" w:eastAsia="zh-CN"/>
        </w:rPr>
      </w:pPr>
      <w:r>
        <w:rPr>
          <w:rFonts w:hint="eastAsia"/>
          <w:sz w:val="21"/>
          <w:szCs w:val="21"/>
          <w:lang w:val="en-US" w:eastAsia="zh-CN"/>
        </w:rPr>
        <w:t xml:space="preserve">详见招标公告。 </w:t>
      </w:r>
    </w:p>
    <w:p>
      <w:pPr>
        <w:widowControl/>
        <w:numPr>
          <w:ilvl w:val="0"/>
          <w:numId w:val="1"/>
        </w:numPr>
        <w:spacing w:line="360" w:lineRule="auto"/>
        <w:rPr>
          <w:rFonts w:hint="eastAsia" w:asciiTheme="minorEastAsia" w:hAnsiTheme="minorEastAsia" w:eastAsiaTheme="minorEastAsia"/>
          <w:b/>
          <w:bCs/>
          <w:sz w:val="21"/>
          <w:szCs w:val="21"/>
          <w:lang w:val="en-US" w:eastAsia="zh-CN"/>
        </w:rPr>
      </w:pPr>
      <w:r>
        <w:rPr>
          <w:rFonts w:hint="eastAsia" w:asciiTheme="minorEastAsia" w:hAnsiTheme="minorEastAsia" w:eastAsiaTheme="minorEastAsia"/>
          <w:b/>
          <w:bCs/>
          <w:sz w:val="21"/>
          <w:szCs w:val="21"/>
          <w:lang w:val="en-US" w:eastAsia="zh-CN"/>
        </w:rPr>
        <w:t>招标人联系方式</w:t>
      </w:r>
    </w:p>
    <w:p>
      <w:pPr>
        <w:pStyle w:val="12"/>
        <w:spacing w:line="360"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招</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标</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人：宁夏公路管理中心银川分中心</w:t>
      </w:r>
    </w:p>
    <w:p>
      <w:pPr>
        <w:spacing w:line="360"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地</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 xml:space="preserve"> 址：银川市兴庆区青银高速公路银川东收费站北侧大楼</w:t>
      </w:r>
    </w:p>
    <w:p>
      <w:pPr>
        <w:pStyle w:val="12"/>
        <w:spacing w:line="360"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邮政编码：751300</w:t>
      </w:r>
    </w:p>
    <w:p>
      <w:pPr>
        <w:spacing w:line="360"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联 系 人：</w:t>
      </w:r>
      <w:bookmarkStart w:id="0" w:name="EB7356f215989d4ecf9f137bd974682470"/>
      <w:bookmarkEnd w:id="0"/>
      <w:r>
        <w:rPr>
          <w:rFonts w:hint="eastAsia" w:asciiTheme="minorEastAsia" w:hAnsiTheme="minorEastAsia" w:eastAsiaTheme="minorEastAsia"/>
          <w:sz w:val="21"/>
          <w:szCs w:val="21"/>
        </w:rPr>
        <w:t>王先生</w:t>
      </w:r>
    </w:p>
    <w:p>
      <w:pPr>
        <w:spacing w:line="360"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电    话：0951-6153670</w:t>
      </w:r>
    </w:p>
    <w:p>
      <w:pPr>
        <w:spacing w:line="360" w:lineRule="auto"/>
        <w:ind w:firstLine="420" w:firstLineChars="200"/>
        <w:rPr>
          <w:rFonts w:hint="eastAsia"/>
          <w:sz w:val="21"/>
          <w:szCs w:val="21"/>
          <w:lang w:val="en-US" w:eastAsia="zh-CN"/>
        </w:rPr>
      </w:pPr>
      <w:r>
        <w:rPr>
          <w:rFonts w:hint="eastAsia" w:asciiTheme="minorEastAsia" w:hAnsiTheme="minorEastAsia" w:eastAsiaTheme="minorEastAsia"/>
          <w:sz w:val="21"/>
          <w:szCs w:val="21"/>
        </w:rPr>
        <w:t>传</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真：/</w:t>
      </w:r>
    </w:p>
    <w:p>
      <w:pPr>
        <w:keepNext w:val="0"/>
        <w:keepLines w:val="0"/>
        <w:widowControl/>
        <w:suppressLineNumbers w:val="0"/>
        <w:spacing w:line="360" w:lineRule="auto"/>
        <w:jc w:val="left"/>
        <w:rPr>
          <w:sz w:val="21"/>
          <w:szCs w:val="21"/>
        </w:rPr>
      </w:pPr>
      <w:r>
        <w:rPr>
          <w:rFonts w:hint="eastAsia" w:ascii="宋体" w:hAnsi="宋体" w:eastAsia="宋体" w:cs="宋体"/>
          <w:b/>
          <w:bCs/>
          <w:color w:val="000000"/>
          <w:kern w:val="0"/>
          <w:sz w:val="21"/>
          <w:szCs w:val="21"/>
          <w:lang w:val="en-US" w:eastAsia="zh-CN" w:bidi="ar"/>
        </w:rPr>
        <w:t>四、资格审查办法</w:t>
      </w:r>
    </w:p>
    <w:p>
      <w:pPr>
        <w:pStyle w:val="3"/>
        <w:spacing w:before="360" w:after="240" w:line="240" w:lineRule="auto"/>
        <w:jc w:val="center"/>
        <w:rPr>
          <w:rFonts w:hint="eastAsia" w:ascii="宋体" w:hAnsi="宋体" w:cs="宋体"/>
          <w:kern w:val="0"/>
          <w:sz w:val="21"/>
          <w:szCs w:val="21"/>
        </w:rPr>
      </w:pPr>
      <w:r>
        <w:rPr>
          <w:rFonts w:hint="eastAsia" w:ascii="宋体" w:hAnsi="宋体" w:cs="宋体"/>
          <w:kern w:val="0"/>
          <w:sz w:val="21"/>
          <w:szCs w:val="21"/>
        </w:rPr>
        <w:t>附录1  资格审查条件（资质最低条件）</w:t>
      </w:r>
    </w:p>
    <w:tbl>
      <w:tblPr>
        <w:tblStyle w:val="1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9100" w:type="dxa"/>
            <w:noWrap w:val="0"/>
            <w:tcMar>
              <w:top w:w="113" w:type="dxa"/>
              <w:left w:w="108" w:type="dxa"/>
              <w:bottom w:w="113" w:type="dxa"/>
              <w:right w:w="108" w:type="dxa"/>
            </w:tcMar>
            <w:vAlign w:val="center"/>
          </w:tcPr>
          <w:p>
            <w:pPr>
              <w:jc w:val="center"/>
              <w:rPr>
                <w:rFonts w:hint="eastAsia" w:ascii="宋体" w:hAnsi="宋体" w:cs="宋体"/>
                <w:sz w:val="21"/>
                <w:szCs w:val="21"/>
              </w:rPr>
            </w:pPr>
            <w:r>
              <w:rPr>
                <w:rFonts w:hint="eastAsia" w:ascii="宋体" w:hAnsi="宋体" w:cs="宋体"/>
                <w:b/>
                <w:bCs/>
                <w:sz w:val="21"/>
                <w:szCs w:val="21"/>
              </w:rPr>
              <w:t>资质要求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100" w:type="dxa"/>
            <w:noWrap w:val="0"/>
            <w:tcMar>
              <w:top w:w="113" w:type="dxa"/>
              <w:left w:w="108" w:type="dxa"/>
              <w:bottom w:w="113" w:type="dxa"/>
              <w:right w:w="108" w:type="dxa"/>
            </w:tcMar>
            <w:vAlign w:val="center"/>
          </w:tcPr>
          <w:p>
            <w:pPr>
              <w:keepNext w:val="0"/>
              <w:keepLines w:val="0"/>
              <w:pageBreakBefore w:val="0"/>
              <w:widowControl w:val="0"/>
              <w:kinsoku/>
              <w:wordWrap w:val="0"/>
              <w:overflowPunct/>
              <w:topLinePunct/>
              <w:autoSpaceDE w:val="0"/>
              <w:autoSpaceDN w:val="0"/>
              <w:bidi w:val="0"/>
              <w:adjustRightInd/>
              <w:snapToGrid/>
              <w:spacing w:line="360" w:lineRule="auto"/>
              <w:ind w:firstLine="210" w:firstLineChars="100"/>
              <w:jc w:val="left"/>
              <w:textAlignment w:val="auto"/>
              <w:rPr>
                <w:rFonts w:hint="eastAsia" w:ascii="宋体" w:hAnsi="宋体" w:cs="宋体"/>
                <w:sz w:val="21"/>
                <w:szCs w:val="21"/>
              </w:rPr>
            </w:pPr>
            <w:r>
              <w:rPr>
                <w:rFonts w:hint="eastAsia" w:ascii="宋体" w:hAnsi="宋体"/>
                <w:sz w:val="21"/>
                <w:szCs w:val="21"/>
              </w:rPr>
              <w:t>投标人具有法人或其他组织资格；持有工商行政管理部门核发的有效企业营业执照或事业单位法人证书或社会团体法人登记证书；</w:t>
            </w:r>
            <w:r>
              <w:rPr>
                <w:rFonts w:hint="eastAsia" w:ascii="宋体" w:hAnsi="宋体"/>
                <w:sz w:val="21"/>
                <w:szCs w:val="21"/>
                <w:highlight w:val="yellow"/>
              </w:rPr>
              <w:t>同时具备劳务派遣经营许可证</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许可证在有效期限内</w:t>
            </w:r>
            <w:r>
              <w:rPr>
                <w:rFonts w:hint="eastAsia" w:ascii="宋体" w:hAnsi="宋体"/>
                <w:color w:val="auto"/>
                <w:sz w:val="21"/>
                <w:szCs w:val="21"/>
                <w:highlight w:val="none"/>
                <w:lang w:eastAsia="zh-CN"/>
              </w:rPr>
              <w:t>）</w:t>
            </w:r>
            <w:r>
              <w:rPr>
                <w:rFonts w:hint="eastAsia" w:ascii="宋体" w:hAnsi="宋体"/>
                <w:sz w:val="21"/>
                <w:szCs w:val="21"/>
              </w:rPr>
              <w:t>。并在人员、设备、资金等方面具有相应的服务能力。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9" w:hRule="atLeast"/>
          <w:jc w:val="center"/>
        </w:trPr>
        <w:tc>
          <w:tcPr>
            <w:tcW w:w="9100" w:type="dxa"/>
            <w:noWrap w:val="0"/>
            <w:tcMar>
              <w:top w:w="113" w:type="dxa"/>
              <w:left w:w="108" w:type="dxa"/>
              <w:bottom w:w="113" w:type="dxa"/>
              <w:right w:w="108" w:type="dxa"/>
            </w:tcMar>
            <w:vAlign w:val="center"/>
          </w:tcPr>
          <w:p>
            <w:pPr>
              <w:pStyle w:val="11"/>
              <w:spacing w:line="240" w:lineRule="auto"/>
              <w:jc w:val="left"/>
              <w:rPr>
                <w:rFonts w:hint="eastAsia" w:ascii="宋体" w:hAnsi="宋体"/>
                <w:sz w:val="21"/>
                <w:szCs w:val="21"/>
              </w:rPr>
            </w:pPr>
            <w:r>
              <w:rPr>
                <w:rFonts w:hint="eastAsia" w:ascii="宋体" w:hAnsi="宋体" w:cs="宋体"/>
                <w:bCs/>
                <w:sz w:val="21"/>
                <w:szCs w:val="21"/>
              </w:rPr>
              <w:t>注：其他要求详见投标人须知正文第3.5.1项。</w:t>
            </w:r>
          </w:p>
        </w:tc>
      </w:tr>
    </w:tbl>
    <w:p>
      <w:pPr>
        <w:pStyle w:val="20"/>
        <w:spacing w:before="240" w:after="240"/>
        <w:rPr>
          <w:rFonts w:hint="eastAsia" w:cs="宋体"/>
          <w:sz w:val="21"/>
          <w:szCs w:val="21"/>
        </w:rPr>
      </w:pPr>
      <w:bookmarkStart w:id="1" w:name="_Toc10814"/>
      <w:bookmarkStart w:id="2" w:name="_Toc9969"/>
      <w:r>
        <w:rPr>
          <w:rFonts w:hint="eastAsia" w:cs="宋体"/>
          <w:sz w:val="21"/>
          <w:szCs w:val="21"/>
        </w:rPr>
        <w:t>附录2  资格审查条件（业绩最低要求</w:t>
      </w:r>
      <w:bookmarkEnd w:id="1"/>
      <w:r>
        <w:rPr>
          <w:rFonts w:hint="eastAsia" w:cs="宋体"/>
          <w:sz w:val="21"/>
          <w:szCs w:val="21"/>
        </w:rPr>
        <w:t>）</w:t>
      </w:r>
      <w:bookmarkEnd w:id="2"/>
    </w:p>
    <w:tbl>
      <w:tblPr>
        <w:tblStyle w:val="1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9" w:hRule="atLeast"/>
          <w:jc w:val="center"/>
        </w:trPr>
        <w:tc>
          <w:tcPr>
            <w:tcW w:w="9080" w:type="dxa"/>
            <w:noWrap w:val="0"/>
            <w:tcMar>
              <w:top w:w="113" w:type="dxa"/>
              <w:left w:w="108" w:type="dxa"/>
              <w:bottom w:w="113" w:type="dxa"/>
              <w:right w:w="108" w:type="dxa"/>
            </w:tcMar>
            <w:vAlign w:val="center"/>
          </w:tcPr>
          <w:p>
            <w:pPr>
              <w:snapToGrid w:val="0"/>
              <w:spacing w:before="120" w:after="120" w:line="240" w:lineRule="atLeast"/>
              <w:jc w:val="center"/>
              <w:rPr>
                <w:rFonts w:hint="eastAsia" w:ascii="宋体" w:hAnsi="宋体" w:cs="宋体"/>
                <w:sz w:val="21"/>
                <w:szCs w:val="21"/>
              </w:rPr>
            </w:pPr>
            <w:r>
              <w:rPr>
                <w:rFonts w:hint="eastAsia" w:ascii="宋体" w:hAnsi="宋体" w:cs="宋体"/>
                <w:b/>
                <w:bCs/>
                <w:sz w:val="21"/>
                <w:szCs w:val="21"/>
              </w:rPr>
              <w:t>业绩要求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jc w:val="center"/>
        </w:trPr>
        <w:tc>
          <w:tcPr>
            <w:tcW w:w="9080" w:type="dxa"/>
            <w:noWrap w:val="0"/>
            <w:tcMar>
              <w:top w:w="113" w:type="dxa"/>
              <w:left w:w="108" w:type="dxa"/>
              <w:bottom w:w="113" w:type="dxa"/>
              <w:right w:w="108" w:type="dxa"/>
            </w:tcMar>
            <w:vAlign w:val="center"/>
          </w:tcPr>
          <w:p>
            <w:pPr>
              <w:spacing w:line="360" w:lineRule="auto"/>
              <w:ind w:firstLine="210" w:firstLineChars="100"/>
              <w:jc w:val="left"/>
              <w:rPr>
                <w:rFonts w:hint="eastAsia" w:ascii="宋体" w:hAnsi="宋体" w:cs="宋体"/>
                <w:b/>
                <w:bCs/>
                <w:sz w:val="21"/>
                <w:szCs w:val="21"/>
              </w:rPr>
            </w:pPr>
            <w:r>
              <w:rPr>
                <w:rFonts w:hint="eastAsia" w:ascii="宋体" w:hAnsi="宋体" w:cs="宋体"/>
                <w:bCs/>
                <w:sz w:val="21"/>
                <w:szCs w:val="21"/>
              </w:rPr>
              <w:t>在</w:t>
            </w:r>
            <w:r>
              <w:rPr>
                <w:rFonts w:hint="eastAsia" w:ascii="宋体" w:hAnsi="宋体"/>
                <w:sz w:val="21"/>
                <w:szCs w:val="21"/>
              </w:rPr>
              <w:t>近3年（2020</w:t>
            </w:r>
            <w:r>
              <w:rPr>
                <w:rFonts w:hint="eastAsia" w:ascii="宋体" w:hAnsi="宋体"/>
                <w:sz w:val="21"/>
                <w:szCs w:val="21"/>
                <w:highlight w:val="yellow"/>
              </w:rPr>
              <w:t>年</w:t>
            </w:r>
            <w:r>
              <w:rPr>
                <w:rFonts w:hint="eastAsia"/>
                <w:sz w:val="21"/>
                <w:szCs w:val="21"/>
                <w:highlight w:val="yellow"/>
                <w:lang w:val="en-US" w:eastAsia="zh-CN"/>
              </w:rPr>
              <w:t>4</w:t>
            </w:r>
            <w:r>
              <w:rPr>
                <w:rFonts w:hint="eastAsia" w:ascii="宋体" w:hAnsi="宋体"/>
                <w:sz w:val="21"/>
                <w:szCs w:val="21"/>
                <w:highlight w:val="yellow"/>
              </w:rPr>
              <w:t>月</w:t>
            </w:r>
            <w:r>
              <w:rPr>
                <w:rFonts w:hint="eastAsia"/>
                <w:sz w:val="21"/>
                <w:szCs w:val="21"/>
                <w:highlight w:val="yellow"/>
                <w:lang w:val="en-US" w:eastAsia="zh-CN"/>
              </w:rPr>
              <w:t>27</w:t>
            </w:r>
            <w:r>
              <w:rPr>
                <w:rFonts w:hint="eastAsia" w:ascii="宋体" w:hAnsi="宋体"/>
                <w:sz w:val="21"/>
                <w:szCs w:val="21"/>
                <w:highlight w:val="yellow"/>
              </w:rPr>
              <w:t>日至</w:t>
            </w:r>
            <w:r>
              <w:rPr>
                <w:rFonts w:hint="eastAsia" w:ascii="宋体" w:hAnsi="宋体"/>
                <w:sz w:val="21"/>
                <w:szCs w:val="21"/>
              </w:rPr>
              <w:t>2023</w:t>
            </w:r>
            <w:r>
              <w:rPr>
                <w:rFonts w:hint="eastAsia" w:ascii="宋体" w:hAnsi="宋体"/>
                <w:sz w:val="21"/>
                <w:szCs w:val="21"/>
                <w:highlight w:val="yellow"/>
              </w:rPr>
              <w:t>年</w:t>
            </w:r>
            <w:r>
              <w:rPr>
                <w:rFonts w:hint="eastAsia"/>
                <w:sz w:val="21"/>
                <w:szCs w:val="21"/>
                <w:highlight w:val="yellow"/>
                <w:lang w:val="en-US" w:eastAsia="zh-CN"/>
              </w:rPr>
              <w:t>5</w:t>
            </w:r>
            <w:r>
              <w:rPr>
                <w:rFonts w:hint="eastAsia" w:ascii="宋体" w:hAnsi="宋体"/>
                <w:sz w:val="21"/>
                <w:szCs w:val="21"/>
                <w:highlight w:val="yellow"/>
              </w:rPr>
              <w:t>月</w:t>
            </w:r>
            <w:r>
              <w:rPr>
                <w:rFonts w:hint="eastAsia"/>
                <w:sz w:val="21"/>
                <w:szCs w:val="21"/>
                <w:highlight w:val="yellow"/>
                <w:lang w:val="en-US" w:eastAsia="zh-CN"/>
              </w:rPr>
              <w:t>19</w:t>
            </w:r>
            <w:r>
              <w:rPr>
                <w:rFonts w:hint="eastAsia" w:ascii="宋体" w:hAnsi="宋体"/>
                <w:sz w:val="21"/>
                <w:szCs w:val="21"/>
                <w:highlight w:val="yellow"/>
              </w:rPr>
              <w:t>日</w:t>
            </w:r>
            <w:r>
              <w:rPr>
                <w:rFonts w:hint="eastAsia" w:ascii="宋体" w:hAnsi="宋体"/>
                <w:sz w:val="21"/>
                <w:szCs w:val="21"/>
              </w:rPr>
              <w:t>，以合同协议书签订时间为准）至少完成过1个劳务派遣服务项目业绩。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080" w:type="dxa"/>
            <w:noWrap w:val="0"/>
            <w:tcMar>
              <w:top w:w="113" w:type="dxa"/>
              <w:left w:w="108" w:type="dxa"/>
              <w:bottom w:w="113" w:type="dxa"/>
              <w:right w:w="108" w:type="dxa"/>
            </w:tcMar>
            <w:vAlign w:val="center"/>
          </w:tcPr>
          <w:p>
            <w:pPr>
              <w:pStyle w:val="21"/>
              <w:spacing w:line="336" w:lineRule="auto"/>
              <w:ind w:firstLine="420" w:firstLineChars="200"/>
              <w:jc w:val="both"/>
              <w:rPr>
                <w:rFonts w:hint="eastAsia" w:ascii="宋体" w:hAnsi="宋体"/>
                <w:color w:val="auto"/>
                <w:kern w:val="2"/>
                <w:sz w:val="21"/>
                <w:szCs w:val="21"/>
                <w:lang w:bidi="ar"/>
              </w:rPr>
            </w:pPr>
            <w:r>
              <w:rPr>
                <w:rFonts w:hint="eastAsia" w:ascii="宋体" w:hAnsi="宋体"/>
                <w:color w:val="auto"/>
                <w:kern w:val="2"/>
                <w:sz w:val="21"/>
                <w:szCs w:val="21"/>
                <w:lang w:bidi="ar"/>
              </w:rPr>
              <w:t>注：</w:t>
            </w:r>
          </w:p>
          <w:p>
            <w:pPr>
              <w:pStyle w:val="21"/>
              <w:numPr>
                <w:ilvl w:val="0"/>
                <w:numId w:val="2"/>
              </w:numPr>
              <w:spacing w:line="336" w:lineRule="auto"/>
              <w:ind w:firstLine="420" w:firstLineChars="200"/>
              <w:jc w:val="both"/>
              <w:rPr>
                <w:rFonts w:hint="eastAsia" w:ascii="宋体" w:hAnsi="宋体"/>
                <w:color w:val="auto"/>
                <w:kern w:val="2"/>
                <w:sz w:val="21"/>
                <w:szCs w:val="21"/>
                <w:lang w:bidi="ar"/>
              </w:rPr>
            </w:pPr>
            <w:r>
              <w:rPr>
                <w:rFonts w:hint="eastAsia" w:ascii="宋体" w:hAnsi="宋体"/>
                <w:color w:val="auto"/>
                <w:kern w:val="2"/>
                <w:sz w:val="21"/>
                <w:szCs w:val="21"/>
                <w:lang w:bidi="ar"/>
              </w:rPr>
              <w:t>投标人应按招标文件中给定的</w:t>
            </w:r>
            <w:bookmarkStart w:id="54" w:name="_GoBack"/>
            <w:bookmarkEnd w:id="54"/>
            <w:r>
              <w:rPr>
                <w:rFonts w:hint="eastAsia" w:ascii="宋体" w:hAnsi="宋体"/>
                <w:color w:val="auto"/>
                <w:kern w:val="2"/>
                <w:sz w:val="21"/>
                <w:szCs w:val="21"/>
                <w:lang w:bidi="ar"/>
              </w:rPr>
              <w:t>格式（近三年完成的类似项目情况表）填写所提供的业绩，提供的每个业绩均应填写，未按照规定格式填报的业绩，其业绩审查将不予认可。</w:t>
            </w:r>
          </w:p>
          <w:p>
            <w:pPr>
              <w:pStyle w:val="21"/>
              <w:numPr>
                <w:ilvl w:val="0"/>
                <w:numId w:val="2"/>
              </w:numPr>
              <w:spacing w:line="336" w:lineRule="auto"/>
              <w:ind w:firstLine="420" w:firstLineChars="200"/>
              <w:jc w:val="both"/>
              <w:rPr>
                <w:rFonts w:hint="eastAsia" w:ascii="宋体" w:hAnsi="宋体"/>
                <w:b/>
                <w:bCs/>
                <w:color w:val="auto"/>
                <w:kern w:val="2"/>
                <w:sz w:val="21"/>
                <w:szCs w:val="21"/>
                <w:lang w:bidi="ar"/>
              </w:rPr>
            </w:pPr>
            <w:r>
              <w:rPr>
                <w:rFonts w:hint="eastAsia" w:ascii="宋体" w:hAnsi="宋体"/>
                <w:color w:val="auto"/>
                <w:kern w:val="2"/>
                <w:sz w:val="21"/>
                <w:szCs w:val="21"/>
                <w:lang w:bidi="ar"/>
              </w:rPr>
              <w:t>“近年完成的类似项目情况表”后应附（以下二项证明材料缺一不可）：</w:t>
            </w:r>
          </w:p>
          <w:p>
            <w:pPr>
              <w:pStyle w:val="21"/>
              <w:spacing w:line="336" w:lineRule="auto"/>
              <w:ind w:firstLine="422" w:firstLineChars="200"/>
              <w:jc w:val="both"/>
              <w:rPr>
                <w:rFonts w:hint="eastAsia" w:ascii="宋体" w:hAnsi="宋体"/>
                <w:b/>
                <w:bCs/>
                <w:color w:val="auto"/>
                <w:kern w:val="2"/>
                <w:sz w:val="21"/>
                <w:szCs w:val="21"/>
                <w:lang w:bidi="ar"/>
              </w:rPr>
            </w:pPr>
            <w:r>
              <w:rPr>
                <w:rFonts w:hint="eastAsia" w:ascii="宋体" w:hAnsi="宋体"/>
                <w:b/>
                <w:bCs/>
                <w:color w:val="auto"/>
                <w:kern w:val="2"/>
                <w:sz w:val="21"/>
                <w:szCs w:val="21"/>
                <w:lang w:bidi="ar"/>
              </w:rPr>
              <w:t>①合同协议书或中标通知书彩色扫描件并加盖单位公章；</w:t>
            </w:r>
          </w:p>
          <w:p>
            <w:pPr>
              <w:pStyle w:val="21"/>
              <w:spacing w:line="336" w:lineRule="auto"/>
              <w:ind w:firstLine="422" w:firstLineChars="200"/>
              <w:jc w:val="both"/>
              <w:rPr>
                <w:rFonts w:hint="eastAsia" w:ascii="宋体" w:hAnsi="宋体"/>
                <w:b/>
                <w:bCs/>
                <w:color w:val="auto"/>
                <w:kern w:val="2"/>
                <w:sz w:val="21"/>
                <w:szCs w:val="21"/>
                <w:lang w:bidi="ar"/>
              </w:rPr>
            </w:pPr>
            <w:r>
              <w:rPr>
                <w:rFonts w:hint="eastAsia" w:ascii="宋体" w:hAnsi="宋体"/>
                <w:b/>
                <w:bCs/>
                <w:color w:val="auto"/>
                <w:kern w:val="2"/>
                <w:sz w:val="21"/>
                <w:szCs w:val="21"/>
                <w:lang w:bidi="ar"/>
              </w:rPr>
              <w:t>②业主开具的相关业绩证明材料（格式自拟、内容须含有业主的评价）；</w:t>
            </w:r>
          </w:p>
          <w:p>
            <w:pPr>
              <w:wordWrap w:val="0"/>
              <w:adjustRightInd w:val="0"/>
              <w:spacing w:line="336" w:lineRule="auto"/>
              <w:ind w:firstLine="420" w:firstLineChars="200"/>
              <w:jc w:val="left"/>
              <w:rPr>
                <w:rFonts w:hint="eastAsia" w:ascii="宋体" w:hAnsi="宋体"/>
                <w:sz w:val="21"/>
                <w:szCs w:val="21"/>
                <w:lang w:bidi="ar"/>
              </w:rPr>
            </w:pPr>
            <w:r>
              <w:rPr>
                <w:rFonts w:hint="eastAsia" w:ascii="宋体" w:hAnsi="宋体"/>
                <w:sz w:val="21"/>
                <w:szCs w:val="21"/>
                <w:lang w:bidi="ar"/>
              </w:rPr>
              <w:t>3.</w:t>
            </w:r>
            <w:r>
              <w:rPr>
                <w:rFonts w:hint="eastAsia" w:ascii="宋体" w:hAnsi="宋体" w:cs="宋体"/>
                <w:bCs/>
                <w:sz w:val="21"/>
                <w:szCs w:val="21"/>
              </w:rPr>
              <w:t>投标人提供的业绩应是以投标人名义签署的合同业绩。其母公司及下属专业单位签署合同的业绩、分包业绩、联合体业绩在资格审查中均不予认可。</w:t>
            </w:r>
          </w:p>
          <w:p>
            <w:pPr>
              <w:wordWrap w:val="0"/>
              <w:adjustRightInd w:val="0"/>
              <w:spacing w:line="336" w:lineRule="auto"/>
              <w:ind w:firstLine="420" w:firstLineChars="200"/>
              <w:jc w:val="left"/>
              <w:rPr>
                <w:rFonts w:hint="eastAsia" w:ascii="宋体" w:hAnsi="宋体" w:cs="宋体"/>
                <w:bCs/>
                <w:sz w:val="21"/>
                <w:szCs w:val="21"/>
              </w:rPr>
            </w:pPr>
            <w:r>
              <w:rPr>
                <w:rFonts w:hint="eastAsia" w:ascii="宋体" w:hAnsi="宋体"/>
                <w:sz w:val="21"/>
                <w:szCs w:val="21"/>
                <w:lang w:bidi="ar"/>
              </w:rPr>
              <w:t>4.投标人提供的业绩达不到附录2业绩最低要求的，其资格审查不予通过。</w:t>
            </w:r>
          </w:p>
        </w:tc>
      </w:tr>
    </w:tbl>
    <w:p>
      <w:pPr>
        <w:pStyle w:val="11"/>
        <w:spacing w:line="240" w:lineRule="auto"/>
        <w:jc w:val="left"/>
        <w:rPr>
          <w:rFonts w:hint="eastAsia" w:ascii="宋体" w:hAnsi="宋体" w:cs="宋体"/>
          <w:bCs/>
          <w:sz w:val="21"/>
          <w:szCs w:val="21"/>
        </w:rPr>
      </w:pPr>
      <w:r>
        <w:rPr>
          <w:rFonts w:hint="eastAsia" w:ascii="宋体" w:hAnsi="宋体" w:cs="宋体"/>
          <w:bCs/>
          <w:sz w:val="21"/>
          <w:szCs w:val="21"/>
        </w:rPr>
        <w:t>注：其他要求详见投标人须知正文第3.5.2项。</w:t>
      </w:r>
    </w:p>
    <w:p>
      <w:pPr>
        <w:pStyle w:val="20"/>
        <w:spacing w:before="240" w:after="240"/>
        <w:jc w:val="center"/>
        <w:rPr>
          <w:rFonts w:hint="eastAsia" w:cs="宋体"/>
          <w:sz w:val="21"/>
          <w:szCs w:val="21"/>
        </w:rPr>
      </w:pPr>
      <w:bookmarkStart w:id="3" w:name="_Toc22062"/>
      <w:bookmarkStart w:id="4" w:name="_Toc9125"/>
      <w:r>
        <w:rPr>
          <w:rFonts w:hint="eastAsia" w:cs="宋体"/>
          <w:sz w:val="21"/>
          <w:szCs w:val="21"/>
        </w:rPr>
        <w:t>附录3  资格审查条件（信誉最低要求</w:t>
      </w:r>
      <w:bookmarkEnd w:id="3"/>
      <w:r>
        <w:rPr>
          <w:rFonts w:hint="eastAsia" w:cs="宋体"/>
          <w:sz w:val="21"/>
          <w:szCs w:val="21"/>
        </w:rPr>
        <w:t>）</w:t>
      </w:r>
      <w:bookmarkEnd w:id="4"/>
    </w:p>
    <w:tbl>
      <w:tblPr>
        <w:tblStyle w:val="1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9080" w:type="dxa"/>
            <w:noWrap w:val="0"/>
            <w:tcMar>
              <w:top w:w="113" w:type="dxa"/>
              <w:left w:w="108" w:type="dxa"/>
              <w:bottom w:w="113" w:type="dxa"/>
              <w:right w:w="108" w:type="dxa"/>
            </w:tcMar>
            <w:vAlign w:val="center"/>
          </w:tcPr>
          <w:p>
            <w:pPr>
              <w:jc w:val="center"/>
              <w:rPr>
                <w:rFonts w:hint="eastAsia" w:ascii="宋体" w:hAnsi="宋体" w:cs="宋体"/>
                <w:sz w:val="21"/>
                <w:szCs w:val="21"/>
              </w:rPr>
            </w:pPr>
            <w:r>
              <w:rPr>
                <w:rFonts w:hint="eastAsia" w:ascii="宋体" w:hAnsi="宋体" w:cs="宋体"/>
                <w:b/>
                <w:bCs/>
                <w:sz w:val="21"/>
                <w:szCs w:val="21"/>
              </w:rPr>
              <w:t>信誉要求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080" w:type="dxa"/>
            <w:noWrap w:val="0"/>
            <w:tcMar>
              <w:top w:w="113" w:type="dxa"/>
              <w:left w:w="108" w:type="dxa"/>
              <w:bottom w:w="113" w:type="dxa"/>
              <w:right w:w="108" w:type="dxa"/>
            </w:tcMar>
            <w:vAlign w:val="center"/>
          </w:tcPr>
          <w:p>
            <w:pPr>
              <w:numPr>
                <w:ilvl w:val="0"/>
                <w:numId w:val="3"/>
              </w:numPr>
              <w:snapToGrid w:val="0"/>
              <w:spacing w:line="360" w:lineRule="auto"/>
              <w:ind w:left="0" w:firstLine="420" w:firstLineChars="200"/>
              <w:jc w:val="left"/>
              <w:rPr>
                <w:rFonts w:hint="eastAsia" w:ascii="宋体" w:hAnsi="宋体" w:cs="宋体"/>
                <w:sz w:val="21"/>
                <w:szCs w:val="21"/>
              </w:rPr>
            </w:pPr>
            <w:r>
              <w:rPr>
                <w:rFonts w:hint="eastAsia" w:ascii="宋体" w:hAnsi="宋体" w:cs="宋体"/>
                <w:sz w:val="21"/>
                <w:szCs w:val="21"/>
              </w:rPr>
              <w:t>未被省级及以上交通运输主管部门取消招标项目所在地的投标资格且处于有效期内；</w:t>
            </w:r>
          </w:p>
          <w:p>
            <w:pPr>
              <w:numPr>
                <w:ilvl w:val="0"/>
                <w:numId w:val="3"/>
              </w:numPr>
              <w:snapToGrid w:val="0"/>
              <w:spacing w:line="360" w:lineRule="auto"/>
              <w:ind w:left="0" w:firstLine="420" w:firstLineChars="200"/>
              <w:jc w:val="left"/>
              <w:rPr>
                <w:rFonts w:hint="eastAsia" w:ascii="宋体" w:hAnsi="宋体" w:cs="宋体"/>
                <w:sz w:val="21"/>
                <w:szCs w:val="21"/>
              </w:rPr>
            </w:pPr>
            <w:r>
              <w:rPr>
                <w:rFonts w:hint="eastAsia" w:ascii="宋体" w:hAnsi="宋体" w:cs="宋体"/>
                <w:sz w:val="21"/>
                <w:szCs w:val="21"/>
              </w:rPr>
              <w:t>未被责令停业，暂扣或吊销执照，或吊销资质证书；</w:t>
            </w:r>
          </w:p>
          <w:p>
            <w:pPr>
              <w:numPr>
                <w:ilvl w:val="0"/>
                <w:numId w:val="3"/>
              </w:numPr>
              <w:snapToGrid w:val="0"/>
              <w:spacing w:line="360" w:lineRule="auto"/>
              <w:ind w:left="0" w:firstLine="420" w:firstLineChars="200"/>
              <w:jc w:val="left"/>
              <w:rPr>
                <w:rFonts w:hint="eastAsia" w:ascii="宋体" w:hAnsi="宋体" w:cs="宋体"/>
                <w:sz w:val="21"/>
                <w:szCs w:val="21"/>
              </w:rPr>
            </w:pPr>
            <w:r>
              <w:rPr>
                <w:rFonts w:hint="eastAsia" w:ascii="宋体" w:hAnsi="宋体" w:cs="宋体"/>
                <w:sz w:val="21"/>
                <w:szCs w:val="21"/>
              </w:rPr>
              <w:t>未进入清算程序，或被宣告破产，或其他丧失履约能力的情形；</w:t>
            </w:r>
          </w:p>
          <w:p>
            <w:pPr>
              <w:numPr>
                <w:ilvl w:val="0"/>
                <w:numId w:val="3"/>
              </w:numPr>
              <w:snapToGrid w:val="0"/>
              <w:spacing w:line="360" w:lineRule="auto"/>
              <w:ind w:left="0" w:firstLine="420" w:firstLineChars="200"/>
              <w:jc w:val="left"/>
              <w:rPr>
                <w:rFonts w:hint="eastAsia" w:ascii="宋体" w:hAnsi="宋体" w:cs="宋体"/>
                <w:sz w:val="21"/>
                <w:szCs w:val="21"/>
              </w:rPr>
            </w:pPr>
            <w:r>
              <w:rPr>
                <w:rFonts w:hint="eastAsia" w:ascii="宋体" w:hAnsi="宋体" w:cs="宋体"/>
                <w:sz w:val="21"/>
                <w:szCs w:val="21"/>
              </w:rPr>
              <w:t>未在国家企业信用信息公示系统（http://www.gsxt.gov.cn/）中被列入严重违法失信企业名单；</w:t>
            </w:r>
          </w:p>
          <w:p>
            <w:pPr>
              <w:numPr>
                <w:ilvl w:val="0"/>
                <w:numId w:val="3"/>
              </w:numPr>
              <w:snapToGrid w:val="0"/>
              <w:spacing w:line="360" w:lineRule="auto"/>
              <w:ind w:left="0" w:firstLine="420" w:firstLineChars="200"/>
              <w:jc w:val="left"/>
              <w:rPr>
                <w:rFonts w:hint="eastAsia" w:ascii="宋体" w:hAnsi="宋体" w:cs="宋体"/>
                <w:sz w:val="21"/>
                <w:szCs w:val="21"/>
              </w:rPr>
            </w:pPr>
            <w:r>
              <w:rPr>
                <w:rFonts w:hint="eastAsia" w:ascii="宋体" w:hAnsi="宋体" w:cs="宋体"/>
                <w:sz w:val="21"/>
                <w:szCs w:val="21"/>
              </w:rPr>
              <w:t>未在“信用中国”网站（http://www.creditchina.gov.cn）和“信用宁夏”网站（http://credit.nx.gov.cn/）中被列入失信被执行人、企业经营异常名录、重大税收违法、</w:t>
            </w:r>
            <w:r>
              <w:rPr>
                <w:rFonts w:ascii="宋体" w:hAnsi="宋体" w:cs="宋体"/>
                <w:sz w:val="21"/>
                <w:szCs w:val="21"/>
              </w:rPr>
              <w:t>围标串标</w:t>
            </w:r>
            <w:r>
              <w:rPr>
                <w:rFonts w:hint="eastAsia" w:ascii="宋体" w:hAnsi="宋体" w:cs="宋体"/>
                <w:sz w:val="21"/>
                <w:szCs w:val="21"/>
              </w:rPr>
              <w:t>案件当事人名单；</w:t>
            </w:r>
          </w:p>
          <w:p>
            <w:pPr>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(6)未以他人名义投标、串通投标的情形且正处于处罚期内；</w:t>
            </w:r>
          </w:p>
          <w:p>
            <w:pPr>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(7)投标人或其法定代表人、拟委任的项目负责人自</w:t>
            </w:r>
            <w:r>
              <w:rPr>
                <w:rFonts w:hint="eastAsia" w:ascii="宋体" w:hAnsi="宋体" w:cs="宋体"/>
                <w:sz w:val="21"/>
                <w:szCs w:val="21"/>
                <w:highlight w:val="yellow"/>
              </w:rPr>
              <w:t>2020年</w:t>
            </w:r>
            <w:r>
              <w:rPr>
                <w:rFonts w:hint="eastAsia" w:cs="宋体"/>
                <w:sz w:val="21"/>
                <w:szCs w:val="21"/>
                <w:highlight w:val="yellow"/>
                <w:lang w:val="en-US" w:eastAsia="zh-CN"/>
              </w:rPr>
              <w:t>4</w:t>
            </w:r>
            <w:r>
              <w:rPr>
                <w:rFonts w:hint="eastAsia" w:ascii="宋体" w:hAnsi="宋体" w:cs="宋体"/>
                <w:sz w:val="21"/>
                <w:szCs w:val="21"/>
                <w:highlight w:val="yellow"/>
              </w:rPr>
              <w:t>月</w:t>
            </w:r>
            <w:r>
              <w:rPr>
                <w:rFonts w:hint="eastAsia" w:cs="宋体"/>
                <w:sz w:val="21"/>
                <w:szCs w:val="21"/>
                <w:highlight w:val="yellow"/>
                <w:lang w:val="en-US" w:eastAsia="zh-CN"/>
              </w:rPr>
              <w:t>27</w:t>
            </w:r>
            <w:r>
              <w:rPr>
                <w:rFonts w:hint="eastAsia" w:ascii="宋体" w:hAnsi="宋体" w:cs="宋体"/>
                <w:sz w:val="21"/>
                <w:szCs w:val="21"/>
                <w:highlight w:val="yellow"/>
              </w:rPr>
              <w:t>日</w:t>
            </w:r>
            <w:r>
              <w:rPr>
                <w:rFonts w:hint="eastAsia" w:ascii="宋体" w:hAnsi="宋体" w:cs="宋体"/>
                <w:sz w:val="21"/>
                <w:szCs w:val="21"/>
              </w:rPr>
              <w:t>以来没有行贿犯罪行为证明，行贿犯罪行为的认定以投标人提供的承诺函为准；</w:t>
            </w:r>
          </w:p>
          <w:p>
            <w:pPr>
              <w:pStyle w:val="8"/>
              <w:snapToGrid w:val="0"/>
              <w:spacing w:line="360" w:lineRule="auto"/>
              <w:ind w:firstLine="420" w:firstLineChars="200"/>
              <w:rPr>
                <w:rFonts w:ascii="宋体" w:hAnsi="宋体" w:cs="宋体"/>
                <w:sz w:val="21"/>
                <w:szCs w:val="21"/>
              </w:rPr>
            </w:pPr>
            <w:r>
              <w:rPr>
                <w:rFonts w:hint="eastAsia" w:ascii="宋体" w:hAnsi="宋体" w:cs="宋体"/>
                <w:sz w:val="21"/>
                <w:szCs w:val="21"/>
              </w:rPr>
              <w:t>(8)法律法规或投标人须知前附表规定的其他情形。</w:t>
            </w:r>
          </w:p>
          <w:p>
            <w:pPr>
              <w:spacing w:line="360" w:lineRule="auto"/>
              <w:ind w:firstLine="422" w:firstLineChars="200"/>
              <w:rPr>
                <w:rFonts w:hint="eastAsia" w:ascii="宋体" w:hAnsi="宋体"/>
                <w:b/>
                <w:sz w:val="21"/>
                <w:szCs w:val="21"/>
              </w:rPr>
            </w:pPr>
            <w:r>
              <w:rPr>
                <w:rFonts w:hint="eastAsia" w:ascii="宋体" w:hAnsi="宋体"/>
                <w:b/>
                <w:sz w:val="21"/>
                <w:szCs w:val="21"/>
                <w:highlight w:val="yellow"/>
              </w:rPr>
              <w:t>注</w:t>
            </w:r>
            <w:r>
              <w:rPr>
                <w:rFonts w:ascii="宋体" w:hAnsi="宋体"/>
                <w:b/>
                <w:sz w:val="21"/>
                <w:szCs w:val="21"/>
                <w:highlight w:val="yellow"/>
              </w:rPr>
              <w:t>：外省</w:t>
            </w:r>
            <w:r>
              <w:rPr>
                <w:rFonts w:hint="eastAsia" w:ascii="宋体" w:hAnsi="宋体"/>
                <w:b/>
                <w:sz w:val="21"/>
                <w:szCs w:val="21"/>
                <w:highlight w:val="yellow"/>
              </w:rPr>
              <w:t>注册</w:t>
            </w:r>
            <w:r>
              <w:rPr>
                <w:rFonts w:ascii="宋体" w:hAnsi="宋体"/>
                <w:b/>
                <w:sz w:val="21"/>
                <w:szCs w:val="21"/>
                <w:highlight w:val="yellow"/>
              </w:rPr>
              <w:t>企业在宁夏无</w:t>
            </w:r>
            <w:r>
              <w:rPr>
                <w:rFonts w:hint="eastAsia" w:ascii="宋体" w:hAnsi="宋体"/>
                <w:b/>
                <w:sz w:val="21"/>
                <w:szCs w:val="21"/>
                <w:highlight w:val="yellow"/>
              </w:rPr>
              <w:t>生产</w:t>
            </w:r>
            <w:r>
              <w:rPr>
                <w:rFonts w:ascii="宋体" w:hAnsi="宋体"/>
                <w:b/>
                <w:sz w:val="21"/>
                <w:szCs w:val="21"/>
                <w:highlight w:val="yellow"/>
              </w:rPr>
              <w:t>经营活动，</w:t>
            </w:r>
            <w:r>
              <w:rPr>
                <w:rFonts w:hint="eastAsia" w:ascii="宋体" w:hAnsi="宋体"/>
                <w:b/>
                <w:sz w:val="21"/>
                <w:szCs w:val="21"/>
                <w:highlight w:val="yellow"/>
              </w:rPr>
              <w:t>在“信用</w:t>
            </w:r>
            <w:r>
              <w:rPr>
                <w:rFonts w:ascii="宋体" w:hAnsi="宋体"/>
                <w:b/>
                <w:sz w:val="21"/>
                <w:szCs w:val="21"/>
                <w:highlight w:val="yellow"/>
              </w:rPr>
              <w:t>宁夏</w:t>
            </w:r>
            <w:r>
              <w:rPr>
                <w:rFonts w:hint="eastAsia" w:ascii="宋体" w:hAnsi="宋体"/>
                <w:b/>
                <w:sz w:val="21"/>
                <w:szCs w:val="21"/>
                <w:highlight w:val="yellow"/>
              </w:rPr>
              <w:t>”</w:t>
            </w:r>
            <w:r>
              <w:rPr>
                <w:rFonts w:ascii="宋体" w:hAnsi="宋体"/>
                <w:b/>
                <w:sz w:val="21"/>
                <w:szCs w:val="21"/>
                <w:highlight w:val="yellow"/>
              </w:rPr>
              <w:t>无查询记录的</w:t>
            </w:r>
            <w:r>
              <w:rPr>
                <w:rFonts w:hint="eastAsia" w:ascii="宋体" w:hAnsi="宋体"/>
                <w:b/>
                <w:sz w:val="21"/>
                <w:szCs w:val="21"/>
                <w:highlight w:val="yellow"/>
              </w:rPr>
              <w:t>，</w:t>
            </w:r>
            <w:r>
              <w:rPr>
                <w:rFonts w:ascii="宋体" w:hAnsi="宋体"/>
                <w:b/>
                <w:sz w:val="21"/>
                <w:szCs w:val="21"/>
                <w:highlight w:val="yellow"/>
              </w:rPr>
              <w:t>需提供</w:t>
            </w:r>
            <w:r>
              <w:rPr>
                <w:rFonts w:hint="eastAsia" w:ascii="宋体" w:hAnsi="宋体" w:cs="宋体"/>
                <w:b/>
                <w:sz w:val="21"/>
                <w:szCs w:val="21"/>
                <w:highlight w:val="yellow"/>
              </w:rPr>
              <w:t>“信用中国”和</w:t>
            </w:r>
            <w:r>
              <w:rPr>
                <w:rFonts w:ascii="宋体" w:hAnsi="宋体" w:cs="宋体"/>
                <w:b/>
                <w:sz w:val="21"/>
                <w:szCs w:val="21"/>
                <w:highlight w:val="yellow"/>
              </w:rPr>
              <w:t>企业注册地</w:t>
            </w:r>
            <w:r>
              <w:rPr>
                <w:rFonts w:hint="eastAsia" w:ascii="宋体" w:hAnsi="宋体" w:cs="宋体"/>
                <w:b/>
                <w:sz w:val="21"/>
                <w:szCs w:val="21"/>
                <w:highlight w:val="yellow"/>
              </w:rPr>
              <w:t>所在省份</w:t>
            </w:r>
            <w:r>
              <w:rPr>
                <w:rFonts w:ascii="宋体" w:hAnsi="宋体" w:cs="宋体"/>
                <w:b/>
                <w:sz w:val="21"/>
                <w:szCs w:val="21"/>
                <w:highlight w:val="yellow"/>
              </w:rPr>
              <w:t>的信用信息。</w:t>
            </w:r>
          </w:p>
        </w:tc>
      </w:tr>
    </w:tbl>
    <w:p>
      <w:pPr>
        <w:spacing w:line="360" w:lineRule="exact"/>
        <w:ind w:left="818" w:leftChars="228" w:hanging="316" w:hangingChars="150"/>
        <w:rPr>
          <w:rFonts w:hint="eastAsia" w:ascii="宋体" w:hAnsi="宋体" w:cs="宋体"/>
          <w:b/>
          <w:sz w:val="21"/>
          <w:szCs w:val="21"/>
        </w:rPr>
      </w:pPr>
    </w:p>
    <w:p>
      <w:pPr>
        <w:spacing w:before="120" w:after="120" w:line="360" w:lineRule="auto"/>
        <w:jc w:val="center"/>
        <w:rPr>
          <w:rStyle w:val="22"/>
          <w:rFonts w:hint="eastAsia"/>
          <w:sz w:val="21"/>
          <w:szCs w:val="21"/>
        </w:rPr>
      </w:pPr>
      <w:bookmarkStart w:id="5" w:name="_Toc9406"/>
      <w:bookmarkStart w:id="6" w:name="_Toc26398"/>
      <w:r>
        <w:rPr>
          <w:rStyle w:val="22"/>
          <w:rFonts w:hint="eastAsia"/>
          <w:sz w:val="21"/>
          <w:szCs w:val="21"/>
        </w:rPr>
        <w:t>附录4  资格审查条件（项目负责人最低要求</w:t>
      </w:r>
      <w:bookmarkEnd w:id="5"/>
      <w:r>
        <w:rPr>
          <w:rStyle w:val="22"/>
          <w:rFonts w:hint="eastAsia"/>
          <w:sz w:val="21"/>
          <w:szCs w:val="21"/>
        </w:rPr>
        <w:t>）</w:t>
      </w:r>
    </w:p>
    <w:bookmarkEnd w:id="6"/>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1"/>
        <w:gridCol w:w="782"/>
        <w:gridCol w:w="6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1411" w:type="dxa"/>
            <w:tcBorders>
              <w:bottom w:val="single" w:color="auto" w:sz="4" w:space="0"/>
            </w:tcBorders>
            <w:noWrap w:val="0"/>
            <w:vAlign w:val="center"/>
          </w:tcPr>
          <w:p>
            <w:pPr>
              <w:pStyle w:val="23"/>
              <w:wordWrap w:val="0"/>
              <w:spacing w:line="240" w:lineRule="auto"/>
              <w:rPr>
                <w:rFonts w:hint="eastAsia" w:ascii="宋体" w:hAnsi="宋体" w:cs="宋体"/>
                <w:b/>
                <w:sz w:val="21"/>
                <w:szCs w:val="21"/>
              </w:rPr>
            </w:pPr>
            <w:r>
              <w:rPr>
                <w:rFonts w:hint="eastAsia" w:ascii="宋体" w:hAnsi="宋体" w:cs="宋体"/>
                <w:b/>
                <w:sz w:val="21"/>
                <w:szCs w:val="21"/>
              </w:rPr>
              <w:t>职务</w:t>
            </w:r>
          </w:p>
        </w:tc>
        <w:tc>
          <w:tcPr>
            <w:tcW w:w="782" w:type="dxa"/>
            <w:tcBorders>
              <w:bottom w:val="single" w:color="auto" w:sz="4" w:space="0"/>
            </w:tcBorders>
            <w:noWrap w:val="0"/>
            <w:vAlign w:val="center"/>
          </w:tcPr>
          <w:p>
            <w:pPr>
              <w:pStyle w:val="23"/>
              <w:wordWrap w:val="0"/>
              <w:spacing w:line="240" w:lineRule="auto"/>
              <w:rPr>
                <w:rFonts w:hint="eastAsia" w:ascii="宋体" w:hAnsi="宋体" w:cs="宋体"/>
                <w:b/>
                <w:sz w:val="21"/>
                <w:szCs w:val="21"/>
              </w:rPr>
            </w:pPr>
            <w:r>
              <w:rPr>
                <w:rFonts w:hint="eastAsia" w:ascii="宋体" w:hAnsi="宋体" w:cs="宋体"/>
                <w:b/>
                <w:sz w:val="21"/>
                <w:szCs w:val="21"/>
              </w:rPr>
              <w:t>数量</w:t>
            </w:r>
          </w:p>
        </w:tc>
        <w:tc>
          <w:tcPr>
            <w:tcW w:w="6865" w:type="dxa"/>
            <w:tcBorders>
              <w:bottom w:val="single" w:color="auto" w:sz="4" w:space="0"/>
            </w:tcBorders>
            <w:noWrap w:val="0"/>
            <w:vAlign w:val="center"/>
          </w:tcPr>
          <w:p>
            <w:pPr>
              <w:pStyle w:val="23"/>
              <w:wordWrap w:val="0"/>
              <w:spacing w:line="240" w:lineRule="auto"/>
              <w:rPr>
                <w:rFonts w:hint="eastAsia" w:ascii="宋体" w:hAnsi="宋体" w:cs="宋体"/>
                <w:b/>
                <w:sz w:val="21"/>
                <w:szCs w:val="21"/>
              </w:rPr>
            </w:pPr>
            <w:r>
              <w:rPr>
                <w:rFonts w:hint="eastAsia" w:ascii="宋体" w:hAnsi="宋体" w:cs="宋体"/>
                <w:b/>
                <w:sz w:val="21"/>
                <w:szCs w:val="21"/>
              </w:rPr>
              <w:t>资  格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8" w:hRule="atLeast"/>
          <w:jc w:val="center"/>
        </w:trPr>
        <w:tc>
          <w:tcPr>
            <w:tcW w:w="1411" w:type="dxa"/>
            <w:noWrap w:val="0"/>
            <w:vAlign w:val="center"/>
          </w:tcPr>
          <w:p>
            <w:pPr>
              <w:pStyle w:val="6"/>
              <w:wordWrap w:val="0"/>
              <w:ind w:firstLine="0" w:firstLineChars="0"/>
              <w:jc w:val="center"/>
              <w:rPr>
                <w:rFonts w:hint="eastAsia" w:ascii="宋体" w:hAnsi="宋体" w:cs="宋体"/>
                <w:sz w:val="21"/>
                <w:szCs w:val="21"/>
              </w:rPr>
            </w:pPr>
            <w:r>
              <w:rPr>
                <w:rFonts w:hint="eastAsia" w:ascii="宋体" w:hAnsi="宋体" w:cs="宋体"/>
                <w:sz w:val="21"/>
                <w:szCs w:val="21"/>
              </w:rPr>
              <w:t>项目负责人</w:t>
            </w:r>
          </w:p>
        </w:tc>
        <w:tc>
          <w:tcPr>
            <w:tcW w:w="782" w:type="dxa"/>
            <w:noWrap w:val="0"/>
            <w:vAlign w:val="center"/>
          </w:tcPr>
          <w:p>
            <w:pPr>
              <w:pStyle w:val="6"/>
              <w:wordWrap w:val="0"/>
              <w:ind w:firstLine="0" w:firstLineChars="0"/>
              <w:jc w:val="center"/>
              <w:rPr>
                <w:rFonts w:hint="eastAsia" w:ascii="宋体" w:hAnsi="宋体" w:cs="宋体"/>
                <w:sz w:val="21"/>
                <w:szCs w:val="21"/>
              </w:rPr>
            </w:pPr>
            <w:r>
              <w:rPr>
                <w:rFonts w:hint="eastAsia" w:ascii="宋体" w:hAnsi="宋体" w:cs="宋体"/>
                <w:sz w:val="21"/>
                <w:szCs w:val="21"/>
              </w:rPr>
              <w:t>1</w:t>
            </w:r>
          </w:p>
        </w:tc>
        <w:tc>
          <w:tcPr>
            <w:tcW w:w="6865" w:type="dxa"/>
            <w:noWrap w:val="0"/>
            <w:vAlign w:val="center"/>
          </w:tcPr>
          <w:p>
            <w:pPr>
              <w:topLinePunct/>
              <w:spacing w:after="120" w:afterLines="50"/>
              <w:ind w:firstLine="210" w:firstLineChars="100"/>
              <w:jc w:val="left"/>
              <w:rPr>
                <w:rFonts w:hint="eastAsia" w:ascii="宋体" w:hAnsi="宋体" w:cs="宋体"/>
                <w:sz w:val="21"/>
                <w:szCs w:val="21"/>
              </w:rPr>
            </w:pPr>
            <w:r>
              <w:rPr>
                <w:rFonts w:hint="eastAsia" w:ascii="宋体" w:hAnsi="宋体" w:cs="宋体"/>
                <w:sz w:val="21"/>
                <w:szCs w:val="21"/>
              </w:rPr>
              <w:t>拟委任的项目负责人</w:t>
            </w:r>
            <w:r>
              <w:rPr>
                <w:rFonts w:hint="eastAsia" w:ascii="宋体" w:hAnsi="宋体" w:cs="宋体"/>
                <w:bCs/>
                <w:sz w:val="21"/>
                <w:szCs w:val="21"/>
              </w:rPr>
              <w:t>在</w:t>
            </w:r>
            <w:r>
              <w:rPr>
                <w:rFonts w:hint="eastAsia" w:ascii="宋体" w:hAnsi="宋体" w:cs="宋体"/>
                <w:sz w:val="21"/>
                <w:szCs w:val="21"/>
              </w:rPr>
              <w:t>近</w:t>
            </w:r>
            <w:r>
              <w:rPr>
                <w:rFonts w:hint="eastAsia" w:ascii="宋体" w:hAnsi="宋体" w:cs="宋体"/>
                <w:sz w:val="21"/>
                <w:szCs w:val="21"/>
                <w:highlight w:val="yellow"/>
              </w:rPr>
              <w:t>5年（2018年</w:t>
            </w:r>
            <w:r>
              <w:rPr>
                <w:rFonts w:hint="eastAsia" w:cs="宋体"/>
                <w:sz w:val="21"/>
                <w:szCs w:val="21"/>
                <w:highlight w:val="yellow"/>
                <w:lang w:val="en-US" w:eastAsia="zh-CN"/>
              </w:rPr>
              <w:t>4</w:t>
            </w:r>
            <w:r>
              <w:rPr>
                <w:rFonts w:hint="eastAsia" w:ascii="宋体" w:hAnsi="宋体" w:cs="宋体"/>
                <w:sz w:val="21"/>
                <w:szCs w:val="21"/>
                <w:highlight w:val="yellow"/>
              </w:rPr>
              <w:t>月</w:t>
            </w:r>
            <w:r>
              <w:rPr>
                <w:rFonts w:hint="eastAsia" w:cs="宋体"/>
                <w:sz w:val="21"/>
                <w:szCs w:val="21"/>
                <w:highlight w:val="yellow"/>
                <w:lang w:val="en-US" w:eastAsia="zh-CN"/>
              </w:rPr>
              <w:t>27</w:t>
            </w:r>
            <w:r>
              <w:rPr>
                <w:rFonts w:hint="eastAsia" w:ascii="宋体" w:hAnsi="宋体" w:cs="宋体"/>
                <w:sz w:val="21"/>
                <w:szCs w:val="21"/>
                <w:highlight w:val="yellow"/>
              </w:rPr>
              <w:t>日至2023年</w:t>
            </w:r>
            <w:r>
              <w:rPr>
                <w:rFonts w:hint="eastAsia" w:cs="宋体"/>
                <w:sz w:val="21"/>
                <w:szCs w:val="21"/>
                <w:highlight w:val="yellow"/>
                <w:lang w:val="en-US" w:eastAsia="zh-CN"/>
              </w:rPr>
              <w:t>5</w:t>
            </w:r>
            <w:r>
              <w:rPr>
                <w:rFonts w:hint="eastAsia" w:ascii="宋体" w:hAnsi="宋体" w:cs="宋体"/>
                <w:sz w:val="21"/>
                <w:szCs w:val="21"/>
                <w:highlight w:val="yellow"/>
              </w:rPr>
              <w:t>月</w:t>
            </w:r>
            <w:r>
              <w:rPr>
                <w:rFonts w:hint="eastAsia" w:cs="宋体"/>
                <w:sz w:val="21"/>
                <w:szCs w:val="21"/>
                <w:highlight w:val="yellow"/>
                <w:lang w:val="en-US" w:eastAsia="zh-CN"/>
              </w:rPr>
              <w:t>19</w:t>
            </w:r>
            <w:r>
              <w:rPr>
                <w:rFonts w:hint="eastAsia" w:ascii="宋体" w:hAnsi="宋体" w:cs="宋体"/>
                <w:sz w:val="21"/>
                <w:szCs w:val="21"/>
                <w:highlight w:val="yellow"/>
              </w:rPr>
              <w:t>日</w:t>
            </w:r>
            <w:r>
              <w:rPr>
                <w:rFonts w:hint="eastAsia" w:ascii="宋体" w:hAnsi="宋体" w:cs="宋体"/>
                <w:sz w:val="21"/>
                <w:szCs w:val="21"/>
              </w:rPr>
              <w:t>，以合同协议书签订时间为准），至少担任过1个劳务派遣服务业绩的项目负责人（或项目经理）职务。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8" w:hRule="atLeast"/>
          <w:jc w:val="center"/>
        </w:trPr>
        <w:tc>
          <w:tcPr>
            <w:tcW w:w="9058" w:type="dxa"/>
            <w:gridSpan w:val="3"/>
            <w:noWrap w:val="0"/>
            <w:vAlign w:val="center"/>
          </w:tcPr>
          <w:p>
            <w:pPr>
              <w:wordWrap w:val="0"/>
              <w:spacing w:line="360" w:lineRule="auto"/>
              <w:jc w:val="left"/>
              <w:rPr>
                <w:rFonts w:hint="eastAsia" w:ascii="宋体" w:hAnsi="宋体" w:cs="宋体"/>
                <w:b/>
                <w:bCs/>
                <w:sz w:val="21"/>
                <w:szCs w:val="21"/>
              </w:rPr>
            </w:pPr>
            <w:r>
              <w:rPr>
                <w:rFonts w:hint="eastAsia" w:ascii="宋体" w:hAnsi="宋体" w:cs="宋体"/>
                <w:b/>
                <w:bCs/>
                <w:sz w:val="21"/>
                <w:szCs w:val="21"/>
              </w:rPr>
              <w:t>注：</w:t>
            </w:r>
          </w:p>
          <w:p>
            <w:pPr>
              <w:numPr>
                <w:ilvl w:val="0"/>
                <w:numId w:val="4"/>
              </w:numPr>
              <w:wordWrap w:val="0"/>
              <w:adjustRightInd w:val="0"/>
              <w:spacing w:line="360" w:lineRule="auto"/>
              <w:ind w:firstLine="422" w:firstLineChars="200"/>
              <w:jc w:val="left"/>
              <w:rPr>
                <w:rFonts w:hint="eastAsia" w:ascii="宋体" w:hAnsi="宋体" w:cs="宋体"/>
                <w:b/>
                <w:bCs/>
                <w:sz w:val="21"/>
                <w:szCs w:val="21"/>
              </w:rPr>
            </w:pPr>
            <w:r>
              <w:rPr>
                <w:rFonts w:hint="eastAsia" w:ascii="宋体" w:hAnsi="宋体" w:cs="宋体"/>
                <w:b/>
                <w:bCs/>
                <w:sz w:val="21"/>
                <w:szCs w:val="21"/>
              </w:rPr>
              <w:t>项目负责人应按投标文件格式资格审查资料中的表（五）（拟委任的项目负责人资历表）的格式要求填写其资历。后附项目负责人的身份证、学历证，劳动合同或投标人所属社保机构出具的2022年10月以来连续的某三个月的有效的社保缴费证明、业绩证明材料。</w:t>
            </w:r>
          </w:p>
          <w:p>
            <w:pPr>
              <w:numPr>
                <w:ilvl w:val="0"/>
                <w:numId w:val="4"/>
              </w:numPr>
              <w:wordWrap w:val="0"/>
              <w:adjustRightInd w:val="0"/>
              <w:spacing w:line="360" w:lineRule="auto"/>
              <w:ind w:firstLine="422" w:firstLineChars="200"/>
              <w:jc w:val="left"/>
              <w:rPr>
                <w:rFonts w:hint="eastAsia" w:ascii="宋体" w:hAnsi="宋体" w:cs="宋体"/>
                <w:b/>
                <w:bCs/>
                <w:sz w:val="21"/>
                <w:szCs w:val="21"/>
              </w:rPr>
            </w:pPr>
            <w:r>
              <w:rPr>
                <w:rFonts w:hint="eastAsia" w:ascii="宋体" w:hAnsi="宋体" w:cs="宋体"/>
                <w:b/>
                <w:bCs/>
                <w:sz w:val="21"/>
                <w:szCs w:val="21"/>
              </w:rPr>
              <w:t>项目负责人业绩证明材料为：合同协议书或中标通知书或业主开具的相关业绩证明材料或其他签字类证明材料彩色扫描件</w:t>
            </w:r>
            <w:r>
              <w:rPr>
                <w:rFonts w:hint="eastAsia" w:ascii="宋体" w:hAnsi="宋体"/>
                <w:b/>
                <w:bCs/>
                <w:sz w:val="21"/>
                <w:szCs w:val="21"/>
                <w:lang w:bidi="ar"/>
              </w:rPr>
              <w:t>并加盖单位公章</w:t>
            </w:r>
            <w:r>
              <w:rPr>
                <w:rFonts w:hint="eastAsia" w:ascii="宋体" w:hAnsi="宋体" w:cs="宋体"/>
                <w:b/>
                <w:bCs/>
                <w:sz w:val="21"/>
                <w:szCs w:val="21"/>
              </w:rPr>
              <w:t>，上述证明材料中能够反应拟委派的项目负责人姓名及对应职务，如不按要求提供上述证明材料，或提供的证明材料中无法反应项目负责人姓名及对应职务的，该业绩不予认可。</w:t>
            </w:r>
          </w:p>
          <w:p>
            <w:pPr>
              <w:numPr>
                <w:ilvl w:val="0"/>
                <w:numId w:val="4"/>
              </w:numPr>
              <w:wordWrap w:val="0"/>
              <w:adjustRightInd w:val="0"/>
              <w:spacing w:line="360" w:lineRule="auto"/>
              <w:ind w:firstLine="422" w:firstLineChars="200"/>
              <w:jc w:val="left"/>
              <w:rPr>
                <w:rFonts w:hint="eastAsia" w:ascii="宋体" w:hAnsi="宋体" w:cs="宋体"/>
                <w:b/>
                <w:bCs/>
                <w:sz w:val="21"/>
                <w:szCs w:val="21"/>
              </w:rPr>
            </w:pPr>
            <w:r>
              <w:rPr>
                <w:rFonts w:hint="eastAsia" w:ascii="宋体" w:hAnsi="宋体" w:cs="宋体"/>
                <w:b/>
                <w:bCs/>
                <w:sz w:val="21"/>
                <w:szCs w:val="21"/>
              </w:rPr>
              <w:t>投标文件格式资格审查资料中的表（五）（拟委任的项目负责人资历表）未填写或未提供证明材料的或所提供的证明材料不齐全或不能满足项目负责人最低要求，其资格审查不予通过。</w:t>
            </w:r>
          </w:p>
          <w:p>
            <w:pPr>
              <w:numPr>
                <w:ilvl w:val="0"/>
                <w:numId w:val="4"/>
              </w:numPr>
              <w:wordWrap w:val="0"/>
              <w:adjustRightInd w:val="0"/>
              <w:spacing w:line="360" w:lineRule="auto"/>
              <w:ind w:firstLine="422" w:firstLineChars="200"/>
              <w:jc w:val="left"/>
              <w:rPr>
                <w:rFonts w:hint="eastAsia" w:ascii="宋体" w:hAnsi="宋体" w:cs="宋体"/>
                <w:sz w:val="21"/>
                <w:szCs w:val="21"/>
              </w:rPr>
            </w:pPr>
            <w:r>
              <w:rPr>
                <w:rFonts w:hint="eastAsia" w:ascii="宋体" w:hAnsi="宋体" w:cs="宋体"/>
                <w:b/>
                <w:bCs/>
                <w:sz w:val="21"/>
                <w:szCs w:val="21"/>
              </w:rPr>
              <w:t>其他要求详见投标人须知正文第3.5.4项。</w:t>
            </w:r>
          </w:p>
        </w:tc>
      </w:tr>
    </w:tbl>
    <w:p>
      <w:pPr>
        <w:keepNext w:val="0"/>
        <w:keepLines w:val="0"/>
        <w:widowControl/>
        <w:suppressLineNumbers w:val="0"/>
        <w:jc w:val="left"/>
        <w:rPr>
          <w:rFonts w:hint="eastAsia" w:ascii="宋体" w:hAnsi="宋体" w:eastAsia="宋体" w:cs="宋体"/>
          <w:b/>
          <w:bCs/>
          <w:color w:val="000000"/>
          <w:kern w:val="0"/>
          <w:sz w:val="21"/>
          <w:szCs w:val="21"/>
          <w:lang w:val="en-US" w:eastAsia="zh-CN" w:bidi="ar"/>
        </w:rPr>
      </w:pPr>
    </w:p>
    <w:p>
      <w:pPr>
        <w:keepNext w:val="0"/>
        <w:keepLines w:val="0"/>
        <w:widowControl/>
        <w:suppressLineNumbers w:val="0"/>
        <w:jc w:val="left"/>
        <w:rPr>
          <w:sz w:val="21"/>
          <w:szCs w:val="21"/>
        </w:rPr>
      </w:pPr>
      <w:r>
        <w:rPr>
          <w:rFonts w:hint="eastAsia" w:ascii="宋体" w:hAnsi="宋体" w:eastAsia="宋体" w:cs="宋体"/>
          <w:b/>
          <w:bCs/>
          <w:color w:val="000000"/>
          <w:kern w:val="0"/>
          <w:sz w:val="21"/>
          <w:szCs w:val="21"/>
          <w:lang w:val="en-US" w:eastAsia="zh-CN" w:bidi="ar"/>
        </w:rPr>
        <w:t>四、评标办法全文</w:t>
      </w:r>
    </w:p>
    <w:p>
      <w:pPr>
        <w:pStyle w:val="5"/>
        <w:spacing w:before="0"/>
        <w:ind w:left="1144" w:right="796"/>
        <w:jc w:val="center"/>
        <w:rPr>
          <w:sz w:val="21"/>
          <w:szCs w:val="21"/>
        </w:rPr>
      </w:pPr>
      <w:r>
        <w:rPr>
          <w:sz w:val="21"/>
          <w:szCs w:val="21"/>
        </w:rPr>
        <w:t>评标办法前附表</w:t>
      </w:r>
    </w:p>
    <w:p>
      <w:pPr>
        <w:pStyle w:val="8"/>
        <w:rPr>
          <w:sz w:val="21"/>
          <w:szCs w:val="21"/>
        </w:rPr>
      </w:pPr>
    </w:p>
    <w:p>
      <w:pPr>
        <w:pStyle w:val="8"/>
        <w:spacing w:before="8"/>
        <w:rPr>
          <w:sz w:val="21"/>
          <w:szCs w:val="21"/>
        </w:rPr>
      </w:pPr>
    </w:p>
    <w:tbl>
      <w:tblPr>
        <w:tblStyle w:val="13"/>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
      <w:tblGrid>
        <w:gridCol w:w="856"/>
        <w:gridCol w:w="7"/>
        <w:gridCol w:w="1214"/>
        <w:gridCol w:w="6955"/>
        <w:gridCol w:w="15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97" w:hRule="atLeast"/>
          <w:tblHeader/>
          <w:jc w:val="center"/>
        </w:trPr>
        <w:tc>
          <w:tcPr>
            <w:tcW w:w="2077" w:type="dxa"/>
            <w:gridSpan w:val="3"/>
            <w:noWrap w:val="0"/>
            <w:tcMar>
              <w:top w:w="113" w:type="dxa"/>
              <w:left w:w="113" w:type="dxa"/>
              <w:bottom w:w="113" w:type="dxa"/>
              <w:right w:w="113" w:type="dxa"/>
            </w:tcMar>
            <w:vAlign w:val="center"/>
          </w:tcPr>
          <w:p>
            <w:pPr>
              <w:autoSpaceDE w:val="0"/>
              <w:autoSpaceDN w:val="0"/>
              <w:spacing w:line="400" w:lineRule="exact"/>
              <w:jc w:val="center"/>
              <w:rPr>
                <w:rFonts w:hint="eastAsia" w:ascii="宋体" w:hAnsi="宋体" w:cs="宋体"/>
                <w:b/>
                <w:kern w:val="0"/>
                <w:sz w:val="21"/>
                <w:szCs w:val="21"/>
              </w:rPr>
            </w:pPr>
            <w:r>
              <w:rPr>
                <w:rFonts w:hint="eastAsia" w:ascii="宋体" w:hAnsi="宋体" w:cs="宋体"/>
                <w:b/>
                <w:kern w:val="0"/>
                <w:sz w:val="21"/>
                <w:szCs w:val="21"/>
              </w:rPr>
              <w:t>条款号</w:t>
            </w:r>
          </w:p>
        </w:tc>
        <w:tc>
          <w:tcPr>
            <w:tcW w:w="7108" w:type="dxa"/>
            <w:gridSpan w:val="2"/>
            <w:noWrap w:val="0"/>
            <w:tcMar>
              <w:top w:w="113" w:type="dxa"/>
              <w:left w:w="113" w:type="dxa"/>
              <w:bottom w:w="113" w:type="dxa"/>
              <w:right w:w="113" w:type="dxa"/>
            </w:tcMar>
            <w:vAlign w:val="center"/>
          </w:tcPr>
          <w:p>
            <w:pPr>
              <w:autoSpaceDE w:val="0"/>
              <w:autoSpaceDN w:val="0"/>
              <w:spacing w:line="400" w:lineRule="exact"/>
              <w:jc w:val="center"/>
              <w:rPr>
                <w:rFonts w:hint="eastAsia" w:ascii="宋体" w:hAnsi="宋体" w:cs="宋体"/>
                <w:b/>
                <w:kern w:val="0"/>
                <w:sz w:val="21"/>
                <w:szCs w:val="21"/>
              </w:rPr>
            </w:pPr>
            <w:r>
              <w:rPr>
                <w:rFonts w:hint="eastAsia" w:ascii="宋体" w:hAnsi="宋体" w:cs="宋体"/>
                <w:b/>
                <w:kern w:val="0"/>
                <w:sz w:val="21"/>
                <w:szCs w:val="21"/>
              </w:rPr>
              <w:t>评审因素与标准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891" w:hRule="atLeast"/>
          <w:jc w:val="center"/>
        </w:trPr>
        <w:tc>
          <w:tcPr>
            <w:tcW w:w="863" w:type="dxa"/>
            <w:gridSpan w:val="2"/>
            <w:noWrap w:val="0"/>
            <w:tcMar>
              <w:top w:w="113" w:type="dxa"/>
              <w:left w:w="113" w:type="dxa"/>
              <w:bottom w:w="113" w:type="dxa"/>
              <w:right w:w="113" w:type="dxa"/>
            </w:tcMar>
            <w:vAlign w:val="center"/>
          </w:tcPr>
          <w:p>
            <w:pPr>
              <w:autoSpaceDE w:val="0"/>
              <w:autoSpaceDN w:val="0"/>
              <w:spacing w:line="312" w:lineRule="auto"/>
              <w:jc w:val="center"/>
              <w:rPr>
                <w:rFonts w:hint="eastAsia" w:ascii="宋体" w:hAnsi="宋体" w:cs="宋体"/>
                <w:kern w:val="0"/>
                <w:sz w:val="21"/>
                <w:szCs w:val="21"/>
              </w:rPr>
            </w:pPr>
            <w:r>
              <w:rPr>
                <w:rFonts w:hint="eastAsia" w:ascii="宋体" w:hAnsi="宋体" w:cs="宋体"/>
                <w:kern w:val="0"/>
                <w:sz w:val="21"/>
                <w:szCs w:val="21"/>
              </w:rPr>
              <w:t>1</w:t>
            </w:r>
          </w:p>
        </w:tc>
        <w:tc>
          <w:tcPr>
            <w:tcW w:w="1214" w:type="dxa"/>
            <w:noWrap w:val="0"/>
            <w:tcMar>
              <w:top w:w="113" w:type="dxa"/>
              <w:left w:w="113" w:type="dxa"/>
              <w:bottom w:w="113" w:type="dxa"/>
              <w:right w:w="113" w:type="dxa"/>
            </w:tcMar>
            <w:vAlign w:val="center"/>
          </w:tcPr>
          <w:p>
            <w:pPr>
              <w:autoSpaceDE w:val="0"/>
              <w:autoSpaceDN w:val="0"/>
              <w:spacing w:line="312" w:lineRule="auto"/>
              <w:jc w:val="center"/>
              <w:rPr>
                <w:rFonts w:hint="eastAsia" w:ascii="宋体" w:hAnsi="宋体" w:cs="宋体"/>
                <w:kern w:val="0"/>
                <w:sz w:val="21"/>
                <w:szCs w:val="21"/>
              </w:rPr>
            </w:pPr>
            <w:r>
              <w:rPr>
                <w:rFonts w:hint="eastAsia" w:ascii="宋体" w:hAnsi="宋体" w:cs="宋体"/>
                <w:kern w:val="0"/>
                <w:sz w:val="21"/>
                <w:szCs w:val="21"/>
              </w:rPr>
              <w:t>评标</w:t>
            </w:r>
          </w:p>
          <w:p>
            <w:pPr>
              <w:autoSpaceDE w:val="0"/>
              <w:autoSpaceDN w:val="0"/>
              <w:spacing w:line="312" w:lineRule="auto"/>
              <w:jc w:val="center"/>
              <w:rPr>
                <w:rFonts w:hint="eastAsia" w:ascii="宋体" w:hAnsi="宋体" w:cs="宋体"/>
                <w:kern w:val="0"/>
                <w:sz w:val="21"/>
                <w:szCs w:val="21"/>
              </w:rPr>
            </w:pPr>
            <w:r>
              <w:rPr>
                <w:rFonts w:hint="eastAsia" w:ascii="宋体" w:hAnsi="宋体" w:cs="宋体"/>
                <w:kern w:val="0"/>
                <w:sz w:val="21"/>
                <w:szCs w:val="21"/>
              </w:rPr>
              <w:t>办法</w:t>
            </w:r>
          </w:p>
        </w:tc>
        <w:tc>
          <w:tcPr>
            <w:tcW w:w="7108" w:type="dxa"/>
            <w:gridSpan w:val="2"/>
            <w:noWrap w:val="0"/>
            <w:tcMar>
              <w:top w:w="113" w:type="dxa"/>
              <w:left w:w="113" w:type="dxa"/>
              <w:bottom w:w="113" w:type="dxa"/>
              <w:right w:w="113" w:type="dxa"/>
            </w:tcMar>
            <w:vAlign w:val="center"/>
          </w:tcPr>
          <w:p>
            <w:pPr>
              <w:autoSpaceDE w:val="0"/>
              <w:autoSpaceDN w:val="0"/>
              <w:spacing w:line="312" w:lineRule="auto"/>
              <w:rPr>
                <w:rFonts w:hint="eastAsia" w:ascii="宋体" w:hAnsi="宋体" w:cs="宋体"/>
                <w:b/>
                <w:bCs/>
                <w:sz w:val="21"/>
                <w:szCs w:val="21"/>
              </w:rPr>
            </w:pPr>
            <w:r>
              <w:rPr>
                <w:rFonts w:hint="eastAsia" w:ascii="宋体" w:hAnsi="宋体" w:cs="宋体"/>
                <w:b/>
                <w:bCs/>
                <w:sz w:val="21"/>
                <w:szCs w:val="21"/>
              </w:rPr>
              <w:t>综合评分相等时，评标委员会依次按照以下优先顺序推荐中标候选人：</w:t>
            </w:r>
          </w:p>
          <w:p>
            <w:pPr>
              <w:tabs>
                <w:tab w:val="left" w:leader="middleDot" w:pos="8400"/>
                <w:tab w:val="left" w:leader="middleDot" w:pos="10500"/>
              </w:tabs>
              <w:autoSpaceDE w:val="0"/>
              <w:autoSpaceDN w:val="0"/>
              <w:spacing w:line="276" w:lineRule="auto"/>
              <w:ind w:firstLine="210" w:firstLineChars="100"/>
              <w:jc w:val="left"/>
              <w:rPr>
                <w:rFonts w:hint="eastAsia" w:ascii="宋体" w:hAnsi="宋体" w:cs="宋体"/>
                <w:kern w:val="0"/>
                <w:sz w:val="21"/>
                <w:szCs w:val="21"/>
              </w:rPr>
            </w:pPr>
            <w:r>
              <w:rPr>
                <w:rFonts w:hint="eastAsia" w:ascii="宋体" w:hAnsi="宋体" w:cs="宋体"/>
                <w:kern w:val="0"/>
                <w:sz w:val="21"/>
                <w:szCs w:val="21"/>
              </w:rPr>
              <w:t>（1）费率系数低的投标人优先；</w:t>
            </w:r>
          </w:p>
          <w:p>
            <w:pPr>
              <w:autoSpaceDE w:val="0"/>
              <w:autoSpaceDN w:val="0"/>
              <w:spacing w:line="276" w:lineRule="auto"/>
              <w:ind w:firstLine="210" w:firstLineChars="100"/>
              <w:jc w:val="left"/>
              <w:rPr>
                <w:rFonts w:hint="eastAsia" w:ascii="宋体" w:hAnsi="宋体" w:cs="宋体"/>
                <w:kern w:val="0"/>
                <w:sz w:val="21"/>
                <w:szCs w:val="21"/>
              </w:rPr>
            </w:pPr>
            <w:r>
              <w:rPr>
                <w:rFonts w:hint="eastAsia" w:ascii="宋体" w:hAnsi="宋体" w:cs="宋体"/>
                <w:kern w:val="0"/>
                <w:sz w:val="21"/>
                <w:szCs w:val="21"/>
              </w:rPr>
              <w:t>（2）费率系数相同时，技术方案得分较高的优先；</w:t>
            </w:r>
          </w:p>
          <w:p>
            <w:pPr>
              <w:autoSpaceDE w:val="0"/>
              <w:autoSpaceDN w:val="0"/>
              <w:spacing w:line="276" w:lineRule="auto"/>
              <w:ind w:firstLine="210" w:firstLineChars="100"/>
              <w:jc w:val="left"/>
              <w:rPr>
                <w:rFonts w:hint="eastAsia" w:ascii="宋体" w:hAnsi="宋体"/>
                <w:sz w:val="21"/>
                <w:szCs w:val="21"/>
              </w:rPr>
            </w:pPr>
            <w:r>
              <w:rPr>
                <w:rFonts w:hint="eastAsia" w:ascii="宋体" w:hAnsi="宋体" w:cs="宋体"/>
                <w:kern w:val="0"/>
                <w:sz w:val="21"/>
                <w:szCs w:val="21"/>
              </w:rPr>
              <w:t>（3）商务和技术方案得分相等时，则由评标委员会根据技术建议书的编制情况投票确定其推荐排序。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550" w:hRule="atLeast"/>
          <w:jc w:val="center"/>
        </w:trPr>
        <w:tc>
          <w:tcPr>
            <w:tcW w:w="863" w:type="dxa"/>
            <w:gridSpan w:val="2"/>
            <w:noWrap w:val="0"/>
            <w:tcMar>
              <w:top w:w="113" w:type="dxa"/>
              <w:left w:w="113" w:type="dxa"/>
              <w:bottom w:w="113" w:type="dxa"/>
              <w:right w:w="113" w:type="dxa"/>
            </w:tcMar>
            <w:vAlign w:val="center"/>
          </w:tcPr>
          <w:p>
            <w:pPr>
              <w:autoSpaceDE w:val="0"/>
              <w:autoSpaceDN w:val="0"/>
              <w:spacing w:line="312" w:lineRule="auto"/>
              <w:jc w:val="center"/>
              <w:rPr>
                <w:rFonts w:hint="eastAsia" w:ascii="宋体" w:hAnsi="宋体" w:cs="宋体"/>
                <w:kern w:val="0"/>
                <w:sz w:val="21"/>
                <w:szCs w:val="21"/>
              </w:rPr>
            </w:pPr>
            <w:r>
              <w:rPr>
                <w:rFonts w:hint="eastAsia" w:ascii="宋体" w:hAnsi="宋体" w:cs="宋体"/>
                <w:kern w:val="0"/>
                <w:sz w:val="21"/>
                <w:szCs w:val="21"/>
              </w:rPr>
              <w:t>2.1.1</w:t>
            </w:r>
          </w:p>
          <w:p>
            <w:pPr>
              <w:autoSpaceDE w:val="0"/>
              <w:autoSpaceDN w:val="0"/>
              <w:spacing w:line="312" w:lineRule="auto"/>
              <w:jc w:val="center"/>
              <w:rPr>
                <w:rFonts w:hint="eastAsia" w:ascii="宋体" w:hAnsi="宋体" w:cs="宋体"/>
                <w:kern w:val="0"/>
                <w:sz w:val="21"/>
                <w:szCs w:val="21"/>
              </w:rPr>
            </w:pPr>
            <w:r>
              <w:rPr>
                <w:rFonts w:hint="eastAsia" w:ascii="宋体" w:hAnsi="宋体" w:cs="宋体"/>
                <w:kern w:val="0"/>
                <w:sz w:val="21"/>
                <w:szCs w:val="21"/>
              </w:rPr>
              <w:t>2.1.3</w:t>
            </w:r>
          </w:p>
        </w:tc>
        <w:tc>
          <w:tcPr>
            <w:tcW w:w="1214" w:type="dxa"/>
            <w:noWrap w:val="0"/>
            <w:tcMar>
              <w:top w:w="113" w:type="dxa"/>
              <w:left w:w="113" w:type="dxa"/>
              <w:bottom w:w="113" w:type="dxa"/>
              <w:right w:w="113" w:type="dxa"/>
            </w:tcMar>
            <w:vAlign w:val="center"/>
          </w:tcPr>
          <w:p>
            <w:pPr>
              <w:autoSpaceDE w:val="0"/>
              <w:autoSpaceDN w:val="0"/>
              <w:spacing w:line="312" w:lineRule="auto"/>
              <w:jc w:val="center"/>
              <w:rPr>
                <w:rFonts w:hint="eastAsia" w:ascii="宋体" w:hAnsi="宋体" w:cs="宋体"/>
                <w:kern w:val="0"/>
                <w:sz w:val="21"/>
                <w:szCs w:val="21"/>
              </w:rPr>
            </w:pPr>
            <w:r>
              <w:rPr>
                <w:rFonts w:hint="eastAsia" w:ascii="宋体" w:hAnsi="宋体" w:cs="宋体"/>
                <w:kern w:val="0"/>
                <w:sz w:val="21"/>
                <w:szCs w:val="21"/>
              </w:rPr>
              <w:t>形式评审与响应性评审标准</w:t>
            </w:r>
          </w:p>
        </w:tc>
        <w:tc>
          <w:tcPr>
            <w:tcW w:w="7108" w:type="dxa"/>
            <w:gridSpan w:val="2"/>
            <w:noWrap w:val="0"/>
            <w:tcMar>
              <w:top w:w="113" w:type="dxa"/>
              <w:left w:w="113" w:type="dxa"/>
              <w:bottom w:w="113" w:type="dxa"/>
              <w:right w:w="113" w:type="dxa"/>
            </w:tcMar>
            <w:vAlign w:val="center"/>
          </w:tcPr>
          <w:p>
            <w:pPr>
              <w:tabs>
                <w:tab w:val="left" w:pos="246"/>
              </w:tabs>
              <w:autoSpaceDE w:val="0"/>
              <w:autoSpaceDN w:val="0"/>
              <w:spacing w:line="312" w:lineRule="auto"/>
              <w:rPr>
                <w:rFonts w:hint="eastAsia" w:ascii="宋体" w:hAnsi="宋体" w:cs="宋体"/>
                <w:b/>
                <w:bCs/>
                <w:kern w:val="0"/>
                <w:sz w:val="21"/>
                <w:szCs w:val="21"/>
              </w:rPr>
            </w:pPr>
            <w:r>
              <w:rPr>
                <w:rFonts w:hint="eastAsia" w:ascii="宋体" w:hAnsi="宋体" w:cs="宋体"/>
                <w:b/>
                <w:bCs/>
                <w:kern w:val="0"/>
                <w:sz w:val="21"/>
                <w:szCs w:val="21"/>
              </w:rPr>
              <w:t>第一个信封（商务及技术文件）评审标准：</w:t>
            </w:r>
          </w:p>
          <w:p>
            <w:pPr>
              <w:tabs>
                <w:tab w:val="left" w:pos="246"/>
              </w:tabs>
              <w:autoSpaceDE w:val="0"/>
              <w:autoSpaceDN w:val="0"/>
              <w:spacing w:line="312" w:lineRule="auto"/>
              <w:rPr>
                <w:rFonts w:hint="eastAsia" w:ascii="宋体" w:hAnsi="宋体" w:cs="宋体"/>
                <w:sz w:val="21"/>
                <w:szCs w:val="21"/>
              </w:rPr>
            </w:pPr>
            <w:r>
              <w:rPr>
                <w:rFonts w:hint="eastAsia" w:ascii="宋体" w:hAnsi="宋体" w:cs="宋体"/>
                <w:kern w:val="0"/>
                <w:sz w:val="21"/>
                <w:szCs w:val="21"/>
              </w:rPr>
              <w:t>（1）投标文件按照招标文件规定的格式、内容填写，字迹清晰可辨：投标函按招标文件规定填报了项目名称、补遗书编号（如</w:t>
            </w:r>
            <w:r>
              <w:rPr>
                <w:rFonts w:hint="eastAsia" w:ascii="宋体" w:hAnsi="宋体" w:cs="宋体"/>
                <w:sz w:val="21"/>
                <w:szCs w:val="21"/>
              </w:rPr>
              <w:t>有）、服务期限、服务质量要求、安全目标等内容；投标文件组成齐全完整，内容均按规定填写。</w:t>
            </w:r>
          </w:p>
          <w:p>
            <w:pPr>
              <w:tabs>
                <w:tab w:val="left" w:pos="246"/>
              </w:tabs>
              <w:autoSpaceDE w:val="0"/>
              <w:autoSpaceDN w:val="0"/>
              <w:spacing w:line="312" w:lineRule="auto"/>
              <w:rPr>
                <w:rFonts w:hint="eastAsia" w:ascii="宋体" w:hAnsi="宋体" w:cs="宋体"/>
                <w:sz w:val="21"/>
                <w:szCs w:val="21"/>
              </w:rPr>
            </w:pPr>
            <w:r>
              <w:rPr>
                <w:rFonts w:hint="eastAsia" w:ascii="宋体" w:hAnsi="宋体" w:cs="宋体"/>
                <w:sz w:val="21"/>
                <w:szCs w:val="21"/>
              </w:rPr>
              <w:t>（2）</w:t>
            </w:r>
            <w:r>
              <w:rPr>
                <w:rFonts w:hint="eastAsia" w:ascii="宋体" w:hAnsi="宋体" w:cs="宋体"/>
                <w:snapToGrid w:val="0"/>
                <w:sz w:val="21"/>
                <w:szCs w:val="21"/>
              </w:rPr>
              <w:t>投标文件上法定代表人或其授权代理人的签名、投标人的单位章盖章齐全，符合投标人须知前附表第3.7.3项要求</w:t>
            </w:r>
            <w:r>
              <w:rPr>
                <w:rFonts w:hint="eastAsia" w:ascii="宋体" w:hAnsi="宋体" w:cs="宋体"/>
                <w:sz w:val="21"/>
                <w:szCs w:val="21"/>
              </w:rPr>
              <w:t>。</w:t>
            </w:r>
          </w:p>
          <w:p>
            <w:pPr>
              <w:spacing w:line="360" w:lineRule="auto"/>
              <w:rPr>
                <w:rFonts w:hint="eastAsia" w:ascii="宋体" w:hAnsi="宋体" w:eastAsia="宋体" w:cs="宋体"/>
                <w:snapToGrid w:val="0"/>
                <w:sz w:val="21"/>
                <w:szCs w:val="21"/>
              </w:rPr>
            </w:pPr>
            <w:r>
              <w:rPr>
                <w:rFonts w:hint="eastAsia" w:ascii="宋体" w:hAnsi="宋体" w:eastAsia="宋体" w:cs="宋体"/>
                <w:snapToGrid w:val="0"/>
                <w:sz w:val="21"/>
                <w:szCs w:val="21"/>
                <w:highlight w:val="yellow"/>
              </w:rPr>
              <w:t>（3）</w:t>
            </w:r>
            <w:r>
              <w:rPr>
                <w:rFonts w:hint="eastAsia" w:ascii="宋体" w:hAnsi="宋体" w:eastAsia="宋体" w:cs="宋体"/>
                <w:snapToGrid w:val="0"/>
                <w:sz w:val="21"/>
                <w:szCs w:val="21"/>
              </w:rPr>
              <w:t>投标人法定代表人授权委托代理人签署投标文件的，须提交授权委托书，且授权人和被授权人均在授权委托书上签名，未使用印章、签名章或其他电子制版签名代替。</w:t>
            </w:r>
          </w:p>
          <w:p>
            <w:pPr>
              <w:pStyle w:val="24"/>
              <w:widowControl w:val="0"/>
              <w:autoSpaceDE w:val="0"/>
              <w:autoSpaceDN w:val="0"/>
              <w:spacing w:line="312" w:lineRule="auto"/>
              <w:rPr>
                <w:rFonts w:hint="eastAsia" w:ascii="宋体" w:hAnsi="宋体" w:eastAsia="宋体" w:cs="宋体"/>
                <w:snapToGrid w:val="0"/>
                <w:sz w:val="21"/>
                <w:szCs w:val="21"/>
              </w:rPr>
            </w:pPr>
            <w:r>
              <w:rPr>
                <w:rFonts w:hint="eastAsia" w:ascii="宋体" w:hAnsi="宋体" w:eastAsia="宋体" w:cs="宋体"/>
                <w:snapToGrid w:val="0"/>
                <w:sz w:val="21"/>
                <w:szCs w:val="21"/>
              </w:rPr>
              <w:t>（</w:t>
            </w:r>
            <w:r>
              <w:rPr>
                <w:rFonts w:hint="eastAsia" w:ascii="宋体" w:hAnsi="宋体" w:eastAsia="宋体" w:cs="宋体"/>
                <w:snapToGrid w:val="0"/>
                <w:sz w:val="21"/>
                <w:szCs w:val="21"/>
                <w:lang w:val="en-US" w:eastAsia="zh-CN"/>
              </w:rPr>
              <w:t>4</w:t>
            </w:r>
            <w:r>
              <w:rPr>
                <w:rFonts w:hint="eastAsia" w:ascii="宋体" w:hAnsi="宋体" w:eastAsia="宋体" w:cs="宋体"/>
                <w:snapToGrid w:val="0"/>
                <w:sz w:val="21"/>
                <w:szCs w:val="21"/>
              </w:rPr>
              <w:t>）投标人法定代表人亲自签署投标文件的，提供了法定代表人身份证明，且法定代表人在法定代表人身份证明上签名，未使用印章、签名章或其他电子制版签名代替。</w:t>
            </w:r>
          </w:p>
          <w:p>
            <w:pPr>
              <w:pStyle w:val="24"/>
              <w:widowControl w:val="0"/>
              <w:autoSpaceDE w:val="0"/>
              <w:autoSpaceDN w:val="0"/>
              <w:spacing w:line="312" w:lineRule="auto"/>
              <w:rPr>
                <w:rFonts w:hint="eastAsia" w:ascii="宋体" w:hAnsi="宋体" w:eastAsia="宋体" w:cs="宋体"/>
                <w:snapToGrid w:val="0"/>
                <w:sz w:val="21"/>
                <w:szCs w:val="21"/>
              </w:rPr>
            </w:pPr>
            <w:r>
              <w:rPr>
                <w:rFonts w:hint="eastAsia" w:ascii="宋体" w:hAnsi="宋体" w:eastAsia="宋体" w:cs="宋体"/>
                <w:snapToGrid w:val="0"/>
                <w:sz w:val="21"/>
                <w:szCs w:val="21"/>
              </w:rPr>
              <w:t>（</w:t>
            </w:r>
            <w:r>
              <w:rPr>
                <w:rFonts w:hint="eastAsia" w:ascii="宋体" w:hAnsi="宋体" w:eastAsia="宋体" w:cs="宋体"/>
                <w:snapToGrid w:val="0"/>
                <w:sz w:val="21"/>
                <w:szCs w:val="21"/>
                <w:lang w:val="en-US" w:eastAsia="zh-CN"/>
              </w:rPr>
              <w:t>5</w:t>
            </w:r>
            <w:r>
              <w:rPr>
                <w:rFonts w:hint="eastAsia" w:ascii="宋体" w:hAnsi="宋体" w:eastAsia="宋体" w:cs="宋体"/>
                <w:snapToGrid w:val="0"/>
                <w:sz w:val="21"/>
                <w:szCs w:val="21"/>
              </w:rPr>
              <w:t>）投标人未以联合体形式投标。</w:t>
            </w:r>
          </w:p>
          <w:p>
            <w:pPr>
              <w:pStyle w:val="24"/>
              <w:widowControl w:val="0"/>
              <w:autoSpaceDE w:val="0"/>
              <w:autoSpaceDN w:val="0"/>
              <w:spacing w:line="312" w:lineRule="auto"/>
              <w:rPr>
                <w:rFonts w:hint="eastAsia" w:ascii="宋体" w:hAnsi="宋体" w:eastAsia="宋体" w:cs="宋体"/>
                <w:snapToGrid w:val="0"/>
                <w:sz w:val="21"/>
                <w:szCs w:val="21"/>
              </w:rPr>
            </w:pPr>
            <w:r>
              <w:rPr>
                <w:rFonts w:hint="eastAsia" w:ascii="宋体" w:hAnsi="宋体" w:eastAsia="宋体" w:cs="宋体"/>
                <w:snapToGrid w:val="0"/>
                <w:sz w:val="21"/>
                <w:szCs w:val="21"/>
              </w:rPr>
              <w:t>（</w:t>
            </w:r>
            <w:r>
              <w:rPr>
                <w:rFonts w:hint="eastAsia" w:ascii="宋体" w:hAnsi="宋体" w:eastAsia="宋体" w:cs="宋体"/>
                <w:snapToGrid w:val="0"/>
                <w:sz w:val="21"/>
                <w:szCs w:val="21"/>
                <w:lang w:val="en-US" w:eastAsia="zh-CN"/>
              </w:rPr>
              <w:t>6</w:t>
            </w:r>
            <w:r>
              <w:rPr>
                <w:rFonts w:hint="eastAsia" w:ascii="宋体" w:hAnsi="宋体" w:eastAsia="宋体" w:cs="宋体"/>
                <w:snapToGrid w:val="0"/>
                <w:sz w:val="21"/>
                <w:szCs w:val="21"/>
              </w:rPr>
              <w:t>）投标人无分包计划。</w:t>
            </w:r>
          </w:p>
          <w:p>
            <w:pPr>
              <w:pStyle w:val="24"/>
              <w:widowControl w:val="0"/>
              <w:autoSpaceDE w:val="0"/>
              <w:autoSpaceDN w:val="0"/>
              <w:spacing w:line="312" w:lineRule="auto"/>
              <w:rPr>
                <w:rFonts w:hint="eastAsia" w:ascii="宋体" w:hAnsi="宋体" w:eastAsia="宋体" w:cs="宋体"/>
                <w:snapToGrid w:val="0"/>
                <w:sz w:val="21"/>
                <w:szCs w:val="21"/>
              </w:rPr>
            </w:pPr>
            <w:r>
              <w:rPr>
                <w:rFonts w:hint="eastAsia" w:ascii="宋体" w:hAnsi="宋体" w:eastAsia="宋体" w:cs="宋体"/>
                <w:snapToGrid w:val="0"/>
                <w:sz w:val="21"/>
                <w:szCs w:val="21"/>
              </w:rPr>
              <w:t>（</w:t>
            </w:r>
            <w:r>
              <w:rPr>
                <w:rFonts w:hint="eastAsia" w:ascii="宋体" w:hAnsi="宋体" w:eastAsia="宋体" w:cs="宋体"/>
                <w:snapToGrid w:val="0"/>
                <w:sz w:val="21"/>
                <w:szCs w:val="21"/>
                <w:lang w:val="en-US" w:eastAsia="zh-CN"/>
              </w:rPr>
              <w:t>7</w:t>
            </w:r>
            <w:r>
              <w:rPr>
                <w:rFonts w:hint="eastAsia" w:ascii="宋体" w:hAnsi="宋体" w:eastAsia="宋体" w:cs="宋体"/>
                <w:snapToGrid w:val="0"/>
                <w:sz w:val="21"/>
                <w:szCs w:val="21"/>
              </w:rPr>
              <w:t>）同一投标人未提交两个以上不同的投标文件。</w:t>
            </w:r>
          </w:p>
          <w:p>
            <w:pPr>
              <w:pStyle w:val="24"/>
              <w:widowControl w:val="0"/>
              <w:autoSpaceDE w:val="0"/>
              <w:autoSpaceDN w:val="0"/>
              <w:spacing w:line="312" w:lineRule="auto"/>
              <w:rPr>
                <w:rFonts w:hint="eastAsia" w:ascii="宋体" w:hAnsi="宋体" w:eastAsia="宋体" w:cs="宋体"/>
                <w:snapToGrid w:val="0"/>
                <w:sz w:val="21"/>
                <w:szCs w:val="21"/>
              </w:rPr>
            </w:pPr>
            <w:r>
              <w:rPr>
                <w:rFonts w:hint="eastAsia" w:ascii="宋体" w:hAnsi="宋体" w:eastAsia="宋体" w:cs="宋体"/>
                <w:snapToGrid w:val="0"/>
                <w:sz w:val="21"/>
                <w:szCs w:val="21"/>
              </w:rPr>
              <w:t>（</w:t>
            </w:r>
            <w:r>
              <w:rPr>
                <w:rFonts w:hint="eastAsia" w:ascii="宋体" w:hAnsi="宋体" w:eastAsia="宋体" w:cs="宋体"/>
                <w:snapToGrid w:val="0"/>
                <w:sz w:val="21"/>
                <w:szCs w:val="21"/>
                <w:lang w:val="en-US" w:eastAsia="zh-CN"/>
              </w:rPr>
              <w:t>8</w:t>
            </w:r>
            <w:r>
              <w:rPr>
                <w:rFonts w:hint="eastAsia" w:ascii="宋体" w:hAnsi="宋体" w:eastAsia="宋体" w:cs="宋体"/>
                <w:snapToGrid w:val="0"/>
                <w:sz w:val="21"/>
                <w:szCs w:val="21"/>
              </w:rPr>
              <w:t>）投标文件第一信封中未出现有关投标报价的内容。</w:t>
            </w:r>
          </w:p>
          <w:p>
            <w:pPr>
              <w:pStyle w:val="24"/>
              <w:widowControl w:val="0"/>
              <w:autoSpaceDE w:val="0"/>
              <w:autoSpaceDN w:val="0"/>
              <w:spacing w:line="312" w:lineRule="auto"/>
              <w:rPr>
                <w:rFonts w:hint="eastAsia" w:ascii="宋体" w:hAnsi="宋体" w:eastAsia="宋体" w:cs="宋体"/>
                <w:snapToGrid w:val="0"/>
                <w:sz w:val="21"/>
                <w:szCs w:val="21"/>
              </w:rPr>
            </w:pPr>
            <w:r>
              <w:rPr>
                <w:rFonts w:hint="eastAsia" w:ascii="宋体" w:hAnsi="宋体" w:eastAsia="宋体" w:cs="宋体"/>
                <w:snapToGrid w:val="0"/>
                <w:sz w:val="21"/>
                <w:szCs w:val="21"/>
              </w:rPr>
              <w:t>（</w:t>
            </w:r>
            <w:r>
              <w:rPr>
                <w:rFonts w:hint="eastAsia" w:ascii="宋体" w:hAnsi="宋体" w:eastAsia="宋体" w:cs="宋体"/>
                <w:snapToGrid w:val="0"/>
                <w:sz w:val="21"/>
                <w:szCs w:val="21"/>
                <w:lang w:val="en-US" w:eastAsia="zh-CN"/>
              </w:rPr>
              <w:t>9</w:t>
            </w:r>
            <w:r>
              <w:rPr>
                <w:rFonts w:hint="eastAsia" w:ascii="宋体" w:hAnsi="宋体" w:eastAsia="宋体" w:cs="宋体"/>
                <w:snapToGrid w:val="0"/>
                <w:sz w:val="21"/>
                <w:szCs w:val="21"/>
              </w:rPr>
              <w:t>）投标文件载明的招标项目完成期限未超过招标文件规定的时限。</w:t>
            </w:r>
          </w:p>
          <w:p>
            <w:pPr>
              <w:pStyle w:val="24"/>
              <w:widowControl w:val="0"/>
              <w:autoSpaceDE w:val="0"/>
              <w:autoSpaceDN w:val="0"/>
              <w:spacing w:line="312" w:lineRule="auto"/>
              <w:rPr>
                <w:rFonts w:hint="eastAsia" w:ascii="宋体" w:hAnsi="宋体" w:eastAsia="宋体" w:cs="宋体"/>
                <w:snapToGrid w:val="0"/>
                <w:sz w:val="21"/>
                <w:szCs w:val="21"/>
              </w:rPr>
            </w:pPr>
            <w:r>
              <w:rPr>
                <w:rFonts w:hint="eastAsia" w:ascii="宋体" w:hAnsi="宋体" w:eastAsia="宋体" w:cs="宋体"/>
                <w:snapToGrid w:val="0"/>
                <w:sz w:val="21"/>
                <w:szCs w:val="21"/>
              </w:rPr>
              <w:t>（1</w:t>
            </w:r>
            <w:r>
              <w:rPr>
                <w:rFonts w:hint="eastAsia" w:ascii="宋体" w:hAnsi="宋体" w:eastAsia="宋体" w:cs="宋体"/>
                <w:snapToGrid w:val="0"/>
                <w:sz w:val="21"/>
                <w:szCs w:val="21"/>
                <w:lang w:val="en-US" w:eastAsia="zh-CN"/>
              </w:rPr>
              <w:t>0</w:t>
            </w:r>
            <w:r>
              <w:rPr>
                <w:rFonts w:hint="eastAsia" w:ascii="宋体" w:hAnsi="宋体" w:eastAsia="宋体" w:cs="宋体"/>
                <w:snapToGrid w:val="0"/>
                <w:sz w:val="21"/>
                <w:szCs w:val="21"/>
              </w:rPr>
              <w:t>）投标文件对招标文件的实质性要求和条件作出响应。</w:t>
            </w:r>
          </w:p>
          <w:p>
            <w:pPr>
              <w:pStyle w:val="24"/>
              <w:widowControl w:val="0"/>
              <w:autoSpaceDE w:val="0"/>
              <w:autoSpaceDN w:val="0"/>
              <w:spacing w:line="312" w:lineRule="auto"/>
              <w:rPr>
                <w:rFonts w:hint="eastAsia" w:ascii="宋体" w:hAnsi="宋体" w:eastAsia="宋体" w:cs="宋体"/>
                <w:snapToGrid w:val="0"/>
                <w:sz w:val="21"/>
                <w:szCs w:val="21"/>
              </w:rPr>
            </w:pPr>
            <w:r>
              <w:rPr>
                <w:rFonts w:hint="eastAsia" w:ascii="宋体" w:hAnsi="宋体" w:eastAsia="宋体" w:cs="宋体"/>
                <w:snapToGrid w:val="0"/>
                <w:sz w:val="21"/>
                <w:szCs w:val="21"/>
              </w:rPr>
              <w:t>（</w:t>
            </w:r>
            <w:r>
              <w:rPr>
                <w:rFonts w:hint="eastAsia" w:ascii="宋体" w:hAnsi="宋体" w:eastAsia="宋体" w:cs="宋体"/>
                <w:snapToGrid w:val="0"/>
                <w:sz w:val="21"/>
                <w:szCs w:val="21"/>
                <w:lang w:val="en-US" w:eastAsia="zh-CN"/>
              </w:rPr>
              <w:t>11</w:t>
            </w:r>
            <w:r>
              <w:rPr>
                <w:rFonts w:hint="eastAsia" w:ascii="宋体" w:hAnsi="宋体" w:eastAsia="宋体" w:cs="宋体"/>
                <w:snapToGrid w:val="0"/>
                <w:sz w:val="21"/>
                <w:szCs w:val="21"/>
              </w:rPr>
              <w:t>）权利义务符合招标文件规定。</w:t>
            </w:r>
          </w:p>
          <w:p>
            <w:pPr>
              <w:pStyle w:val="24"/>
              <w:widowControl w:val="0"/>
              <w:autoSpaceDE w:val="0"/>
              <w:autoSpaceDN w:val="0"/>
              <w:spacing w:line="312" w:lineRule="auto"/>
              <w:rPr>
                <w:rFonts w:hint="eastAsia" w:ascii="宋体" w:hAnsi="宋体" w:eastAsia="宋体" w:cs="宋体"/>
                <w:snapToGrid w:val="0"/>
                <w:sz w:val="21"/>
                <w:szCs w:val="21"/>
              </w:rPr>
            </w:pPr>
            <w:r>
              <w:rPr>
                <w:rFonts w:hint="eastAsia" w:ascii="宋体" w:hAnsi="宋体" w:eastAsia="宋体" w:cs="宋体"/>
                <w:snapToGrid w:val="0"/>
                <w:sz w:val="21"/>
                <w:szCs w:val="21"/>
              </w:rPr>
              <w:t>a.投标人应接受招标文件规定的风险划分原则，未提出新的风险划分办法；</w:t>
            </w:r>
          </w:p>
          <w:p>
            <w:pPr>
              <w:pStyle w:val="24"/>
              <w:widowControl w:val="0"/>
              <w:autoSpaceDE w:val="0"/>
              <w:autoSpaceDN w:val="0"/>
              <w:spacing w:line="312" w:lineRule="auto"/>
              <w:rPr>
                <w:rFonts w:hint="eastAsia" w:ascii="宋体" w:hAnsi="宋体" w:eastAsia="宋体" w:cs="宋体"/>
                <w:snapToGrid w:val="0"/>
                <w:sz w:val="21"/>
                <w:szCs w:val="21"/>
              </w:rPr>
            </w:pPr>
            <w:r>
              <w:rPr>
                <w:rFonts w:hint="eastAsia" w:ascii="宋体" w:hAnsi="宋体" w:eastAsia="宋体" w:cs="宋体"/>
                <w:snapToGrid w:val="0"/>
                <w:sz w:val="21"/>
                <w:szCs w:val="21"/>
              </w:rPr>
              <w:t>b.投标人未增加发包人的责任范围，或减少投标人义务；</w:t>
            </w:r>
          </w:p>
          <w:p>
            <w:pPr>
              <w:pStyle w:val="24"/>
              <w:widowControl w:val="0"/>
              <w:autoSpaceDE w:val="0"/>
              <w:autoSpaceDN w:val="0"/>
              <w:spacing w:line="312" w:lineRule="auto"/>
              <w:rPr>
                <w:rFonts w:hint="eastAsia" w:ascii="宋体" w:hAnsi="宋体" w:eastAsia="宋体" w:cs="宋体"/>
                <w:snapToGrid w:val="0"/>
                <w:sz w:val="21"/>
                <w:szCs w:val="21"/>
              </w:rPr>
            </w:pPr>
            <w:r>
              <w:rPr>
                <w:rFonts w:hint="eastAsia" w:ascii="宋体" w:hAnsi="宋体" w:eastAsia="宋体" w:cs="宋体"/>
                <w:snapToGrid w:val="0"/>
                <w:sz w:val="21"/>
                <w:szCs w:val="21"/>
              </w:rPr>
              <w:t>c.投标人未提出不同的工程验收、计量、支付办法；</w:t>
            </w:r>
          </w:p>
          <w:p>
            <w:pPr>
              <w:pStyle w:val="24"/>
              <w:widowControl w:val="0"/>
              <w:autoSpaceDE w:val="0"/>
              <w:autoSpaceDN w:val="0"/>
              <w:spacing w:line="312" w:lineRule="auto"/>
              <w:rPr>
                <w:rFonts w:hint="eastAsia" w:ascii="宋体" w:hAnsi="宋体" w:eastAsia="宋体" w:cs="宋体"/>
                <w:snapToGrid w:val="0"/>
                <w:sz w:val="21"/>
                <w:szCs w:val="21"/>
              </w:rPr>
            </w:pPr>
            <w:r>
              <w:rPr>
                <w:rFonts w:hint="eastAsia" w:ascii="宋体" w:hAnsi="宋体" w:eastAsia="宋体" w:cs="宋体"/>
                <w:snapToGrid w:val="0"/>
                <w:sz w:val="21"/>
                <w:szCs w:val="21"/>
              </w:rPr>
              <w:t>d.投标人对合同纠纷、事故处理办法未提出异议；</w:t>
            </w:r>
          </w:p>
          <w:p>
            <w:pPr>
              <w:pStyle w:val="24"/>
              <w:widowControl w:val="0"/>
              <w:autoSpaceDE w:val="0"/>
              <w:autoSpaceDN w:val="0"/>
              <w:spacing w:line="312" w:lineRule="auto"/>
              <w:rPr>
                <w:rFonts w:hint="eastAsia" w:ascii="宋体" w:hAnsi="宋体" w:eastAsia="宋体" w:cs="宋体"/>
                <w:snapToGrid w:val="0"/>
                <w:sz w:val="21"/>
                <w:szCs w:val="21"/>
              </w:rPr>
            </w:pPr>
            <w:r>
              <w:rPr>
                <w:rFonts w:hint="eastAsia" w:ascii="宋体" w:hAnsi="宋体" w:eastAsia="宋体" w:cs="宋体"/>
                <w:snapToGrid w:val="0"/>
                <w:sz w:val="21"/>
                <w:szCs w:val="21"/>
              </w:rPr>
              <w:t>e.投标人在投标活动中无欺诈行为；</w:t>
            </w:r>
          </w:p>
          <w:p>
            <w:pPr>
              <w:pStyle w:val="24"/>
              <w:widowControl w:val="0"/>
              <w:autoSpaceDE w:val="0"/>
              <w:autoSpaceDN w:val="0"/>
              <w:spacing w:line="312" w:lineRule="auto"/>
              <w:rPr>
                <w:rFonts w:hint="eastAsia" w:ascii="宋体" w:hAnsi="宋体" w:eastAsia="宋体" w:cs="宋体"/>
                <w:snapToGrid w:val="0"/>
                <w:sz w:val="21"/>
                <w:szCs w:val="21"/>
              </w:rPr>
            </w:pPr>
            <w:r>
              <w:rPr>
                <w:rFonts w:hint="eastAsia" w:ascii="宋体" w:hAnsi="宋体" w:eastAsia="宋体" w:cs="宋体"/>
                <w:snapToGrid w:val="0"/>
                <w:sz w:val="21"/>
                <w:szCs w:val="21"/>
              </w:rPr>
              <w:t>f.投标人未对合同条款有重要保留。</w:t>
            </w:r>
          </w:p>
          <w:p>
            <w:pPr>
              <w:pStyle w:val="24"/>
              <w:widowControl w:val="0"/>
              <w:autoSpaceDE w:val="0"/>
              <w:autoSpaceDN w:val="0"/>
              <w:spacing w:line="312" w:lineRule="auto"/>
              <w:rPr>
                <w:rFonts w:hint="eastAsia" w:ascii="宋体" w:hAnsi="宋体" w:eastAsia="宋体" w:cs="宋体"/>
                <w:snapToGrid w:val="0"/>
                <w:sz w:val="21"/>
                <w:szCs w:val="21"/>
              </w:rPr>
            </w:pPr>
            <w:r>
              <w:rPr>
                <w:rFonts w:hint="eastAsia" w:ascii="宋体" w:hAnsi="宋体" w:eastAsia="宋体" w:cs="宋体"/>
                <w:snapToGrid w:val="0"/>
                <w:sz w:val="21"/>
                <w:szCs w:val="21"/>
              </w:rPr>
              <w:t>（</w:t>
            </w:r>
            <w:r>
              <w:rPr>
                <w:rFonts w:hint="eastAsia" w:ascii="宋体" w:hAnsi="宋体" w:eastAsia="宋体" w:cs="宋体"/>
                <w:snapToGrid w:val="0"/>
                <w:sz w:val="21"/>
                <w:szCs w:val="21"/>
                <w:lang w:val="en-US" w:eastAsia="zh-CN"/>
              </w:rPr>
              <w:t>12</w:t>
            </w:r>
            <w:r>
              <w:rPr>
                <w:rFonts w:hint="eastAsia" w:ascii="宋体" w:hAnsi="宋体" w:eastAsia="宋体" w:cs="宋体"/>
                <w:snapToGrid w:val="0"/>
                <w:sz w:val="21"/>
                <w:szCs w:val="21"/>
              </w:rPr>
              <w:t>）投标人未以他人名义投标、未与他人串通投标、未以行贿手段谋取中标，以及未弄虚作假；</w:t>
            </w:r>
          </w:p>
          <w:p>
            <w:pPr>
              <w:pStyle w:val="24"/>
              <w:widowControl w:val="0"/>
              <w:autoSpaceDE w:val="0"/>
              <w:autoSpaceDN w:val="0"/>
              <w:spacing w:line="312" w:lineRule="auto"/>
              <w:rPr>
                <w:rFonts w:hint="eastAsia" w:ascii="宋体" w:hAnsi="宋体" w:eastAsia="宋体" w:cs="宋体"/>
                <w:snapToGrid w:val="0"/>
                <w:sz w:val="21"/>
                <w:szCs w:val="21"/>
              </w:rPr>
            </w:pPr>
            <w:r>
              <w:rPr>
                <w:rFonts w:hint="eastAsia" w:ascii="宋体" w:hAnsi="宋体" w:eastAsia="宋体" w:cs="宋体"/>
                <w:snapToGrid w:val="0"/>
                <w:sz w:val="21"/>
                <w:szCs w:val="21"/>
              </w:rPr>
              <w:t>（</w:t>
            </w:r>
            <w:r>
              <w:rPr>
                <w:rFonts w:hint="eastAsia" w:ascii="宋体" w:hAnsi="宋体" w:eastAsia="宋体" w:cs="宋体"/>
                <w:snapToGrid w:val="0"/>
                <w:sz w:val="21"/>
                <w:szCs w:val="21"/>
                <w:lang w:val="en-US" w:eastAsia="zh-CN"/>
              </w:rPr>
              <w:t>13</w:t>
            </w:r>
            <w:r>
              <w:rPr>
                <w:rFonts w:hint="eastAsia" w:ascii="宋体" w:hAnsi="宋体" w:eastAsia="宋体" w:cs="宋体"/>
                <w:snapToGrid w:val="0"/>
                <w:sz w:val="21"/>
                <w:szCs w:val="21"/>
              </w:rPr>
              <w:t>）投标人按评标委员会的要求做出了澄清、说明或补正。</w:t>
            </w:r>
          </w:p>
          <w:p>
            <w:pPr>
              <w:tabs>
                <w:tab w:val="left" w:pos="246"/>
                <w:tab w:val="left" w:pos="338"/>
                <w:tab w:val="left" w:pos="456"/>
              </w:tabs>
              <w:autoSpaceDE w:val="0"/>
              <w:autoSpaceDN w:val="0"/>
              <w:spacing w:line="312" w:lineRule="auto"/>
              <w:rPr>
                <w:rFonts w:hint="eastAsia"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14</w:t>
            </w:r>
            <w:r>
              <w:rPr>
                <w:rFonts w:hint="eastAsia" w:ascii="宋体" w:hAnsi="宋体" w:cs="宋体"/>
                <w:sz w:val="21"/>
                <w:szCs w:val="21"/>
              </w:rPr>
              <w:t>）投标文件的提交方式符合招标文件第二章“投标人须知”第4.2项规定。</w:t>
            </w:r>
          </w:p>
          <w:p>
            <w:pPr>
              <w:tabs>
                <w:tab w:val="left" w:pos="246"/>
              </w:tabs>
              <w:autoSpaceDE w:val="0"/>
              <w:autoSpaceDN w:val="0"/>
              <w:spacing w:line="312" w:lineRule="auto"/>
              <w:rPr>
                <w:rFonts w:hint="eastAsia" w:ascii="宋体" w:hAnsi="宋体" w:cs="宋体"/>
                <w:b/>
                <w:bCs/>
                <w:kern w:val="0"/>
                <w:sz w:val="21"/>
                <w:szCs w:val="21"/>
              </w:rPr>
            </w:pPr>
            <w:r>
              <w:rPr>
                <w:rFonts w:hint="eastAsia" w:ascii="宋体" w:hAnsi="宋体" w:cs="宋体"/>
                <w:b/>
                <w:bCs/>
                <w:kern w:val="0"/>
                <w:sz w:val="21"/>
                <w:szCs w:val="21"/>
              </w:rPr>
              <w:t>第二个信封（报价文件）评审标准：</w:t>
            </w:r>
          </w:p>
          <w:p>
            <w:pPr>
              <w:pStyle w:val="24"/>
              <w:widowControl w:val="0"/>
              <w:autoSpaceDE w:val="0"/>
              <w:autoSpaceDN w:val="0"/>
              <w:spacing w:line="312" w:lineRule="auto"/>
              <w:rPr>
                <w:rFonts w:hint="eastAsia" w:ascii="宋体" w:hAnsi="宋体" w:eastAsia="宋体" w:cs="宋体"/>
                <w:snapToGrid w:val="0"/>
                <w:sz w:val="21"/>
                <w:szCs w:val="21"/>
              </w:rPr>
            </w:pPr>
            <w:r>
              <w:rPr>
                <w:rFonts w:hint="eastAsia" w:ascii="宋体" w:hAnsi="宋体" w:eastAsia="宋体" w:cs="宋体"/>
                <w:snapToGrid w:val="0"/>
                <w:sz w:val="21"/>
                <w:szCs w:val="21"/>
              </w:rPr>
              <w:t>（1）投标文件按照招标文件规定的格式、内容填写，字迹清晰可辨:</w:t>
            </w:r>
          </w:p>
          <w:p>
            <w:pPr>
              <w:pStyle w:val="24"/>
              <w:widowControl w:val="0"/>
              <w:autoSpaceDE w:val="0"/>
              <w:autoSpaceDN w:val="0"/>
              <w:spacing w:line="312" w:lineRule="auto"/>
              <w:rPr>
                <w:rFonts w:hint="eastAsia" w:ascii="宋体" w:hAnsi="宋体" w:eastAsia="宋体" w:cs="宋体"/>
                <w:snapToGrid w:val="0"/>
                <w:sz w:val="21"/>
                <w:szCs w:val="21"/>
              </w:rPr>
            </w:pPr>
            <w:r>
              <w:rPr>
                <w:rFonts w:hint="eastAsia" w:ascii="宋体" w:hAnsi="宋体" w:eastAsia="宋体" w:cs="宋体"/>
                <w:snapToGrid w:val="0"/>
                <w:sz w:val="21"/>
                <w:szCs w:val="21"/>
              </w:rPr>
              <w:t>a.投标函按招标文件规定填报了项目名称、补遗书编号（如有）、投标报价；</w:t>
            </w:r>
          </w:p>
          <w:p>
            <w:pPr>
              <w:pStyle w:val="24"/>
              <w:widowControl w:val="0"/>
              <w:autoSpaceDE w:val="0"/>
              <w:autoSpaceDN w:val="0"/>
              <w:spacing w:line="312" w:lineRule="auto"/>
              <w:rPr>
                <w:rFonts w:hint="eastAsia" w:ascii="宋体" w:hAnsi="宋体" w:eastAsia="宋体" w:cs="宋体"/>
                <w:snapToGrid w:val="0"/>
                <w:sz w:val="21"/>
                <w:szCs w:val="21"/>
              </w:rPr>
            </w:pPr>
            <w:r>
              <w:rPr>
                <w:rFonts w:hint="eastAsia" w:ascii="宋体" w:hAnsi="宋体" w:eastAsia="宋体" w:cs="宋体"/>
                <w:snapToGrid w:val="0"/>
                <w:sz w:val="21"/>
                <w:szCs w:val="21"/>
              </w:rPr>
              <w:t>b.投标文件组成齐全完整，内容均按规定填写。</w:t>
            </w:r>
          </w:p>
          <w:p>
            <w:pPr>
              <w:pStyle w:val="24"/>
              <w:widowControl w:val="0"/>
              <w:autoSpaceDE w:val="0"/>
              <w:autoSpaceDN w:val="0"/>
              <w:spacing w:line="312" w:lineRule="auto"/>
              <w:rPr>
                <w:rFonts w:hint="eastAsia" w:ascii="宋体" w:hAnsi="宋体" w:eastAsia="宋体" w:cs="宋体"/>
                <w:snapToGrid w:val="0"/>
                <w:sz w:val="21"/>
                <w:szCs w:val="21"/>
              </w:rPr>
            </w:pPr>
            <w:r>
              <w:rPr>
                <w:rFonts w:hint="eastAsia" w:ascii="宋体" w:hAnsi="宋体" w:eastAsia="宋体" w:cs="宋体"/>
                <w:snapToGrid w:val="0"/>
                <w:sz w:val="21"/>
                <w:szCs w:val="21"/>
              </w:rPr>
              <w:t>（2）投标文件上法定代表人或其授权代理人的签名、投标人的单位章盖章齐全，符合投标人须知前附表第3.7.3项要求；</w:t>
            </w:r>
          </w:p>
          <w:p>
            <w:pPr>
              <w:pStyle w:val="24"/>
              <w:widowControl w:val="0"/>
              <w:autoSpaceDE w:val="0"/>
              <w:autoSpaceDN w:val="0"/>
              <w:spacing w:line="312" w:lineRule="auto"/>
              <w:rPr>
                <w:rFonts w:hint="eastAsia" w:ascii="宋体" w:hAnsi="宋体" w:eastAsia="宋体" w:cs="宋体"/>
                <w:snapToGrid w:val="0"/>
                <w:sz w:val="21"/>
                <w:szCs w:val="21"/>
              </w:rPr>
            </w:pPr>
            <w:r>
              <w:rPr>
                <w:rFonts w:hint="eastAsia" w:ascii="宋体" w:hAnsi="宋体" w:eastAsia="宋体" w:cs="宋体"/>
                <w:snapToGrid w:val="0"/>
                <w:sz w:val="21"/>
                <w:szCs w:val="21"/>
              </w:rPr>
              <w:t>（3）投标报价（费率系数）未超过招标文件设定的100%（如有）；</w:t>
            </w:r>
          </w:p>
          <w:p>
            <w:pPr>
              <w:pStyle w:val="24"/>
              <w:widowControl w:val="0"/>
              <w:autoSpaceDE w:val="0"/>
              <w:autoSpaceDN w:val="0"/>
              <w:spacing w:line="312" w:lineRule="auto"/>
              <w:rPr>
                <w:rFonts w:hint="eastAsia" w:ascii="宋体" w:hAnsi="宋体" w:eastAsia="宋体" w:cs="宋体"/>
                <w:snapToGrid w:val="0"/>
                <w:sz w:val="21"/>
                <w:szCs w:val="21"/>
              </w:rPr>
            </w:pPr>
            <w:r>
              <w:rPr>
                <w:rFonts w:hint="eastAsia" w:ascii="宋体" w:hAnsi="宋体" w:eastAsia="宋体" w:cs="宋体"/>
                <w:snapToGrid w:val="0"/>
                <w:sz w:val="21"/>
                <w:szCs w:val="21"/>
              </w:rPr>
              <w:t>（4）投标人按评标委员会的要求做出了澄清、说明或补正；</w:t>
            </w:r>
          </w:p>
          <w:p>
            <w:pPr>
              <w:pStyle w:val="24"/>
              <w:widowControl w:val="0"/>
              <w:autoSpaceDE w:val="0"/>
              <w:autoSpaceDN w:val="0"/>
              <w:spacing w:line="312" w:lineRule="auto"/>
              <w:rPr>
                <w:rFonts w:hint="eastAsia" w:ascii="宋体" w:hAnsi="宋体" w:eastAsia="宋体" w:cs="宋体"/>
                <w:snapToGrid w:val="0"/>
                <w:sz w:val="21"/>
                <w:szCs w:val="21"/>
              </w:rPr>
            </w:pPr>
            <w:r>
              <w:rPr>
                <w:rFonts w:hint="eastAsia" w:ascii="宋体" w:hAnsi="宋体" w:eastAsia="宋体" w:cs="宋体"/>
                <w:snapToGrid w:val="0"/>
                <w:sz w:val="21"/>
                <w:szCs w:val="21"/>
              </w:rPr>
              <w:t>（5）同一投标人同一类人员未提交两个以上不同的投标报价（费率系数）；</w:t>
            </w:r>
          </w:p>
          <w:p>
            <w:pPr>
              <w:pStyle w:val="24"/>
              <w:widowControl w:val="0"/>
              <w:autoSpaceDE w:val="0"/>
              <w:autoSpaceDN w:val="0"/>
              <w:spacing w:line="312" w:lineRule="auto"/>
              <w:rPr>
                <w:rFonts w:hint="eastAsia" w:ascii="宋体" w:hAnsi="宋体" w:eastAsia="宋体" w:cs="宋体"/>
                <w:snapToGrid w:val="0"/>
                <w:sz w:val="21"/>
                <w:szCs w:val="21"/>
              </w:rPr>
            </w:pPr>
            <w:r>
              <w:rPr>
                <w:rFonts w:hint="eastAsia" w:ascii="宋体" w:hAnsi="宋体" w:eastAsia="宋体" w:cs="宋体"/>
                <w:snapToGrid w:val="0"/>
                <w:sz w:val="21"/>
                <w:szCs w:val="21"/>
              </w:rPr>
              <w:t>（6）投标文件未附有招标人不能接受的条件。</w:t>
            </w:r>
          </w:p>
          <w:p>
            <w:pPr>
              <w:pStyle w:val="24"/>
              <w:widowControl w:val="0"/>
              <w:autoSpaceDE w:val="0"/>
              <w:autoSpaceDN w:val="0"/>
              <w:spacing w:line="312" w:lineRule="auto"/>
              <w:rPr>
                <w:rFonts w:hint="eastAsia" w:ascii="宋体" w:hAnsi="宋体" w:eastAsia="宋体" w:cs="宋体"/>
                <w:snapToGrid w:val="0"/>
                <w:sz w:val="21"/>
                <w:szCs w:val="21"/>
              </w:rPr>
            </w:pPr>
            <w:r>
              <w:rPr>
                <w:rFonts w:hint="eastAsia" w:ascii="宋体" w:hAnsi="宋体" w:eastAsia="宋体" w:cs="宋体"/>
                <w:snapToGrid w:val="0"/>
                <w:sz w:val="21"/>
                <w:szCs w:val="21"/>
              </w:rPr>
              <w:t>（7）</w:t>
            </w:r>
            <w:r>
              <w:rPr>
                <w:rFonts w:hint="eastAsia" w:ascii="宋体" w:hAnsi="宋体" w:eastAsia="宋体" w:cs="宋体"/>
                <w:sz w:val="21"/>
                <w:szCs w:val="21"/>
              </w:rPr>
              <w:t>投标文件提交方式符合招标文件第二章“投标人须知”第4.2项规定。</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863" w:type="dxa"/>
            <w:gridSpan w:val="2"/>
            <w:noWrap w:val="0"/>
            <w:tcMar>
              <w:top w:w="113" w:type="dxa"/>
              <w:left w:w="113" w:type="dxa"/>
              <w:bottom w:w="113" w:type="dxa"/>
              <w:right w:w="113" w:type="dxa"/>
            </w:tcMar>
            <w:vAlign w:val="center"/>
          </w:tcPr>
          <w:p>
            <w:pPr>
              <w:spacing w:line="312" w:lineRule="auto"/>
              <w:rPr>
                <w:rFonts w:hint="eastAsia" w:ascii="宋体" w:hAnsi="宋体" w:cs="宋体"/>
                <w:sz w:val="21"/>
                <w:szCs w:val="21"/>
              </w:rPr>
            </w:pPr>
            <w:r>
              <w:rPr>
                <w:rFonts w:hint="eastAsia" w:ascii="宋体" w:hAnsi="宋体" w:cs="宋体"/>
                <w:sz w:val="21"/>
                <w:szCs w:val="21"/>
              </w:rPr>
              <w:t>2.1.2</w:t>
            </w:r>
          </w:p>
        </w:tc>
        <w:tc>
          <w:tcPr>
            <w:tcW w:w="1214" w:type="dxa"/>
            <w:noWrap w:val="0"/>
            <w:tcMar>
              <w:top w:w="113" w:type="dxa"/>
              <w:left w:w="113" w:type="dxa"/>
              <w:bottom w:w="113" w:type="dxa"/>
              <w:right w:w="113" w:type="dxa"/>
            </w:tcMar>
            <w:vAlign w:val="center"/>
          </w:tcPr>
          <w:p>
            <w:pPr>
              <w:spacing w:line="312" w:lineRule="auto"/>
              <w:rPr>
                <w:rFonts w:hint="eastAsia" w:ascii="宋体" w:hAnsi="宋体" w:cs="宋体"/>
                <w:sz w:val="21"/>
                <w:szCs w:val="21"/>
              </w:rPr>
            </w:pPr>
            <w:r>
              <w:rPr>
                <w:rFonts w:hint="eastAsia" w:ascii="宋体" w:hAnsi="宋体" w:cs="宋体"/>
                <w:sz w:val="21"/>
                <w:szCs w:val="21"/>
              </w:rPr>
              <w:t>资格评审标准</w:t>
            </w:r>
          </w:p>
        </w:tc>
        <w:tc>
          <w:tcPr>
            <w:tcW w:w="7108" w:type="dxa"/>
            <w:gridSpan w:val="2"/>
            <w:noWrap w:val="0"/>
            <w:tcMar>
              <w:top w:w="113" w:type="dxa"/>
              <w:left w:w="113" w:type="dxa"/>
              <w:bottom w:w="113" w:type="dxa"/>
              <w:right w:w="113" w:type="dxa"/>
            </w:tcMar>
            <w:vAlign w:val="center"/>
          </w:tcPr>
          <w:p>
            <w:pPr>
              <w:numPr>
                <w:ilvl w:val="0"/>
                <w:numId w:val="5"/>
              </w:numPr>
              <w:spacing w:line="312" w:lineRule="auto"/>
              <w:rPr>
                <w:rFonts w:hint="eastAsia" w:ascii="宋体" w:hAnsi="宋体" w:cs="宋体"/>
                <w:sz w:val="21"/>
                <w:szCs w:val="21"/>
              </w:rPr>
            </w:pPr>
            <w:r>
              <w:rPr>
                <w:rFonts w:hint="eastAsia" w:ascii="宋体" w:hAnsi="宋体" w:cs="宋体"/>
                <w:sz w:val="21"/>
                <w:szCs w:val="21"/>
              </w:rPr>
              <w:t>投标人具备有效的营业执照、组织机构代码证、税务登记证（或三证合一的营业执照）、劳务派遣经营许可证、基本账户开户银行提供的开户或账户信息证明等招标文件要求提交的证照，且所有证照在正本中均为彩色扫描件。</w:t>
            </w:r>
          </w:p>
          <w:p>
            <w:pPr>
              <w:numPr>
                <w:ilvl w:val="0"/>
                <w:numId w:val="5"/>
              </w:numPr>
              <w:spacing w:line="312" w:lineRule="auto"/>
              <w:rPr>
                <w:rFonts w:hint="eastAsia" w:ascii="宋体" w:hAnsi="宋体" w:cs="宋体"/>
                <w:sz w:val="21"/>
                <w:szCs w:val="21"/>
              </w:rPr>
            </w:pPr>
            <w:r>
              <w:rPr>
                <w:rFonts w:hint="eastAsia" w:ascii="宋体" w:hAnsi="宋体" w:cs="宋体"/>
                <w:sz w:val="21"/>
                <w:szCs w:val="21"/>
              </w:rPr>
              <w:t>投标人的资质符合招标文件投标人须知正文及附录1规定。</w:t>
            </w:r>
          </w:p>
          <w:p>
            <w:pPr>
              <w:numPr>
                <w:ilvl w:val="0"/>
                <w:numId w:val="5"/>
              </w:numPr>
              <w:spacing w:line="312" w:lineRule="auto"/>
              <w:rPr>
                <w:rFonts w:hint="eastAsia" w:ascii="宋体" w:hAnsi="宋体" w:cs="宋体"/>
                <w:sz w:val="21"/>
                <w:szCs w:val="21"/>
              </w:rPr>
            </w:pPr>
            <w:r>
              <w:rPr>
                <w:rFonts w:hint="eastAsia" w:ascii="宋体" w:hAnsi="宋体" w:cs="宋体"/>
                <w:sz w:val="21"/>
                <w:szCs w:val="21"/>
              </w:rPr>
              <w:t>投标人的业绩符合招标文件投标人须知正文及附录2规定。</w:t>
            </w:r>
          </w:p>
          <w:p>
            <w:pPr>
              <w:numPr>
                <w:ilvl w:val="0"/>
                <w:numId w:val="5"/>
              </w:numPr>
              <w:spacing w:line="312" w:lineRule="auto"/>
              <w:rPr>
                <w:rFonts w:hint="eastAsia" w:ascii="宋体" w:hAnsi="宋体" w:cs="宋体"/>
                <w:sz w:val="21"/>
                <w:szCs w:val="21"/>
              </w:rPr>
            </w:pPr>
            <w:r>
              <w:rPr>
                <w:rFonts w:hint="eastAsia" w:ascii="宋体" w:hAnsi="宋体" w:cs="宋体"/>
                <w:sz w:val="21"/>
                <w:szCs w:val="21"/>
              </w:rPr>
              <w:t>投标人的信誉符合招标文件投标人须知正文及附录3规定。</w:t>
            </w:r>
          </w:p>
          <w:p>
            <w:pPr>
              <w:numPr>
                <w:ilvl w:val="0"/>
                <w:numId w:val="5"/>
              </w:numPr>
              <w:spacing w:line="312" w:lineRule="auto"/>
              <w:rPr>
                <w:rFonts w:hint="eastAsia" w:ascii="宋体" w:hAnsi="宋体" w:cs="宋体"/>
                <w:sz w:val="21"/>
                <w:szCs w:val="21"/>
              </w:rPr>
            </w:pPr>
            <w:r>
              <w:rPr>
                <w:rFonts w:hint="eastAsia" w:ascii="宋体" w:hAnsi="宋体" w:cs="宋体"/>
                <w:sz w:val="21"/>
                <w:szCs w:val="21"/>
              </w:rPr>
              <w:t>投标人的项目负责人符合招标文件投标人须知正文及附录4规定。</w:t>
            </w:r>
          </w:p>
          <w:p>
            <w:pPr>
              <w:numPr>
                <w:ilvl w:val="0"/>
                <w:numId w:val="5"/>
              </w:numPr>
              <w:spacing w:line="312" w:lineRule="auto"/>
              <w:rPr>
                <w:rFonts w:hint="eastAsia" w:ascii="宋体" w:hAnsi="宋体" w:cs="宋体"/>
                <w:sz w:val="21"/>
                <w:szCs w:val="21"/>
              </w:rPr>
            </w:pPr>
            <w:r>
              <w:rPr>
                <w:rFonts w:hint="eastAsia" w:ascii="宋体" w:hAnsi="宋体" w:cs="宋体"/>
                <w:sz w:val="21"/>
                <w:szCs w:val="21"/>
              </w:rPr>
              <w:t>投标人的其他要求符合招标文件规定。</w:t>
            </w:r>
          </w:p>
          <w:p>
            <w:pPr>
              <w:numPr>
                <w:ilvl w:val="0"/>
                <w:numId w:val="5"/>
              </w:numPr>
              <w:spacing w:line="312" w:lineRule="auto"/>
              <w:rPr>
                <w:rFonts w:hint="eastAsia" w:ascii="宋体" w:hAnsi="宋体" w:cs="宋体"/>
                <w:sz w:val="21"/>
                <w:szCs w:val="21"/>
              </w:rPr>
            </w:pPr>
            <w:r>
              <w:rPr>
                <w:rFonts w:hint="eastAsia" w:ascii="宋体" w:hAnsi="宋体" w:cs="宋体"/>
                <w:sz w:val="21"/>
                <w:szCs w:val="21"/>
              </w:rPr>
              <w:t>投标人不存在第二章“投标人须知”第 1.4.3 项或第 1.4.4 项规定的任何一种情形。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863" w:type="dxa"/>
            <w:gridSpan w:val="2"/>
            <w:noWrap w:val="0"/>
            <w:tcMar>
              <w:top w:w="113" w:type="dxa"/>
              <w:left w:w="113" w:type="dxa"/>
              <w:bottom w:w="113" w:type="dxa"/>
              <w:right w:w="113" w:type="dxa"/>
            </w:tcMar>
            <w:vAlign w:val="center"/>
          </w:tcPr>
          <w:p>
            <w:pPr>
              <w:autoSpaceDE w:val="0"/>
              <w:autoSpaceDN w:val="0"/>
              <w:spacing w:line="360" w:lineRule="exact"/>
              <w:jc w:val="center"/>
              <w:rPr>
                <w:rFonts w:hint="eastAsia" w:ascii="宋体" w:hAnsi="宋体" w:cs="宋体"/>
                <w:sz w:val="21"/>
                <w:szCs w:val="21"/>
              </w:rPr>
            </w:pPr>
            <w:r>
              <w:rPr>
                <w:rFonts w:hint="eastAsia" w:ascii="宋体" w:hAnsi="宋体" w:cs="宋体"/>
                <w:kern w:val="0"/>
                <w:sz w:val="21"/>
                <w:szCs w:val="21"/>
              </w:rPr>
              <w:t>2.2.1</w:t>
            </w:r>
          </w:p>
        </w:tc>
        <w:tc>
          <w:tcPr>
            <w:tcW w:w="1214" w:type="dxa"/>
            <w:noWrap w:val="0"/>
            <w:tcMar>
              <w:top w:w="113" w:type="dxa"/>
              <w:left w:w="113" w:type="dxa"/>
              <w:bottom w:w="113" w:type="dxa"/>
              <w:right w:w="113" w:type="dxa"/>
            </w:tcMar>
            <w:vAlign w:val="center"/>
          </w:tcPr>
          <w:p>
            <w:pPr>
              <w:spacing w:line="360" w:lineRule="exact"/>
              <w:jc w:val="center"/>
              <w:rPr>
                <w:rFonts w:hint="eastAsia" w:ascii="宋体" w:hAnsi="宋体" w:cs="宋体"/>
                <w:sz w:val="21"/>
                <w:szCs w:val="21"/>
              </w:rPr>
            </w:pPr>
            <w:r>
              <w:rPr>
                <w:rFonts w:hint="eastAsia" w:ascii="宋体" w:hAnsi="宋体" w:cs="宋体"/>
                <w:sz w:val="21"/>
                <w:szCs w:val="21"/>
              </w:rPr>
              <w:t>分值</w:t>
            </w:r>
          </w:p>
          <w:p>
            <w:pPr>
              <w:spacing w:line="360" w:lineRule="exact"/>
              <w:jc w:val="center"/>
              <w:rPr>
                <w:rFonts w:hint="eastAsia" w:ascii="宋体" w:hAnsi="宋体" w:cs="宋体"/>
                <w:sz w:val="21"/>
                <w:szCs w:val="21"/>
              </w:rPr>
            </w:pPr>
            <w:r>
              <w:rPr>
                <w:rFonts w:hint="eastAsia" w:ascii="宋体" w:hAnsi="宋体" w:cs="宋体"/>
                <w:sz w:val="21"/>
                <w:szCs w:val="21"/>
              </w:rPr>
              <w:t>构成</w:t>
            </w:r>
          </w:p>
          <w:p>
            <w:pPr>
              <w:spacing w:line="360" w:lineRule="exact"/>
              <w:jc w:val="center"/>
              <w:rPr>
                <w:rFonts w:hint="eastAsia" w:ascii="宋体" w:hAnsi="宋体" w:cs="宋体"/>
                <w:b/>
                <w:bCs/>
                <w:sz w:val="21"/>
                <w:szCs w:val="21"/>
              </w:rPr>
            </w:pPr>
          </w:p>
          <w:p>
            <w:pPr>
              <w:spacing w:line="360" w:lineRule="exact"/>
              <w:jc w:val="center"/>
              <w:rPr>
                <w:rFonts w:hint="eastAsia" w:ascii="宋体" w:hAnsi="宋体" w:cs="宋体"/>
                <w:sz w:val="21"/>
                <w:szCs w:val="21"/>
              </w:rPr>
            </w:pPr>
            <w:r>
              <w:rPr>
                <w:rFonts w:hint="eastAsia" w:ascii="宋体" w:hAnsi="宋体" w:cs="宋体"/>
                <w:b/>
                <w:bCs/>
                <w:sz w:val="21"/>
                <w:szCs w:val="21"/>
              </w:rPr>
              <w:t>总分100分</w:t>
            </w:r>
          </w:p>
        </w:tc>
        <w:tc>
          <w:tcPr>
            <w:tcW w:w="7108" w:type="dxa"/>
            <w:gridSpan w:val="2"/>
            <w:noWrap w:val="0"/>
            <w:tcMar>
              <w:top w:w="113" w:type="dxa"/>
              <w:left w:w="113" w:type="dxa"/>
              <w:bottom w:w="113" w:type="dxa"/>
              <w:right w:w="113" w:type="dxa"/>
            </w:tcMar>
            <w:vAlign w:val="center"/>
          </w:tcPr>
          <w:p>
            <w:pPr>
              <w:autoSpaceDE w:val="0"/>
              <w:autoSpaceDN w:val="0"/>
              <w:spacing w:line="360" w:lineRule="exact"/>
              <w:rPr>
                <w:rFonts w:hint="eastAsia" w:ascii="宋体" w:hAnsi="宋体" w:cs="宋体"/>
                <w:b/>
                <w:sz w:val="21"/>
                <w:szCs w:val="21"/>
              </w:rPr>
            </w:pPr>
            <w:r>
              <w:rPr>
                <w:rFonts w:hint="eastAsia" w:ascii="宋体" w:hAnsi="宋体" w:cs="宋体"/>
                <w:b/>
                <w:sz w:val="21"/>
                <w:szCs w:val="21"/>
              </w:rPr>
              <w:t>第一个信封（商务及技术文件）评分分值构成</w:t>
            </w:r>
            <w:r>
              <w:rPr>
                <w:rFonts w:hint="eastAsia" w:ascii="宋体" w:hAnsi="宋体" w:cs="宋体"/>
                <w:b/>
                <w:bCs/>
                <w:sz w:val="21"/>
                <w:szCs w:val="21"/>
              </w:rPr>
              <w:t>（总分90分）</w:t>
            </w:r>
            <w:r>
              <w:rPr>
                <w:rFonts w:hint="eastAsia" w:ascii="宋体" w:hAnsi="宋体" w:cs="宋体"/>
                <w:b/>
                <w:sz w:val="21"/>
                <w:szCs w:val="21"/>
              </w:rPr>
              <w:t>：</w:t>
            </w:r>
          </w:p>
          <w:p>
            <w:pPr>
              <w:spacing w:line="360" w:lineRule="exact"/>
              <w:rPr>
                <w:rFonts w:hint="eastAsia" w:ascii="宋体" w:hAnsi="宋体" w:cs="宋体"/>
                <w:sz w:val="21"/>
                <w:szCs w:val="21"/>
              </w:rPr>
            </w:pPr>
            <w:r>
              <w:rPr>
                <w:rFonts w:hint="eastAsia" w:ascii="宋体" w:hAnsi="宋体" w:cs="宋体"/>
                <w:sz w:val="21"/>
                <w:szCs w:val="21"/>
              </w:rPr>
              <w:t>技术建议书：    35分</w:t>
            </w:r>
          </w:p>
          <w:p>
            <w:pPr>
              <w:spacing w:line="360" w:lineRule="exact"/>
              <w:rPr>
                <w:rFonts w:hint="eastAsia" w:ascii="宋体" w:hAnsi="宋体" w:cs="宋体"/>
                <w:sz w:val="21"/>
                <w:szCs w:val="21"/>
              </w:rPr>
            </w:pPr>
            <w:r>
              <w:rPr>
                <w:rFonts w:hint="eastAsia" w:ascii="宋体" w:hAnsi="宋体" w:cs="宋体"/>
                <w:sz w:val="21"/>
                <w:szCs w:val="21"/>
              </w:rPr>
              <w:t>主要人员：      25分</w:t>
            </w:r>
          </w:p>
          <w:p>
            <w:pPr>
              <w:spacing w:line="360" w:lineRule="exact"/>
              <w:rPr>
                <w:rFonts w:hint="eastAsia" w:ascii="宋体" w:hAnsi="宋体" w:cs="宋体"/>
                <w:sz w:val="21"/>
                <w:szCs w:val="21"/>
              </w:rPr>
            </w:pPr>
            <w:r>
              <w:rPr>
                <w:rFonts w:hint="eastAsia" w:ascii="宋体" w:hAnsi="宋体" w:cs="宋体"/>
                <w:sz w:val="21"/>
                <w:szCs w:val="21"/>
              </w:rPr>
              <w:t>企业业绩：      25分</w:t>
            </w:r>
          </w:p>
          <w:p>
            <w:pPr>
              <w:spacing w:line="360" w:lineRule="exact"/>
              <w:rPr>
                <w:rFonts w:hint="eastAsia" w:ascii="宋体" w:hAnsi="宋体" w:cs="宋体"/>
                <w:sz w:val="21"/>
                <w:szCs w:val="21"/>
              </w:rPr>
            </w:pPr>
            <w:r>
              <w:rPr>
                <w:rFonts w:hint="eastAsia" w:ascii="宋体" w:hAnsi="宋体" w:cs="宋体"/>
                <w:sz w:val="21"/>
                <w:szCs w:val="21"/>
              </w:rPr>
              <w:t>履约信誉：      5 分</w:t>
            </w:r>
          </w:p>
          <w:p>
            <w:pPr>
              <w:autoSpaceDE w:val="0"/>
              <w:autoSpaceDN w:val="0"/>
              <w:spacing w:line="360" w:lineRule="exact"/>
              <w:rPr>
                <w:rFonts w:hint="eastAsia" w:ascii="宋体" w:hAnsi="宋体" w:cs="宋体"/>
                <w:b/>
                <w:sz w:val="21"/>
                <w:szCs w:val="21"/>
              </w:rPr>
            </w:pPr>
            <w:r>
              <w:rPr>
                <w:rFonts w:hint="eastAsia" w:ascii="宋体" w:hAnsi="宋体" w:cs="宋体"/>
                <w:b/>
                <w:sz w:val="21"/>
                <w:szCs w:val="21"/>
              </w:rPr>
              <w:t>第二个信封（报价文件）评分分值构成</w:t>
            </w:r>
            <w:r>
              <w:rPr>
                <w:rFonts w:hint="eastAsia" w:ascii="宋体" w:hAnsi="宋体" w:cs="宋体"/>
                <w:b/>
                <w:bCs/>
                <w:sz w:val="21"/>
                <w:szCs w:val="21"/>
              </w:rPr>
              <w:t>（总分10分）</w:t>
            </w:r>
            <w:r>
              <w:rPr>
                <w:rFonts w:hint="eastAsia" w:ascii="宋体" w:hAnsi="宋体" w:cs="宋体"/>
                <w:b/>
                <w:sz w:val="21"/>
                <w:szCs w:val="21"/>
              </w:rPr>
              <w:t>：</w:t>
            </w:r>
          </w:p>
          <w:p>
            <w:pPr>
              <w:autoSpaceDE w:val="0"/>
              <w:autoSpaceDN w:val="0"/>
              <w:spacing w:line="360" w:lineRule="exact"/>
              <w:rPr>
                <w:rFonts w:hint="eastAsia" w:ascii="宋体" w:hAnsi="宋体" w:cs="宋体"/>
                <w:sz w:val="21"/>
                <w:szCs w:val="21"/>
              </w:rPr>
            </w:pPr>
            <w:r>
              <w:rPr>
                <w:rFonts w:hint="eastAsia" w:ascii="宋体" w:hAnsi="宋体" w:cs="宋体"/>
                <w:sz w:val="21"/>
                <w:szCs w:val="21"/>
              </w:rPr>
              <w:t>投标报价：</w:t>
            </w:r>
            <w:r>
              <w:rPr>
                <w:rFonts w:hint="eastAsia" w:ascii="宋体" w:hAnsi="宋体" w:cs="宋体"/>
                <w:kern w:val="0"/>
                <w:sz w:val="21"/>
                <w:szCs w:val="21"/>
              </w:rPr>
              <w:t xml:space="preserve">      10分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gridAfter w:val="1"/>
          <w:wAfter w:w="153" w:type="dxa"/>
          <w:trHeight w:val="516" w:hRule="atLeast"/>
          <w:jc w:val="center"/>
        </w:trPr>
        <w:tc>
          <w:tcPr>
            <w:tcW w:w="856" w:type="dxa"/>
            <w:noWrap w:val="0"/>
            <w:tcMar>
              <w:top w:w="113" w:type="dxa"/>
              <w:left w:w="113" w:type="dxa"/>
              <w:bottom w:w="113" w:type="dxa"/>
              <w:right w:w="113" w:type="dxa"/>
            </w:tcMar>
            <w:vAlign w:val="center"/>
          </w:tcPr>
          <w:p>
            <w:pPr>
              <w:autoSpaceDE w:val="0"/>
              <w:autoSpaceDN w:val="0"/>
              <w:jc w:val="center"/>
              <w:rPr>
                <w:rFonts w:hint="eastAsia" w:ascii="宋体" w:hAnsi="宋体" w:cs="宋体"/>
                <w:b/>
                <w:kern w:val="0"/>
                <w:sz w:val="21"/>
                <w:szCs w:val="21"/>
              </w:rPr>
            </w:pPr>
            <w:r>
              <w:rPr>
                <w:rFonts w:hint="eastAsia" w:ascii="宋体" w:hAnsi="宋体" w:cs="宋体"/>
                <w:b/>
                <w:kern w:val="0"/>
                <w:sz w:val="21"/>
                <w:szCs w:val="21"/>
              </w:rPr>
              <w:t>条款号</w:t>
            </w:r>
          </w:p>
        </w:tc>
        <w:tc>
          <w:tcPr>
            <w:tcW w:w="1221" w:type="dxa"/>
            <w:gridSpan w:val="2"/>
            <w:noWrap w:val="0"/>
            <w:tcMar>
              <w:top w:w="113" w:type="dxa"/>
              <w:left w:w="113" w:type="dxa"/>
              <w:bottom w:w="113" w:type="dxa"/>
              <w:right w:w="113" w:type="dxa"/>
            </w:tcMar>
            <w:vAlign w:val="center"/>
          </w:tcPr>
          <w:p>
            <w:pPr>
              <w:autoSpaceDE w:val="0"/>
              <w:autoSpaceDN w:val="0"/>
              <w:jc w:val="center"/>
              <w:rPr>
                <w:rFonts w:hint="eastAsia" w:ascii="宋体" w:hAnsi="宋体" w:cs="宋体"/>
                <w:b/>
                <w:kern w:val="0"/>
                <w:sz w:val="21"/>
                <w:szCs w:val="21"/>
              </w:rPr>
            </w:pPr>
            <w:r>
              <w:rPr>
                <w:rFonts w:hint="eastAsia" w:ascii="宋体" w:hAnsi="宋体" w:cs="宋体"/>
                <w:b/>
                <w:kern w:val="0"/>
                <w:sz w:val="21"/>
                <w:szCs w:val="21"/>
              </w:rPr>
              <w:t>条款内容</w:t>
            </w:r>
          </w:p>
        </w:tc>
        <w:tc>
          <w:tcPr>
            <w:tcW w:w="6955" w:type="dxa"/>
            <w:noWrap w:val="0"/>
            <w:tcMar>
              <w:top w:w="113" w:type="dxa"/>
              <w:left w:w="113" w:type="dxa"/>
              <w:bottom w:w="113" w:type="dxa"/>
              <w:right w:w="113" w:type="dxa"/>
            </w:tcMar>
            <w:vAlign w:val="center"/>
          </w:tcPr>
          <w:p>
            <w:pPr>
              <w:autoSpaceDE w:val="0"/>
              <w:autoSpaceDN w:val="0"/>
              <w:jc w:val="center"/>
              <w:rPr>
                <w:rFonts w:hint="eastAsia" w:ascii="宋体" w:hAnsi="宋体" w:cs="宋体"/>
                <w:b/>
                <w:kern w:val="0"/>
                <w:sz w:val="21"/>
                <w:szCs w:val="21"/>
              </w:rPr>
            </w:pPr>
            <w:r>
              <w:rPr>
                <w:rFonts w:hint="eastAsia" w:ascii="宋体" w:hAnsi="宋体" w:cs="宋体"/>
                <w:b/>
                <w:kern w:val="0"/>
                <w:sz w:val="21"/>
                <w:szCs w:val="21"/>
              </w:rPr>
              <w:t>编列内容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gridAfter w:val="1"/>
          <w:wAfter w:w="153" w:type="dxa"/>
          <w:trHeight w:val="782" w:hRule="atLeast"/>
          <w:jc w:val="center"/>
        </w:trPr>
        <w:tc>
          <w:tcPr>
            <w:tcW w:w="856" w:type="dxa"/>
            <w:noWrap w:val="0"/>
            <w:tcMar>
              <w:top w:w="113" w:type="dxa"/>
              <w:left w:w="113" w:type="dxa"/>
              <w:bottom w:w="113" w:type="dxa"/>
              <w:right w:w="113" w:type="dxa"/>
            </w:tcMar>
            <w:vAlign w:val="center"/>
          </w:tcPr>
          <w:p>
            <w:pPr>
              <w:autoSpaceDE w:val="0"/>
              <w:autoSpaceDN w:val="0"/>
              <w:jc w:val="center"/>
              <w:rPr>
                <w:rFonts w:hint="eastAsia" w:ascii="宋体" w:hAnsi="宋体" w:cs="宋体"/>
                <w:kern w:val="0"/>
                <w:sz w:val="21"/>
                <w:szCs w:val="21"/>
              </w:rPr>
            </w:pPr>
            <w:r>
              <w:rPr>
                <w:rFonts w:hint="eastAsia" w:ascii="宋体" w:hAnsi="宋体" w:cs="宋体"/>
                <w:kern w:val="0"/>
                <w:sz w:val="21"/>
                <w:szCs w:val="21"/>
              </w:rPr>
              <w:t>2.2.2</w:t>
            </w:r>
          </w:p>
        </w:tc>
        <w:tc>
          <w:tcPr>
            <w:tcW w:w="1221" w:type="dxa"/>
            <w:gridSpan w:val="2"/>
            <w:noWrap w:val="0"/>
            <w:tcMar>
              <w:top w:w="113" w:type="dxa"/>
              <w:left w:w="113" w:type="dxa"/>
              <w:bottom w:w="113" w:type="dxa"/>
              <w:right w:w="113" w:type="dxa"/>
            </w:tcMar>
            <w:vAlign w:val="center"/>
          </w:tcPr>
          <w:p>
            <w:pPr>
              <w:jc w:val="center"/>
              <w:rPr>
                <w:rFonts w:hint="eastAsia" w:ascii="宋体" w:hAnsi="宋体" w:cs="宋体"/>
                <w:sz w:val="21"/>
                <w:szCs w:val="21"/>
              </w:rPr>
            </w:pPr>
            <w:r>
              <w:rPr>
                <w:rFonts w:hint="eastAsia" w:ascii="宋体" w:hAnsi="宋体" w:cs="宋体"/>
                <w:sz w:val="21"/>
                <w:szCs w:val="21"/>
              </w:rPr>
              <w:t>评标基准价</w:t>
            </w:r>
          </w:p>
          <w:p>
            <w:pPr>
              <w:jc w:val="center"/>
              <w:rPr>
                <w:rFonts w:hint="eastAsia" w:ascii="宋体" w:hAnsi="宋体" w:cs="宋体"/>
                <w:sz w:val="21"/>
                <w:szCs w:val="21"/>
              </w:rPr>
            </w:pPr>
            <w:r>
              <w:rPr>
                <w:rFonts w:hint="eastAsia" w:ascii="宋体" w:hAnsi="宋体" w:cs="宋体"/>
                <w:sz w:val="21"/>
                <w:szCs w:val="21"/>
              </w:rPr>
              <w:t>计算方法</w:t>
            </w:r>
          </w:p>
        </w:tc>
        <w:tc>
          <w:tcPr>
            <w:tcW w:w="6955" w:type="dxa"/>
            <w:noWrap w:val="0"/>
            <w:tcMar>
              <w:top w:w="113" w:type="dxa"/>
              <w:left w:w="113" w:type="dxa"/>
              <w:bottom w:w="113" w:type="dxa"/>
              <w:right w:w="113" w:type="dxa"/>
            </w:tcMar>
            <w:vAlign w:val="center"/>
          </w:tcPr>
          <w:p>
            <w:pPr>
              <w:autoSpaceDE w:val="0"/>
              <w:autoSpaceDN w:val="0"/>
              <w:spacing w:line="360" w:lineRule="exact"/>
              <w:rPr>
                <w:rFonts w:hint="eastAsia" w:ascii="宋体" w:hAnsi="宋体" w:cs="宋体"/>
                <w:sz w:val="21"/>
                <w:szCs w:val="21"/>
              </w:rPr>
            </w:pPr>
            <w:r>
              <w:rPr>
                <w:rFonts w:hint="eastAsia" w:ascii="宋体" w:hAnsi="宋体" w:cs="宋体"/>
                <w:sz w:val="21"/>
                <w:szCs w:val="21"/>
              </w:rPr>
              <w:t>评标基准价（费率系数）的计算：</w:t>
            </w:r>
          </w:p>
          <w:p>
            <w:pPr>
              <w:autoSpaceDE w:val="0"/>
              <w:autoSpaceDN w:val="0"/>
              <w:spacing w:line="360" w:lineRule="exact"/>
              <w:ind w:firstLine="420" w:firstLineChars="200"/>
              <w:rPr>
                <w:rFonts w:hint="eastAsia" w:ascii="宋体" w:hAnsi="宋体" w:cs="宋体"/>
                <w:sz w:val="21"/>
                <w:szCs w:val="21"/>
              </w:rPr>
            </w:pPr>
            <w:r>
              <w:rPr>
                <w:rFonts w:hint="eastAsia" w:ascii="宋体" w:hAnsi="宋体" w:cs="宋体"/>
                <w:sz w:val="21"/>
                <w:szCs w:val="21"/>
              </w:rPr>
              <w:t>在开标现场，招标人将当场计算并宣布评标基准价（费率系数）。</w:t>
            </w:r>
          </w:p>
          <w:p>
            <w:pPr>
              <w:pStyle w:val="8"/>
              <w:numPr>
                <w:ilvl w:val="0"/>
                <w:numId w:val="6"/>
              </w:numPr>
              <w:spacing w:line="360" w:lineRule="exact"/>
              <w:rPr>
                <w:rFonts w:hint="eastAsia" w:ascii="宋体" w:hAnsi="宋体" w:cs="宋体"/>
                <w:sz w:val="21"/>
                <w:szCs w:val="21"/>
              </w:rPr>
            </w:pPr>
            <w:r>
              <w:rPr>
                <w:rFonts w:hint="eastAsia" w:ascii="宋体" w:hAnsi="宋体" w:cs="宋体"/>
                <w:sz w:val="21"/>
                <w:szCs w:val="21"/>
              </w:rPr>
              <w:t>投标报价的确定：投标报价=投标函报价（费率系数）；</w:t>
            </w:r>
          </w:p>
          <w:p>
            <w:pPr>
              <w:pStyle w:val="8"/>
              <w:spacing w:line="360" w:lineRule="exact"/>
              <w:rPr>
                <w:rFonts w:hint="eastAsia" w:ascii="宋体" w:hAnsi="宋体" w:cs="宋体"/>
                <w:sz w:val="21"/>
                <w:szCs w:val="21"/>
              </w:rPr>
            </w:pPr>
            <w:r>
              <w:rPr>
                <w:rFonts w:hint="eastAsia" w:ascii="宋体" w:hAnsi="宋体" w:cs="宋体"/>
                <w:sz w:val="21"/>
                <w:szCs w:val="21"/>
              </w:rPr>
              <w:t>（2）投标报价平均值的计算：</w:t>
            </w:r>
          </w:p>
          <w:p>
            <w:pPr>
              <w:pStyle w:val="8"/>
              <w:spacing w:line="360" w:lineRule="exact"/>
              <w:ind w:firstLine="420" w:firstLineChars="200"/>
              <w:rPr>
                <w:rFonts w:hint="eastAsia" w:ascii="宋体" w:hAnsi="宋体" w:cs="宋体"/>
                <w:sz w:val="21"/>
                <w:szCs w:val="21"/>
              </w:rPr>
            </w:pPr>
            <w:r>
              <w:rPr>
                <w:rFonts w:hint="eastAsia" w:ascii="宋体" w:hAnsi="宋体" w:cs="宋体"/>
                <w:sz w:val="21"/>
                <w:szCs w:val="21"/>
              </w:rPr>
              <w:t>除按第二章“投标人须知”第 5.2.4 项规定开标现场被宣布为不进入评标基准价计算的投标报价之外，所有投标人的投标报价去掉一个最高值和一个最低值后的算术平均值即为投标报价平均值（如果参与投标报价平均值计算的有效投标人少于 5 家时，则计算投标报价平均值时不去掉最高值和最低值）</w:t>
            </w:r>
          </w:p>
          <w:p>
            <w:pPr>
              <w:pStyle w:val="8"/>
              <w:spacing w:line="360" w:lineRule="exact"/>
              <w:ind w:firstLine="420" w:firstLineChars="200"/>
              <w:rPr>
                <w:rFonts w:hint="eastAsia" w:ascii="宋体" w:hAnsi="宋体" w:cs="宋体"/>
                <w:sz w:val="21"/>
                <w:szCs w:val="21"/>
              </w:rPr>
            </w:pPr>
            <w:r>
              <w:rPr>
                <w:rFonts w:hint="eastAsia" w:ascii="宋体" w:hAnsi="宋体" w:cs="宋体"/>
                <w:sz w:val="21"/>
                <w:szCs w:val="21"/>
              </w:rPr>
              <w:t xml:space="preserve">（3）评标基准价的确定： </w:t>
            </w:r>
          </w:p>
          <w:p>
            <w:pPr>
              <w:pStyle w:val="8"/>
              <w:spacing w:line="360" w:lineRule="exact"/>
              <w:ind w:firstLine="420" w:firstLineChars="200"/>
              <w:rPr>
                <w:rFonts w:hint="eastAsia" w:ascii="宋体" w:hAnsi="宋体" w:cs="宋体"/>
                <w:sz w:val="21"/>
                <w:szCs w:val="21"/>
              </w:rPr>
            </w:pPr>
            <w:r>
              <w:rPr>
                <w:rFonts w:hint="eastAsia" w:ascii="宋体" w:hAnsi="宋体" w:cs="宋体"/>
                <w:sz w:val="21"/>
                <w:szCs w:val="21"/>
              </w:rPr>
              <w:t xml:space="preserve">将投标报价平均值直接作为评标基准价。 </w:t>
            </w:r>
          </w:p>
          <w:p>
            <w:pPr>
              <w:pStyle w:val="8"/>
              <w:spacing w:line="360" w:lineRule="exact"/>
              <w:ind w:firstLine="420" w:firstLineChars="200"/>
              <w:rPr>
                <w:rFonts w:hint="eastAsia" w:ascii="宋体" w:hAnsi="宋体" w:cs="宋体"/>
                <w:sz w:val="21"/>
                <w:szCs w:val="21"/>
              </w:rPr>
            </w:pPr>
            <w:r>
              <w:rPr>
                <w:rFonts w:hint="eastAsia" w:ascii="宋体" w:hAnsi="宋体" w:cs="宋体"/>
                <w:sz w:val="21"/>
                <w:szCs w:val="21"/>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gridAfter w:val="1"/>
          <w:wAfter w:w="153" w:type="dxa"/>
          <w:trHeight w:val="826" w:hRule="atLeast"/>
          <w:jc w:val="center"/>
        </w:trPr>
        <w:tc>
          <w:tcPr>
            <w:tcW w:w="856" w:type="dxa"/>
            <w:noWrap w:val="0"/>
            <w:tcMar>
              <w:top w:w="113" w:type="dxa"/>
              <w:left w:w="113" w:type="dxa"/>
              <w:bottom w:w="113" w:type="dxa"/>
              <w:right w:w="113" w:type="dxa"/>
            </w:tcMar>
            <w:vAlign w:val="center"/>
          </w:tcPr>
          <w:p>
            <w:pPr>
              <w:autoSpaceDE w:val="0"/>
              <w:autoSpaceDN w:val="0"/>
              <w:jc w:val="center"/>
              <w:rPr>
                <w:rFonts w:hint="eastAsia" w:ascii="宋体" w:hAnsi="宋体" w:cs="宋体"/>
                <w:kern w:val="0"/>
                <w:sz w:val="21"/>
                <w:szCs w:val="21"/>
              </w:rPr>
            </w:pPr>
            <w:r>
              <w:rPr>
                <w:rFonts w:hint="eastAsia" w:ascii="宋体" w:hAnsi="宋体" w:cs="宋体"/>
                <w:kern w:val="0"/>
                <w:sz w:val="21"/>
                <w:szCs w:val="21"/>
              </w:rPr>
              <w:t>2.2.3</w:t>
            </w:r>
          </w:p>
        </w:tc>
        <w:tc>
          <w:tcPr>
            <w:tcW w:w="1221" w:type="dxa"/>
            <w:gridSpan w:val="2"/>
            <w:noWrap w:val="0"/>
            <w:tcMar>
              <w:top w:w="113" w:type="dxa"/>
              <w:left w:w="113" w:type="dxa"/>
              <w:bottom w:w="113" w:type="dxa"/>
              <w:right w:w="113" w:type="dxa"/>
            </w:tcMar>
            <w:vAlign w:val="center"/>
          </w:tcPr>
          <w:p>
            <w:pPr>
              <w:jc w:val="center"/>
              <w:rPr>
                <w:rFonts w:hint="eastAsia" w:ascii="宋体" w:hAnsi="宋体" w:cs="宋体"/>
                <w:sz w:val="21"/>
                <w:szCs w:val="21"/>
              </w:rPr>
            </w:pPr>
            <w:r>
              <w:rPr>
                <w:rFonts w:hint="eastAsia" w:ascii="宋体" w:hAnsi="宋体" w:cs="宋体"/>
                <w:sz w:val="21"/>
                <w:szCs w:val="21"/>
              </w:rPr>
              <w:t>投标报价的偏差率计算公式</w:t>
            </w:r>
          </w:p>
        </w:tc>
        <w:tc>
          <w:tcPr>
            <w:tcW w:w="6955" w:type="dxa"/>
            <w:noWrap w:val="0"/>
            <w:tcMar>
              <w:top w:w="113" w:type="dxa"/>
              <w:left w:w="113" w:type="dxa"/>
              <w:bottom w:w="113" w:type="dxa"/>
              <w:right w:w="113" w:type="dxa"/>
            </w:tcMar>
            <w:vAlign w:val="center"/>
          </w:tcPr>
          <w:p>
            <w:pPr>
              <w:autoSpaceDE w:val="0"/>
              <w:autoSpaceDN w:val="0"/>
              <w:rPr>
                <w:rFonts w:hint="eastAsia" w:ascii="宋体" w:hAnsi="宋体" w:cs="宋体"/>
                <w:sz w:val="21"/>
                <w:szCs w:val="21"/>
              </w:rPr>
            </w:pPr>
            <w:r>
              <w:rPr>
                <w:rFonts w:hint="eastAsia" w:ascii="宋体" w:hAnsi="宋体" w:cs="宋体"/>
                <w:sz w:val="21"/>
                <w:szCs w:val="21"/>
              </w:rPr>
              <w:t>偏差率=100%×（投标人投标报价－评标基准价）/评标基准价</w:t>
            </w:r>
          </w:p>
          <w:p>
            <w:pPr>
              <w:autoSpaceDE w:val="0"/>
              <w:autoSpaceDN w:val="0"/>
              <w:rPr>
                <w:rFonts w:hint="eastAsia" w:ascii="宋体" w:hAnsi="宋体" w:cs="宋体"/>
                <w:sz w:val="21"/>
                <w:szCs w:val="21"/>
              </w:rPr>
            </w:pPr>
            <w:r>
              <w:rPr>
                <w:rFonts w:hint="eastAsia" w:ascii="宋体" w:hAnsi="宋体" w:cs="宋体"/>
                <w:sz w:val="21"/>
                <w:szCs w:val="21"/>
              </w:rPr>
              <w:t>偏差率保留两位小数</w:t>
            </w:r>
          </w:p>
        </w:tc>
      </w:tr>
    </w:tbl>
    <w:p>
      <w:pPr>
        <w:rPr>
          <w:rFonts w:hint="eastAsia" w:ascii="宋体" w:hAnsi="宋体" w:eastAsia="宋体" w:cs="宋体"/>
          <w:sz w:val="21"/>
          <w:szCs w:val="21"/>
        </w:rPr>
        <w:sectPr>
          <w:pgSz w:w="11906" w:h="16838"/>
          <w:pgMar w:top="1440" w:right="1800" w:bottom="1440" w:left="1800" w:header="851" w:footer="992" w:gutter="0"/>
          <w:cols w:space="425" w:num="1"/>
          <w:docGrid w:type="lines" w:linePitch="312" w:charSpace="0"/>
        </w:sect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0"/>
        <w:gridCol w:w="579"/>
        <w:gridCol w:w="1274"/>
        <w:gridCol w:w="1419"/>
        <w:gridCol w:w="3474"/>
        <w:gridCol w:w="1260"/>
        <w:gridCol w:w="5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Header/>
          <w:jc w:val="center"/>
        </w:trPr>
        <w:tc>
          <w:tcPr>
            <w:tcW w:w="840" w:type="dxa"/>
            <w:vMerge w:val="restart"/>
            <w:noWrap w:val="0"/>
            <w:tcMar>
              <w:top w:w="57" w:type="dxa"/>
              <w:left w:w="57" w:type="dxa"/>
              <w:bottom w:w="57" w:type="dxa"/>
              <w:right w:w="57" w:type="dxa"/>
            </w:tcMar>
            <w:vAlign w:val="center"/>
          </w:tcPr>
          <w:p>
            <w:pPr>
              <w:pStyle w:val="16"/>
              <w:spacing w:before="162"/>
              <w:jc w:val="center"/>
              <w:rPr>
                <w:rFonts w:hint="eastAsia" w:ascii="宋体" w:hAnsi="宋体" w:cs="宋体"/>
                <w:b/>
                <w:sz w:val="21"/>
                <w:szCs w:val="21"/>
              </w:rPr>
            </w:pPr>
            <w:r>
              <w:rPr>
                <w:rFonts w:hint="eastAsia" w:ascii="宋体" w:hAnsi="宋体" w:cs="宋体"/>
                <w:b/>
                <w:sz w:val="21"/>
                <w:szCs w:val="21"/>
              </w:rPr>
              <w:t>条款号</w:t>
            </w:r>
          </w:p>
        </w:tc>
        <w:tc>
          <w:tcPr>
            <w:tcW w:w="8006" w:type="dxa"/>
            <w:gridSpan w:val="5"/>
            <w:noWrap w:val="0"/>
            <w:tcMar>
              <w:top w:w="57" w:type="dxa"/>
              <w:left w:w="57" w:type="dxa"/>
              <w:bottom w:w="57" w:type="dxa"/>
              <w:right w:w="57" w:type="dxa"/>
            </w:tcMar>
            <w:vAlign w:val="top"/>
          </w:tcPr>
          <w:p>
            <w:pPr>
              <w:pStyle w:val="16"/>
              <w:jc w:val="center"/>
              <w:rPr>
                <w:rFonts w:hint="eastAsia" w:ascii="宋体" w:hAnsi="宋体" w:cs="宋体"/>
                <w:b/>
                <w:sz w:val="21"/>
                <w:szCs w:val="21"/>
              </w:rPr>
            </w:pPr>
            <w:r>
              <w:rPr>
                <w:rFonts w:hint="eastAsia" w:ascii="宋体" w:hAnsi="宋体" w:cs="宋体"/>
                <w:b/>
                <w:sz w:val="21"/>
                <w:szCs w:val="21"/>
              </w:rPr>
              <w:t>评分因素与权重分值</w:t>
            </w:r>
            <w:r>
              <w:rPr>
                <w:rFonts w:hint="eastAsia" w:ascii="宋体" w:hAnsi="宋体" w:cs="宋体"/>
                <w:b/>
                <w:w w:val="99"/>
                <w:sz w:val="21"/>
                <w:szCs w:val="21"/>
              </w:rPr>
              <w:t xml:space="preserve"> </w:t>
            </w:r>
          </w:p>
        </w:tc>
        <w:tc>
          <w:tcPr>
            <w:tcW w:w="5943" w:type="dxa"/>
            <w:vMerge w:val="restart"/>
            <w:noWrap w:val="0"/>
            <w:tcMar>
              <w:top w:w="57" w:type="dxa"/>
              <w:left w:w="57" w:type="dxa"/>
              <w:bottom w:w="57" w:type="dxa"/>
              <w:right w:w="57" w:type="dxa"/>
            </w:tcMar>
            <w:vAlign w:val="center"/>
          </w:tcPr>
          <w:p>
            <w:pPr>
              <w:pStyle w:val="16"/>
              <w:spacing w:before="162"/>
              <w:ind w:left="2210" w:right="2104"/>
              <w:jc w:val="center"/>
              <w:rPr>
                <w:rFonts w:hint="eastAsia" w:ascii="宋体" w:hAnsi="宋体" w:cs="宋体"/>
                <w:b/>
                <w:sz w:val="21"/>
                <w:szCs w:val="21"/>
              </w:rPr>
            </w:pPr>
            <w:r>
              <w:rPr>
                <w:rFonts w:hint="eastAsia" w:ascii="宋体" w:hAnsi="宋体" w:cs="宋体"/>
                <w:b/>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blHeader/>
          <w:jc w:val="center"/>
        </w:trPr>
        <w:tc>
          <w:tcPr>
            <w:tcW w:w="840" w:type="dxa"/>
            <w:vMerge w:val="continue"/>
            <w:noWrap w:val="0"/>
            <w:tcMar>
              <w:top w:w="57" w:type="dxa"/>
              <w:left w:w="57" w:type="dxa"/>
              <w:bottom w:w="57" w:type="dxa"/>
              <w:right w:w="57" w:type="dxa"/>
            </w:tcMar>
            <w:vAlign w:val="top"/>
          </w:tcPr>
          <w:p>
            <w:pPr>
              <w:rPr>
                <w:rFonts w:hint="eastAsia" w:ascii="宋体" w:hAnsi="宋体" w:cs="宋体"/>
                <w:sz w:val="21"/>
                <w:szCs w:val="21"/>
              </w:rPr>
            </w:pPr>
          </w:p>
        </w:tc>
        <w:tc>
          <w:tcPr>
            <w:tcW w:w="1853" w:type="dxa"/>
            <w:gridSpan w:val="2"/>
            <w:noWrap w:val="0"/>
            <w:tcMar>
              <w:top w:w="57" w:type="dxa"/>
              <w:left w:w="57" w:type="dxa"/>
              <w:bottom w:w="57" w:type="dxa"/>
              <w:right w:w="57" w:type="dxa"/>
            </w:tcMar>
            <w:vAlign w:val="top"/>
          </w:tcPr>
          <w:p>
            <w:pPr>
              <w:pStyle w:val="16"/>
              <w:spacing w:before="137"/>
              <w:ind w:left="213"/>
              <w:rPr>
                <w:rFonts w:hint="eastAsia" w:ascii="宋体" w:hAnsi="宋体" w:cs="宋体"/>
                <w:b/>
                <w:sz w:val="21"/>
                <w:szCs w:val="21"/>
              </w:rPr>
            </w:pPr>
            <w:r>
              <w:rPr>
                <w:rFonts w:hint="eastAsia" w:ascii="宋体" w:hAnsi="宋体" w:cs="宋体"/>
                <w:b/>
                <w:sz w:val="21"/>
                <w:szCs w:val="21"/>
              </w:rPr>
              <w:t>评分因素</w:t>
            </w:r>
          </w:p>
        </w:tc>
        <w:tc>
          <w:tcPr>
            <w:tcW w:w="1419" w:type="dxa"/>
            <w:noWrap w:val="0"/>
            <w:tcMar>
              <w:top w:w="57" w:type="dxa"/>
              <w:left w:w="57" w:type="dxa"/>
              <w:bottom w:w="57" w:type="dxa"/>
              <w:right w:w="57" w:type="dxa"/>
            </w:tcMar>
            <w:vAlign w:val="top"/>
          </w:tcPr>
          <w:p>
            <w:pPr>
              <w:pStyle w:val="16"/>
              <w:spacing w:before="1"/>
              <w:ind w:left="143"/>
              <w:rPr>
                <w:rFonts w:hint="eastAsia" w:ascii="宋体" w:hAnsi="宋体" w:cs="宋体"/>
                <w:b/>
                <w:sz w:val="21"/>
                <w:szCs w:val="21"/>
              </w:rPr>
            </w:pPr>
            <w:r>
              <w:rPr>
                <w:rFonts w:hint="eastAsia" w:ascii="宋体" w:hAnsi="宋体" w:cs="宋体"/>
                <w:b/>
                <w:sz w:val="21"/>
                <w:szCs w:val="21"/>
              </w:rPr>
              <w:t>评分因素</w:t>
            </w:r>
          </w:p>
          <w:p>
            <w:pPr>
              <w:pStyle w:val="16"/>
              <w:spacing w:before="4" w:line="250" w:lineRule="exact"/>
              <w:ind w:left="143"/>
              <w:rPr>
                <w:rFonts w:hint="eastAsia" w:ascii="宋体" w:hAnsi="宋体" w:cs="宋体"/>
                <w:b/>
                <w:sz w:val="21"/>
                <w:szCs w:val="21"/>
              </w:rPr>
            </w:pPr>
            <w:r>
              <w:rPr>
                <w:rFonts w:hint="eastAsia" w:ascii="宋体" w:hAnsi="宋体" w:cs="宋体"/>
                <w:b/>
                <w:spacing w:val="-1"/>
                <w:sz w:val="21"/>
                <w:szCs w:val="21"/>
              </w:rPr>
              <w:t>权重分值</w:t>
            </w:r>
          </w:p>
        </w:tc>
        <w:tc>
          <w:tcPr>
            <w:tcW w:w="3474" w:type="dxa"/>
            <w:noWrap w:val="0"/>
            <w:tcMar>
              <w:top w:w="57" w:type="dxa"/>
              <w:left w:w="57" w:type="dxa"/>
              <w:bottom w:w="57" w:type="dxa"/>
              <w:right w:w="57" w:type="dxa"/>
            </w:tcMar>
            <w:vAlign w:val="top"/>
          </w:tcPr>
          <w:p>
            <w:pPr>
              <w:pStyle w:val="16"/>
              <w:spacing w:before="137"/>
              <w:jc w:val="center"/>
              <w:rPr>
                <w:rFonts w:hint="eastAsia" w:ascii="宋体" w:hAnsi="宋体" w:cs="宋体"/>
                <w:b/>
                <w:sz w:val="21"/>
                <w:szCs w:val="21"/>
              </w:rPr>
            </w:pPr>
            <w:r>
              <w:rPr>
                <w:rFonts w:hint="eastAsia" w:ascii="宋体" w:hAnsi="宋体" w:cs="宋体"/>
                <w:b/>
                <w:sz w:val="21"/>
                <w:szCs w:val="21"/>
              </w:rPr>
              <w:t>各评分因素细分项</w:t>
            </w:r>
          </w:p>
        </w:tc>
        <w:tc>
          <w:tcPr>
            <w:tcW w:w="1260" w:type="dxa"/>
            <w:noWrap w:val="0"/>
            <w:tcMar>
              <w:top w:w="57" w:type="dxa"/>
              <w:left w:w="57" w:type="dxa"/>
              <w:bottom w:w="57" w:type="dxa"/>
              <w:right w:w="57" w:type="dxa"/>
            </w:tcMar>
            <w:vAlign w:val="top"/>
          </w:tcPr>
          <w:p>
            <w:pPr>
              <w:pStyle w:val="16"/>
              <w:spacing w:before="137"/>
              <w:ind w:left="191" w:right="83"/>
              <w:jc w:val="center"/>
              <w:rPr>
                <w:rFonts w:hint="eastAsia" w:ascii="宋体" w:hAnsi="宋体" w:cs="宋体"/>
                <w:b/>
                <w:sz w:val="21"/>
                <w:szCs w:val="21"/>
              </w:rPr>
            </w:pPr>
            <w:r>
              <w:rPr>
                <w:rFonts w:hint="eastAsia" w:ascii="宋体" w:hAnsi="宋体" w:cs="宋体"/>
                <w:b/>
                <w:sz w:val="21"/>
                <w:szCs w:val="21"/>
              </w:rPr>
              <w:t>分值</w:t>
            </w:r>
          </w:p>
        </w:tc>
        <w:tc>
          <w:tcPr>
            <w:tcW w:w="5943" w:type="dxa"/>
            <w:vMerge w:val="continue"/>
            <w:noWrap w:val="0"/>
            <w:tcMar>
              <w:top w:w="57" w:type="dxa"/>
              <w:left w:w="57" w:type="dxa"/>
              <w:bottom w:w="57" w:type="dxa"/>
              <w:right w:w="57" w:type="dxa"/>
            </w:tcMar>
            <w:vAlign w:val="top"/>
          </w:tcPr>
          <w:p>
            <w:pP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7" w:hRule="atLeast"/>
          <w:jc w:val="center"/>
        </w:trPr>
        <w:tc>
          <w:tcPr>
            <w:tcW w:w="840" w:type="dxa"/>
            <w:vMerge w:val="restart"/>
            <w:noWrap w:val="0"/>
            <w:tcMar>
              <w:top w:w="57" w:type="dxa"/>
              <w:left w:w="57" w:type="dxa"/>
              <w:bottom w:w="57" w:type="dxa"/>
              <w:right w:w="57" w:type="dxa"/>
            </w:tcMar>
            <w:vAlign w:val="center"/>
          </w:tcPr>
          <w:p>
            <w:pPr>
              <w:pStyle w:val="16"/>
              <w:adjustRightInd w:val="0"/>
              <w:snapToGrid w:val="0"/>
              <w:spacing w:line="276" w:lineRule="auto"/>
              <w:jc w:val="center"/>
              <w:rPr>
                <w:rFonts w:hint="eastAsia" w:ascii="宋体" w:hAnsi="宋体" w:cs="宋体"/>
                <w:spacing w:val="-14"/>
                <w:kern w:val="0"/>
                <w:sz w:val="21"/>
                <w:szCs w:val="21"/>
              </w:rPr>
            </w:pPr>
            <w:r>
              <w:rPr>
                <w:rFonts w:hint="eastAsia" w:ascii="宋体" w:hAnsi="宋体" w:cs="宋体"/>
                <w:kern w:val="0"/>
                <w:sz w:val="21"/>
                <w:szCs w:val="21"/>
              </w:rPr>
              <w:t>2.2.</w:t>
            </w:r>
            <w:r>
              <w:rPr>
                <w:rFonts w:hint="eastAsia" w:ascii="宋体" w:hAnsi="宋体" w:cs="宋体"/>
                <w:spacing w:val="-14"/>
                <w:kern w:val="0"/>
                <w:sz w:val="21"/>
                <w:szCs w:val="21"/>
              </w:rPr>
              <w:t>4</w:t>
            </w:r>
          </w:p>
          <w:p>
            <w:pPr>
              <w:pStyle w:val="16"/>
              <w:adjustRightInd w:val="0"/>
              <w:snapToGrid w:val="0"/>
              <w:spacing w:line="276" w:lineRule="auto"/>
              <w:jc w:val="center"/>
              <w:rPr>
                <w:rFonts w:hint="eastAsia" w:ascii="宋体" w:hAnsi="宋体" w:cs="宋体"/>
                <w:kern w:val="0"/>
                <w:sz w:val="21"/>
                <w:szCs w:val="21"/>
              </w:rPr>
            </w:pPr>
            <w:r>
              <w:rPr>
                <w:rFonts w:hint="eastAsia" w:ascii="宋体" w:hAnsi="宋体" w:cs="宋体"/>
                <w:kern w:val="0"/>
                <w:sz w:val="21"/>
                <w:szCs w:val="21"/>
              </w:rPr>
              <w:t>（1</w:t>
            </w:r>
            <w:r>
              <w:rPr>
                <w:rFonts w:hint="eastAsia" w:ascii="宋体" w:hAnsi="宋体" w:cs="宋体"/>
                <w:spacing w:val="-108"/>
                <w:kern w:val="0"/>
                <w:sz w:val="21"/>
                <w:szCs w:val="21"/>
              </w:rPr>
              <w:t>）</w:t>
            </w:r>
          </w:p>
        </w:tc>
        <w:tc>
          <w:tcPr>
            <w:tcW w:w="1853" w:type="dxa"/>
            <w:gridSpan w:val="2"/>
            <w:vMerge w:val="restart"/>
            <w:noWrap w:val="0"/>
            <w:tcMar>
              <w:top w:w="57" w:type="dxa"/>
              <w:left w:w="57" w:type="dxa"/>
              <w:bottom w:w="57" w:type="dxa"/>
              <w:right w:w="57" w:type="dxa"/>
            </w:tcMar>
            <w:vAlign w:val="center"/>
          </w:tcPr>
          <w:p>
            <w:pPr>
              <w:pStyle w:val="16"/>
              <w:spacing w:line="276" w:lineRule="auto"/>
              <w:jc w:val="center"/>
              <w:rPr>
                <w:rFonts w:hint="eastAsia" w:ascii="宋体" w:hAnsi="宋体" w:cs="宋体"/>
                <w:kern w:val="0"/>
                <w:sz w:val="21"/>
                <w:szCs w:val="21"/>
              </w:rPr>
            </w:pPr>
            <w:r>
              <w:rPr>
                <w:rFonts w:hint="eastAsia" w:ascii="宋体" w:hAnsi="宋体" w:cs="宋体"/>
                <w:kern w:val="0"/>
                <w:sz w:val="21"/>
                <w:szCs w:val="21"/>
              </w:rPr>
              <w:t>技术建议书</w:t>
            </w:r>
          </w:p>
        </w:tc>
        <w:tc>
          <w:tcPr>
            <w:tcW w:w="1419" w:type="dxa"/>
            <w:vMerge w:val="restart"/>
            <w:noWrap w:val="0"/>
            <w:tcMar>
              <w:top w:w="57" w:type="dxa"/>
              <w:left w:w="57" w:type="dxa"/>
              <w:bottom w:w="57" w:type="dxa"/>
              <w:right w:w="57" w:type="dxa"/>
            </w:tcMar>
            <w:vAlign w:val="center"/>
          </w:tcPr>
          <w:p>
            <w:pPr>
              <w:pStyle w:val="16"/>
              <w:spacing w:line="276" w:lineRule="auto"/>
              <w:jc w:val="center"/>
              <w:rPr>
                <w:rFonts w:hint="eastAsia" w:ascii="宋体" w:hAnsi="宋体" w:cs="宋体"/>
                <w:kern w:val="0"/>
                <w:sz w:val="21"/>
                <w:szCs w:val="21"/>
              </w:rPr>
            </w:pPr>
            <w:r>
              <w:rPr>
                <w:rFonts w:hint="eastAsia" w:ascii="宋体" w:hAnsi="宋体" w:cs="宋体"/>
                <w:kern w:val="0"/>
                <w:sz w:val="21"/>
                <w:szCs w:val="21"/>
              </w:rPr>
              <w:t>35分</w:t>
            </w:r>
          </w:p>
        </w:tc>
        <w:tc>
          <w:tcPr>
            <w:tcW w:w="3474" w:type="dxa"/>
            <w:noWrap w:val="0"/>
            <w:tcMar>
              <w:top w:w="57" w:type="dxa"/>
              <w:left w:w="57" w:type="dxa"/>
              <w:bottom w:w="57" w:type="dxa"/>
              <w:right w:w="57" w:type="dxa"/>
            </w:tcMar>
            <w:vAlign w:val="center"/>
          </w:tcPr>
          <w:p>
            <w:pPr>
              <w:pStyle w:val="16"/>
              <w:jc w:val="center"/>
              <w:rPr>
                <w:rFonts w:hint="eastAsia" w:ascii="宋体" w:hAnsi="宋体" w:cs="宋体"/>
                <w:kern w:val="0"/>
                <w:sz w:val="21"/>
                <w:szCs w:val="21"/>
              </w:rPr>
            </w:pPr>
            <w:r>
              <w:rPr>
                <w:rFonts w:hint="eastAsia" w:ascii="宋体" w:hAnsi="宋体" w:cs="宋体"/>
                <w:kern w:val="0"/>
                <w:sz w:val="21"/>
                <w:szCs w:val="21"/>
              </w:rPr>
              <w:t>对项目的理解及服务方案</w:t>
            </w:r>
          </w:p>
        </w:tc>
        <w:tc>
          <w:tcPr>
            <w:tcW w:w="1260" w:type="dxa"/>
            <w:noWrap w:val="0"/>
            <w:tcMar>
              <w:top w:w="57" w:type="dxa"/>
              <w:left w:w="57" w:type="dxa"/>
              <w:bottom w:w="57" w:type="dxa"/>
              <w:right w:w="57" w:type="dxa"/>
            </w:tcMar>
            <w:vAlign w:val="center"/>
          </w:tcPr>
          <w:p>
            <w:pPr>
              <w:pStyle w:val="16"/>
              <w:jc w:val="center"/>
              <w:rPr>
                <w:rFonts w:hint="eastAsia" w:ascii="宋体" w:hAnsi="宋体" w:cs="宋体"/>
                <w:b/>
                <w:bCs/>
                <w:kern w:val="0"/>
                <w:sz w:val="21"/>
                <w:szCs w:val="21"/>
              </w:rPr>
            </w:pPr>
            <w:r>
              <w:rPr>
                <w:rFonts w:hint="eastAsia" w:ascii="宋体" w:hAnsi="宋体" w:cs="宋体"/>
                <w:b/>
                <w:bCs/>
                <w:kern w:val="0"/>
                <w:sz w:val="21"/>
                <w:szCs w:val="21"/>
              </w:rPr>
              <w:t>15分</w:t>
            </w:r>
          </w:p>
        </w:tc>
        <w:tc>
          <w:tcPr>
            <w:tcW w:w="5943" w:type="dxa"/>
            <w:noWrap w:val="0"/>
            <w:tcMar>
              <w:top w:w="57" w:type="dxa"/>
              <w:left w:w="57" w:type="dxa"/>
              <w:bottom w:w="57" w:type="dxa"/>
              <w:right w:w="57" w:type="dxa"/>
            </w:tcMar>
            <w:vAlign w:val="center"/>
          </w:tcPr>
          <w:p>
            <w:pPr>
              <w:pStyle w:val="16"/>
              <w:spacing w:line="276" w:lineRule="auto"/>
              <w:rPr>
                <w:rFonts w:hint="eastAsia" w:ascii="宋体" w:hAnsi="宋体" w:cs="宋体"/>
                <w:kern w:val="0"/>
                <w:sz w:val="21"/>
                <w:szCs w:val="21"/>
              </w:rPr>
            </w:pPr>
            <w:r>
              <w:rPr>
                <w:rFonts w:hint="eastAsia" w:ascii="宋体" w:hAnsi="宋体" w:cs="宋体"/>
                <w:b/>
                <w:bCs/>
                <w:kern w:val="0"/>
                <w:sz w:val="21"/>
                <w:szCs w:val="21"/>
              </w:rPr>
              <w:t>服务方案</w:t>
            </w:r>
            <w:r>
              <w:rPr>
                <w:rFonts w:hint="eastAsia" w:ascii="宋体" w:hAnsi="宋体" w:cs="宋体"/>
                <w:kern w:val="0"/>
                <w:sz w:val="21"/>
                <w:szCs w:val="21"/>
              </w:rPr>
              <w:t>应包含突发事件应急处理方案、劳务人员关系管理方案、档案户籍及社保管理方案、员工培训计划方案、员工派遣时效性方案等。</w:t>
            </w:r>
          </w:p>
          <w:p>
            <w:pPr>
              <w:pStyle w:val="16"/>
              <w:spacing w:line="276" w:lineRule="auto"/>
              <w:rPr>
                <w:rFonts w:hint="eastAsia" w:ascii="宋体" w:hAnsi="宋体" w:cs="宋体"/>
                <w:kern w:val="0"/>
                <w:sz w:val="21"/>
                <w:szCs w:val="21"/>
              </w:rPr>
            </w:pPr>
            <w:r>
              <w:rPr>
                <w:rFonts w:hint="eastAsia" w:ascii="宋体" w:hAnsi="宋体" w:cs="宋体"/>
                <w:kern w:val="0"/>
                <w:sz w:val="21"/>
                <w:szCs w:val="21"/>
              </w:rPr>
              <w:t>对投标人提供的针对本项目的服务方案是否准确理解、思路清晰，内容详尽，满足项目需求、流程规范，便于执行等方面进行横向比较，方案详细具体得13-15 分、基本满足得 11-13分、部分不满足的得 9-11分，</w:t>
            </w:r>
            <w:r>
              <w:rPr>
                <w:rFonts w:ascii="宋体" w:hAnsi="宋体" w:cs="宋体"/>
                <w:kern w:val="0"/>
                <w:sz w:val="21"/>
                <w:szCs w:val="21"/>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3" w:hRule="atLeast"/>
          <w:jc w:val="center"/>
        </w:trPr>
        <w:tc>
          <w:tcPr>
            <w:tcW w:w="840" w:type="dxa"/>
            <w:vMerge w:val="continue"/>
            <w:noWrap w:val="0"/>
            <w:tcMar>
              <w:top w:w="57" w:type="dxa"/>
              <w:left w:w="57" w:type="dxa"/>
              <w:bottom w:w="57" w:type="dxa"/>
              <w:right w:w="57" w:type="dxa"/>
            </w:tcMar>
            <w:vAlign w:val="center"/>
          </w:tcPr>
          <w:p>
            <w:pPr>
              <w:pStyle w:val="16"/>
              <w:adjustRightInd w:val="0"/>
              <w:snapToGrid w:val="0"/>
              <w:spacing w:line="276" w:lineRule="auto"/>
              <w:jc w:val="center"/>
              <w:rPr>
                <w:rFonts w:hint="eastAsia" w:ascii="宋体" w:hAnsi="宋体" w:cs="宋体"/>
                <w:kern w:val="0"/>
                <w:sz w:val="21"/>
                <w:szCs w:val="21"/>
              </w:rPr>
            </w:pPr>
          </w:p>
        </w:tc>
        <w:tc>
          <w:tcPr>
            <w:tcW w:w="1853" w:type="dxa"/>
            <w:gridSpan w:val="2"/>
            <w:vMerge w:val="continue"/>
            <w:noWrap w:val="0"/>
            <w:tcMar>
              <w:top w:w="57" w:type="dxa"/>
              <w:left w:w="57" w:type="dxa"/>
              <w:bottom w:w="57" w:type="dxa"/>
              <w:right w:w="57" w:type="dxa"/>
            </w:tcMar>
            <w:vAlign w:val="center"/>
          </w:tcPr>
          <w:p>
            <w:pPr>
              <w:pStyle w:val="16"/>
              <w:spacing w:line="276" w:lineRule="auto"/>
              <w:jc w:val="center"/>
              <w:rPr>
                <w:rFonts w:hint="eastAsia" w:ascii="宋体" w:hAnsi="宋体" w:cs="宋体"/>
                <w:kern w:val="0"/>
                <w:sz w:val="21"/>
                <w:szCs w:val="21"/>
              </w:rPr>
            </w:pPr>
          </w:p>
        </w:tc>
        <w:tc>
          <w:tcPr>
            <w:tcW w:w="1419" w:type="dxa"/>
            <w:vMerge w:val="continue"/>
            <w:noWrap w:val="0"/>
            <w:tcMar>
              <w:top w:w="57" w:type="dxa"/>
              <w:left w:w="57" w:type="dxa"/>
              <w:bottom w:w="57" w:type="dxa"/>
              <w:right w:w="57" w:type="dxa"/>
            </w:tcMar>
            <w:vAlign w:val="center"/>
          </w:tcPr>
          <w:p>
            <w:pPr>
              <w:pStyle w:val="16"/>
              <w:spacing w:line="276" w:lineRule="auto"/>
              <w:jc w:val="center"/>
              <w:rPr>
                <w:rFonts w:hint="eastAsia" w:ascii="宋体" w:hAnsi="宋体" w:cs="宋体"/>
                <w:kern w:val="0"/>
                <w:sz w:val="21"/>
                <w:szCs w:val="21"/>
              </w:rPr>
            </w:pPr>
          </w:p>
        </w:tc>
        <w:tc>
          <w:tcPr>
            <w:tcW w:w="3474" w:type="dxa"/>
            <w:noWrap w:val="0"/>
            <w:tcMar>
              <w:top w:w="57" w:type="dxa"/>
              <w:left w:w="57" w:type="dxa"/>
              <w:bottom w:w="57" w:type="dxa"/>
              <w:right w:w="57" w:type="dxa"/>
            </w:tcMar>
            <w:vAlign w:val="center"/>
          </w:tcPr>
          <w:p>
            <w:pPr>
              <w:pStyle w:val="16"/>
              <w:jc w:val="center"/>
              <w:rPr>
                <w:rFonts w:hint="eastAsia" w:ascii="宋体" w:hAnsi="宋体" w:cs="宋体"/>
                <w:kern w:val="0"/>
                <w:sz w:val="21"/>
                <w:szCs w:val="21"/>
              </w:rPr>
            </w:pPr>
            <w:r>
              <w:rPr>
                <w:rFonts w:hint="eastAsia" w:ascii="宋体" w:hAnsi="宋体" w:cs="宋体"/>
                <w:kern w:val="0"/>
                <w:sz w:val="21"/>
                <w:szCs w:val="21"/>
              </w:rPr>
              <w:t>体系制度</w:t>
            </w:r>
          </w:p>
        </w:tc>
        <w:tc>
          <w:tcPr>
            <w:tcW w:w="1260" w:type="dxa"/>
            <w:noWrap w:val="0"/>
            <w:tcMar>
              <w:top w:w="57" w:type="dxa"/>
              <w:left w:w="57" w:type="dxa"/>
              <w:bottom w:w="57" w:type="dxa"/>
              <w:right w:w="57" w:type="dxa"/>
            </w:tcMar>
            <w:vAlign w:val="center"/>
          </w:tcPr>
          <w:p>
            <w:pPr>
              <w:pStyle w:val="16"/>
              <w:jc w:val="center"/>
              <w:rPr>
                <w:rFonts w:hint="eastAsia" w:ascii="宋体" w:hAnsi="宋体" w:cs="宋体"/>
                <w:b/>
                <w:bCs/>
                <w:kern w:val="0"/>
                <w:sz w:val="21"/>
                <w:szCs w:val="21"/>
              </w:rPr>
            </w:pPr>
            <w:r>
              <w:rPr>
                <w:rFonts w:hint="eastAsia" w:ascii="宋体" w:hAnsi="宋体" w:cs="宋体"/>
                <w:b/>
                <w:bCs/>
                <w:kern w:val="0"/>
                <w:sz w:val="21"/>
                <w:szCs w:val="21"/>
              </w:rPr>
              <w:t>10分</w:t>
            </w:r>
          </w:p>
        </w:tc>
        <w:tc>
          <w:tcPr>
            <w:tcW w:w="5943" w:type="dxa"/>
            <w:noWrap w:val="0"/>
            <w:tcMar>
              <w:top w:w="57" w:type="dxa"/>
              <w:left w:w="57" w:type="dxa"/>
              <w:bottom w:w="57" w:type="dxa"/>
              <w:right w:w="57" w:type="dxa"/>
            </w:tcMar>
            <w:vAlign w:val="center"/>
          </w:tcPr>
          <w:p>
            <w:pPr>
              <w:pStyle w:val="16"/>
              <w:spacing w:line="276" w:lineRule="auto"/>
              <w:rPr>
                <w:rFonts w:hint="eastAsia" w:ascii="宋体" w:hAnsi="宋体" w:cs="宋体"/>
                <w:kern w:val="0"/>
                <w:sz w:val="21"/>
                <w:szCs w:val="21"/>
              </w:rPr>
            </w:pPr>
            <w:r>
              <w:rPr>
                <w:rFonts w:hint="eastAsia" w:ascii="宋体" w:hAnsi="宋体" w:cs="宋体"/>
                <w:kern w:val="0"/>
                <w:sz w:val="21"/>
                <w:szCs w:val="21"/>
              </w:rPr>
              <w:t>体系制度应包含管理组织架构，人员分工，内部管理制度等。有完善的派遣劳务人员薪酬管理体系和财务管理等制度保障，能保证薪酬安全可靠，及时发放，并承诺不拖欠劳务人员薪酬。</w:t>
            </w:r>
          </w:p>
          <w:p>
            <w:pPr>
              <w:pStyle w:val="16"/>
              <w:spacing w:line="276" w:lineRule="auto"/>
              <w:rPr>
                <w:rFonts w:hint="eastAsia" w:ascii="宋体" w:hAnsi="宋体" w:cs="宋体"/>
                <w:kern w:val="0"/>
                <w:sz w:val="21"/>
                <w:szCs w:val="21"/>
              </w:rPr>
            </w:pPr>
            <w:r>
              <w:rPr>
                <w:rFonts w:hint="eastAsia" w:ascii="宋体" w:hAnsi="宋体" w:cs="宋体"/>
                <w:kern w:val="0"/>
                <w:sz w:val="21"/>
                <w:szCs w:val="21"/>
              </w:rPr>
              <w:t>根据保障制度完善程度评分，详细具体得 9-10分，基本满足得7-9分，部分不满足的得 6-7分,</w:t>
            </w:r>
            <w:r>
              <w:rPr>
                <w:rFonts w:ascii="宋体" w:hAnsi="宋体" w:cs="宋体"/>
                <w:kern w:val="0"/>
                <w:sz w:val="21"/>
                <w:szCs w:val="21"/>
              </w:rPr>
              <w:t xml:space="preserve"> 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8" w:hRule="atLeast"/>
          <w:jc w:val="center"/>
        </w:trPr>
        <w:tc>
          <w:tcPr>
            <w:tcW w:w="840" w:type="dxa"/>
            <w:vMerge w:val="continue"/>
            <w:noWrap w:val="0"/>
            <w:tcMar>
              <w:top w:w="57" w:type="dxa"/>
              <w:left w:w="57" w:type="dxa"/>
              <w:bottom w:w="57" w:type="dxa"/>
              <w:right w:w="57" w:type="dxa"/>
            </w:tcMar>
            <w:vAlign w:val="center"/>
          </w:tcPr>
          <w:p>
            <w:pPr>
              <w:adjustRightInd w:val="0"/>
              <w:snapToGrid w:val="0"/>
              <w:spacing w:line="276" w:lineRule="auto"/>
              <w:jc w:val="center"/>
              <w:rPr>
                <w:rFonts w:hint="eastAsia" w:ascii="宋体" w:hAnsi="宋体" w:cs="宋体"/>
                <w:kern w:val="0"/>
                <w:sz w:val="21"/>
                <w:szCs w:val="21"/>
              </w:rPr>
            </w:pPr>
          </w:p>
        </w:tc>
        <w:tc>
          <w:tcPr>
            <w:tcW w:w="1853" w:type="dxa"/>
            <w:gridSpan w:val="2"/>
            <w:vMerge w:val="continue"/>
            <w:noWrap w:val="0"/>
            <w:tcMar>
              <w:top w:w="57" w:type="dxa"/>
              <w:left w:w="57" w:type="dxa"/>
              <w:bottom w:w="57" w:type="dxa"/>
              <w:right w:w="57" w:type="dxa"/>
            </w:tcMar>
            <w:vAlign w:val="center"/>
          </w:tcPr>
          <w:p>
            <w:pPr>
              <w:spacing w:line="276" w:lineRule="auto"/>
              <w:jc w:val="center"/>
              <w:rPr>
                <w:rFonts w:hint="eastAsia" w:ascii="宋体" w:hAnsi="宋体" w:cs="宋体"/>
                <w:kern w:val="0"/>
                <w:sz w:val="21"/>
                <w:szCs w:val="21"/>
              </w:rPr>
            </w:pPr>
          </w:p>
        </w:tc>
        <w:tc>
          <w:tcPr>
            <w:tcW w:w="1419" w:type="dxa"/>
            <w:vMerge w:val="continue"/>
            <w:noWrap w:val="0"/>
            <w:tcMar>
              <w:top w:w="57" w:type="dxa"/>
              <w:left w:w="57" w:type="dxa"/>
              <w:bottom w:w="57" w:type="dxa"/>
              <w:right w:w="57" w:type="dxa"/>
            </w:tcMar>
            <w:vAlign w:val="center"/>
          </w:tcPr>
          <w:p>
            <w:pPr>
              <w:spacing w:line="276" w:lineRule="auto"/>
              <w:jc w:val="center"/>
              <w:rPr>
                <w:rFonts w:hint="eastAsia" w:ascii="宋体" w:hAnsi="宋体" w:cs="宋体"/>
                <w:kern w:val="0"/>
                <w:sz w:val="21"/>
                <w:szCs w:val="21"/>
              </w:rPr>
            </w:pPr>
          </w:p>
        </w:tc>
        <w:tc>
          <w:tcPr>
            <w:tcW w:w="3474" w:type="dxa"/>
            <w:noWrap w:val="0"/>
            <w:tcMar>
              <w:top w:w="57" w:type="dxa"/>
              <w:left w:w="57" w:type="dxa"/>
              <w:bottom w:w="57" w:type="dxa"/>
              <w:right w:w="57" w:type="dxa"/>
            </w:tcMar>
            <w:vAlign w:val="center"/>
          </w:tcPr>
          <w:p>
            <w:pPr>
              <w:widowControl/>
              <w:autoSpaceDE w:val="0"/>
              <w:autoSpaceDN w:val="0"/>
              <w:spacing w:line="276" w:lineRule="auto"/>
              <w:jc w:val="center"/>
              <w:rPr>
                <w:rFonts w:ascii="宋体" w:hAnsi="宋体" w:cs="宋体"/>
                <w:kern w:val="0"/>
                <w:sz w:val="21"/>
                <w:szCs w:val="21"/>
              </w:rPr>
            </w:pPr>
            <w:r>
              <w:rPr>
                <w:rFonts w:hint="eastAsia" w:ascii="宋体" w:hAnsi="宋体" w:cs="宋体"/>
                <w:kern w:val="0"/>
                <w:sz w:val="21"/>
                <w:szCs w:val="21"/>
              </w:rPr>
              <w:t>管理服务人员配置</w:t>
            </w:r>
          </w:p>
        </w:tc>
        <w:tc>
          <w:tcPr>
            <w:tcW w:w="1260" w:type="dxa"/>
            <w:noWrap w:val="0"/>
            <w:tcMar>
              <w:top w:w="57" w:type="dxa"/>
              <w:left w:w="57" w:type="dxa"/>
              <w:bottom w:w="57" w:type="dxa"/>
              <w:right w:w="57" w:type="dxa"/>
            </w:tcMar>
            <w:vAlign w:val="center"/>
          </w:tcPr>
          <w:p>
            <w:pPr>
              <w:pStyle w:val="16"/>
              <w:jc w:val="center"/>
              <w:rPr>
                <w:rFonts w:hint="eastAsia" w:ascii="宋体" w:hAnsi="宋体" w:cs="宋体"/>
                <w:b/>
                <w:bCs/>
                <w:kern w:val="0"/>
                <w:sz w:val="21"/>
                <w:szCs w:val="21"/>
              </w:rPr>
            </w:pPr>
            <w:r>
              <w:rPr>
                <w:rFonts w:hint="eastAsia" w:ascii="宋体" w:hAnsi="宋体" w:cs="宋体"/>
                <w:b/>
                <w:bCs/>
                <w:kern w:val="0"/>
                <w:sz w:val="21"/>
                <w:szCs w:val="21"/>
              </w:rPr>
              <w:t>5分</w:t>
            </w:r>
          </w:p>
        </w:tc>
        <w:tc>
          <w:tcPr>
            <w:tcW w:w="5943" w:type="dxa"/>
            <w:noWrap w:val="0"/>
            <w:tcMar>
              <w:top w:w="57" w:type="dxa"/>
              <w:left w:w="57" w:type="dxa"/>
              <w:bottom w:w="57" w:type="dxa"/>
              <w:right w:w="57" w:type="dxa"/>
            </w:tcMar>
            <w:vAlign w:val="center"/>
          </w:tcPr>
          <w:p>
            <w:pPr>
              <w:pStyle w:val="16"/>
              <w:spacing w:line="276" w:lineRule="auto"/>
              <w:rPr>
                <w:rFonts w:hint="eastAsia" w:ascii="宋体" w:hAnsi="宋体" w:cs="宋体"/>
                <w:kern w:val="0"/>
                <w:sz w:val="21"/>
                <w:szCs w:val="21"/>
                <w:highlight w:val="none"/>
              </w:rPr>
            </w:pPr>
            <w:r>
              <w:rPr>
                <w:rFonts w:hint="eastAsia" w:ascii="宋体" w:hAnsi="宋体" w:cs="宋体"/>
                <w:kern w:val="0"/>
                <w:sz w:val="21"/>
                <w:szCs w:val="21"/>
                <w:highlight w:val="none"/>
              </w:rPr>
              <w:t>对管理服务人员岗位配置合理、详细得 4-5 分，基本满足得 3-4 分,</w:t>
            </w:r>
            <w:r>
              <w:rPr>
                <w:rFonts w:ascii="宋体" w:hAnsi="宋体" w:cs="宋体"/>
                <w:kern w:val="0"/>
                <w:sz w:val="21"/>
                <w:szCs w:val="21"/>
                <w:highlight w:val="none"/>
              </w:rPr>
              <w:t xml:space="preserve"> </w:t>
            </w:r>
            <w:r>
              <w:rPr>
                <w:rFonts w:hint="eastAsia" w:ascii="宋体" w:hAnsi="宋体" w:cs="宋体"/>
                <w:kern w:val="0"/>
                <w:sz w:val="21"/>
                <w:szCs w:val="21"/>
                <w:highlight w:val="none"/>
                <w:lang w:val="en-US" w:eastAsia="zh-CN"/>
              </w:rPr>
              <w:t>部分不满足得3分，</w:t>
            </w:r>
            <w:r>
              <w:rPr>
                <w:rFonts w:ascii="宋体" w:hAnsi="宋体" w:cs="宋体"/>
                <w:kern w:val="0"/>
                <w:sz w:val="21"/>
                <w:szCs w:val="21"/>
                <w:highlight w:val="none"/>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4" w:hRule="atLeast"/>
          <w:jc w:val="center"/>
        </w:trPr>
        <w:tc>
          <w:tcPr>
            <w:tcW w:w="840" w:type="dxa"/>
            <w:vMerge w:val="continue"/>
            <w:noWrap w:val="0"/>
            <w:tcMar>
              <w:top w:w="57" w:type="dxa"/>
              <w:left w:w="57" w:type="dxa"/>
              <w:bottom w:w="57" w:type="dxa"/>
              <w:right w:w="57" w:type="dxa"/>
            </w:tcMar>
            <w:vAlign w:val="center"/>
          </w:tcPr>
          <w:p>
            <w:pPr>
              <w:adjustRightInd w:val="0"/>
              <w:snapToGrid w:val="0"/>
              <w:spacing w:line="276" w:lineRule="auto"/>
              <w:jc w:val="center"/>
              <w:rPr>
                <w:rFonts w:hint="eastAsia" w:ascii="宋体" w:hAnsi="宋体" w:cs="宋体"/>
                <w:kern w:val="0"/>
                <w:sz w:val="21"/>
                <w:szCs w:val="21"/>
              </w:rPr>
            </w:pPr>
          </w:p>
        </w:tc>
        <w:tc>
          <w:tcPr>
            <w:tcW w:w="1853" w:type="dxa"/>
            <w:gridSpan w:val="2"/>
            <w:vMerge w:val="continue"/>
            <w:noWrap w:val="0"/>
            <w:tcMar>
              <w:top w:w="57" w:type="dxa"/>
              <w:left w:w="57" w:type="dxa"/>
              <w:bottom w:w="57" w:type="dxa"/>
              <w:right w:w="57" w:type="dxa"/>
            </w:tcMar>
            <w:vAlign w:val="center"/>
          </w:tcPr>
          <w:p>
            <w:pPr>
              <w:spacing w:line="276" w:lineRule="auto"/>
              <w:jc w:val="center"/>
              <w:rPr>
                <w:rFonts w:hint="eastAsia" w:ascii="宋体" w:hAnsi="宋体" w:cs="宋体"/>
                <w:kern w:val="0"/>
                <w:sz w:val="21"/>
                <w:szCs w:val="21"/>
              </w:rPr>
            </w:pPr>
          </w:p>
        </w:tc>
        <w:tc>
          <w:tcPr>
            <w:tcW w:w="1419" w:type="dxa"/>
            <w:vMerge w:val="continue"/>
            <w:noWrap w:val="0"/>
            <w:tcMar>
              <w:top w:w="57" w:type="dxa"/>
              <w:left w:w="57" w:type="dxa"/>
              <w:bottom w:w="57" w:type="dxa"/>
              <w:right w:w="57" w:type="dxa"/>
            </w:tcMar>
            <w:vAlign w:val="center"/>
          </w:tcPr>
          <w:p>
            <w:pPr>
              <w:spacing w:line="276" w:lineRule="auto"/>
              <w:jc w:val="center"/>
              <w:rPr>
                <w:rFonts w:hint="eastAsia" w:ascii="宋体" w:hAnsi="宋体" w:cs="宋体"/>
                <w:kern w:val="0"/>
                <w:sz w:val="21"/>
                <w:szCs w:val="21"/>
              </w:rPr>
            </w:pPr>
          </w:p>
        </w:tc>
        <w:tc>
          <w:tcPr>
            <w:tcW w:w="3474" w:type="dxa"/>
            <w:noWrap w:val="0"/>
            <w:tcMar>
              <w:top w:w="57" w:type="dxa"/>
              <w:left w:w="57" w:type="dxa"/>
              <w:bottom w:w="57" w:type="dxa"/>
              <w:right w:w="57" w:type="dxa"/>
            </w:tcMar>
            <w:vAlign w:val="center"/>
          </w:tcPr>
          <w:p>
            <w:pPr>
              <w:pStyle w:val="7"/>
              <w:autoSpaceDE w:val="0"/>
              <w:autoSpaceDN w:val="0"/>
              <w:adjustRightInd w:val="0"/>
              <w:spacing w:line="276" w:lineRule="auto"/>
              <w:jc w:val="center"/>
              <w:rPr>
                <w:rFonts w:hint="eastAsia" w:ascii="宋体" w:hAnsi="宋体" w:cs="宋体"/>
                <w:kern w:val="0"/>
                <w:sz w:val="21"/>
                <w:szCs w:val="21"/>
              </w:rPr>
            </w:pPr>
            <w:r>
              <w:rPr>
                <w:rFonts w:hint="eastAsia" w:ascii="宋体" w:hAnsi="宋体" w:cs="宋体"/>
                <w:kern w:val="0"/>
                <w:sz w:val="21"/>
                <w:szCs w:val="21"/>
              </w:rPr>
              <w:t>服务承诺</w:t>
            </w:r>
          </w:p>
        </w:tc>
        <w:tc>
          <w:tcPr>
            <w:tcW w:w="1260" w:type="dxa"/>
            <w:noWrap w:val="0"/>
            <w:tcMar>
              <w:top w:w="57" w:type="dxa"/>
              <w:left w:w="57" w:type="dxa"/>
              <w:bottom w:w="57" w:type="dxa"/>
              <w:right w:w="57" w:type="dxa"/>
            </w:tcMar>
            <w:vAlign w:val="center"/>
          </w:tcPr>
          <w:p>
            <w:pPr>
              <w:pStyle w:val="16"/>
              <w:jc w:val="center"/>
              <w:rPr>
                <w:rFonts w:hint="eastAsia" w:ascii="宋体" w:hAnsi="宋体" w:cs="宋体"/>
                <w:b/>
                <w:bCs/>
                <w:kern w:val="0"/>
                <w:sz w:val="21"/>
                <w:szCs w:val="21"/>
              </w:rPr>
            </w:pPr>
            <w:r>
              <w:rPr>
                <w:rFonts w:hint="eastAsia" w:ascii="宋体" w:hAnsi="宋体" w:cs="宋体"/>
                <w:b/>
                <w:bCs/>
                <w:kern w:val="0"/>
                <w:sz w:val="21"/>
                <w:szCs w:val="21"/>
              </w:rPr>
              <w:t>5分</w:t>
            </w:r>
          </w:p>
        </w:tc>
        <w:tc>
          <w:tcPr>
            <w:tcW w:w="5943" w:type="dxa"/>
            <w:noWrap w:val="0"/>
            <w:tcMar>
              <w:top w:w="57" w:type="dxa"/>
              <w:left w:w="57" w:type="dxa"/>
              <w:bottom w:w="57" w:type="dxa"/>
              <w:right w:w="57" w:type="dxa"/>
            </w:tcMar>
            <w:vAlign w:val="center"/>
          </w:tcPr>
          <w:p>
            <w:pPr>
              <w:pStyle w:val="16"/>
              <w:spacing w:line="276" w:lineRule="auto"/>
              <w:rPr>
                <w:rFonts w:hint="eastAsia" w:ascii="宋体" w:hAnsi="宋体" w:cs="宋体"/>
                <w:kern w:val="0"/>
                <w:sz w:val="21"/>
                <w:szCs w:val="21"/>
                <w:highlight w:val="none"/>
              </w:rPr>
            </w:pPr>
            <w:r>
              <w:rPr>
                <w:rFonts w:hint="eastAsia" w:ascii="宋体" w:hAnsi="宋体" w:cs="宋体"/>
                <w:kern w:val="0"/>
                <w:sz w:val="21"/>
                <w:szCs w:val="21"/>
                <w:highlight w:val="none"/>
              </w:rPr>
              <w:t xml:space="preserve">服务承诺合理、详细得4-5 分，基本满足得 </w:t>
            </w:r>
            <w:r>
              <w:rPr>
                <w:rFonts w:hint="eastAsia" w:ascii="宋体" w:hAnsi="宋体" w:cs="宋体"/>
                <w:kern w:val="0"/>
                <w:sz w:val="21"/>
                <w:szCs w:val="21"/>
                <w:highlight w:val="none"/>
                <w:lang w:val="en-US" w:eastAsia="zh-CN"/>
              </w:rPr>
              <w:t>3</w:t>
            </w:r>
            <w:r>
              <w:rPr>
                <w:rFonts w:hint="eastAsia" w:ascii="宋体" w:hAnsi="宋体" w:cs="宋体"/>
                <w:kern w:val="0"/>
                <w:sz w:val="21"/>
                <w:szCs w:val="21"/>
                <w:highlight w:val="none"/>
              </w:rPr>
              <w:t>-4 分，</w:t>
            </w:r>
            <w:r>
              <w:rPr>
                <w:rFonts w:ascii="宋体" w:hAnsi="宋体" w:cs="宋体"/>
                <w:kern w:val="0"/>
                <w:sz w:val="21"/>
                <w:szCs w:val="21"/>
                <w:highlight w:val="none"/>
              </w:rPr>
              <w:t xml:space="preserve"> </w:t>
            </w:r>
            <w:r>
              <w:rPr>
                <w:rFonts w:hint="eastAsia" w:ascii="宋体" w:hAnsi="宋体" w:cs="宋体"/>
                <w:kern w:val="0"/>
                <w:sz w:val="21"/>
                <w:szCs w:val="21"/>
                <w:highlight w:val="none"/>
                <w:lang w:val="en-US" w:eastAsia="zh-CN"/>
              </w:rPr>
              <w:t>部分不满足得3分，</w:t>
            </w:r>
            <w:r>
              <w:rPr>
                <w:rFonts w:ascii="宋体" w:hAnsi="宋体" w:cs="宋体"/>
                <w:kern w:val="0"/>
                <w:sz w:val="21"/>
                <w:szCs w:val="21"/>
                <w:highlight w:val="none"/>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2" w:hRule="atLeast"/>
          <w:jc w:val="center"/>
        </w:trPr>
        <w:tc>
          <w:tcPr>
            <w:tcW w:w="840" w:type="dxa"/>
            <w:noWrap w:val="0"/>
            <w:tcMar>
              <w:top w:w="57" w:type="dxa"/>
              <w:left w:w="57" w:type="dxa"/>
              <w:bottom w:w="57" w:type="dxa"/>
              <w:right w:w="57" w:type="dxa"/>
            </w:tcMar>
            <w:vAlign w:val="center"/>
          </w:tcPr>
          <w:p>
            <w:pPr>
              <w:pStyle w:val="16"/>
              <w:adjustRightInd w:val="0"/>
              <w:snapToGrid w:val="0"/>
              <w:spacing w:line="276" w:lineRule="auto"/>
              <w:jc w:val="center"/>
              <w:rPr>
                <w:rFonts w:hint="eastAsia" w:ascii="宋体" w:hAnsi="宋体" w:cs="宋体"/>
                <w:spacing w:val="-14"/>
                <w:kern w:val="0"/>
                <w:sz w:val="21"/>
                <w:szCs w:val="21"/>
              </w:rPr>
            </w:pPr>
            <w:r>
              <w:rPr>
                <w:rFonts w:hint="eastAsia" w:ascii="宋体" w:hAnsi="宋体" w:cs="宋体"/>
                <w:kern w:val="0"/>
                <w:sz w:val="21"/>
                <w:szCs w:val="21"/>
              </w:rPr>
              <w:t>2.2.</w:t>
            </w:r>
            <w:r>
              <w:rPr>
                <w:rFonts w:hint="eastAsia" w:ascii="宋体" w:hAnsi="宋体" w:cs="宋体"/>
                <w:spacing w:val="-14"/>
                <w:kern w:val="0"/>
                <w:sz w:val="21"/>
                <w:szCs w:val="21"/>
              </w:rPr>
              <w:t>4</w:t>
            </w:r>
          </w:p>
          <w:p>
            <w:pPr>
              <w:pStyle w:val="16"/>
              <w:adjustRightInd w:val="0"/>
              <w:snapToGrid w:val="0"/>
              <w:spacing w:line="276" w:lineRule="auto"/>
              <w:rPr>
                <w:rFonts w:hint="eastAsia" w:ascii="宋体" w:hAnsi="宋体" w:cs="宋体"/>
                <w:kern w:val="0"/>
                <w:sz w:val="21"/>
                <w:szCs w:val="21"/>
              </w:rPr>
            </w:pPr>
            <w:r>
              <w:rPr>
                <w:rFonts w:hint="eastAsia" w:ascii="宋体" w:hAnsi="宋体" w:cs="宋体"/>
                <w:kern w:val="0"/>
                <w:sz w:val="21"/>
                <w:szCs w:val="21"/>
              </w:rPr>
              <w:t>（2</w:t>
            </w:r>
            <w:r>
              <w:rPr>
                <w:rFonts w:hint="eastAsia" w:ascii="宋体" w:hAnsi="宋体" w:cs="宋体"/>
                <w:spacing w:val="-108"/>
                <w:kern w:val="0"/>
                <w:sz w:val="21"/>
                <w:szCs w:val="21"/>
              </w:rPr>
              <w:t>）</w:t>
            </w:r>
          </w:p>
        </w:tc>
        <w:tc>
          <w:tcPr>
            <w:tcW w:w="1853" w:type="dxa"/>
            <w:gridSpan w:val="2"/>
            <w:noWrap w:val="0"/>
            <w:tcMar>
              <w:top w:w="57" w:type="dxa"/>
              <w:left w:w="57" w:type="dxa"/>
              <w:bottom w:w="57" w:type="dxa"/>
              <w:right w:w="57" w:type="dxa"/>
            </w:tcMar>
            <w:vAlign w:val="center"/>
          </w:tcPr>
          <w:p>
            <w:pPr>
              <w:pStyle w:val="16"/>
              <w:spacing w:line="276" w:lineRule="auto"/>
              <w:jc w:val="center"/>
              <w:rPr>
                <w:rFonts w:hint="eastAsia" w:ascii="宋体" w:hAnsi="宋体" w:cs="宋体"/>
                <w:kern w:val="0"/>
                <w:sz w:val="21"/>
                <w:szCs w:val="21"/>
              </w:rPr>
            </w:pPr>
            <w:r>
              <w:rPr>
                <w:rFonts w:hint="eastAsia" w:ascii="宋体" w:hAnsi="宋体" w:cs="宋体"/>
                <w:kern w:val="0"/>
                <w:sz w:val="21"/>
                <w:szCs w:val="21"/>
              </w:rPr>
              <w:t>主要人员</w:t>
            </w:r>
          </w:p>
        </w:tc>
        <w:tc>
          <w:tcPr>
            <w:tcW w:w="1419" w:type="dxa"/>
            <w:noWrap w:val="0"/>
            <w:tcMar>
              <w:top w:w="57" w:type="dxa"/>
              <w:left w:w="57" w:type="dxa"/>
              <w:bottom w:w="57" w:type="dxa"/>
              <w:right w:w="57" w:type="dxa"/>
            </w:tcMar>
            <w:vAlign w:val="center"/>
          </w:tcPr>
          <w:p>
            <w:pPr>
              <w:pStyle w:val="16"/>
              <w:spacing w:line="276" w:lineRule="auto"/>
              <w:jc w:val="center"/>
              <w:rPr>
                <w:rFonts w:hint="eastAsia" w:ascii="宋体" w:hAnsi="宋体" w:cs="宋体"/>
                <w:kern w:val="0"/>
                <w:sz w:val="21"/>
                <w:szCs w:val="21"/>
              </w:rPr>
            </w:pPr>
            <w:r>
              <w:rPr>
                <w:rFonts w:hint="eastAsia" w:ascii="宋体" w:hAnsi="宋体" w:cs="宋体"/>
                <w:kern w:val="0"/>
                <w:sz w:val="21"/>
                <w:szCs w:val="21"/>
              </w:rPr>
              <w:t>25分</w:t>
            </w:r>
          </w:p>
        </w:tc>
        <w:tc>
          <w:tcPr>
            <w:tcW w:w="3474" w:type="dxa"/>
            <w:noWrap w:val="0"/>
            <w:tcMar>
              <w:top w:w="57" w:type="dxa"/>
              <w:left w:w="57" w:type="dxa"/>
              <w:bottom w:w="57" w:type="dxa"/>
              <w:right w:w="57" w:type="dxa"/>
            </w:tcMar>
            <w:vAlign w:val="center"/>
          </w:tcPr>
          <w:p>
            <w:pPr>
              <w:pStyle w:val="16"/>
              <w:spacing w:line="276" w:lineRule="auto"/>
              <w:jc w:val="center"/>
              <w:rPr>
                <w:rFonts w:hint="eastAsia" w:ascii="宋体" w:hAnsi="宋体" w:cs="宋体"/>
                <w:kern w:val="0"/>
                <w:sz w:val="21"/>
                <w:szCs w:val="21"/>
              </w:rPr>
            </w:pPr>
            <w:r>
              <w:rPr>
                <w:rFonts w:hint="eastAsia" w:ascii="宋体" w:hAnsi="宋体" w:cs="宋体"/>
                <w:kern w:val="0"/>
                <w:sz w:val="21"/>
                <w:szCs w:val="21"/>
              </w:rPr>
              <w:t>项目负责人任职资格与业绩</w:t>
            </w:r>
          </w:p>
        </w:tc>
        <w:tc>
          <w:tcPr>
            <w:tcW w:w="1260" w:type="dxa"/>
            <w:noWrap w:val="0"/>
            <w:tcMar>
              <w:top w:w="57" w:type="dxa"/>
              <w:left w:w="57" w:type="dxa"/>
              <w:bottom w:w="57" w:type="dxa"/>
              <w:right w:w="57" w:type="dxa"/>
            </w:tcMar>
            <w:vAlign w:val="center"/>
          </w:tcPr>
          <w:p>
            <w:pPr>
              <w:pStyle w:val="16"/>
              <w:spacing w:line="276" w:lineRule="auto"/>
              <w:jc w:val="center"/>
              <w:rPr>
                <w:rFonts w:hint="eastAsia" w:ascii="宋体" w:hAnsi="宋体" w:cs="宋体"/>
                <w:b/>
                <w:bCs/>
                <w:kern w:val="0"/>
                <w:sz w:val="21"/>
                <w:szCs w:val="21"/>
              </w:rPr>
            </w:pPr>
            <w:r>
              <w:rPr>
                <w:rFonts w:hint="eastAsia" w:ascii="宋体" w:hAnsi="宋体" w:cs="宋体"/>
                <w:b/>
                <w:bCs/>
                <w:kern w:val="0"/>
                <w:sz w:val="21"/>
                <w:szCs w:val="21"/>
              </w:rPr>
              <w:t>25分</w:t>
            </w:r>
          </w:p>
        </w:tc>
        <w:tc>
          <w:tcPr>
            <w:tcW w:w="5943" w:type="dxa"/>
            <w:noWrap w:val="0"/>
            <w:tcMar>
              <w:top w:w="57" w:type="dxa"/>
              <w:left w:w="57" w:type="dxa"/>
              <w:bottom w:w="57" w:type="dxa"/>
              <w:right w:w="57" w:type="dxa"/>
            </w:tcMar>
            <w:vAlign w:val="center"/>
          </w:tcPr>
          <w:p>
            <w:pPr>
              <w:pStyle w:val="16"/>
              <w:spacing w:line="276" w:lineRule="auto"/>
              <w:ind w:firstLine="210" w:firstLineChars="100"/>
              <w:rPr>
                <w:rFonts w:hint="eastAsia" w:ascii="宋体" w:hAnsi="宋体" w:cs="宋体"/>
                <w:kern w:val="0"/>
                <w:sz w:val="21"/>
                <w:szCs w:val="21"/>
              </w:rPr>
            </w:pPr>
            <w:r>
              <w:rPr>
                <w:rFonts w:hint="eastAsia" w:ascii="宋体" w:hAnsi="宋体" w:cs="宋体"/>
                <w:kern w:val="0"/>
                <w:sz w:val="21"/>
                <w:szCs w:val="21"/>
              </w:rPr>
              <w:t xml:space="preserve">满足资格审查附录4项目负责人最低要求的得基本分15分，每增加1个满足资格审查附录4项目负责人的业绩加5分，加满10分为止。 </w:t>
            </w:r>
          </w:p>
          <w:p>
            <w:pPr>
              <w:pStyle w:val="16"/>
              <w:spacing w:line="276" w:lineRule="auto"/>
              <w:ind w:firstLine="211" w:firstLineChars="100"/>
              <w:rPr>
                <w:rFonts w:ascii="宋体" w:hAnsi="宋体" w:cs="宋体"/>
                <w:kern w:val="0"/>
                <w:sz w:val="21"/>
                <w:szCs w:val="21"/>
              </w:rPr>
            </w:pPr>
            <w:r>
              <w:rPr>
                <w:rFonts w:hint="eastAsia" w:ascii="宋体" w:hAnsi="宋体" w:cs="宋体"/>
                <w:b/>
                <w:kern w:val="0"/>
                <w:sz w:val="21"/>
                <w:szCs w:val="21"/>
                <w:lang w:bidi="ar"/>
              </w:rPr>
              <w:t>注：投标文件中须附合同协议书或中标通知书或业主开具的相关业绩证明材料或其他签字类证明材料</w:t>
            </w:r>
            <w:r>
              <w:rPr>
                <w:rFonts w:hint="eastAsia" w:ascii="宋体" w:hAnsi="宋体" w:cs="宋体"/>
                <w:b/>
                <w:bCs/>
                <w:sz w:val="21"/>
                <w:szCs w:val="21"/>
              </w:rPr>
              <w:t>彩色扫描件并加盖单位公章</w:t>
            </w:r>
            <w:r>
              <w:rPr>
                <w:rFonts w:hint="eastAsia" w:ascii="宋体" w:hAnsi="宋体" w:cs="宋体"/>
                <w:b/>
                <w:kern w:val="0"/>
                <w:sz w:val="21"/>
                <w:szCs w:val="21"/>
                <w:lang w:bidi="ar"/>
              </w:rPr>
              <w:t>，证明材料中须体现项目负责人姓名及对应职务，否则不得分。</w:t>
            </w:r>
            <w:r>
              <w:rPr>
                <w:rFonts w:hint="eastAsia" w:ascii="宋体" w:hAnsi="宋体" w:cs="宋体"/>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840" w:type="dxa"/>
            <w:vMerge w:val="restart"/>
            <w:noWrap w:val="0"/>
            <w:tcMar>
              <w:top w:w="57" w:type="dxa"/>
              <w:left w:w="57" w:type="dxa"/>
              <w:bottom w:w="57" w:type="dxa"/>
              <w:right w:w="57" w:type="dxa"/>
            </w:tcMar>
            <w:vAlign w:val="center"/>
          </w:tcPr>
          <w:p>
            <w:pPr>
              <w:pStyle w:val="16"/>
              <w:adjustRightInd w:val="0"/>
              <w:snapToGrid w:val="0"/>
              <w:spacing w:line="276" w:lineRule="auto"/>
              <w:jc w:val="center"/>
              <w:rPr>
                <w:rFonts w:hint="eastAsia" w:ascii="宋体" w:hAnsi="宋体" w:cs="宋体"/>
                <w:spacing w:val="-14"/>
                <w:kern w:val="0"/>
                <w:sz w:val="21"/>
                <w:szCs w:val="21"/>
              </w:rPr>
            </w:pPr>
            <w:r>
              <w:rPr>
                <w:rFonts w:hint="eastAsia" w:ascii="宋体" w:hAnsi="宋体" w:cs="宋体"/>
                <w:kern w:val="0"/>
                <w:sz w:val="21"/>
                <w:szCs w:val="21"/>
              </w:rPr>
              <w:t>2.2.</w:t>
            </w:r>
            <w:r>
              <w:rPr>
                <w:rFonts w:hint="eastAsia" w:ascii="宋体" w:hAnsi="宋体" w:cs="宋体"/>
                <w:spacing w:val="-14"/>
                <w:kern w:val="0"/>
                <w:sz w:val="21"/>
                <w:szCs w:val="21"/>
              </w:rPr>
              <w:t>4</w:t>
            </w:r>
          </w:p>
          <w:p>
            <w:pPr>
              <w:pStyle w:val="16"/>
              <w:adjustRightInd w:val="0"/>
              <w:snapToGrid w:val="0"/>
              <w:spacing w:line="276" w:lineRule="auto"/>
              <w:jc w:val="center"/>
              <w:rPr>
                <w:rFonts w:hint="eastAsia" w:ascii="宋体" w:hAnsi="宋体" w:cs="宋体"/>
                <w:kern w:val="0"/>
                <w:sz w:val="21"/>
                <w:szCs w:val="21"/>
              </w:rPr>
            </w:pPr>
            <w:r>
              <w:rPr>
                <w:rFonts w:hint="eastAsia" w:ascii="宋体" w:hAnsi="宋体" w:cs="宋体"/>
                <w:kern w:val="0"/>
                <w:sz w:val="21"/>
                <w:szCs w:val="21"/>
              </w:rPr>
              <w:t>（4</w:t>
            </w:r>
            <w:r>
              <w:rPr>
                <w:rFonts w:hint="eastAsia" w:ascii="宋体" w:hAnsi="宋体" w:cs="宋体"/>
                <w:spacing w:val="-108"/>
                <w:kern w:val="0"/>
                <w:sz w:val="21"/>
                <w:szCs w:val="21"/>
              </w:rPr>
              <w:t>）</w:t>
            </w:r>
          </w:p>
        </w:tc>
        <w:tc>
          <w:tcPr>
            <w:tcW w:w="579" w:type="dxa"/>
            <w:vMerge w:val="restart"/>
            <w:noWrap w:val="0"/>
            <w:tcMar>
              <w:top w:w="57" w:type="dxa"/>
              <w:left w:w="57" w:type="dxa"/>
              <w:bottom w:w="57" w:type="dxa"/>
              <w:right w:w="57" w:type="dxa"/>
            </w:tcMar>
            <w:vAlign w:val="center"/>
          </w:tcPr>
          <w:p>
            <w:pPr>
              <w:pStyle w:val="16"/>
              <w:spacing w:line="276" w:lineRule="auto"/>
              <w:jc w:val="center"/>
              <w:rPr>
                <w:rFonts w:hint="eastAsia" w:ascii="宋体" w:hAnsi="宋体" w:cs="宋体"/>
                <w:kern w:val="0"/>
                <w:sz w:val="21"/>
                <w:szCs w:val="21"/>
              </w:rPr>
            </w:pPr>
            <w:r>
              <w:rPr>
                <w:rFonts w:hint="eastAsia" w:ascii="宋体" w:hAnsi="宋体" w:cs="宋体"/>
                <w:kern w:val="0"/>
                <w:sz w:val="21"/>
                <w:szCs w:val="21"/>
              </w:rPr>
              <w:t>其他因素</w:t>
            </w:r>
          </w:p>
        </w:tc>
        <w:tc>
          <w:tcPr>
            <w:tcW w:w="1274" w:type="dxa"/>
            <w:noWrap w:val="0"/>
            <w:tcMar>
              <w:top w:w="57" w:type="dxa"/>
              <w:left w:w="57" w:type="dxa"/>
              <w:bottom w:w="57" w:type="dxa"/>
              <w:right w:w="57" w:type="dxa"/>
            </w:tcMar>
            <w:vAlign w:val="center"/>
          </w:tcPr>
          <w:p>
            <w:pPr>
              <w:pStyle w:val="16"/>
              <w:spacing w:line="276" w:lineRule="auto"/>
              <w:jc w:val="center"/>
              <w:rPr>
                <w:rFonts w:hint="eastAsia" w:ascii="宋体" w:hAnsi="宋体" w:cs="宋体"/>
                <w:kern w:val="0"/>
                <w:sz w:val="21"/>
                <w:szCs w:val="21"/>
              </w:rPr>
            </w:pPr>
            <w:r>
              <w:rPr>
                <w:rFonts w:hint="eastAsia" w:ascii="宋体" w:hAnsi="宋体" w:cs="宋体"/>
                <w:kern w:val="0"/>
                <w:sz w:val="21"/>
                <w:szCs w:val="21"/>
              </w:rPr>
              <w:t>企业业绩</w:t>
            </w:r>
          </w:p>
        </w:tc>
        <w:tc>
          <w:tcPr>
            <w:tcW w:w="1419" w:type="dxa"/>
            <w:noWrap w:val="0"/>
            <w:tcMar>
              <w:top w:w="57" w:type="dxa"/>
              <w:left w:w="57" w:type="dxa"/>
              <w:bottom w:w="57" w:type="dxa"/>
              <w:right w:w="57" w:type="dxa"/>
            </w:tcMar>
            <w:vAlign w:val="center"/>
          </w:tcPr>
          <w:p>
            <w:pPr>
              <w:pStyle w:val="16"/>
              <w:spacing w:line="276" w:lineRule="auto"/>
              <w:jc w:val="center"/>
              <w:rPr>
                <w:rFonts w:hint="eastAsia" w:ascii="宋体" w:hAnsi="宋体" w:cs="宋体"/>
                <w:kern w:val="0"/>
                <w:sz w:val="21"/>
                <w:szCs w:val="21"/>
              </w:rPr>
            </w:pPr>
            <w:r>
              <w:rPr>
                <w:rFonts w:hint="eastAsia" w:ascii="宋体" w:hAnsi="宋体" w:cs="宋体"/>
                <w:kern w:val="0"/>
                <w:sz w:val="21"/>
                <w:szCs w:val="21"/>
              </w:rPr>
              <w:t>25分</w:t>
            </w:r>
          </w:p>
        </w:tc>
        <w:tc>
          <w:tcPr>
            <w:tcW w:w="3474" w:type="dxa"/>
            <w:noWrap w:val="0"/>
            <w:tcMar>
              <w:top w:w="57" w:type="dxa"/>
              <w:left w:w="57" w:type="dxa"/>
              <w:bottom w:w="57" w:type="dxa"/>
              <w:right w:w="57" w:type="dxa"/>
            </w:tcMar>
            <w:vAlign w:val="center"/>
          </w:tcPr>
          <w:p>
            <w:pPr>
              <w:pStyle w:val="16"/>
              <w:spacing w:line="276" w:lineRule="auto"/>
              <w:jc w:val="center"/>
              <w:rPr>
                <w:rFonts w:hint="eastAsia" w:ascii="宋体" w:hAnsi="宋体" w:cs="宋体"/>
                <w:kern w:val="0"/>
                <w:sz w:val="21"/>
                <w:szCs w:val="21"/>
              </w:rPr>
            </w:pPr>
            <w:r>
              <w:rPr>
                <w:rFonts w:hint="eastAsia" w:ascii="宋体" w:hAnsi="宋体" w:cs="宋体"/>
                <w:kern w:val="0"/>
                <w:sz w:val="21"/>
                <w:szCs w:val="21"/>
              </w:rPr>
              <w:t>企业业绩</w:t>
            </w:r>
          </w:p>
        </w:tc>
        <w:tc>
          <w:tcPr>
            <w:tcW w:w="1260" w:type="dxa"/>
            <w:noWrap w:val="0"/>
            <w:tcMar>
              <w:top w:w="57" w:type="dxa"/>
              <w:left w:w="57" w:type="dxa"/>
              <w:bottom w:w="57" w:type="dxa"/>
              <w:right w:w="57" w:type="dxa"/>
            </w:tcMar>
            <w:vAlign w:val="center"/>
          </w:tcPr>
          <w:p>
            <w:pPr>
              <w:pStyle w:val="16"/>
              <w:spacing w:line="276" w:lineRule="auto"/>
              <w:jc w:val="center"/>
              <w:rPr>
                <w:rFonts w:hint="eastAsia" w:ascii="宋体" w:hAnsi="宋体" w:cs="宋体"/>
                <w:b/>
                <w:bCs/>
                <w:kern w:val="0"/>
                <w:sz w:val="21"/>
                <w:szCs w:val="21"/>
              </w:rPr>
            </w:pPr>
            <w:r>
              <w:rPr>
                <w:rFonts w:hint="eastAsia" w:ascii="宋体" w:hAnsi="宋体" w:cs="宋体"/>
                <w:b/>
                <w:bCs/>
                <w:kern w:val="0"/>
                <w:sz w:val="21"/>
                <w:szCs w:val="21"/>
              </w:rPr>
              <w:t>25分</w:t>
            </w:r>
          </w:p>
        </w:tc>
        <w:tc>
          <w:tcPr>
            <w:tcW w:w="5943" w:type="dxa"/>
            <w:noWrap w:val="0"/>
            <w:tcMar>
              <w:top w:w="57" w:type="dxa"/>
              <w:left w:w="57" w:type="dxa"/>
              <w:bottom w:w="57" w:type="dxa"/>
              <w:right w:w="57" w:type="dxa"/>
            </w:tcMar>
            <w:vAlign w:val="center"/>
          </w:tcPr>
          <w:p>
            <w:pPr>
              <w:pStyle w:val="16"/>
              <w:spacing w:line="276" w:lineRule="auto"/>
              <w:ind w:firstLine="210" w:firstLineChars="100"/>
              <w:rPr>
                <w:rFonts w:hint="eastAsia" w:ascii="宋体" w:hAnsi="宋体" w:cs="宋体"/>
                <w:kern w:val="0"/>
                <w:sz w:val="21"/>
                <w:szCs w:val="21"/>
              </w:rPr>
            </w:pPr>
            <w:r>
              <w:rPr>
                <w:rFonts w:hint="eastAsia" w:ascii="宋体" w:hAnsi="宋体" w:cs="宋体"/>
                <w:kern w:val="0"/>
                <w:sz w:val="21"/>
                <w:szCs w:val="21"/>
              </w:rPr>
              <w:t xml:space="preserve">满足资格审查附录2业绩最低要求的得基本分15分；每增加1个满足资格审查附录2投标人业绩的加2.5分，加满10分为止。  </w:t>
            </w:r>
          </w:p>
          <w:p>
            <w:pPr>
              <w:autoSpaceDE w:val="0"/>
              <w:autoSpaceDN w:val="0"/>
              <w:spacing w:line="276" w:lineRule="auto"/>
              <w:ind w:firstLine="211" w:firstLineChars="100"/>
              <w:jc w:val="left"/>
              <w:rPr>
                <w:rFonts w:hint="eastAsia" w:ascii="宋体" w:hAnsi="宋体" w:cs="宋体"/>
                <w:b/>
                <w:bCs/>
                <w:sz w:val="21"/>
                <w:szCs w:val="21"/>
              </w:rPr>
            </w:pPr>
            <w:r>
              <w:rPr>
                <w:rFonts w:hint="eastAsia" w:ascii="宋体" w:hAnsi="宋体" w:cs="宋体"/>
                <w:b/>
                <w:bCs/>
                <w:sz w:val="21"/>
                <w:szCs w:val="21"/>
              </w:rPr>
              <w:t>注：①</w:t>
            </w:r>
            <w:r>
              <w:rPr>
                <w:rFonts w:hint="eastAsia" w:ascii="宋体" w:hAnsi="宋体" w:cs="宋体"/>
                <w:b/>
                <w:kern w:val="0"/>
                <w:sz w:val="21"/>
                <w:szCs w:val="21"/>
                <w:lang w:bidi="ar"/>
              </w:rPr>
              <w:t>投标文件中须附</w:t>
            </w:r>
            <w:r>
              <w:rPr>
                <w:rFonts w:hint="eastAsia" w:ascii="宋体" w:hAnsi="宋体" w:cs="宋体"/>
                <w:b/>
                <w:bCs/>
                <w:sz w:val="21"/>
                <w:szCs w:val="21"/>
              </w:rPr>
              <w:t xml:space="preserve">合同协议书或中标通知书彩色扫描件并加盖单位公章。 </w:t>
            </w:r>
          </w:p>
          <w:p>
            <w:pPr>
              <w:autoSpaceDE w:val="0"/>
              <w:autoSpaceDN w:val="0"/>
              <w:spacing w:line="276" w:lineRule="auto"/>
              <w:ind w:firstLine="211" w:firstLineChars="100"/>
              <w:jc w:val="left"/>
              <w:rPr>
                <w:rFonts w:hint="eastAsia" w:ascii="宋体" w:hAnsi="宋体" w:cs="宋体"/>
                <w:b/>
                <w:bCs/>
                <w:sz w:val="21"/>
                <w:szCs w:val="21"/>
              </w:rPr>
            </w:pPr>
            <w:r>
              <w:rPr>
                <w:rFonts w:hint="eastAsia" w:ascii="宋体" w:hAnsi="宋体" w:cs="宋体"/>
                <w:b/>
                <w:bCs/>
                <w:sz w:val="21"/>
                <w:szCs w:val="21"/>
              </w:rPr>
              <w:t>②</w:t>
            </w:r>
            <w:r>
              <w:rPr>
                <w:rFonts w:hint="eastAsia" w:ascii="宋体" w:hAnsi="宋体" w:cs="宋体"/>
                <w:b/>
                <w:kern w:val="0"/>
                <w:sz w:val="21"/>
                <w:szCs w:val="21"/>
                <w:lang w:bidi="ar"/>
              </w:rPr>
              <w:t>投标文件中须附</w:t>
            </w:r>
            <w:r>
              <w:rPr>
                <w:rFonts w:hint="eastAsia" w:ascii="宋体" w:hAnsi="宋体" w:cs="宋体"/>
                <w:b/>
                <w:bCs/>
                <w:sz w:val="21"/>
                <w:szCs w:val="21"/>
              </w:rPr>
              <w:t>业主开具的相关业绩证明材料（格式自拟、内容须含有业主的评价）。</w:t>
            </w:r>
          </w:p>
          <w:p>
            <w:pPr>
              <w:pStyle w:val="16"/>
              <w:spacing w:line="276" w:lineRule="auto"/>
              <w:ind w:firstLine="211" w:firstLineChars="100"/>
              <w:rPr>
                <w:rFonts w:ascii="宋体" w:hAnsi="宋体" w:cs="宋体"/>
                <w:kern w:val="0"/>
                <w:sz w:val="21"/>
                <w:szCs w:val="21"/>
              </w:rPr>
            </w:pPr>
            <w:r>
              <w:rPr>
                <w:rFonts w:hint="eastAsia" w:ascii="宋体" w:hAnsi="宋体" w:cs="宋体"/>
                <w:b/>
                <w:bCs/>
                <w:sz w:val="21"/>
                <w:szCs w:val="21"/>
              </w:rPr>
              <w:t>上述二项证明材料缺一项不得分。</w:t>
            </w:r>
            <w:r>
              <w:rPr>
                <w:rFonts w:hint="eastAsia" w:ascii="宋体" w:hAnsi="宋体" w:cs="宋体"/>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9" w:hRule="atLeast"/>
          <w:jc w:val="center"/>
        </w:trPr>
        <w:tc>
          <w:tcPr>
            <w:tcW w:w="840" w:type="dxa"/>
            <w:vMerge w:val="continue"/>
            <w:noWrap w:val="0"/>
            <w:tcMar>
              <w:top w:w="57" w:type="dxa"/>
              <w:left w:w="57" w:type="dxa"/>
              <w:bottom w:w="57" w:type="dxa"/>
              <w:right w:w="57" w:type="dxa"/>
            </w:tcMar>
            <w:vAlign w:val="center"/>
          </w:tcPr>
          <w:p>
            <w:pPr>
              <w:spacing w:line="276" w:lineRule="auto"/>
              <w:jc w:val="center"/>
              <w:rPr>
                <w:rFonts w:hint="eastAsia" w:ascii="宋体" w:hAnsi="宋体" w:cs="宋体"/>
                <w:kern w:val="0"/>
                <w:sz w:val="21"/>
                <w:szCs w:val="21"/>
              </w:rPr>
            </w:pPr>
          </w:p>
        </w:tc>
        <w:tc>
          <w:tcPr>
            <w:tcW w:w="579" w:type="dxa"/>
            <w:vMerge w:val="continue"/>
            <w:noWrap w:val="0"/>
            <w:tcMar>
              <w:top w:w="57" w:type="dxa"/>
              <w:left w:w="57" w:type="dxa"/>
              <w:bottom w:w="57" w:type="dxa"/>
              <w:right w:w="57" w:type="dxa"/>
            </w:tcMar>
            <w:vAlign w:val="center"/>
          </w:tcPr>
          <w:p>
            <w:pPr>
              <w:spacing w:line="276" w:lineRule="auto"/>
              <w:jc w:val="center"/>
              <w:rPr>
                <w:rFonts w:hint="eastAsia" w:ascii="宋体" w:hAnsi="宋体" w:cs="宋体"/>
                <w:kern w:val="0"/>
                <w:sz w:val="21"/>
                <w:szCs w:val="21"/>
              </w:rPr>
            </w:pPr>
          </w:p>
        </w:tc>
        <w:tc>
          <w:tcPr>
            <w:tcW w:w="1274" w:type="dxa"/>
            <w:noWrap w:val="0"/>
            <w:tcMar>
              <w:top w:w="57" w:type="dxa"/>
              <w:left w:w="57" w:type="dxa"/>
              <w:bottom w:w="57" w:type="dxa"/>
              <w:right w:w="57" w:type="dxa"/>
            </w:tcMar>
            <w:vAlign w:val="center"/>
          </w:tcPr>
          <w:p>
            <w:pPr>
              <w:pStyle w:val="16"/>
              <w:spacing w:line="276" w:lineRule="auto"/>
              <w:jc w:val="center"/>
              <w:rPr>
                <w:rFonts w:hint="eastAsia" w:ascii="宋体" w:hAnsi="宋体" w:cs="宋体"/>
                <w:kern w:val="0"/>
                <w:sz w:val="21"/>
                <w:szCs w:val="21"/>
              </w:rPr>
            </w:pPr>
            <w:r>
              <w:rPr>
                <w:rFonts w:hint="eastAsia" w:ascii="宋体" w:hAnsi="宋体" w:cs="宋体"/>
                <w:kern w:val="0"/>
                <w:sz w:val="21"/>
                <w:szCs w:val="21"/>
              </w:rPr>
              <w:t>履约信誉</w:t>
            </w:r>
          </w:p>
        </w:tc>
        <w:tc>
          <w:tcPr>
            <w:tcW w:w="1419" w:type="dxa"/>
            <w:noWrap w:val="0"/>
            <w:tcMar>
              <w:top w:w="57" w:type="dxa"/>
              <w:left w:w="57" w:type="dxa"/>
              <w:bottom w:w="57" w:type="dxa"/>
              <w:right w:w="57" w:type="dxa"/>
            </w:tcMar>
            <w:vAlign w:val="center"/>
          </w:tcPr>
          <w:p>
            <w:pPr>
              <w:pStyle w:val="16"/>
              <w:spacing w:line="276" w:lineRule="auto"/>
              <w:jc w:val="center"/>
              <w:rPr>
                <w:rFonts w:hint="eastAsia" w:ascii="宋体" w:hAnsi="宋体" w:cs="宋体"/>
                <w:kern w:val="0"/>
                <w:sz w:val="21"/>
                <w:szCs w:val="21"/>
              </w:rPr>
            </w:pPr>
            <w:r>
              <w:rPr>
                <w:rFonts w:hint="eastAsia" w:ascii="宋体" w:hAnsi="宋体" w:cs="宋体"/>
                <w:kern w:val="0"/>
                <w:sz w:val="21"/>
                <w:szCs w:val="21"/>
              </w:rPr>
              <w:t>5分</w:t>
            </w:r>
          </w:p>
        </w:tc>
        <w:tc>
          <w:tcPr>
            <w:tcW w:w="3474" w:type="dxa"/>
            <w:noWrap w:val="0"/>
            <w:tcMar>
              <w:top w:w="57" w:type="dxa"/>
              <w:left w:w="57" w:type="dxa"/>
              <w:bottom w:w="57" w:type="dxa"/>
              <w:right w:w="57" w:type="dxa"/>
            </w:tcMar>
            <w:vAlign w:val="center"/>
          </w:tcPr>
          <w:p>
            <w:pPr>
              <w:pStyle w:val="16"/>
              <w:spacing w:line="276" w:lineRule="auto"/>
              <w:jc w:val="center"/>
              <w:rPr>
                <w:rFonts w:hint="eastAsia" w:ascii="宋体" w:hAnsi="宋体" w:cs="宋体"/>
                <w:kern w:val="0"/>
                <w:sz w:val="21"/>
                <w:szCs w:val="21"/>
              </w:rPr>
            </w:pPr>
            <w:r>
              <w:rPr>
                <w:rFonts w:hint="eastAsia" w:ascii="宋体" w:hAnsi="宋体" w:cs="宋体"/>
                <w:kern w:val="0"/>
                <w:sz w:val="21"/>
                <w:szCs w:val="21"/>
              </w:rPr>
              <w:t>投标人信誉</w:t>
            </w:r>
          </w:p>
        </w:tc>
        <w:tc>
          <w:tcPr>
            <w:tcW w:w="1260" w:type="dxa"/>
            <w:noWrap w:val="0"/>
            <w:tcMar>
              <w:top w:w="57" w:type="dxa"/>
              <w:left w:w="57" w:type="dxa"/>
              <w:bottom w:w="57" w:type="dxa"/>
              <w:right w:w="57" w:type="dxa"/>
            </w:tcMar>
            <w:vAlign w:val="center"/>
          </w:tcPr>
          <w:p>
            <w:pPr>
              <w:pStyle w:val="16"/>
              <w:spacing w:line="276" w:lineRule="auto"/>
              <w:jc w:val="center"/>
              <w:rPr>
                <w:rFonts w:hint="eastAsia" w:ascii="宋体" w:hAnsi="宋体" w:cs="宋体"/>
                <w:b/>
                <w:bCs/>
                <w:kern w:val="0"/>
                <w:sz w:val="21"/>
                <w:szCs w:val="21"/>
              </w:rPr>
            </w:pPr>
            <w:r>
              <w:rPr>
                <w:rFonts w:hint="eastAsia" w:ascii="宋体" w:hAnsi="宋体" w:cs="宋体"/>
                <w:b/>
                <w:bCs/>
                <w:kern w:val="0"/>
                <w:sz w:val="21"/>
                <w:szCs w:val="21"/>
              </w:rPr>
              <w:t>5分</w:t>
            </w:r>
          </w:p>
        </w:tc>
        <w:tc>
          <w:tcPr>
            <w:tcW w:w="5943" w:type="dxa"/>
            <w:noWrap w:val="0"/>
            <w:tcMar>
              <w:top w:w="57" w:type="dxa"/>
              <w:left w:w="57" w:type="dxa"/>
              <w:bottom w:w="57" w:type="dxa"/>
              <w:right w:w="57" w:type="dxa"/>
            </w:tcMar>
            <w:vAlign w:val="center"/>
          </w:tcPr>
          <w:p>
            <w:pPr>
              <w:pStyle w:val="16"/>
              <w:spacing w:line="276" w:lineRule="auto"/>
              <w:rPr>
                <w:rFonts w:hint="eastAsia" w:ascii="宋体" w:hAnsi="宋体" w:cs="宋体"/>
                <w:kern w:val="0"/>
                <w:sz w:val="21"/>
                <w:szCs w:val="21"/>
              </w:rPr>
            </w:pPr>
            <w:r>
              <w:rPr>
                <w:rFonts w:hint="eastAsia" w:ascii="宋体" w:hAnsi="宋体" w:cs="宋体"/>
                <w:kern w:val="0"/>
                <w:sz w:val="21"/>
                <w:szCs w:val="21"/>
              </w:rPr>
              <w:t>满足资格审查条件附录3信誉最低要求的得5分。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36" w:hRule="atLeast"/>
          <w:jc w:val="center"/>
        </w:trPr>
        <w:tc>
          <w:tcPr>
            <w:tcW w:w="840" w:type="dxa"/>
            <w:noWrap w:val="0"/>
            <w:tcMar>
              <w:top w:w="57" w:type="dxa"/>
              <w:left w:w="57" w:type="dxa"/>
              <w:bottom w:w="57" w:type="dxa"/>
              <w:right w:w="57" w:type="dxa"/>
            </w:tcMar>
            <w:vAlign w:val="center"/>
          </w:tcPr>
          <w:p>
            <w:pPr>
              <w:pStyle w:val="16"/>
              <w:adjustRightInd w:val="0"/>
              <w:snapToGrid w:val="0"/>
              <w:spacing w:line="276" w:lineRule="auto"/>
              <w:jc w:val="center"/>
              <w:rPr>
                <w:rFonts w:hint="eastAsia" w:ascii="宋体" w:hAnsi="宋体" w:cs="宋体"/>
                <w:spacing w:val="-14"/>
                <w:kern w:val="0"/>
                <w:sz w:val="21"/>
                <w:szCs w:val="21"/>
              </w:rPr>
            </w:pPr>
            <w:r>
              <w:rPr>
                <w:rFonts w:hint="eastAsia" w:ascii="宋体" w:hAnsi="宋体" w:cs="宋体"/>
                <w:kern w:val="0"/>
                <w:sz w:val="21"/>
                <w:szCs w:val="21"/>
              </w:rPr>
              <w:t>2.2.</w:t>
            </w:r>
            <w:r>
              <w:rPr>
                <w:rFonts w:hint="eastAsia" w:ascii="宋体" w:hAnsi="宋体" w:cs="宋体"/>
                <w:spacing w:val="-14"/>
                <w:kern w:val="0"/>
                <w:sz w:val="21"/>
                <w:szCs w:val="21"/>
              </w:rPr>
              <w:t>4</w:t>
            </w:r>
          </w:p>
          <w:p>
            <w:pPr>
              <w:pStyle w:val="16"/>
              <w:adjustRightInd w:val="0"/>
              <w:snapToGrid w:val="0"/>
              <w:spacing w:line="276" w:lineRule="auto"/>
              <w:jc w:val="center"/>
              <w:rPr>
                <w:rFonts w:hint="eastAsia" w:ascii="宋体" w:hAnsi="宋体" w:cs="宋体"/>
                <w:kern w:val="0"/>
                <w:sz w:val="21"/>
                <w:szCs w:val="21"/>
              </w:rPr>
            </w:pPr>
            <w:r>
              <w:rPr>
                <w:rFonts w:hint="eastAsia" w:ascii="宋体" w:hAnsi="宋体" w:cs="宋体"/>
                <w:kern w:val="0"/>
                <w:sz w:val="21"/>
                <w:szCs w:val="21"/>
              </w:rPr>
              <w:t>（3</w:t>
            </w:r>
            <w:r>
              <w:rPr>
                <w:rFonts w:hint="eastAsia" w:ascii="宋体" w:hAnsi="宋体" w:cs="宋体"/>
                <w:spacing w:val="-108"/>
                <w:kern w:val="0"/>
                <w:sz w:val="21"/>
                <w:szCs w:val="21"/>
              </w:rPr>
              <w:t>）</w:t>
            </w:r>
          </w:p>
        </w:tc>
        <w:tc>
          <w:tcPr>
            <w:tcW w:w="1853" w:type="dxa"/>
            <w:gridSpan w:val="2"/>
            <w:noWrap w:val="0"/>
            <w:tcMar>
              <w:top w:w="57" w:type="dxa"/>
              <w:left w:w="57" w:type="dxa"/>
              <w:bottom w:w="57" w:type="dxa"/>
              <w:right w:w="57" w:type="dxa"/>
            </w:tcMar>
            <w:vAlign w:val="center"/>
          </w:tcPr>
          <w:p>
            <w:pPr>
              <w:pStyle w:val="16"/>
              <w:spacing w:line="276" w:lineRule="auto"/>
              <w:jc w:val="center"/>
              <w:rPr>
                <w:rFonts w:hint="eastAsia" w:ascii="宋体" w:hAnsi="宋体" w:cs="宋体"/>
                <w:kern w:val="0"/>
                <w:sz w:val="21"/>
                <w:szCs w:val="21"/>
              </w:rPr>
            </w:pPr>
            <w:r>
              <w:rPr>
                <w:rFonts w:hint="eastAsia" w:ascii="宋体" w:hAnsi="宋体" w:cs="宋体"/>
                <w:kern w:val="0"/>
                <w:sz w:val="21"/>
                <w:szCs w:val="21"/>
              </w:rPr>
              <w:t>投标报价</w:t>
            </w:r>
          </w:p>
        </w:tc>
        <w:tc>
          <w:tcPr>
            <w:tcW w:w="1419" w:type="dxa"/>
            <w:noWrap w:val="0"/>
            <w:tcMar>
              <w:top w:w="57" w:type="dxa"/>
              <w:left w:w="57" w:type="dxa"/>
              <w:bottom w:w="57" w:type="dxa"/>
              <w:right w:w="57" w:type="dxa"/>
            </w:tcMar>
            <w:vAlign w:val="center"/>
          </w:tcPr>
          <w:p>
            <w:pPr>
              <w:pStyle w:val="16"/>
              <w:spacing w:line="276" w:lineRule="auto"/>
              <w:jc w:val="center"/>
              <w:rPr>
                <w:rFonts w:hint="eastAsia" w:ascii="宋体" w:hAnsi="宋体" w:cs="宋体"/>
                <w:kern w:val="0"/>
                <w:sz w:val="21"/>
                <w:szCs w:val="21"/>
              </w:rPr>
            </w:pPr>
            <w:r>
              <w:rPr>
                <w:rFonts w:hint="eastAsia" w:ascii="宋体" w:hAnsi="宋体" w:cs="宋体"/>
                <w:kern w:val="0"/>
                <w:sz w:val="21"/>
                <w:szCs w:val="21"/>
              </w:rPr>
              <w:t>10分</w:t>
            </w:r>
          </w:p>
        </w:tc>
        <w:tc>
          <w:tcPr>
            <w:tcW w:w="10677" w:type="dxa"/>
            <w:gridSpan w:val="3"/>
            <w:noWrap w:val="0"/>
            <w:tcMar>
              <w:top w:w="57" w:type="dxa"/>
              <w:left w:w="57" w:type="dxa"/>
              <w:bottom w:w="57" w:type="dxa"/>
              <w:right w:w="57" w:type="dxa"/>
            </w:tcMar>
            <w:vAlign w:val="center"/>
          </w:tcPr>
          <w:p>
            <w:pPr>
              <w:pStyle w:val="16"/>
              <w:spacing w:line="276" w:lineRule="auto"/>
              <w:rPr>
                <w:rFonts w:hint="eastAsia" w:ascii="宋体" w:hAnsi="宋体" w:cs="宋体"/>
                <w:b/>
                <w:bCs/>
                <w:kern w:val="0"/>
                <w:sz w:val="21"/>
                <w:szCs w:val="21"/>
              </w:rPr>
            </w:pPr>
            <w:r>
              <w:rPr>
                <w:rFonts w:hint="eastAsia" w:ascii="宋体" w:hAnsi="宋体" w:cs="宋体"/>
                <w:kern w:val="0"/>
                <w:sz w:val="21"/>
                <w:szCs w:val="21"/>
              </w:rPr>
              <w:t>按照评标办法规定确定投标报价及评标基准价后，计算所有通过第二个信封（报价文件）初步评审以及算术性修正后的投标人的投标报价得分</w:t>
            </w:r>
            <w:r>
              <w:rPr>
                <w:rFonts w:hint="eastAsia" w:ascii="宋体" w:hAnsi="宋体" w:cs="宋体"/>
                <w:b/>
                <w:bCs/>
                <w:kern w:val="0"/>
                <w:sz w:val="21"/>
                <w:szCs w:val="21"/>
              </w:rPr>
              <w:t>，投标报价得分计算公式示例:</w:t>
            </w:r>
          </w:p>
          <w:p>
            <w:pPr>
              <w:pStyle w:val="16"/>
              <w:tabs>
                <w:tab w:val="left" w:pos="634"/>
              </w:tabs>
              <w:spacing w:line="276" w:lineRule="auto"/>
              <w:rPr>
                <w:rFonts w:hint="eastAsia" w:ascii="宋体" w:hAnsi="宋体" w:cs="宋体"/>
                <w:kern w:val="0"/>
                <w:sz w:val="21"/>
                <w:szCs w:val="21"/>
              </w:rPr>
            </w:pPr>
            <w:r>
              <w:rPr>
                <w:rFonts w:hint="eastAsia" w:ascii="宋体" w:hAnsi="宋体" w:cs="宋体"/>
                <w:spacing w:val="-3"/>
                <w:kern w:val="0"/>
                <w:sz w:val="21"/>
                <w:szCs w:val="21"/>
              </w:rPr>
              <w:t>（1）如果投标人的投标报价&gt;评标基准价，则投标报价得分</w:t>
            </w:r>
            <w:r>
              <w:rPr>
                <w:rFonts w:hint="eastAsia" w:ascii="宋体" w:hAnsi="宋体" w:cs="宋体"/>
                <w:kern w:val="0"/>
                <w:sz w:val="21"/>
                <w:szCs w:val="21"/>
              </w:rPr>
              <w:t>＝F</w:t>
            </w:r>
            <w:r>
              <w:rPr>
                <w:rFonts w:hint="eastAsia" w:ascii="宋体" w:hAnsi="宋体" w:cs="宋体"/>
                <w:spacing w:val="-3"/>
                <w:kern w:val="0"/>
                <w:sz w:val="21"/>
                <w:szCs w:val="21"/>
              </w:rPr>
              <w:t>－（投标人投标报价－评标基准价</w:t>
            </w:r>
            <w:r>
              <w:rPr>
                <w:rFonts w:hint="eastAsia" w:ascii="宋体" w:hAnsi="宋体" w:cs="宋体"/>
                <w:kern w:val="0"/>
                <w:sz w:val="21"/>
                <w:szCs w:val="21"/>
              </w:rPr>
              <w:t>）/</w:t>
            </w:r>
            <w:r>
              <w:rPr>
                <w:rFonts w:hint="eastAsia" w:ascii="宋体" w:hAnsi="宋体" w:cs="宋体"/>
                <w:spacing w:val="-3"/>
                <w:kern w:val="0"/>
                <w:sz w:val="21"/>
                <w:szCs w:val="21"/>
              </w:rPr>
              <w:t>评标基准价×</w:t>
            </w:r>
            <w:r>
              <w:rPr>
                <w:rFonts w:hint="eastAsia" w:ascii="宋体" w:hAnsi="宋体" w:cs="宋体"/>
                <w:kern w:val="0"/>
                <w:sz w:val="21"/>
                <w:szCs w:val="21"/>
              </w:rPr>
              <w:t>100×E1；</w:t>
            </w:r>
          </w:p>
          <w:p>
            <w:pPr>
              <w:pStyle w:val="16"/>
              <w:tabs>
                <w:tab w:val="left" w:pos="634"/>
              </w:tabs>
              <w:spacing w:line="276" w:lineRule="auto"/>
              <w:rPr>
                <w:rFonts w:hint="eastAsia" w:ascii="宋体" w:hAnsi="宋体" w:cs="宋体"/>
                <w:kern w:val="0"/>
                <w:sz w:val="21"/>
                <w:szCs w:val="21"/>
              </w:rPr>
            </w:pPr>
            <w:r>
              <w:rPr>
                <w:rFonts w:hint="eastAsia" w:ascii="宋体" w:hAnsi="宋体" w:cs="宋体"/>
                <w:spacing w:val="-3"/>
                <w:kern w:val="0"/>
                <w:sz w:val="21"/>
                <w:szCs w:val="21"/>
              </w:rPr>
              <w:t>（2）如果投标人的投标报价≤评标基准价，则投标报价得分</w:t>
            </w:r>
            <w:r>
              <w:rPr>
                <w:rFonts w:hint="eastAsia" w:ascii="宋体" w:hAnsi="宋体" w:cs="宋体"/>
                <w:kern w:val="0"/>
                <w:sz w:val="21"/>
                <w:szCs w:val="21"/>
              </w:rPr>
              <w:t>＝F＋</w:t>
            </w:r>
            <w:r>
              <w:rPr>
                <w:rFonts w:hint="eastAsia" w:ascii="宋体" w:hAnsi="宋体" w:cs="宋体"/>
                <w:spacing w:val="-3"/>
                <w:kern w:val="0"/>
                <w:sz w:val="21"/>
                <w:szCs w:val="21"/>
              </w:rPr>
              <w:t>（投标人投标报价－评标基准价）</w:t>
            </w:r>
            <w:r>
              <w:rPr>
                <w:rFonts w:hint="eastAsia" w:ascii="宋体" w:hAnsi="宋体" w:cs="宋体"/>
                <w:kern w:val="0"/>
                <w:sz w:val="21"/>
                <w:szCs w:val="21"/>
              </w:rPr>
              <w:t>/</w:t>
            </w:r>
            <w:r>
              <w:rPr>
                <w:rFonts w:hint="eastAsia" w:ascii="宋体" w:hAnsi="宋体" w:cs="宋体"/>
                <w:spacing w:val="-3"/>
                <w:kern w:val="0"/>
                <w:sz w:val="21"/>
                <w:szCs w:val="21"/>
              </w:rPr>
              <w:t>评标基准价×</w:t>
            </w:r>
            <w:r>
              <w:rPr>
                <w:rFonts w:hint="eastAsia" w:ascii="宋体" w:hAnsi="宋体" w:cs="宋体"/>
                <w:kern w:val="0"/>
                <w:sz w:val="21"/>
                <w:szCs w:val="21"/>
              </w:rPr>
              <w:t>100×E2。</w:t>
            </w:r>
          </w:p>
          <w:p>
            <w:pPr>
              <w:pStyle w:val="16"/>
              <w:spacing w:line="276" w:lineRule="auto"/>
              <w:rPr>
                <w:rFonts w:hint="eastAsia" w:ascii="宋体" w:hAnsi="宋体" w:cs="宋体"/>
                <w:kern w:val="0"/>
                <w:sz w:val="21"/>
                <w:szCs w:val="21"/>
              </w:rPr>
            </w:pPr>
            <w:r>
              <w:rPr>
                <w:rFonts w:hint="eastAsia" w:ascii="宋体" w:hAnsi="宋体" w:cs="宋体"/>
                <w:spacing w:val="-14"/>
                <w:kern w:val="0"/>
                <w:sz w:val="21"/>
                <w:szCs w:val="21"/>
              </w:rPr>
              <w:t>其中</w:t>
            </w:r>
            <w:r>
              <w:rPr>
                <w:rFonts w:hint="eastAsia" w:ascii="宋体" w:hAnsi="宋体" w:cs="宋体"/>
                <w:kern w:val="0"/>
                <w:sz w:val="21"/>
                <w:szCs w:val="21"/>
              </w:rPr>
              <w:t>F=10</w:t>
            </w:r>
            <w:r>
              <w:rPr>
                <w:rFonts w:hint="eastAsia" w:ascii="宋体" w:hAnsi="宋体" w:cs="宋体"/>
                <w:spacing w:val="-9"/>
                <w:kern w:val="0"/>
                <w:sz w:val="21"/>
                <w:szCs w:val="21"/>
              </w:rPr>
              <w:t>是投标报价所占的权重分值，</w:t>
            </w:r>
            <w:r>
              <w:rPr>
                <w:rFonts w:hint="eastAsia" w:ascii="宋体" w:hAnsi="宋体" w:cs="宋体"/>
                <w:spacing w:val="-17"/>
                <w:kern w:val="0"/>
                <w:sz w:val="21"/>
                <w:szCs w:val="21"/>
              </w:rPr>
              <w:t>E1</w:t>
            </w:r>
            <w:r>
              <w:rPr>
                <w:rFonts w:hint="eastAsia" w:ascii="宋体" w:hAnsi="宋体" w:cs="宋体"/>
                <w:spacing w:val="-10"/>
                <w:kern w:val="0"/>
                <w:sz w:val="21"/>
                <w:szCs w:val="21"/>
              </w:rPr>
              <w:t>是投标报价每高于评标基准价一个百分点的扣分值、</w:t>
            </w:r>
            <w:r>
              <w:rPr>
                <w:rFonts w:hint="eastAsia" w:ascii="宋体" w:hAnsi="宋体" w:cs="宋体"/>
                <w:kern w:val="0"/>
                <w:sz w:val="21"/>
                <w:szCs w:val="21"/>
              </w:rPr>
              <w:t>E2</w:t>
            </w:r>
            <w:r>
              <w:rPr>
                <w:rFonts w:hint="eastAsia" w:ascii="宋体" w:hAnsi="宋体" w:cs="宋体"/>
                <w:spacing w:val="-8"/>
                <w:kern w:val="0"/>
                <w:sz w:val="21"/>
                <w:szCs w:val="21"/>
              </w:rPr>
              <w:t>是投标报价每低于评标基准价一个百分点的扣分值，本项目</w:t>
            </w:r>
            <w:r>
              <w:rPr>
                <w:rFonts w:hint="eastAsia" w:ascii="宋体" w:hAnsi="宋体" w:cs="宋体"/>
                <w:kern w:val="0"/>
                <w:sz w:val="21"/>
                <w:szCs w:val="21"/>
              </w:rPr>
              <w:t>E1=0.2，E2=0.1</w:t>
            </w:r>
            <w:r>
              <w:rPr>
                <w:rFonts w:hint="eastAsia" w:ascii="宋体" w:hAnsi="宋体" w:cs="宋体"/>
                <w:spacing w:val="-3"/>
                <w:kern w:val="0"/>
                <w:sz w:val="21"/>
                <w:szCs w:val="21"/>
              </w:rPr>
              <w:t>。</w:t>
            </w:r>
            <w:r>
              <w:rPr>
                <w:rFonts w:hint="eastAsia" w:ascii="宋体" w:hAnsi="宋体" w:cs="宋体"/>
                <w:kern w:val="0"/>
                <w:sz w:val="21"/>
                <w:szCs w:val="21"/>
              </w:rPr>
              <w:t>投标报价最低得分为0分。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0" w:hRule="atLeast"/>
          <w:jc w:val="center"/>
        </w:trPr>
        <w:tc>
          <w:tcPr>
            <w:tcW w:w="14789" w:type="dxa"/>
            <w:gridSpan w:val="7"/>
            <w:noWrap w:val="0"/>
            <w:tcMar>
              <w:top w:w="57" w:type="dxa"/>
              <w:left w:w="57" w:type="dxa"/>
              <w:bottom w:w="57" w:type="dxa"/>
              <w:right w:w="57" w:type="dxa"/>
            </w:tcMar>
            <w:vAlign w:val="center"/>
          </w:tcPr>
          <w:p>
            <w:pPr>
              <w:pStyle w:val="16"/>
              <w:spacing w:line="276" w:lineRule="auto"/>
              <w:rPr>
                <w:rFonts w:ascii="宋体" w:hAnsi="宋体"/>
                <w:sz w:val="21"/>
                <w:szCs w:val="21"/>
              </w:rPr>
            </w:pPr>
            <w:r>
              <w:rPr>
                <w:rFonts w:ascii="宋体" w:hAnsi="宋体"/>
                <w:sz w:val="21"/>
                <w:szCs w:val="21"/>
              </w:rPr>
              <w:t>需要补充的其他内容：</w:t>
            </w:r>
          </w:p>
          <w:p>
            <w:pPr>
              <w:topLinePunct/>
              <w:spacing w:before="120" w:beforeLines="50" w:after="120" w:afterLines="50" w:line="276" w:lineRule="auto"/>
              <w:ind w:firstLine="420" w:firstLineChars="200"/>
              <w:rPr>
                <w:rFonts w:ascii="宋体" w:hAnsi="宋体"/>
                <w:sz w:val="21"/>
                <w:szCs w:val="21"/>
              </w:rPr>
            </w:pPr>
            <w:r>
              <w:rPr>
                <w:rFonts w:hint="eastAsia" w:ascii="宋体" w:hAnsi="宋体"/>
                <w:sz w:val="21"/>
                <w:szCs w:val="21"/>
              </w:rPr>
              <w:t>各评分因素（评标价和履约信誉评分除外）得分一般不得低于其权重分值的60%，且各评分因素得分应以评标委员会各成员的打分平均值确定，评标委员会成员总数为7人及以上时，该平均值以去掉一个最高分和一个最低分后计算。得分保留2位小数。评标委员会成员对某一项评分因素的评分低于60%的，应在评标报告中作出说明。</w:t>
            </w:r>
          </w:p>
        </w:tc>
      </w:tr>
    </w:tbl>
    <w:p>
      <w:pPr>
        <w:spacing w:line="360" w:lineRule="auto"/>
        <w:jc w:val="left"/>
        <w:rPr>
          <w:rFonts w:hint="eastAsia" w:ascii="宋体" w:hAnsi="宋体" w:cs="宋体"/>
          <w:b/>
          <w:bCs/>
          <w:sz w:val="21"/>
          <w:szCs w:val="21"/>
        </w:rPr>
        <w:sectPr>
          <w:footnotePr>
            <w:numFmt w:val="decimalEnclosedCircleChinese"/>
            <w:numRestart w:val="eachPage"/>
          </w:footnotePr>
          <w:pgSz w:w="16843" w:h="11900" w:orient="landscape"/>
          <w:pgMar w:top="1440" w:right="1080" w:bottom="1440" w:left="1080" w:header="850" w:footer="850" w:gutter="0"/>
          <w:cols w:space="720" w:num="1"/>
          <w:titlePg/>
          <w:docGrid w:linePitch="286" w:charSpace="0"/>
        </w:sectPr>
      </w:pPr>
    </w:p>
    <w:p>
      <w:pPr>
        <w:spacing w:line="360" w:lineRule="auto"/>
        <w:jc w:val="left"/>
        <w:rPr>
          <w:rFonts w:hint="eastAsia" w:ascii="宋体" w:hAnsi="宋体" w:cs="宋体"/>
          <w:b/>
          <w:bCs/>
          <w:sz w:val="21"/>
          <w:szCs w:val="21"/>
        </w:rPr>
      </w:pPr>
      <w:bookmarkStart w:id="7" w:name="_Toc349"/>
      <w:r>
        <w:rPr>
          <w:rStyle w:val="25"/>
          <w:rFonts w:hint="eastAsia"/>
          <w:sz w:val="21"/>
          <w:szCs w:val="21"/>
        </w:rPr>
        <w:t>1．评标方法</w:t>
      </w:r>
      <w:bookmarkEnd w:id="7"/>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本次评标采用综合评估法。评标委员会对满足招标文件实质性要求的投标文件，按照本章第 2.2 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pPr>
        <w:pStyle w:val="26"/>
        <w:spacing w:before="0" w:beforeLines="0" w:after="0" w:afterLines="0" w:line="360" w:lineRule="auto"/>
        <w:rPr>
          <w:rFonts w:hint="eastAsia" w:cs="宋体"/>
          <w:sz w:val="21"/>
          <w:szCs w:val="21"/>
        </w:rPr>
      </w:pPr>
      <w:bookmarkStart w:id="8" w:name="_Toc2843"/>
      <w:r>
        <w:rPr>
          <w:rFonts w:hint="eastAsia" w:cs="宋体"/>
          <w:sz w:val="21"/>
          <w:szCs w:val="21"/>
        </w:rPr>
        <w:t>2．评审标准</w:t>
      </w:r>
      <w:bookmarkEnd w:id="8"/>
    </w:p>
    <w:p>
      <w:pPr>
        <w:pStyle w:val="26"/>
        <w:spacing w:before="0" w:beforeLines="0" w:after="0" w:afterLines="0" w:line="360" w:lineRule="auto"/>
        <w:rPr>
          <w:rFonts w:hint="eastAsia" w:cs="宋体"/>
          <w:sz w:val="21"/>
          <w:szCs w:val="21"/>
        </w:rPr>
      </w:pPr>
      <w:bookmarkStart w:id="9" w:name="_Toc25727"/>
      <w:bookmarkStart w:id="10" w:name="_Toc26828"/>
      <w:bookmarkStart w:id="11" w:name="_Toc19273"/>
      <w:bookmarkStart w:id="12" w:name="_Toc14082"/>
      <w:r>
        <w:rPr>
          <w:rFonts w:hint="eastAsia" w:cs="宋体"/>
          <w:sz w:val="21"/>
          <w:szCs w:val="21"/>
        </w:rPr>
        <w:t>2.1初步评审标准</w:t>
      </w:r>
      <w:bookmarkEnd w:id="9"/>
      <w:bookmarkEnd w:id="10"/>
      <w:bookmarkEnd w:id="11"/>
      <w:bookmarkEnd w:id="12"/>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2.1.1形式评审标准：见评标办法前附表。</w:t>
      </w:r>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2.1.2资格评审标准：见评标办法前附表。</w:t>
      </w:r>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2.1.3响应性评审标准：见评标办法前附表。</w:t>
      </w:r>
    </w:p>
    <w:p>
      <w:pPr>
        <w:pStyle w:val="26"/>
        <w:spacing w:before="0" w:beforeLines="0" w:after="0" w:afterLines="0" w:line="360" w:lineRule="auto"/>
        <w:rPr>
          <w:rFonts w:hint="eastAsia" w:cs="宋体"/>
          <w:sz w:val="21"/>
          <w:szCs w:val="21"/>
        </w:rPr>
      </w:pPr>
      <w:bookmarkStart w:id="13" w:name="_Toc23083"/>
      <w:bookmarkStart w:id="14" w:name="_Toc15158"/>
      <w:bookmarkStart w:id="15" w:name="_Toc30641"/>
      <w:bookmarkStart w:id="16" w:name="_Toc9833"/>
      <w:r>
        <w:rPr>
          <w:rFonts w:hint="eastAsia" w:cs="宋体"/>
          <w:sz w:val="21"/>
          <w:szCs w:val="21"/>
        </w:rPr>
        <w:t>2.2分值构成与评分标准</w:t>
      </w:r>
      <w:bookmarkEnd w:id="13"/>
      <w:bookmarkEnd w:id="14"/>
      <w:bookmarkEnd w:id="15"/>
      <w:bookmarkEnd w:id="16"/>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2.2.1分值构成</w:t>
      </w:r>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（1）技术建议书：见评标办法前附表；</w:t>
      </w:r>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（2）主要人员：见评标办法前附表；</w:t>
      </w:r>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（3）投标报价：见评标办法前刚表：</w:t>
      </w:r>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（4）其他评分因素：见评标办法前附表。</w:t>
      </w:r>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2.2.2评标基准价计算</w:t>
      </w:r>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评标基准价计算方法：见评标办法前附表。</w:t>
      </w:r>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2.2.3投标报价的偏差率计算</w:t>
      </w:r>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投标报价的偏差率计算公式：见评标办法前附表。</w:t>
      </w:r>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2.2.4评分标准</w:t>
      </w:r>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（1）技术建议书评分标准；见评标办法前附表；</w:t>
      </w:r>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（2）主要人员评分标准：见评标办法前附表：</w:t>
      </w:r>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（3）投标报价评分标准：见评标办法前附表：</w:t>
      </w:r>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（4）其他因素评分标准：见评标办法前附表。</w:t>
      </w:r>
    </w:p>
    <w:p>
      <w:pPr>
        <w:pStyle w:val="26"/>
        <w:spacing w:before="0" w:beforeLines="0" w:after="0" w:afterLines="0" w:line="360" w:lineRule="auto"/>
        <w:rPr>
          <w:rFonts w:hint="eastAsia" w:cs="宋体"/>
          <w:sz w:val="21"/>
          <w:szCs w:val="21"/>
        </w:rPr>
      </w:pPr>
      <w:bookmarkStart w:id="17" w:name="_Toc21302"/>
      <w:r>
        <w:rPr>
          <w:rFonts w:hint="eastAsia" w:cs="宋体"/>
          <w:sz w:val="21"/>
          <w:szCs w:val="21"/>
        </w:rPr>
        <w:t>3．评标程序</w:t>
      </w:r>
      <w:bookmarkEnd w:id="17"/>
    </w:p>
    <w:p>
      <w:pPr>
        <w:pStyle w:val="26"/>
        <w:spacing w:before="0" w:beforeLines="0" w:after="0" w:afterLines="0" w:line="360" w:lineRule="auto"/>
        <w:rPr>
          <w:rFonts w:hint="eastAsia" w:cs="宋体"/>
          <w:sz w:val="21"/>
          <w:szCs w:val="21"/>
        </w:rPr>
      </w:pPr>
      <w:bookmarkStart w:id="18" w:name="_Toc10042"/>
      <w:bookmarkStart w:id="19" w:name="_Toc19341"/>
      <w:bookmarkStart w:id="20" w:name="_Toc7889"/>
      <w:bookmarkStart w:id="21" w:name="_Toc23121"/>
      <w:r>
        <w:rPr>
          <w:rFonts w:hint="eastAsia" w:cs="宋体"/>
          <w:sz w:val="21"/>
          <w:szCs w:val="21"/>
        </w:rPr>
        <w:t>3.1第一个信封初步评审</w:t>
      </w:r>
      <w:bookmarkEnd w:id="18"/>
      <w:bookmarkEnd w:id="19"/>
      <w:bookmarkEnd w:id="20"/>
      <w:bookmarkEnd w:id="21"/>
    </w:p>
    <w:p>
      <w:pPr>
        <w:tabs>
          <w:tab w:val="left" w:pos="9660"/>
        </w:tabs>
        <w:spacing w:line="360" w:lineRule="auto"/>
        <w:ind w:firstLine="420" w:firstLineChars="200"/>
        <w:jc w:val="left"/>
        <w:rPr>
          <w:rFonts w:hint="eastAsia" w:ascii="宋体" w:hAnsi="宋体" w:cs="宋体"/>
          <w:sz w:val="21"/>
          <w:szCs w:val="21"/>
        </w:rPr>
      </w:pPr>
      <w:r>
        <w:rPr>
          <w:rFonts w:hint="eastAsia" w:ascii="宋体" w:hAnsi="宋体" w:cs="宋体"/>
          <w:sz w:val="21"/>
          <w:szCs w:val="21"/>
        </w:rPr>
        <w:t>3.1.1评标委员会可以要求投标人提交第二章“投标人须知”第3.5.1项至第3.5.5项规定的有关证明和证件的原件，以便核验。评标委员会依据本章第2.1款规定的标准对投标文件第一个信封（商务及技术文件）进行初步评审，有一项不符合评审标准的，评标委员会应否决其投标。</w:t>
      </w:r>
    </w:p>
    <w:p>
      <w:pPr>
        <w:pStyle w:val="26"/>
        <w:spacing w:before="0" w:beforeLines="0" w:after="0" w:afterLines="0" w:line="360" w:lineRule="auto"/>
        <w:rPr>
          <w:rFonts w:hint="eastAsia" w:cs="宋体"/>
          <w:sz w:val="21"/>
          <w:szCs w:val="21"/>
        </w:rPr>
      </w:pPr>
      <w:bookmarkStart w:id="22" w:name="_Toc21768"/>
      <w:bookmarkStart w:id="23" w:name="_Toc32037"/>
      <w:bookmarkStart w:id="24" w:name="_Toc22870"/>
      <w:bookmarkStart w:id="25" w:name="_Toc9461"/>
      <w:r>
        <w:rPr>
          <w:rFonts w:hint="eastAsia" w:cs="宋体"/>
          <w:sz w:val="21"/>
          <w:szCs w:val="21"/>
        </w:rPr>
        <w:t>3.2第一个信封详细评审</w:t>
      </w:r>
      <w:bookmarkEnd w:id="22"/>
      <w:bookmarkEnd w:id="23"/>
      <w:bookmarkEnd w:id="24"/>
      <w:bookmarkEnd w:id="25"/>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3.2.1评标委员会按本章第2.2款规定的量化因素和分值进行打分，并计算出各投标人的商务和技术得分。</w:t>
      </w:r>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（1）按本章第2.2.4项（l）日规定的评审因素和分值对技术建议书部分计算出得分A；</w:t>
      </w:r>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（2）按本章第2.2.4项（2）目规定的评审因素和分值对主要人员部分计算出得分B；</w:t>
      </w:r>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（3）按本章第2.2.4项（4）目规定的评审因素和分值对其他部分计算出得分D。</w:t>
      </w:r>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3.2.2投标人的商务和技术得分分值计算保留小数点后两位，小数点后第三位“四舍五入”。</w:t>
      </w:r>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3.2.3投标人的商务和技术得分=A+B+D。</w:t>
      </w:r>
    </w:p>
    <w:p>
      <w:pPr>
        <w:pStyle w:val="26"/>
        <w:spacing w:before="0" w:beforeLines="0" w:after="0" w:afterLines="0" w:line="360" w:lineRule="auto"/>
        <w:rPr>
          <w:rFonts w:hint="eastAsia" w:cs="宋体"/>
          <w:sz w:val="21"/>
          <w:szCs w:val="21"/>
        </w:rPr>
      </w:pPr>
      <w:bookmarkStart w:id="26" w:name="_Toc14639"/>
      <w:bookmarkStart w:id="27" w:name="_Toc13747"/>
      <w:bookmarkStart w:id="28" w:name="_Toc32077"/>
      <w:bookmarkStart w:id="29" w:name="_Toc26497"/>
      <w:r>
        <w:rPr>
          <w:rFonts w:hint="eastAsia" w:cs="宋体"/>
          <w:sz w:val="21"/>
          <w:szCs w:val="21"/>
        </w:rPr>
        <w:t>3.3第二个信封开标</w:t>
      </w:r>
      <w:bookmarkEnd w:id="26"/>
      <w:bookmarkEnd w:id="27"/>
      <w:bookmarkEnd w:id="28"/>
      <w:bookmarkEnd w:id="29"/>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第一个信封（商务及技术文件）评审结束后，招标人将按照第二章“投标人须知”第5.1款规定的时间和地点对通过投标文件第一个信封（商务及技术文件）评审的投标文件第二个信封（报价文件）进行开标。</w:t>
      </w:r>
    </w:p>
    <w:p>
      <w:pPr>
        <w:pStyle w:val="26"/>
        <w:spacing w:before="0" w:beforeLines="0" w:after="0" w:afterLines="0" w:line="360" w:lineRule="auto"/>
        <w:rPr>
          <w:rFonts w:hint="eastAsia" w:cs="宋体"/>
          <w:sz w:val="21"/>
          <w:szCs w:val="21"/>
        </w:rPr>
      </w:pPr>
      <w:bookmarkStart w:id="30" w:name="_Toc4656"/>
      <w:bookmarkStart w:id="31" w:name="_Toc21261"/>
      <w:bookmarkStart w:id="32" w:name="_Toc28850"/>
      <w:bookmarkStart w:id="33" w:name="_Toc29625"/>
      <w:r>
        <w:rPr>
          <w:rFonts w:hint="eastAsia" w:cs="宋体"/>
          <w:sz w:val="21"/>
          <w:szCs w:val="21"/>
        </w:rPr>
        <w:t>3.4第二个信封初步评审</w:t>
      </w:r>
      <w:bookmarkEnd w:id="30"/>
      <w:bookmarkEnd w:id="31"/>
      <w:bookmarkEnd w:id="32"/>
      <w:bookmarkEnd w:id="33"/>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3.4.1评标委员会依据本章第2.1.1项、第2.1.3项规定的评审标准对投标文件第二个信封（报价文件）进行初步评审。有一项不符合评审标准的，评标委员会应否决其投标。</w:t>
      </w:r>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3.4.2投标报价有算术错误的，评标委员会按以下原则对投标报价进行修正，修正的价格经投标人书面确认后具有约束力。投标人不接受修正价格的；评标委员会应否决其投标。</w:t>
      </w:r>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（1）投标文件中的大写金额与小写金额不一致的，以大写金额为准；</w:t>
      </w:r>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（2）总价金额与依据单价计算出的结果不一致的，以单价金额为准修正总价，但单价金额小数点有明显错误的除外；</w:t>
      </w:r>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（3）当单价与数量相乘不等于合价时，以单价计算为准，如果单价有明显的小数点位置差错，应以标出的合价为准，同时对单价予以修正；</w:t>
      </w:r>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（4）当各子目的合价累计不等于总价时，应以各子目合价累计数为准，修正总价。</w:t>
      </w:r>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3.4.3修正后的最终投标报价若超过最高投标限价（如有），评标委员会应否决其投标。</w:t>
      </w:r>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3.4.4修正后的最终投标报价仅作为签订合同的一个依据，不参与投标报价得分的计算。</w:t>
      </w:r>
    </w:p>
    <w:p>
      <w:pPr>
        <w:pStyle w:val="26"/>
        <w:spacing w:before="0" w:beforeLines="0" w:after="0" w:afterLines="0" w:line="360" w:lineRule="auto"/>
        <w:rPr>
          <w:rFonts w:hint="eastAsia" w:cs="宋体"/>
          <w:sz w:val="21"/>
          <w:szCs w:val="21"/>
        </w:rPr>
      </w:pPr>
      <w:bookmarkStart w:id="34" w:name="_Toc22641"/>
      <w:bookmarkStart w:id="35" w:name="_Toc26039"/>
      <w:bookmarkStart w:id="36" w:name="_Toc32449"/>
      <w:bookmarkStart w:id="37" w:name="_Toc30002"/>
      <w:r>
        <w:rPr>
          <w:rFonts w:hint="eastAsia" w:cs="宋体"/>
          <w:sz w:val="21"/>
          <w:szCs w:val="21"/>
        </w:rPr>
        <w:t>3.5第二个信封详细评审</w:t>
      </w:r>
      <w:bookmarkEnd w:id="34"/>
      <w:bookmarkEnd w:id="35"/>
      <w:bookmarkEnd w:id="36"/>
      <w:bookmarkEnd w:id="37"/>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3.5.1评标委员会按本章第2.2.4项（3）目规定的评审因素和分值对投标报价计算出得分C。投标报价得分分值计算保留小数点后两位，小数点后第三位“四舍五入”。</w:t>
      </w:r>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3.5.2投标人综合得分=投标人的商务和技术得分+C。</w:t>
      </w:r>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3.5.3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pPr>
        <w:pStyle w:val="26"/>
        <w:spacing w:before="0" w:beforeLines="0" w:after="0" w:afterLines="0" w:line="360" w:lineRule="auto"/>
        <w:rPr>
          <w:rFonts w:hint="eastAsia" w:cs="宋体"/>
          <w:sz w:val="21"/>
          <w:szCs w:val="21"/>
        </w:rPr>
      </w:pPr>
      <w:bookmarkStart w:id="38" w:name="_Toc4877"/>
      <w:bookmarkStart w:id="39" w:name="_Toc12478"/>
      <w:bookmarkStart w:id="40" w:name="_Toc7512"/>
      <w:bookmarkStart w:id="41" w:name="_Toc23755"/>
      <w:r>
        <w:rPr>
          <w:rFonts w:hint="eastAsia" w:cs="宋体"/>
          <w:sz w:val="21"/>
          <w:szCs w:val="21"/>
        </w:rPr>
        <w:t>3.6投标文件相关信息的核查</w:t>
      </w:r>
      <w:bookmarkEnd w:id="38"/>
      <w:bookmarkEnd w:id="39"/>
      <w:bookmarkEnd w:id="40"/>
      <w:bookmarkEnd w:id="41"/>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3.6.1在评标过程中，评标委员会应对投标人的资质、业绩、主要人员资历和目前在岗情况、信用等级等信息进行审核。若投标人的资格条件不符合招标文件规定的，评标委员会应否决其投标。</w:t>
      </w:r>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3.6.2评标委员会应对在评标过程中发现的投标人与投标人之间、投标人与招标人之间存在的串通投标的情形进行评审和认定。投标人存在串通投标、弄虚作假、行贿等违法行为的，评标委员会应否决其投标。</w:t>
      </w:r>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（1）有下列情形之一的，属于投标人相互串通投标：</w:t>
      </w:r>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a．投标人之间协商投标报价等投标文件的实质性内容；</w:t>
      </w:r>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b．投标人之间约定中标人：</w:t>
      </w:r>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c．投标人之间约定部分投标人放弃投标或中标；</w:t>
      </w:r>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d．属于同一集团、协会、商会等组织成员的投标人按照该组织要求协同投标；</w:t>
      </w:r>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e．投标人之间为谋取中标或排斥特定投标人而采取的其他联合行动。</w:t>
      </w:r>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（2）有下列情形之一的，视为投标人相互串通投标：</w:t>
      </w:r>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a．不同投标人的投标文件由同一单位或个人编制；</w:t>
      </w:r>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b．不同投标人委托同一单位或个人办理投标事宜；</w:t>
      </w:r>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c．不同投标人的投标文件载明的项目管理成员为同一人；</w:t>
      </w:r>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d．不同投标人的投标文件异常一致或投标报价呈规律性差异；</w:t>
      </w:r>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e．不同投标人的投标文件相互混装；</w:t>
      </w:r>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F．不同投标人的投标保证金从同一单位或个人的账户转出。</w:t>
      </w:r>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（3）有下列情形之一的，属于招标人与投标人串通投标：</w:t>
      </w:r>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a．招标人在开标前开启投标文件并将有关信息泄露给其他投标人；</w:t>
      </w:r>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b．招标人直接或间接向投标人泄露标底、评标委员会成员等信息；</w:t>
      </w:r>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c．招标人明示或暗示投标人压低或抬高投标报价；</w:t>
      </w:r>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d．招标人授意投标人撤换、修改投标文件；</w:t>
      </w:r>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e．招标人明示或暗示投标人为特定投标人中标提供方便；</w:t>
      </w:r>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f．招标人与投标人为谋求特定投标人中标而采取的其他串通行为。</w:t>
      </w:r>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（4）投标人有下列情形之一的，属于弄虚作假的行为：</w:t>
      </w:r>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a．使用通过受让或租借等方式获取的资格、资质证书投标；</w:t>
      </w:r>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b．使用伪造、变造的许可证件；</w:t>
      </w:r>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c．提供虚假的业绩；</w:t>
      </w:r>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d．提供虚假的检测或项目负责人或主要技术人员简历、劳动关系证明；</w:t>
      </w:r>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e．提供虚假的信用状况；</w:t>
      </w:r>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f．其他弄虚作假的行为。</w:t>
      </w:r>
    </w:p>
    <w:p>
      <w:pPr>
        <w:pStyle w:val="26"/>
        <w:spacing w:before="0" w:beforeLines="0" w:after="0" w:afterLines="0" w:line="360" w:lineRule="auto"/>
        <w:rPr>
          <w:rFonts w:hint="eastAsia" w:cs="宋体"/>
          <w:sz w:val="21"/>
          <w:szCs w:val="21"/>
        </w:rPr>
      </w:pPr>
      <w:bookmarkStart w:id="42" w:name="_Toc2009"/>
      <w:bookmarkStart w:id="43" w:name="_Toc19013"/>
      <w:bookmarkStart w:id="44" w:name="_Toc9254"/>
      <w:bookmarkStart w:id="45" w:name="_Toc26608"/>
      <w:r>
        <w:rPr>
          <w:rFonts w:hint="eastAsia" w:cs="宋体"/>
          <w:sz w:val="21"/>
          <w:szCs w:val="21"/>
        </w:rPr>
        <w:t>3.7投标文件的澄清和说明</w:t>
      </w:r>
      <w:bookmarkEnd w:id="42"/>
      <w:bookmarkEnd w:id="43"/>
      <w:bookmarkEnd w:id="44"/>
      <w:bookmarkEnd w:id="45"/>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3.7.1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3.7.2澄清和说明不得超出投标文件的范围或改变投标文件的实质性内容（算术性错误的修正除外）。投标人的书面澄清、说明属于投标文件的组成部分。</w:t>
      </w:r>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3.7.3评标委员会不得暗示或诱导投标人作出澄清、说明，对投标人提交的澄清、说明有疑问的，可以要求投标人进一步澄清或说明，直至满足评标委员会的要求。</w:t>
      </w:r>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3.7.4凡超出招标文件规定的或给委托人带来未曾要求的利益的变化、偏差或其他因素在评标时不予考虑。</w:t>
      </w:r>
    </w:p>
    <w:p>
      <w:pPr>
        <w:pStyle w:val="26"/>
        <w:spacing w:before="0" w:beforeLines="0" w:after="0" w:afterLines="0" w:line="360" w:lineRule="auto"/>
        <w:rPr>
          <w:rFonts w:hint="eastAsia" w:cs="宋体"/>
          <w:sz w:val="21"/>
          <w:szCs w:val="21"/>
        </w:rPr>
      </w:pPr>
      <w:bookmarkStart w:id="46" w:name="_Toc24104"/>
      <w:bookmarkStart w:id="47" w:name="_Toc27532"/>
      <w:bookmarkStart w:id="48" w:name="_Toc13157"/>
      <w:bookmarkStart w:id="49" w:name="_Toc31571"/>
      <w:r>
        <w:rPr>
          <w:rFonts w:hint="eastAsia" w:cs="宋体"/>
          <w:sz w:val="21"/>
          <w:szCs w:val="21"/>
        </w:rPr>
        <w:t>3.8不得否决投标的情形</w:t>
      </w:r>
      <w:bookmarkEnd w:id="46"/>
      <w:bookmarkEnd w:id="47"/>
      <w:bookmarkEnd w:id="48"/>
      <w:bookmarkEnd w:id="49"/>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投标文件存在第二章“投标人须知”第1.12.3项所列情形的，均视为细微偏差，评标委员会不得否决投标人的投标，应按照第二章“投标人须知”第1.12.4项规定的原则处理。</w:t>
      </w:r>
    </w:p>
    <w:p>
      <w:pPr>
        <w:pStyle w:val="26"/>
        <w:spacing w:before="0" w:beforeLines="0" w:after="0" w:afterLines="0" w:line="360" w:lineRule="auto"/>
        <w:rPr>
          <w:rFonts w:hint="eastAsia" w:cs="宋体"/>
          <w:sz w:val="21"/>
          <w:szCs w:val="21"/>
        </w:rPr>
      </w:pPr>
      <w:bookmarkStart w:id="50" w:name="_Toc27525"/>
      <w:bookmarkStart w:id="51" w:name="_Toc24139"/>
      <w:bookmarkStart w:id="52" w:name="_Toc14083"/>
      <w:bookmarkStart w:id="53" w:name="_Toc25873"/>
      <w:r>
        <w:rPr>
          <w:rFonts w:hint="eastAsia" w:cs="宋体"/>
          <w:sz w:val="21"/>
          <w:szCs w:val="21"/>
        </w:rPr>
        <w:t>3.9评标结果</w:t>
      </w:r>
      <w:bookmarkEnd w:id="50"/>
      <w:bookmarkEnd w:id="51"/>
      <w:bookmarkEnd w:id="52"/>
      <w:bookmarkEnd w:id="53"/>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3.9.1除第二章“投标人须知”前附表授权直接确定中标人外，评标委员会按照综合得分由高到低的顺序推荐中标候选人，并标明排序。</w:t>
      </w:r>
    </w:p>
    <w:p>
      <w:pPr>
        <w:spacing w:line="360" w:lineRule="auto"/>
        <w:ind w:firstLine="420" w:firstLineChars="200"/>
        <w:jc w:val="left"/>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3.9.2评标委员会完成评标后，应向招标人提交书面评标报告。</w:t>
      </w:r>
    </w:p>
    <w:sectPr>
      <w:pgSz w:w="11900" w:h="16843"/>
      <w:pgMar w:top="1083" w:right="1440" w:bottom="1083" w:left="1440" w:header="850" w:footer="850" w:gutter="0"/>
      <w:cols w:space="0" w:num="1"/>
      <w:titlePg/>
      <w:rtlGutter w:val="0"/>
      <w:docGrid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E4211F"/>
    <w:multiLevelType w:val="singleLevel"/>
    <w:tmpl w:val="F3E4211F"/>
    <w:lvl w:ilvl="0" w:tentative="0">
      <w:start w:val="3"/>
      <w:numFmt w:val="chineseCounting"/>
      <w:suff w:val="nothing"/>
      <w:lvlText w:val="%1、"/>
      <w:lvlJc w:val="left"/>
      <w:rPr>
        <w:rFonts w:hint="eastAsia"/>
      </w:rPr>
    </w:lvl>
  </w:abstractNum>
  <w:abstractNum w:abstractNumId="1">
    <w:nsid w:val="00000003"/>
    <w:multiLevelType w:val="singleLevel"/>
    <w:tmpl w:val="00000003"/>
    <w:lvl w:ilvl="0" w:tentative="0">
      <w:start w:val="1"/>
      <w:numFmt w:val="decimal"/>
      <w:suff w:val="nothing"/>
      <w:lvlText w:val="（%1）"/>
      <w:lvlJc w:val="left"/>
    </w:lvl>
  </w:abstractNum>
  <w:abstractNum w:abstractNumId="2">
    <w:nsid w:val="00000004"/>
    <w:multiLevelType w:val="singleLevel"/>
    <w:tmpl w:val="00000004"/>
    <w:lvl w:ilvl="0" w:tentative="0">
      <w:start w:val="1"/>
      <w:numFmt w:val="decimal"/>
      <w:lvlText w:val="%1."/>
      <w:lvlJc w:val="left"/>
      <w:pPr>
        <w:tabs>
          <w:tab w:val="left" w:pos="312"/>
        </w:tabs>
      </w:pPr>
    </w:lvl>
  </w:abstractNum>
  <w:abstractNum w:abstractNumId="3">
    <w:nsid w:val="00000005"/>
    <w:multiLevelType w:val="singleLevel"/>
    <w:tmpl w:val="00000005"/>
    <w:lvl w:ilvl="0" w:tentative="0">
      <w:start w:val="1"/>
      <w:numFmt w:val="decimal"/>
      <w:lvlText w:val="(%1)"/>
      <w:lvlJc w:val="left"/>
      <w:pPr>
        <w:ind w:left="425" w:hanging="425"/>
      </w:pPr>
      <w:rPr>
        <w:rFonts w:hint="default"/>
      </w:rPr>
    </w:lvl>
  </w:abstractNum>
  <w:abstractNum w:abstractNumId="4">
    <w:nsid w:val="00000008"/>
    <w:multiLevelType w:val="singleLevel"/>
    <w:tmpl w:val="00000008"/>
    <w:lvl w:ilvl="0" w:tentative="0">
      <w:start w:val="1"/>
      <w:numFmt w:val="decimal"/>
      <w:suff w:val="nothing"/>
      <w:lvlText w:val="%1．"/>
      <w:lvlJc w:val="left"/>
      <w:pPr>
        <w:ind w:left="0" w:firstLine="400"/>
      </w:pPr>
      <w:rPr>
        <w:rFonts w:hint="default"/>
      </w:rPr>
    </w:lvl>
  </w:abstractNum>
  <w:abstractNum w:abstractNumId="5">
    <w:nsid w:val="0000000A"/>
    <w:multiLevelType w:val="singleLevel"/>
    <w:tmpl w:val="0000000A"/>
    <w:lvl w:ilvl="0" w:tentative="0">
      <w:start w:val="1"/>
      <w:numFmt w:val="decimal"/>
      <w:suff w:val="nothing"/>
      <w:lvlText w:val="（%1）"/>
      <w:lvlJc w:val="left"/>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0"/>
  <w:bordersDoNotSurroundFooter w:val="0"/>
  <w:documentProtection w:enforcement="0"/>
  <w:defaultTabStop w:val="420"/>
  <w:drawingGridHorizontalSpacing w:val="220"/>
  <w:drawingGridVerticalSpacing w:val="99999990"/>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0MGEwZDUzMjFlZmU0NmYxZTg1MDIzNDllMGY3OTQifQ=="/>
  </w:docVars>
  <w:rsids>
    <w:rsidRoot w:val="406777B4"/>
    <w:rsid w:val="16B72F97"/>
    <w:rsid w:val="406777B4"/>
    <w:rsid w:val="409758DB"/>
    <w:rsid w:val="43BA3952"/>
    <w:rsid w:val="5BEF470F"/>
    <w:rsid w:val="616D6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en-US" w:eastAsia="zh-CN" w:bidi="ar-SA"/>
    </w:rPr>
  </w:style>
  <w:style w:type="paragraph" w:styleId="3">
    <w:name w:val="heading 1"/>
    <w:basedOn w:val="1"/>
    <w:next w:val="1"/>
    <w:qFormat/>
    <w:uiPriority w:val="9"/>
    <w:pPr>
      <w:ind w:left="1026" w:right="1076"/>
      <w:jc w:val="center"/>
      <w:outlineLvl w:val="0"/>
    </w:pPr>
    <w:rPr>
      <w:sz w:val="72"/>
      <w:szCs w:val="72"/>
    </w:rPr>
  </w:style>
  <w:style w:type="paragraph" w:styleId="2">
    <w:name w:val="heading 2"/>
    <w:basedOn w:val="1"/>
    <w:next w:val="1"/>
    <w:unhideWhenUsed/>
    <w:qFormat/>
    <w:uiPriority w:val="0"/>
    <w:pPr>
      <w:spacing w:before="22"/>
      <w:ind w:left="1144" w:right="1155"/>
      <w:jc w:val="center"/>
      <w:outlineLvl w:val="1"/>
    </w:pPr>
    <w:rPr>
      <w:sz w:val="44"/>
      <w:szCs w:val="44"/>
    </w:rPr>
  </w:style>
  <w:style w:type="paragraph" w:styleId="4">
    <w:name w:val="heading 4"/>
    <w:basedOn w:val="1"/>
    <w:next w:val="1"/>
    <w:unhideWhenUsed/>
    <w:qFormat/>
    <w:uiPriority w:val="9"/>
    <w:pPr>
      <w:spacing w:before="43"/>
      <w:ind w:right="10"/>
      <w:jc w:val="center"/>
      <w:outlineLvl w:val="3"/>
    </w:pPr>
    <w:rPr>
      <w:sz w:val="30"/>
      <w:szCs w:val="30"/>
    </w:rPr>
  </w:style>
  <w:style w:type="paragraph" w:styleId="5">
    <w:name w:val="heading 8"/>
    <w:basedOn w:val="1"/>
    <w:next w:val="1"/>
    <w:qFormat/>
    <w:uiPriority w:val="1"/>
    <w:pPr>
      <w:spacing w:before="1"/>
      <w:ind w:left="440"/>
      <w:outlineLvl w:val="7"/>
    </w:pPr>
    <w:rPr>
      <w:sz w:val="24"/>
      <w:szCs w:val="24"/>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eastAsia="宋体" w:cs="Times New Roman"/>
    </w:rPr>
  </w:style>
  <w:style w:type="paragraph" w:styleId="7">
    <w:name w:val="annotation text"/>
    <w:basedOn w:val="1"/>
    <w:qFormat/>
    <w:uiPriority w:val="0"/>
    <w:pPr>
      <w:jc w:val="left"/>
    </w:pPr>
    <w:rPr>
      <w:rFonts w:ascii="Times New Roman" w:hAnsi="Times New Roman" w:eastAsia="宋体" w:cs="Times New Roman"/>
    </w:rPr>
  </w:style>
  <w:style w:type="paragraph" w:styleId="8">
    <w:name w:val="Body Text"/>
    <w:basedOn w:val="1"/>
    <w:next w:val="1"/>
    <w:qFormat/>
    <w:uiPriority w:val="1"/>
    <w:rPr>
      <w:sz w:val="21"/>
      <w:szCs w:val="21"/>
    </w:rPr>
  </w:style>
  <w:style w:type="paragraph" w:styleId="9">
    <w:name w:val="Body Text Indent"/>
    <w:basedOn w:val="1"/>
    <w:qFormat/>
    <w:uiPriority w:val="0"/>
    <w:pPr>
      <w:ind w:firstLine="648"/>
    </w:pPr>
    <w:rPr>
      <w:sz w:val="32"/>
      <w:szCs w:val="20"/>
    </w:rPr>
  </w:style>
  <w:style w:type="paragraph" w:styleId="10">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1">
    <w:name w:val="Title"/>
    <w:basedOn w:val="1"/>
    <w:next w:val="1"/>
    <w:qFormat/>
    <w:uiPriority w:val="0"/>
    <w:pPr>
      <w:adjustRightInd w:val="0"/>
      <w:spacing w:before="240" w:beforeLines="0" w:after="60" w:afterLines="0" w:line="420" w:lineRule="atLeast"/>
      <w:jc w:val="center"/>
      <w:textAlignment w:val="baseline"/>
      <w:outlineLvl w:val="0"/>
    </w:pPr>
    <w:rPr>
      <w:rFonts w:ascii="Arial" w:hAnsi="Arial" w:eastAsia="宋体" w:cs="Times New Roman"/>
      <w:b/>
      <w:kern w:val="0"/>
      <w:sz w:val="32"/>
      <w:szCs w:val="20"/>
    </w:rPr>
  </w:style>
  <w:style w:type="paragraph" w:styleId="12">
    <w:name w:val="Body Text First Indent 2"/>
    <w:basedOn w:val="9"/>
    <w:next w:val="1"/>
    <w:qFormat/>
    <w:uiPriority w:val="0"/>
    <w:pPr>
      <w:ind w:firstLine="420" w:firstLineChars="200"/>
    </w:pPr>
  </w:style>
  <w:style w:type="character" w:styleId="15">
    <w:name w:val="Hyperlink"/>
    <w:basedOn w:val="14"/>
    <w:unhideWhenUsed/>
    <w:qFormat/>
    <w:uiPriority w:val="99"/>
    <w:rPr>
      <w:color w:val="0563C1" w:themeColor="hyperlink"/>
      <w:u w:val="single"/>
      <w14:textFill>
        <w14:solidFill>
          <w14:schemeClr w14:val="hlink"/>
        </w14:solidFill>
      </w14:textFill>
    </w:rPr>
  </w:style>
  <w:style w:type="paragraph" w:customStyle="1" w:styleId="16">
    <w:name w:val="Table Paragraph"/>
    <w:basedOn w:val="1"/>
    <w:qFormat/>
    <w:uiPriority w:val="1"/>
  </w:style>
  <w:style w:type="table" w:customStyle="1" w:styleId="17">
    <w:name w:val="Table Normal"/>
    <w:semiHidden/>
    <w:unhideWhenUsed/>
    <w:qFormat/>
    <w:uiPriority w:val="2"/>
    <w:tblPr>
      <w:tblCellMar>
        <w:top w:w="0" w:type="dxa"/>
        <w:left w:w="0" w:type="dxa"/>
        <w:bottom w:w="0" w:type="dxa"/>
        <w:right w:w="0" w:type="dxa"/>
      </w:tblCellMar>
    </w:tblPr>
  </w:style>
  <w:style w:type="paragraph" w:styleId="18">
    <w:name w:val="List Paragraph"/>
    <w:basedOn w:val="1"/>
    <w:qFormat/>
    <w:uiPriority w:val="1"/>
    <w:pPr>
      <w:ind w:left="220" w:firstLine="420"/>
    </w:pPr>
  </w:style>
  <w:style w:type="paragraph" w:customStyle="1" w:styleId="19">
    <w:name w:val="首行缩进"/>
    <w:basedOn w:val="1"/>
    <w:qFormat/>
    <w:uiPriority w:val="0"/>
    <w:pPr>
      <w:spacing w:line="360" w:lineRule="auto"/>
      <w:ind w:left="210" w:leftChars="100" w:firstLine="420" w:firstLineChars="200"/>
    </w:pPr>
  </w:style>
  <w:style w:type="paragraph" w:customStyle="1" w:styleId="20">
    <w:name w:val="最 中间标题"/>
    <w:basedOn w:val="1"/>
    <w:link w:val="22"/>
    <w:qFormat/>
    <w:uiPriority w:val="0"/>
    <w:pPr>
      <w:spacing w:before="100" w:beforeLines="100" w:after="100" w:afterLines="100"/>
      <w:jc w:val="center"/>
    </w:pPr>
    <w:rPr>
      <w:rFonts w:ascii="宋体" w:hAnsi="宋体" w:eastAsia="宋体" w:cs="Times New Roman"/>
      <w:b/>
      <w:bCs/>
      <w:kern w:val="0"/>
      <w:sz w:val="30"/>
      <w:szCs w:val="30"/>
    </w:rPr>
  </w:style>
  <w:style w:type="paragraph" w:customStyle="1" w:styleId="2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2">
    <w:name w:val="最 中间标题 Char"/>
    <w:link w:val="20"/>
    <w:qFormat/>
    <w:uiPriority w:val="0"/>
    <w:rPr>
      <w:rFonts w:ascii="宋体" w:hAnsi="宋体" w:eastAsia="宋体" w:cs="Times New Roman"/>
      <w:b/>
      <w:bCs/>
      <w:kern w:val="0"/>
      <w:sz w:val="30"/>
      <w:szCs w:val="30"/>
    </w:rPr>
  </w:style>
  <w:style w:type="paragraph" w:customStyle="1" w:styleId="23">
    <w:name w:val="表中"/>
    <w:basedOn w:val="1"/>
    <w:qFormat/>
    <w:uiPriority w:val="0"/>
    <w:pPr>
      <w:adjustRightInd w:val="0"/>
      <w:snapToGrid w:val="0"/>
      <w:spacing w:line="420" w:lineRule="atLeast"/>
      <w:jc w:val="center"/>
      <w:textAlignment w:val="baseline"/>
    </w:pPr>
    <w:rPr>
      <w:rFonts w:ascii="Times New Roman" w:hAnsi="Times New Roman" w:eastAsia="宋体" w:cs="Times New Roman"/>
      <w:snapToGrid w:val="0"/>
      <w:kern w:val="0"/>
      <w:szCs w:val="20"/>
    </w:rPr>
  </w:style>
  <w:style w:type="paragraph" w:customStyle="1" w:styleId="24">
    <w:name w:val="Normal_0"/>
    <w:qFormat/>
    <w:uiPriority w:val="0"/>
    <w:rPr>
      <w:rFonts w:ascii="Times New Roman" w:hAnsi="Times New Roman" w:eastAsia="Times New Roman" w:cs="Times New Roman"/>
      <w:sz w:val="24"/>
      <w:szCs w:val="24"/>
      <w:lang w:val="en-US" w:eastAsia="zh-CN" w:bidi="ar-SA"/>
    </w:rPr>
  </w:style>
  <w:style w:type="character" w:customStyle="1" w:styleId="25">
    <w:name w:val="左侧题目 Char"/>
    <w:link w:val="26"/>
    <w:qFormat/>
    <w:uiPriority w:val="0"/>
    <w:rPr>
      <w:rFonts w:ascii="宋体" w:hAnsi="宋体" w:eastAsia="宋体" w:cs="Times New Roman"/>
      <w:b/>
      <w:bCs/>
      <w:kern w:val="0"/>
      <w:sz w:val="28"/>
      <w:szCs w:val="28"/>
    </w:rPr>
  </w:style>
  <w:style w:type="paragraph" w:customStyle="1" w:styleId="26">
    <w:name w:val="左侧题目"/>
    <w:basedOn w:val="1"/>
    <w:link w:val="25"/>
    <w:qFormat/>
    <w:uiPriority w:val="0"/>
    <w:pPr>
      <w:spacing w:before="50" w:beforeLines="50" w:after="50" w:afterLines="50" w:line="240" w:lineRule="auto"/>
      <w:ind w:firstLine="0" w:firstLineChars="0"/>
      <w:jc w:val="left"/>
    </w:pPr>
    <w:rPr>
      <w:rFonts w:ascii="宋体" w:hAnsi="宋体" w:eastAsia="宋体" w:cs="Times New Roman"/>
      <w:b/>
      <w:bCs/>
      <w:kern w:val="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2023-03-15T09:39:00Z</dcterms:created>
  <dc:creator>　</dc:creator>
  <cp:lastModifiedBy>　</cp:lastModifiedBy>
  <dcterms:modified xsi:type="dcterms:W3CDTF">2023-04-27T07:08:13Z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71454BB53B46439C89B45F8AFE841F8F</vt:lpwstr>
  </property>
</Properties>
</file>