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color w:val="000000"/>
          <w:sz w:val="44"/>
          <w:szCs w:val="44"/>
          <w:highlight w:val="none"/>
        </w:rPr>
        <w:t>宁夏公路管理中心银川分中心2023年</w:t>
      </w:r>
      <w:r>
        <w:rPr>
          <w:rFonts w:hint="eastAsia" w:ascii="方正小标宋简体" w:hAnsi="方正小标宋简体" w:eastAsia="方正小标宋简体" w:cs="方正小标宋简体"/>
          <w:b w:val="0"/>
          <w:bCs w:val="0"/>
          <w:color w:val="000000"/>
          <w:sz w:val="44"/>
          <w:szCs w:val="44"/>
          <w:highlight w:val="none"/>
          <w:lang w:eastAsia="zh-CN"/>
        </w:rPr>
        <w:t>公路</w:t>
      </w:r>
      <w:r>
        <w:rPr>
          <w:rFonts w:hint="eastAsia" w:ascii="方正小标宋简体" w:hAnsi="方正小标宋简体" w:eastAsia="方正小标宋简体" w:cs="方正小标宋简体"/>
          <w:b w:val="0"/>
          <w:bCs w:val="0"/>
          <w:color w:val="000000"/>
          <w:sz w:val="44"/>
          <w:szCs w:val="44"/>
          <w:highlight w:val="none"/>
        </w:rPr>
        <w:t>日常维修项目</w:t>
      </w:r>
      <w:r>
        <w:rPr>
          <w:rFonts w:hint="eastAsia" w:ascii="方正小标宋简体" w:hAnsi="方正小标宋简体" w:eastAsia="方正小标宋简体" w:cs="方正小标宋简体"/>
          <w:b w:val="0"/>
          <w:bCs w:val="0"/>
          <w:sz w:val="44"/>
          <w:szCs w:val="44"/>
          <w:lang w:val="en-US" w:eastAsia="zh-CN"/>
        </w:rPr>
        <w:t>招标关键内容</w:t>
      </w:r>
    </w:p>
    <w:p>
      <w:pPr>
        <w:pStyle w:val="2"/>
        <w:rPr>
          <w:rFonts w:hint="eastAsia"/>
          <w:lang w:val="en-US" w:eastAsia="zh-CN"/>
        </w:rPr>
      </w:pPr>
    </w:p>
    <w:p>
      <w:pPr>
        <w:widowControl/>
        <w:spacing w:line="360" w:lineRule="auto"/>
        <w:ind w:left="285" w:firstLine="482" w:firstLineChars="200"/>
        <w:rPr>
          <w:rFonts w:hint="eastAsia" w:eastAsia="宋体"/>
          <w:b/>
          <w:bCs/>
          <w:sz w:val="24"/>
          <w:szCs w:val="24"/>
          <w:lang w:val="en-US" w:eastAsia="zh-CN"/>
        </w:rPr>
      </w:pPr>
      <w:r>
        <w:rPr>
          <w:rFonts w:hint="eastAsia"/>
          <w:b/>
          <w:bCs/>
          <w:sz w:val="24"/>
          <w:szCs w:val="24"/>
        </w:rPr>
        <w:t>一、</w:t>
      </w:r>
      <w:r>
        <w:rPr>
          <w:rFonts w:hint="eastAsia"/>
          <w:b/>
          <w:bCs/>
          <w:sz w:val="24"/>
          <w:szCs w:val="24"/>
          <w:lang w:val="en-US" w:eastAsia="zh-CN"/>
        </w:rPr>
        <w:t>项目概况</w:t>
      </w:r>
    </w:p>
    <w:p>
      <w:pPr>
        <w:widowControl/>
        <w:spacing w:line="360" w:lineRule="auto"/>
        <w:ind w:firstLine="420" w:firstLineChars="200"/>
        <w:rPr>
          <w:rFonts w:hint="eastAsia"/>
          <w:b w:val="0"/>
          <w:bCs w:val="0"/>
          <w:sz w:val="21"/>
          <w:szCs w:val="21"/>
          <w:lang w:val="en-US" w:eastAsia="zh-CN"/>
        </w:rPr>
      </w:pPr>
      <w:r>
        <w:rPr>
          <w:rFonts w:hint="eastAsia"/>
          <w:b w:val="0"/>
          <w:bCs w:val="0"/>
          <w:sz w:val="21"/>
          <w:szCs w:val="21"/>
          <w:lang w:val="en-US" w:eastAsia="zh-CN"/>
        </w:rPr>
        <w:t>宁夏公路管理中心银川分中心2023年公路日常维修项目</w:t>
      </w:r>
      <w:r>
        <w:rPr>
          <w:rFonts w:hint="eastAsia"/>
          <w:sz w:val="21"/>
          <w:szCs w:val="21"/>
          <w:lang w:val="en-US" w:eastAsia="zh-CN"/>
        </w:rPr>
        <w:t>位于银川市境内，本次招标共划分为一个标段，具体工程概况如下：</w:t>
      </w:r>
      <w:r>
        <w:rPr>
          <w:rFonts w:hint="eastAsia"/>
          <w:b w:val="0"/>
          <w:bCs w:val="0"/>
          <w:sz w:val="21"/>
          <w:szCs w:val="21"/>
          <w:lang w:val="en-US" w:eastAsia="zh-CN"/>
        </w:rPr>
        <w:t>共包括三项，分别为路基、路面、桥梁局部病害维修。主要工程内容：铣刨重铺4cm厚AC-13C细粒式厂拌热再生沥青混凝土上面层（RAP料掺量30%）10938㎡，铣刨重铺3cm厚AC-13C细粒式厂拌热再生沥青混凝土上面层（RAP料掺量30%）22932㎡，铣刨重铺5cm厚AC-20C中粒式厂拌热再生沥青混凝土下面层（RAP料掺量30%）410㎡，铣刨重铺6cm厚AC-16C中粒式厂拌热再生沥青混凝土上面层（RAP料掺量30%）996㎡，铣刨重铺3cm厚AC-13C细粒式SBS改性沥青混凝土上面层14965㎡，铣刨重铺4cm厚AC-13C细粒式沥青混凝土上面层22795㎡，铣刨重铺6cm厚AC-20C中粒式沥青混凝土下面层8858㎡，铣刨重铺4cm厚AC-13C细粒式SBS改性沥青混凝土上面层25000㎡，铣刨重铺4cm厚AC-16C中粒式沥青混凝土下面层2507㎡，铣刨重铺8cm厚AC-20C中粒式沥青混凝土下面层5269㎡，铣刨重铺6cm厚AC-16C中粒式沥青混凝土下面层403㎡，铣刨重铺5cm厚AC-16C中粒式沥青混凝土下面层324㎡，挖除重新回填18cm水泥稳定碎石基层5562㎡，新做预制混凝土拦水带11919m，急流槽1343.5m，维修处治95座桥梁局部病害。</w:t>
      </w:r>
    </w:p>
    <w:p>
      <w:pPr>
        <w:widowControl/>
        <w:spacing w:line="360" w:lineRule="auto"/>
        <w:ind w:firstLine="482" w:firstLineChars="200"/>
        <w:rPr>
          <w:rFonts w:hint="eastAsia"/>
          <w:b/>
          <w:bCs/>
          <w:sz w:val="24"/>
          <w:szCs w:val="24"/>
          <w:lang w:val="en-US" w:eastAsia="zh-CN"/>
        </w:rPr>
      </w:pPr>
      <w:r>
        <w:rPr>
          <w:rFonts w:hint="eastAsia"/>
          <w:b/>
          <w:bCs/>
          <w:sz w:val="24"/>
          <w:szCs w:val="24"/>
          <w:lang w:val="en-US" w:eastAsia="zh-CN"/>
        </w:rPr>
        <w:t xml:space="preserve">二、对投标人的全部资格条件要求 </w:t>
      </w:r>
    </w:p>
    <w:p>
      <w:pPr>
        <w:autoSpaceDE/>
        <w:autoSpaceDN/>
        <w:spacing w:line="360" w:lineRule="auto"/>
        <w:ind w:firstLine="420" w:firstLineChars="200"/>
        <w:jc w:val="left"/>
        <w:rPr>
          <w:rFonts w:hint="eastAsia"/>
          <w:b/>
          <w:bCs/>
          <w:sz w:val="21"/>
          <w:szCs w:val="21"/>
          <w:lang w:val="en-US" w:eastAsia="zh-CN"/>
        </w:rPr>
      </w:pPr>
      <w:r>
        <w:rPr>
          <w:rFonts w:hint="eastAsia"/>
          <w:sz w:val="21"/>
          <w:szCs w:val="21"/>
          <w:lang w:val="en-US" w:eastAsia="zh-CN"/>
        </w:rPr>
        <w:t xml:space="preserve">详见招标公告。 </w:t>
      </w:r>
    </w:p>
    <w:p>
      <w:pPr>
        <w:keepNext w:val="0"/>
        <w:keepLines w:val="0"/>
        <w:widowControl/>
        <w:suppressLineNumbers w:val="0"/>
        <w:spacing w:line="360" w:lineRule="auto"/>
        <w:ind w:firstLine="562" w:firstLineChars="200"/>
        <w:jc w:val="left"/>
      </w:pPr>
      <w:r>
        <w:rPr>
          <w:rFonts w:hint="eastAsia" w:cs="宋体"/>
          <w:b/>
          <w:bCs/>
          <w:color w:val="000000"/>
          <w:kern w:val="0"/>
          <w:sz w:val="28"/>
          <w:szCs w:val="28"/>
          <w:lang w:val="en-US" w:eastAsia="zh-CN" w:bidi="ar"/>
        </w:rPr>
        <w:t>三</w:t>
      </w:r>
      <w:r>
        <w:rPr>
          <w:rFonts w:hint="eastAsia" w:ascii="宋体" w:hAnsi="宋体" w:eastAsia="宋体" w:cs="宋体"/>
          <w:b/>
          <w:bCs/>
          <w:color w:val="000000"/>
          <w:kern w:val="0"/>
          <w:sz w:val="28"/>
          <w:szCs w:val="28"/>
          <w:lang w:val="en-US" w:eastAsia="zh-CN" w:bidi="ar"/>
        </w:rPr>
        <w:t>、资格审查办法</w:t>
      </w:r>
    </w:p>
    <w:p>
      <w:pPr>
        <w:pStyle w:val="6"/>
        <w:tabs>
          <w:tab w:val="left" w:pos="1276"/>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附录1</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资格审查条件(资质最低条件)</w:t>
      </w:r>
    </w:p>
    <w:p>
      <w:pPr>
        <w:pStyle w:val="8"/>
        <w:spacing w:before="5"/>
        <w:rPr>
          <w:rFonts w:hint="eastAsia" w:ascii="宋体" w:hAnsi="宋体" w:eastAsia="宋体" w:cs="宋体"/>
          <w:color w:val="000000"/>
          <w:sz w:val="21"/>
          <w:szCs w:val="21"/>
          <w:highlight w:val="none"/>
        </w:rPr>
      </w:pPr>
    </w:p>
    <w:tbl>
      <w:tblPr>
        <w:tblStyle w:val="11"/>
        <w:tblW w:w="9293" w:type="dxa"/>
        <w:tblInd w:w="35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929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706" w:hRule="atLeast"/>
        </w:trPr>
        <w:tc>
          <w:tcPr>
            <w:tcW w:w="9293" w:type="dxa"/>
            <w:tcBorders>
              <w:bottom w:val="single" w:color="000000" w:sz="6" w:space="0"/>
            </w:tcBorders>
            <w:noWrap w:val="0"/>
            <w:vAlign w:val="top"/>
          </w:tcPr>
          <w:p>
            <w:pPr>
              <w:pStyle w:val="12"/>
              <w:spacing w:before="117"/>
              <w:ind w:left="3014" w:right="2979"/>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2694" w:hRule="atLeast"/>
        </w:trPr>
        <w:tc>
          <w:tcPr>
            <w:tcW w:w="9293" w:type="dxa"/>
            <w:tcBorders>
              <w:top w:val="single" w:color="000000" w:sz="6" w:space="0"/>
              <w:bottom w:val="single" w:color="000000" w:sz="6" w:space="0"/>
            </w:tcBorders>
            <w:noWrap w:val="0"/>
            <w:vAlign w:val="top"/>
          </w:tcPr>
          <w:p>
            <w:pPr>
              <w:numPr>
                <w:ilvl w:val="0"/>
                <w:numId w:val="0"/>
              </w:numPr>
              <w:snapToGrid w:val="0"/>
              <w:spacing w:line="360" w:lineRule="auto"/>
              <w:rPr>
                <w:rFonts w:hint="eastAsia"/>
                <w:color w:val="000000"/>
                <w:sz w:val="21"/>
                <w:szCs w:val="21"/>
                <w:lang w:val="en-US" w:eastAsia="zh-CN"/>
              </w:rPr>
            </w:pPr>
            <w:r>
              <w:rPr>
                <w:rFonts w:hint="eastAsia"/>
                <w:sz w:val="21"/>
                <w:szCs w:val="21"/>
                <w:lang w:val="en-US" w:eastAsia="zh-CN"/>
              </w:rPr>
              <w:t>1.投标人具有法人或其他组织资格；持有工商行政管理部门核发的有效企业营业执照或事业单位法人证书或</w:t>
            </w:r>
            <w:r>
              <w:rPr>
                <w:rFonts w:hint="eastAsia"/>
                <w:color w:val="000000"/>
                <w:sz w:val="21"/>
                <w:szCs w:val="21"/>
                <w:lang w:val="en-US" w:eastAsia="zh-CN"/>
              </w:rPr>
              <w:t>社会团体法人登记证书；</w:t>
            </w:r>
          </w:p>
          <w:p>
            <w:pPr>
              <w:numPr>
                <w:ilvl w:val="0"/>
                <w:numId w:val="0"/>
              </w:numPr>
              <w:snapToGrid w:val="0"/>
              <w:spacing w:line="360" w:lineRule="auto"/>
              <w:rPr>
                <w:rFonts w:hint="eastAsia" w:ascii="宋体" w:hAnsi="宋体" w:eastAsia="宋体" w:cs="宋体"/>
                <w:color w:val="000000"/>
                <w:sz w:val="21"/>
                <w:szCs w:val="21"/>
                <w:highlight w:val="none"/>
              </w:rPr>
            </w:pPr>
            <w:r>
              <w:rPr>
                <w:rFonts w:hint="eastAsia"/>
                <w:color w:val="000000"/>
                <w:sz w:val="21"/>
                <w:szCs w:val="21"/>
                <w:lang w:val="en-US" w:eastAsia="zh-CN"/>
              </w:rPr>
              <w:t>2.具备交通运输主管部门颁发的路基路面养护甲级资质和桥梁养护乙级资质或具备三类甲级和三类乙级资质证书且在有效期内，具备建设主管部门颁发的有效安全生产许可证，并在人员、设备、资金等方面具有相应的施工能力。</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6272" w:hRule="atLeast"/>
        </w:trPr>
        <w:tc>
          <w:tcPr>
            <w:tcW w:w="9293" w:type="dxa"/>
            <w:tcBorders>
              <w:top w:val="single" w:color="000000" w:sz="6" w:space="0"/>
            </w:tcBorders>
            <w:noWrap w:val="0"/>
            <w:vAlign w:val="top"/>
          </w:tcPr>
          <w:p>
            <w:pPr>
              <w:pStyle w:val="12"/>
              <w:tabs>
                <w:tab w:val="left" w:pos="1054"/>
              </w:tabs>
              <w:spacing w:before="139" w:line="364" w:lineRule="auto"/>
              <w:ind w:right="77"/>
              <w:jc w:val="both"/>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注：修改补充投标人须知正文第 3.5.1 项：</w:t>
            </w:r>
          </w:p>
          <w:p>
            <w:pPr>
              <w:pStyle w:val="12"/>
              <w:tabs>
                <w:tab w:val="left" w:pos="1054"/>
              </w:tabs>
              <w:spacing w:before="139" w:line="364" w:lineRule="auto"/>
              <w:ind w:right="77"/>
              <w:jc w:val="both"/>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1）“投标人基本情况表”应附有效企业营业执照副本或事业单位法人证书或社会团体法人登记证书、施工资质证书副本、安全生产许可证副本、基本账户开户银行提供的开户或账户信息证明彩色扫描件，投标人在交通运输部“全国公路建设市场信用信息管理系统”公路工程施工资质企业名录中的网页截图。</w:t>
            </w:r>
          </w:p>
          <w:p>
            <w:pPr>
              <w:pStyle w:val="12"/>
              <w:tabs>
                <w:tab w:val="left" w:pos="1062"/>
              </w:tabs>
              <w:spacing w:before="3" w:line="364" w:lineRule="auto"/>
              <w:ind w:right="77"/>
              <w:jc w:val="both"/>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2）营业执照副本或事业单位法人证书或社会团体法人登记证书、施工资质证书副本、安全生产许可证副本、基本账户开户银行提供的开户或账户信息证明的彩色扫描件应提供全本（证书封面、封底、空白页除外），应包括投标人名称、投标人其他相关信息、须发机构名称、投标人信息变更情况等关键页在内。</w:t>
            </w:r>
          </w:p>
          <w:p>
            <w:pPr>
              <w:pStyle w:val="12"/>
              <w:tabs>
                <w:tab w:val="left" w:pos="1062"/>
              </w:tabs>
              <w:spacing w:before="3" w:line="364" w:lineRule="auto"/>
              <w:ind w:right="77"/>
              <w:jc w:val="both"/>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（3）对于法人发生重组或变更的投标人，应在投标文件中提供附有法人重组或变更时相关部门的合法批件、变更时的企业营业执照和资质证书的变更记录彩色扫描件。</w:t>
            </w:r>
          </w:p>
          <w:p>
            <w:pPr>
              <w:pStyle w:val="12"/>
              <w:tabs>
                <w:tab w:val="left" w:pos="1062"/>
              </w:tabs>
              <w:spacing w:before="3" w:line="364" w:lineRule="auto"/>
              <w:ind w:right="77"/>
              <w:jc w:val="both"/>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4）根据《交通运输部关于取消一批证明事项的决定》（交法规[2020]1号）文件规定，投标人无须提供在国家企业信用信息公示系统中基础信息（体现股东及出资详细信息）的网页截图或由法定的社会验资机构出具的验资报告或注册地工商部门出具的股东出资情况证明彩色扫描件。</w:t>
            </w:r>
          </w:p>
          <w:p>
            <w:pPr>
              <w:pStyle w:val="12"/>
              <w:tabs>
                <w:tab w:val="left" w:pos="1062"/>
              </w:tabs>
              <w:spacing w:before="3" w:line="364" w:lineRule="auto"/>
              <w:ind w:right="77"/>
              <w:jc w:val="both"/>
              <w:rPr>
                <w:rFonts w:hint="eastAsia" w:ascii="宋体" w:hAnsi="宋体" w:eastAsia="宋体" w:cs="宋体"/>
                <w:color w:val="000000"/>
                <w:w w:val="95"/>
                <w:sz w:val="21"/>
                <w:szCs w:val="21"/>
                <w:highlight w:val="none"/>
              </w:rPr>
            </w:pPr>
            <w:r>
              <w:rPr>
                <w:rFonts w:hint="eastAsia" w:ascii="宋体" w:hAnsi="宋体" w:eastAsia="宋体" w:cs="宋体"/>
                <w:color w:val="000000"/>
                <w:sz w:val="21"/>
                <w:szCs w:val="21"/>
                <w:highlight w:val="none"/>
                <w:lang w:val="en-US" w:eastAsia="zh-CN" w:bidi="ar-SA"/>
              </w:rPr>
              <w:t>（5）招标文件中其他地方与此处不一致时，以此处为准。</w:t>
            </w:r>
          </w:p>
        </w:tc>
      </w:tr>
    </w:tbl>
    <w:p>
      <w:pPr>
        <w:pStyle w:val="8"/>
        <w:spacing w:before="7"/>
        <w:rPr>
          <w:rFonts w:hint="eastAsia" w:ascii="宋体" w:hAnsi="宋体" w:eastAsia="宋体" w:cs="宋体"/>
          <w:color w:val="000000"/>
          <w:sz w:val="21"/>
          <w:szCs w:val="21"/>
          <w:highlight w:val="none"/>
        </w:rPr>
      </w:pPr>
      <w:bookmarkStart w:id="0" w:name="附录2___资格审查条件(财务最低要求)"/>
      <w:bookmarkEnd w:id="0"/>
    </w:p>
    <w:p>
      <w:pPr>
        <w:pStyle w:val="6"/>
        <w:tabs>
          <w:tab w:val="left" w:pos="1684"/>
        </w:tabs>
        <w:ind w:left="407" w:right="0"/>
        <w:rPr>
          <w:rFonts w:hint="eastAsia" w:ascii="宋体" w:hAnsi="宋体" w:eastAsia="宋体" w:cs="宋体"/>
          <w:color w:val="000000"/>
          <w:sz w:val="21"/>
          <w:szCs w:val="21"/>
          <w:highlight w:val="none"/>
        </w:rPr>
      </w:pPr>
      <w:bookmarkStart w:id="1" w:name="附录3___资格审查条件(业绩最低要求)"/>
      <w:bookmarkEnd w:id="1"/>
      <w:r>
        <w:rPr>
          <w:rFonts w:hint="eastAsia" w:ascii="宋体" w:hAnsi="宋体" w:eastAsia="宋体" w:cs="宋体"/>
          <w:color w:val="000000"/>
          <w:sz w:val="21"/>
          <w:szCs w:val="21"/>
          <w:highlight w:val="none"/>
        </w:rPr>
        <w:t>附录2</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资格审查条件(财务最低要求)</w:t>
      </w:r>
    </w:p>
    <w:p>
      <w:pPr>
        <w:pStyle w:val="8"/>
        <w:spacing w:before="5"/>
        <w:rPr>
          <w:rFonts w:hint="eastAsia" w:ascii="宋体" w:hAnsi="宋体" w:eastAsia="宋体" w:cs="宋体"/>
          <w:color w:val="000000"/>
          <w:sz w:val="21"/>
          <w:szCs w:val="21"/>
          <w:highlight w:val="none"/>
        </w:rPr>
      </w:pPr>
    </w:p>
    <w:tbl>
      <w:tblPr>
        <w:tblStyle w:val="11"/>
        <w:tblW w:w="9318" w:type="dxa"/>
        <w:tblInd w:w="33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93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856" w:hRule="atLeast"/>
        </w:trPr>
        <w:tc>
          <w:tcPr>
            <w:tcW w:w="9318" w:type="dxa"/>
            <w:tcBorders>
              <w:bottom w:val="single" w:color="000000" w:sz="6" w:space="0"/>
            </w:tcBorders>
            <w:noWrap w:val="0"/>
            <w:vAlign w:val="top"/>
          </w:tcPr>
          <w:p>
            <w:pPr>
              <w:pStyle w:val="12"/>
              <w:spacing w:before="7"/>
              <w:rPr>
                <w:rFonts w:hint="eastAsia" w:ascii="宋体" w:hAnsi="宋体" w:eastAsia="宋体" w:cs="宋体"/>
                <w:color w:val="000000"/>
                <w:sz w:val="21"/>
                <w:szCs w:val="21"/>
                <w:highlight w:val="none"/>
              </w:rPr>
            </w:pPr>
          </w:p>
          <w:p>
            <w:pPr>
              <w:pStyle w:val="12"/>
              <w:ind w:left="3300" w:right="3265"/>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1"/>
                <w:sz w:val="21"/>
                <w:szCs w:val="21"/>
                <w:highlight w:val="none"/>
              </w:rPr>
              <w:t>财 务 要 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1229" w:hRule="atLeast"/>
        </w:trPr>
        <w:tc>
          <w:tcPr>
            <w:tcW w:w="9318" w:type="dxa"/>
            <w:tcBorders>
              <w:top w:val="single" w:color="000000" w:sz="6" w:space="0"/>
              <w:bottom w:val="single" w:color="000000" w:sz="6" w:space="0"/>
            </w:tcBorders>
            <w:noWrap w:val="0"/>
            <w:vAlign w:val="top"/>
          </w:tcPr>
          <w:p>
            <w:pPr>
              <w:pStyle w:val="12"/>
              <w:spacing w:line="360" w:lineRule="auto"/>
              <w:rPr>
                <w:rFonts w:hint="eastAsia" w:ascii="宋体" w:hAnsi="宋体" w:eastAsia="宋体" w:cs="宋体"/>
                <w:color w:val="000000"/>
                <w:sz w:val="21"/>
                <w:szCs w:val="21"/>
                <w:highlight w:val="none"/>
              </w:rPr>
            </w:pPr>
          </w:p>
          <w:p>
            <w:pPr>
              <w:pStyle w:val="12"/>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投标人在近 3 年（2019 年、2020 年、2021 年）每一年度末的流动资产与流动负债比均不小于 1；</w:t>
            </w:r>
          </w:p>
          <w:p>
            <w:pPr>
              <w:pStyle w:val="12"/>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投标人提供近 3 年（2019 年、2020 年、2021 年）经审计的财务报表。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3685" w:hRule="atLeast"/>
        </w:trPr>
        <w:tc>
          <w:tcPr>
            <w:tcW w:w="9318" w:type="dxa"/>
            <w:tcBorders>
              <w:top w:val="single" w:color="000000" w:sz="6" w:space="0"/>
              <w:bottom w:val="single" w:color="000000" w:sz="4" w:space="0"/>
            </w:tcBorders>
            <w:noWrap w:val="0"/>
            <w:vAlign w:val="top"/>
          </w:tcPr>
          <w:p>
            <w:pPr>
              <w:pStyle w:val="12"/>
              <w:numPr>
                <w:ilvl w:val="0"/>
                <w:numId w:val="0"/>
              </w:numPr>
              <w:tabs>
                <w:tab w:val="left" w:pos="738"/>
              </w:tabs>
              <w:spacing w:line="367" w:lineRule="auto"/>
              <w:ind w:right="78" w:rightChars="0"/>
              <w:jc w:val="both"/>
              <w:rPr>
                <w:rFonts w:hint="eastAsia" w:ascii="宋体" w:hAnsi="宋体" w:eastAsia="宋体" w:cs="宋体"/>
                <w:color w:val="000000"/>
                <w:spacing w:val="-5"/>
                <w:sz w:val="21"/>
                <w:szCs w:val="21"/>
                <w:highlight w:val="none"/>
              </w:rPr>
            </w:pPr>
            <w:r>
              <w:rPr>
                <w:rFonts w:hint="eastAsia" w:ascii="宋体" w:hAnsi="宋体" w:eastAsia="宋体" w:cs="宋体"/>
                <w:color w:val="000000"/>
                <w:spacing w:val="-5"/>
                <w:sz w:val="21"/>
                <w:szCs w:val="21"/>
                <w:highlight w:val="none"/>
              </w:rPr>
              <w:t>注：</w:t>
            </w:r>
          </w:p>
          <w:p>
            <w:pPr>
              <w:pStyle w:val="12"/>
              <w:numPr>
                <w:ilvl w:val="0"/>
                <w:numId w:val="0"/>
              </w:numPr>
              <w:tabs>
                <w:tab w:val="left" w:pos="738"/>
              </w:tabs>
              <w:spacing w:line="367" w:lineRule="auto"/>
              <w:ind w:right="78" w:rightChars="0"/>
              <w:jc w:val="both"/>
              <w:rPr>
                <w:rFonts w:hint="eastAsia" w:ascii="宋体" w:hAnsi="宋体" w:eastAsia="宋体" w:cs="宋体"/>
                <w:color w:val="000000"/>
                <w:spacing w:val="-5"/>
                <w:sz w:val="21"/>
                <w:szCs w:val="21"/>
                <w:highlight w:val="none"/>
              </w:rPr>
            </w:pPr>
            <w:r>
              <w:rPr>
                <w:rFonts w:hint="eastAsia" w:ascii="宋体" w:hAnsi="宋体" w:eastAsia="宋体" w:cs="宋体"/>
                <w:color w:val="000000"/>
                <w:spacing w:val="-5"/>
                <w:sz w:val="21"/>
                <w:szCs w:val="21"/>
                <w:highlight w:val="none"/>
                <w:lang w:eastAsia="zh-CN"/>
              </w:rPr>
              <w:t>（</w:t>
            </w:r>
            <w:r>
              <w:rPr>
                <w:rFonts w:hint="eastAsia" w:ascii="宋体" w:hAnsi="宋体" w:eastAsia="宋体" w:cs="宋体"/>
                <w:color w:val="000000"/>
                <w:spacing w:val="-5"/>
                <w:sz w:val="21"/>
                <w:szCs w:val="21"/>
                <w:highlight w:val="none"/>
                <w:lang w:val="en-US" w:eastAsia="zh-CN"/>
              </w:rPr>
              <w:t>1</w:t>
            </w:r>
            <w:r>
              <w:rPr>
                <w:rFonts w:hint="eastAsia" w:ascii="宋体" w:hAnsi="宋体" w:eastAsia="宋体" w:cs="宋体"/>
                <w:color w:val="000000"/>
                <w:spacing w:val="-5"/>
                <w:sz w:val="21"/>
                <w:szCs w:val="21"/>
                <w:highlight w:val="none"/>
                <w:lang w:eastAsia="zh-CN"/>
              </w:rPr>
              <w:t>）</w:t>
            </w:r>
            <w:r>
              <w:rPr>
                <w:rFonts w:hint="eastAsia" w:ascii="宋体" w:hAnsi="宋体" w:eastAsia="宋体" w:cs="宋体"/>
                <w:color w:val="000000"/>
                <w:spacing w:val="-5"/>
                <w:sz w:val="21"/>
                <w:szCs w:val="21"/>
                <w:highlight w:val="none"/>
              </w:rPr>
              <w:t>各标段投标人应在投标文件中附近3年经会计师事务所或审计机构审计的财务会计报表，包括资产负债表、现金流量表、利润表和财务情况说明书的彩色扫描件。</w:t>
            </w:r>
          </w:p>
          <w:p>
            <w:pPr>
              <w:pStyle w:val="12"/>
              <w:numPr>
                <w:ilvl w:val="0"/>
                <w:numId w:val="0"/>
              </w:numPr>
              <w:tabs>
                <w:tab w:val="left" w:pos="738"/>
              </w:tabs>
              <w:spacing w:line="367" w:lineRule="auto"/>
              <w:ind w:right="78" w:rightChars="0"/>
              <w:jc w:val="both"/>
              <w:rPr>
                <w:rFonts w:hint="eastAsia" w:ascii="宋体" w:hAnsi="宋体" w:eastAsia="宋体" w:cs="宋体"/>
                <w:color w:val="000000"/>
                <w:spacing w:val="-5"/>
                <w:sz w:val="21"/>
                <w:szCs w:val="21"/>
                <w:highlight w:val="none"/>
              </w:rPr>
            </w:pPr>
            <w:r>
              <w:rPr>
                <w:rFonts w:hint="eastAsia" w:ascii="宋体" w:hAnsi="宋体" w:eastAsia="宋体" w:cs="宋体"/>
                <w:color w:val="000000"/>
                <w:spacing w:val="-5"/>
                <w:sz w:val="21"/>
                <w:szCs w:val="21"/>
                <w:highlight w:val="none"/>
                <w:lang w:eastAsia="zh-CN"/>
              </w:rPr>
              <w:t>（</w:t>
            </w:r>
            <w:r>
              <w:rPr>
                <w:rFonts w:hint="eastAsia" w:ascii="宋体" w:hAnsi="宋体" w:eastAsia="宋体" w:cs="宋体"/>
                <w:color w:val="000000"/>
                <w:spacing w:val="-5"/>
                <w:sz w:val="21"/>
                <w:szCs w:val="21"/>
                <w:highlight w:val="none"/>
                <w:lang w:val="en-US" w:eastAsia="zh-CN"/>
              </w:rPr>
              <w:t>2</w:t>
            </w:r>
            <w:r>
              <w:rPr>
                <w:rFonts w:hint="eastAsia" w:ascii="宋体" w:hAnsi="宋体" w:eastAsia="宋体" w:cs="宋体"/>
                <w:color w:val="000000"/>
                <w:spacing w:val="-5"/>
                <w:sz w:val="21"/>
                <w:szCs w:val="21"/>
                <w:highlight w:val="none"/>
                <w:lang w:eastAsia="zh-CN"/>
              </w:rPr>
              <w:t>）</w:t>
            </w:r>
            <w:r>
              <w:rPr>
                <w:rFonts w:hint="eastAsia" w:ascii="宋体" w:hAnsi="宋体" w:eastAsia="宋体" w:cs="宋体"/>
                <w:color w:val="000000"/>
                <w:spacing w:val="-5"/>
                <w:sz w:val="21"/>
                <w:szCs w:val="21"/>
                <w:highlight w:val="none"/>
              </w:rPr>
              <w:t>根据投标人须知正文3.5.2要求“投标人的成立时间少于投标人须知前附表规定年份的，应提供成立以来的财务状况表”，因此投标人的成立时间少于该年份规定的可以对本项目投标，应提供成立以来的财务状况表，且投标人所提供的所有年份的财务报表均需满足：每一年度末的流动资产与流动负债比均不小于 1。</w:t>
            </w:r>
          </w:p>
          <w:p>
            <w:pPr>
              <w:pStyle w:val="12"/>
              <w:numPr>
                <w:ilvl w:val="0"/>
                <w:numId w:val="0"/>
              </w:numPr>
              <w:tabs>
                <w:tab w:val="left" w:pos="738"/>
              </w:tabs>
              <w:spacing w:line="367" w:lineRule="auto"/>
              <w:ind w:right="78" w:rightChars="0"/>
              <w:jc w:val="both"/>
              <w:rPr>
                <w:rFonts w:hint="eastAsia" w:ascii="宋体" w:hAnsi="宋体" w:eastAsia="宋体" w:cs="宋体"/>
                <w:color w:val="000000"/>
                <w:spacing w:val="-5"/>
                <w:sz w:val="21"/>
                <w:szCs w:val="21"/>
                <w:highlight w:val="none"/>
              </w:rPr>
            </w:pPr>
            <w:r>
              <w:rPr>
                <w:rFonts w:hint="eastAsia" w:ascii="宋体" w:hAnsi="宋体" w:eastAsia="宋体" w:cs="宋体"/>
                <w:color w:val="000000"/>
                <w:spacing w:val="-5"/>
                <w:sz w:val="21"/>
                <w:szCs w:val="21"/>
                <w:highlight w:val="none"/>
                <w:lang w:eastAsia="zh-CN"/>
              </w:rPr>
              <w:t>（</w:t>
            </w:r>
            <w:r>
              <w:rPr>
                <w:rFonts w:hint="eastAsia" w:ascii="宋体" w:hAnsi="宋体" w:eastAsia="宋体" w:cs="宋体"/>
                <w:color w:val="000000"/>
                <w:spacing w:val="-5"/>
                <w:sz w:val="21"/>
                <w:szCs w:val="21"/>
                <w:highlight w:val="none"/>
                <w:lang w:val="en-US" w:eastAsia="zh-CN"/>
              </w:rPr>
              <w:t>3</w:t>
            </w:r>
            <w:r>
              <w:rPr>
                <w:rFonts w:hint="eastAsia" w:ascii="宋体" w:hAnsi="宋体" w:eastAsia="宋体" w:cs="宋体"/>
                <w:color w:val="000000"/>
                <w:spacing w:val="-5"/>
                <w:sz w:val="21"/>
                <w:szCs w:val="21"/>
                <w:highlight w:val="none"/>
                <w:lang w:eastAsia="zh-CN"/>
              </w:rPr>
              <w:t>）</w:t>
            </w:r>
            <w:r>
              <w:rPr>
                <w:rFonts w:hint="eastAsia" w:ascii="宋体" w:hAnsi="宋体" w:eastAsia="宋体" w:cs="宋体"/>
                <w:color w:val="000000"/>
                <w:spacing w:val="-5"/>
                <w:sz w:val="21"/>
                <w:szCs w:val="21"/>
                <w:highlight w:val="none"/>
              </w:rPr>
              <w:t>如投标人为集团公司财务会计报表，指合并财务报表。</w:t>
            </w:r>
          </w:p>
          <w:p>
            <w:pPr>
              <w:pStyle w:val="12"/>
              <w:numPr>
                <w:ilvl w:val="0"/>
                <w:numId w:val="0"/>
              </w:numPr>
              <w:tabs>
                <w:tab w:val="left" w:pos="738"/>
              </w:tabs>
              <w:spacing w:line="367" w:lineRule="auto"/>
              <w:ind w:right="78" w:rightChars="0"/>
              <w:jc w:val="both"/>
              <w:rPr>
                <w:rFonts w:hint="eastAsia" w:ascii="宋体" w:hAnsi="宋体" w:eastAsia="宋体" w:cs="宋体"/>
                <w:color w:val="000000"/>
                <w:sz w:val="21"/>
                <w:szCs w:val="21"/>
                <w:highlight w:val="none"/>
              </w:rPr>
            </w:pPr>
            <w:r>
              <w:rPr>
                <w:rFonts w:hint="eastAsia" w:ascii="宋体" w:hAnsi="宋体" w:eastAsia="宋体" w:cs="宋体"/>
                <w:color w:val="000000"/>
                <w:spacing w:val="-5"/>
                <w:sz w:val="21"/>
                <w:szCs w:val="21"/>
                <w:highlight w:val="none"/>
                <w:lang w:eastAsia="zh-CN"/>
              </w:rPr>
              <w:t>（</w:t>
            </w:r>
            <w:r>
              <w:rPr>
                <w:rFonts w:hint="eastAsia" w:ascii="宋体" w:hAnsi="宋体" w:eastAsia="宋体" w:cs="宋体"/>
                <w:color w:val="000000"/>
                <w:spacing w:val="-5"/>
                <w:sz w:val="21"/>
                <w:szCs w:val="21"/>
                <w:highlight w:val="none"/>
                <w:lang w:val="en-US" w:eastAsia="zh-CN"/>
              </w:rPr>
              <w:t>4</w:t>
            </w:r>
            <w:r>
              <w:rPr>
                <w:rFonts w:hint="eastAsia" w:ascii="宋体" w:hAnsi="宋体" w:eastAsia="宋体" w:cs="宋体"/>
                <w:color w:val="000000"/>
                <w:spacing w:val="-5"/>
                <w:sz w:val="21"/>
                <w:szCs w:val="21"/>
                <w:highlight w:val="none"/>
                <w:lang w:eastAsia="zh-CN"/>
              </w:rPr>
              <w:t>）</w:t>
            </w:r>
            <w:r>
              <w:rPr>
                <w:rFonts w:hint="eastAsia" w:ascii="宋体" w:hAnsi="宋体" w:eastAsia="宋体" w:cs="宋体"/>
                <w:color w:val="000000"/>
                <w:spacing w:val="-5"/>
                <w:sz w:val="21"/>
                <w:szCs w:val="21"/>
                <w:highlight w:val="none"/>
              </w:rPr>
              <w:t>招标文件中其他地方于此处不一致时，以此处为准。</w:t>
            </w:r>
          </w:p>
        </w:tc>
      </w:tr>
    </w:tbl>
    <w:p>
      <w:pPr>
        <w:pStyle w:val="6"/>
        <w:tabs>
          <w:tab w:val="left" w:pos="1276"/>
        </w:tabs>
        <w:rPr>
          <w:rFonts w:hint="eastAsia" w:ascii="宋体" w:hAnsi="宋体" w:eastAsia="宋体" w:cs="宋体"/>
          <w:color w:val="000000"/>
          <w:sz w:val="21"/>
          <w:szCs w:val="21"/>
          <w:highlight w:val="none"/>
        </w:rPr>
      </w:pPr>
      <w:bookmarkStart w:id="2" w:name="附录4___资格审查条件(信誉最低要求)"/>
      <w:bookmarkEnd w:id="2"/>
    </w:p>
    <w:p>
      <w:pPr>
        <w:pStyle w:val="6"/>
        <w:tabs>
          <w:tab w:val="left" w:pos="1276"/>
        </w:tabs>
        <w:rPr>
          <w:rFonts w:hint="eastAsia" w:ascii="宋体" w:hAnsi="宋体" w:eastAsia="宋体" w:cs="宋体"/>
          <w:color w:val="000000"/>
          <w:sz w:val="21"/>
          <w:szCs w:val="21"/>
          <w:highlight w:val="none"/>
        </w:rPr>
      </w:pPr>
    </w:p>
    <w:p>
      <w:pPr>
        <w:pStyle w:val="6"/>
        <w:tabs>
          <w:tab w:val="left" w:pos="1276"/>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附录3</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资格审查条件(业绩最低要求)</w:t>
      </w:r>
    </w:p>
    <w:p>
      <w:pPr>
        <w:pStyle w:val="8"/>
        <w:spacing w:before="10"/>
        <w:rPr>
          <w:rFonts w:hint="eastAsia" w:ascii="宋体" w:hAnsi="宋体" w:eastAsia="宋体" w:cs="宋体"/>
          <w:color w:val="000000"/>
          <w:sz w:val="21"/>
          <w:szCs w:val="21"/>
          <w:highlight w:val="none"/>
        </w:rPr>
      </w:pPr>
    </w:p>
    <w:tbl>
      <w:tblPr>
        <w:tblStyle w:val="11"/>
        <w:tblW w:w="9461" w:type="dxa"/>
        <w:tblInd w:w="30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946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667" w:hRule="atLeast"/>
        </w:trPr>
        <w:tc>
          <w:tcPr>
            <w:tcW w:w="9461" w:type="dxa"/>
            <w:tcBorders>
              <w:bottom w:val="single" w:color="000000" w:sz="6" w:space="0"/>
            </w:tcBorders>
            <w:noWrap w:val="0"/>
            <w:vAlign w:val="top"/>
          </w:tcPr>
          <w:p>
            <w:pPr>
              <w:pStyle w:val="12"/>
              <w:spacing w:before="110"/>
              <w:ind w:firstLine="420" w:firstLineChars="20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业 绩 要 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870" w:hRule="atLeast"/>
        </w:trPr>
        <w:tc>
          <w:tcPr>
            <w:tcW w:w="9461" w:type="dxa"/>
            <w:tcBorders>
              <w:top w:val="single" w:color="000000" w:sz="6" w:space="0"/>
              <w:bottom w:val="single" w:color="000000" w:sz="6" w:space="0"/>
            </w:tcBorders>
            <w:noWrap w:val="0"/>
            <w:vAlign w:val="top"/>
          </w:tcPr>
          <w:p>
            <w:pPr>
              <w:snapToGrid w:val="0"/>
              <w:spacing w:line="360" w:lineRule="auto"/>
              <w:rPr>
                <w:rFonts w:hint="eastAsia"/>
                <w:sz w:val="21"/>
                <w:szCs w:val="21"/>
                <w:lang w:val="en-US" w:eastAsia="zh-CN"/>
              </w:rPr>
            </w:pPr>
            <w:r>
              <w:rPr>
                <w:rFonts w:hint="eastAsia"/>
                <w:sz w:val="21"/>
                <w:szCs w:val="21"/>
              </w:rPr>
              <w:t>投标人在近3年内（指</w:t>
            </w:r>
            <w:r>
              <w:rPr>
                <w:rFonts w:hint="eastAsia"/>
                <w:color w:val="FF0000"/>
                <w:sz w:val="21"/>
                <w:szCs w:val="21"/>
              </w:rPr>
              <w:t>2020年</w:t>
            </w:r>
            <w:bookmarkStart w:id="8" w:name="_GoBack"/>
            <w:bookmarkEnd w:id="8"/>
            <w:r>
              <w:rPr>
                <w:rFonts w:hint="eastAsia"/>
                <w:color w:val="FF0000"/>
                <w:sz w:val="21"/>
                <w:szCs w:val="21"/>
                <w:lang w:val="en-US" w:eastAsia="zh-CN"/>
              </w:rPr>
              <w:t>4月27日</w:t>
            </w:r>
            <w:r>
              <w:rPr>
                <w:rFonts w:hint="eastAsia"/>
                <w:color w:val="FF0000"/>
                <w:sz w:val="21"/>
                <w:szCs w:val="21"/>
              </w:rPr>
              <w:t>至投标截止日</w:t>
            </w:r>
            <w:r>
              <w:rPr>
                <w:rFonts w:hint="eastAsia"/>
                <w:sz w:val="21"/>
                <w:szCs w:val="21"/>
              </w:rPr>
              <w:t>，以交工日期为准）至少完成过</w:t>
            </w:r>
            <w:r>
              <w:rPr>
                <w:rFonts w:hint="eastAsia"/>
                <w:sz w:val="21"/>
                <w:szCs w:val="21"/>
                <w:lang w:val="en-US" w:eastAsia="zh-CN"/>
              </w:rPr>
              <w:t>1个类似业绩，类似业绩指：</w:t>
            </w:r>
          </w:p>
          <w:p>
            <w:pPr>
              <w:snapToGrid w:val="0"/>
              <w:spacing w:line="360" w:lineRule="auto"/>
              <w:rPr>
                <w:rFonts w:hint="eastAsia"/>
                <w:color w:val="000000" w:themeColor="text1"/>
                <w:sz w:val="21"/>
                <w:szCs w:val="21"/>
                <w:lang w:eastAsia="zh-CN"/>
                <w14:textFill>
                  <w14:solidFill>
                    <w14:schemeClr w14:val="tx1"/>
                  </w14:solidFill>
                </w14:textFill>
              </w:rPr>
            </w:pPr>
            <w:r>
              <w:rPr>
                <w:rFonts w:hint="default"/>
                <w:sz w:val="21"/>
                <w:szCs w:val="21"/>
                <w:lang w:val="en-US" w:eastAsia="zh-CN"/>
              </w:rPr>
              <w:t>①</w:t>
            </w:r>
            <w:r>
              <w:rPr>
                <w:rFonts w:hint="eastAsia"/>
                <w:sz w:val="21"/>
                <w:szCs w:val="21"/>
              </w:rPr>
              <w:t>1个</w:t>
            </w:r>
            <w:r>
              <w:rPr>
                <w:rFonts w:hint="eastAsia"/>
                <w:sz w:val="21"/>
                <w:szCs w:val="21"/>
                <w:lang w:val="en-US" w:eastAsia="zh-CN"/>
              </w:rPr>
              <w:t>合同金额不少于</w:t>
            </w:r>
            <w:r>
              <w:rPr>
                <w:rFonts w:hint="eastAsia"/>
                <w:color w:val="000000" w:themeColor="text1"/>
                <w:sz w:val="21"/>
                <w:szCs w:val="21"/>
                <w:lang w:val="en-US" w:eastAsia="zh-CN"/>
                <w14:textFill>
                  <w14:solidFill>
                    <w14:schemeClr w14:val="tx1"/>
                  </w14:solidFill>
                </w14:textFill>
              </w:rPr>
              <w:t>684</w:t>
            </w:r>
            <w:r>
              <w:rPr>
                <w:rFonts w:hint="eastAsia"/>
                <w:color w:val="000000" w:themeColor="text1"/>
                <w:sz w:val="21"/>
                <w:szCs w:val="21"/>
                <w14:textFill>
                  <w14:solidFill>
                    <w14:schemeClr w14:val="tx1"/>
                  </w14:solidFill>
                </w14:textFill>
              </w:rPr>
              <w:t>万元的</w:t>
            </w:r>
            <w:r>
              <w:rPr>
                <w:rFonts w:hint="eastAsia" w:cs="宋体"/>
                <w:color w:val="000000" w:themeColor="text1"/>
                <w:sz w:val="21"/>
                <w:szCs w:val="21"/>
                <w:lang w:val="en-US" w:eastAsia="zh-CN"/>
                <w14:textFill>
                  <w14:solidFill>
                    <w14:schemeClr w14:val="tx1"/>
                  </w14:solidFill>
                </w14:textFill>
              </w:rPr>
              <w:t>二</w:t>
            </w:r>
            <w:r>
              <w:rPr>
                <w:rFonts w:hint="eastAsia" w:ascii="宋体" w:hAnsi="宋体" w:eastAsia="宋体" w:cs="宋体"/>
                <w:color w:val="000000" w:themeColor="text1"/>
                <w:sz w:val="21"/>
                <w:szCs w:val="21"/>
                <w:lang w:val="en-US" w:eastAsia="zh-CN"/>
                <w14:textFill>
                  <w14:solidFill>
                    <w14:schemeClr w14:val="tx1"/>
                  </w14:solidFill>
                </w14:textFill>
              </w:rPr>
              <w:t>级</w:t>
            </w:r>
            <w:r>
              <w:rPr>
                <w:rFonts w:hint="eastAsia" w:cs="宋体"/>
                <w:color w:val="000000" w:themeColor="text1"/>
                <w:sz w:val="21"/>
                <w:szCs w:val="21"/>
                <w:lang w:val="en-US" w:eastAsia="zh-CN"/>
                <w14:textFill>
                  <w14:solidFill>
                    <w14:schemeClr w14:val="tx1"/>
                  </w14:solidFill>
                </w14:textFill>
              </w:rPr>
              <w:t>及以上</w:t>
            </w:r>
            <w:r>
              <w:rPr>
                <w:rFonts w:hint="eastAsia"/>
                <w:color w:val="000000" w:themeColor="text1"/>
                <w:sz w:val="21"/>
                <w:szCs w:val="21"/>
                <w14:textFill>
                  <w14:solidFill>
                    <w14:schemeClr w14:val="tx1"/>
                  </w14:solidFill>
                </w14:textFill>
              </w:rPr>
              <w:t>等级公路</w:t>
            </w:r>
            <w:r>
              <w:rPr>
                <w:rFonts w:hint="eastAsia"/>
                <w:color w:val="000000" w:themeColor="text1"/>
                <w:sz w:val="21"/>
                <w:szCs w:val="21"/>
                <w:lang w:eastAsia="zh-CN"/>
                <w14:textFill>
                  <w14:solidFill>
                    <w14:schemeClr w14:val="tx1"/>
                  </w14:solidFill>
                </w14:textFill>
              </w:rPr>
              <w:t>日常维修项目</w:t>
            </w:r>
            <w:r>
              <w:rPr>
                <w:rFonts w:hint="eastAsia"/>
                <w:color w:val="000000" w:themeColor="text1"/>
                <w:sz w:val="21"/>
                <w:szCs w:val="21"/>
                <w:lang w:val="en-US" w:eastAsia="zh-CN"/>
                <w14:textFill>
                  <w14:solidFill>
                    <w14:schemeClr w14:val="tx1"/>
                  </w14:solidFill>
                </w14:textFill>
              </w:rPr>
              <w:t>施工</w:t>
            </w:r>
            <w:r>
              <w:rPr>
                <w:rFonts w:hint="eastAsia"/>
                <w:color w:val="000000" w:themeColor="text1"/>
                <w:sz w:val="21"/>
                <w:szCs w:val="21"/>
                <w:lang w:eastAsia="zh-CN"/>
                <w14:textFill>
                  <w14:solidFill>
                    <w14:schemeClr w14:val="tx1"/>
                  </w14:solidFill>
                </w14:textFill>
              </w:rPr>
              <w:t>（业绩内容须包含</w:t>
            </w:r>
            <w:r>
              <w:rPr>
                <w:rFonts w:hint="eastAsia"/>
                <w:color w:val="000000" w:themeColor="text1"/>
                <w:sz w:val="21"/>
                <w:szCs w:val="21"/>
                <w14:textFill>
                  <w14:solidFill>
                    <w14:schemeClr w14:val="tx1"/>
                  </w14:solidFill>
                </w14:textFill>
              </w:rPr>
              <w:t>公路</w:t>
            </w:r>
            <w:r>
              <w:rPr>
                <w:rFonts w:hint="eastAsia"/>
                <w:color w:val="000000" w:themeColor="text1"/>
                <w:sz w:val="21"/>
                <w:szCs w:val="21"/>
                <w:lang w:val="en-US" w:eastAsia="zh-CN"/>
                <w14:textFill>
                  <w14:solidFill>
                    <w14:schemeClr w14:val="tx1"/>
                  </w14:solidFill>
                </w14:textFill>
              </w:rPr>
              <w:t>路面</w:t>
            </w:r>
            <w:r>
              <w:rPr>
                <w:rFonts w:hint="eastAsia"/>
                <w:color w:val="000000" w:themeColor="text1"/>
                <w:sz w:val="21"/>
                <w:szCs w:val="21"/>
                <w:lang w:eastAsia="zh-CN"/>
                <w14:textFill>
                  <w14:solidFill>
                    <w14:schemeClr w14:val="tx1"/>
                  </w14:solidFill>
                </w14:textFill>
              </w:rPr>
              <w:t>日常维修、</w:t>
            </w:r>
            <w:r>
              <w:rPr>
                <w:rFonts w:hint="eastAsia"/>
                <w:color w:val="000000" w:themeColor="text1"/>
                <w:sz w:val="21"/>
                <w:szCs w:val="21"/>
                <w:lang w:val="en-US" w:eastAsia="zh-CN"/>
                <w14:textFill>
                  <w14:solidFill>
                    <w14:schemeClr w14:val="tx1"/>
                  </w14:solidFill>
                </w14:textFill>
              </w:rPr>
              <w:t>桥梁维修加固内容</w:t>
            </w:r>
            <w:r>
              <w:rPr>
                <w:rFonts w:hint="eastAsia"/>
                <w:color w:val="000000" w:themeColor="text1"/>
                <w:sz w:val="21"/>
                <w:szCs w:val="21"/>
                <w:lang w:eastAsia="zh-CN"/>
                <w14:textFill>
                  <w14:solidFill>
                    <w14:schemeClr w14:val="tx1"/>
                  </w14:solidFill>
                </w14:textFill>
              </w:rPr>
              <w:t>）；</w:t>
            </w:r>
          </w:p>
          <w:p>
            <w:pPr>
              <w:snapToGrid w:val="0"/>
              <w:spacing w:line="360" w:lineRule="auto"/>
              <w:rPr>
                <w:rFonts w:hint="eastAsia"/>
                <w:color w:val="000000" w:themeColor="text1"/>
                <w:sz w:val="21"/>
                <w:szCs w:val="21"/>
                <w:lang w:eastAsia="zh-CN"/>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②</w:t>
            </w:r>
            <w:r>
              <w:rPr>
                <w:rFonts w:hint="eastAsia"/>
                <w:color w:val="000000" w:themeColor="text1"/>
                <w:sz w:val="21"/>
                <w:szCs w:val="21"/>
                <w14:textFill>
                  <w14:solidFill>
                    <w14:schemeClr w14:val="tx1"/>
                  </w14:solidFill>
                </w14:textFill>
              </w:rPr>
              <w:t>1个</w:t>
            </w:r>
            <w:r>
              <w:rPr>
                <w:rFonts w:hint="eastAsia"/>
                <w:color w:val="000000" w:themeColor="text1"/>
                <w:sz w:val="21"/>
                <w:szCs w:val="21"/>
                <w:lang w:val="en-US" w:eastAsia="zh-CN"/>
                <w14:textFill>
                  <w14:solidFill>
                    <w14:schemeClr w14:val="tx1"/>
                  </w14:solidFill>
                </w14:textFill>
              </w:rPr>
              <w:t>合同金额不少于684</w:t>
            </w:r>
            <w:r>
              <w:rPr>
                <w:rFonts w:hint="eastAsia"/>
                <w:color w:val="000000" w:themeColor="text1"/>
                <w:sz w:val="21"/>
                <w:szCs w:val="21"/>
                <w14:textFill>
                  <w14:solidFill>
                    <w14:schemeClr w14:val="tx1"/>
                  </w14:solidFill>
                </w14:textFill>
              </w:rPr>
              <w:t>万元的</w:t>
            </w:r>
            <w:r>
              <w:rPr>
                <w:rFonts w:hint="eastAsia" w:cs="宋体"/>
                <w:color w:val="000000" w:themeColor="text1"/>
                <w:sz w:val="21"/>
                <w:szCs w:val="21"/>
                <w:lang w:val="en-US" w:eastAsia="zh-CN"/>
                <w14:textFill>
                  <w14:solidFill>
                    <w14:schemeClr w14:val="tx1"/>
                  </w14:solidFill>
                </w14:textFill>
              </w:rPr>
              <w:t>二</w:t>
            </w:r>
            <w:r>
              <w:rPr>
                <w:rFonts w:hint="eastAsia" w:ascii="宋体" w:hAnsi="宋体" w:eastAsia="宋体" w:cs="宋体"/>
                <w:color w:val="000000" w:themeColor="text1"/>
                <w:sz w:val="21"/>
                <w:szCs w:val="21"/>
                <w:lang w:val="en-US" w:eastAsia="zh-CN"/>
                <w14:textFill>
                  <w14:solidFill>
                    <w14:schemeClr w14:val="tx1"/>
                  </w14:solidFill>
                </w14:textFill>
              </w:rPr>
              <w:t>级</w:t>
            </w:r>
            <w:r>
              <w:rPr>
                <w:rFonts w:hint="eastAsia" w:cs="宋体"/>
                <w:color w:val="000000" w:themeColor="text1"/>
                <w:sz w:val="21"/>
                <w:szCs w:val="21"/>
                <w:lang w:val="en-US" w:eastAsia="zh-CN"/>
                <w14:textFill>
                  <w14:solidFill>
                    <w14:schemeClr w14:val="tx1"/>
                  </w14:solidFill>
                </w14:textFill>
              </w:rPr>
              <w:t>及以上</w:t>
            </w:r>
            <w:r>
              <w:rPr>
                <w:rFonts w:hint="eastAsia"/>
                <w:color w:val="000000" w:themeColor="text1"/>
                <w:sz w:val="21"/>
                <w:szCs w:val="21"/>
                <w14:textFill>
                  <w14:solidFill>
                    <w14:schemeClr w14:val="tx1"/>
                  </w14:solidFill>
                </w14:textFill>
              </w:rPr>
              <w:t>等级公路</w:t>
            </w:r>
            <w:r>
              <w:rPr>
                <w:rFonts w:hint="eastAsia"/>
                <w:color w:val="000000" w:themeColor="text1"/>
                <w:sz w:val="21"/>
                <w:szCs w:val="21"/>
                <w:lang w:val="en-US" w:eastAsia="zh-CN"/>
                <w14:textFill>
                  <w14:solidFill>
                    <w14:schemeClr w14:val="tx1"/>
                  </w14:solidFill>
                </w14:textFill>
              </w:rPr>
              <w:t>养护工程项目施工</w:t>
            </w:r>
            <w:r>
              <w:rPr>
                <w:rFonts w:hint="eastAsia"/>
                <w:color w:val="000000" w:themeColor="text1"/>
                <w:sz w:val="21"/>
                <w:szCs w:val="21"/>
                <w:lang w:eastAsia="zh-CN"/>
                <w14:textFill>
                  <w14:solidFill>
                    <w14:schemeClr w14:val="tx1"/>
                  </w14:solidFill>
                </w14:textFill>
              </w:rPr>
              <w:t>（业绩内容须包含</w:t>
            </w:r>
            <w:r>
              <w:rPr>
                <w:rFonts w:hint="eastAsia"/>
                <w:color w:val="000000" w:themeColor="text1"/>
                <w:sz w:val="21"/>
                <w:szCs w:val="21"/>
                <w14:textFill>
                  <w14:solidFill>
                    <w14:schemeClr w14:val="tx1"/>
                  </w14:solidFill>
                </w14:textFill>
              </w:rPr>
              <w:t>公路</w:t>
            </w:r>
            <w:r>
              <w:rPr>
                <w:rFonts w:hint="eastAsia"/>
                <w:color w:val="000000" w:themeColor="text1"/>
                <w:sz w:val="21"/>
                <w:szCs w:val="21"/>
                <w:lang w:val="en-US" w:eastAsia="zh-CN"/>
                <w14:textFill>
                  <w14:solidFill>
                    <w14:schemeClr w14:val="tx1"/>
                  </w14:solidFill>
                </w14:textFill>
              </w:rPr>
              <w:t>路面养护</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桥梁维修加固内容</w:t>
            </w:r>
            <w:r>
              <w:rPr>
                <w:rFonts w:hint="eastAsia"/>
                <w:color w:val="000000" w:themeColor="text1"/>
                <w:sz w:val="21"/>
                <w:szCs w:val="21"/>
                <w:lang w:eastAsia="zh-CN"/>
                <w14:textFill>
                  <w14:solidFill>
                    <w14:schemeClr w14:val="tx1"/>
                  </w14:solidFill>
                </w14:textFill>
              </w:rPr>
              <w:t>）；</w:t>
            </w:r>
          </w:p>
          <w:p>
            <w:pPr>
              <w:snapToGrid w:val="0"/>
              <w:spacing w:line="360" w:lineRule="auto"/>
              <w:rPr>
                <w:rFonts w:hint="eastAsia" w:ascii="宋体" w:hAnsi="宋体" w:eastAsia="宋体" w:cs="宋体"/>
                <w:color w:val="000000" w:themeColor="text1"/>
                <w:sz w:val="21"/>
                <w:szCs w:val="21"/>
                <w:lang w:eastAsia="zh-CN"/>
                <w14:textFill>
                  <w14:solidFill>
                    <w14:schemeClr w14:val="tx1"/>
                  </w14:solidFill>
                </w14:textFill>
              </w:rPr>
            </w:pPr>
            <w:r>
              <w:rPr>
                <w:rFonts w:hint="default"/>
                <w:color w:val="000000" w:themeColor="text1"/>
                <w:sz w:val="21"/>
                <w:szCs w:val="21"/>
                <w:lang w:eastAsia="zh-CN"/>
                <w14:textFill>
                  <w14:solidFill>
                    <w14:schemeClr w14:val="tx1"/>
                  </w14:solidFill>
                </w14:textFill>
              </w:rPr>
              <w:t>③</w:t>
            </w:r>
            <w:r>
              <w:rPr>
                <w:rFonts w:hint="eastAsia"/>
                <w:color w:val="000000" w:themeColor="text1"/>
                <w:sz w:val="21"/>
                <w:szCs w:val="21"/>
                <w14:textFill>
                  <w14:solidFill>
                    <w14:schemeClr w14:val="tx1"/>
                  </w14:solidFill>
                </w14:textFill>
              </w:rPr>
              <w:t>1个</w:t>
            </w:r>
            <w:r>
              <w:rPr>
                <w:rFonts w:hint="eastAsia"/>
                <w:color w:val="000000" w:themeColor="text1"/>
                <w:sz w:val="21"/>
                <w:szCs w:val="21"/>
                <w:lang w:val="en-US" w:eastAsia="zh-CN"/>
                <w14:textFill>
                  <w14:solidFill>
                    <w14:schemeClr w14:val="tx1"/>
                  </w14:solidFill>
                </w14:textFill>
              </w:rPr>
              <w:t>二</w:t>
            </w:r>
            <w:r>
              <w:rPr>
                <w:rFonts w:hint="eastAsia"/>
                <w:color w:val="000000" w:themeColor="text1"/>
                <w:sz w:val="21"/>
                <w:szCs w:val="21"/>
                <w14:textFill>
                  <w14:solidFill>
                    <w14:schemeClr w14:val="tx1"/>
                  </w14:solidFill>
                </w14:textFill>
              </w:rPr>
              <w:t>级</w:t>
            </w:r>
            <w:r>
              <w:rPr>
                <w:rFonts w:hint="eastAsia"/>
                <w:color w:val="000000" w:themeColor="text1"/>
                <w:sz w:val="21"/>
                <w:szCs w:val="21"/>
                <w:lang w:val="en-US" w:eastAsia="zh-CN"/>
                <w14:textFill>
                  <w14:solidFill>
                    <w14:schemeClr w14:val="tx1"/>
                  </w14:solidFill>
                </w14:textFill>
              </w:rPr>
              <w:t>及</w:t>
            </w:r>
            <w:r>
              <w:rPr>
                <w:rFonts w:hint="eastAsia"/>
                <w:color w:val="000000" w:themeColor="text1"/>
                <w:sz w:val="21"/>
                <w:szCs w:val="21"/>
                <w14:textFill>
                  <w14:solidFill>
                    <w14:schemeClr w14:val="tx1"/>
                  </w14:solidFill>
                </w14:textFill>
              </w:rPr>
              <w:t>以上等级公路</w:t>
            </w:r>
            <w:r>
              <w:rPr>
                <w:rFonts w:hint="eastAsia"/>
                <w:color w:val="000000" w:themeColor="text1"/>
                <w:sz w:val="21"/>
                <w:szCs w:val="21"/>
                <w:lang w:val="en-US" w:eastAsia="zh-CN"/>
                <w14:textFill>
                  <w14:solidFill>
                    <w14:schemeClr w14:val="tx1"/>
                  </w14:solidFill>
                </w14:textFill>
              </w:rPr>
              <w:t>路面</w:t>
            </w:r>
            <w:r>
              <w:rPr>
                <w:rFonts w:hint="eastAsia"/>
                <w:color w:val="000000" w:themeColor="text1"/>
                <w:sz w:val="21"/>
                <w:szCs w:val="21"/>
                <w:lang w:eastAsia="zh-CN"/>
                <w14:textFill>
                  <w14:solidFill>
                    <w14:schemeClr w14:val="tx1"/>
                  </w14:solidFill>
                </w14:textFill>
              </w:rPr>
              <w:t>日常维修项目</w:t>
            </w:r>
            <w:r>
              <w:rPr>
                <w:rFonts w:hint="eastAsia"/>
                <w:color w:val="000000" w:themeColor="text1"/>
                <w:sz w:val="21"/>
                <w:szCs w:val="21"/>
                <w14:textFill>
                  <w14:solidFill>
                    <w14:schemeClr w14:val="tx1"/>
                  </w14:solidFill>
                </w14:textFill>
              </w:rPr>
              <w:t>施工</w:t>
            </w:r>
            <w:r>
              <w:rPr>
                <w:rFonts w:hint="eastAsia"/>
                <w:color w:val="000000" w:themeColor="text1"/>
                <w:sz w:val="21"/>
                <w:szCs w:val="21"/>
                <w:lang w:eastAsia="zh-CN"/>
                <w14:textFill>
                  <w14:solidFill>
                    <w14:schemeClr w14:val="tx1"/>
                  </w14:solidFill>
                </w14:textFill>
              </w:rPr>
              <w:t>和</w:t>
            </w:r>
            <w:r>
              <w:rPr>
                <w:rFonts w:hint="eastAsia"/>
                <w:color w:val="000000" w:themeColor="text1"/>
                <w:sz w:val="21"/>
                <w:szCs w:val="21"/>
                <w:lang w:val="en-US" w:eastAsia="zh-CN"/>
                <w14:textFill>
                  <w14:solidFill>
                    <w14:schemeClr w14:val="tx1"/>
                  </w14:solidFill>
                </w14:textFill>
              </w:rPr>
              <w:t>1个</w:t>
            </w:r>
            <w:r>
              <w:rPr>
                <w:rFonts w:hint="eastAsia" w:cs="宋体"/>
                <w:color w:val="000000" w:themeColor="text1"/>
                <w:sz w:val="21"/>
                <w:szCs w:val="21"/>
                <w:lang w:val="en-US" w:eastAsia="zh-CN"/>
                <w14:textFill>
                  <w14:solidFill>
                    <w14:schemeClr w14:val="tx1"/>
                  </w14:solidFill>
                </w14:textFill>
              </w:rPr>
              <w:t>二</w:t>
            </w:r>
            <w:r>
              <w:rPr>
                <w:rFonts w:hint="eastAsia" w:ascii="宋体" w:hAnsi="宋体" w:eastAsia="宋体" w:cs="宋体"/>
                <w:color w:val="000000" w:themeColor="text1"/>
                <w:sz w:val="21"/>
                <w:szCs w:val="21"/>
                <w:lang w:val="en-US" w:eastAsia="zh-CN"/>
                <w14:textFill>
                  <w14:solidFill>
                    <w14:schemeClr w14:val="tx1"/>
                  </w14:solidFill>
                </w14:textFill>
              </w:rPr>
              <w:t>级</w:t>
            </w:r>
            <w:r>
              <w:rPr>
                <w:rFonts w:hint="eastAsia" w:cs="宋体"/>
                <w:color w:val="000000" w:themeColor="text1"/>
                <w:sz w:val="21"/>
                <w:szCs w:val="21"/>
                <w:lang w:val="en-US" w:eastAsia="zh-CN"/>
                <w14:textFill>
                  <w14:solidFill>
                    <w14:schemeClr w14:val="tx1"/>
                  </w14:solidFill>
                </w14:textFill>
              </w:rPr>
              <w:t>及以上</w:t>
            </w:r>
            <w:r>
              <w:rPr>
                <w:rFonts w:hint="eastAsia"/>
                <w:color w:val="000000" w:themeColor="text1"/>
                <w:sz w:val="21"/>
                <w:szCs w:val="21"/>
                <w14:textFill>
                  <w14:solidFill>
                    <w14:schemeClr w14:val="tx1"/>
                  </w14:solidFill>
                </w14:textFill>
              </w:rPr>
              <w:t>等级公</w:t>
            </w:r>
            <w:r>
              <w:rPr>
                <w:rFonts w:hint="eastAsia" w:ascii="宋体" w:hAnsi="宋体" w:eastAsia="宋体" w:cs="宋体"/>
                <w:color w:val="000000" w:themeColor="text1"/>
                <w:sz w:val="21"/>
                <w:szCs w:val="21"/>
                <w:lang w:eastAsia="zh-CN"/>
                <w14:textFill>
                  <w14:solidFill>
                    <w14:schemeClr w14:val="tx1"/>
                  </w14:solidFill>
                </w14:textFill>
              </w:rPr>
              <w:t>路</w:t>
            </w:r>
            <w:r>
              <w:rPr>
                <w:rFonts w:hint="eastAsia" w:ascii="宋体" w:hAnsi="宋体" w:eastAsia="宋体" w:cs="宋体"/>
                <w:color w:val="000000" w:themeColor="text1"/>
                <w:sz w:val="21"/>
                <w:szCs w:val="21"/>
                <w:lang w:val="en-US" w:eastAsia="zh-CN"/>
                <w14:textFill>
                  <w14:solidFill>
                    <w14:schemeClr w14:val="tx1"/>
                  </w14:solidFill>
                </w14:textFill>
              </w:rPr>
              <w:t>桥梁维修加固项目</w:t>
            </w:r>
            <w:r>
              <w:rPr>
                <w:rFonts w:hint="eastAsia" w:ascii="宋体" w:hAnsi="宋体" w:eastAsia="宋体" w:cs="宋体"/>
                <w:color w:val="000000" w:themeColor="text1"/>
                <w:sz w:val="21"/>
                <w:szCs w:val="21"/>
                <w:lang w:eastAsia="zh-CN"/>
                <w14:textFill>
                  <w14:solidFill>
                    <w14:schemeClr w14:val="tx1"/>
                  </w14:solidFill>
                </w14:textFill>
              </w:rPr>
              <w:t>施工（两个业绩合同金额之和</w:t>
            </w:r>
            <w:r>
              <w:rPr>
                <w:rFonts w:hint="eastAsia" w:ascii="宋体" w:hAnsi="宋体" w:eastAsia="宋体" w:cs="宋体"/>
                <w:color w:val="000000" w:themeColor="text1"/>
                <w:sz w:val="21"/>
                <w:szCs w:val="21"/>
                <w:lang w:val="en-US" w:eastAsia="zh-CN"/>
                <w14:textFill>
                  <w14:solidFill>
                    <w14:schemeClr w14:val="tx1"/>
                  </w14:solidFill>
                </w14:textFill>
              </w:rPr>
              <w:t>不少于6</w:t>
            </w:r>
            <w:r>
              <w:rPr>
                <w:rFonts w:hint="eastAsia" w:cs="宋体"/>
                <w:color w:val="000000" w:themeColor="text1"/>
                <w:sz w:val="21"/>
                <w:szCs w:val="21"/>
                <w:lang w:val="en-US" w:eastAsia="zh-CN"/>
                <w14:textFill>
                  <w14:solidFill>
                    <w14:schemeClr w14:val="tx1"/>
                  </w14:solidFill>
                </w14:textFill>
              </w:rPr>
              <w:t>84</w:t>
            </w:r>
            <w:r>
              <w:rPr>
                <w:rFonts w:hint="eastAsia" w:ascii="宋体" w:hAnsi="宋体" w:eastAsia="宋体" w:cs="宋体"/>
                <w:color w:val="000000" w:themeColor="text1"/>
                <w:sz w:val="21"/>
                <w:szCs w:val="21"/>
                <w:lang w:eastAsia="zh-CN"/>
                <w14:textFill>
                  <w14:solidFill>
                    <w14:schemeClr w14:val="tx1"/>
                  </w14:solidFill>
                </w14:textFill>
              </w:rPr>
              <w:t>万元）；</w:t>
            </w:r>
          </w:p>
          <w:p>
            <w:pPr>
              <w:pStyle w:val="12"/>
              <w:spacing w:before="110" w:line="360" w:lineRule="auto"/>
              <w:rPr>
                <w:rFonts w:hint="eastAsia" w:ascii="宋体" w:hAnsi="宋体" w:eastAsia="宋体" w:cs="宋体"/>
                <w:color w:val="000000"/>
                <w:sz w:val="21"/>
                <w:szCs w:val="21"/>
                <w:highlight w:val="none"/>
              </w:rPr>
            </w:pPr>
            <w:r>
              <w:rPr>
                <w:rFonts w:hint="eastAsia" w:ascii="宋体" w:hAnsi="宋体" w:eastAsia="宋体" w:cs="宋体"/>
                <w:color w:val="000000" w:themeColor="text1"/>
                <w:sz w:val="21"/>
                <w:szCs w:val="21"/>
                <w:lang w:val="en-US" w:eastAsia="zh-CN"/>
                <w14:textFill>
                  <w14:solidFill>
                    <w14:schemeClr w14:val="tx1"/>
                  </w14:solidFill>
                </w14:textFill>
              </w:rPr>
              <w:t>④1个</w:t>
            </w:r>
            <w:r>
              <w:rPr>
                <w:rFonts w:hint="eastAsia" w:cs="宋体"/>
                <w:color w:val="000000" w:themeColor="text1"/>
                <w:sz w:val="21"/>
                <w:szCs w:val="21"/>
                <w:lang w:val="en-US" w:eastAsia="zh-CN"/>
                <w14:textFill>
                  <w14:solidFill>
                    <w14:schemeClr w14:val="tx1"/>
                  </w14:solidFill>
                </w14:textFill>
              </w:rPr>
              <w:t>二</w:t>
            </w:r>
            <w:r>
              <w:rPr>
                <w:rFonts w:hint="eastAsia" w:ascii="宋体" w:hAnsi="宋体" w:eastAsia="宋体" w:cs="宋体"/>
                <w:color w:val="000000" w:themeColor="text1"/>
                <w:sz w:val="21"/>
                <w:szCs w:val="21"/>
                <w:lang w:val="en-US" w:eastAsia="zh-CN"/>
                <w14:textFill>
                  <w14:solidFill>
                    <w14:schemeClr w14:val="tx1"/>
                  </w14:solidFill>
                </w14:textFill>
              </w:rPr>
              <w:t>级</w:t>
            </w:r>
            <w:r>
              <w:rPr>
                <w:rFonts w:hint="eastAsia" w:cs="宋体"/>
                <w:color w:val="000000" w:themeColor="text1"/>
                <w:sz w:val="21"/>
                <w:szCs w:val="21"/>
                <w:lang w:val="en-US" w:eastAsia="zh-CN"/>
                <w14:textFill>
                  <w14:solidFill>
                    <w14:schemeClr w14:val="tx1"/>
                  </w14:solidFill>
                </w14:textFill>
              </w:rPr>
              <w:t>及以上</w:t>
            </w:r>
            <w:r>
              <w:rPr>
                <w:rFonts w:hint="eastAsia" w:ascii="宋体" w:hAnsi="宋体" w:eastAsia="宋体" w:cs="宋体"/>
                <w:color w:val="000000" w:themeColor="text1"/>
                <w:sz w:val="21"/>
                <w:szCs w:val="21"/>
                <w:highlight w:val="none"/>
                <w:lang w:val="en-US" w:eastAsia="zh-CN"/>
                <w14:textFill>
                  <w14:solidFill>
                    <w14:schemeClr w14:val="tx1"/>
                  </w14:solidFill>
                </w14:textFill>
              </w:rPr>
              <w:t>等级公路</w:t>
            </w:r>
            <w:r>
              <w:rPr>
                <w:rFonts w:hint="eastAsia"/>
                <w:color w:val="000000" w:themeColor="text1"/>
                <w:sz w:val="21"/>
                <w:szCs w:val="21"/>
                <w:lang w:val="en-US" w:eastAsia="zh-CN"/>
                <w14:textFill>
                  <w14:solidFill>
                    <w14:schemeClr w14:val="tx1"/>
                  </w14:solidFill>
                </w14:textFill>
              </w:rPr>
              <w:t>路面</w:t>
            </w:r>
            <w:r>
              <w:rPr>
                <w:rFonts w:hint="eastAsia" w:ascii="宋体" w:hAnsi="宋体" w:eastAsia="宋体" w:cs="宋体"/>
                <w:color w:val="000000" w:themeColor="text1"/>
                <w:sz w:val="21"/>
                <w:szCs w:val="21"/>
                <w:lang w:val="en-US" w:eastAsia="zh-CN"/>
                <w14:textFill>
                  <w14:solidFill>
                    <w14:schemeClr w14:val="tx1"/>
                  </w14:solidFill>
                </w14:textFill>
              </w:rPr>
              <w:t>养护工程项目施工和1个</w:t>
            </w:r>
            <w:r>
              <w:rPr>
                <w:rFonts w:hint="eastAsia" w:cs="宋体"/>
                <w:color w:val="000000" w:themeColor="text1"/>
                <w:sz w:val="21"/>
                <w:szCs w:val="21"/>
                <w:lang w:val="en-US" w:eastAsia="zh-CN"/>
                <w14:textFill>
                  <w14:solidFill>
                    <w14:schemeClr w14:val="tx1"/>
                  </w14:solidFill>
                </w14:textFill>
              </w:rPr>
              <w:t>二</w:t>
            </w:r>
            <w:r>
              <w:rPr>
                <w:rFonts w:hint="eastAsia" w:ascii="宋体" w:hAnsi="宋体" w:eastAsia="宋体" w:cs="宋体"/>
                <w:color w:val="000000" w:themeColor="text1"/>
                <w:sz w:val="21"/>
                <w:szCs w:val="21"/>
                <w:lang w:val="en-US" w:eastAsia="zh-CN"/>
                <w14:textFill>
                  <w14:solidFill>
                    <w14:schemeClr w14:val="tx1"/>
                  </w14:solidFill>
                </w14:textFill>
              </w:rPr>
              <w:t>级</w:t>
            </w:r>
            <w:r>
              <w:rPr>
                <w:rFonts w:hint="eastAsia" w:cs="宋体"/>
                <w:color w:val="000000" w:themeColor="text1"/>
                <w:sz w:val="21"/>
                <w:szCs w:val="21"/>
                <w:lang w:val="en-US" w:eastAsia="zh-CN"/>
                <w14:textFill>
                  <w14:solidFill>
                    <w14:schemeClr w14:val="tx1"/>
                  </w14:solidFill>
                </w14:textFill>
              </w:rPr>
              <w:t>及以上</w:t>
            </w:r>
            <w:r>
              <w:rPr>
                <w:rFonts w:hint="eastAsia" w:ascii="宋体" w:hAnsi="宋体" w:eastAsia="宋体" w:cs="宋体"/>
                <w:color w:val="000000" w:themeColor="text1"/>
                <w:sz w:val="21"/>
                <w:szCs w:val="21"/>
                <w:lang w:val="en-US" w:eastAsia="zh-CN"/>
                <w14:textFill>
                  <w14:solidFill>
                    <w14:schemeClr w14:val="tx1"/>
                  </w14:solidFill>
                </w14:textFill>
              </w:rPr>
              <w:t>等级公路桥梁维修加固项目施工（两个业绩合同金额之和不少于6</w:t>
            </w:r>
            <w:r>
              <w:rPr>
                <w:rFonts w:hint="eastAsia" w:cs="宋体"/>
                <w:color w:val="000000" w:themeColor="text1"/>
                <w:sz w:val="21"/>
                <w:szCs w:val="21"/>
                <w:lang w:val="en-US" w:eastAsia="zh-CN"/>
                <w14:textFill>
                  <w14:solidFill>
                    <w14:schemeClr w14:val="tx1"/>
                  </w14:solidFill>
                </w14:textFill>
              </w:rPr>
              <w:t>84</w:t>
            </w:r>
            <w:r>
              <w:rPr>
                <w:rFonts w:hint="eastAsia" w:ascii="宋体" w:hAnsi="宋体" w:eastAsia="宋体" w:cs="宋体"/>
                <w:color w:val="000000" w:themeColor="text1"/>
                <w:sz w:val="21"/>
                <w:szCs w:val="21"/>
                <w:lang w:val="en-US" w:eastAsia="zh-CN"/>
                <w14:textFill>
                  <w14:solidFill>
                    <w14:schemeClr w14:val="tx1"/>
                  </w14:solidFill>
                </w14:textFill>
              </w:rPr>
              <w:t>万</w:t>
            </w:r>
            <w:r>
              <w:rPr>
                <w:rFonts w:hint="eastAsia" w:ascii="宋体" w:hAnsi="宋体" w:eastAsia="宋体" w:cs="宋体"/>
                <w:sz w:val="21"/>
                <w:szCs w:val="21"/>
                <w:lang w:val="en-US" w:eastAsia="zh-CN"/>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1345" w:hRule="atLeast"/>
        </w:trPr>
        <w:tc>
          <w:tcPr>
            <w:tcW w:w="9461" w:type="dxa"/>
            <w:tcBorders>
              <w:top w:val="single" w:color="000000" w:sz="6" w:space="0"/>
            </w:tcBorders>
            <w:noWrap w:val="0"/>
            <w:vAlign w:val="top"/>
          </w:tcPr>
          <w:p>
            <w:pPr>
              <w:pStyle w:val="12"/>
              <w:spacing w:before="1" w:line="36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注：修改补充投标人须知正文第 3.5.3 项</w:t>
            </w:r>
            <w:r>
              <w:rPr>
                <w:rFonts w:hint="eastAsia" w:ascii="宋体" w:hAnsi="宋体" w:eastAsia="宋体" w:cs="宋体"/>
                <w:color w:val="000000"/>
                <w:spacing w:val="2"/>
                <w:w w:val="95"/>
                <w:sz w:val="21"/>
                <w:szCs w:val="21"/>
                <w:highlight w:val="none"/>
              </w:rPr>
              <w:t>：</w:t>
            </w:r>
          </w:p>
          <w:p>
            <w:pPr>
              <w:pStyle w:val="12"/>
              <w:spacing w:before="1" w:line="360" w:lineRule="auto"/>
              <w:jc w:val="both"/>
              <w:rPr>
                <w:rFonts w:hint="eastAsia" w:ascii="宋体" w:hAnsi="宋体" w:eastAsia="宋体" w:cs="宋体"/>
                <w:color w:val="000000"/>
                <w:sz w:val="21"/>
                <w:szCs w:val="21"/>
                <w:highlight w:val="none"/>
              </w:rPr>
            </w:pPr>
            <w:r>
              <w:rPr>
                <w:rFonts w:hint="eastAsia" w:eastAsia="宋体" w:cs="宋体"/>
                <w:color w:val="000000"/>
                <w:spacing w:val="9"/>
                <w:w w:val="99"/>
                <w:sz w:val="21"/>
                <w:szCs w:val="21"/>
                <w:highlight w:val="none"/>
                <w:lang w:eastAsia="zh-CN"/>
              </w:rPr>
              <w:t>（</w:t>
            </w:r>
            <w:r>
              <w:rPr>
                <w:rFonts w:hint="eastAsia" w:eastAsia="宋体" w:cs="宋体"/>
                <w:color w:val="000000"/>
                <w:spacing w:val="9"/>
                <w:w w:val="99"/>
                <w:sz w:val="21"/>
                <w:szCs w:val="21"/>
                <w:highlight w:val="none"/>
                <w:lang w:val="en-US" w:eastAsia="zh-CN"/>
              </w:rPr>
              <w:t>1</w:t>
            </w:r>
            <w:r>
              <w:rPr>
                <w:rFonts w:hint="eastAsia" w:eastAsia="宋体" w:cs="宋体"/>
                <w:color w:val="000000"/>
                <w:spacing w:val="9"/>
                <w:w w:val="99"/>
                <w:sz w:val="21"/>
                <w:szCs w:val="21"/>
                <w:highlight w:val="none"/>
                <w:lang w:eastAsia="zh-CN"/>
              </w:rPr>
              <w:t>）</w:t>
            </w:r>
            <w:r>
              <w:rPr>
                <w:rFonts w:hint="eastAsia" w:ascii="宋体" w:hAnsi="宋体" w:eastAsia="宋体" w:cs="宋体"/>
                <w:color w:val="000000"/>
                <w:sz w:val="21"/>
                <w:szCs w:val="21"/>
                <w:highlight w:val="none"/>
                <w:lang w:val="en-US" w:eastAsia="zh-CN"/>
              </w:rPr>
              <w:t>投标人应按资格审查资料中的表（四）（近年完成的类似项目情况表）填写所提供的业绩，提供的每个业绩均应填写，未按照表（四）（近年完成的类似项目情况表）规定的格式填报的业绩，其业绩审查将不予认可</w:t>
            </w:r>
            <w:r>
              <w:rPr>
                <w:rFonts w:hint="eastAsia" w:ascii="宋体" w:hAnsi="宋体" w:eastAsia="宋体" w:cs="宋体"/>
                <w:color w:val="000000"/>
                <w:sz w:val="21"/>
                <w:szCs w:val="21"/>
                <w:highlight w:val="none"/>
              </w:rPr>
              <w:t>。</w:t>
            </w:r>
          </w:p>
          <w:p>
            <w:pPr>
              <w:pStyle w:val="12"/>
              <w:spacing w:before="1" w:line="360" w:lineRule="auto"/>
              <w:jc w:val="both"/>
              <w:rPr>
                <w:rFonts w:hint="eastAsia" w:ascii="宋体" w:hAnsi="宋体" w:eastAsia="宋体" w:cs="宋体"/>
                <w:color w:val="000000"/>
                <w:sz w:val="21"/>
                <w:szCs w:val="21"/>
                <w:highlight w:val="none"/>
              </w:rPr>
            </w:pPr>
            <w:r>
              <w:rPr>
                <w:rFonts w:hint="eastAsia" w:eastAsia="宋体" w:cs="宋体"/>
                <w:color w:val="000000"/>
                <w:w w:val="95"/>
                <w:sz w:val="21"/>
                <w:szCs w:val="21"/>
                <w:highlight w:val="none"/>
                <w:lang w:eastAsia="zh-CN"/>
              </w:rPr>
              <w:t>（</w:t>
            </w:r>
            <w:r>
              <w:rPr>
                <w:rFonts w:hint="eastAsia" w:eastAsia="宋体" w:cs="宋体"/>
                <w:color w:val="000000"/>
                <w:w w:val="95"/>
                <w:sz w:val="21"/>
                <w:szCs w:val="21"/>
                <w:highlight w:val="none"/>
                <w:lang w:val="en-US" w:eastAsia="zh-CN"/>
              </w:rPr>
              <w:t>2</w:t>
            </w:r>
            <w:r>
              <w:rPr>
                <w:rFonts w:hint="eastAsia" w:eastAsia="宋体" w:cs="宋体"/>
                <w:color w:val="000000"/>
                <w:w w:val="95"/>
                <w:sz w:val="21"/>
                <w:szCs w:val="21"/>
                <w:highlight w:val="none"/>
                <w:lang w:eastAsia="zh-CN"/>
              </w:rPr>
              <w:t>）</w:t>
            </w:r>
            <w:r>
              <w:rPr>
                <w:rFonts w:hint="eastAsia" w:ascii="宋体" w:hAnsi="宋体" w:eastAsia="宋体" w:cs="宋体"/>
                <w:color w:val="000000"/>
                <w:sz w:val="21"/>
                <w:szCs w:val="21"/>
                <w:highlight w:val="none"/>
                <w:lang w:val="en-US" w:eastAsia="zh-CN"/>
              </w:rPr>
              <w:t>投标人填报的类似项目应是已列入交通运输部或</w:t>
            </w:r>
            <w:r>
              <w:rPr>
                <w:rFonts w:hint="eastAsia" w:ascii="宋体" w:hAnsi="宋体" w:eastAsia="宋体" w:cs="宋体"/>
                <w:b/>
                <w:bCs/>
                <w:color w:val="000000"/>
                <w:sz w:val="21"/>
                <w:szCs w:val="21"/>
                <w:highlight w:val="none"/>
                <w:lang w:eastAsia="zh-CN"/>
              </w:rPr>
              <w:t>项目所在地</w:t>
            </w:r>
            <w:r>
              <w:rPr>
                <w:rFonts w:hint="eastAsia" w:ascii="宋体" w:hAnsi="宋体" w:eastAsia="宋体" w:cs="宋体"/>
                <w:color w:val="000000"/>
                <w:sz w:val="21"/>
                <w:szCs w:val="21"/>
                <w:highlight w:val="none"/>
                <w:lang w:val="en-US" w:eastAsia="zh-CN"/>
              </w:rPr>
              <w:t>省级交通运输主管部门主管的“公路建设市场信用信息管理系统”并公开的主包已建业绩或分包已建业绩。且登记的信息能够反映项目时间、工程内容、公路等级、合同金额、交工日期等招标文件规定的业绩最低要求。“近年完成的类似项目情况表”应附在交通运输部“全国公路建设市场信用信息管系统”(网址:http://glxy.mot.gov.cn/BM/)中查询到的企业“业绩信息”相关项目网页截图,即包括“项目名称”“项目类型”“合同价”“主要工程量”“人员履约信息”等栏目在内的项目详细信息网页截图。在交通运输部“全国公路建设市场信用信息管理系统”中无法查询,但可在</w:t>
            </w:r>
            <w:r>
              <w:rPr>
                <w:rFonts w:hint="eastAsia" w:ascii="宋体" w:hAnsi="宋体" w:eastAsia="宋体" w:cs="宋体"/>
                <w:b/>
                <w:bCs/>
                <w:color w:val="000000"/>
                <w:sz w:val="21"/>
                <w:szCs w:val="21"/>
                <w:highlight w:val="none"/>
                <w:lang w:eastAsia="zh-CN"/>
              </w:rPr>
              <w:t>项目所在地</w:t>
            </w:r>
            <w:r>
              <w:rPr>
                <w:rFonts w:hint="eastAsia" w:ascii="宋体" w:hAnsi="宋体" w:eastAsia="宋体" w:cs="宋体"/>
                <w:color w:val="000000"/>
                <w:sz w:val="21"/>
                <w:szCs w:val="21"/>
                <w:highlight w:val="none"/>
                <w:lang w:val="en-US" w:eastAsia="zh-CN"/>
              </w:rPr>
              <w:t>省级交通运输主管部门“公路建设市场信用信息管理系统”中查询的,应附</w:t>
            </w:r>
            <w:r>
              <w:rPr>
                <w:rFonts w:hint="eastAsia" w:ascii="宋体" w:hAnsi="宋体" w:eastAsia="宋体" w:cs="宋体"/>
                <w:b/>
                <w:bCs/>
                <w:color w:val="000000"/>
                <w:sz w:val="21"/>
                <w:szCs w:val="21"/>
                <w:highlight w:val="none"/>
                <w:lang w:eastAsia="zh-CN"/>
              </w:rPr>
              <w:t>项目所在地</w:t>
            </w:r>
            <w:r>
              <w:rPr>
                <w:rFonts w:hint="eastAsia" w:ascii="宋体" w:hAnsi="宋体" w:eastAsia="宋体" w:cs="宋体"/>
                <w:color w:val="000000"/>
                <w:sz w:val="21"/>
                <w:szCs w:val="21"/>
                <w:highlight w:val="none"/>
                <w:lang w:val="en-US" w:eastAsia="zh-CN"/>
              </w:rPr>
              <w:t>省级交通运输主管部门“公路建设市场信用信息管理系统’中查询到的网页截图。除网页截图外,投标人无须再提供任何业绩证明材料。如投标人未提供相关项目网页截图或相关项目网页截图中的信息无法证实投标人满足招标文件规定的资格审查条件(业绩最低要求),则该项目业绩不予认定</w:t>
            </w:r>
            <w:r>
              <w:rPr>
                <w:rFonts w:hint="eastAsia" w:ascii="宋体" w:hAnsi="宋体" w:eastAsia="宋体" w:cs="宋体"/>
                <w:color w:val="000000"/>
                <w:spacing w:val="-3"/>
                <w:w w:val="95"/>
                <w:sz w:val="21"/>
                <w:szCs w:val="21"/>
                <w:highlight w:val="none"/>
              </w:rPr>
              <w:t>。</w:t>
            </w:r>
          </w:p>
          <w:p>
            <w:pPr>
              <w:pStyle w:val="12"/>
              <w:numPr>
                <w:ilvl w:val="0"/>
                <w:numId w:val="0"/>
              </w:numPr>
              <w:tabs>
                <w:tab w:val="left" w:pos="1054"/>
              </w:tabs>
              <w:spacing w:before="2" w:line="360" w:lineRule="auto"/>
              <w:ind w:right="77" w:rightChars="0"/>
              <w:jc w:val="both"/>
              <w:rPr>
                <w:rFonts w:hint="eastAsia" w:ascii="宋体" w:hAnsi="宋体" w:eastAsia="宋体" w:cs="宋体"/>
                <w:color w:val="000000"/>
                <w:sz w:val="21"/>
                <w:szCs w:val="21"/>
                <w:highlight w:val="none"/>
              </w:rPr>
            </w:pPr>
            <w:r>
              <w:rPr>
                <w:rFonts w:hint="eastAsia" w:eastAsia="宋体" w:cs="宋体"/>
                <w:color w:val="000000"/>
                <w:sz w:val="21"/>
                <w:szCs w:val="21"/>
                <w:highlight w:val="none"/>
                <w:lang w:eastAsia="zh-CN"/>
              </w:rPr>
              <w:t>（</w:t>
            </w:r>
            <w:r>
              <w:rPr>
                <w:rFonts w:hint="eastAsia" w:eastAsia="宋体" w:cs="宋体"/>
                <w:color w:val="000000"/>
                <w:sz w:val="21"/>
                <w:szCs w:val="21"/>
                <w:highlight w:val="none"/>
                <w:lang w:val="en-US" w:eastAsia="zh-CN"/>
              </w:rPr>
              <w:t>3</w:t>
            </w:r>
            <w:r>
              <w:rPr>
                <w:rFonts w:hint="eastAsia" w:eastAsia="宋体" w:cs="宋体"/>
                <w:color w:val="000000"/>
                <w:sz w:val="21"/>
                <w:szCs w:val="21"/>
                <w:highlight w:val="none"/>
                <w:lang w:eastAsia="zh-CN"/>
              </w:rPr>
              <w:t>）</w:t>
            </w:r>
            <w:r>
              <w:rPr>
                <w:rFonts w:hint="eastAsia" w:ascii="宋体" w:hAnsi="宋体" w:eastAsia="宋体" w:cs="宋体"/>
                <w:color w:val="000000"/>
                <w:sz w:val="21"/>
                <w:szCs w:val="21"/>
                <w:highlight w:val="none"/>
              </w:rPr>
              <w:t>对投标人所提供的企业业绩，如通过上述网站查询后结果与投标人自行提供结果不符，则</w:t>
            </w:r>
          </w:p>
          <w:p>
            <w:pPr>
              <w:pStyle w:val="12"/>
              <w:tabs>
                <w:tab w:val="left" w:pos="1054"/>
              </w:tabs>
              <w:spacing w:before="2" w:line="360" w:lineRule="auto"/>
              <w:ind w:right="77"/>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对应业绩将不予认定。投标人对其递交投标文件中所有证明材料的真实性负责，若招标人收到反映投标人提供了虚假材料、不实信息或隐瞒招标文件要求填报的信息方面等的投诉，招标人一经查实将不予退还投标保证金，并认定为失信投标行为(如中标同时取消其中标资格)，并依据《宁夏回族自治区公路建设与养护市场信用评价管理办法(试行)》(宁交规发(2021〕5号)文件对投标人本次投标行为进行评价，同时将评价结果上报宁夏交通运输厅，并在宁夏交通运输厅网站予以公布。其他要求同《公路工程标准施工招标文件》(2018年版)。</w:t>
            </w:r>
          </w:p>
          <w:p>
            <w:pPr>
              <w:pStyle w:val="12"/>
              <w:tabs>
                <w:tab w:val="left" w:pos="1054"/>
              </w:tabs>
              <w:spacing w:before="2" w:line="360" w:lineRule="auto"/>
              <w:ind w:right="77"/>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(4)业绩证明材料中需体现出公路路面养护工程施工相关工程内容，否则业绩不予认可。</w:t>
            </w:r>
          </w:p>
          <w:p>
            <w:pPr>
              <w:pStyle w:val="12"/>
              <w:tabs>
                <w:tab w:val="left" w:pos="1054"/>
              </w:tabs>
              <w:spacing w:before="2" w:line="360" w:lineRule="auto"/>
              <w:ind w:right="77"/>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(5)投标人提供的施工业绩应是以投标人名义签署的合同业绩，其母公司及下属专业单位签署合同的业绩、联合体业绩在资格审查中均不予认可。</w:t>
            </w:r>
          </w:p>
          <w:p>
            <w:pPr>
              <w:pStyle w:val="12"/>
              <w:tabs>
                <w:tab w:val="left" w:pos="1071"/>
              </w:tabs>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(6)投标人提供的业绩达不到附录 3 业绩最低要求的，其资格审查不予通过</w:t>
            </w:r>
            <w:r>
              <w:rPr>
                <w:rFonts w:hint="eastAsia" w:ascii="宋体" w:hAnsi="宋体" w:eastAsia="宋体" w:cs="宋体"/>
                <w:color w:val="000000"/>
                <w:w w:val="95"/>
                <w:sz w:val="21"/>
                <w:szCs w:val="21"/>
                <w:highlight w:val="none"/>
              </w:rPr>
              <w:t>。</w:t>
            </w:r>
            <w:r>
              <w:rPr>
                <w:rFonts w:hint="eastAsia" w:ascii="宋体" w:hAnsi="宋体" w:eastAsia="宋体" w:cs="宋体"/>
                <w:color w:val="000000"/>
                <w:sz w:val="21"/>
                <w:szCs w:val="21"/>
                <w:highlight w:val="none"/>
              </w:rPr>
              <w:t xml:space="preserve"> </w:t>
            </w:r>
          </w:p>
          <w:p>
            <w:pPr>
              <w:pStyle w:val="12"/>
              <w:tabs>
                <w:tab w:val="left" w:pos="1071"/>
              </w:tabs>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(7)宁夏公路建设市场信息管理系统已正常开启，由于端口号变化，本系统的登录地址变更为：http://222.75.71.73:808</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/CISS/main/home，如投标人需要，请正确登陆。</w:t>
            </w:r>
          </w:p>
          <w:p>
            <w:pPr>
              <w:pStyle w:val="12"/>
              <w:tabs>
                <w:tab w:val="left" w:pos="1053"/>
              </w:tabs>
              <w:spacing w:line="360" w:lineRule="auto"/>
              <w:ind w:left="-53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(4)招</w:t>
            </w:r>
            <w:r>
              <w:rPr>
                <w:rFonts w:hint="eastAsia" w:eastAsia="宋体" w:cs="宋体"/>
                <w:color w:val="000000"/>
                <w:sz w:val="21"/>
                <w:szCs w:val="21"/>
                <w:highlight w:val="none"/>
                <w:lang w:eastAsia="zh-CN"/>
              </w:rPr>
              <w:t>（</w:t>
            </w:r>
            <w:r>
              <w:rPr>
                <w:rFonts w:hint="eastAsia" w:eastAsia="宋体" w:cs="宋体"/>
                <w:color w:val="000000"/>
                <w:sz w:val="21"/>
                <w:szCs w:val="21"/>
                <w:highlight w:val="none"/>
                <w:lang w:val="en-US" w:eastAsia="zh-CN"/>
              </w:rPr>
              <w:t>8</w:t>
            </w:r>
            <w:r>
              <w:rPr>
                <w:rFonts w:hint="eastAsia" w:eastAsia="宋体" w:cs="宋体"/>
                <w:color w:val="000000"/>
                <w:sz w:val="21"/>
                <w:szCs w:val="21"/>
                <w:highlight w:val="none"/>
                <w:lang w:eastAsia="zh-CN"/>
              </w:rPr>
              <w:t>）</w:t>
            </w:r>
            <w:r>
              <w:rPr>
                <w:rFonts w:hint="eastAsia" w:eastAsia="宋体" w:cs="宋体"/>
                <w:color w:val="000000"/>
                <w:sz w:val="21"/>
                <w:szCs w:val="21"/>
                <w:highlight w:val="none"/>
                <w:lang w:val="en-US" w:eastAsia="zh-CN"/>
              </w:rPr>
              <w:t>招</w:t>
            </w:r>
            <w:r>
              <w:rPr>
                <w:rFonts w:hint="eastAsia" w:ascii="宋体" w:hAnsi="宋体" w:eastAsia="宋体" w:cs="宋体"/>
                <w:color w:val="000000"/>
                <w:sz w:val="21"/>
                <w:szCs w:val="21"/>
                <w:highlight w:val="none"/>
              </w:rPr>
              <w:t>标文件中其他地方与此处不一致时，以此处为准。</w:t>
            </w:r>
          </w:p>
        </w:tc>
      </w:tr>
    </w:tbl>
    <w:p>
      <w:pPr>
        <w:pStyle w:val="6"/>
        <w:tabs>
          <w:tab w:val="left" w:pos="1276"/>
        </w:tabs>
        <w:rPr>
          <w:rFonts w:hint="eastAsia" w:ascii="宋体" w:hAnsi="宋体" w:eastAsia="宋体" w:cs="宋体"/>
          <w:color w:val="000000"/>
          <w:sz w:val="21"/>
          <w:szCs w:val="21"/>
          <w:highlight w:val="none"/>
        </w:rPr>
      </w:pPr>
      <w:bookmarkStart w:id="3" w:name="附录5___资格审查条件(项目经理和项目总工最低要求)"/>
      <w:bookmarkEnd w:id="3"/>
    </w:p>
    <w:p>
      <w:pPr>
        <w:pStyle w:val="6"/>
        <w:tabs>
          <w:tab w:val="left" w:pos="1276"/>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附录4</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资格审查条件(信誉最低要求)</w:t>
      </w:r>
    </w:p>
    <w:p>
      <w:pPr>
        <w:pStyle w:val="8"/>
        <w:spacing w:before="3"/>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mc:AlternateContent>
          <mc:Choice Requires="wpg">
            <w:drawing>
              <wp:anchor distT="0" distB="0" distL="114300" distR="114300" simplePos="0" relativeHeight="251659264" behindDoc="1" locked="0" layoutInCell="1" allowOverlap="1">
                <wp:simplePos x="0" y="0"/>
                <wp:positionH relativeFrom="page">
                  <wp:posOffset>913130</wp:posOffset>
                </wp:positionH>
                <wp:positionV relativeFrom="paragraph">
                  <wp:posOffset>71120</wp:posOffset>
                </wp:positionV>
                <wp:extent cx="5885180" cy="5472430"/>
                <wp:effectExtent l="635" t="0" r="12065" b="13970"/>
                <wp:wrapNone/>
                <wp:docPr id="9" name="组合 9"/>
                <wp:cNvGraphicFramePr/>
                <a:graphic xmlns:a="http://schemas.openxmlformats.org/drawingml/2006/main">
                  <a:graphicData uri="http://schemas.microsoft.com/office/word/2010/wordprocessingGroup">
                    <wpg:wgp>
                      <wpg:cNvGrpSpPr/>
                      <wpg:grpSpPr>
                        <a:xfrm>
                          <a:off x="0" y="0"/>
                          <a:ext cx="5885180" cy="5472430"/>
                          <a:chOff x="1504" y="-147"/>
                          <a:chExt cx="9268" cy="8498"/>
                        </a:xfrm>
                      </wpg:grpSpPr>
                      <wps:wsp>
                        <wps:cNvPr id="6" name="任意多边形 6"/>
                        <wps:cNvSpPr/>
                        <wps:spPr>
                          <a:xfrm>
                            <a:off x="1503" y="-133"/>
                            <a:ext cx="9268" cy="8469"/>
                          </a:xfrm>
                          <a:custGeom>
                            <a:avLst/>
                            <a:gdLst>
                              <a:gd name="A1" fmla="val 0"/>
                              <a:gd name="A2" fmla="val 0"/>
                            </a:gdLst>
                            <a:ahLst/>
                            <a:cxnLst/>
                            <a:pathLst>
                              <a:path w="9268" h="8469">
                                <a:moveTo>
                                  <a:pt x="0" y="0"/>
                                </a:moveTo>
                                <a:lnTo>
                                  <a:pt x="9267" y="0"/>
                                </a:lnTo>
                                <a:moveTo>
                                  <a:pt x="0" y="8469"/>
                                </a:moveTo>
                                <a:lnTo>
                                  <a:pt x="9267" y="8469"/>
                                </a:lnTo>
                              </a:path>
                            </a:pathLst>
                          </a:custGeom>
                          <a:noFill/>
                          <a:ln w="18288" cap="flat" cmpd="sng">
                            <a:solidFill>
                              <a:srgbClr val="000000"/>
                            </a:solidFill>
                            <a:prstDash val="solid"/>
                            <a:round/>
                            <a:headEnd type="none" w="med" len="med"/>
                            <a:tailEnd type="none" w="med" len="med"/>
                          </a:ln>
                        </wps:spPr>
                        <wps:bodyPr upright="1"/>
                      </wps:wsp>
                      <wps:wsp>
                        <wps:cNvPr id="7" name="直接连接符 7"/>
                        <wps:cNvCnPr/>
                        <wps:spPr>
                          <a:xfrm>
                            <a:off x="1532" y="533"/>
                            <a:ext cx="9211" cy="0"/>
                          </a:xfrm>
                          <a:prstGeom prst="line">
                            <a:avLst/>
                          </a:prstGeom>
                          <a:ln w="9144" cap="flat" cmpd="sng">
                            <a:solidFill>
                              <a:srgbClr val="000000"/>
                            </a:solidFill>
                            <a:prstDash val="solid"/>
                            <a:headEnd type="none" w="med" len="med"/>
                            <a:tailEnd type="none" w="med" len="med"/>
                          </a:ln>
                        </wps:spPr>
                        <wps:bodyPr upright="1"/>
                      </wps:wsp>
                      <wps:wsp>
                        <wps:cNvPr id="8" name="任意多边形 8"/>
                        <wps:cNvSpPr/>
                        <wps:spPr>
                          <a:xfrm>
                            <a:off x="1518" y="-147"/>
                            <a:ext cx="9239" cy="8498"/>
                          </a:xfrm>
                          <a:custGeom>
                            <a:avLst/>
                            <a:gdLst>
                              <a:gd name="A1" fmla="val 0"/>
                              <a:gd name="A2" fmla="val 0"/>
                            </a:gdLst>
                            <a:ahLst/>
                            <a:cxnLst/>
                            <a:pathLst>
                              <a:path w="9239" h="8498">
                                <a:moveTo>
                                  <a:pt x="0" y="0"/>
                                </a:moveTo>
                                <a:lnTo>
                                  <a:pt x="0" y="8498"/>
                                </a:lnTo>
                                <a:moveTo>
                                  <a:pt x="9239" y="29"/>
                                </a:moveTo>
                                <a:lnTo>
                                  <a:pt x="9239" y="8498"/>
                                </a:lnTo>
                              </a:path>
                            </a:pathLst>
                          </a:custGeom>
                          <a:noFill/>
                          <a:ln w="18288" cap="flat" cmpd="sng">
                            <a:solidFill>
                              <a:srgbClr val="000000"/>
                            </a:solidFill>
                            <a:prstDash val="solid"/>
                            <a:round/>
                            <a:headEnd type="none" w="med" len="med"/>
                            <a:tailEnd type="none" w="med" len="med"/>
                          </a:ln>
                        </wps:spPr>
                        <wps:bodyPr upright="1"/>
                      </wps:wsp>
                    </wpg:wgp>
                  </a:graphicData>
                </a:graphic>
              </wp:anchor>
            </w:drawing>
          </mc:Choice>
          <mc:Fallback>
            <w:pict>
              <v:group id="_x0000_s1026" o:spid="_x0000_s1026" o:spt="203" style="position:absolute;left:0pt;margin-left:71.9pt;margin-top:5.6pt;height:430.9pt;width:463.4pt;mso-position-horizontal-relative:page;z-index:-251657216;mso-width-relative:page;mso-height-relative:page;" coordorigin="1504,-147" coordsize="9268,8498" o:gfxdata="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">
                <o:lock v:ext="edit" aspectratio="f"/>
                <v:shape id="_x0000_s1026" o:spid="_x0000_s1026" o:spt="100" style="position:absolute;left:1503;top:-133;height:8469;width:9268;" filled="f" stroked="t" coordsize="9268,8469" o:gfxdata="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TvNHugAAANoA&#10;AAAPAAAAAAAAAAEAIAAAACIAAABkcnMvZG93bnJldi54bWxQSwECFAAUAAAACACHTuJAMy8FnjsA&#10;AAA5AAAAEAAAAAAAAAABACAAAAAJAQAAZHJzL3NoYXBleG1sLnhtbFBLBQYAAAAABgAGAFsBAACz&#10;AwAAAAA=&#10;" path="m0,0l9267,0m0,8469l9267,8469e">
                  <v:fill on="f" focussize="0,0"/>
                  <v:stroke weight="1.44pt" color="#000000" joinstyle="round"/>
                  <v:imagedata o:title=""/>
                  <o:lock v:ext="edit" aspectratio="f"/>
                </v:shape>
                <v:line id="_x0000_s1026" o:spid="_x0000_s1026" o:spt="20" style="position:absolute;left:1532;top:533;height:0;width:9211;" filled="f" stroked="t" coordsize="21600,21600" o:gfxdata="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3oLsAAADa&#10;AAAADwAAAAAAAAABACAAAAAiAAAAZHJzL2Rvd25yZXYueG1sUEsBAhQAFAAAAAgAh07iQDMvBZ47&#10;AAAAOQAAABAAAAAAAAAAAQAgAAAACgEAAGRycy9zaGFwZXhtbC54bWxQSwUGAAAAAAYABgBbAQAA&#10;tAMAAAAA&#10;">
                  <v:fill on="f" focussize="0,0"/>
                  <v:stroke weight="0.72pt" color="#000000" joinstyle="round"/>
                  <v:imagedata o:title=""/>
                  <o:lock v:ext="edit" aspectratio="f"/>
                </v:line>
                <v:shape id="_x0000_s1026" o:spid="_x0000_s1026" o:spt="100" style="position:absolute;left:1518;top:-147;height:8498;width:9239;" filled="f" stroked="t" coordsize="9239,8498" o:gfxdata="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mvNmugAAANoA&#10;AAAPAAAAAAAAAAEAIAAAACIAAABkcnMvZG93bnJldi54bWxQSwECFAAUAAAACACHTuJAMy8FnjsA&#10;AAA5AAAAEAAAAAAAAAABACAAAAAJAQAAZHJzL3NoYXBleG1sLnhtbFBLBQYAAAAABgAGAFsBAACz&#10;AwAAAAA=&#10;" path="m0,0l0,8498m9239,29l9239,8498e">
                  <v:fill on="f" focussize="0,0"/>
                  <v:stroke weight="1.44pt" color="#000000" joinstyle="round"/>
                  <v:imagedata o:title=""/>
                  <o:lock v:ext="edit" aspectratio="f"/>
                </v:shape>
              </v:group>
            </w:pict>
          </mc:Fallback>
        </mc:AlternateContent>
      </w:r>
    </w:p>
    <w:p>
      <w:pPr>
        <w:pStyle w:val="8"/>
        <w:ind w:left="1144" w:right="1155"/>
        <w:jc w:val="center"/>
        <w:rPr>
          <w:rFonts w:hint="eastAsia" w:ascii="宋体" w:hAnsi="宋体" w:eastAsia="宋体" w:cs="宋体"/>
          <w:color w:val="000000"/>
          <w:spacing w:val="-1"/>
          <w:sz w:val="21"/>
          <w:szCs w:val="21"/>
          <w:highlight w:val="none"/>
        </w:rPr>
      </w:pPr>
      <w:r>
        <w:rPr>
          <w:rFonts w:hint="eastAsia" w:ascii="宋体" w:hAnsi="宋体" w:eastAsia="宋体" w:cs="宋体"/>
          <w:color w:val="000000"/>
          <w:spacing w:val="-1"/>
          <w:sz w:val="21"/>
          <w:szCs w:val="21"/>
          <w:highlight w:val="none"/>
        </w:rPr>
        <w:t>信 誉 要 求</w:t>
      </w:r>
    </w:p>
    <w:p>
      <w:pPr>
        <w:rPr>
          <w:rFonts w:hint="eastAsia"/>
        </w:rPr>
      </w:pPr>
    </w:p>
    <w:p>
      <w:pPr>
        <w:pStyle w:val="14"/>
        <w:numPr>
          <w:ilvl w:val="0"/>
          <w:numId w:val="1"/>
        </w:numPr>
        <w:tabs>
          <w:tab w:val="left" w:pos="1126"/>
        </w:tabs>
        <w:spacing w:before="139" w:line="367" w:lineRule="auto"/>
        <w:ind w:right="498" w:firstLine="42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SA"/>
        </w:rPr>
        <w:t>未被省级及以上交通运输主管部门取消招标项目所在地的投标资格且处于有效期内（以“全国公路建设市场信用信息管理系统、宁夏公路建设市场信用信息管理系统”中查询结果为准）</w:t>
      </w:r>
      <w:r>
        <w:rPr>
          <w:rFonts w:hint="eastAsia" w:ascii="宋体" w:hAnsi="宋体" w:eastAsia="宋体" w:cs="宋体"/>
          <w:color w:val="000000"/>
          <w:w w:val="99"/>
          <w:sz w:val="21"/>
          <w:szCs w:val="21"/>
          <w:highlight w:val="none"/>
        </w:rPr>
        <w:t>；</w:t>
      </w:r>
    </w:p>
    <w:p>
      <w:pPr>
        <w:pStyle w:val="14"/>
        <w:numPr>
          <w:ilvl w:val="0"/>
          <w:numId w:val="1"/>
        </w:numPr>
        <w:tabs>
          <w:tab w:val="left" w:pos="1116"/>
        </w:tabs>
        <w:spacing w:line="263" w:lineRule="exact"/>
        <w:ind w:left="1116" w:hanging="21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未被责令停业，暂扣或吊销执照，或吊销资质证书，或吊销安全生产许可证；</w:t>
      </w:r>
    </w:p>
    <w:p>
      <w:pPr>
        <w:pStyle w:val="14"/>
        <w:numPr>
          <w:ilvl w:val="0"/>
          <w:numId w:val="1"/>
        </w:numPr>
        <w:tabs>
          <w:tab w:val="left" w:pos="1116"/>
        </w:tabs>
        <w:spacing w:before="141"/>
        <w:ind w:left="1116" w:hanging="21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未进入清算程序，或被宣告破产，或其他丧失履约能力的情形；</w:t>
      </w:r>
    </w:p>
    <w:p>
      <w:pPr>
        <w:pStyle w:val="14"/>
        <w:numPr>
          <w:ilvl w:val="0"/>
          <w:numId w:val="1"/>
        </w:numPr>
        <w:tabs>
          <w:tab w:val="left" w:pos="1121"/>
        </w:tabs>
        <w:spacing w:before="142" w:line="364" w:lineRule="auto"/>
        <w:ind w:right="498"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SA"/>
        </w:rPr>
        <w:t>在国家企业信用信息公示系统（http：//</w:t>
      </w:r>
      <w:r>
        <w:rPr>
          <w:rFonts w:hint="eastAsia" w:ascii="宋体" w:hAnsi="宋体" w:eastAsia="宋体" w:cs="宋体"/>
          <w:color w:val="000000"/>
          <w:sz w:val="21"/>
          <w:szCs w:val="21"/>
          <w:highlight w:val="none"/>
          <w:lang w:val="en-US" w:eastAsia="zh-CN" w:bidi="ar-SA"/>
        </w:rPr>
        <w:fldChar w:fldCharType="begin"/>
      </w:r>
      <w:r>
        <w:rPr>
          <w:rFonts w:hint="eastAsia" w:ascii="宋体" w:hAnsi="宋体" w:eastAsia="宋体" w:cs="宋体"/>
          <w:color w:val="000000"/>
          <w:sz w:val="21"/>
          <w:szCs w:val="21"/>
          <w:highlight w:val="none"/>
          <w:lang w:val="en-US" w:eastAsia="zh-CN" w:bidi="ar-SA"/>
        </w:rPr>
        <w:instrText xml:space="preserve"> HYPERLINK "http://www.gsxt.gov.cn/" \h </w:instrText>
      </w:r>
      <w:r>
        <w:rPr>
          <w:rFonts w:hint="eastAsia" w:ascii="宋体" w:hAnsi="宋体" w:eastAsia="宋体" w:cs="宋体"/>
          <w:color w:val="000000"/>
          <w:sz w:val="21"/>
          <w:szCs w:val="21"/>
          <w:highlight w:val="none"/>
          <w:lang w:val="en-US" w:eastAsia="zh-CN" w:bidi="ar-SA"/>
        </w:rPr>
        <w:fldChar w:fldCharType="separate"/>
      </w:r>
      <w:r>
        <w:rPr>
          <w:rFonts w:hint="eastAsia" w:ascii="宋体" w:hAnsi="宋体" w:eastAsia="宋体" w:cs="宋体"/>
          <w:color w:val="000000"/>
          <w:sz w:val="21"/>
          <w:szCs w:val="21"/>
          <w:highlight w:val="none"/>
          <w:lang w:val="en-US" w:eastAsia="zh-CN" w:bidi="ar-SA"/>
        </w:rPr>
        <w:t>www.gsxt.gov.cn/</w:t>
      </w:r>
      <w:r>
        <w:rPr>
          <w:rFonts w:hint="eastAsia" w:ascii="宋体" w:hAnsi="宋体" w:eastAsia="宋体" w:cs="宋体"/>
          <w:color w:val="000000"/>
          <w:sz w:val="21"/>
          <w:szCs w:val="21"/>
          <w:highlight w:val="none"/>
          <w:lang w:val="en-US" w:eastAsia="zh-CN" w:bidi="ar-SA"/>
        </w:rPr>
        <w:fldChar w:fldCharType="end"/>
      </w:r>
      <w:r>
        <w:rPr>
          <w:rFonts w:hint="eastAsia" w:ascii="宋体" w:hAnsi="宋体" w:eastAsia="宋体" w:cs="宋体"/>
          <w:color w:val="000000"/>
          <w:sz w:val="21"/>
          <w:szCs w:val="21"/>
          <w:highlight w:val="none"/>
          <w:lang w:val="en-US" w:eastAsia="zh-CN" w:bidi="ar-SA"/>
        </w:rPr>
        <w:t>）中未被列入严重违法失信企业名单</w:t>
      </w:r>
      <w:r>
        <w:rPr>
          <w:rFonts w:hint="eastAsia" w:ascii="宋体" w:hAnsi="宋体" w:eastAsia="宋体" w:cs="宋体"/>
          <w:color w:val="000000"/>
          <w:sz w:val="21"/>
          <w:szCs w:val="21"/>
          <w:highlight w:val="none"/>
        </w:rPr>
        <w:t>；</w:t>
      </w:r>
    </w:p>
    <w:p>
      <w:pPr>
        <w:pStyle w:val="14"/>
        <w:numPr>
          <w:ilvl w:val="0"/>
          <w:numId w:val="1"/>
        </w:numPr>
        <w:tabs>
          <w:tab w:val="left" w:pos="1121"/>
        </w:tabs>
        <w:spacing w:before="142" w:line="364" w:lineRule="auto"/>
        <w:ind w:right="498"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SA"/>
        </w:rPr>
        <w:t>在“ 信用中国 ”（http ： //</w:t>
      </w:r>
      <w:r>
        <w:rPr>
          <w:rFonts w:hint="eastAsia" w:ascii="宋体" w:hAnsi="宋体" w:eastAsia="宋体" w:cs="宋体"/>
          <w:color w:val="000000"/>
          <w:sz w:val="21"/>
          <w:szCs w:val="21"/>
          <w:highlight w:val="none"/>
          <w:lang w:val="en-US" w:eastAsia="zh-CN" w:bidi="ar-SA"/>
        </w:rPr>
        <w:fldChar w:fldCharType="begin"/>
      </w:r>
      <w:r>
        <w:rPr>
          <w:rFonts w:hint="eastAsia" w:ascii="宋体" w:hAnsi="宋体" w:eastAsia="宋体" w:cs="宋体"/>
          <w:color w:val="000000"/>
          <w:sz w:val="21"/>
          <w:szCs w:val="21"/>
          <w:highlight w:val="none"/>
          <w:lang w:val="en-US" w:eastAsia="zh-CN" w:bidi="ar-SA"/>
        </w:rPr>
        <w:instrText xml:space="preserve"> HYPERLINK "http://www.creditchina.gov.cn/" \h </w:instrText>
      </w:r>
      <w:r>
        <w:rPr>
          <w:rFonts w:hint="eastAsia" w:ascii="宋体" w:hAnsi="宋体" w:eastAsia="宋体" w:cs="宋体"/>
          <w:color w:val="000000"/>
          <w:sz w:val="21"/>
          <w:szCs w:val="21"/>
          <w:highlight w:val="none"/>
          <w:lang w:val="en-US" w:eastAsia="zh-CN" w:bidi="ar-SA"/>
        </w:rPr>
        <w:fldChar w:fldCharType="separate"/>
      </w:r>
      <w:r>
        <w:rPr>
          <w:rFonts w:hint="eastAsia" w:ascii="宋体" w:hAnsi="宋体" w:eastAsia="宋体" w:cs="宋体"/>
          <w:color w:val="000000"/>
          <w:sz w:val="21"/>
          <w:szCs w:val="21"/>
          <w:highlight w:val="none"/>
          <w:lang w:val="en-US" w:eastAsia="zh-CN" w:bidi="ar-SA"/>
        </w:rPr>
        <w:t>www.creditchina.gov.cn</w:t>
      </w:r>
      <w:r>
        <w:rPr>
          <w:rFonts w:hint="eastAsia" w:ascii="宋体" w:hAnsi="宋体" w:eastAsia="宋体" w:cs="宋体"/>
          <w:color w:val="000000"/>
          <w:sz w:val="21"/>
          <w:szCs w:val="21"/>
          <w:highlight w:val="none"/>
          <w:lang w:val="en-US" w:eastAsia="zh-CN" w:bidi="ar-SA"/>
        </w:rPr>
        <w:fldChar w:fldCharType="end"/>
      </w:r>
      <w:r>
        <w:rPr>
          <w:rFonts w:hint="eastAsia" w:ascii="宋体" w:hAnsi="宋体" w:eastAsia="宋体" w:cs="宋体"/>
          <w:color w:val="000000"/>
          <w:sz w:val="21"/>
          <w:szCs w:val="21"/>
          <w:highlight w:val="none"/>
          <w:lang w:val="en-US" w:eastAsia="zh-CN" w:bidi="ar-SA"/>
        </w:rPr>
        <w:t>）、“ 信用宁夏” 网站（http ：//credit.nx.gov.cn/）中未被列入失信被执行人、企业经营异常名录、重大税收违法案件当事人名单</w:t>
      </w:r>
      <w:r>
        <w:rPr>
          <w:rFonts w:hint="eastAsia" w:ascii="宋体" w:hAnsi="宋体" w:eastAsia="宋体" w:cs="宋体"/>
          <w:color w:val="000000"/>
          <w:sz w:val="21"/>
          <w:szCs w:val="21"/>
          <w:highlight w:val="none"/>
        </w:rPr>
        <w:t>；</w:t>
      </w:r>
    </w:p>
    <w:p>
      <w:pPr>
        <w:pStyle w:val="14"/>
        <w:numPr>
          <w:ilvl w:val="0"/>
          <w:numId w:val="1"/>
        </w:numPr>
        <w:tabs>
          <w:tab w:val="left" w:pos="1124"/>
        </w:tabs>
        <w:spacing w:line="364" w:lineRule="auto"/>
        <w:ind w:right="496"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在“中国执行信息公开网”(</w:t>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"http://zxgk.court.gov.cn/shixin/)中未被列入失信被执行" \h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http://zxgk.court.gov.cn/shixin/)中未被列入失信被执行</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人名单；</w:t>
      </w:r>
    </w:p>
    <w:p>
      <w:pPr>
        <w:pStyle w:val="14"/>
        <w:numPr>
          <w:ilvl w:val="0"/>
          <w:numId w:val="1"/>
        </w:numPr>
        <w:tabs>
          <w:tab w:val="left" w:pos="1119"/>
        </w:tabs>
        <w:spacing w:line="367" w:lineRule="auto"/>
        <w:ind w:right="498"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SA"/>
        </w:rPr>
        <w:t>投标人及其法定代表人、拟委任的项目经理、项目总工自</w:t>
      </w:r>
      <w:r>
        <w:rPr>
          <w:rFonts w:hint="eastAsia" w:ascii="宋体" w:hAnsi="宋体" w:eastAsia="宋体" w:cs="宋体"/>
          <w:color w:val="FF0000"/>
          <w:sz w:val="21"/>
          <w:szCs w:val="21"/>
          <w:highlight w:val="none"/>
          <w:lang w:val="en-US" w:eastAsia="zh-CN" w:bidi="ar-SA"/>
        </w:rPr>
        <w:t>2020年0</w:t>
      </w:r>
      <w:r>
        <w:rPr>
          <w:rFonts w:hint="eastAsia" w:cs="宋体"/>
          <w:color w:val="FF0000"/>
          <w:sz w:val="21"/>
          <w:szCs w:val="21"/>
          <w:highlight w:val="none"/>
          <w:lang w:val="en-US" w:eastAsia="zh-CN" w:bidi="ar-SA"/>
        </w:rPr>
        <w:t>4月27日</w:t>
      </w:r>
      <w:r>
        <w:rPr>
          <w:rFonts w:hint="eastAsia" w:ascii="宋体" w:hAnsi="宋体" w:eastAsia="宋体" w:cs="宋体"/>
          <w:color w:val="000000"/>
          <w:sz w:val="21"/>
          <w:szCs w:val="21"/>
          <w:highlight w:val="none"/>
          <w:lang w:val="en-US" w:eastAsia="zh-CN" w:bidi="ar-SA"/>
        </w:rPr>
        <w:t>以来无行贿犯罪行为（附承诺函）</w:t>
      </w:r>
      <w:r>
        <w:rPr>
          <w:rFonts w:hint="eastAsia" w:ascii="宋体" w:hAnsi="宋体" w:eastAsia="宋体" w:cs="宋体"/>
          <w:color w:val="000000"/>
          <w:w w:val="99"/>
          <w:sz w:val="21"/>
          <w:szCs w:val="21"/>
          <w:highlight w:val="none"/>
        </w:rPr>
        <w:t>；</w:t>
      </w:r>
    </w:p>
    <w:p>
      <w:pPr>
        <w:pStyle w:val="14"/>
        <w:numPr>
          <w:ilvl w:val="0"/>
          <w:numId w:val="1"/>
        </w:numPr>
        <w:tabs>
          <w:tab w:val="left" w:pos="1121"/>
        </w:tabs>
        <w:spacing w:line="364" w:lineRule="auto"/>
        <w:ind w:right="498" w:firstLine="42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SA"/>
        </w:rPr>
        <w:t>投标人未在宁夏人力资源社会保障部门门户网站或“信用中国”网站或国家企业信用信息公示系统或地方信用信息共享平台存在拖欠农民工工资违法失信行为的，或查询到存在拖欠农民工工资违法失信行为但已由处罚机关出具了已不再拖欠农民工资证明书的</w:t>
      </w:r>
      <w:r>
        <w:rPr>
          <w:rFonts w:hint="eastAsia" w:ascii="宋体" w:hAnsi="宋体" w:eastAsia="宋体" w:cs="宋体"/>
          <w:color w:val="000000"/>
          <w:w w:val="99"/>
          <w:sz w:val="21"/>
          <w:szCs w:val="21"/>
          <w:highlight w:val="none"/>
        </w:rPr>
        <w:t>；</w:t>
      </w:r>
    </w:p>
    <w:p>
      <w:pPr>
        <w:pStyle w:val="14"/>
        <w:numPr>
          <w:ilvl w:val="0"/>
          <w:numId w:val="1"/>
        </w:numPr>
        <w:tabs>
          <w:tab w:val="left" w:pos="1116"/>
        </w:tabs>
        <w:ind w:left="1116" w:hanging="21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无法律法规或投标人须知前附表规定的其他情形。</w:t>
      </w:r>
    </w:p>
    <w:p>
      <w:pPr>
        <w:rPr>
          <w:rFonts w:hint="eastAsia" w:ascii="宋体" w:hAnsi="宋体" w:eastAsia="宋体" w:cs="宋体"/>
          <w:color w:val="000000"/>
          <w:sz w:val="21"/>
          <w:szCs w:val="21"/>
          <w:highlight w:val="none"/>
        </w:rPr>
        <w:sectPr>
          <w:pgSz w:w="11910" w:h="16840"/>
          <w:pgMar w:top="1520" w:right="760" w:bottom="1080" w:left="1140" w:header="0" w:footer="811" w:gutter="0"/>
          <w:cols w:space="720" w:num="1"/>
        </w:sectPr>
      </w:pPr>
    </w:p>
    <w:p>
      <w:pPr>
        <w:pStyle w:val="6"/>
        <w:tabs>
          <w:tab w:val="left" w:pos="1276"/>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附录5</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资格审查条件(项目经理和项目总工最低要求)</w:t>
      </w:r>
    </w:p>
    <w:p>
      <w:pPr>
        <w:pStyle w:val="8"/>
        <w:spacing w:before="10"/>
        <w:rPr>
          <w:rFonts w:hint="eastAsia" w:ascii="宋体" w:hAnsi="宋体" w:eastAsia="宋体" w:cs="宋体"/>
          <w:color w:val="000000"/>
          <w:sz w:val="21"/>
          <w:szCs w:val="21"/>
          <w:highlight w:val="none"/>
        </w:rPr>
      </w:pPr>
    </w:p>
    <w:tbl>
      <w:tblPr>
        <w:tblStyle w:val="11"/>
        <w:tblW w:w="9518" w:type="dxa"/>
        <w:tblInd w:w="23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1700"/>
        <w:gridCol w:w="768"/>
        <w:gridCol w:w="4285"/>
        <w:gridCol w:w="27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604" w:hRule="atLeast"/>
        </w:trPr>
        <w:tc>
          <w:tcPr>
            <w:tcW w:w="1700" w:type="dxa"/>
            <w:tcBorders>
              <w:bottom w:val="single" w:color="000000" w:sz="6" w:space="0"/>
              <w:right w:val="single" w:color="000000" w:sz="6" w:space="0"/>
            </w:tcBorders>
            <w:noWrap w:val="0"/>
            <w:vAlign w:val="center"/>
          </w:tcPr>
          <w:p>
            <w:pPr>
              <w:pStyle w:val="12"/>
              <w:spacing w:before="40"/>
              <w:ind w:left="192"/>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人员</w:t>
            </w:r>
          </w:p>
        </w:tc>
        <w:tc>
          <w:tcPr>
            <w:tcW w:w="768" w:type="dxa"/>
            <w:tcBorders>
              <w:left w:val="single" w:color="000000" w:sz="6" w:space="0"/>
              <w:bottom w:val="single" w:color="000000" w:sz="6" w:space="0"/>
              <w:right w:val="single" w:color="000000" w:sz="6" w:space="0"/>
            </w:tcBorders>
            <w:noWrap w:val="0"/>
            <w:vAlign w:val="center"/>
          </w:tcPr>
          <w:p>
            <w:pPr>
              <w:pStyle w:val="12"/>
              <w:spacing w:before="40"/>
              <w:ind w:left="179"/>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数量</w:t>
            </w:r>
          </w:p>
        </w:tc>
        <w:tc>
          <w:tcPr>
            <w:tcW w:w="4285" w:type="dxa"/>
            <w:tcBorders>
              <w:left w:val="single" w:color="000000" w:sz="6" w:space="0"/>
              <w:bottom w:val="single" w:color="000000" w:sz="6" w:space="0"/>
              <w:right w:val="single" w:color="000000" w:sz="6" w:space="0"/>
            </w:tcBorders>
            <w:noWrap w:val="0"/>
            <w:vAlign w:val="center"/>
          </w:tcPr>
          <w:p>
            <w:pPr>
              <w:pStyle w:val="12"/>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1"/>
                <w:sz w:val="21"/>
                <w:szCs w:val="21"/>
                <w:highlight w:val="none"/>
              </w:rPr>
              <w:t>资 格 要 求</w:t>
            </w:r>
          </w:p>
        </w:tc>
        <w:tc>
          <w:tcPr>
            <w:tcW w:w="2765" w:type="dxa"/>
            <w:tcBorders>
              <w:left w:val="single" w:color="000000" w:sz="6" w:space="0"/>
              <w:bottom w:val="single" w:color="000000" w:sz="6" w:space="0"/>
            </w:tcBorders>
            <w:noWrap w:val="0"/>
            <w:vAlign w:val="center"/>
          </w:tcPr>
          <w:p>
            <w:pPr>
              <w:pStyle w:val="12"/>
              <w:spacing w:before="40"/>
              <w:ind w:left="272"/>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在岗要求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2859" w:hRule="atLeast"/>
        </w:trPr>
        <w:tc>
          <w:tcPr>
            <w:tcW w:w="1700" w:type="dxa"/>
            <w:tcBorders>
              <w:top w:val="single" w:color="000000" w:sz="6" w:space="0"/>
              <w:bottom w:val="single" w:color="000000" w:sz="6" w:space="0"/>
              <w:right w:val="single" w:color="000000" w:sz="6" w:space="0"/>
            </w:tcBorders>
            <w:noWrap w:val="0"/>
            <w:vAlign w:val="top"/>
          </w:tcPr>
          <w:p>
            <w:pPr>
              <w:pStyle w:val="12"/>
              <w:rPr>
                <w:rFonts w:hint="eastAsia" w:ascii="宋体" w:hAnsi="宋体" w:eastAsia="宋体" w:cs="宋体"/>
                <w:color w:val="000000"/>
                <w:sz w:val="21"/>
                <w:szCs w:val="21"/>
                <w:highlight w:val="none"/>
              </w:rPr>
            </w:pPr>
          </w:p>
          <w:p>
            <w:pPr>
              <w:pStyle w:val="12"/>
              <w:rPr>
                <w:rFonts w:hint="eastAsia" w:ascii="宋体" w:hAnsi="宋体" w:eastAsia="宋体" w:cs="宋体"/>
                <w:color w:val="000000"/>
                <w:sz w:val="21"/>
                <w:szCs w:val="21"/>
                <w:highlight w:val="none"/>
              </w:rPr>
            </w:pPr>
          </w:p>
          <w:p>
            <w:pPr>
              <w:pStyle w:val="12"/>
              <w:rPr>
                <w:rFonts w:hint="eastAsia" w:ascii="宋体" w:hAnsi="宋体" w:eastAsia="宋体" w:cs="宋体"/>
                <w:color w:val="000000"/>
                <w:sz w:val="21"/>
                <w:szCs w:val="21"/>
                <w:highlight w:val="none"/>
              </w:rPr>
            </w:pPr>
          </w:p>
          <w:p>
            <w:pPr>
              <w:pStyle w:val="12"/>
              <w:rPr>
                <w:rFonts w:hint="eastAsia" w:ascii="宋体" w:hAnsi="宋体" w:eastAsia="宋体" w:cs="宋体"/>
                <w:color w:val="000000"/>
                <w:sz w:val="21"/>
                <w:szCs w:val="21"/>
                <w:highlight w:val="none"/>
              </w:rPr>
            </w:pPr>
          </w:p>
          <w:p>
            <w:pPr>
              <w:pStyle w:val="12"/>
              <w:rPr>
                <w:rFonts w:hint="eastAsia" w:ascii="宋体" w:hAnsi="宋体" w:eastAsia="宋体" w:cs="宋体"/>
                <w:color w:val="000000"/>
                <w:sz w:val="21"/>
                <w:szCs w:val="21"/>
                <w:highlight w:val="none"/>
              </w:rPr>
            </w:pPr>
          </w:p>
          <w:p>
            <w:pPr>
              <w:pStyle w:val="12"/>
              <w:rPr>
                <w:rFonts w:hint="eastAsia" w:ascii="宋体" w:hAnsi="宋体" w:eastAsia="宋体" w:cs="宋体"/>
                <w:color w:val="000000"/>
                <w:sz w:val="21"/>
                <w:szCs w:val="21"/>
                <w:highlight w:val="none"/>
              </w:rPr>
            </w:pPr>
          </w:p>
          <w:p>
            <w:pPr>
              <w:pStyle w:val="12"/>
              <w:rPr>
                <w:rFonts w:hint="eastAsia" w:ascii="宋体" w:hAnsi="宋体" w:eastAsia="宋体" w:cs="宋体"/>
                <w:color w:val="000000"/>
                <w:sz w:val="21"/>
                <w:szCs w:val="21"/>
                <w:highlight w:val="none"/>
              </w:rPr>
            </w:pPr>
          </w:p>
          <w:p>
            <w:pPr>
              <w:pStyle w:val="12"/>
              <w:rPr>
                <w:rFonts w:hint="eastAsia" w:ascii="宋体" w:hAnsi="宋体" w:eastAsia="宋体" w:cs="宋体"/>
                <w:color w:val="000000"/>
                <w:sz w:val="21"/>
                <w:szCs w:val="21"/>
                <w:highlight w:val="none"/>
              </w:rPr>
            </w:pPr>
          </w:p>
          <w:p>
            <w:pPr>
              <w:pStyle w:val="12"/>
              <w:spacing w:before="6"/>
              <w:rPr>
                <w:rFonts w:hint="eastAsia" w:ascii="宋体" w:hAnsi="宋体" w:eastAsia="宋体" w:cs="宋体"/>
                <w:color w:val="000000"/>
                <w:sz w:val="21"/>
                <w:szCs w:val="21"/>
                <w:highlight w:val="none"/>
              </w:rPr>
            </w:pPr>
          </w:p>
          <w:p>
            <w:pPr>
              <w:pStyle w:val="12"/>
              <w:rPr>
                <w:rFonts w:hint="eastAsia" w:ascii="宋体" w:hAnsi="宋体" w:eastAsia="宋体" w:cs="宋体"/>
                <w:color w:val="000000"/>
                <w:sz w:val="21"/>
                <w:szCs w:val="21"/>
                <w:highlight w:val="none"/>
              </w:rPr>
            </w:pPr>
          </w:p>
          <w:p>
            <w:pPr>
              <w:pStyle w:val="12"/>
              <w:spacing w:line="364" w:lineRule="auto"/>
              <w:ind w:left="192" w:right="162"/>
              <w:rPr>
                <w:rFonts w:hint="eastAsia" w:ascii="宋体" w:hAnsi="宋体" w:eastAsia="宋体" w:cs="宋体"/>
                <w:color w:val="000000"/>
                <w:sz w:val="21"/>
                <w:szCs w:val="21"/>
                <w:highlight w:val="none"/>
              </w:rPr>
            </w:pPr>
            <w:r>
              <w:rPr>
                <w:rFonts w:hint="eastAsia" w:ascii="宋体" w:hAnsi="宋体" w:eastAsia="宋体" w:cs="宋体"/>
                <w:color w:val="000000"/>
                <w:spacing w:val="-3"/>
                <w:sz w:val="21"/>
                <w:szCs w:val="21"/>
                <w:highlight w:val="none"/>
              </w:rPr>
              <w:t>项目经理</w:t>
            </w:r>
          </w:p>
        </w:tc>
        <w:tc>
          <w:tcPr>
            <w:tcW w:w="768" w:type="dxa"/>
            <w:tcBorders>
              <w:top w:val="single" w:color="000000" w:sz="6" w:space="0"/>
              <w:left w:val="single" w:color="000000" w:sz="6" w:space="0"/>
              <w:bottom w:val="single" w:color="000000" w:sz="6" w:space="0"/>
              <w:right w:val="single" w:color="000000" w:sz="6" w:space="0"/>
            </w:tcBorders>
            <w:noWrap w:val="0"/>
            <w:vAlign w:val="top"/>
          </w:tcPr>
          <w:p>
            <w:pPr>
              <w:pStyle w:val="12"/>
              <w:rPr>
                <w:rFonts w:hint="eastAsia" w:ascii="宋体" w:hAnsi="宋体" w:eastAsia="宋体" w:cs="宋体"/>
                <w:color w:val="000000"/>
                <w:sz w:val="21"/>
                <w:szCs w:val="21"/>
                <w:highlight w:val="none"/>
              </w:rPr>
            </w:pPr>
          </w:p>
          <w:p>
            <w:pPr>
              <w:pStyle w:val="12"/>
              <w:rPr>
                <w:rFonts w:hint="eastAsia" w:ascii="宋体" w:hAnsi="宋体" w:eastAsia="宋体" w:cs="宋体"/>
                <w:color w:val="000000"/>
                <w:sz w:val="21"/>
                <w:szCs w:val="21"/>
                <w:highlight w:val="none"/>
              </w:rPr>
            </w:pPr>
          </w:p>
          <w:p>
            <w:pPr>
              <w:pStyle w:val="12"/>
              <w:rPr>
                <w:rFonts w:hint="eastAsia" w:ascii="宋体" w:hAnsi="宋体" w:eastAsia="宋体" w:cs="宋体"/>
                <w:color w:val="000000"/>
                <w:sz w:val="21"/>
                <w:szCs w:val="21"/>
                <w:highlight w:val="none"/>
              </w:rPr>
            </w:pPr>
          </w:p>
          <w:p>
            <w:pPr>
              <w:pStyle w:val="12"/>
              <w:rPr>
                <w:rFonts w:hint="eastAsia" w:ascii="宋体" w:hAnsi="宋体" w:eastAsia="宋体" w:cs="宋体"/>
                <w:color w:val="000000"/>
                <w:sz w:val="21"/>
                <w:szCs w:val="21"/>
                <w:highlight w:val="none"/>
              </w:rPr>
            </w:pPr>
          </w:p>
          <w:p>
            <w:pPr>
              <w:pStyle w:val="12"/>
              <w:spacing w:before="12"/>
              <w:rPr>
                <w:rFonts w:hint="eastAsia" w:ascii="宋体" w:hAnsi="宋体" w:eastAsia="宋体" w:cs="宋体"/>
                <w:color w:val="000000"/>
                <w:sz w:val="21"/>
                <w:szCs w:val="21"/>
                <w:highlight w:val="none"/>
              </w:rPr>
            </w:pPr>
          </w:p>
          <w:p>
            <w:pPr>
              <w:pStyle w:val="12"/>
              <w:ind w:right="99"/>
              <w:jc w:val="center"/>
              <w:rPr>
                <w:rFonts w:hint="eastAsia" w:ascii="宋体" w:hAnsi="宋体" w:eastAsia="宋体" w:cs="宋体"/>
                <w:color w:val="000000"/>
                <w:sz w:val="21"/>
                <w:szCs w:val="21"/>
                <w:highlight w:val="none"/>
              </w:rPr>
            </w:pPr>
            <w:r>
              <w:rPr>
                <w:rFonts w:hint="eastAsia" w:ascii="宋体" w:hAnsi="宋体" w:eastAsia="宋体" w:cs="宋体"/>
                <w:color w:val="000000"/>
                <w:w w:val="99"/>
                <w:sz w:val="21"/>
                <w:szCs w:val="21"/>
                <w:highlight w:val="none"/>
              </w:rPr>
              <w:t>1</w:t>
            </w:r>
          </w:p>
        </w:tc>
        <w:tc>
          <w:tcPr>
            <w:tcW w:w="4285" w:type="dxa"/>
            <w:tcBorders>
              <w:top w:val="single" w:color="000000" w:sz="6" w:space="0"/>
              <w:left w:val="single" w:color="000000" w:sz="6" w:space="0"/>
              <w:bottom w:val="single" w:color="000000" w:sz="6" w:space="0"/>
              <w:right w:val="single" w:color="000000" w:sz="6" w:space="0"/>
            </w:tcBorders>
            <w:noWrap w:val="0"/>
            <w:vAlign w:val="top"/>
          </w:tcPr>
          <w:p>
            <w:pPr>
              <w:pStyle w:val="2"/>
              <w:spacing w:line="360" w:lineRule="auto"/>
              <w:ind w:left="0" w:leftChars="0"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具有公路工程相关专业中级及以上职称，并具有住建部颁发的公路工程专业</w:t>
            </w:r>
            <w:r>
              <w:rPr>
                <w:rFonts w:hint="eastAsia" w:ascii="宋体" w:hAnsi="宋体" w:eastAsia="宋体" w:cs="宋体"/>
                <w:color w:val="000000"/>
                <w:sz w:val="21"/>
                <w:szCs w:val="21"/>
                <w:lang w:val="en-US" w:eastAsia="zh-CN" w:bidi="ar-SA"/>
              </w:rPr>
              <w:t>二级</w:t>
            </w:r>
            <w:r>
              <w:rPr>
                <w:rFonts w:hint="eastAsia" w:ascii="宋体" w:hAnsi="宋体" w:cs="宋体"/>
                <w:sz w:val="21"/>
                <w:szCs w:val="21"/>
                <w:lang w:val="en-US" w:eastAsia="zh-CN" w:bidi="ar-SA"/>
              </w:rPr>
              <w:t>或</w:t>
            </w:r>
            <w:r>
              <w:rPr>
                <w:rFonts w:hint="eastAsia" w:ascii="宋体" w:hAnsi="宋体" w:eastAsia="宋体" w:cs="宋体"/>
                <w:sz w:val="21"/>
                <w:szCs w:val="21"/>
                <w:lang w:val="en-US" w:eastAsia="zh-CN" w:bidi="ar-SA"/>
              </w:rPr>
              <w:t>以上注册建造师证，持有交通运输主管部门或建设主管部门颁发的B类安全生产考核证书。</w:t>
            </w:r>
          </w:p>
          <w:p>
            <w:pPr>
              <w:pStyle w:val="2"/>
              <w:spacing w:line="360" w:lineRule="auto"/>
              <w:ind w:left="0" w:leftChars="0" w:firstLine="420" w:firstLineChars="200"/>
              <w:rPr>
                <w:rFonts w:hint="eastAsia" w:ascii="宋体" w:hAnsi="宋体" w:eastAsia="宋体" w:cs="宋体"/>
                <w:color w:val="000000"/>
                <w:w w:val="95"/>
                <w:sz w:val="21"/>
                <w:szCs w:val="21"/>
                <w:highlight w:val="none"/>
              </w:rPr>
            </w:pPr>
            <w:r>
              <w:rPr>
                <w:rFonts w:hint="eastAsia" w:ascii="宋体" w:hAnsi="宋体" w:eastAsia="宋体" w:cs="宋体"/>
                <w:sz w:val="21"/>
                <w:szCs w:val="21"/>
                <w:lang w:val="en-US" w:eastAsia="zh-CN" w:bidi="ar-SA"/>
              </w:rPr>
              <w:t>近三年内（指</w:t>
            </w:r>
            <w:r>
              <w:rPr>
                <w:rFonts w:hint="eastAsia" w:ascii="宋体" w:hAnsi="宋体" w:eastAsia="宋体" w:cs="宋体"/>
                <w:color w:val="FF0000"/>
                <w:sz w:val="21"/>
                <w:szCs w:val="21"/>
                <w:lang w:val="en-US" w:eastAsia="zh-CN" w:bidi="ar-SA"/>
              </w:rPr>
              <w:t>2020年</w:t>
            </w:r>
            <w:r>
              <w:rPr>
                <w:rFonts w:hint="eastAsia" w:cs="宋体"/>
                <w:color w:val="FF0000"/>
                <w:sz w:val="21"/>
                <w:szCs w:val="21"/>
                <w:lang w:val="en-US" w:eastAsia="zh-CN" w:bidi="ar-SA"/>
              </w:rPr>
              <w:t>4月27日</w:t>
            </w:r>
            <w:r>
              <w:rPr>
                <w:rFonts w:hint="eastAsia" w:ascii="宋体" w:hAnsi="宋体" w:eastAsia="宋体" w:cs="宋体"/>
                <w:color w:val="FF0000"/>
                <w:sz w:val="21"/>
                <w:szCs w:val="21"/>
                <w:lang w:val="en-US" w:eastAsia="zh-CN" w:bidi="ar-SA"/>
              </w:rPr>
              <w:t>至投标截止日</w:t>
            </w:r>
            <w:r>
              <w:rPr>
                <w:rFonts w:hint="eastAsia" w:ascii="宋体" w:hAnsi="宋体" w:eastAsia="宋体" w:cs="宋体"/>
                <w:sz w:val="21"/>
                <w:szCs w:val="21"/>
                <w:lang w:val="en-US" w:eastAsia="zh-CN" w:bidi="ar-SA"/>
              </w:rPr>
              <w:t>，以交工日期为准），担任过</w:t>
            </w:r>
            <w:r>
              <w:rPr>
                <w:rFonts w:hint="eastAsia" w:ascii="宋体" w:hAnsi="宋体" w:eastAsia="宋体" w:cs="宋体"/>
                <w:color w:val="FF0000"/>
                <w:sz w:val="21"/>
                <w:szCs w:val="21"/>
                <w:lang w:val="en-US" w:eastAsia="zh-CN" w:bidi="ar-SA"/>
              </w:rPr>
              <w:t>二级及以上</w:t>
            </w:r>
            <w:r>
              <w:rPr>
                <w:rFonts w:hint="eastAsia" w:ascii="宋体" w:hAnsi="宋体" w:eastAsia="宋体" w:cs="宋体"/>
                <w:sz w:val="21"/>
                <w:szCs w:val="21"/>
                <w:lang w:val="en-US" w:eastAsia="zh-CN" w:bidi="ar-SA"/>
              </w:rPr>
              <w:t>等级公路日常维修项目（含路面）或公路养护工程（含路面）施工项目经理（项目负责人）职务，业绩数量至少为1个（如为项目副经理职务业绩数量至少为2个）。</w:t>
            </w:r>
          </w:p>
        </w:tc>
        <w:tc>
          <w:tcPr>
            <w:tcW w:w="2765" w:type="dxa"/>
            <w:vMerge w:val="restart"/>
            <w:tcBorders>
              <w:top w:val="single" w:color="000000" w:sz="6" w:space="0"/>
              <w:left w:val="single" w:color="000000" w:sz="6" w:space="0"/>
            </w:tcBorders>
            <w:noWrap w:val="0"/>
            <w:vAlign w:val="top"/>
          </w:tcPr>
          <w:p>
            <w:pPr>
              <w:pStyle w:val="12"/>
              <w:spacing w:before="31" w:line="364" w:lineRule="auto"/>
              <w:ind w:left="114" w:right="77" w:firstLine="42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8"/>
                <w:w w:val="95"/>
                <w:sz w:val="21"/>
                <w:szCs w:val="21"/>
                <w:highlight w:val="none"/>
                <w14:textFill>
                  <w14:solidFill>
                    <w14:schemeClr w14:val="tx1"/>
                  </w14:solidFill>
                </w14:textFill>
              </w:rPr>
              <w:t>无 在 岗</w:t>
            </w:r>
            <w:r>
              <w:rPr>
                <w:rFonts w:hint="eastAsia" w:ascii="宋体" w:hAnsi="宋体" w:eastAsia="宋体" w:cs="宋体"/>
                <w:color w:val="000000" w:themeColor="text1"/>
                <w:spacing w:val="20"/>
                <w:w w:val="95"/>
                <w:sz w:val="21"/>
                <w:szCs w:val="21"/>
                <w:highlight w:val="none"/>
                <w14:textFill>
                  <w14:solidFill>
                    <w14:schemeClr w14:val="tx1"/>
                  </w14:solidFill>
                </w14:textFill>
              </w:rPr>
              <w:t>项目是指：</w:t>
            </w:r>
          </w:p>
          <w:p>
            <w:pPr>
              <w:pStyle w:val="12"/>
              <w:numPr>
                <w:ilvl w:val="0"/>
                <w:numId w:val="2"/>
              </w:numPr>
              <w:spacing w:before="1" w:line="364" w:lineRule="auto"/>
              <w:ind w:left="114" w:right="77"/>
              <w:jc w:val="both"/>
              <w:rPr>
                <w:rFonts w:hint="eastAsia" w:ascii="宋体" w:hAnsi="宋体" w:eastAsia="宋体" w:cs="宋体"/>
                <w:color w:val="000000"/>
                <w:sz w:val="21"/>
                <w:szCs w:val="21"/>
                <w:highlight w:val="none"/>
              </w:rPr>
            </w:pPr>
            <w:r>
              <w:rPr>
                <w:rFonts w:hint="eastAsia" w:ascii="宋体" w:hAnsi="宋体" w:eastAsia="宋体" w:cs="宋体"/>
                <w:color w:val="000000" w:themeColor="text1"/>
                <w:spacing w:val="3"/>
                <w:w w:val="95"/>
                <w:sz w:val="21"/>
                <w:szCs w:val="21"/>
                <w:highlight w:val="none"/>
                <w14:textFill>
                  <w14:solidFill>
                    <w14:schemeClr w14:val="tx1"/>
                  </w14:solidFill>
                </w14:textFill>
              </w:rPr>
              <w:t>目前未在</w:t>
            </w:r>
            <w:r>
              <w:rPr>
                <w:rFonts w:hint="eastAsia" w:ascii="宋体" w:hAnsi="宋体" w:eastAsia="宋体" w:cs="宋体"/>
                <w:color w:val="000000" w:themeColor="text1"/>
                <w:spacing w:val="20"/>
                <w:sz w:val="21"/>
                <w:szCs w:val="21"/>
                <w:highlight w:val="none"/>
                <w14:textFill>
                  <w14:solidFill>
                    <w14:schemeClr w14:val="tx1"/>
                  </w14:solidFill>
                </w14:textFill>
              </w:rPr>
              <w:t>其它项目上</w:t>
            </w:r>
            <w:r>
              <w:rPr>
                <w:rFonts w:hint="eastAsia" w:ascii="宋体" w:hAnsi="宋体" w:eastAsia="宋体" w:cs="宋体"/>
                <w:color w:val="000000" w:themeColor="text1"/>
                <w:spacing w:val="-4"/>
                <w:sz w:val="21"/>
                <w:szCs w:val="21"/>
                <w:highlight w:val="none"/>
                <w14:textFill>
                  <w14:solidFill>
                    <w14:schemeClr w14:val="tx1"/>
                  </w14:solidFill>
                </w14:textFill>
              </w:rPr>
              <w:t>中 标 或 任</w:t>
            </w:r>
            <w:r>
              <w:rPr>
                <w:rFonts w:hint="eastAsia" w:ascii="宋体" w:hAnsi="宋体" w:eastAsia="宋体" w:cs="宋体"/>
                <w:color w:val="000000" w:themeColor="text1"/>
                <w:spacing w:val="-12"/>
                <w:w w:val="95"/>
                <w:sz w:val="21"/>
                <w:szCs w:val="21"/>
                <w:highlight w:val="none"/>
                <w14:textFill>
                  <w14:solidFill>
                    <w14:schemeClr w14:val="tx1"/>
                  </w14:solidFill>
                </w14:textFill>
              </w:rPr>
              <w:t>职； ② 在其</w:t>
            </w:r>
            <w:r>
              <w:rPr>
                <w:rFonts w:hint="eastAsia" w:ascii="宋体" w:hAnsi="宋体" w:eastAsia="宋体" w:cs="宋体"/>
                <w:color w:val="000000" w:themeColor="text1"/>
                <w:spacing w:val="20"/>
                <w:sz w:val="21"/>
                <w:szCs w:val="21"/>
                <w:highlight w:val="none"/>
                <w14:textFill>
                  <w14:solidFill>
                    <w14:schemeClr w14:val="tx1"/>
                  </w14:solidFill>
                </w14:textFill>
              </w:rPr>
              <w:t>它项目上中</w:t>
            </w:r>
            <w:r>
              <w:rPr>
                <w:rFonts w:hint="eastAsia" w:ascii="宋体" w:hAnsi="宋体" w:eastAsia="宋体" w:cs="宋体"/>
                <w:color w:val="000000" w:themeColor="text1"/>
                <w:spacing w:val="-4"/>
                <w:sz w:val="21"/>
                <w:szCs w:val="21"/>
                <w:highlight w:val="none"/>
                <w14:textFill>
                  <w14:solidFill>
                    <w14:schemeClr w14:val="tx1"/>
                  </w14:solidFill>
                </w14:textFill>
              </w:rPr>
              <w:t>标 或 已 任</w:t>
            </w:r>
            <w:r>
              <w:rPr>
                <w:rFonts w:hint="eastAsia" w:ascii="宋体" w:hAnsi="宋体" w:eastAsia="宋体" w:cs="宋体"/>
                <w:color w:val="000000" w:themeColor="text1"/>
                <w:spacing w:val="3"/>
                <w:w w:val="95"/>
                <w:sz w:val="21"/>
                <w:szCs w:val="21"/>
                <w:highlight w:val="none"/>
                <w14:textFill>
                  <w14:solidFill>
                    <w14:schemeClr w14:val="tx1"/>
                  </w14:solidFill>
                </w14:textFill>
              </w:rPr>
              <w:t>职， 且中标</w:t>
            </w:r>
            <w:r>
              <w:rPr>
                <w:rFonts w:hint="eastAsia" w:ascii="宋体" w:hAnsi="宋体" w:eastAsia="宋体" w:cs="宋体"/>
                <w:color w:val="000000" w:themeColor="text1"/>
                <w:spacing w:val="20"/>
                <w:sz w:val="21"/>
                <w:szCs w:val="21"/>
                <w:highlight w:val="none"/>
                <w14:textFill>
                  <w14:solidFill>
                    <w14:schemeClr w14:val="tx1"/>
                  </w14:solidFill>
                </w14:textFill>
              </w:rPr>
              <w:t>或已任职项目的合同工期与本项目</w:t>
            </w:r>
            <w:r>
              <w:rPr>
                <w:rFonts w:hint="eastAsia" w:ascii="宋体" w:hAnsi="宋体" w:eastAsia="宋体" w:cs="宋体"/>
                <w:color w:val="000000" w:themeColor="text1"/>
                <w:spacing w:val="-4"/>
                <w:sz w:val="21"/>
                <w:szCs w:val="21"/>
                <w:highlight w:val="none"/>
                <w14:textFill>
                  <w14:solidFill>
                    <w14:schemeClr w14:val="tx1"/>
                  </w14:solidFill>
                </w14:textFill>
              </w:rPr>
              <w:t>的 工 期 重</w:t>
            </w:r>
            <w:r>
              <w:rPr>
                <w:rFonts w:hint="eastAsia" w:ascii="宋体" w:hAnsi="宋体" w:eastAsia="宋体" w:cs="宋体"/>
                <w:color w:val="000000" w:themeColor="text1"/>
                <w:spacing w:val="3"/>
                <w:w w:val="95"/>
                <w:sz w:val="21"/>
                <w:szCs w:val="21"/>
                <w:highlight w:val="none"/>
                <w14:textFill>
                  <w14:solidFill>
                    <w14:schemeClr w14:val="tx1"/>
                  </w14:solidFill>
                </w14:textFill>
              </w:rPr>
              <w:t>叠， 但本项</w:t>
            </w:r>
            <w:r>
              <w:rPr>
                <w:rFonts w:hint="eastAsia" w:ascii="宋体" w:hAnsi="宋体" w:eastAsia="宋体" w:cs="宋体"/>
                <w:color w:val="000000" w:themeColor="text1"/>
                <w:spacing w:val="20"/>
                <w:sz w:val="21"/>
                <w:szCs w:val="21"/>
                <w:highlight w:val="none"/>
                <w14:textFill>
                  <w14:solidFill>
                    <w14:schemeClr w14:val="tx1"/>
                  </w14:solidFill>
                </w14:textFill>
              </w:rPr>
              <w:t>目中标后能够从该项目上撤离</w:t>
            </w:r>
            <w:r>
              <w:rPr>
                <w:rFonts w:hint="eastAsia" w:eastAsia="宋体" w:cs="宋体"/>
                <w:color w:val="000000" w:themeColor="text1"/>
                <w:spacing w:val="2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20"/>
                <w:sz w:val="21"/>
                <w:szCs w:val="21"/>
                <w:highlight w:val="none"/>
                <w14:textFill>
                  <w14:solidFill>
                    <w14:schemeClr w14:val="tx1"/>
                  </w14:solidFill>
                </w14:textFill>
              </w:rPr>
              <w:t>则投标人必须在本次投标文件中提供书面承诺原</w:t>
            </w:r>
            <w:r>
              <w:rPr>
                <w:rFonts w:hint="eastAsia" w:ascii="宋体" w:hAnsi="宋体" w:eastAsia="宋体" w:cs="宋体"/>
                <w:color w:val="000000" w:themeColor="text1"/>
                <w:spacing w:val="3"/>
                <w:w w:val="95"/>
                <w:sz w:val="21"/>
                <w:szCs w:val="21"/>
                <w:highlight w:val="none"/>
                <w14:textFill>
                  <w14:solidFill>
                    <w14:schemeClr w14:val="tx1"/>
                  </w14:solidFill>
                </w14:textFill>
              </w:rPr>
              <w:t>件， 承诺的</w:t>
            </w:r>
            <w:r>
              <w:rPr>
                <w:rFonts w:hint="eastAsia" w:ascii="宋体" w:hAnsi="宋体" w:eastAsia="宋体" w:cs="宋体"/>
                <w:color w:val="000000" w:themeColor="text1"/>
                <w:spacing w:val="20"/>
                <w:sz w:val="21"/>
                <w:szCs w:val="21"/>
                <w:highlight w:val="none"/>
                <w14:textFill>
                  <w14:solidFill>
                    <w14:schemeClr w14:val="tx1"/>
                  </w14:solidFill>
                </w14:textFill>
              </w:rPr>
              <w:t>内容为上述人员能够从中标项目或已任职项目上撤离。未填写在岗要求或未提供</w:t>
            </w:r>
            <w:r>
              <w:rPr>
                <w:rFonts w:hint="eastAsia" w:ascii="宋体" w:hAnsi="宋体" w:eastAsia="宋体" w:cs="宋体"/>
                <w:color w:val="000000" w:themeColor="text1"/>
                <w:spacing w:val="20"/>
                <w:w w:val="95"/>
                <w:sz w:val="21"/>
                <w:szCs w:val="21"/>
                <w:highlight w:val="none"/>
                <w14:textFill>
                  <w14:solidFill>
                    <w14:schemeClr w14:val="tx1"/>
                  </w14:solidFill>
                </w14:textFill>
              </w:rPr>
              <w:t>承诺证明材</w:t>
            </w:r>
            <w:r>
              <w:rPr>
                <w:rFonts w:hint="eastAsia" w:ascii="宋体" w:hAnsi="宋体" w:eastAsia="宋体" w:cs="宋体"/>
                <w:color w:val="000000" w:themeColor="text1"/>
                <w:spacing w:val="3"/>
                <w:w w:val="95"/>
                <w:sz w:val="21"/>
                <w:szCs w:val="21"/>
                <w:highlight w:val="none"/>
                <w14:textFill>
                  <w14:solidFill>
                    <w14:schemeClr w14:val="tx1"/>
                  </w14:solidFill>
                </w14:textFill>
              </w:rPr>
              <w:t>料的， 其资</w:t>
            </w:r>
            <w:r>
              <w:rPr>
                <w:rFonts w:hint="eastAsia" w:ascii="宋体" w:hAnsi="宋体" w:eastAsia="宋体" w:cs="宋体"/>
                <w:color w:val="000000" w:themeColor="text1"/>
                <w:spacing w:val="20"/>
                <w:sz w:val="21"/>
                <w:szCs w:val="21"/>
                <w:highlight w:val="none"/>
                <w14:textFill>
                  <w14:solidFill>
                    <w14:schemeClr w14:val="tx1"/>
                  </w14:solidFill>
                </w14:textFill>
              </w:rPr>
              <w:t>格审查不通</w:t>
            </w:r>
            <w:r>
              <w:rPr>
                <w:rFonts w:hint="eastAsia" w:ascii="宋体" w:hAnsi="宋体" w:eastAsia="宋体" w:cs="宋体"/>
                <w:color w:val="000000" w:themeColor="text1"/>
                <w:sz w:val="21"/>
                <w:szCs w:val="21"/>
                <w:highlight w:val="none"/>
                <w14:textFill>
                  <w14:solidFill>
                    <w14:schemeClr w14:val="tx1"/>
                  </w14:solidFill>
                </w14:textFill>
              </w:rPr>
              <w:t>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2808" w:hRule="atLeast"/>
        </w:trPr>
        <w:tc>
          <w:tcPr>
            <w:tcW w:w="1700" w:type="dxa"/>
            <w:tcBorders>
              <w:top w:val="nil"/>
              <w:bottom w:val="single" w:color="auto" w:sz="4" w:space="0"/>
              <w:right w:val="single" w:color="000000" w:sz="6" w:space="0"/>
            </w:tcBorders>
            <w:noWrap w:val="0"/>
            <w:vAlign w:val="top"/>
          </w:tcPr>
          <w:p>
            <w:pPr>
              <w:pStyle w:val="12"/>
              <w:rPr>
                <w:rFonts w:hint="eastAsia" w:ascii="宋体" w:hAnsi="宋体" w:eastAsia="宋体" w:cs="宋体"/>
                <w:color w:val="000000"/>
                <w:sz w:val="21"/>
                <w:szCs w:val="21"/>
                <w:highlight w:val="none"/>
              </w:rPr>
            </w:pPr>
          </w:p>
          <w:p>
            <w:pPr>
              <w:pStyle w:val="12"/>
              <w:spacing w:before="5"/>
              <w:rPr>
                <w:rFonts w:hint="eastAsia" w:ascii="宋体" w:hAnsi="宋体" w:eastAsia="宋体" w:cs="宋体"/>
                <w:color w:val="000000"/>
                <w:sz w:val="21"/>
                <w:szCs w:val="21"/>
                <w:highlight w:val="none"/>
              </w:rPr>
            </w:pPr>
          </w:p>
          <w:p>
            <w:pPr>
              <w:pStyle w:val="12"/>
              <w:spacing w:line="364" w:lineRule="auto"/>
              <w:ind w:left="192" w:right="162"/>
              <w:rPr>
                <w:rFonts w:hint="eastAsia" w:ascii="宋体" w:hAnsi="宋体" w:eastAsia="宋体" w:cs="宋体"/>
                <w:color w:val="000000"/>
                <w:sz w:val="21"/>
                <w:szCs w:val="21"/>
                <w:highlight w:val="none"/>
              </w:rPr>
            </w:pPr>
            <w:r>
              <w:rPr>
                <w:rFonts w:hint="eastAsia" w:ascii="宋体" w:hAnsi="宋体" w:eastAsia="宋体" w:cs="宋体"/>
                <w:color w:val="000000"/>
                <w:spacing w:val="-3"/>
                <w:sz w:val="21"/>
                <w:szCs w:val="21"/>
                <w:highlight w:val="none"/>
              </w:rPr>
              <w:t>项目总工</w:t>
            </w:r>
          </w:p>
        </w:tc>
        <w:tc>
          <w:tcPr>
            <w:tcW w:w="768" w:type="dxa"/>
            <w:tcBorders>
              <w:top w:val="single" w:color="000000" w:sz="6" w:space="0"/>
              <w:left w:val="single" w:color="000000" w:sz="6" w:space="0"/>
              <w:bottom w:val="single" w:color="auto" w:sz="4" w:space="0"/>
              <w:right w:val="single" w:color="000000" w:sz="6" w:space="0"/>
            </w:tcBorders>
            <w:noWrap w:val="0"/>
            <w:vAlign w:val="top"/>
          </w:tcPr>
          <w:p>
            <w:pPr>
              <w:pStyle w:val="12"/>
              <w:rPr>
                <w:rFonts w:hint="eastAsia" w:ascii="宋体" w:hAnsi="宋体" w:eastAsia="宋体" w:cs="宋体"/>
                <w:color w:val="000000"/>
                <w:sz w:val="21"/>
                <w:szCs w:val="21"/>
                <w:highlight w:val="none"/>
              </w:rPr>
            </w:pPr>
          </w:p>
          <w:p>
            <w:pPr>
              <w:pStyle w:val="12"/>
              <w:rPr>
                <w:rFonts w:hint="eastAsia" w:ascii="宋体" w:hAnsi="宋体" w:eastAsia="宋体" w:cs="宋体"/>
                <w:color w:val="000000"/>
                <w:sz w:val="21"/>
                <w:szCs w:val="21"/>
                <w:highlight w:val="none"/>
              </w:rPr>
            </w:pPr>
          </w:p>
          <w:p>
            <w:pPr>
              <w:pStyle w:val="12"/>
              <w:spacing w:before="4"/>
              <w:rPr>
                <w:rFonts w:hint="eastAsia" w:ascii="宋体" w:hAnsi="宋体" w:eastAsia="宋体" w:cs="宋体"/>
                <w:color w:val="000000"/>
                <w:sz w:val="21"/>
                <w:szCs w:val="21"/>
                <w:highlight w:val="none"/>
              </w:rPr>
            </w:pPr>
          </w:p>
          <w:p>
            <w:pPr>
              <w:pStyle w:val="12"/>
              <w:ind w:right="99"/>
              <w:jc w:val="center"/>
              <w:rPr>
                <w:rFonts w:hint="eastAsia" w:ascii="宋体" w:hAnsi="宋体" w:eastAsia="宋体" w:cs="宋体"/>
                <w:color w:val="000000"/>
                <w:sz w:val="21"/>
                <w:szCs w:val="21"/>
                <w:highlight w:val="none"/>
              </w:rPr>
            </w:pPr>
            <w:r>
              <w:rPr>
                <w:rFonts w:hint="eastAsia" w:ascii="宋体" w:hAnsi="宋体" w:eastAsia="宋体" w:cs="宋体"/>
                <w:color w:val="000000"/>
                <w:w w:val="99"/>
                <w:sz w:val="21"/>
                <w:szCs w:val="21"/>
                <w:highlight w:val="none"/>
              </w:rPr>
              <w:t>1</w:t>
            </w:r>
          </w:p>
        </w:tc>
        <w:tc>
          <w:tcPr>
            <w:tcW w:w="4285" w:type="dxa"/>
            <w:tcBorders>
              <w:top w:val="single" w:color="000000" w:sz="6" w:space="0"/>
              <w:left w:val="single" w:color="000000" w:sz="6" w:space="0"/>
              <w:bottom w:val="single" w:color="auto" w:sz="4" w:space="0"/>
              <w:right w:val="single" w:color="000000" w:sz="6" w:space="0"/>
            </w:tcBorders>
            <w:noWrap w:val="0"/>
            <w:vAlign w:val="top"/>
          </w:tcPr>
          <w:p>
            <w:pPr>
              <w:pStyle w:val="12"/>
              <w:spacing w:line="364" w:lineRule="auto"/>
              <w:ind w:left="115" w:right="84" w:firstLine="420"/>
              <w:jc w:val="both"/>
              <w:rPr>
                <w:rFonts w:hint="eastAsia" w:ascii="宋体" w:hAnsi="宋体" w:eastAsia="宋体" w:cs="宋体"/>
                <w:color w:val="000000"/>
                <w:w w:val="95"/>
                <w:sz w:val="21"/>
                <w:szCs w:val="21"/>
                <w:highlight w:val="none"/>
              </w:rPr>
            </w:pPr>
            <w:r>
              <w:rPr>
                <w:rFonts w:hint="eastAsia" w:ascii="宋体" w:hAnsi="宋体" w:eastAsia="宋体" w:cs="宋体"/>
                <w:sz w:val="21"/>
                <w:szCs w:val="21"/>
                <w:lang w:val="en-US" w:eastAsia="zh-CN" w:bidi="ar-SA"/>
              </w:rPr>
              <w:t>具有公路工程相关专业中级及以上职称。</w:t>
            </w:r>
            <w:r>
              <w:rPr>
                <w:rFonts w:hint="eastAsia" w:ascii="宋体" w:hAnsi="宋体" w:eastAsia="宋体" w:cs="宋体"/>
                <w:color w:val="000000"/>
                <w:sz w:val="21"/>
                <w:szCs w:val="21"/>
                <w:lang w:val="en-US" w:eastAsia="zh-CN" w:bidi="ar-SA"/>
              </w:rPr>
              <w:t>近三年内（指</w:t>
            </w:r>
            <w:r>
              <w:rPr>
                <w:rFonts w:hint="eastAsia" w:ascii="宋体" w:hAnsi="宋体" w:eastAsia="宋体" w:cs="宋体"/>
                <w:color w:val="FF0000"/>
                <w:sz w:val="21"/>
                <w:szCs w:val="21"/>
                <w:lang w:val="en-US" w:eastAsia="zh-CN" w:bidi="ar-SA"/>
              </w:rPr>
              <w:t>2020年</w:t>
            </w:r>
            <w:r>
              <w:rPr>
                <w:rFonts w:hint="eastAsia" w:cs="宋体"/>
                <w:color w:val="FF0000"/>
                <w:sz w:val="21"/>
                <w:szCs w:val="21"/>
                <w:lang w:val="en-US" w:eastAsia="zh-CN" w:bidi="ar-SA"/>
              </w:rPr>
              <w:t>4月27日</w:t>
            </w:r>
            <w:r>
              <w:rPr>
                <w:rFonts w:hint="eastAsia" w:ascii="宋体" w:hAnsi="宋体" w:cs="宋体"/>
                <w:color w:val="FF0000"/>
                <w:sz w:val="21"/>
                <w:szCs w:val="21"/>
                <w:lang w:val="en-US" w:eastAsia="zh-CN" w:bidi="ar-SA"/>
              </w:rPr>
              <w:t>至投标截止日</w:t>
            </w:r>
            <w:r>
              <w:rPr>
                <w:rFonts w:hint="eastAsia" w:ascii="宋体" w:hAnsi="宋体" w:eastAsia="宋体" w:cs="宋体"/>
                <w:color w:val="000000"/>
                <w:sz w:val="21"/>
                <w:szCs w:val="21"/>
                <w:lang w:val="en-US" w:eastAsia="zh-CN" w:bidi="ar-SA"/>
              </w:rPr>
              <w:t>，以交工日期为准），担任过</w:t>
            </w:r>
            <w:r>
              <w:rPr>
                <w:rFonts w:hint="eastAsia" w:ascii="宋体" w:hAnsi="宋体" w:eastAsia="宋体" w:cs="宋体"/>
                <w:color w:val="000000" w:themeColor="text1"/>
                <w:sz w:val="21"/>
                <w:szCs w:val="21"/>
                <w:lang w:val="en-US" w:eastAsia="zh-CN" w:bidi="ar-SA"/>
                <w14:textFill>
                  <w14:solidFill>
                    <w14:schemeClr w14:val="tx1"/>
                  </w14:solidFill>
                </w14:textFill>
              </w:rPr>
              <w:t>二级及以上等级公路日常维修项目（含路面）或公路</w:t>
            </w:r>
            <w:r>
              <w:rPr>
                <w:rFonts w:hint="eastAsia" w:ascii="宋体" w:hAnsi="宋体" w:eastAsia="宋体" w:cs="宋体"/>
                <w:sz w:val="21"/>
                <w:szCs w:val="21"/>
                <w:lang w:val="en-US" w:eastAsia="zh-CN" w:bidi="ar-SA"/>
              </w:rPr>
              <w:t>养护工程（含路面）施工</w:t>
            </w:r>
            <w:r>
              <w:rPr>
                <w:rFonts w:hint="eastAsia" w:ascii="宋体" w:hAnsi="宋体" w:eastAsia="宋体" w:cs="宋体"/>
                <w:color w:val="000000"/>
                <w:sz w:val="21"/>
                <w:szCs w:val="21"/>
                <w:lang w:val="en-US" w:eastAsia="zh-CN" w:bidi="ar-SA"/>
              </w:rPr>
              <w:t>施工项目总工（</w:t>
            </w:r>
            <w:r>
              <w:rPr>
                <w:rFonts w:hint="eastAsia" w:ascii="宋体" w:hAnsi="宋体" w:eastAsia="宋体" w:cs="宋体"/>
                <w:sz w:val="21"/>
                <w:szCs w:val="21"/>
                <w:lang w:val="en-US" w:eastAsia="zh-CN" w:bidi="ar-SA"/>
              </w:rPr>
              <w:t>技术负责人）职务，业绩数量至少为1个（如为项目副总工职务业绩数量至少为2个）。</w:t>
            </w:r>
          </w:p>
        </w:tc>
        <w:tc>
          <w:tcPr>
            <w:tcW w:w="2765" w:type="dxa"/>
            <w:vMerge w:val="continue"/>
            <w:tcBorders>
              <w:top w:val="nil"/>
              <w:left w:val="single" w:color="000000" w:sz="6" w:space="0"/>
              <w:bottom w:val="single" w:color="auto" w:sz="4" w:space="0"/>
            </w:tcBorders>
            <w:noWrap w:val="0"/>
            <w:vAlign w:val="top"/>
          </w:tcPr>
          <w:p>
            <w:pPr>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Ex>
        <w:trPr>
          <w:trHeight w:val="894" w:hRule="atLeast"/>
        </w:trPr>
        <w:tc>
          <w:tcPr>
            <w:tcW w:w="9518" w:type="dxa"/>
            <w:gridSpan w:val="4"/>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val="0"/>
              <w:autoSpaceDN w:val="0"/>
              <w:bidi w:val="0"/>
              <w:adjustRightInd/>
              <w:snapToGrid/>
              <w:spacing w:line="440" w:lineRule="exact"/>
              <w:ind w:right="0" w:firstLine="420" w:firstLineChars="200"/>
              <w:textAlignment w:val="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注：修改补充投标人须知正文第 3.5.5 项：</w:t>
            </w:r>
          </w:p>
          <w:p>
            <w:pPr>
              <w:pStyle w:val="12"/>
              <w:keepNext w:val="0"/>
              <w:keepLines w:val="0"/>
              <w:pageBreakBefore w:val="0"/>
              <w:widowControl w:val="0"/>
              <w:numPr>
                <w:ilvl w:val="0"/>
                <w:numId w:val="0"/>
              </w:numPr>
              <w:tabs>
                <w:tab w:val="left" w:pos="1064"/>
              </w:tabs>
              <w:kinsoku/>
              <w:wordWrap/>
              <w:overflowPunct/>
              <w:topLinePunct w:val="0"/>
              <w:autoSpaceDE w:val="0"/>
              <w:autoSpaceDN w:val="0"/>
              <w:bidi w:val="0"/>
              <w:adjustRightInd/>
              <w:snapToGrid/>
              <w:spacing w:line="440" w:lineRule="exact"/>
              <w:ind w:right="0" w:rightChars="0"/>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sz w:val="21"/>
                <w:szCs w:val="21"/>
                <w:highlight w:val="none"/>
                <w:lang w:val="en-US" w:eastAsia="zh-CN" w:bidi="ar-SA"/>
              </w:rPr>
              <w:t>（1）投标人应按资格审查资料表（六）拟委任的项目经理和项目总工资历表的格式要求分别填写项目经理和项目</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总工的资历，还应后附相关资格证明材料的彩色扫描件。</w:t>
            </w:r>
          </w:p>
          <w:p>
            <w:pPr>
              <w:pStyle w:val="12"/>
              <w:keepNext w:val="0"/>
              <w:keepLines w:val="0"/>
              <w:pageBreakBefore w:val="0"/>
              <w:widowControl w:val="0"/>
              <w:numPr>
                <w:ilvl w:val="0"/>
                <w:numId w:val="0"/>
              </w:numPr>
              <w:tabs>
                <w:tab w:val="left" w:pos="1064"/>
              </w:tabs>
              <w:kinsoku/>
              <w:wordWrap/>
              <w:overflowPunct/>
              <w:topLinePunct w:val="0"/>
              <w:autoSpaceDE w:val="0"/>
              <w:autoSpaceDN w:val="0"/>
              <w:bidi w:val="0"/>
              <w:adjustRightInd/>
              <w:snapToGrid/>
              <w:spacing w:line="440" w:lineRule="exact"/>
              <w:ind w:right="0" w:rightChars="0"/>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2）项目经理须提供的资格证明材料：身份证、职称资格证书、建造师注册证书、安全生产考核合格证书彩色扫描件，其中：建造师注册证书及安全生产考核合格证书还需提供在政府相关部门网站上公开信息的网页截图；投标人所属社保机构出具的2022年10月至今任意连续3个月社保缴费证明或其他能够证明参加社保的有效证明材料以及人员相关业绩的网页截图、在岗撤离承诺书（如需、格式自拟）。</w:t>
            </w:r>
          </w:p>
          <w:p>
            <w:pPr>
              <w:pStyle w:val="12"/>
              <w:keepNext w:val="0"/>
              <w:keepLines w:val="0"/>
              <w:pageBreakBefore w:val="0"/>
              <w:widowControl w:val="0"/>
              <w:numPr>
                <w:ilvl w:val="0"/>
                <w:numId w:val="0"/>
              </w:numPr>
              <w:tabs>
                <w:tab w:val="left" w:pos="1064"/>
              </w:tabs>
              <w:kinsoku/>
              <w:wordWrap/>
              <w:overflowPunct/>
              <w:topLinePunct w:val="0"/>
              <w:autoSpaceDE w:val="0"/>
              <w:autoSpaceDN w:val="0"/>
              <w:bidi w:val="0"/>
              <w:adjustRightInd/>
              <w:snapToGrid/>
              <w:spacing w:line="440" w:lineRule="exact"/>
              <w:ind w:right="0" w:rightChars="0"/>
              <w:textAlignment w:val="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3）项目总工须提供的资格证明材料：身份证、职称资格证书彩色扫描件，投标人所属社保机构出具的2022年10月至今任意连续3个月社保缴费证明或其他能够证明参加社保的有效证明材料及人员相关业绩的网页截图、在岗撤离承诺书</w:t>
            </w:r>
            <w:r>
              <w:rPr>
                <w:rFonts w:hint="eastAsia" w:ascii="宋体" w:hAnsi="宋体" w:eastAsia="宋体" w:cs="宋体"/>
                <w:color w:val="000000"/>
                <w:sz w:val="21"/>
                <w:szCs w:val="21"/>
                <w:highlight w:val="none"/>
                <w:lang w:val="en-US" w:eastAsia="zh-CN" w:bidi="ar-SA"/>
              </w:rPr>
              <w:t>（如需、格式自拟）。</w:t>
            </w:r>
          </w:p>
          <w:p>
            <w:pPr>
              <w:pStyle w:val="12"/>
              <w:keepNext w:val="0"/>
              <w:keepLines w:val="0"/>
              <w:pageBreakBefore w:val="0"/>
              <w:widowControl w:val="0"/>
              <w:numPr>
                <w:ilvl w:val="0"/>
                <w:numId w:val="0"/>
              </w:numPr>
              <w:tabs>
                <w:tab w:val="left" w:pos="1064"/>
              </w:tabs>
              <w:kinsoku/>
              <w:wordWrap/>
              <w:overflowPunct/>
              <w:topLinePunct w:val="0"/>
              <w:autoSpaceDE w:val="0"/>
              <w:autoSpaceDN w:val="0"/>
              <w:bidi w:val="0"/>
              <w:adjustRightInd/>
              <w:snapToGrid/>
              <w:spacing w:line="440" w:lineRule="exact"/>
              <w:ind w:right="0" w:rightChars="0"/>
              <w:textAlignment w:val="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4）项目经理和项目总工其他要求：必须是在投标人单位参加社会保险的全日制从业人员：注册建造师证书注册的单位必须为投标人，社保缴费单位与投标人名称必须一致；所有证件需清楚的反映有效期、年检情况及单位变更情况信息（如有）；所附人员的各类证书、证照以及各种证明材料中该人员的姓名应完全一致（除曾用名）。</w:t>
            </w:r>
          </w:p>
          <w:p>
            <w:pPr>
              <w:keepNext w:val="0"/>
              <w:keepLines w:val="0"/>
              <w:pageBreakBefore w:val="0"/>
              <w:widowControl w:val="0"/>
              <w:numPr>
                <w:ilvl w:val="0"/>
                <w:numId w:val="0"/>
              </w:numPr>
              <w:tabs>
                <w:tab w:val="left" w:pos="1384"/>
              </w:tabs>
              <w:kinsoku/>
              <w:wordWrap/>
              <w:overflowPunct/>
              <w:topLinePunct w:val="0"/>
              <w:autoSpaceDE w:val="0"/>
              <w:autoSpaceDN w:val="0"/>
              <w:bidi w:val="0"/>
              <w:adjustRightInd/>
              <w:snapToGrid/>
              <w:spacing w:line="440" w:lineRule="exact"/>
              <w:ind w:right="0"/>
              <w:textAlignment w:val="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5）拟委任的项目经理和项目总工资历表”还应附交通运输部“全国公路建设市场信用信息管理系统”中载明的、能够证明项目经理和项目总工具有相关业绩的网页截图。在交通运输部“全国公路建设市场信用信息管理系统”中无法查询，但可在省级交通运输主管部门“公路建设市场信用信息管理系统”中查询的，应附省级交通运输主管部门“公路建设市场信用信息管理系统”中查询到的网页截图。除网页截图外，投标人无须再提供任何业绩证明资料。如投标人未提供相关业绩网页截图或相关业绩网页截图中的信息无法证实投标人满足招标文件规定的资格审查条件(项目经理和项目总工最低要求)，则该项目业绩不予认定。其他要求同《公路工程标准施工招标文件》(2018年版)。</w:t>
            </w:r>
          </w:p>
          <w:p>
            <w:pPr>
              <w:keepNext w:val="0"/>
              <w:keepLines w:val="0"/>
              <w:pageBreakBefore w:val="0"/>
              <w:widowControl w:val="0"/>
              <w:tabs>
                <w:tab w:val="left" w:pos="1384"/>
              </w:tabs>
              <w:kinsoku/>
              <w:wordWrap/>
              <w:overflowPunct/>
              <w:topLinePunct w:val="0"/>
              <w:autoSpaceDE w:val="0"/>
              <w:autoSpaceDN w:val="0"/>
              <w:bidi w:val="0"/>
              <w:adjustRightInd/>
              <w:snapToGrid/>
              <w:spacing w:line="440" w:lineRule="exact"/>
              <w:ind w:right="0"/>
              <w:textAlignment w:val="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（6）人员业绩证明材料中需体现出公路路面养护工程施工相关内容，否则业绩不予认可。</w:t>
            </w:r>
          </w:p>
          <w:p>
            <w:pPr>
              <w:pStyle w:val="8"/>
              <w:keepNext w:val="0"/>
              <w:keepLines w:val="0"/>
              <w:pageBreakBefore w:val="0"/>
              <w:widowControl w:val="0"/>
              <w:numPr>
                <w:ilvl w:val="0"/>
                <w:numId w:val="0"/>
              </w:numPr>
              <w:tabs>
                <w:tab w:val="left" w:pos="1050"/>
              </w:tabs>
              <w:kinsoku/>
              <w:wordWrap/>
              <w:overflowPunct/>
              <w:topLinePunct w:val="0"/>
              <w:autoSpaceDE w:val="0"/>
              <w:autoSpaceDN w:val="0"/>
              <w:bidi w:val="0"/>
              <w:adjustRightInd/>
              <w:snapToGrid/>
              <w:spacing w:line="440" w:lineRule="exact"/>
              <w:ind w:right="0" w:rightChars="0"/>
              <w:jc w:val="both"/>
              <w:textAlignment w:val="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7）在评审过程中招标人将通过网上核实投标人所提供的网页截图的内容、建造师注册证书、安全生产考核合格证书等相关信息，核实后如发现投标人提供的网页截图、信息与招标人核实的内容不一致的，或投标人提供虚假截屏信息的，招标人将视为该投标文件不符合招标文件的规定，在资格评审中不予通过。</w:t>
            </w:r>
          </w:p>
          <w:p>
            <w:pPr>
              <w:pStyle w:val="8"/>
              <w:keepNext w:val="0"/>
              <w:keepLines w:val="0"/>
              <w:pageBreakBefore w:val="0"/>
              <w:widowControl w:val="0"/>
              <w:numPr>
                <w:ilvl w:val="0"/>
                <w:numId w:val="0"/>
              </w:numPr>
              <w:tabs>
                <w:tab w:val="left" w:pos="1050"/>
              </w:tabs>
              <w:kinsoku/>
              <w:wordWrap/>
              <w:overflowPunct/>
              <w:topLinePunct w:val="0"/>
              <w:autoSpaceDE w:val="0"/>
              <w:autoSpaceDN w:val="0"/>
              <w:bidi w:val="0"/>
              <w:adjustRightInd/>
              <w:snapToGrid/>
              <w:spacing w:line="440" w:lineRule="exact"/>
              <w:ind w:right="0" w:rightChars="0"/>
              <w:jc w:val="both"/>
              <w:textAlignment w:val="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8）投标人对投标文件中拟委任的项目经理、项目总工是否在岗必须如实填报，在评标过程中或公示期间，若招标人收到有关反映投标人项目经理、项目总工有在岗项目的投诉，招标人一经查实将认定为失信投标行为，取消其中标资格，按照交通运输部关于修订《公路施工企业信用评价规则（试行）》的通知（交公路规〔2021〕4号）或宁夏交通运输厅关于印发《宁夏回族自治区公路建设与养护市场信用评价管理办法（试行）》的通知（宁交规发〔2021〕5号）相关规定进行信用等级评价，同时将评价结果上报宁夏交通运输厅，并在交通运输厅网站予以公布。</w:t>
            </w:r>
          </w:p>
          <w:p>
            <w:pPr>
              <w:pStyle w:val="8"/>
              <w:keepNext w:val="0"/>
              <w:keepLines w:val="0"/>
              <w:pageBreakBefore w:val="0"/>
              <w:widowControl w:val="0"/>
              <w:numPr>
                <w:ilvl w:val="0"/>
                <w:numId w:val="0"/>
              </w:numPr>
              <w:tabs>
                <w:tab w:val="left" w:pos="1050"/>
              </w:tabs>
              <w:kinsoku/>
              <w:wordWrap/>
              <w:overflowPunct/>
              <w:topLinePunct w:val="0"/>
              <w:autoSpaceDE w:val="0"/>
              <w:autoSpaceDN w:val="0"/>
              <w:bidi w:val="0"/>
              <w:adjustRightInd/>
              <w:snapToGrid/>
              <w:spacing w:line="440" w:lineRule="exact"/>
              <w:ind w:right="0" w:rightChars="0"/>
              <w:jc w:val="both"/>
              <w:textAlignment w:val="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（9）对投标人所提供的人员业绩，如通过上述网站查询后结果与投标人自行提供结果不符，则</w:t>
            </w:r>
          </w:p>
          <w:p>
            <w:pPr>
              <w:pStyle w:val="8"/>
              <w:keepNext w:val="0"/>
              <w:keepLines w:val="0"/>
              <w:pageBreakBefore w:val="0"/>
              <w:widowControl w:val="0"/>
              <w:tabs>
                <w:tab w:val="left" w:pos="1050"/>
              </w:tabs>
              <w:kinsoku/>
              <w:wordWrap/>
              <w:overflowPunct/>
              <w:topLinePunct w:val="0"/>
              <w:autoSpaceDE w:val="0"/>
              <w:autoSpaceDN w:val="0"/>
              <w:bidi w:val="0"/>
              <w:adjustRightInd/>
              <w:snapToGrid/>
              <w:spacing w:line="440" w:lineRule="exact"/>
              <w:ind w:right="0"/>
              <w:jc w:val="both"/>
              <w:textAlignment w:val="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对应业绩将不予认定。投标人对其递交投标文件中所有证明材料的真实性负责，若招标人收到反映投标人提供了虚假材料、不实信息或隐瞒招标文件要求填报的信息方面等的投诉，招标人一经查实将不予退还投标保证金，并认定为失信投标行为(如中标同时取消其中标资格)，并依据《宁夏回族自治区公路建设与养护市场信用评价管理办法(试行)》(宁交规发(2021〕5号)文件对投标人本次投标行为进行评价，同时将评价结果上报宁夏交通运输厅，并在宁夏交通运输厅网站予以公布。其他要求同《公路工程标准施工招标文件》(2018年版)。</w:t>
            </w:r>
          </w:p>
          <w:p>
            <w:pPr>
              <w:pStyle w:val="8"/>
              <w:keepNext w:val="0"/>
              <w:keepLines w:val="0"/>
              <w:pageBreakBefore w:val="0"/>
              <w:widowControl w:val="0"/>
              <w:numPr>
                <w:ilvl w:val="0"/>
                <w:numId w:val="0"/>
              </w:numPr>
              <w:tabs>
                <w:tab w:val="left" w:pos="1039"/>
              </w:tabs>
              <w:kinsoku/>
              <w:wordWrap/>
              <w:overflowPunct/>
              <w:topLinePunct w:val="0"/>
              <w:autoSpaceDE w:val="0"/>
              <w:autoSpaceDN w:val="0"/>
              <w:bidi w:val="0"/>
              <w:adjustRightInd/>
              <w:snapToGrid/>
              <w:spacing w:line="440" w:lineRule="exact"/>
              <w:ind w:right="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SA"/>
              </w:rPr>
              <w:t>（10）招标文件中其他地方与此处不一致时，以此处为准。</w:t>
            </w:r>
          </w:p>
        </w:tc>
      </w:tr>
    </w:tbl>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ind w:firstLine="562" w:firstLineChars="200"/>
        <w:jc w:val="left"/>
        <w:rPr>
          <w:sz w:val="53"/>
        </w:rPr>
      </w:pPr>
      <w:r>
        <w:rPr>
          <w:rFonts w:hint="eastAsia" w:ascii="宋体" w:hAnsi="宋体" w:eastAsia="宋体" w:cs="宋体"/>
          <w:b/>
          <w:bCs/>
          <w:color w:val="000000"/>
          <w:kern w:val="0"/>
          <w:sz w:val="28"/>
          <w:szCs w:val="28"/>
          <w:lang w:val="en-US" w:eastAsia="zh-CN" w:bidi="ar"/>
        </w:rPr>
        <w:t>四、评标办法全文</w:t>
      </w:r>
    </w:p>
    <w:p>
      <w:pPr>
        <w:pStyle w:val="7"/>
        <w:spacing w:before="3"/>
        <w:ind w:left="220"/>
        <w:jc w:val="center"/>
        <w:rPr>
          <w:rFonts w:hint="eastAsia" w:ascii="宋体" w:hAnsi="宋体" w:eastAsia="宋体" w:cs="宋体"/>
          <w:color w:val="000000"/>
          <w:sz w:val="21"/>
          <w:szCs w:val="21"/>
          <w:highlight w:val="none"/>
        </w:rPr>
      </w:pPr>
      <w:bookmarkStart w:id="4" w:name="_Toc3189"/>
      <w:bookmarkStart w:id="5" w:name="_Toc29314"/>
      <w:r>
        <w:rPr>
          <w:rFonts w:hint="eastAsia" w:ascii="宋体" w:hAnsi="宋体" w:eastAsia="宋体" w:cs="宋体"/>
          <w:color w:val="000000"/>
          <w:sz w:val="21"/>
          <w:szCs w:val="21"/>
          <w:highlight w:val="none"/>
        </w:rPr>
        <w:t>评标办法前附表</w:t>
      </w:r>
      <w:bookmarkEnd w:id="4"/>
      <w:bookmarkEnd w:id="5"/>
    </w:p>
    <w:tbl>
      <w:tblPr>
        <w:tblStyle w:val="11"/>
        <w:tblW w:w="8898"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13"/>
        <w:gridCol w:w="1501"/>
        <w:gridCol w:w="63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69" w:hRule="atLeast"/>
        </w:trPr>
        <w:tc>
          <w:tcPr>
            <w:tcW w:w="2514" w:type="dxa"/>
            <w:gridSpan w:val="2"/>
            <w:tcBorders>
              <w:top w:val="single" w:color="auto" w:sz="2" w:space="0"/>
              <w:left w:val="single" w:color="auto" w:sz="2" w:space="0"/>
              <w:bottom w:val="single" w:color="auto" w:sz="2" w:space="0"/>
              <w:right w:val="single" w:color="auto" w:sz="2" w:space="0"/>
            </w:tcBorders>
            <w:noWrap w:val="0"/>
            <w:vAlign w:val="top"/>
          </w:tcPr>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条款号</w:t>
            </w:r>
          </w:p>
        </w:tc>
        <w:tc>
          <w:tcPr>
            <w:tcW w:w="6384" w:type="dxa"/>
            <w:tcBorders>
              <w:top w:val="single" w:color="auto" w:sz="2" w:space="0"/>
              <w:left w:val="single" w:color="auto" w:sz="2" w:space="0"/>
              <w:bottom w:val="single" w:color="auto" w:sz="2" w:space="0"/>
              <w:right w:val="single" w:color="auto" w:sz="2" w:space="0"/>
            </w:tcBorders>
            <w:noWrap w:val="0"/>
            <w:vAlign w:val="top"/>
          </w:tcPr>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评审因素与评审标准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164" w:hRule="atLeast"/>
        </w:trPr>
        <w:tc>
          <w:tcPr>
            <w:tcW w:w="1013" w:type="dxa"/>
            <w:tcBorders>
              <w:top w:val="single" w:color="auto" w:sz="2" w:space="0"/>
              <w:left w:val="single" w:color="auto" w:sz="2" w:space="0"/>
              <w:bottom w:val="single" w:color="auto" w:sz="2" w:space="0"/>
              <w:right w:val="single" w:color="auto" w:sz="2" w:space="0"/>
            </w:tcBorders>
            <w:noWrap w:val="0"/>
            <w:vAlign w:val="center"/>
          </w:tcPr>
          <w:p>
            <w:pPr>
              <w:pStyle w:val="7"/>
              <w:spacing w:before="3"/>
              <w:ind w:left="220"/>
              <w:rPr>
                <w:rFonts w:hint="eastAsia" w:ascii="宋体" w:hAnsi="宋体" w:eastAsia="宋体" w:cs="宋体"/>
                <w:color w:val="000000"/>
                <w:highlight w:val="none"/>
              </w:rPr>
            </w:pPr>
            <w:r>
              <w:rPr>
                <w:rFonts w:hint="eastAsia" w:ascii="宋体" w:hAnsi="宋体" w:eastAsia="宋体" w:cs="宋体"/>
                <w:color w:val="000000"/>
                <w:highlight w:val="none"/>
              </w:rPr>
              <w:t>1</w:t>
            </w:r>
          </w:p>
        </w:tc>
        <w:tc>
          <w:tcPr>
            <w:tcW w:w="1501" w:type="dxa"/>
            <w:tcBorders>
              <w:top w:val="single" w:color="auto" w:sz="2" w:space="0"/>
              <w:left w:val="single" w:color="auto" w:sz="2" w:space="0"/>
              <w:bottom w:val="single" w:color="auto" w:sz="2" w:space="0"/>
              <w:right w:val="single" w:color="auto" w:sz="2" w:space="0"/>
            </w:tcBorders>
            <w:noWrap w:val="0"/>
            <w:vAlign w:val="center"/>
          </w:tcPr>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评标方法</w:t>
            </w:r>
          </w:p>
        </w:tc>
        <w:tc>
          <w:tcPr>
            <w:tcW w:w="6384" w:type="dxa"/>
            <w:tcBorders>
              <w:top w:val="single" w:color="auto" w:sz="2" w:space="0"/>
              <w:left w:val="single" w:color="auto" w:sz="2" w:space="0"/>
              <w:bottom w:val="single" w:color="auto" w:sz="2" w:space="0"/>
              <w:right w:val="single" w:color="auto" w:sz="2" w:space="0"/>
            </w:tcBorders>
            <w:noWrap w:val="0"/>
            <w:vAlign w:val="top"/>
          </w:tcPr>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评标价得分</w:t>
            </w:r>
            <w:r>
              <w:rPr>
                <w:rFonts w:hint="eastAsia" w:ascii="宋体" w:hAnsi="宋体" w:eastAsia="宋体" w:cs="宋体"/>
                <w:color w:val="000000"/>
                <w:sz w:val="21"/>
                <w:szCs w:val="21"/>
                <w:highlight w:val="none"/>
              </w:rPr>
              <w:t xml:space="preserve">相等时，评标委员会依次按照以下优先顺序推荐中标候选人或确定中标人： </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（1）评标价低的投标人优先； </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（2）202</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年度被宁夏交通运输厅评为较高信用等级的投标人优先：以《自治区交通运输厅关于公布202</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年宁夏公路建设市场从业单位信用等级评价结果的通知》（宁交函[2022]130号）文件中的信用评价等级为准；</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由评标委员会根据施工组织设计的编制情况投票确定其推荐排序。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96" w:hRule="atLeast"/>
        </w:trPr>
        <w:tc>
          <w:tcPr>
            <w:tcW w:w="1013" w:type="dxa"/>
            <w:tcBorders>
              <w:top w:val="single" w:color="auto" w:sz="2" w:space="0"/>
              <w:left w:val="single" w:color="auto" w:sz="2" w:space="0"/>
              <w:bottom w:val="single" w:color="auto" w:sz="2" w:space="0"/>
              <w:right w:val="single" w:color="auto" w:sz="2" w:space="0"/>
            </w:tcBorders>
            <w:noWrap w:val="0"/>
            <w:vAlign w:val="top"/>
          </w:tcPr>
          <w:p>
            <w:pPr>
              <w:pStyle w:val="7"/>
              <w:spacing w:before="3"/>
              <w:ind w:left="220"/>
              <w:rPr>
                <w:rFonts w:hint="eastAsia" w:ascii="宋体" w:hAnsi="宋体" w:eastAsia="宋体" w:cs="宋体"/>
                <w:color w:val="000000"/>
                <w:highlight w:val="none"/>
              </w:rPr>
            </w:pPr>
          </w:p>
          <w:p>
            <w:pPr>
              <w:pStyle w:val="7"/>
              <w:spacing w:before="3"/>
              <w:ind w:left="220"/>
              <w:rPr>
                <w:rFonts w:hint="eastAsia" w:ascii="宋体" w:hAnsi="宋体" w:eastAsia="宋体" w:cs="宋体"/>
                <w:color w:val="000000"/>
                <w:highlight w:val="none"/>
              </w:rPr>
            </w:pPr>
          </w:p>
          <w:p>
            <w:pPr>
              <w:pStyle w:val="7"/>
              <w:spacing w:before="3"/>
              <w:ind w:left="220"/>
              <w:rPr>
                <w:rFonts w:hint="eastAsia" w:ascii="宋体" w:hAnsi="宋体" w:eastAsia="宋体" w:cs="宋体"/>
                <w:color w:val="000000"/>
                <w:highlight w:val="none"/>
              </w:rPr>
            </w:pPr>
          </w:p>
          <w:p>
            <w:pPr>
              <w:pStyle w:val="7"/>
              <w:spacing w:before="3"/>
              <w:ind w:left="220"/>
              <w:rPr>
                <w:rFonts w:hint="eastAsia" w:ascii="宋体" w:hAnsi="宋体" w:eastAsia="宋体" w:cs="宋体"/>
                <w:color w:val="000000"/>
                <w:highlight w:val="none"/>
              </w:rPr>
            </w:pPr>
          </w:p>
          <w:p>
            <w:pPr>
              <w:pStyle w:val="7"/>
              <w:spacing w:before="3"/>
              <w:ind w:left="220"/>
              <w:rPr>
                <w:rFonts w:hint="eastAsia" w:ascii="宋体" w:hAnsi="宋体" w:eastAsia="宋体" w:cs="宋体"/>
                <w:color w:val="000000"/>
                <w:highlight w:val="none"/>
              </w:rPr>
            </w:pPr>
          </w:p>
          <w:p>
            <w:pPr>
              <w:pStyle w:val="7"/>
              <w:spacing w:before="3"/>
              <w:ind w:left="220"/>
              <w:rPr>
                <w:rFonts w:hint="eastAsia" w:ascii="宋体" w:hAnsi="宋体" w:eastAsia="宋体" w:cs="宋体"/>
                <w:color w:val="000000"/>
                <w:highlight w:val="none"/>
              </w:rPr>
            </w:pPr>
          </w:p>
          <w:p>
            <w:pPr>
              <w:pStyle w:val="7"/>
              <w:spacing w:before="3"/>
              <w:ind w:left="220"/>
              <w:rPr>
                <w:rFonts w:hint="eastAsia" w:ascii="宋体" w:hAnsi="宋体" w:eastAsia="宋体" w:cs="宋体"/>
                <w:color w:val="000000"/>
                <w:highlight w:val="none"/>
              </w:rPr>
            </w:pPr>
          </w:p>
          <w:p>
            <w:pPr>
              <w:pStyle w:val="7"/>
              <w:spacing w:before="3"/>
              <w:ind w:left="220"/>
              <w:rPr>
                <w:rFonts w:hint="eastAsia" w:ascii="宋体" w:hAnsi="宋体" w:eastAsia="宋体" w:cs="宋体"/>
                <w:color w:val="000000"/>
                <w:highlight w:val="none"/>
              </w:rPr>
            </w:pPr>
          </w:p>
          <w:p>
            <w:pPr>
              <w:pStyle w:val="7"/>
              <w:spacing w:before="3"/>
              <w:ind w:left="220"/>
              <w:rPr>
                <w:rFonts w:hint="eastAsia" w:ascii="宋体" w:hAnsi="宋体" w:eastAsia="宋体" w:cs="宋体"/>
                <w:color w:val="000000"/>
                <w:highlight w:val="none"/>
              </w:rPr>
            </w:pPr>
          </w:p>
          <w:p>
            <w:pPr>
              <w:pStyle w:val="7"/>
              <w:spacing w:before="3"/>
              <w:ind w:left="220"/>
              <w:rPr>
                <w:rFonts w:hint="eastAsia" w:ascii="宋体" w:hAnsi="宋体" w:eastAsia="宋体" w:cs="宋体"/>
                <w:color w:val="000000"/>
                <w:highlight w:val="none"/>
              </w:rPr>
            </w:pPr>
          </w:p>
          <w:p>
            <w:pPr>
              <w:pStyle w:val="7"/>
              <w:spacing w:before="3"/>
              <w:ind w:left="220"/>
              <w:rPr>
                <w:rFonts w:hint="eastAsia" w:ascii="宋体" w:hAnsi="宋体" w:eastAsia="宋体" w:cs="宋体"/>
                <w:color w:val="000000"/>
                <w:highlight w:val="none"/>
              </w:rPr>
            </w:pPr>
          </w:p>
          <w:p>
            <w:pPr>
              <w:pStyle w:val="7"/>
              <w:spacing w:before="3"/>
              <w:ind w:left="220"/>
              <w:rPr>
                <w:rFonts w:hint="eastAsia" w:ascii="宋体" w:hAnsi="宋体" w:eastAsia="宋体" w:cs="宋体"/>
                <w:color w:val="000000"/>
                <w:highlight w:val="none"/>
              </w:rPr>
            </w:pPr>
          </w:p>
          <w:p>
            <w:pPr>
              <w:pStyle w:val="7"/>
              <w:spacing w:before="3"/>
              <w:ind w:left="220"/>
              <w:rPr>
                <w:rFonts w:hint="eastAsia" w:ascii="宋体" w:hAnsi="宋体" w:eastAsia="宋体" w:cs="宋体"/>
                <w:color w:val="000000"/>
                <w:highlight w:val="none"/>
              </w:rPr>
            </w:pPr>
          </w:p>
          <w:p>
            <w:pPr>
              <w:pStyle w:val="7"/>
              <w:spacing w:before="3"/>
              <w:ind w:left="220"/>
              <w:rPr>
                <w:rFonts w:hint="eastAsia" w:ascii="宋体" w:hAnsi="宋体" w:eastAsia="宋体" w:cs="宋体"/>
                <w:color w:val="000000"/>
                <w:highlight w:val="none"/>
              </w:rPr>
            </w:pPr>
            <w:r>
              <w:rPr>
                <w:rFonts w:hint="eastAsia" w:ascii="宋体" w:hAnsi="宋体" w:eastAsia="宋体" w:cs="宋体"/>
                <w:color w:val="000000"/>
                <w:highlight w:val="none"/>
              </w:rPr>
              <w:t>2.1.1</w:t>
            </w:r>
          </w:p>
          <w:p>
            <w:pPr>
              <w:pStyle w:val="7"/>
              <w:spacing w:before="3"/>
              <w:ind w:left="220"/>
              <w:rPr>
                <w:rFonts w:hint="eastAsia" w:ascii="宋体" w:hAnsi="宋体" w:eastAsia="宋体" w:cs="宋体"/>
                <w:color w:val="000000"/>
                <w:highlight w:val="none"/>
              </w:rPr>
            </w:pPr>
          </w:p>
        </w:tc>
        <w:tc>
          <w:tcPr>
            <w:tcW w:w="1501" w:type="dxa"/>
            <w:tcBorders>
              <w:top w:val="single" w:color="auto" w:sz="2" w:space="0"/>
              <w:left w:val="single" w:color="auto" w:sz="2" w:space="0"/>
              <w:bottom w:val="single" w:color="auto" w:sz="2" w:space="0"/>
              <w:right w:val="single" w:color="auto" w:sz="2" w:space="0"/>
            </w:tcBorders>
            <w:noWrap w:val="0"/>
            <w:vAlign w:val="top"/>
          </w:tcPr>
          <w:p>
            <w:pPr>
              <w:pStyle w:val="7"/>
              <w:spacing w:before="3"/>
              <w:ind w:left="220"/>
              <w:rPr>
                <w:rFonts w:hint="eastAsia" w:ascii="宋体" w:hAnsi="宋体" w:eastAsia="宋体" w:cs="宋体"/>
                <w:color w:val="000000"/>
                <w:sz w:val="21"/>
                <w:szCs w:val="21"/>
                <w:highlight w:val="none"/>
              </w:rPr>
            </w:pPr>
          </w:p>
          <w:p>
            <w:pPr>
              <w:pStyle w:val="7"/>
              <w:spacing w:before="3"/>
              <w:ind w:left="220"/>
              <w:rPr>
                <w:rFonts w:hint="eastAsia" w:ascii="宋体" w:hAnsi="宋体" w:eastAsia="宋体" w:cs="宋体"/>
                <w:color w:val="000000"/>
                <w:sz w:val="21"/>
                <w:szCs w:val="21"/>
                <w:highlight w:val="none"/>
              </w:rPr>
            </w:pPr>
          </w:p>
          <w:p>
            <w:pPr>
              <w:pStyle w:val="7"/>
              <w:spacing w:before="3"/>
              <w:ind w:left="220"/>
              <w:rPr>
                <w:rFonts w:hint="eastAsia" w:ascii="宋体" w:hAnsi="宋体" w:eastAsia="宋体" w:cs="宋体"/>
                <w:color w:val="000000"/>
                <w:sz w:val="21"/>
                <w:szCs w:val="21"/>
                <w:highlight w:val="none"/>
              </w:rPr>
            </w:pPr>
          </w:p>
          <w:p>
            <w:pPr>
              <w:pStyle w:val="7"/>
              <w:spacing w:before="3"/>
              <w:ind w:left="220"/>
              <w:rPr>
                <w:rFonts w:hint="eastAsia" w:ascii="宋体" w:hAnsi="宋体" w:eastAsia="宋体" w:cs="宋体"/>
                <w:color w:val="000000"/>
                <w:sz w:val="21"/>
                <w:szCs w:val="21"/>
                <w:highlight w:val="none"/>
              </w:rPr>
            </w:pPr>
          </w:p>
          <w:p>
            <w:pPr>
              <w:pStyle w:val="7"/>
              <w:spacing w:before="3"/>
              <w:ind w:left="220"/>
              <w:rPr>
                <w:rFonts w:hint="eastAsia" w:ascii="宋体" w:hAnsi="宋体" w:eastAsia="宋体" w:cs="宋体"/>
                <w:color w:val="000000"/>
                <w:sz w:val="21"/>
                <w:szCs w:val="21"/>
                <w:highlight w:val="none"/>
              </w:rPr>
            </w:pPr>
          </w:p>
          <w:p>
            <w:pPr>
              <w:pStyle w:val="7"/>
              <w:spacing w:before="3"/>
              <w:ind w:left="220"/>
              <w:rPr>
                <w:rFonts w:hint="eastAsia" w:ascii="宋体" w:hAnsi="宋体" w:eastAsia="宋体" w:cs="宋体"/>
                <w:color w:val="000000"/>
                <w:sz w:val="21"/>
                <w:szCs w:val="21"/>
                <w:highlight w:val="none"/>
              </w:rPr>
            </w:pPr>
          </w:p>
          <w:p>
            <w:pPr>
              <w:pStyle w:val="7"/>
              <w:spacing w:before="3"/>
              <w:ind w:left="220"/>
              <w:rPr>
                <w:rFonts w:hint="eastAsia" w:ascii="宋体" w:hAnsi="宋体" w:eastAsia="宋体" w:cs="宋体"/>
                <w:color w:val="000000"/>
                <w:sz w:val="21"/>
                <w:szCs w:val="21"/>
                <w:highlight w:val="none"/>
              </w:rPr>
            </w:pPr>
          </w:p>
          <w:p>
            <w:pPr>
              <w:pStyle w:val="7"/>
              <w:spacing w:before="3"/>
              <w:ind w:left="220"/>
              <w:rPr>
                <w:rFonts w:hint="eastAsia" w:ascii="宋体" w:hAnsi="宋体" w:eastAsia="宋体" w:cs="宋体"/>
                <w:color w:val="000000"/>
                <w:sz w:val="21"/>
                <w:szCs w:val="21"/>
                <w:highlight w:val="none"/>
              </w:rPr>
            </w:pPr>
          </w:p>
          <w:p>
            <w:pPr>
              <w:pStyle w:val="7"/>
              <w:spacing w:before="3"/>
              <w:ind w:left="220"/>
              <w:rPr>
                <w:rFonts w:hint="eastAsia" w:ascii="宋体" w:hAnsi="宋体" w:eastAsia="宋体" w:cs="宋体"/>
                <w:color w:val="000000"/>
                <w:sz w:val="21"/>
                <w:szCs w:val="21"/>
                <w:highlight w:val="none"/>
              </w:rPr>
            </w:pPr>
          </w:p>
          <w:p>
            <w:pPr>
              <w:pStyle w:val="7"/>
              <w:spacing w:before="3"/>
              <w:ind w:left="220"/>
              <w:rPr>
                <w:rFonts w:hint="eastAsia" w:ascii="宋体" w:hAnsi="宋体" w:eastAsia="宋体" w:cs="宋体"/>
                <w:color w:val="000000"/>
                <w:sz w:val="21"/>
                <w:szCs w:val="21"/>
                <w:highlight w:val="none"/>
              </w:rPr>
            </w:pPr>
          </w:p>
          <w:p>
            <w:pPr>
              <w:pStyle w:val="7"/>
              <w:spacing w:before="3"/>
              <w:ind w:left="220"/>
              <w:rPr>
                <w:rFonts w:hint="eastAsia" w:ascii="宋体" w:hAnsi="宋体" w:eastAsia="宋体" w:cs="宋体"/>
                <w:color w:val="000000"/>
                <w:sz w:val="21"/>
                <w:szCs w:val="21"/>
                <w:highlight w:val="none"/>
              </w:rPr>
            </w:pPr>
          </w:p>
          <w:p>
            <w:pPr>
              <w:pStyle w:val="7"/>
              <w:spacing w:before="3"/>
              <w:ind w:left="220"/>
              <w:rPr>
                <w:rFonts w:hint="eastAsia" w:ascii="宋体" w:hAnsi="宋体" w:eastAsia="宋体" w:cs="宋体"/>
                <w:color w:val="000000"/>
                <w:sz w:val="21"/>
                <w:szCs w:val="21"/>
                <w:highlight w:val="none"/>
              </w:rPr>
            </w:pP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形式评审与响应性评审标准</w:t>
            </w:r>
          </w:p>
        </w:tc>
        <w:tc>
          <w:tcPr>
            <w:tcW w:w="6384" w:type="dxa"/>
            <w:tcBorders>
              <w:top w:val="single" w:color="auto" w:sz="2" w:space="0"/>
              <w:left w:val="single" w:color="auto" w:sz="2" w:space="0"/>
              <w:bottom w:val="single" w:color="auto" w:sz="2" w:space="0"/>
              <w:right w:val="single" w:color="auto" w:sz="2" w:space="0"/>
            </w:tcBorders>
            <w:noWrap w:val="0"/>
            <w:vAlign w:val="top"/>
          </w:tcPr>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第一个信封（商务及技术文件）评审标准：</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(1)投标文件按照招标文件规定的格式、内容填写，字迹清晰可辨：</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a.投标函按招标文件规定填报了项目名称、</w:t>
            </w:r>
            <w:r>
              <w:rPr>
                <w:rFonts w:hint="eastAsia" w:ascii="宋体" w:hAnsi="宋体" w:eastAsia="宋体" w:cs="宋体"/>
                <w:color w:val="000000"/>
                <w:sz w:val="21"/>
                <w:szCs w:val="21"/>
                <w:highlight w:val="none"/>
                <w:lang w:eastAsia="zh-CN"/>
              </w:rPr>
              <w:t>标段号</w:t>
            </w:r>
            <w:r>
              <w:rPr>
                <w:rFonts w:hint="eastAsia" w:ascii="宋体" w:hAnsi="宋体" w:eastAsia="宋体" w:cs="宋体"/>
                <w:color w:val="000000"/>
                <w:sz w:val="21"/>
                <w:szCs w:val="21"/>
                <w:highlight w:val="none"/>
              </w:rPr>
              <w:t>、补遗书编号（如有）、工期、工程质量要求、安全目标等；</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b.投标函附录的所有内容和数据均符合招标文件规定；</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c.投标文件中有承诺函、规范投标行为承诺函、使用农民工承诺等内容，其内容文字与招标文件规定一致，未进行修改和删减且签字盖章齐全；</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d.按照招标文件规定的格式、内容编制了施工组织设计及项目管理机构相关图表；</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e.投标文件组成齐全完整，内容均按规定填写，按招标文件规定的形式装订。</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(2)投标文件上法定代表人或其授权代理人的签字、投标人的单位章盖章齐全，符合招标文件规定。</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(3)投标人按照招标文件的规定提供了投标保证金：</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a.投标保证金金额符合招标文件规定的金额，且投标保证金有效期不少于投标有效期；</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b.若投标保证金采用现金或支票形式提交，投标人应在递交投标文件截止时间之前，将投标保证金由投标人的基本账户转入招标人指定账户；</w:t>
            </w:r>
          </w:p>
          <w:p>
            <w:pPr>
              <w:pStyle w:val="7"/>
              <w:spacing w:before="3"/>
              <w:ind w:left="22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c.若投标保证金采用保函形式提交，保函的格式、开具保函的银行、保函的有效期均满足招标文件要求，且递交投标文件截止时间之前向招标人单独密封提交了保函原件。</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(4)投标人法定代表人授权代理人签署投标文件的，需提交授权委托书，且授权人和被授权人均在授权委托书上亲笔签名。</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(5)投标人法定代表人亲自签署投标文件的，提供了法定代表人身份证明，且法定代表人在法定代表人身份证明上签名。</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(6)本项目不接受联合体投标。</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(7)本项目不允许分包。</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(8)同一投标人未提交两个以上不同的投标文件。</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(9)投标文件中未出现有关投标报价的内容。</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(10)投标文件载明的招标项目完成期限未超过招标文件规定的时限。</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(11)投标文件对招标文件的实质性要求和条件作出了响应。</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(12)权利义务符合招标文件规定：</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a.投标人应接受招标文件规定的风险划分原则，未提出新的风险划分办法；</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b.投标人未增加发包人的责任范围，或减少投标人义务；</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c.投标人未提出不同的工程验收、计量、支付办法；</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d.投标人对合同纠纷、事故处理办法未提出异议；</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e.投标人在投标活动中无欺诈行为；</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f.投标人未对合同条款有重要保留。</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）围标、串标审查：如果有证据显示投标人以他人名义投标、与他人串通投标、以行贿手段谋取中标，以及投标弄虚作假的，评标委员会应对该投标文件作无效投标处理。</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）评标委员会要对投标人的财务能力、管理水平和以往施工业绩及履约信誉进行详细评审。如发现投标文件有以下情况之一的，评标委员会将对其作无效投标处理：</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a.承诺的质量标准低于招标文件或国家强制性标准要求；</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b.提供虚假施工业绩及履约信誉证明材料。</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15</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投标文件和提交方式要满足投标人须知之规定。</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）按评标委员会要求澄清、说明或补正的。</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）未附有招标人不能接受的其他条件。</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第二个信封（报价文件）评审标准：</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投标文件按照招标文件规定的格式、内容填写</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字迹清晰可辨：</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投标函按招标文件规定填报了项目名称、标段号、补遗书编号（如有）、投标价（包括大写金额和小写金额）；</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b</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已标价工程量清单说明、投标报价说明、计日工说明、其他说明以及工程量清 单表中文字与招标文件规定一致，未进行实质性修改和删减</w:t>
            </w:r>
            <w:r>
              <w:rPr>
                <w:rFonts w:hint="eastAsia" w:ascii="宋体" w:hAnsi="宋体" w:eastAsia="宋体" w:cs="宋体"/>
                <w:color w:val="000000"/>
                <w:sz w:val="21"/>
                <w:szCs w:val="21"/>
                <w:highlight w:val="none"/>
                <w:lang w:eastAsia="zh-CN"/>
              </w:rPr>
              <w:t>；</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c</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投标文件组成齐全完整，内容均按规定填写。</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（2）投标文件上法定代表人或其授权代理人的签字、投标人的单位章盖章齐全，符合招标文件规定</w:t>
            </w:r>
            <w:r>
              <w:rPr>
                <w:rFonts w:hint="eastAsia" w:ascii="宋体" w:hAnsi="宋体" w:eastAsia="宋体" w:cs="宋体"/>
                <w:color w:val="000000"/>
                <w:sz w:val="21"/>
                <w:szCs w:val="21"/>
                <w:highlight w:val="none"/>
                <w:lang w:eastAsia="zh-CN"/>
              </w:rPr>
              <w:t>。</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）投标报价中报价满足投标人须知的要求及满足以下要求：</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投标报价的大写金额能确定具体数值；</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b</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投标报价未超过招标文件设定的最高投标限价；</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c</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投标报价大写金额无错误且可唱出；</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d</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未提交调价函；</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e</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同一投标人未提交两个以上不同的投标报价；</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）投标文件未附有招标人不能接受的其他条件。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794" w:hRule="atLeast"/>
        </w:trPr>
        <w:tc>
          <w:tcPr>
            <w:tcW w:w="1013" w:type="dxa"/>
            <w:tcBorders>
              <w:top w:val="single" w:color="auto" w:sz="2" w:space="0"/>
              <w:left w:val="single" w:color="auto" w:sz="2" w:space="0"/>
              <w:bottom w:val="single" w:color="auto" w:sz="2" w:space="0"/>
              <w:right w:val="single" w:color="auto" w:sz="2" w:space="0"/>
            </w:tcBorders>
            <w:noWrap w:val="0"/>
            <w:vAlign w:val="center"/>
          </w:tcPr>
          <w:p>
            <w:pPr>
              <w:pStyle w:val="7"/>
              <w:spacing w:before="3"/>
              <w:ind w:left="22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2.1.2</w:t>
            </w:r>
          </w:p>
        </w:tc>
        <w:tc>
          <w:tcPr>
            <w:tcW w:w="1501" w:type="dxa"/>
            <w:tcBorders>
              <w:top w:val="single" w:color="auto" w:sz="2" w:space="0"/>
              <w:left w:val="single" w:color="auto" w:sz="2" w:space="0"/>
              <w:bottom w:val="single" w:color="auto" w:sz="2" w:space="0"/>
              <w:right w:val="single" w:color="auto" w:sz="2" w:space="0"/>
            </w:tcBorders>
            <w:noWrap w:val="0"/>
            <w:vAlign w:val="center"/>
          </w:tcPr>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资格评</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审标准</w:t>
            </w:r>
          </w:p>
        </w:tc>
        <w:tc>
          <w:tcPr>
            <w:tcW w:w="6384" w:type="dxa"/>
            <w:tcBorders>
              <w:top w:val="single" w:color="auto" w:sz="2" w:space="0"/>
              <w:left w:val="single" w:color="auto" w:sz="2" w:space="0"/>
              <w:bottom w:val="single" w:color="auto" w:sz="2" w:space="0"/>
              <w:right w:val="single" w:color="auto" w:sz="2" w:space="0"/>
            </w:tcBorders>
            <w:noWrap w:val="0"/>
            <w:vAlign w:val="top"/>
          </w:tcPr>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投标人具备有效的营业执照、组织机构代码证、税务登记证（或三证合一的营业执照）、资质证书、安全生产许可证、基本账户开户许可证等招标文件要求提交的证照，且所有证照在正本中均为彩色扫描件或彩色复印件；</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投标人的资质等级符合招标文件投标人须知附录1（包括小注）规定；</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投标人的财务状况符合招标文件投标人须知附录2（包括小注）规定；</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投标人的业绩符合招标文件投标人须知附录3（包括小注）规定；</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投标人的信誉符合招标文件投标人须知附录4（包括小注）规定；</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投标人的项目经理和项目总工符合招标文件附录5（包括小注）规定；</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投标人不存在第二章“投标人须知”第1.4.3项或第1.4.4项规定的任何一种情形。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924" w:hRule="atLeast"/>
        </w:trPr>
        <w:tc>
          <w:tcPr>
            <w:tcW w:w="1013" w:type="dxa"/>
            <w:tcBorders>
              <w:top w:val="single" w:color="auto" w:sz="2" w:space="0"/>
              <w:left w:val="single" w:color="auto" w:sz="2" w:space="0"/>
              <w:bottom w:val="single" w:color="auto" w:sz="2" w:space="0"/>
              <w:right w:val="single" w:color="auto" w:sz="2" w:space="0"/>
            </w:tcBorders>
            <w:noWrap w:val="0"/>
            <w:vAlign w:val="center"/>
          </w:tcPr>
          <w:p>
            <w:pPr>
              <w:pStyle w:val="7"/>
              <w:spacing w:before="3"/>
              <w:ind w:left="22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2.2.1</w:t>
            </w:r>
          </w:p>
        </w:tc>
        <w:tc>
          <w:tcPr>
            <w:tcW w:w="1501" w:type="dxa"/>
            <w:tcBorders>
              <w:top w:val="single" w:color="auto" w:sz="2" w:space="0"/>
              <w:left w:val="single" w:color="auto" w:sz="2" w:space="0"/>
              <w:bottom w:val="single" w:color="auto" w:sz="2" w:space="0"/>
              <w:right w:val="single" w:color="auto" w:sz="2" w:space="0"/>
            </w:tcBorders>
            <w:noWrap w:val="0"/>
            <w:vAlign w:val="center"/>
          </w:tcPr>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分值构成</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（总分100分）</w:t>
            </w:r>
          </w:p>
        </w:tc>
        <w:tc>
          <w:tcPr>
            <w:tcW w:w="6384" w:type="dxa"/>
            <w:tcBorders>
              <w:top w:val="single" w:color="auto" w:sz="2" w:space="0"/>
              <w:left w:val="single" w:color="auto" w:sz="2" w:space="0"/>
              <w:bottom w:val="single" w:color="auto" w:sz="2" w:space="0"/>
              <w:right w:val="single" w:color="auto" w:sz="2" w:space="0"/>
            </w:tcBorders>
            <w:noWrap w:val="0"/>
            <w:vAlign w:val="center"/>
          </w:tcPr>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评标价：100分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924" w:hRule="atLeast"/>
        </w:trPr>
        <w:tc>
          <w:tcPr>
            <w:tcW w:w="1013" w:type="dxa"/>
            <w:tcBorders>
              <w:top w:val="single" w:color="auto" w:sz="2" w:space="0"/>
              <w:left w:val="single" w:color="auto" w:sz="2" w:space="0"/>
              <w:bottom w:val="single" w:color="auto" w:sz="2" w:space="0"/>
              <w:right w:val="single" w:color="auto" w:sz="2" w:space="0"/>
            </w:tcBorders>
            <w:noWrap w:val="0"/>
            <w:vAlign w:val="center"/>
          </w:tcPr>
          <w:p>
            <w:pPr>
              <w:pStyle w:val="7"/>
              <w:spacing w:before="3"/>
              <w:ind w:left="22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2.2.2</w:t>
            </w:r>
          </w:p>
        </w:tc>
        <w:tc>
          <w:tcPr>
            <w:tcW w:w="1501" w:type="dxa"/>
            <w:tcBorders>
              <w:top w:val="single" w:color="auto" w:sz="2" w:space="0"/>
              <w:left w:val="single" w:color="auto" w:sz="2" w:space="0"/>
              <w:bottom w:val="single" w:color="auto" w:sz="2" w:space="0"/>
              <w:right w:val="single" w:color="auto" w:sz="2" w:space="0"/>
            </w:tcBorders>
            <w:noWrap w:val="0"/>
            <w:vAlign w:val="center"/>
          </w:tcPr>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评标基准价计算方法</w:t>
            </w:r>
          </w:p>
          <w:p>
            <w:pPr>
              <w:pStyle w:val="7"/>
              <w:spacing w:before="3"/>
              <w:ind w:left="220"/>
              <w:rPr>
                <w:rFonts w:hint="eastAsia" w:ascii="宋体" w:hAnsi="宋体" w:eastAsia="宋体" w:cs="宋体"/>
                <w:color w:val="000000"/>
                <w:sz w:val="21"/>
                <w:szCs w:val="21"/>
                <w:highlight w:val="none"/>
              </w:rPr>
            </w:pPr>
          </w:p>
        </w:tc>
        <w:tc>
          <w:tcPr>
            <w:tcW w:w="6384" w:type="dxa"/>
            <w:tcBorders>
              <w:top w:val="single" w:color="auto" w:sz="2" w:space="0"/>
              <w:left w:val="single" w:color="auto" w:sz="2" w:space="0"/>
              <w:bottom w:val="single" w:color="auto" w:sz="2" w:space="0"/>
              <w:right w:val="single" w:color="auto" w:sz="2" w:space="0"/>
            </w:tcBorders>
            <w:noWrap w:val="0"/>
            <w:vAlign w:val="center"/>
          </w:tcPr>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一、计算公式字母含义</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1. P为评标基准价；    </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 Di为评标价：Di＝投标函文字报价；</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 N为有效评标价的数量（有效评标价：除第一信封经评标委员会否决的投标人及第二信封开标现场被宣布为不进入评标基准价计算的评标价之外，剩余所有投标人的评标价均为有效评标价）；</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 K为评标基准价系数：K值取值范围为0.980、0.985、0.990、0.995、1.000共5个数值，在开标现场由投标人代表随机抽取一个K值，并当场公布（（K值每组只抽一次，组内各标段不再抽取）；</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5. n1为去掉最高有效评标价的数量，n2为去掉最低有效评标价的数量（n1、n2的取值组内各标段分别抽取）。</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n1、n2的取值方法：</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当N＜6时，n1、n2均取0；</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当6≤N＜10，n1、n2均取1；</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当N≥10时，n1在取值区间1～M-1中现场随机抽取，n2在取值区间1～M+1中现场随机抽取，M=N/4，M去尾取整数。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924" w:hRule="atLeast"/>
        </w:trPr>
        <w:tc>
          <w:tcPr>
            <w:tcW w:w="1013" w:type="dxa"/>
            <w:tcBorders>
              <w:top w:val="single" w:color="auto" w:sz="2" w:space="0"/>
              <w:left w:val="single" w:color="auto" w:sz="2" w:space="0"/>
              <w:bottom w:val="single" w:color="auto" w:sz="2" w:space="0"/>
              <w:right w:val="single" w:color="auto" w:sz="2" w:space="0"/>
            </w:tcBorders>
            <w:noWrap w:val="0"/>
            <w:vAlign w:val="center"/>
          </w:tcPr>
          <w:p>
            <w:pPr>
              <w:pStyle w:val="7"/>
              <w:spacing w:before="3"/>
              <w:ind w:left="22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2.2.3</w:t>
            </w:r>
          </w:p>
        </w:tc>
        <w:tc>
          <w:tcPr>
            <w:tcW w:w="1501" w:type="dxa"/>
            <w:tcBorders>
              <w:top w:val="single" w:color="auto" w:sz="2" w:space="0"/>
              <w:left w:val="single" w:color="auto" w:sz="2" w:space="0"/>
              <w:bottom w:val="single" w:color="auto" w:sz="2" w:space="0"/>
              <w:right w:val="single" w:color="auto" w:sz="2" w:space="0"/>
            </w:tcBorders>
            <w:noWrap w:val="0"/>
            <w:vAlign w:val="center"/>
          </w:tcPr>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评标基准价计算方法</w:t>
            </w:r>
          </w:p>
        </w:tc>
        <w:tc>
          <w:tcPr>
            <w:tcW w:w="6384" w:type="dxa"/>
            <w:tcBorders>
              <w:top w:val="single" w:color="auto" w:sz="2" w:space="0"/>
              <w:left w:val="single" w:color="auto" w:sz="2" w:space="0"/>
              <w:bottom w:val="single" w:color="auto" w:sz="2" w:space="0"/>
              <w:right w:val="single" w:color="auto" w:sz="2" w:space="0"/>
            </w:tcBorders>
            <w:noWrap w:val="0"/>
            <w:vAlign w:val="center"/>
          </w:tcPr>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二</w:t>
            </w:r>
            <w:r>
              <w:rPr>
                <w:rFonts w:hint="eastAsia" w:ascii="宋体" w:hAnsi="宋体" w:eastAsia="宋体" w:cs="宋体"/>
                <w:color w:val="000000"/>
                <w:sz w:val="21"/>
                <w:szCs w:val="21"/>
                <w:highlight w:val="none"/>
                <w:lang w:eastAsia="zh-CN"/>
              </w:rPr>
              <w:t>、评标基准价计算方法</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以下三种评标基准价计算方法，招标人在开标现场随机抽取其中一种方法作为当次招标评标基准价的计算方法，按已抽取的评标基准价计算方法抽取相关计算参数。</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评标基准价方法1（平均值随机系数法）：有效评标价去掉n1个最高评标价和n2个最低评标价后取平均值，乘以评标基准价系数K作为评标基准价Ｐ。</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drawing>
                <wp:anchor distT="0" distB="0" distL="114300" distR="114300" simplePos="0" relativeHeight="251660288" behindDoc="0" locked="0" layoutInCell="1" allowOverlap="1">
                  <wp:simplePos x="0" y="0"/>
                  <wp:positionH relativeFrom="column">
                    <wp:posOffset>97790</wp:posOffset>
                  </wp:positionH>
                  <wp:positionV relativeFrom="paragraph">
                    <wp:posOffset>20320</wp:posOffset>
                  </wp:positionV>
                  <wp:extent cx="3862705" cy="735965"/>
                  <wp:effectExtent l="0" t="0" r="8255" b="10795"/>
                  <wp:wrapNone/>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4"/>
                          <a:stretch>
                            <a:fillRect/>
                          </a:stretch>
                        </pic:blipFill>
                        <pic:spPr>
                          <a:xfrm>
                            <a:off x="0" y="0"/>
                            <a:ext cx="3862705" cy="735965"/>
                          </a:xfrm>
                          <a:prstGeom prst="rect">
                            <a:avLst/>
                          </a:prstGeom>
                          <a:noFill/>
                          <a:ln>
                            <a:noFill/>
                          </a:ln>
                        </pic:spPr>
                      </pic:pic>
                    </a:graphicData>
                  </a:graphic>
                </wp:anchor>
              </w:drawing>
            </w:r>
          </w:p>
          <w:p>
            <w:pPr>
              <w:pStyle w:val="7"/>
              <w:spacing w:before="3"/>
              <w:ind w:left="220"/>
              <w:rPr>
                <w:rFonts w:hint="eastAsia" w:ascii="宋体" w:hAnsi="宋体" w:eastAsia="宋体" w:cs="宋体"/>
                <w:color w:val="000000"/>
                <w:sz w:val="21"/>
                <w:szCs w:val="21"/>
                <w:highlight w:val="none"/>
                <w:lang w:eastAsia="zh-CN"/>
              </w:rPr>
            </w:pPr>
          </w:p>
          <w:p>
            <w:pPr>
              <w:pStyle w:val="7"/>
              <w:spacing w:before="3"/>
              <w:ind w:left="220"/>
              <w:rPr>
                <w:rFonts w:hint="eastAsia" w:ascii="宋体" w:hAnsi="宋体" w:eastAsia="宋体" w:cs="宋体"/>
                <w:color w:val="000000"/>
                <w:sz w:val="21"/>
                <w:szCs w:val="21"/>
                <w:highlight w:val="none"/>
                <w:lang w:eastAsia="zh-CN"/>
              </w:rPr>
            </w:pPr>
          </w:p>
          <w:p>
            <w:pPr>
              <w:pStyle w:val="7"/>
              <w:spacing w:before="3"/>
              <w:ind w:left="220"/>
              <w:rPr>
                <w:rFonts w:hint="eastAsia" w:ascii="宋体" w:hAnsi="宋体" w:eastAsia="宋体" w:cs="宋体"/>
                <w:color w:val="000000"/>
                <w:sz w:val="21"/>
                <w:szCs w:val="21"/>
                <w:highlight w:val="none"/>
                <w:lang w:eastAsia="zh-CN"/>
              </w:rPr>
            </w:pP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评标基准价方法2（价差随机系数法）：先去掉n1个最高有效评标价和n2个最低有效评标价，用剩余有效评标价中最大评标价与最小评标价之差与调整系数乘积加最小评标价作为评标基准价。</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P＝（Dmax - Dmin）×  Ks  +  Dmin</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式中：Dmax为去掉n1个最高有效评标价后的最大评标价数值。</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Dmin为去掉n2个最低有效评标价后的最小评标价数值。</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Ks为随机调整系数：Ks＝（X+Y/10）/10,其中X、Y为开标现场抽取的两个系数，各设5个数值，分别为2、3、4、5、6。</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评标基准价方法3（随机权重法）：先去掉n1个最高有效评标价和n2个最低有效评标价后的平均值，用最高投标限价与平均值的权值之和作为评标基准价。</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P =D平均×K1×Q1 + B上限×K2 ×Q2</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式中：D平均为去掉n1个最高评标价和n2个最低评标价后的平均值</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B上限为投标最高限价</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K1、K2、Q1 、Q2权重系数：</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Q2 = 1- Q1， Q1取值范围30%～70%；</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K1 的取值范围为 95%～100%；</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K2 的取值范围为(85%+E%)～(90%+E%)，其中E为0至5的自然数，由招标人在编制招标文件时结合项目实际自行选取E值后明确K2的取值范围，本项目E=3。</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Q1值、K1值、K2值均在第二信封开标现场随机抽取确定。Q1取值的步长不大于1%，K1和K2取值的步长不大于0.5%。</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Q1取值的步长现场从0.1%、0.2%、0.3%、0.4%、0.5%、0.6%、0.7%、0.8%、0.9%、1.0%共10个数值中随机抽取，K1 和K2 取值的步长现场从0.1%、0.2%、0.3%、0.4%、0.5%共5个数值中随机抽取。</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Q1值、K1值、K2值的抽取，如项目分组招标，对应系数按照组进行抽取；如未分组，对应系数按照标段进行抽取。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90" w:hRule="atLeast"/>
        </w:trPr>
        <w:tc>
          <w:tcPr>
            <w:tcW w:w="1013" w:type="dxa"/>
            <w:tcBorders>
              <w:top w:val="single" w:color="auto" w:sz="2" w:space="0"/>
              <w:left w:val="single" w:color="auto" w:sz="2" w:space="0"/>
              <w:bottom w:val="single" w:color="auto" w:sz="2" w:space="0"/>
              <w:right w:val="single" w:color="auto" w:sz="2" w:space="0"/>
            </w:tcBorders>
            <w:noWrap w:val="0"/>
            <w:vAlign w:val="top"/>
          </w:tcPr>
          <w:p>
            <w:pPr>
              <w:pStyle w:val="7"/>
              <w:spacing w:before="3"/>
              <w:ind w:left="220"/>
              <w:rPr>
                <w:rFonts w:hint="eastAsia" w:ascii="宋体" w:hAnsi="宋体" w:eastAsia="宋体" w:cs="宋体"/>
                <w:color w:val="000000"/>
                <w:highlight w:val="none"/>
              </w:rPr>
            </w:pPr>
          </w:p>
          <w:p>
            <w:pPr>
              <w:pStyle w:val="7"/>
              <w:spacing w:before="3"/>
              <w:ind w:left="220"/>
              <w:rPr>
                <w:rFonts w:hint="eastAsia" w:ascii="宋体" w:hAnsi="宋体" w:eastAsia="宋体" w:cs="宋体"/>
                <w:color w:val="000000"/>
                <w:highlight w:val="none"/>
                <w:lang w:eastAsia="zh-CN"/>
              </w:rPr>
            </w:pPr>
            <w:r>
              <w:rPr>
                <w:rFonts w:hint="eastAsia" w:ascii="宋体" w:hAnsi="宋体" w:eastAsia="宋体" w:cs="宋体"/>
                <w:color w:val="000000"/>
                <w:highlight w:val="none"/>
              </w:rPr>
              <w:t>2.2.</w:t>
            </w:r>
            <w:r>
              <w:rPr>
                <w:rFonts w:hint="eastAsia" w:ascii="宋体" w:hAnsi="宋体" w:eastAsia="宋体" w:cs="宋体"/>
                <w:color w:val="000000"/>
                <w:highlight w:val="none"/>
                <w:lang w:val="en-US" w:eastAsia="zh-CN"/>
              </w:rPr>
              <w:t>3</w:t>
            </w:r>
          </w:p>
        </w:tc>
        <w:tc>
          <w:tcPr>
            <w:tcW w:w="1501" w:type="dxa"/>
            <w:tcBorders>
              <w:top w:val="single" w:color="auto" w:sz="2" w:space="0"/>
              <w:left w:val="single" w:color="auto" w:sz="2" w:space="0"/>
              <w:bottom w:val="single" w:color="auto" w:sz="2" w:space="0"/>
              <w:right w:val="single" w:color="auto" w:sz="2" w:space="0"/>
            </w:tcBorders>
            <w:noWrap w:val="0"/>
            <w:vAlign w:val="top"/>
          </w:tcPr>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评标价的偏差率计算公式</w:t>
            </w:r>
          </w:p>
        </w:tc>
        <w:tc>
          <w:tcPr>
            <w:tcW w:w="6384" w:type="dxa"/>
            <w:tcBorders>
              <w:top w:val="single" w:color="auto" w:sz="2" w:space="0"/>
              <w:left w:val="single" w:color="auto" w:sz="2" w:space="0"/>
              <w:bottom w:val="single" w:color="auto" w:sz="2" w:space="0"/>
              <w:right w:val="single" w:color="auto" w:sz="2" w:space="0"/>
            </w:tcBorders>
            <w:noWrap w:val="0"/>
            <w:vAlign w:val="top"/>
          </w:tcPr>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偏差率=100%×（投标人评标价－评标基准价）/评标基准价偏差率保留 2 位小数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90" w:hRule="atLeast"/>
        </w:trPr>
        <w:tc>
          <w:tcPr>
            <w:tcW w:w="1013" w:type="dxa"/>
            <w:tcBorders>
              <w:top w:val="single" w:color="auto" w:sz="2" w:space="0"/>
              <w:left w:val="single" w:color="auto" w:sz="2" w:space="0"/>
              <w:bottom w:val="single" w:color="auto" w:sz="2" w:space="0"/>
              <w:right w:val="single" w:color="auto" w:sz="2" w:space="0"/>
            </w:tcBorders>
            <w:noWrap w:val="0"/>
            <w:vAlign w:val="top"/>
          </w:tcPr>
          <w:p>
            <w:pPr>
              <w:pStyle w:val="7"/>
              <w:spacing w:before="3"/>
              <w:ind w:left="220"/>
              <w:rPr>
                <w:rFonts w:hint="eastAsia" w:ascii="宋体" w:hAnsi="宋体" w:eastAsia="宋体" w:cs="宋体"/>
                <w:color w:val="000000"/>
                <w:highlight w:val="none"/>
              </w:rPr>
            </w:pPr>
          </w:p>
          <w:p>
            <w:pPr>
              <w:pStyle w:val="7"/>
              <w:spacing w:before="3"/>
              <w:ind w:left="220"/>
              <w:rPr>
                <w:rFonts w:hint="eastAsia" w:ascii="宋体" w:hAnsi="宋体" w:eastAsia="宋体" w:cs="宋体"/>
                <w:color w:val="000000"/>
                <w:highlight w:val="none"/>
              </w:rPr>
            </w:pPr>
          </w:p>
          <w:p>
            <w:pPr>
              <w:pStyle w:val="7"/>
              <w:spacing w:before="3"/>
              <w:ind w:left="220"/>
              <w:rPr>
                <w:rFonts w:hint="eastAsia" w:ascii="宋体" w:hAnsi="宋体" w:eastAsia="宋体" w:cs="宋体"/>
                <w:color w:val="000000"/>
                <w:highlight w:val="none"/>
              </w:rPr>
            </w:pPr>
          </w:p>
          <w:p>
            <w:pPr>
              <w:pStyle w:val="7"/>
              <w:spacing w:before="3"/>
              <w:ind w:left="220"/>
              <w:rPr>
                <w:rFonts w:hint="eastAsia" w:ascii="宋体" w:hAnsi="宋体" w:eastAsia="宋体" w:cs="宋体"/>
                <w:color w:val="000000"/>
                <w:highlight w:val="none"/>
              </w:rPr>
            </w:pPr>
          </w:p>
          <w:p>
            <w:pPr>
              <w:pStyle w:val="7"/>
              <w:spacing w:before="3"/>
              <w:ind w:left="220"/>
              <w:rPr>
                <w:rFonts w:hint="eastAsia" w:ascii="宋体" w:hAnsi="宋体" w:eastAsia="宋体" w:cs="宋体"/>
                <w:color w:val="000000"/>
                <w:highlight w:val="none"/>
                <w:lang w:eastAsia="zh-CN"/>
              </w:rPr>
            </w:pPr>
            <w:r>
              <w:rPr>
                <w:rFonts w:hint="eastAsia" w:ascii="宋体" w:hAnsi="宋体" w:eastAsia="宋体" w:cs="宋体"/>
                <w:color w:val="000000"/>
                <w:highlight w:val="none"/>
              </w:rPr>
              <w:t>2.2.</w:t>
            </w:r>
            <w:r>
              <w:rPr>
                <w:rFonts w:hint="eastAsia" w:ascii="宋体" w:hAnsi="宋体" w:eastAsia="宋体" w:cs="宋体"/>
                <w:color w:val="000000"/>
                <w:highlight w:val="none"/>
                <w:lang w:val="en-US" w:eastAsia="zh-CN"/>
              </w:rPr>
              <w:t>4</w:t>
            </w:r>
          </w:p>
        </w:tc>
        <w:tc>
          <w:tcPr>
            <w:tcW w:w="1501" w:type="dxa"/>
            <w:tcBorders>
              <w:top w:val="single" w:color="auto" w:sz="2" w:space="0"/>
              <w:left w:val="single" w:color="auto" w:sz="2" w:space="0"/>
              <w:bottom w:val="single" w:color="auto" w:sz="2" w:space="0"/>
              <w:right w:val="single" w:color="auto" w:sz="2" w:space="0"/>
            </w:tcBorders>
            <w:noWrap w:val="0"/>
            <w:vAlign w:val="top"/>
          </w:tcPr>
          <w:p>
            <w:pPr>
              <w:pStyle w:val="7"/>
              <w:spacing w:before="3"/>
              <w:ind w:left="0" w:leftChars="0" w:firstLine="0" w:firstLineChars="0"/>
              <w:rPr>
                <w:rFonts w:hint="eastAsia" w:ascii="宋体" w:hAnsi="宋体" w:eastAsia="宋体" w:cs="宋体"/>
                <w:color w:val="000000"/>
                <w:sz w:val="21"/>
                <w:szCs w:val="21"/>
                <w:highlight w:val="none"/>
              </w:rPr>
            </w:pP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第二信封评标价</w:t>
            </w:r>
          </w:p>
        </w:tc>
        <w:tc>
          <w:tcPr>
            <w:tcW w:w="6384" w:type="dxa"/>
            <w:tcBorders>
              <w:top w:val="single" w:color="auto" w:sz="2" w:space="0"/>
              <w:left w:val="single" w:color="auto" w:sz="2" w:space="0"/>
              <w:bottom w:val="single" w:color="auto" w:sz="2" w:space="0"/>
              <w:right w:val="single" w:color="auto" w:sz="2" w:space="0"/>
            </w:tcBorders>
            <w:noWrap w:val="0"/>
            <w:vAlign w:val="top"/>
          </w:tcPr>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评标价得分计算公式示例: </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(1)如果投标人的评标价&gt;评标基准价,则评标价得分=100-偏差率×100×E1； </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(2)如果投标的人评标价≤评标基准价,则评标价得分=100+偏差率×100×E2； </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其中:E1 是评标价每高于评标基准价1个百分点的扣分值；E2 是评标价每低于评标基准价1个百分点的扣分值；招标人可依据招标项目具体特点和实际需要设置E1、E2，但E1大于E2。本项目E1=2、E2=1。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90" w:hRule="atLeast"/>
        </w:trPr>
        <w:tc>
          <w:tcPr>
            <w:tcW w:w="8898" w:type="dxa"/>
            <w:gridSpan w:val="3"/>
            <w:tcBorders>
              <w:top w:val="single" w:color="auto" w:sz="2" w:space="0"/>
              <w:left w:val="single" w:color="auto" w:sz="2" w:space="0"/>
              <w:bottom w:val="single" w:color="auto" w:sz="2" w:space="0"/>
              <w:right w:val="single" w:color="auto" w:sz="2" w:space="0"/>
            </w:tcBorders>
            <w:noWrap w:val="0"/>
            <w:vAlign w:val="top"/>
          </w:tcPr>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需要补充的其他内容：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12" w:hRule="atLeast"/>
        </w:trPr>
        <w:tc>
          <w:tcPr>
            <w:tcW w:w="1013" w:type="dxa"/>
            <w:tcBorders>
              <w:top w:val="single" w:color="auto" w:sz="2" w:space="0"/>
              <w:left w:val="single" w:color="auto" w:sz="2" w:space="0"/>
              <w:bottom w:val="single" w:color="auto" w:sz="2" w:space="0"/>
              <w:right w:val="single" w:color="auto" w:sz="2" w:space="0"/>
            </w:tcBorders>
            <w:noWrap w:val="0"/>
            <w:vAlign w:val="center"/>
          </w:tcPr>
          <w:p>
            <w:pPr>
              <w:pStyle w:val="7"/>
              <w:spacing w:before="3"/>
              <w:ind w:left="220"/>
              <w:rPr>
                <w:rFonts w:hint="eastAsia" w:ascii="宋体" w:hAnsi="宋体" w:eastAsia="宋体" w:cs="宋体"/>
                <w:color w:val="000000"/>
                <w:highlight w:val="none"/>
                <w:lang w:val="en-US" w:eastAsia="zh-CN"/>
              </w:rPr>
            </w:pPr>
            <w:r>
              <w:rPr>
                <w:rFonts w:hint="eastAsia" w:ascii="宋体" w:hAnsi="宋体" w:eastAsia="宋体" w:cs="宋体"/>
                <w:color w:val="000000"/>
                <w:highlight w:val="none"/>
              </w:rPr>
              <w:t>条款号</w:t>
            </w:r>
          </w:p>
        </w:tc>
        <w:tc>
          <w:tcPr>
            <w:tcW w:w="7885" w:type="dxa"/>
            <w:gridSpan w:val="2"/>
            <w:tcBorders>
              <w:top w:val="single" w:color="auto" w:sz="2" w:space="0"/>
              <w:left w:val="single" w:color="auto" w:sz="2" w:space="0"/>
              <w:bottom w:val="single" w:color="auto" w:sz="2" w:space="0"/>
              <w:right w:val="single" w:color="auto" w:sz="2" w:space="0"/>
            </w:tcBorders>
            <w:noWrap w:val="0"/>
            <w:vAlign w:val="center"/>
          </w:tcPr>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编列内容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90" w:hRule="atLeast"/>
        </w:trPr>
        <w:tc>
          <w:tcPr>
            <w:tcW w:w="1013" w:type="dxa"/>
            <w:tcBorders>
              <w:top w:val="single" w:color="auto" w:sz="2" w:space="0"/>
              <w:left w:val="single" w:color="auto" w:sz="2" w:space="0"/>
              <w:bottom w:val="single" w:color="auto" w:sz="2" w:space="0"/>
              <w:right w:val="single" w:color="auto" w:sz="2" w:space="0"/>
            </w:tcBorders>
            <w:noWrap w:val="0"/>
            <w:vAlign w:val="center"/>
          </w:tcPr>
          <w:p>
            <w:pPr>
              <w:pStyle w:val="7"/>
              <w:spacing w:before="3"/>
              <w:ind w:left="220"/>
              <w:rPr>
                <w:rFonts w:hint="eastAsia" w:ascii="宋体" w:hAnsi="宋体" w:eastAsia="宋体" w:cs="宋体"/>
                <w:color w:val="000000"/>
                <w:highlight w:val="none"/>
                <w:lang w:val="en-US" w:eastAsia="zh-CN"/>
              </w:rPr>
            </w:pPr>
          </w:p>
        </w:tc>
        <w:tc>
          <w:tcPr>
            <w:tcW w:w="7885" w:type="dxa"/>
            <w:gridSpan w:val="2"/>
            <w:tcBorders>
              <w:top w:val="single" w:color="auto" w:sz="2" w:space="0"/>
              <w:left w:val="single" w:color="auto" w:sz="2" w:space="0"/>
              <w:bottom w:val="single" w:color="auto" w:sz="2" w:space="0"/>
              <w:right w:val="single" w:color="auto" w:sz="2" w:space="0"/>
            </w:tcBorders>
            <w:noWrap w:val="0"/>
            <w:vAlign w:val="center"/>
          </w:tcPr>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评标办法</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本条细化为：</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本次评标采用双信封形式合理低价法。</w:t>
            </w:r>
          </w:p>
          <w:p>
            <w:pPr>
              <w:pStyle w:val="7"/>
              <w:spacing w:before="3"/>
              <w:ind w:left="220"/>
              <w:rPr>
                <w:rFonts w:hint="eastAsia" w:ascii="宋体" w:hAnsi="宋体" w:eastAsia="宋体" w:cs="宋体"/>
                <w:color w:val="000000"/>
                <w:sz w:val="21"/>
                <w:szCs w:val="21"/>
                <w:highlight w:val="none"/>
                <w:lang w:eastAsia="zh-CN"/>
              </w:rPr>
            </w:pPr>
            <w:r>
              <w:rPr>
                <w:rFonts w:hint="eastAsia" w:eastAsia="宋体" w:cs="宋体"/>
                <w:color w:val="000000"/>
                <w:sz w:val="21"/>
                <w:szCs w:val="21"/>
                <w:highlight w:val="none"/>
                <w:lang w:val="en-US" w:eastAsia="zh-CN"/>
              </w:rPr>
              <w:t>1.1</w:t>
            </w:r>
            <w:r>
              <w:rPr>
                <w:rFonts w:hint="eastAsia" w:ascii="宋体" w:hAnsi="宋体" w:eastAsia="宋体" w:cs="宋体"/>
                <w:color w:val="000000"/>
                <w:sz w:val="21"/>
                <w:szCs w:val="21"/>
                <w:highlight w:val="none"/>
                <w:lang w:eastAsia="zh-CN"/>
              </w:rPr>
              <w:t>评标委员会首先对投标文件第一个信封（商务与技术文件）进行初步评审（形式评审与响应性评审、资格评审），通过第一个信封初步评审后的投标文件方可进入第二个信封的开标。</w:t>
            </w:r>
          </w:p>
          <w:p>
            <w:pPr>
              <w:pStyle w:val="7"/>
              <w:spacing w:before="3"/>
              <w:ind w:left="220"/>
              <w:rPr>
                <w:rFonts w:hint="eastAsia" w:ascii="宋体" w:hAnsi="宋体" w:eastAsia="宋体" w:cs="宋体"/>
                <w:color w:val="000000"/>
                <w:sz w:val="21"/>
                <w:szCs w:val="21"/>
                <w:highlight w:val="none"/>
                <w:lang w:eastAsia="zh-CN"/>
              </w:rPr>
            </w:pPr>
            <w:r>
              <w:rPr>
                <w:rFonts w:hint="eastAsia" w:eastAsia="宋体" w:cs="宋体"/>
                <w:color w:val="000000"/>
                <w:sz w:val="21"/>
                <w:szCs w:val="21"/>
                <w:highlight w:val="none"/>
                <w:lang w:val="en-US" w:eastAsia="zh-CN"/>
              </w:rPr>
              <w:t>1.2</w:t>
            </w:r>
            <w:r>
              <w:rPr>
                <w:rFonts w:hint="eastAsia" w:ascii="宋体" w:hAnsi="宋体" w:eastAsia="宋体" w:cs="宋体"/>
                <w:color w:val="000000"/>
                <w:sz w:val="21"/>
                <w:szCs w:val="21"/>
                <w:highlight w:val="none"/>
                <w:lang w:eastAsia="zh-CN"/>
              </w:rPr>
              <w:t>第二个信封的开标在监督部门的监督下进行，未通过第一个信封初步评审投标人的第二个信封电子文件不予读取。</w:t>
            </w:r>
          </w:p>
          <w:p>
            <w:pPr>
              <w:pStyle w:val="7"/>
              <w:spacing w:before="3"/>
              <w:ind w:left="220"/>
              <w:rPr>
                <w:rFonts w:hint="eastAsia" w:ascii="宋体" w:hAnsi="宋体" w:eastAsia="宋体" w:cs="宋体"/>
                <w:color w:val="000000"/>
                <w:sz w:val="21"/>
                <w:szCs w:val="21"/>
                <w:highlight w:val="none"/>
                <w:lang w:eastAsia="zh-CN"/>
              </w:rPr>
            </w:pPr>
            <w:r>
              <w:rPr>
                <w:rFonts w:hint="eastAsia" w:eastAsia="宋体" w:cs="宋体"/>
                <w:color w:val="000000"/>
                <w:sz w:val="21"/>
                <w:szCs w:val="21"/>
                <w:highlight w:val="none"/>
                <w:lang w:val="en-US" w:eastAsia="zh-CN"/>
              </w:rPr>
              <w:t>1.3</w:t>
            </w:r>
            <w:r>
              <w:rPr>
                <w:rFonts w:hint="eastAsia" w:ascii="宋体" w:hAnsi="宋体" w:eastAsia="宋体" w:cs="宋体"/>
                <w:color w:val="000000"/>
                <w:sz w:val="21"/>
                <w:szCs w:val="21"/>
                <w:highlight w:val="none"/>
                <w:lang w:eastAsia="zh-CN"/>
              </w:rPr>
              <w:t>评标委员会对投标文件第二个信封进行形式和响应性评审，并按照本章第 2.2 款规定的评分标准进行评分，然后按最终得分（最终得分即评标价得分加信用加分）由高到低顺序确定中标候选人推荐排序，但投标报价低于其成本的除外。</w:t>
            </w:r>
          </w:p>
          <w:p>
            <w:pPr>
              <w:pStyle w:val="7"/>
              <w:spacing w:before="3"/>
              <w:ind w:left="220"/>
              <w:rPr>
                <w:rFonts w:hint="eastAsia" w:ascii="宋体" w:hAnsi="宋体" w:eastAsia="宋体" w:cs="宋体"/>
                <w:color w:val="000000"/>
                <w:sz w:val="21"/>
                <w:szCs w:val="21"/>
                <w:highlight w:val="none"/>
                <w:lang w:eastAsia="zh-CN"/>
              </w:rPr>
            </w:pPr>
            <w:r>
              <w:rPr>
                <w:rFonts w:hint="eastAsia"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当两家及以上投标人在标段中的最终得分相等时，若评标价不相等，以评标价较低者优先；当两家及以上投标人在标段中的最终得分相等且评标价也相等时，若各投标人工程量清单子目单价也相同时，视为串标，其投标均被否决。</w:t>
            </w:r>
          </w:p>
          <w:p>
            <w:pPr>
              <w:pStyle w:val="7"/>
              <w:spacing w:before="3"/>
              <w:ind w:left="220"/>
              <w:rPr>
                <w:rFonts w:hint="eastAsia" w:ascii="宋体" w:hAnsi="宋体" w:eastAsia="宋体" w:cs="宋体"/>
                <w:color w:val="000000"/>
                <w:sz w:val="21"/>
                <w:szCs w:val="21"/>
                <w:highlight w:val="none"/>
                <w:lang w:eastAsia="zh-CN"/>
              </w:rPr>
            </w:pPr>
            <w:r>
              <w:rPr>
                <w:rFonts w:hint="eastAsia" w:eastAsia="宋体" w:cs="宋体"/>
                <w:color w:val="000000"/>
                <w:sz w:val="21"/>
                <w:szCs w:val="21"/>
                <w:highlight w:val="none"/>
                <w:lang w:val="en-US" w:eastAsia="zh-CN"/>
              </w:rPr>
              <w:t>1.4</w:t>
            </w:r>
            <w:r>
              <w:rPr>
                <w:rFonts w:hint="eastAsia" w:ascii="宋体" w:hAnsi="宋体" w:eastAsia="宋体" w:cs="宋体"/>
                <w:color w:val="000000"/>
                <w:sz w:val="21"/>
                <w:szCs w:val="21"/>
                <w:highlight w:val="none"/>
                <w:lang w:eastAsia="zh-CN"/>
              </w:rPr>
              <w:t>评标委员会将按照本条第1条中确定的先后排序依次推荐第一、第二、第三中标候选人。</w:t>
            </w:r>
          </w:p>
          <w:p>
            <w:pPr>
              <w:pStyle w:val="7"/>
              <w:spacing w:before="3"/>
              <w:ind w:left="220"/>
              <w:rPr>
                <w:rFonts w:hint="eastAsia" w:ascii="宋体" w:hAnsi="宋体" w:eastAsia="宋体" w:cs="宋体"/>
                <w:color w:val="000000"/>
                <w:sz w:val="21"/>
                <w:szCs w:val="21"/>
                <w:highlight w:val="none"/>
                <w:lang w:eastAsia="zh-CN"/>
              </w:rPr>
            </w:pPr>
            <w:r>
              <w:rPr>
                <w:rFonts w:hint="eastAsia" w:eastAsia="宋体" w:cs="宋体"/>
                <w:color w:val="000000"/>
                <w:sz w:val="21"/>
                <w:szCs w:val="21"/>
                <w:highlight w:val="none"/>
                <w:lang w:val="en-US" w:eastAsia="zh-CN"/>
              </w:rPr>
              <w:t>1.5</w:t>
            </w:r>
            <w:r>
              <w:rPr>
                <w:rFonts w:hint="eastAsia" w:ascii="宋体" w:hAnsi="宋体" w:eastAsia="宋体" w:cs="宋体"/>
                <w:color w:val="000000"/>
                <w:sz w:val="21"/>
                <w:szCs w:val="21"/>
                <w:highlight w:val="none"/>
                <w:lang w:eastAsia="zh-CN"/>
              </w:rPr>
              <w:t>通过第一个信封评审的投标人在3个及以上的，招标人将按规定的程序进行第二个信封开标；在对第二个信封进行评审后，有效投标不足3个使得投标明显缺乏竞争的，评标委员会可以否决全部投标。评标委员会未否决全部投标的，应当在评标报告中阐明理由并推荐中标候选人。</w:t>
            </w:r>
          </w:p>
          <w:p>
            <w:pPr>
              <w:pStyle w:val="7"/>
              <w:spacing w:before="3"/>
              <w:ind w:left="220"/>
              <w:rPr>
                <w:rFonts w:hint="eastAsia" w:ascii="宋体" w:hAnsi="宋体" w:eastAsia="宋体" w:cs="宋体"/>
                <w:color w:val="000000"/>
                <w:sz w:val="21"/>
                <w:szCs w:val="21"/>
                <w:highlight w:val="none"/>
                <w:lang w:eastAsia="zh-CN"/>
              </w:rPr>
            </w:pPr>
            <w:r>
              <w:rPr>
                <w:rFonts w:hint="eastAsia" w:eastAsia="宋体" w:cs="宋体"/>
                <w:color w:val="000000"/>
                <w:sz w:val="21"/>
                <w:szCs w:val="21"/>
                <w:highlight w:val="none"/>
                <w:lang w:val="en-US" w:eastAsia="zh-CN"/>
              </w:rPr>
              <w:t>1.6</w:t>
            </w:r>
            <w:r>
              <w:rPr>
                <w:rFonts w:hint="eastAsia" w:ascii="宋体" w:hAnsi="宋体" w:eastAsia="宋体" w:cs="宋体"/>
                <w:color w:val="000000"/>
                <w:sz w:val="21"/>
                <w:szCs w:val="21"/>
                <w:highlight w:val="none"/>
                <w:lang w:eastAsia="zh-CN"/>
              </w:rPr>
              <w:t>在评审过程中评标委员会认为投标人有围标串标、哄抬或压低标价谋取中标的嫌疑，评标委员会有权做出废标或重新招标。</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通过第一个信封评审的投标人少于3个的，评标委员会可以否决全部投标；未否决全部投标的，评标委员会应当在评标报告中阐明理由，招标人将按规定的程序进行第二个信封（报价文件）开标，但评标委员会在进行第二个信封评审时仍有权否决全部投标；评标委员会未在第二个信封评审时否决全部投标的，应当在评标报告中阐明理由并推荐中标候选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90" w:hRule="atLeast"/>
        </w:trPr>
        <w:tc>
          <w:tcPr>
            <w:tcW w:w="1013" w:type="dxa"/>
            <w:tcBorders>
              <w:top w:val="single" w:color="auto" w:sz="2" w:space="0"/>
              <w:left w:val="single" w:color="auto" w:sz="2" w:space="0"/>
              <w:bottom w:val="single" w:color="auto" w:sz="2" w:space="0"/>
              <w:right w:val="single" w:color="auto" w:sz="2" w:space="0"/>
            </w:tcBorders>
            <w:noWrap w:val="0"/>
            <w:vAlign w:val="center"/>
          </w:tcPr>
          <w:p>
            <w:pPr>
              <w:pStyle w:val="7"/>
              <w:spacing w:before="3"/>
              <w:ind w:left="220"/>
              <w:rPr>
                <w:rFonts w:hint="eastAsia" w:ascii="宋体" w:hAnsi="宋体" w:eastAsia="宋体" w:cs="宋体"/>
                <w:color w:val="000000"/>
                <w:highlight w:val="none"/>
                <w:lang w:val="en-US" w:eastAsia="zh-CN"/>
              </w:rPr>
            </w:pPr>
          </w:p>
        </w:tc>
        <w:tc>
          <w:tcPr>
            <w:tcW w:w="7885" w:type="dxa"/>
            <w:gridSpan w:val="2"/>
            <w:tcBorders>
              <w:top w:val="single" w:color="auto" w:sz="2" w:space="0"/>
              <w:left w:val="single" w:color="auto" w:sz="2" w:space="0"/>
              <w:bottom w:val="single" w:color="auto" w:sz="2" w:space="0"/>
              <w:right w:val="single" w:color="auto" w:sz="2" w:space="0"/>
            </w:tcBorders>
            <w:noWrap w:val="0"/>
            <w:vAlign w:val="center"/>
          </w:tcPr>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3.5.2 条细化为：</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3.5.2 评标委员会应对在评标过程中发现的投标人与投标人之间、投标人与招标人之间存在的串通投标的情形进行评审和认定。投标人存在串通投标、弄虚作假、行贿等违法行为的，评标委员会应否决其投标。</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（1）有下列情形之一的，属于投标人相互串通投标： a.投标人之间协商投标报价等投标文件的实质性内容； b.投标人之间约定中标人；</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c.投标人之间约定部分投标人放弃投标或者中标；</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d.属于同一集团、协会、商会等组织成员的投标人按照该组织要求协同投标； </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e.投标人之间为谋取中标或排斥特定投标人而采取的其他联合行动。</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（2）有下列情形之一的，视为投标人相互串通投标： a.不同投标人的投标文件由同一单位或者个人编制； b.不同投标人委托同一单位或者个人办理投标事宜；</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c.不同投标人的投标文件载明的项目管理成员为同一人；</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d.不同投标人的投标文件异常一致或者投标报价呈规律性差异；</w:t>
            </w:r>
          </w:p>
          <w:p>
            <w:pPr>
              <w:pStyle w:val="7"/>
              <w:spacing w:before="3"/>
              <w:ind w:left="0" w:leftChars="0" w:firstLine="210" w:firstLineChars="1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e.不同投标人的投标文件相互混装；</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f.不同投标人的投标保证金从同一单位或者个人的账户转出。 </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g.不同投标人编制的投标文件存在两处以上相同错误的；</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h.不同投标人的投标文件由同一投标人编制或者打印、复印的； </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i.不同投标人的投标文件由同一投标人送达或者分发的；</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参加投标活动的人员为同一项目其他投标人的在职人员的；</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不同投标人的法定代表人或者委托代理人、项目负责人、项目总监等人员有在同一单位缴纳社会保险的；</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不同投标人的投标保证金由同一自然人、法人、其他组织账户或者同一账户资金缴纳，或者不同投标人的投标保证金从各自的基本账户转出，但所需资金来自同一自然人、法人或者其他组织账户的；</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不同投标人参与同一项目招标投标活动中，使用的计算机网卡 MAC 地址、CPU序列号、硬盘序列号、加密锁序列号等信息相同的。</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（3）有下列情形之一的，属于招标人与投标人串通投标：</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a.招标人在开标前开启投标文件并将有关信息泄露给其他投标人；</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b.招标人直接或者间接向投标人泄露标底、评标委员会成员等信息； c.招标人明示或者暗示投标人压低或者抬高投标报价；</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招标人授意投标人撤换、修改投标文件；</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招标人明示或者暗示投标人为特定投标人中标提供方便；</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招标人与投标人为谋求特定投标人中标而采取的其他串通行为。</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（4）有下列情形之一的，应当视为招标人、招标代理机构、评标委员会成员与投标人串通投标：</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招标人、招标代理机构故意损毁、篡改特定的投标文件内容，或者在资格预审时损毁、篡改特定的资格预审申请文件内容的；</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招标人、招标代理机构、评标委员会成员直接或者间接向投标人或者投标人的利害关系人泄漏获取资格预审文件或者通过资格预审的申请人的名称、数量的；或者泄漏获取招标文件的潜在投标人的名称、数量的；</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招标人、招标代理机构、评标委员会成员直接或者间接向投标人或者投标人的利害关系人泄漏资格审查或者评标情况的；</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招标人、招标代理机构以胁迫、劝退、利诱等方式，使特定投标人以外的其他投标人放弃投标或者中标人放弃中标的；</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在依法必须进行招标的项目的中标人确定前，投标人已经开展该项目招标范围内的工作的。</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（5）投标人有下列情形之一的，属于弄虚作假的行为：</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a.使用通过受让或者租借等方式获取的资格、资质证书投标； b.使用伪造、变造的许可证件；</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c.提供虚假的财务状况或者业绩、荣誉；</w:t>
            </w:r>
          </w:p>
          <w:p>
            <w:pPr>
              <w:pStyle w:val="7"/>
              <w:spacing w:before="3"/>
              <w:ind w:left="2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d.提供虚假的项目负责人或主要技术人员简历、劳动关系证明； e.提供虚假的信用状况；</w:t>
            </w:r>
          </w:p>
          <w:p>
            <w:pPr>
              <w:pStyle w:val="7"/>
              <w:spacing w:before="3"/>
              <w:ind w:left="2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f.其他弄虚作假的行为。</w:t>
            </w:r>
          </w:p>
        </w:tc>
      </w:tr>
    </w:tbl>
    <w:p>
      <w:pPr>
        <w:pStyle w:val="7"/>
        <w:keepNext w:val="0"/>
        <w:keepLines w:val="0"/>
        <w:pageBreakBefore w:val="0"/>
        <w:widowControl w:val="0"/>
        <w:kinsoku/>
        <w:wordWrap/>
        <w:overflowPunct/>
        <w:topLinePunct w:val="0"/>
        <w:autoSpaceDE w:val="0"/>
        <w:autoSpaceDN w:val="0"/>
        <w:bidi w:val="0"/>
        <w:adjustRightInd/>
        <w:snapToGrid/>
        <w:spacing w:before="3" w:line="440" w:lineRule="exact"/>
        <w:ind w:left="0" w:leftChars="0"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评标办法前附表”用于进一步明确正文中的未尽事宜，由招标人根据招标项目具体特点和实际需要编制和填写。评标办法前附表是对评标办法正文的补充和细化，应对照评标办法正文中同一编号的条款一起阅读和理解。如前附表与正文表述不一致时，以前附表的规定为准。</w:t>
      </w:r>
    </w:p>
    <w:p>
      <w:pPr>
        <w:pStyle w:val="7"/>
        <w:keepNext w:val="0"/>
        <w:keepLines w:val="0"/>
        <w:pageBreakBefore w:val="0"/>
        <w:widowControl w:val="0"/>
        <w:numPr>
          <w:ilvl w:val="0"/>
          <w:numId w:val="3"/>
        </w:numPr>
        <w:tabs>
          <w:tab w:val="left" w:pos="581"/>
        </w:tabs>
        <w:kinsoku/>
        <w:wordWrap/>
        <w:overflowPunct/>
        <w:topLinePunct w:val="0"/>
        <w:autoSpaceDE w:val="0"/>
        <w:autoSpaceDN w:val="0"/>
        <w:bidi w:val="0"/>
        <w:adjustRightInd/>
        <w:snapToGrid/>
        <w:spacing w:before="160" w:line="440" w:lineRule="exact"/>
        <w:ind w:hanging="361"/>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评标方法</w:t>
      </w:r>
    </w:p>
    <w:p>
      <w:pPr>
        <w:pStyle w:val="8"/>
        <w:keepNext w:val="0"/>
        <w:keepLines w:val="0"/>
        <w:pageBreakBefore w:val="0"/>
        <w:widowControl w:val="0"/>
        <w:kinsoku/>
        <w:wordWrap/>
        <w:overflowPunct/>
        <w:topLinePunct w:val="0"/>
        <w:autoSpaceDE w:val="0"/>
        <w:autoSpaceDN w:val="0"/>
        <w:bidi w:val="0"/>
        <w:adjustRightInd/>
        <w:snapToGrid/>
        <w:spacing w:before="39" w:line="440" w:lineRule="exact"/>
        <w:ind w:left="220" w:right="23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SA"/>
        </w:rPr>
        <w:t>本次评标采用合理低价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r>
        <w:rPr>
          <w:rFonts w:hint="eastAsia" w:ascii="宋体" w:hAnsi="宋体" w:eastAsia="宋体" w:cs="宋体"/>
          <w:color w:val="000000"/>
          <w:sz w:val="21"/>
          <w:szCs w:val="21"/>
          <w:highlight w:val="none"/>
        </w:rPr>
        <w:t>。</w:t>
      </w:r>
    </w:p>
    <w:p>
      <w:pPr>
        <w:pStyle w:val="7"/>
        <w:keepNext w:val="0"/>
        <w:keepLines w:val="0"/>
        <w:pageBreakBefore w:val="0"/>
        <w:widowControl w:val="0"/>
        <w:numPr>
          <w:ilvl w:val="0"/>
          <w:numId w:val="3"/>
        </w:numPr>
        <w:tabs>
          <w:tab w:val="left" w:pos="581"/>
        </w:tabs>
        <w:kinsoku/>
        <w:wordWrap/>
        <w:overflowPunct/>
        <w:topLinePunct w:val="0"/>
        <w:autoSpaceDE w:val="0"/>
        <w:autoSpaceDN w:val="0"/>
        <w:bidi w:val="0"/>
        <w:adjustRightInd/>
        <w:snapToGrid/>
        <w:spacing w:before="0" w:line="440" w:lineRule="exact"/>
        <w:ind w:hanging="361"/>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评审标准</w:t>
      </w:r>
    </w:p>
    <w:p>
      <w:pPr>
        <w:pStyle w:val="7"/>
        <w:keepNext w:val="0"/>
        <w:keepLines w:val="0"/>
        <w:pageBreakBefore w:val="0"/>
        <w:widowControl w:val="0"/>
        <w:numPr>
          <w:ilvl w:val="1"/>
          <w:numId w:val="3"/>
        </w:numPr>
        <w:tabs>
          <w:tab w:val="left" w:pos="701"/>
        </w:tabs>
        <w:kinsoku/>
        <w:wordWrap/>
        <w:overflowPunct/>
        <w:topLinePunct w:val="0"/>
        <w:autoSpaceDE w:val="0"/>
        <w:autoSpaceDN w:val="0"/>
        <w:bidi w:val="0"/>
        <w:adjustRightInd/>
        <w:snapToGrid/>
        <w:spacing w:before="161" w:line="440" w:lineRule="exact"/>
        <w:ind w:hanging="481"/>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初步评审标准</w:t>
      </w:r>
    </w:p>
    <w:p>
      <w:pPr>
        <w:pStyle w:val="14"/>
        <w:keepNext w:val="0"/>
        <w:keepLines w:val="0"/>
        <w:pageBreakBefore w:val="0"/>
        <w:widowControl w:val="0"/>
        <w:numPr>
          <w:ilvl w:val="2"/>
          <w:numId w:val="3"/>
        </w:numPr>
        <w:tabs>
          <w:tab w:val="left" w:pos="1272"/>
        </w:tabs>
        <w:kinsoku/>
        <w:wordWrap/>
        <w:overflowPunct/>
        <w:topLinePunct w:val="0"/>
        <w:autoSpaceDE w:val="0"/>
        <w:autoSpaceDN w:val="0"/>
        <w:bidi w:val="0"/>
        <w:adjustRightInd/>
        <w:snapToGrid/>
        <w:spacing w:before="159" w:line="44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形式评审标准：见评标办法前附表。</w:t>
      </w:r>
    </w:p>
    <w:p>
      <w:pPr>
        <w:pStyle w:val="14"/>
        <w:keepNext w:val="0"/>
        <w:keepLines w:val="0"/>
        <w:pageBreakBefore w:val="0"/>
        <w:widowControl w:val="0"/>
        <w:numPr>
          <w:ilvl w:val="2"/>
          <w:numId w:val="3"/>
        </w:numPr>
        <w:tabs>
          <w:tab w:val="left" w:pos="1272"/>
        </w:tabs>
        <w:kinsoku/>
        <w:wordWrap/>
        <w:overflowPunct/>
        <w:topLinePunct w:val="0"/>
        <w:autoSpaceDE w:val="0"/>
        <w:autoSpaceDN w:val="0"/>
        <w:bidi w:val="0"/>
        <w:adjustRightInd/>
        <w:snapToGrid/>
        <w:spacing w:before="142" w:line="44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资格评审标准：见评标办法前附表(适用于未进行资格预审的)。</w:t>
      </w:r>
    </w:p>
    <w:p>
      <w:pPr>
        <w:pStyle w:val="14"/>
        <w:keepNext w:val="0"/>
        <w:keepLines w:val="0"/>
        <w:pageBreakBefore w:val="0"/>
        <w:widowControl w:val="0"/>
        <w:numPr>
          <w:ilvl w:val="2"/>
          <w:numId w:val="4"/>
        </w:numPr>
        <w:tabs>
          <w:tab w:val="left" w:pos="1277"/>
        </w:tabs>
        <w:kinsoku/>
        <w:wordWrap/>
        <w:overflowPunct/>
        <w:topLinePunct w:val="0"/>
        <w:autoSpaceDE w:val="0"/>
        <w:autoSpaceDN w:val="0"/>
        <w:bidi w:val="0"/>
        <w:adjustRightInd/>
        <w:snapToGrid/>
        <w:spacing w:before="139" w:line="440" w:lineRule="exact"/>
        <w:ind w:right="232"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w w:val="95"/>
          <w:sz w:val="21"/>
          <w:szCs w:val="21"/>
          <w:highlight w:val="none"/>
        </w:rPr>
        <w:t>资格评审标准：见资格预审文件第三章“资格审查办法”详细审查标准(适用于已进行资格</w:t>
      </w:r>
      <w:r>
        <w:rPr>
          <w:rFonts w:hint="eastAsia" w:ascii="宋体" w:hAnsi="宋体" w:eastAsia="宋体" w:cs="宋体"/>
          <w:color w:val="000000"/>
          <w:sz w:val="21"/>
          <w:szCs w:val="21"/>
          <w:highlight w:val="none"/>
        </w:rPr>
        <w:t>预审的)。</w:t>
      </w:r>
    </w:p>
    <w:p>
      <w:pPr>
        <w:pStyle w:val="14"/>
        <w:keepNext w:val="0"/>
        <w:keepLines w:val="0"/>
        <w:pageBreakBefore w:val="0"/>
        <w:widowControl w:val="0"/>
        <w:numPr>
          <w:ilvl w:val="2"/>
          <w:numId w:val="4"/>
        </w:numPr>
        <w:tabs>
          <w:tab w:val="left" w:pos="1272"/>
        </w:tabs>
        <w:kinsoku/>
        <w:wordWrap/>
        <w:overflowPunct/>
        <w:topLinePunct w:val="0"/>
        <w:autoSpaceDE w:val="0"/>
        <w:autoSpaceDN w:val="0"/>
        <w:bidi w:val="0"/>
        <w:adjustRightInd/>
        <w:snapToGrid/>
        <w:spacing w:line="440" w:lineRule="exact"/>
        <w:ind w:left="1272" w:hanging="632"/>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响应性评审标准：见评标办法前附表。</w:t>
      </w:r>
    </w:p>
    <w:p>
      <w:pPr>
        <w:pStyle w:val="7"/>
        <w:keepNext w:val="0"/>
        <w:keepLines w:val="0"/>
        <w:pageBreakBefore w:val="0"/>
        <w:widowControl w:val="0"/>
        <w:numPr>
          <w:ilvl w:val="1"/>
          <w:numId w:val="3"/>
        </w:numPr>
        <w:tabs>
          <w:tab w:val="left" w:pos="701"/>
        </w:tabs>
        <w:kinsoku/>
        <w:wordWrap/>
        <w:overflowPunct/>
        <w:topLinePunct w:val="0"/>
        <w:autoSpaceDE w:val="0"/>
        <w:autoSpaceDN w:val="0"/>
        <w:bidi w:val="0"/>
        <w:adjustRightInd/>
        <w:snapToGrid/>
        <w:spacing w:before="140" w:line="440" w:lineRule="exact"/>
        <w:ind w:hanging="481"/>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分值构成与评分标准</w:t>
      </w:r>
    </w:p>
    <w:p>
      <w:pPr>
        <w:pStyle w:val="14"/>
        <w:keepNext w:val="0"/>
        <w:keepLines w:val="0"/>
        <w:pageBreakBefore w:val="0"/>
        <w:widowControl w:val="0"/>
        <w:numPr>
          <w:ilvl w:val="2"/>
          <w:numId w:val="3"/>
        </w:numPr>
        <w:tabs>
          <w:tab w:val="left" w:pos="1272"/>
        </w:tabs>
        <w:kinsoku/>
        <w:wordWrap/>
        <w:overflowPunct/>
        <w:topLinePunct w:val="0"/>
        <w:autoSpaceDE w:val="0"/>
        <w:autoSpaceDN w:val="0"/>
        <w:bidi w:val="0"/>
        <w:adjustRightInd/>
        <w:snapToGrid/>
        <w:spacing w:before="159" w:line="44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w w:val="95"/>
          <w:sz w:val="21"/>
          <w:szCs w:val="21"/>
          <w:highlight w:val="none"/>
        </w:rPr>
        <w:t>分值构成</w:t>
      </w:r>
    </w:p>
    <w:p>
      <w:pPr>
        <w:pStyle w:val="8"/>
        <w:keepNext w:val="0"/>
        <w:keepLines w:val="0"/>
        <w:pageBreakBefore w:val="0"/>
        <w:widowControl w:val="0"/>
        <w:kinsoku/>
        <w:wordWrap/>
        <w:overflowPunct/>
        <w:topLinePunct w:val="0"/>
        <w:autoSpaceDE w:val="0"/>
        <w:autoSpaceDN w:val="0"/>
        <w:bidi w:val="0"/>
        <w:adjustRightInd/>
        <w:snapToGrid/>
        <w:spacing w:before="141" w:line="440" w:lineRule="exact"/>
        <w:ind w:left="640"/>
        <w:textAlignment w:val="auto"/>
        <w:rPr>
          <w:rFonts w:hint="eastAsia" w:ascii="宋体" w:hAnsi="宋体" w:eastAsia="宋体" w:cs="宋体"/>
          <w:color w:val="000000"/>
          <w:sz w:val="21"/>
          <w:szCs w:val="21"/>
          <w:highlight w:val="none"/>
        </w:rPr>
      </w:pPr>
      <w:r>
        <w:rPr>
          <w:rFonts w:hint="eastAsia" w:ascii="宋体" w:hAnsi="宋体" w:eastAsia="宋体" w:cs="宋体"/>
          <w:color w:val="000000"/>
          <w:w w:val="95"/>
          <w:sz w:val="21"/>
          <w:szCs w:val="21"/>
          <w:highlight w:val="none"/>
        </w:rPr>
        <w:t>评标价：见评标办法前附表。</w:t>
      </w:r>
    </w:p>
    <w:p>
      <w:pPr>
        <w:pStyle w:val="14"/>
        <w:keepNext w:val="0"/>
        <w:keepLines w:val="0"/>
        <w:pageBreakBefore w:val="0"/>
        <w:widowControl w:val="0"/>
        <w:numPr>
          <w:ilvl w:val="2"/>
          <w:numId w:val="3"/>
        </w:numPr>
        <w:tabs>
          <w:tab w:val="left" w:pos="1272"/>
        </w:tabs>
        <w:kinsoku/>
        <w:wordWrap/>
        <w:overflowPunct/>
        <w:topLinePunct w:val="0"/>
        <w:autoSpaceDE w:val="0"/>
        <w:autoSpaceDN w:val="0"/>
        <w:bidi w:val="0"/>
        <w:adjustRightInd/>
        <w:snapToGrid/>
        <w:spacing w:before="142" w:line="44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评标基准价计算</w:t>
      </w:r>
    </w:p>
    <w:p>
      <w:pPr>
        <w:pStyle w:val="8"/>
        <w:keepNext w:val="0"/>
        <w:keepLines w:val="0"/>
        <w:pageBreakBefore w:val="0"/>
        <w:widowControl w:val="0"/>
        <w:kinsoku/>
        <w:wordWrap/>
        <w:overflowPunct/>
        <w:topLinePunct w:val="0"/>
        <w:autoSpaceDE w:val="0"/>
        <w:autoSpaceDN w:val="0"/>
        <w:bidi w:val="0"/>
        <w:adjustRightInd/>
        <w:snapToGrid/>
        <w:spacing w:before="139" w:line="440" w:lineRule="exact"/>
        <w:ind w:left="640"/>
        <w:textAlignment w:val="auto"/>
        <w:rPr>
          <w:rFonts w:hint="eastAsia" w:ascii="宋体" w:hAnsi="宋体" w:eastAsia="宋体" w:cs="宋体"/>
          <w:color w:val="000000"/>
          <w:sz w:val="21"/>
          <w:szCs w:val="21"/>
          <w:highlight w:val="none"/>
        </w:rPr>
      </w:pPr>
      <w:r>
        <w:rPr>
          <w:rFonts w:hint="eastAsia" w:ascii="宋体" w:hAnsi="宋体" w:eastAsia="宋体" w:cs="宋体"/>
          <w:color w:val="000000"/>
          <w:w w:val="95"/>
          <w:sz w:val="21"/>
          <w:szCs w:val="21"/>
          <w:highlight w:val="none"/>
        </w:rPr>
        <w:t>评标基准价计算方法：见评标办法前附表。</w:t>
      </w:r>
    </w:p>
    <w:p>
      <w:pPr>
        <w:pStyle w:val="14"/>
        <w:keepNext w:val="0"/>
        <w:keepLines w:val="0"/>
        <w:pageBreakBefore w:val="0"/>
        <w:widowControl w:val="0"/>
        <w:numPr>
          <w:ilvl w:val="2"/>
          <w:numId w:val="3"/>
        </w:numPr>
        <w:tabs>
          <w:tab w:val="left" w:pos="1272"/>
        </w:tabs>
        <w:kinsoku/>
        <w:wordWrap/>
        <w:overflowPunct/>
        <w:topLinePunct w:val="0"/>
        <w:autoSpaceDE w:val="0"/>
        <w:autoSpaceDN w:val="0"/>
        <w:bidi w:val="0"/>
        <w:adjustRightInd/>
        <w:snapToGrid/>
        <w:spacing w:before="141" w:line="44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w w:val="95"/>
          <w:sz w:val="21"/>
          <w:szCs w:val="21"/>
          <w:highlight w:val="none"/>
        </w:rPr>
        <w:t>投标报价的偏差率计算</w:t>
      </w:r>
    </w:p>
    <w:p>
      <w:pPr>
        <w:pStyle w:val="8"/>
        <w:keepNext w:val="0"/>
        <w:keepLines w:val="0"/>
        <w:pageBreakBefore w:val="0"/>
        <w:widowControl w:val="0"/>
        <w:kinsoku/>
        <w:wordWrap/>
        <w:overflowPunct/>
        <w:topLinePunct w:val="0"/>
        <w:autoSpaceDE w:val="0"/>
        <w:autoSpaceDN w:val="0"/>
        <w:bidi w:val="0"/>
        <w:adjustRightInd/>
        <w:snapToGrid/>
        <w:spacing w:before="139" w:line="440" w:lineRule="exact"/>
        <w:ind w:left="64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投标报价的偏差率计算公式：见评标办法前附表。</w:t>
      </w:r>
    </w:p>
    <w:p>
      <w:pPr>
        <w:pStyle w:val="14"/>
        <w:keepNext w:val="0"/>
        <w:keepLines w:val="0"/>
        <w:pageBreakBefore w:val="0"/>
        <w:widowControl w:val="0"/>
        <w:numPr>
          <w:ilvl w:val="2"/>
          <w:numId w:val="3"/>
        </w:numPr>
        <w:tabs>
          <w:tab w:val="left" w:pos="1272"/>
        </w:tabs>
        <w:kinsoku/>
        <w:wordWrap/>
        <w:overflowPunct/>
        <w:topLinePunct w:val="0"/>
        <w:autoSpaceDE w:val="0"/>
        <w:autoSpaceDN w:val="0"/>
        <w:bidi w:val="0"/>
        <w:adjustRightInd/>
        <w:snapToGrid/>
        <w:spacing w:before="141" w:line="44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评分标准</w:t>
      </w:r>
    </w:p>
    <w:p>
      <w:pPr>
        <w:pStyle w:val="8"/>
        <w:keepNext w:val="0"/>
        <w:keepLines w:val="0"/>
        <w:pageBreakBefore w:val="0"/>
        <w:widowControl w:val="0"/>
        <w:kinsoku/>
        <w:wordWrap/>
        <w:overflowPunct/>
        <w:topLinePunct w:val="0"/>
        <w:autoSpaceDE w:val="0"/>
        <w:autoSpaceDN w:val="0"/>
        <w:bidi w:val="0"/>
        <w:adjustRightInd/>
        <w:snapToGrid/>
        <w:spacing w:before="142" w:line="440" w:lineRule="exact"/>
        <w:ind w:left="64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评标价评分标准：见评标办法前附表。</w:t>
      </w:r>
    </w:p>
    <w:p>
      <w:pPr>
        <w:pStyle w:val="7"/>
        <w:keepNext w:val="0"/>
        <w:keepLines w:val="0"/>
        <w:pageBreakBefore w:val="0"/>
        <w:widowControl w:val="0"/>
        <w:numPr>
          <w:ilvl w:val="0"/>
          <w:numId w:val="3"/>
        </w:numPr>
        <w:tabs>
          <w:tab w:val="left" w:pos="581"/>
        </w:tabs>
        <w:kinsoku/>
        <w:wordWrap/>
        <w:overflowPunct/>
        <w:topLinePunct w:val="0"/>
        <w:autoSpaceDE w:val="0"/>
        <w:autoSpaceDN w:val="0"/>
        <w:bidi w:val="0"/>
        <w:adjustRightInd/>
        <w:snapToGrid/>
        <w:spacing w:before="140" w:line="440" w:lineRule="exact"/>
        <w:ind w:hanging="361"/>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评标程序</w:t>
      </w:r>
    </w:p>
    <w:p>
      <w:pPr>
        <w:pStyle w:val="7"/>
        <w:keepNext w:val="0"/>
        <w:keepLines w:val="0"/>
        <w:pageBreakBefore w:val="0"/>
        <w:widowControl w:val="0"/>
        <w:numPr>
          <w:ilvl w:val="1"/>
          <w:numId w:val="3"/>
        </w:numPr>
        <w:tabs>
          <w:tab w:val="left" w:pos="701"/>
        </w:tabs>
        <w:kinsoku/>
        <w:wordWrap/>
        <w:overflowPunct/>
        <w:topLinePunct w:val="0"/>
        <w:autoSpaceDE w:val="0"/>
        <w:autoSpaceDN w:val="0"/>
        <w:bidi w:val="0"/>
        <w:adjustRightInd/>
        <w:snapToGrid/>
        <w:spacing w:before="160" w:line="440" w:lineRule="exact"/>
        <w:ind w:hanging="481"/>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第一信封初步评审</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41" w:line="440" w:lineRule="exact"/>
        <w:ind w:firstLine="630" w:firstLineChars="300"/>
        <w:textAlignment w:val="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3.1.1评标委员会可以要求投标人提交第二章“投标人须知”第3.5.1项至第3.5.5项规定的有关证明和证件的原件，以便核验。评标委员会依据本章第2.1款规定的标准对投标文件第一个信封（商务及技术文件）进行初步评审。有一项不符合评审标准的，评标委员会应否决其投标。(适用于未进行资格预审的)</w:t>
      </w:r>
    </w:p>
    <w:p>
      <w:pPr>
        <w:pStyle w:val="8"/>
        <w:keepNext w:val="0"/>
        <w:keepLines w:val="0"/>
        <w:pageBreakBefore w:val="0"/>
        <w:widowControl w:val="0"/>
        <w:kinsoku/>
        <w:wordWrap/>
        <w:overflowPunct/>
        <w:topLinePunct w:val="0"/>
        <w:autoSpaceDE w:val="0"/>
        <w:autoSpaceDN w:val="0"/>
        <w:bidi w:val="0"/>
        <w:adjustRightInd/>
        <w:snapToGrid/>
        <w:spacing w:before="3" w:line="440" w:lineRule="exact"/>
        <w:ind w:right="232" w:firstLine="603" w:firstLineChars="3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1"/>
          <w:w w:val="95"/>
          <w:sz w:val="21"/>
          <w:szCs w:val="21"/>
          <w:highlight w:val="none"/>
          <w:lang w:val="en-US" w:eastAsia="zh-CN"/>
        </w:rPr>
        <w:t>3.1.2</w:t>
      </w:r>
      <w:r>
        <w:rPr>
          <w:rFonts w:hint="eastAsia" w:ascii="宋体" w:hAnsi="宋体" w:eastAsia="宋体" w:cs="宋体"/>
          <w:color w:val="000000"/>
          <w:spacing w:val="1"/>
          <w:w w:val="95"/>
          <w:sz w:val="21"/>
          <w:szCs w:val="21"/>
          <w:highlight w:val="none"/>
        </w:rPr>
        <w:t>评标委员会依据本章第</w:t>
      </w:r>
      <w:r>
        <w:rPr>
          <w:rFonts w:hint="eastAsia" w:ascii="宋体" w:hAnsi="宋体" w:eastAsia="宋体" w:cs="宋体"/>
          <w:color w:val="000000"/>
          <w:w w:val="95"/>
          <w:sz w:val="21"/>
          <w:szCs w:val="21"/>
          <w:highlight w:val="none"/>
        </w:rPr>
        <w:t>2.1.1</w:t>
      </w:r>
      <w:r>
        <w:rPr>
          <w:rFonts w:hint="eastAsia" w:ascii="宋体" w:hAnsi="宋体" w:eastAsia="宋体" w:cs="宋体"/>
          <w:color w:val="000000"/>
          <w:spacing w:val="9"/>
          <w:w w:val="95"/>
          <w:sz w:val="21"/>
          <w:szCs w:val="21"/>
          <w:highlight w:val="none"/>
        </w:rPr>
        <w:t>项、第</w:t>
      </w:r>
      <w:r>
        <w:rPr>
          <w:rFonts w:hint="eastAsia" w:ascii="宋体" w:hAnsi="宋体" w:eastAsia="宋体" w:cs="宋体"/>
          <w:color w:val="000000"/>
          <w:w w:val="95"/>
          <w:sz w:val="21"/>
          <w:szCs w:val="21"/>
          <w:highlight w:val="none"/>
        </w:rPr>
        <w:t>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w:t>
      </w:r>
      <w:r>
        <w:rPr>
          <w:rFonts w:hint="eastAsia" w:ascii="宋体" w:hAnsi="宋体" w:eastAsia="宋体" w:cs="宋体"/>
          <w:color w:val="000000"/>
          <w:sz w:val="21"/>
          <w:szCs w:val="21"/>
          <w:highlight w:val="none"/>
        </w:rPr>
        <w:t>(适用于已进行资格预审的)</w:t>
      </w:r>
    </w:p>
    <w:p>
      <w:pPr>
        <w:pStyle w:val="7"/>
        <w:keepNext w:val="0"/>
        <w:keepLines w:val="0"/>
        <w:pageBreakBefore w:val="0"/>
        <w:widowControl w:val="0"/>
        <w:numPr>
          <w:ilvl w:val="1"/>
          <w:numId w:val="3"/>
        </w:numPr>
        <w:tabs>
          <w:tab w:val="left" w:pos="701"/>
        </w:tabs>
        <w:kinsoku/>
        <w:wordWrap/>
        <w:overflowPunct/>
        <w:topLinePunct w:val="0"/>
        <w:autoSpaceDE w:val="0"/>
        <w:autoSpaceDN w:val="0"/>
        <w:bidi w:val="0"/>
        <w:adjustRightInd/>
        <w:snapToGrid/>
        <w:spacing w:before="2" w:line="440" w:lineRule="exact"/>
        <w:ind w:hanging="481"/>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第二个信封开标</w:t>
      </w:r>
    </w:p>
    <w:p>
      <w:pPr>
        <w:pStyle w:val="2"/>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w w:val="95"/>
          <w:sz w:val="21"/>
          <w:szCs w:val="21"/>
          <w:highlight w:val="none"/>
        </w:rPr>
        <w:t>第一个信封（商务及技术文件）评审结束后，招标人将按照第二章“投标人须知”第5.1</w:t>
      </w:r>
      <w:r>
        <w:rPr>
          <w:rFonts w:hint="eastAsia" w:ascii="宋体" w:hAnsi="宋体" w:eastAsia="宋体" w:cs="宋体"/>
          <w:color w:val="000000"/>
          <w:spacing w:val="23"/>
          <w:w w:val="95"/>
          <w:sz w:val="21"/>
          <w:szCs w:val="21"/>
          <w:highlight w:val="none"/>
        </w:rPr>
        <w:t xml:space="preserve"> 款规定</w:t>
      </w:r>
      <w:r>
        <w:rPr>
          <w:rFonts w:hint="eastAsia" w:ascii="宋体" w:hAnsi="宋体" w:eastAsia="宋体" w:cs="宋体"/>
          <w:color w:val="000000"/>
          <w:w w:val="95"/>
          <w:sz w:val="21"/>
          <w:szCs w:val="21"/>
          <w:highlight w:val="none"/>
        </w:rPr>
        <w:t>的时间和地点对通过投标文件第一个信封（商务及技术文件）评审的投标文件第二个信封（报价文件）</w:t>
      </w:r>
      <w:r>
        <w:rPr>
          <w:rFonts w:hint="eastAsia" w:ascii="宋体" w:hAnsi="宋体" w:eastAsia="宋体" w:cs="宋体"/>
          <w:color w:val="000000"/>
          <w:sz w:val="21"/>
          <w:szCs w:val="21"/>
          <w:highlight w:val="none"/>
        </w:rPr>
        <w:t>进行开标。</w:t>
      </w:r>
    </w:p>
    <w:p>
      <w:pPr>
        <w:pStyle w:val="7"/>
        <w:keepNext w:val="0"/>
        <w:keepLines w:val="0"/>
        <w:pageBreakBefore w:val="0"/>
        <w:widowControl w:val="0"/>
        <w:numPr>
          <w:ilvl w:val="1"/>
          <w:numId w:val="3"/>
        </w:numPr>
        <w:tabs>
          <w:tab w:val="left" w:pos="701"/>
        </w:tabs>
        <w:kinsoku/>
        <w:wordWrap/>
        <w:overflowPunct/>
        <w:topLinePunct w:val="0"/>
        <w:autoSpaceDE w:val="0"/>
        <w:autoSpaceDN w:val="0"/>
        <w:bidi w:val="0"/>
        <w:adjustRightInd/>
        <w:snapToGrid/>
        <w:spacing w:before="41" w:line="440" w:lineRule="exact"/>
        <w:ind w:hanging="481"/>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第二个信封初步评审</w:t>
      </w:r>
    </w:p>
    <w:p>
      <w:pPr>
        <w:pStyle w:val="14"/>
        <w:keepNext w:val="0"/>
        <w:keepLines w:val="0"/>
        <w:pageBreakBefore w:val="0"/>
        <w:widowControl w:val="0"/>
        <w:numPr>
          <w:ilvl w:val="2"/>
          <w:numId w:val="3"/>
        </w:numPr>
        <w:tabs>
          <w:tab w:val="left" w:pos="1272"/>
        </w:tabs>
        <w:kinsoku/>
        <w:wordWrap/>
        <w:overflowPunct/>
        <w:topLinePunct w:val="0"/>
        <w:autoSpaceDE w:val="0"/>
        <w:autoSpaceDN w:val="0"/>
        <w:bidi w:val="0"/>
        <w:adjustRightInd/>
        <w:snapToGrid/>
        <w:spacing w:before="159" w:line="440" w:lineRule="exact"/>
        <w:ind w:left="220" w:right="335"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w w:val="95"/>
          <w:sz w:val="21"/>
          <w:szCs w:val="21"/>
          <w:highlight w:val="none"/>
        </w:rPr>
        <w:t>评标委员会依据本章第2.1.1项、第2.1.3项规定的评审标准对投标文件第二个信封（报价文</w:t>
      </w:r>
      <w:r>
        <w:rPr>
          <w:rFonts w:hint="eastAsia" w:ascii="宋体" w:hAnsi="宋体" w:eastAsia="宋体" w:cs="宋体"/>
          <w:color w:val="000000"/>
          <w:sz w:val="21"/>
          <w:szCs w:val="21"/>
          <w:highlight w:val="none"/>
        </w:rPr>
        <w:t>件）进行初步评审。有一项不符合评审标准的，评标委员会应否决其投标。</w:t>
      </w:r>
    </w:p>
    <w:p>
      <w:pPr>
        <w:pStyle w:val="14"/>
        <w:keepNext w:val="0"/>
        <w:keepLines w:val="0"/>
        <w:pageBreakBefore w:val="0"/>
        <w:widowControl w:val="0"/>
        <w:numPr>
          <w:ilvl w:val="2"/>
          <w:numId w:val="3"/>
        </w:numPr>
        <w:tabs>
          <w:tab w:val="left" w:pos="1167"/>
        </w:tabs>
        <w:kinsoku/>
        <w:wordWrap/>
        <w:overflowPunct/>
        <w:topLinePunct w:val="0"/>
        <w:autoSpaceDE w:val="0"/>
        <w:autoSpaceDN w:val="0"/>
        <w:bidi w:val="0"/>
        <w:adjustRightInd/>
        <w:snapToGrid/>
        <w:spacing w:line="440" w:lineRule="exact"/>
        <w:ind w:left="220" w:right="441"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投标报价有算术错误的，评标委员会按以下原则对投标报价进行修正，修正的价格经投标人书面确认后具有约束力。投标人不接受修正价格的，评标委员会应否决其投标。</w:t>
      </w:r>
    </w:p>
    <w:p>
      <w:pPr>
        <w:pStyle w:val="14"/>
        <w:keepNext w:val="0"/>
        <w:keepLines w:val="0"/>
        <w:pageBreakBefore w:val="0"/>
        <w:widowControl w:val="0"/>
        <w:numPr>
          <w:ilvl w:val="0"/>
          <w:numId w:val="5"/>
        </w:numPr>
        <w:tabs>
          <w:tab w:val="left" w:pos="1167"/>
        </w:tabs>
        <w:kinsoku/>
        <w:wordWrap/>
        <w:overflowPunct/>
        <w:topLinePunct w:val="0"/>
        <w:autoSpaceDE w:val="0"/>
        <w:autoSpaceDN w:val="0"/>
        <w:bidi w:val="0"/>
        <w:adjustRightInd/>
        <w:snapToGrid/>
        <w:spacing w:line="440" w:lineRule="exact"/>
        <w:ind w:hanging="527"/>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投标文件中的大写金额与小写金额不一致的，以大写金额为准；</w:t>
      </w:r>
    </w:p>
    <w:p>
      <w:pPr>
        <w:pStyle w:val="14"/>
        <w:keepNext w:val="0"/>
        <w:keepLines w:val="0"/>
        <w:pageBreakBefore w:val="0"/>
        <w:widowControl w:val="0"/>
        <w:numPr>
          <w:ilvl w:val="0"/>
          <w:numId w:val="5"/>
        </w:numPr>
        <w:tabs>
          <w:tab w:val="left" w:pos="1167"/>
        </w:tabs>
        <w:kinsoku/>
        <w:wordWrap/>
        <w:overflowPunct/>
        <w:topLinePunct w:val="0"/>
        <w:autoSpaceDE w:val="0"/>
        <w:autoSpaceDN w:val="0"/>
        <w:bidi w:val="0"/>
        <w:adjustRightInd/>
        <w:snapToGrid/>
        <w:spacing w:before="137" w:line="440" w:lineRule="exact"/>
        <w:ind w:left="220" w:right="441"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w w:val="95"/>
          <w:sz w:val="21"/>
          <w:szCs w:val="21"/>
          <w:highlight w:val="none"/>
        </w:rPr>
        <w:t>总价金额与依据单价计算出的结果不一致的，以单价金额为准修正总价，但单价金额小数点</w:t>
      </w:r>
      <w:r>
        <w:rPr>
          <w:rFonts w:hint="eastAsia" w:ascii="宋体" w:hAnsi="宋体" w:eastAsia="宋体" w:cs="宋体"/>
          <w:color w:val="000000"/>
          <w:sz w:val="21"/>
          <w:szCs w:val="21"/>
          <w:highlight w:val="none"/>
        </w:rPr>
        <w:t>有明显错误的除外;</w:t>
      </w:r>
    </w:p>
    <w:p>
      <w:pPr>
        <w:pStyle w:val="14"/>
        <w:keepNext w:val="0"/>
        <w:keepLines w:val="0"/>
        <w:pageBreakBefore w:val="0"/>
        <w:widowControl w:val="0"/>
        <w:numPr>
          <w:ilvl w:val="0"/>
          <w:numId w:val="5"/>
        </w:numPr>
        <w:tabs>
          <w:tab w:val="left" w:pos="1167"/>
        </w:tabs>
        <w:kinsoku/>
        <w:wordWrap/>
        <w:overflowPunct/>
        <w:topLinePunct w:val="0"/>
        <w:autoSpaceDE w:val="0"/>
        <w:autoSpaceDN w:val="0"/>
        <w:bidi w:val="0"/>
        <w:adjustRightInd/>
        <w:snapToGrid/>
        <w:spacing w:line="440" w:lineRule="exact"/>
        <w:ind w:left="220" w:right="441"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w w:val="95"/>
          <w:sz w:val="21"/>
          <w:szCs w:val="21"/>
          <w:highlight w:val="none"/>
        </w:rPr>
        <w:t>当单价与数量相乘不等于合价时，以单价计算为准，如果单价有明显的小数点位置差错，应</w:t>
      </w:r>
      <w:r>
        <w:rPr>
          <w:rFonts w:hint="eastAsia" w:ascii="宋体" w:hAnsi="宋体" w:eastAsia="宋体" w:cs="宋体"/>
          <w:color w:val="000000"/>
          <w:sz w:val="21"/>
          <w:szCs w:val="21"/>
          <w:highlight w:val="none"/>
        </w:rPr>
        <w:t>以标出的合价为准，同时对单价予以修正；</w:t>
      </w:r>
    </w:p>
    <w:p>
      <w:pPr>
        <w:pStyle w:val="14"/>
        <w:keepNext w:val="0"/>
        <w:keepLines w:val="0"/>
        <w:pageBreakBefore w:val="0"/>
        <w:widowControl w:val="0"/>
        <w:numPr>
          <w:ilvl w:val="0"/>
          <w:numId w:val="5"/>
        </w:numPr>
        <w:tabs>
          <w:tab w:val="left" w:pos="1167"/>
        </w:tabs>
        <w:kinsoku/>
        <w:wordWrap/>
        <w:overflowPunct/>
        <w:topLinePunct w:val="0"/>
        <w:autoSpaceDE w:val="0"/>
        <w:autoSpaceDN w:val="0"/>
        <w:bidi w:val="0"/>
        <w:adjustRightInd/>
        <w:snapToGrid/>
        <w:spacing w:line="440" w:lineRule="exact"/>
        <w:ind w:hanging="527"/>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当各子目的合价累计不等于总价时，应以各子目合价累计数为准，修正总价。</w:t>
      </w:r>
    </w:p>
    <w:p>
      <w:pPr>
        <w:pStyle w:val="14"/>
        <w:keepNext w:val="0"/>
        <w:keepLines w:val="0"/>
        <w:pageBreakBefore w:val="0"/>
        <w:widowControl w:val="0"/>
        <w:numPr>
          <w:ilvl w:val="2"/>
          <w:numId w:val="3"/>
        </w:numPr>
        <w:tabs>
          <w:tab w:val="left" w:pos="1337"/>
        </w:tabs>
        <w:kinsoku/>
        <w:wordWrap/>
        <w:overflowPunct/>
        <w:topLinePunct w:val="0"/>
        <w:autoSpaceDE w:val="0"/>
        <w:autoSpaceDN w:val="0"/>
        <w:bidi w:val="0"/>
        <w:adjustRightInd/>
        <w:snapToGrid/>
        <w:spacing w:before="139" w:line="440" w:lineRule="exact"/>
        <w:ind w:left="220" w:right="349" w:firstLine="482"/>
        <w:textAlignment w:val="auto"/>
        <w:rPr>
          <w:rFonts w:hint="eastAsia" w:ascii="宋体" w:hAnsi="宋体" w:eastAsia="宋体" w:cs="宋体"/>
          <w:color w:val="000000"/>
          <w:sz w:val="21"/>
          <w:szCs w:val="21"/>
          <w:highlight w:val="none"/>
        </w:rPr>
      </w:pPr>
      <w:r>
        <w:rPr>
          <w:rFonts w:hint="eastAsia" w:ascii="宋体" w:hAnsi="宋体" w:eastAsia="宋体" w:cs="宋体"/>
          <w:color w:val="000000"/>
          <w:w w:val="95"/>
          <w:sz w:val="21"/>
          <w:szCs w:val="21"/>
          <w:highlight w:val="none"/>
        </w:rPr>
        <w:t>工程量清单中的投标报价有其他错误的，评标委员会按以下原则对投标报价进行修正，修</w:t>
      </w:r>
      <w:r>
        <w:rPr>
          <w:rFonts w:hint="eastAsia" w:ascii="宋体" w:hAnsi="宋体" w:eastAsia="宋体" w:cs="宋体"/>
          <w:color w:val="000000"/>
          <w:sz w:val="21"/>
          <w:szCs w:val="21"/>
          <w:highlight w:val="none"/>
        </w:rPr>
        <w:t>正的价格经投标人书面确认后具有约束力。投标人不接受修正价格的，评标委员会应否决其投标。</w:t>
      </w:r>
    </w:p>
    <w:p>
      <w:pPr>
        <w:pStyle w:val="14"/>
        <w:keepNext w:val="0"/>
        <w:keepLines w:val="0"/>
        <w:pageBreakBefore w:val="0"/>
        <w:widowControl w:val="0"/>
        <w:numPr>
          <w:ilvl w:val="0"/>
          <w:numId w:val="6"/>
        </w:numPr>
        <w:tabs>
          <w:tab w:val="left" w:pos="1166"/>
        </w:tabs>
        <w:kinsoku/>
        <w:wordWrap/>
        <w:overflowPunct/>
        <w:topLinePunct w:val="0"/>
        <w:autoSpaceDE w:val="0"/>
        <w:autoSpaceDN w:val="0"/>
        <w:bidi w:val="0"/>
        <w:adjustRightInd/>
        <w:snapToGrid/>
        <w:spacing w:before="1" w:line="440" w:lineRule="exact"/>
        <w:ind w:right="335"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在招标人给定的工程量清单中漏报了某个工程子目的单价、合价或总额价，或所报单价、合</w:t>
      </w:r>
      <w:r>
        <w:rPr>
          <w:rFonts w:hint="eastAsia" w:ascii="宋体" w:hAnsi="宋体" w:eastAsia="宋体" w:cs="宋体"/>
          <w:color w:val="000000"/>
          <w:w w:val="95"/>
          <w:sz w:val="21"/>
          <w:szCs w:val="21"/>
          <w:highlight w:val="none"/>
        </w:rPr>
        <w:t>价或总额价减少了报价范围，则漏报的工程子目单价、合价和总额价或单价、合价和总额价中减少的报</w:t>
      </w:r>
      <w:r>
        <w:rPr>
          <w:rFonts w:hint="eastAsia" w:ascii="宋体" w:hAnsi="宋体" w:eastAsia="宋体" w:cs="宋体"/>
          <w:color w:val="000000"/>
          <w:sz w:val="21"/>
          <w:szCs w:val="21"/>
          <w:highlight w:val="none"/>
        </w:rPr>
        <w:t>价内容视为已含入其他工程子目的单价、合价和总额价之中。</w:t>
      </w:r>
    </w:p>
    <w:p>
      <w:pPr>
        <w:pStyle w:val="14"/>
        <w:keepNext w:val="0"/>
        <w:keepLines w:val="0"/>
        <w:pageBreakBefore w:val="0"/>
        <w:widowControl w:val="0"/>
        <w:numPr>
          <w:ilvl w:val="0"/>
          <w:numId w:val="6"/>
        </w:numPr>
        <w:tabs>
          <w:tab w:val="left" w:pos="1166"/>
        </w:tabs>
        <w:kinsoku/>
        <w:wordWrap/>
        <w:overflowPunct/>
        <w:topLinePunct w:val="0"/>
        <w:autoSpaceDE w:val="0"/>
        <w:autoSpaceDN w:val="0"/>
        <w:bidi w:val="0"/>
        <w:adjustRightInd/>
        <w:snapToGrid/>
        <w:spacing w:before="1" w:line="440" w:lineRule="exact"/>
        <w:ind w:right="335"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在招标人给定的工程量清单中多报了某个工程子目的单价、合价或总额价，或所报单价、合</w:t>
      </w:r>
      <w:r>
        <w:rPr>
          <w:rFonts w:hint="eastAsia" w:ascii="宋体" w:hAnsi="宋体" w:eastAsia="宋体" w:cs="宋体"/>
          <w:color w:val="000000"/>
          <w:w w:val="95"/>
          <w:sz w:val="21"/>
          <w:szCs w:val="21"/>
          <w:highlight w:val="none"/>
        </w:rPr>
        <w:t>价或总额价增加了报价范围，则从投标报价中扣除多报的工程子目报价或工程子目报价中增加了报价范</w:t>
      </w:r>
      <w:r>
        <w:rPr>
          <w:rFonts w:hint="eastAsia" w:ascii="宋体" w:hAnsi="宋体" w:eastAsia="宋体" w:cs="宋体"/>
          <w:color w:val="000000"/>
          <w:sz w:val="21"/>
          <w:szCs w:val="21"/>
          <w:highlight w:val="none"/>
        </w:rPr>
        <w:t>围的部分报价。</w:t>
      </w:r>
    </w:p>
    <w:p>
      <w:pPr>
        <w:pStyle w:val="14"/>
        <w:keepNext w:val="0"/>
        <w:keepLines w:val="0"/>
        <w:pageBreakBefore w:val="0"/>
        <w:widowControl w:val="0"/>
        <w:numPr>
          <w:ilvl w:val="0"/>
          <w:numId w:val="6"/>
        </w:numPr>
        <w:tabs>
          <w:tab w:val="left" w:pos="1166"/>
        </w:tabs>
        <w:kinsoku/>
        <w:wordWrap/>
        <w:overflowPunct/>
        <w:topLinePunct w:val="0"/>
        <w:autoSpaceDE w:val="0"/>
        <w:autoSpaceDN w:val="0"/>
        <w:bidi w:val="0"/>
        <w:adjustRightInd/>
        <w:snapToGrid/>
        <w:spacing w:before="2" w:line="440" w:lineRule="exact"/>
        <w:ind w:right="442"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w w:val="95"/>
          <w:sz w:val="21"/>
          <w:szCs w:val="21"/>
          <w:highlight w:val="none"/>
        </w:rPr>
        <w:t>当单价与数量的乘积与合价(金额)虽然一致，但投标人修改了该子目的工程数量，则其合价</w:t>
      </w:r>
      <w:r>
        <w:rPr>
          <w:rFonts w:hint="eastAsia" w:ascii="宋体" w:hAnsi="宋体" w:eastAsia="宋体" w:cs="宋体"/>
          <w:color w:val="000000"/>
          <w:sz w:val="21"/>
          <w:szCs w:val="21"/>
          <w:highlight w:val="none"/>
        </w:rPr>
        <w:t>按招标人给定的工程数量乘以投标人所报单价予以修正。</w:t>
      </w:r>
    </w:p>
    <w:p>
      <w:pPr>
        <w:pStyle w:val="7"/>
        <w:keepNext w:val="0"/>
        <w:keepLines w:val="0"/>
        <w:pageBreakBefore w:val="0"/>
        <w:widowControl w:val="0"/>
        <w:numPr>
          <w:ilvl w:val="2"/>
          <w:numId w:val="3"/>
        </w:numPr>
        <w:tabs>
          <w:tab w:val="left" w:pos="1272"/>
        </w:tabs>
        <w:kinsoku/>
        <w:wordWrap/>
        <w:overflowPunct/>
        <w:topLinePunct w:val="0"/>
        <w:autoSpaceDE w:val="0"/>
        <w:autoSpaceDN w:val="0"/>
        <w:bidi w:val="0"/>
        <w:adjustRightInd/>
        <w:snapToGrid/>
        <w:spacing w:before="2" w:line="440" w:lineRule="exact"/>
        <w:ind w:left="220" w:right="574" w:firstLine="420"/>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rPr>
        <w:t>修正后的最终投标报价若超过最高投标限价（如有），评标委员会应否决其投标。</w:t>
      </w:r>
    </w:p>
    <w:p>
      <w:pPr>
        <w:pStyle w:val="7"/>
        <w:keepNext w:val="0"/>
        <w:keepLines w:val="0"/>
        <w:pageBreakBefore w:val="0"/>
        <w:widowControl w:val="0"/>
        <w:numPr>
          <w:ilvl w:val="2"/>
          <w:numId w:val="3"/>
        </w:numPr>
        <w:tabs>
          <w:tab w:val="left" w:pos="1272"/>
        </w:tabs>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rPr>
        <w:t>修正后的最终投标报价仅作为签订合同的一个依据，不参与评标价得分的计算。</w:t>
      </w:r>
    </w:p>
    <w:p>
      <w:pPr>
        <w:pStyle w:val="7"/>
        <w:keepNext w:val="0"/>
        <w:keepLines w:val="0"/>
        <w:pageBreakBefore w:val="0"/>
        <w:widowControl w:val="0"/>
        <w:numPr>
          <w:ilvl w:val="1"/>
          <w:numId w:val="3"/>
        </w:numPr>
        <w:tabs>
          <w:tab w:val="left" w:pos="701"/>
        </w:tabs>
        <w:kinsoku/>
        <w:wordWrap/>
        <w:overflowPunct/>
        <w:topLinePunct w:val="0"/>
        <w:autoSpaceDE w:val="0"/>
        <w:autoSpaceDN w:val="0"/>
        <w:bidi w:val="0"/>
        <w:adjustRightInd/>
        <w:snapToGrid/>
        <w:spacing w:before="161" w:line="440" w:lineRule="exact"/>
        <w:ind w:hanging="481"/>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rPr>
        <w:t>第二个信封详细评审</w:t>
      </w:r>
    </w:p>
    <w:p>
      <w:pPr>
        <w:pStyle w:val="14"/>
        <w:keepNext w:val="0"/>
        <w:keepLines w:val="0"/>
        <w:pageBreakBefore w:val="0"/>
        <w:widowControl w:val="0"/>
        <w:numPr>
          <w:ilvl w:val="2"/>
          <w:numId w:val="3"/>
        </w:numPr>
        <w:tabs>
          <w:tab w:val="left" w:pos="1272"/>
        </w:tabs>
        <w:kinsoku/>
        <w:wordWrap/>
        <w:overflowPunct/>
        <w:topLinePunct w:val="0"/>
        <w:autoSpaceDE w:val="0"/>
        <w:autoSpaceDN w:val="0"/>
        <w:bidi w:val="0"/>
        <w:adjustRightInd/>
        <w:snapToGrid/>
        <w:spacing w:before="159" w:line="440" w:lineRule="exact"/>
        <w:ind w:left="220" w:right="232"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9"/>
          <w:w w:val="95"/>
          <w:sz w:val="21"/>
          <w:szCs w:val="21"/>
          <w:highlight w:val="none"/>
        </w:rPr>
        <w:t xml:space="preserve">评标委员会按本章第 </w:t>
      </w:r>
      <w:r>
        <w:rPr>
          <w:rFonts w:hint="eastAsia" w:ascii="宋体" w:hAnsi="宋体" w:eastAsia="宋体" w:cs="宋体"/>
          <w:color w:val="000000"/>
          <w:w w:val="95"/>
          <w:sz w:val="21"/>
          <w:szCs w:val="21"/>
          <w:highlight w:val="none"/>
        </w:rPr>
        <w:t>2.2款规定的量化因素和分值进行打分，并计算出综合评估得分（即评</w:t>
      </w:r>
      <w:r>
        <w:rPr>
          <w:rFonts w:hint="eastAsia" w:ascii="宋体" w:hAnsi="宋体" w:eastAsia="宋体" w:cs="宋体"/>
          <w:color w:val="000000"/>
          <w:sz w:val="21"/>
          <w:szCs w:val="21"/>
          <w:highlight w:val="none"/>
        </w:rPr>
        <w:t>标价得分</w:t>
      </w:r>
      <w:r>
        <w:rPr>
          <w:rFonts w:hint="eastAsia" w:ascii="宋体" w:hAnsi="宋体" w:eastAsia="宋体" w:cs="宋体"/>
          <w:color w:val="000000"/>
          <w:spacing w:val="-104"/>
          <w:sz w:val="21"/>
          <w:szCs w:val="21"/>
          <w:highlight w:val="none"/>
        </w:rPr>
        <w:t>）</w:t>
      </w:r>
      <w:r>
        <w:rPr>
          <w:rFonts w:hint="eastAsia" w:ascii="宋体" w:hAnsi="宋体" w:eastAsia="宋体" w:cs="宋体"/>
          <w:color w:val="000000"/>
          <w:sz w:val="21"/>
          <w:szCs w:val="21"/>
          <w:highlight w:val="none"/>
        </w:rPr>
        <w:t>。</w:t>
      </w:r>
    </w:p>
    <w:p>
      <w:pPr>
        <w:pStyle w:val="14"/>
        <w:keepNext w:val="0"/>
        <w:keepLines w:val="0"/>
        <w:pageBreakBefore w:val="0"/>
        <w:widowControl w:val="0"/>
        <w:numPr>
          <w:ilvl w:val="2"/>
          <w:numId w:val="3"/>
        </w:numPr>
        <w:tabs>
          <w:tab w:val="left" w:pos="1272"/>
        </w:tabs>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4"/>
          <w:sz w:val="21"/>
          <w:szCs w:val="21"/>
          <w:highlight w:val="none"/>
        </w:rPr>
        <w:t>评分分值计算保留小数点后两位，小数点后第三位“四舍五入”。</w:t>
      </w:r>
    </w:p>
    <w:p>
      <w:pPr>
        <w:pStyle w:val="14"/>
        <w:keepNext w:val="0"/>
        <w:keepLines w:val="0"/>
        <w:pageBreakBefore w:val="0"/>
        <w:widowControl w:val="0"/>
        <w:numPr>
          <w:ilvl w:val="2"/>
          <w:numId w:val="3"/>
        </w:numPr>
        <w:tabs>
          <w:tab w:val="left" w:pos="1272"/>
        </w:tabs>
        <w:kinsoku/>
        <w:wordWrap/>
        <w:overflowPunct/>
        <w:topLinePunct w:val="0"/>
        <w:autoSpaceDE w:val="0"/>
        <w:autoSpaceDN w:val="0"/>
        <w:bidi w:val="0"/>
        <w:adjustRightInd/>
        <w:snapToGrid/>
        <w:spacing w:before="142" w:line="440" w:lineRule="exact"/>
        <w:ind w:left="220" w:right="232"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w w:val="95"/>
          <w:sz w:val="21"/>
          <w:szCs w:val="21"/>
          <w:highlight w:val="none"/>
        </w:rPr>
        <w:t>评标委员会发现投标人的报价明显低于其他投标报价，使得其投标报价可能低于其个别成本的，应要求该投标人作出书面说明并提供相应的证明材料。投标人不能合理说明或者不能提供相应证明</w:t>
      </w:r>
      <w:r>
        <w:rPr>
          <w:rFonts w:hint="eastAsia" w:ascii="宋体" w:hAnsi="宋体" w:eastAsia="宋体" w:cs="宋体"/>
          <w:color w:val="000000"/>
          <w:sz w:val="21"/>
          <w:szCs w:val="21"/>
          <w:highlight w:val="none"/>
        </w:rPr>
        <w:t>材料的，评标委员会应认定该投标人以低于成本报价竞标，并否决其投标。</w:t>
      </w:r>
    </w:p>
    <w:p>
      <w:pPr>
        <w:pStyle w:val="7"/>
        <w:keepNext w:val="0"/>
        <w:keepLines w:val="0"/>
        <w:pageBreakBefore w:val="0"/>
        <w:widowControl w:val="0"/>
        <w:numPr>
          <w:ilvl w:val="1"/>
          <w:numId w:val="3"/>
        </w:numPr>
        <w:tabs>
          <w:tab w:val="left" w:pos="701"/>
        </w:tabs>
        <w:kinsoku/>
        <w:wordWrap/>
        <w:overflowPunct/>
        <w:topLinePunct w:val="0"/>
        <w:autoSpaceDE w:val="0"/>
        <w:autoSpaceDN w:val="0"/>
        <w:bidi w:val="0"/>
        <w:adjustRightInd/>
        <w:snapToGrid/>
        <w:spacing w:before="143" w:line="440" w:lineRule="exact"/>
        <w:ind w:hanging="481"/>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投标文件相关信息的核查</w:t>
      </w:r>
    </w:p>
    <w:p>
      <w:pPr>
        <w:pStyle w:val="14"/>
        <w:keepNext w:val="0"/>
        <w:keepLines w:val="0"/>
        <w:pageBreakBefore w:val="0"/>
        <w:widowControl w:val="0"/>
        <w:numPr>
          <w:ilvl w:val="2"/>
          <w:numId w:val="3"/>
        </w:numPr>
        <w:tabs>
          <w:tab w:val="left" w:pos="1272"/>
        </w:tabs>
        <w:kinsoku/>
        <w:wordWrap/>
        <w:overflowPunct/>
        <w:topLinePunct w:val="0"/>
        <w:autoSpaceDE w:val="0"/>
        <w:autoSpaceDN w:val="0"/>
        <w:bidi w:val="0"/>
        <w:adjustRightInd/>
        <w:snapToGrid/>
        <w:spacing w:before="159" w:line="440" w:lineRule="exact"/>
        <w:ind w:left="220" w:right="335"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w w:val="95"/>
          <w:sz w:val="21"/>
          <w:szCs w:val="21"/>
          <w:highlight w:val="none"/>
        </w:rPr>
        <w:t>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w:t>
      </w:r>
      <w:r>
        <w:rPr>
          <w:rFonts w:hint="eastAsia" w:ascii="宋体" w:hAnsi="宋体" w:eastAsia="宋体" w:cs="宋体"/>
          <w:color w:val="000000"/>
          <w:sz w:val="21"/>
          <w:szCs w:val="21"/>
          <w:highlight w:val="none"/>
        </w:rPr>
        <w:t>不符合招标文件规定的，评标委员会应当否决其投标。</w:t>
      </w:r>
    </w:p>
    <w:p>
      <w:pPr>
        <w:pStyle w:val="14"/>
        <w:keepNext w:val="0"/>
        <w:keepLines w:val="0"/>
        <w:pageBreakBefore w:val="0"/>
        <w:widowControl w:val="0"/>
        <w:numPr>
          <w:ilvl w:val="2"/>
          <w:numId w:val="3"/>
        </w:numPr>
        <w:tabs>
          <w:tab w:val="left" w:pos="1272"/>
        </w:tabs>
        <w:kinsoku/>
        <w:wordWrap/>
        <w:overflowPunct/>
        <w:topLinePunct w:val="0"/>
        <w:autoSpaceDE w:val="0"/>
        <w:autoSpaceDN w:val="0"/>
        <w:bidi w:val="0"/>
        <w:adjustRightInd/>
        <w:snapToGrid/>
        <w:spacing w:before="159" w:line="440" w:lineRule="exact"/>
        <w:ind w:left="220" w:right="335" w:firstLine="42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left="640" w:leftChars="0" w:right="335" w:rightChars="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lang w:eastAsia="zh-CN"/>
        </w:rPr>
        <w:t>（</w:t>
      </w:r>
      <w:r>
        <w:rPr>
          <w:rFonts w:hint="eastAsia" w:ascii="宋体" w:hAnsi="宋体" w:eastAsia="宋体" w:cs="宋体"/>
          <w:color w:val="000000"/>
          <w:w w:val="95"/>
          <w:sz w:val="21"/>
          <w:szCs w:val="21"/>
          <w:highlight w:val="none"/>
          <w:lang w:val="en-US" w:eastAsia="zh-CN"/>
        </w:rPr>
        <w:t>1</w:t>
      </w:r>
      <w:r>
        <w:rPr>
          <w:rFonts w:hint="eastAsia" w:ascii="宋体" w:hAnsi="宋体" w:eastAsia="宋体" w:cs="宋体"/>
          <w:color w:val="000000"/>
          <w:w w:val="95"/>
          <w:sz w:val="21"/>
          <w:szCs w:val="21"/>
          <w:highlight w:val="none"/>
          <w:lang w:eastAsia="zh-CN"/>
        </w:rPr>
        <w:t>）</w:t>
      </w:r>
      <w:r>
        <w:rPr>
          <w:rFonts w:hint="eastAsia" w:ascii="宋体" w:hAnsi="宋体" w:eastAsia="宋体" w:cs="宋体"/>
          <w:color w:val="000000"/>
          <w:w w:val="95"/>
          <w:sz w:val="21"/>
          <w:szCs w:val="21"/>
          <w:highlight w:val="none"/>
        </w:rPr>
        <w:t>有下列情形之一的，属于投标人相互串通投标：</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left="640" w:leftChars="0" w:right="335" w:rightChars="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rPr>
        <w:t>a.投标人之间协商投标报价等投标文件的实质性内容；</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left="640" w:leftChars="0" w:right="335" w:rightChars="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rPr>
        <w:t>b.投标人之间约定中标人；</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left="640" w:leftChars="0" w:right="335" w:rightChars="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rPr>
        <w:t>c.投标人之间约定部分投标人放弃投标或者中标；</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left="640" w:leftChars="0" w:right="335" w:rightChars="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rPr>
        <w:t>d.属于同一集团、协会、商会等组织成员的投标人按照该组织要求协同投标；</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left="640" w:leftChars="0" w:right="335" w:rightChars="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rPr>
        <w:t>e.投标人之间为谋取中标或排斥特定投标人而采取的其他联合行动。</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left="640" w:leftChars="0" w:right="335" w:rightChars="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lang w:eastAsia="zh-CN"/>
        </w:rPr>
        <w:t>（</w:t>
      </w:r>
      <w:r>
        <w:rPr>
          <w:rFonts w:hint="eastAsia" w:ascii="宋体" w:hAnsi="宋体" w:eastAsia="宋体" w:cs="宋体"/>
          <w:color w:val="000000"/>
          <w:w w:val="95"/>
          <w:sz w:val="21"/>
          <w:szCs w:val="21"/>
          <w:highlight w:val="none"/>
          <w:lang w:val="en-US" w:eastAsia="zh-CN"/>
        </w:rPr>
        <w:t>2</w:t>
      </w:r>
      <w:r>
        <w:rPr>
          <w:rFonts w:hint="eastAsia" w:ascii="宋体" w:hAnsi="宋体" w:eastAsia="宋体" w:cs="宋体"/>
          <w:color w:val="000000"/>
          <w:w w:val="95"/>
          <w:sz w:val="21"/>
          <w:szCs w:val="21"/>
          <w:highlight w:val="none"/>
          <w:lang w:eastAsia="zh-CN"/>
        </w:rPr>
        <w:t>）</w:t>
      </w:r>
      <w:r>
        <w:rPr>
          <w:rFonts w:hint="eastAsia" w:ascii="宋体" w:hAnsi="宋体" w:eastAsia="宋体" w:cs="宋体"/>
          <w:color w:val="000000"/>
          <w:w w:val="95"/>
          <w:sz w:val="21"/>
          <w:szCs w:val="21"/>
          <w:highlight w:val="none"/>
        </w:rPr>
        <w:t>有下列情形之一的，视为投标人相互串通投标：</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left="640" w:leftChars="0" w:right="335" w:rightChars="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rPr>
        <w:t>a.不同投标人的投标文件由同一单位或者个人编制；</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left="640" w:leftChars="0" w:right="335" w:rightChars="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rPr>
        <w:t>b.不同投标人委托同一单位或者个人办理投标事宜；</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left="640" w:leftChars="0" w:right="335" w:rightChars="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rPr>
        <w:t>c.不同投标人的投标文件载明的项目管理成员为同一人；</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left="640" w:leftChars="0" w:right="335" w:rightChars="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rPr>
        <w:t>d.不同投标人的投标文件异常一致或者投标报价呈规律性差异；</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left="640" w:leftChars="0" w:right="335" w:rightChars="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rPr>
        <w:t>e.不同投标人的投标文件相互混装；</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left="640" w:leftChars="0" w:right="335" w:rightChars="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rPr>
        <w:t>f.不同投标人的投标保证金从同一单位或者个人的账户转出。</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left="640" w:leftChars="0" w:right="335" w:rightChars="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lang w:eastAsia="zh-CN"/>
        </w:rPr>
        <w:t>（</w:t>
      </w:r>
      <w:r>
        <w:rPr>
          <w:rFonts w:hint="eastAsia" w:ascii="宋体" w:hAnsi="宋体" w:eastAsia="宋体" w:cs="宋体"/>
          <w:color w:val="000000"/>
          <w:w w:val="95"/>
          <w:sz w:val="21"/>
          <w:szCs w:val="21"/>
          <w:highlight w:val="none"/>
          <w:lang w:val="en-US" w:eastAsia="zh-CN"/>
        </w:rPr>
        <w:t>3</w:t>
      </w:r>
      <w:r>
        <w:rPr>
          <w:rFonts w:hint="eastAsia" w:ascii="宋体" w:hAnsi="宋体" w:eastAsia="宋体" w:cs="宋体"/>
          <w:color w:val="000000"/>
          <w:w w:val="95"/>
          <w:sz w:val="21"/>
          <w:szCs w:val="21"/>
          <w:highlight w:val="none"/>
          <w:lang w:eastAsia="zh-CN"/>
        </w:rPr>
        <w:t>）</w:t>
      </w:r>
      <w:r>
        <w:rPr>
          <w:rFonts w:hint="eastAsia" w:ascii="宋体" w:hAnsi="宋体" w:eastAsia="宋体" w:cs="宋体"/>
          <w:color w:val="000000"/>
          <w:w w:val="95"/>
          <w:sz w:val="21"/>
          <w:szCs w:val="21"/>
          <w:highlight w:val="none"/>
        </w:rPr>
        <w:t>有下列情形之一的，属于招标人与投标人串通投标：</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left="640" w:leftChars="0" w:right="335" w:rightChars="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lang w:val="en-US" w:eastAsia="zh-CN"/>
        </w:rPr>
        <w:t>a.</w:t>
      </w:r>
      <w:r>
        <w:rPr>
          <w:rFonts w:hint="eastAsia" w:ascii="宋体" w:hAnsi="宋体" w:eastAsia="宋体" w:cs="宋体"/>
          <w:color w:val="000000"/>
          <w:w w:val="95"/>
          <w:sz w:val="21"/>
          <w:szCs w:val="21"/>
          <w:highlight w:val="none"/>
        </w:rPr>
        <w:t>招标人在开标前开启投标文件并将有关信息泄露给其他投标人;</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left="640" w:leftChars="0" w:right="335" w:rightChars="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rPr>
        <w:t>b.招标人直接或者间接向投标人泄露标底、评标委员会成员等信息；</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left="640" w:leftChars="0" w:right="335" w:rightChars="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rPr>
        <w:t>c.招标人明示或者暗示投标人压低或者抬高投标报价；</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left="640" w:leftChars="0" w:right="335" w:rightChars="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lang w:val="en-US" w:eastAsia="zh-CN"/>
        </w:rPr>
        <w:t>d</w:t>
      </w:r>
      <w:r>
        <w:rPr>
          <w:rFonts w:hint="eastAsia" w:ascii="宋体" w:hAnsi="宋体" w:eastAsia="宋体" w:cs="宋体"/>
          <w:color w:val="000000"/>
          <w:w w:val="95"/>
          <w:sz w:val="21"/>
          <w:szCs w:val="21"/>
          <w:highlight w:val="none"/>
        </w:rPr>
        <w:t>.招标人授意投标人撤换、修改投标文件；</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left="640" w:leftChars="0" w:right="335" w:rightChars="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lang w:val="en-US" w:eastAsia="zh-CN"/>
        </w:rPr>
        <w:t>e</w:t>
      </w:r>
      <w:r>
        <w:rPr>
          <w:rFonts w:hint="eastAsia" w:ascii="宋体" w:hAnsi="宋体" w:eastAsia="宋体" w:cs="宋体"/>
          <w:color w:val="000000"/>
          <w:w w:val="95"/>
          <w:sz w:val="21"/>
          <w:szCs w:val="21"/>
          <w:highlight w:val="none"/>
        </w:rPr>
        <w:t>.招标人明示或者暗示投标人为特定投标人中标提供方便；</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left="640" w:leftChars="0" w:right="335" w:rightChars="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lang w:val="en-US" w:eastAsia="zh-CN"/>
        </w:rPr>
        <w:t>f</w:t>
      </w:r>
      <w:r>
        <w:rPr>
          <w:rFonts w:hint="eastAsia" w:ascii="宋体" w:hAnsi="宋体" w:eastAsia="宋体" w:cs="宋体"/>
          <w:color w:val="000000"/>
          <w:w w:val="95"/>
          <w:sz w:val="21"/>
          <w:szCs w:val="21"/>
          <w:highlight w:val="none"/>
        </w:rPr>
        <w:t>.招标人与投标人为谋求特定投标人中标而采取的其他串通行为。</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left="640" w:leftChars="0" w:right="335" w:rightChars="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lang w:val="en-US" w:eastAsia="zh-CN"/>
        </w:rPr>
        <w:t>(4)</w:t>
      </w:r>
      <w:r>
        <w:rPr>
          <w:rFonts w:hint="eastAsia" w:ascii="宋体" w:hAnsi="宋体" w:eastAsia="宋体" w:cs="宋体"/>
          <w:color w:val="000000"/>
          <w:w w:val="95"/>
          <w:sz w:val="21"/>
          <w:szCs w:val="21"/>
          <w:highlight w:val="none"/>
        </w:rPr>
        <w:t>投标人有下列情形之一的，属于弄虚作假的行为：</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left="640" w:leftChars="0" w:right="335" w:rightChars="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rPr>
        <w:t>a.使用通过受让或者租借等方式获取的资格、资质证书投标；</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left="640" w:leftChars="0" w:right="335" w:rightChars="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rPr>
        <w:t>b.使用伪造、变造的许可证件；</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left="640" w:leftChars="0" w:right="335" w:rightChars="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lang w:val="en-US" w:eastAsia="zh-CN"/>
        </w:rPr>
        <w:t>c</w:t>
      </w:r>
      <w:r>
        <w:rPr>
          <w:rFonts w:hint="eastAsia" w:ascii="宋体" w:hAnsi="宋体" w:eastAsia="宋体" w:cs="宋体"/>
          <w:color w:val="000000"/>
          <w:w w:val="95"/>
          <w:sz w:val="21"/>
          <w:szCs w:val="21"/>
          <w:highlight w:val="none"/>
        </w:rPr>
        <w:t>.提供虚假的财务状况或者业绩；</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left="640" w:leftChars="0" w:right="335" w:rightChars="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lang w:val="en-US" w:eastAsia="zh-CN"/>
        </w:rPr>
        <w:t>d</w:t>
      </w:r>
      <w:r>
        <w:rPr>
          <w:rFonts w:hint="eastAsia" w:ascii="宋体" w:hAnsi="宋体" w:eastAsia="宋体" w:cs="宋体"/>
          <w:color w:val="000000"/>
          <w:w w:val="95"/>
          <w:sz w:val="21"/>
          <w:szCs w:val="21"/>
          <w:highlight w:val="none"/>
        </w:rPr>
        <w:t>.提供虚假的项目负责人或者主要技术人员简历、劳动关系证明；</w:t>
      </w:r>
      <w:bookmarkStart w:id="6" w:name="第四章_合同条款及格式"/>
      <w:bookmarkEnd w:id="6"/>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left="640" w:leftChars="0" w:right="335" w:rightChars="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lang w:val="en-US" w:eastAsia="zh-CN"/>
        </w:rPr>
        <w:t>e</w:t>
      </w:r>
      <w:r>
        <w:rPr>
          <w:rFonts w:hint="eastAsia" w:ascii="宋体" w:hAnsi="宋体" w:eastAsia="宋体" w:cs="宋体"/>
          <w:color w:val="000000"/>
          <w:w w:val="95"/>
          <w:sz w:val="21"/>
          <w:szCs w:val="21"/>
          <w:highlight w:val="none"/>
        </w:rPr>
        <w:t>.提供虚假的信用状况；</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left="640" w:leftChars="0" w:right="335" w:rightChars="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lang w:val="en-US" w:eastAsia="zh-CN"/>
        </w:rPr>
        <w:t>f</w:t>
      </w:r>
      <w:r>
        <w:rPr>
          <w:rFonts w:hint="eastAsia" w:ascii="宋体" w:hAnsi="宋体" w:eastAsia="宋体" w:cs="宋体"/>
          <w:color w:val="000000"/>
          <w:w w:val="95"/>
          <w:sz w:val="21"/>
          <w:szCs w:val="21"/>
          <w:highlight w:val="none"/>
        </w:rPr>
        <w:t>.其他弄虚作假的行为。</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left="640" w:leftChars="0" w:right="335" w:rightChars="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lang w:val="en-US" w:eastAsia="zh-CN"/>
        </w:rPr>
        <w:t xml:space="preserve">3.6 </w:t>
      </w:r>
      <w:r>
        <w:rPr>
          <w:rFonts w:hint="eastAsia" w:ascii="宋体" w:hAnsi="宋体" w:eastAsia="宋体" w:cs="宋体"/>
          <w:color w:val="000000"/>
          <w:w w:val="95"/>
          <w:sz w:val="21"/>
          <w:szCs w:val="21"/>
          <w:highlight w:val="none"/>
        </w:rPr>
        <w:t>投标文件的澄清和说明</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right="335" w:rightChars="0" w:firstLine="597" w:firstLineChars="30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lang w:val="en-US" w:eastAsia="zh-CN"/>
        </w:rPr>
        <w:t>3.6.1</w:t>
      </w:r>
      <w:r>
        <w:rPr>
          <w:rFonts w:hint="eastAsia" w:ascii="宋体" w:hAnsi="宋体" w:eastAsia="宋体" w:cs="宋体"/>
          <w:color w:val="000000"/>
          <w:w w:val="95"/>
          <w:sz w:val="21"/>
          <w:szCs w:val="21"/>
          <w:highlight w:val="none"/>
        </w:rPr>
        <w:t>在评标过程中，评标委员会可以书面形式要求投标人对投标文件中含义不明确的内容、明显文字或者计算错误进行书面澄清或说明。评标委员会不接受投标人主动提出的澄清、说明。投标人不按评标委员会要求澄清或说明的，评标委员会应否决其投标。</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right="335" w:rightChars="0" w:firstLine="597" w:firstLineChars="30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lang w:val="en-US" w:eastAsia="zh-CN"/>
        </w:rPr>
        <w:t>3.6.2</w:t>
      </w:r>
      <w:r>
        <w:rPr>
          <w:rFonts w:hint="eastAsia" w:ascii="宋体" w:hAnsi="宋体" w:eastAsia="宋体" w:cs="宋体"/>
          <w:color w:val="000000"/>
          <w:w w:val="95"/>
          <w:sz w:val="21"/>
          <w:szCs w:val="21"/>
          <w:highlight w:val="none"/>
        </w:rPr>
        <w:t>澄清和说明不得超出投标文件的范围或改变投标文件的实质性内容(算术性错误修正除外)。投标人的书面澄清、说明属于投标文件的组成部分。</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right="335" w:rightChars="0" w:firstLine="597" w:firstLineChars="30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lang w:val="en-US" w:eastAsia="zh-CN"/>
        </w:rPr>
        <w:t>3.6.3</w:t>
      </w:r>
      <w:r>
        <w:rPr>
          <w:rFonts w:hint="eastAsia" w:ascii="宋体" w:hAnsi="宋体" w:eastAsia="宋体" w:cs="宋体"/>
          <w:color w:val="000000"/>
          <w:w w:val="95"/>
          <w:sz w:val="21"/>
          <w:szCs w:val="21"/>
          <w:highlight w:val="none"/>
        </w:rPr>
        <w:t>评标委员会不得暗示或诱导投标人作出澄清、说明，对投标人提交的澄清、说明有疑问的，可以要求投标人进一步澄清或说明，直至满足评标委员会的要求。</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right="335" w:rightChars="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lang w:val="en-US" w:eastAsia="zh-CN"/>
        </w:rPr>
        <w:t>3.6.4</w:t>
      </w:r>
      <w:r>
        <w:rPr>
          <w:rFonts w:hint="eastAsia" w:ascii="宋体" w:hAnsi="宋体" w:eastAsia="宋体" w:cs="宋体"/>
          <w:color w:val="000000"/>
          <w:w w:val="95"/>
          <w:sz w:val="21"/>
          <w:szCs w:val="21"/>
          <w:highlight w:val="none"/>
        </w:rPr>
        <w:t>凡超出招标文件规定的或给发包人带来未曾要求的利益的变化、偏差或其他因素在评标时不予考虑。</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left="640" w:leftChars="0" w:right="335" w:rightChars="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lang w:val="en-US" w:eastAsia="zh-CN"/>
        </w:rPr>
        <w:t>3.7</w:t>
      </w:r>
      <w:r>
        <w:rPr>
          <w:rFonts w:hint="eastAsia" w:ascii="宋体" w:hAnsi="宋体" w:eastAsia="宋体" w:cs="宋体"/>
          <w:color w:val="000000"/>
          <w:w w:val="95"/>
          <w:sz w:val="21"/>
          <w:szCs w:val="21"/>
          <w:highlight w:val="none"/>
        </w:rPr>
        <w:t>不得否决投标的情形</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right="335" w:rightChars="0" w:firstLine="597" w:firstLineChars="30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rPr>
        <w:t>投标文件存在第二章“投标人须知”第1.12.3项所列情形的，均视为细微偏差，评标委员会不得否决投标人的投标，应按照第二章“投标人须知”第1.12.4项规定的原则处理。</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left="640" w:leftChars="0" w:right="335" w:rightChars="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lang w:val="en-US" w:eastAsia="zh-CN"/>
        </w:rPr>
        <w:t xml:space="preserve">3.8 </w:t>
      </w:r>
      <w:r>
        <w:rPr>
          <w:rFonts w:hint="eastAsia" w:ascii="宋体" w:hAnsi="宋体" w:eastAsia="宋体" w:cs="宋体"/>
          <w:color w:val="000000"/>
          <w:w w:val="95"/>
          <w:sz w:val="21"/>
          <w:szCs w:val="21"/>
          <w:highlight w:val="none"/>
        </w:rPr>
        <w:t>评标结果</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right="335" w:rightChars="0" w:firstLine="597" w:firstLineChars="30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lang w:val="en-US" w:eastAsia="zh-CN"/>
        </w:rPr>
        <w:t>3.8.1</w:t>
      </w:r>
      <w:r>
        <w:rPr>
          <w:rFonts w:hint="eastAsia" w:ascii="宋体" w:hAnsi="宋体" w:eastAsia="宋体" w:cs="宋体"/>
          <w:color w:val="000000"/>
          <w:w w:val="95"/>
          <w:sz w:val="21"/>
          <w:szCs w:val="21"/>
          <w:highlight w:val="none"/>
        </w:rPr>
        <w:t>除第二章“投标人须知”前附表授权直接确定中标人外，评标委员会按照得分由高到低的顺序推荐中标候选人，并标明排序。</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right="335" w:rightChars="0" w:firstLine="597" w:firstLineChars="300"/>
        <w:jc w:val="both"/>
        <w:textAlignment w:val="auto"/>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lang w:val="en-US" w:eastAsia="zh-CN"/>
        </w:rPr>
        <w:t>3.8.2</w:t>
      </w:r>
      <w:r>
        <w:rPr>
          <w:rFonts w:hint="eastAsia" w:ascii="宋体" w:hAnsi="宋体" w:eastAsia="宋体" w:cs="宋体"/>
          <w:color w:val="000000"/>
          <w:w w:val="95"/>
          <w:sz w:val="21"/>
          <w:szCs w:val="21"/>
          <w:highlight w:val="none"/>
        </w:rPr>
        <w:t>评标委员会完成评标后，应向招标人提交书面评标报告。</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right="335" w:rightChars="0" w:firstLine="482" w:firstLineChars="200"/>
        <w:jc w:val="both"/>
        <w:textAlignment w:val="auto"/>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五、招标人联系方式</w:t>
      </w:r>
    </w:p>
    <w:p>
      <w:pPr>
        <w:pStyle w:val="2"/>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招</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标</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人：宁夏公路管理中心银川分中心</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地</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址：银川市兴庆区青银高速公路银川东收费站北侧大楼</w:t>
      </w:r>
    </w:p>
    <w:p>
      <w:pPr>
        <w:pStyle w:val="2"/>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邮政编码：751300</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联</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系</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人：</w:t>
      </w:r>
      <w:r>
        <w:rPr>
          <w:rFonts w:hint="eastAsia" w:asciiTheme="minorEastAsia" w:hAnsiTheme="minorEastAsia" w:eastAsiaTheme="minorEastAsia"/>
          <w:sz w:val="21"/>
          <w:szCs w:val="21"/>
          <w:lang w:val="en-US" w:eastAsia="zh-CN"/>
        </w:rPr>
        <w:t>马</w:t>
      </w:r>
      <w:r>
        <w:rPr>
          <w:rFonts w:hint="eastAsia" w:asciiTheme="minorEastAsia" w:hAnsiTheme="minorEastAsia" w:eastAsiaTheme="minorEastAsia"/>
          <w:sz w:val="21"/>
          <w:szCs w:val="21"/>
        </w:rPr>
        <w:t>先生</w:t>
      </w:r>
    </w:p>
    <w:p>
      <w:pPr>
        <w:pStyle w:val="2"/>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电</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话：</w:t>
      </w:r>
      <w:bookmarkStart w:id="7" w:name="EBab9777d2520042d7bdff45c616023cf1"/>
      <w:r>
        <w:rPr>
          <w:rFonts w:hint="eastAsia" w:asciiTheme="minorEastAsia" w:hAnsiTheme="minorEastAsia" w:eastAsiaTheme="minorEastAsia"/>
          <w:sz w:val="21"/>
          <w:szCs w:val="21"/>
        </w:rPr>
        <w:t>0951-</w:t>
      </w:r>
      <w:bookmarkEnd w:id="7"/>
      <w:r>
        <w:rPr>
          <w:rFonts w:hint="eastAsia" w:asciiTheme="minorEastAsia" w:hAnsiTheme="minorEastAsia" w:eastAsiaTheme="minorEastAsia"/>
          <w:sz w:val="21"/>
          <w:szCs w:val="21"/>
        </w:rPr>
        <w:t>6153</w:t>
      </w:r>
      <w:r>
        <w:rPr>
          <w:rFonts w:hint="eastAsia" w:asciiTheme="minorEastAsia" w:hAnsiTheme="minorEastAsia" w:eastAsiaTheme="minorEastAsia"/>
          <w:sz w:val="21"/>
          <w:szCs w:val="21"/>
          <w:lang w:val="en-US" w:eastAsia="zh-CN"/>
        </w:rPr>
        <w:t>230</w:t>
      </w:r>
    </w:p>
    <w:p>
      <w:pPr>
        <w:spacing w:line="360" w:lineRule="auto"/>
        <w:ind w:firstLine="420" w:firstLineChars="200"/>
        <w:rPr>
          <w:rFonts w:hint="eastAsia"/>
          <w:sz w:val="21"/>
          <w:szCs w:val="21"/>
          <w:lang w:val="en-US" w:eastAsia="zh-CN"/>
        </w:rPr>
      </w:pPr>
      <w:r>
        <w:rPr>
          <w:rFonts w:hint="eastAsia" w:asciiTheme="minorEastAsia" w:hAnsiTheme="minorEastAsia" w:eastAsiaTheme="minorEastAsia"/>
          <w:sz w:val="21"/>
          <w:szCs w:val="21"/>
        </w:rPr>
        <w:t>传</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真：/</w:t>
      </w:r>
    </w:p>
    <w:p>
      <w:pPr>
        <w:pStyle w:val="14"/>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right="335" w:rightChars="0" w:firstLine="597" w:firstLineChars="300"/>
        <w:jc w:val="both"/>
        <w:textAlignment w:val="auto"/>
        <w:rPr>
          <w:rFonts w:hint="eastAsia" w:ascii="宋体" w:hAnsi="宋体" w:eastAsia="宋体" w:cs="宋体"/>
          <w:color w:val="000000"/>
          <w:w w:val="95"/>
          <w:sz w:val="21"/>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tentative="0">
      <w:start w:val="1"/>
      <w:numFmt w:val="decimal"/>
      <w:lvlText w:val="%1."/>
      <w:lvlJc w:val="left"/>
      <w:pPr>
        <w:ind w:left="484" w:hanging="221"/>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432" w:hanging="221"/>
      </w:pPr>
      <w:rPr>
        <w:rFonts w:hint="default"/>
        <w:lang w:val="en-US" w:eastAsia="zh-CN" w:bidi="ar-SA"/>
      </w:rPr>
    </w:lvl>
    <w:lvl w:ilvl="2" w:tentative="0">
      <w:start w:val="0"/>
      <w:numFmt w:val="bullet"/>
      <w:lvlText w:val="•"/>
      <w:lvlJc w:val="left"/>
      <w:pPr>
        <w:ind w:left="2385" w:hanging="221"/>
      </w:pPr>
      <w:rPr>
        <w:rFonts w:hint="default"/>
        <w:lang w:val="en-US" w:eastAsia="zh-CN" w:bidi="ar-SA"/>
      </w:rPr>
    </w:lvl>
    <w:lvl w:ilvl="3" w:tentative="0">
      <w:start w:val="0"/>
      <w:numFmt w:val="bullet"/>
      <w:lvlText w:val="•"/>
      <w:lvlJc w:val="left"/>
      <w:pPr>
        <w:ind w:left="3338" w:hanging="221"/>
      </w:pPr>
      <w:rPr>
        <w:rFonts w:hint="default"/>
        <w:lang w:val="en-US" w:eastAsia="zh-CN" w:bidi="ar-SA"/>
      </w:rPr>
    </w:lvl>
    <w:lvl w:ilvl="4" w:tentative="0">
      <w:start w:val="0"/>
      <w:numFmt w:val="bullet"/>
      <w:lvlText w:val="•"/>
      <w:lvlJc w:val="left"/>
      <w:pPr>
        <w:ind w:left="4290" w:hanging="221"/>
      </w:pPr>
      <w:rPr>
        <w:rFonts w:hint="default"/>
        <w:lang w:val="en-US" w:eastAsia="zh-CN" w:bidi="ar-SA"/>
      </w:rPr>
    </w:lvl>
    <w:lvl w:ilvl="5" w:tentative="0">
      <w:start w:val="0"/>
      <w:numFmt w:val="bullet"/>
      <w:lvlText w:val="•"/>
      <w:lvlJc w:val="left"/>
      <w:pPr>
        <w:ind w:left="5243" w:hanging="221"/>
      </w:pPr>
      <w:rPr>
        <w:rFonts w:hint="default"/>
        <w:lang w:val="en-US" w:eastAsia="zh-CN" w:bidi="ar-SA"/>
      </w:rPr>
    </w:lvl>
    <w:lvl w:ilvl="6" w:tentative="0">
      <w:start w:val="0"/>
      <w:numFmt w:val="bullet"/>
      <w:lvlText w:val="•"/>
      <w:lvlJc w:val="left"/>
      <w:pPr>
        <w:ind w:left="6196" w:hanging="221"/>
      </w:pPr>
      <w:rPr>
        <w:rFonts w:hint="default"/>
        <w:lang w:val="en-US" w:eastAsia="zh-CN" w:bidi="ar-SA"/>
      </w:rPr>
    </w:lvl>
    <w:lvl w:ilvl="7" w:tentative="0">
      <w:start w:val="0"/>
      <w:numFmt w:val="bullet"/>
      <w:lvlText w:val="•"/>
      <w:lvlJc w:val="left"/>
      <w:pPr>
        <w:ind w:left="7148" w:hanging="221"/>
      </w:pPr>
      <w:rPr>
        <w:rFonts w:hint="default"/>
        <w:lang w:val="en-US" w:eastAsia="zh-CN" w:bidi="ar-SA"/>
      </w:rPr>
    </w:lvl>
    <w:lvl w:ilvl="8" w:tentative="0">
      <w:start w:val="0"/>
      <w:numFmt w:val="bullet"/>
      <w:lvlText w:val="•"/>
      <w:lvlJc w:val="left"/>
      <w:pPr>
        <w:ind w:left="8101" w:hanging="221"/>
      </w:pPr>
      <w:rPr>
        <w:rFonts w:hint="default"/>
        <w:lang w:val="en-US" w:eastAsia="zh-CN" w:bidi="ar-SA"/>
      </w:rPr>
    </w:lvl>
  </w:abstractNum>
  <w:abstractNum w:abstractNumId="1">
    <w:nsid w:val="0000001D"/>
    <w:multiLevelType w:val="multilevel"/>
    <w:tmpl w:val="0000001D"/>
    <w:lvl w:ilvl="0" w:tentative="0">
      <w:start w:val="2"/>
      <w:numFmt w:val="decimal"/>
      <w:lvlText w:val="%1"/>
      <w:lvlJc w:val="left"/>
      <w:pPr>
        <w:ind w:left="220" w:hanging="636"/>
      </w:pPr>
      <w:rPr>
        <w:rFonts w:hint="default"/>
        <w:lang w:val="en-US" w:eastAsia="zh-CN" w:bidi="ar-SA"/>
      </w:rPr>
    </w:lvl>
    <w:lvl w:ilvl="1" w:tentative="0">
      <w:start w:val="1"/>
      <w:numFmt w:val="decimal"/>
      <w:lvlText w:val="%1.%2"/>
      <w:lvlJc w:val="left"/>
      <w:pPr>
        <w:ind w:left="220" w:hanging="636"/>
      </w:pPr>
      <w:rPr>
        <w:rFonts w:hint="default"/>
        <w:lang w:val="en-US" w:eastAsia="zh-CN" w:bidi="ar-SA"/>
      </w:rPr>
    </w:lvl>
    <w:lvl w:ilvl="2" w:tentative="0">
      <w:start w:val="2"/>
      <w:numFmt w:val="decimal"/>
      <w:lvlText w:val="%1.%2.%3"/>
      <w:lvlJc w:val="left"/>
      <w:pPr>
        <w:ind w:left="220" w:hanging="636"/>
      </w:pPr>
      <w:rPr>
        <w:rFonts w:hint="default" w:ascii="宋体" w:hAnsi="宋体" w:eastAsia="宋体" w:cs="宋体"/>
        <w:spacing w:val="-2"/>
        <w:w w:val="99"/>
        <w:sz w:val="21"/>
        <w:szCs w:val="21"/>
        <w:lang w:val="en-US" w:eastAsia="zh-CN" w:bidi="ar-SA"/>
      </w:rPr>
    </w:lvl>
    <w:lvl w:ilvl="3" w:tentative="0">
      <w:start w:val="0"/>
      <w:numFmt w:val="bullet"/>
      <w:lvlText w:val="•"/>
      <w:lvlJc w:val="left"/>
      <w:pPr>
        <w:ind w:left="3156" w:hanging="636"/>
      </w:pPr>
      <w:rPr>
        <w:rFonts w:hint="default"/>
        <w:lang w:val="en-US" w:eastAsia="zh-CN" w:bidi="ar-SA"/>
      </w:rPr>
    </w:lvl>
    <w:lvl w:ilvl="4" w:tentative="0">
      <w:start w:val="0"/>
      <w:numFmt w:val="bullet"/>
      <w:lvlText w:val="•"/>
      <w:lvlJc w:val="left"/>
      <w:pPr>
        <w:ind w:left="4134" w:hanging="636"/>
      </w:pPr>
      <w:rPr>
        <w:rFonts w:hint="default"/>
        <w:lang w:val="en-US" w:eastAsia="zh-CN" w:bidi="ar-SA"/>
      </w:rPr>
    </w:lvl>
    <w:lvl w:ilvl="5" w:tentative="0">
      <w:start w:val="0"/>
      <w:numFmt w:val="bullet"/>
      <w:lvlText w:val="•"/>
      <w:lvlJc w:val="left"/>
      <w:pPr>
        <w:ind w:left="5113" w:hanging="636"/>
      </w:pPr>
      <w:rPr>
        <w:rFonts w:hint="default"/>
        <w:lang w:val="en-US" w:eastAsia="zh-CN" w:bidi="ar-SA"/>
      </w:rPr>
    </w:lvl>
    <w:lvl w:ilvl="6" w:tentative="0">
      <w:start w:val="0"/>
      <w:numFmt w:val="bullet"/>
      <w:lvlText w:val="•"/>
      <w:lvlJc w:val="left"/>
      <w:pPr>
        <w:ind w:left="6092" w:hanging="636"/>
      </w:pPr>
      <w:rPr>
        <w:rFonts w:hint="default"/>
        <w:lang w:val="en-US" w:eastAsia="zh-CN" w:bidi="ar-SA"/>
      </w:rPr>
    </w:lvl>
    <w:lvl w:ilvl="7" w:tentative="0">
      <w:start w:val="0"/>
      <w:numFmt w:val="bullet"/>
      <w:lvlText w:val="•"/>
      <w:lvlJc w:val="left"/>
      <w:pPr>
        <w:ind w:left="7070" w:hanging="636"/>
      </w:pPr>
      <w:rPr>
        <w:rFonts w:hint="default"/>
        <w:lang w:val="en-US" w:eastAsia="zh-CN" w:bidi="ar-SA"/>
      </w:rPr>
    </w:lvl>
    <w:lvl w:ilvl="8" w:tentative="0">
      <w:start w:val="0"/>
      <w:numFmt w:val="bullet"/>
      <w:lvlText w:val="•"/>
      <w:lvlJc w:val="left"/>
      <w:pPr>
        <w:ind w:left="8049" w:hanging="636"/>
      </w:pPr>
      <w:rPr>
        <w:rFonts w:hint="default"/>
        <w:lang w:val="en-US" w:eastAsia="zh-CN" w:bidi="ar-SA"/>
      </w:rPr>
    </w:lvl>
  </w:abstractNum>
  <w:abstractNum w:abstractNumId="2">
    <w:nsid w:val="00000044"/>
    <w:multiLevelType w:val="multilevel"/>
    <w:tmpl w:val="00000044"/>
    <w:lvl w:ilvl="0" w:tentative="0">
      <w:start w:val="1"/>
      <w:numFmt w:val="decimal"/>
      <w:lvlText w:val="%1."/>
      <w:lvlJc w:val="left"/>
      <w:pPr>
        <w:ind w:left="580" w:hanging="360"/>
      </w:pPr>
      <w:rPr>
        <w:rFonts w:hint="default" w:ascii="宋体" w:hAnsi="宋体" w:eastAsia="宋体" w:cs="宋体"/>
        <w:spacing w:val="0"/>
        <w:w w:val="100"/>
        <w:sz w:val="24"/>
        <w:szCs w:val="24"/>
        <w:lang w:val="en-US" w:eastAsia="zh-CN" w:bidi="ar-SA"/>
      </w:rPr>
    </w:lvl>
    <w:lvl w:ilvl="1" w:tentative="0">
      <w:start w:val="1"/>
      <w:numFmt w:val="decimal"/>
      <w:lvlText w:val="%1.%2"/>
      <w:lvlJc w:val="left"/>
      <w:pPr>
        <w:ind w:left="700" w:hanging="480"/>
      </w:pPr>
      <w:rPr>
        <w:rFonts w:hint="default" w:ascii="宋体" w:hAnsi="宋体" w:eastAsia="宋体" w:cs="宋体"/>
        <w:spacing w:val="0"/>
        <w:w w:val="100"/>
        <w:sz w:val="24"/>
        <w:szCs w:val="24"/>
        <w:lang w:val="en-US" w:eastAsia="zh-CN" w:bidi="ar-SA"/>
      </w:rPr>
    </w:lvl>
    <w:lvl w:ilvl="2" w:tentative="0">
      <w:start w:val="1"/>
      <w:numFmt w:val="decimal"/>
      <w:lvlText w:val="%1.%2.%3"/>
      <w:lvlJc w:val="left"/>
      <w:pPr>
        <w:ind w:left="1272" w:hanging="632"/>
      </w:pPr>
      <w:rPr>
        <w:rFonts w:hint="default" w:ascii="宋体" w:hAnsi="宋体" w:eastAsia="宋体" w:cs="宋体"/>
        <w:spacing w:val="-2"/>
        <w:w w:val="99"/>
        <w:sz w:val="21"/>
        <w:szCs w:val="21"/>
        <w:lang w:val="en-US" w:eastAsia="zh-CN" w:bidi="ar-SA"/>
      </w:rPr>
    </w:lvl>
    <w:lvl w:ilvl="3" w:tentative="0">
      <w:start w:val="0"/>
      <w:numFmt w:val="bullet"/>
      <w:lvlText w:val="•"/>
      <w:lvlJc w:val="left"/>
      <w:pPr>
        <w:ind w:left="1280" w:hanging="632"/>
      </w:pPr>
      <w:rPr>
        <w:rFonts w:hint="default"/>
        <w:lang w:val="en-US" w:eastAsia="zh-CN" w:bidi="ar-SA"/>
      </w:rPr>
    </w:lvl>
    <w:lvl w:ilvl="4" w:tentative="0">
      <w:start w:val="0"/>
      <w:numFmt w:val="bullet"/>
      <w:lvlText w:val="•"/>
      <w:lvlJc w:val="left"/>
      <w:pPr>
        <w:ind w:left="2526" w:hanging="632"/>
      </w:pPr>
      <w:rPr>
        <w:rFonts w:hint="default"/>
        <w:lang w:val="en-US" w:eastAsia="zh-CN" w:bidi="ar-SA"/>
      </w:rPr>
    </w:lvl>
    <w:lvl w:ilvl="5" w:tentative="0">
      <w:start w:val="0"/>
      <w:numFmt w:val="bullet"/>
      <w:lvlText w:val="•"/>
      <w:lvlJc w:val="left"/>
      <w:pPr>
        <w:ind w:left="3773" w:hanging="632"/>
      </w:pPr>
      <w:rPr>
        <w:rFonts w:hint="default"/>
        <w:lang w:val="en-US" w:eastAsia="zh-CN" w:bidi="ar-SA"/>
      </w:rPr>
    </w:lvl>
    <w:lvl w:ilvl="6" w:tentative="0">
      <w:start w:val="0"/>
      <w:numFmt w:val="bullet"/>
      <w:lvlText w:val="•"/>
      <w:lvlJc w:val="left"/>
      <w:pPr>
        <w:ind w:left="5020" w:hanging="632"/>
      </w:pPr>
      <w:rPr>
        <w:rFonts w:hint="default"/>
        <w:lang w:val="en-US" w:eastAsia="zh-CN" w:bidi="ar-SA"/>
      </w:rPr>
    </w:lvl>
    <w:lvl w:ilvl="7" w:tentative="0">
      <w:start w:val="0"/>
      <w:numFmt w:val="bullet"/>
      <w:lvlText w:val="•"/>
      <w:lvlJc w:val="left"/>
      <w:pPr>
        <w:ind w:left="6266" w:hanging="632"/>
      </w:pPr>
      <w:rPr>
        <w:rFonts w:hint="default"/>
        <w:lang w:val="en-US" w:eastAsia="zh-CN" w:bidi="ar-SA"/>
      </w:rPr>
    </w:lvl>
    <w:lvl w:ilvl="8" w:tentative="0">
      <w:start w:val="0"/>
      <w:numFmt w:val="bullet"/>
      <w:lvlText w:val="•"/>
      <w:lvlJc w:val="left"/>
      <w:pPr>
        <w:ind w:left="7513" w:hanging="632"/>
      </w:pPr>
      <w:rPr>
        <w:rFonts w:hint="default"/>
        <w:lang w:val="en-US" w:eastAsia="zh-CN" w:bidi="ar-SA"/>
      </w:rPr>
    </w:lvl>
  </w:abstractNum>
  <w:abstractNum w:abstractNumId="3">
    <w:nsid w:val="00000064"/>
    <w:multiLevelType w:val="multilevel"/>
    <w:tmpl w:val="00000064"/>
    <w:lvl w:ilvl="0" w:tentative="0">
      <w:start w:val="1"/>
      <w:numFmt w:val="decimal"/>
      <w:lvlText w:val="（%1）"/>
      <w:lvlJc w:val="left"/>
      <w:pPr>
        <w:ind w:left="1166" w:hanging="526"/>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2044" w:hanging="526"/>
      </w:pPr>
      <w:rPr>
        <w:rFonts w:hint="default"/>
        <w:lang w:val="en-US" w:eastAsia="zh-CN" w:bidi="ar-SA"/>
      </w:rPr>
    </w:lvl>
    <w:lvl w:ilvl="2" w:tentative="0">
      <w:start w:val="0"/>
      <w:numFmt w:val="bullet"/>
      <w:lvlText w:val="•"/>
      <w:lvlJc w:val="left"/>
      <w:pPr>
        <w:ind w:left="2929" w:hanging="526"/>
      </w:pPr>
      <w:rPr>
        <w:rFonts w:hint="default"/>
        <w:lang w:val="en-US" w:eastAsia="zh-CN" w:bidi="ar-SA"/>
      </w:rPr>
    </w:lvl>
    <w:lvl w:ilvl="3" w:tentative="0">
      <w:start w:val="0"/>
      <w:numFmt w:val="bullet"/>
      <w:lvlText w:val="•"/>
      <w:lvlJc w:val="left"/>
      <w:pPr>
        <w:ind w:left="3814" w:hanging="526"/>
      </w:pPr>
      <w:rPr>
        <w:rFonts w:hint="default"/>
        <w:lang w:val="en-US" w:eastAsia="zh-CN" w:bidi="ar-SA"/>
      </w:rPr>
    </w:lvl>
    <w:lvl w:ilvl="4" w:tentative="0">
      <w:start w:val="0"/>
      <w:numFmt w:val="bullet"/>
      <w:lvlText w:val="•"/>
      <w:lvlJc w:val="left"/>
      <w:pPr>
        <w:ind w:left="4698" w:hanging="526"/>
      </w:pPr>
      <w:rPr>
        <w:rFonts w:hint="default"/>
        <w:lang w:val="en-US" w:eastAsia="zh-CN" w:bidi="ar-SA"/>
      </w:rPr>
    </w:lvl>
    <w:lvl w:ilvl="5" w:tentative="0">
      <w:start w:val="0"/>
      <w:numFmt w:val="bullet"/>
      <w:lvlText w:val="•"/>
      <w:lvlJc w:val="left"/>
      <w:pPr>
        <w:ind w:left="5583" w:hanging="526"/>
      </w:pPr>
      <w:rPr>
        <w:rFonts w:hint="default"/>
        <w:lang w:val="en-US" w:eastAsia="zh-CN" w:bidi="ar-SA"/>
      </w:rPr>
    </w:lvl>
    <w:lvl w:ilvl="6" w:tentative="0">
      <w:start w:val="0"/>
      <w:numFmt w:val="bullet"/>
      <w:lvlText w:val="•"/>
      <w:lvlJc w:val="left"/>
      <w:pPr>
        <w:ind w:left="6468" w:hanging="526"/>
      </w:pPr>
      <w:rPr>
        <w:rFonts w:hint="default"/>
        <w:lang w:val="en-US" w:eastAsia="zh-CN" w:bidi="ar-SA"/>
      </w:rPr>
    </w:lvl>
    <w:lvl w:ilvl="7" w:tentative="0">
      <w:start w:val="0"/>
      <w:numFmt w:val="bullet"/>
      <w:lvlText w:val="•"/>
      <w:lvlJc w:val="left"/>
      <w:pPr>
        <w:ind w:left="7352" w:hanging="526"/>
      </w:pPr>
      <w:rPr>
        <w:rFonts w:hint="default"/>
        <w:lang w:val="en-US" w:eastAsia="zh-CN" w:bidi="ar-SA"/>
      </w:rPr>
    </w:lvl>
    <w:lvl w:ilvl="8" w:tentative="0">
      <w:start w:val="0"/>
      <w:numFmt w:val="bullet"/>
      <w:lvlText w:val="•"/>
      <w:lvlJc w:val="left"/>
      <w:pPr>
        <w:ind w:left="8237" w:hanging="526"/>
      </w:pPr>
      <w:rPr>
        <w:rFonts w:hint="default"/>
        <w:lang w:val="en-US" w:eastAsia="zh-CN" w:bidi="ar-SA"/>
      </w:rPr>
    </w:lvl>
  </w:abstractNum>
  <w:abstractNum w:abstractNumId="4">
    <w:nsid w:val="0000009F"/>
    <w:multiLevelType w:val="multilevel"/>
    <w:tmpl w:val="0000009F"/>
    <w:lvl w:ilvl="0" w:tentative="0">
      <w:start w:val="1"/>
      <w:numFmt w:val="decimal"/>
      <w:lvlText w:val="（%1）"/>
      <w:lvlJc w:val="left"/>
      <w:pPr>
        <w:ind w:left="220" w:hanging="525"/>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1198" w:hanging="525"/>
      </w:pPr>
      <w:rPr>
        <w:rFonts w:hint="default"/>
        <w:lang w:val="en-US" w:eastAsia="zh-CN" w:bidi="ar-SA"/>
      </w:rPr>
    </w:lvl>
    <w:lvl w:ilvl="2" w:tentative="0">
      <w:start w:val="0"/>
      <w:numFmt w:val="bullet"/>
      <w:lvlText w:val="•"/>
      <w:lvlJc w:val="left"/>
      <w:pPr>
        <w:ind w:left="2177" w:hanging="525"/>
      </w:pPr>
      <w:rPr>
        <w:rFonts w:hint="default"/>
        <w:lang w:val="en-US" w:eastAsia="zh-CN" w:bidi="ar-SA"/>
      </w:rPr>
    </w:lvl>
    <w:lvl w:ilvl="3" w:tentative="0">
      <w:start w:val="0"/>
      <w:numFmt w:val="bullet"/>
      <w:lvlText w:val="•"/>
      <w:lvlJc w:val="left"/>
      <w:pPr>
        <w:ind w:left="3156" w:hanging="525"/>
      </w:pPr>
      <w:rPr>
        <w:rFonts w:hint="default"/>
        <w:lang w:val="en-US" w:eastAsia="zh-CN" w:bidi="ar-SA"/>
      </w:rPr>
    </w:lvl>
    <w:lvl w:ilvl="4" w:tentative="0">
      <w:start w:val="0"/>
      <w:numFmt w:val="bullet"/>
      <w:lvlText w:val="•"/>
      <w:lvlJc w:val="left"/>
      <w:pPr>
        <w:ind w:left="4134" w:hanging="525"/>
      </w:pPr>
      <w:rPr>
        <w:rFonts w:hint="default"/>
        <w:lang w:val="en-US" w:eastAsia="zh-CN" w:bidi="ar-SA"/>
      </w:rPr>
    </w:lvl>
    <w:lvl w:ilvl="5" w:tentative="0">
      <w:start w:val="0"/>
      <w:numFmt w:val="bullet"/>
      <w:lvlText w:val="•"/>
      <w:lvlJc w:val="left"/>
      <w:pPr>
        <w:ind w:left="5113" w:hanging="525"/>
      </w:pPr>
      <w:rPr>
        <w:rFonts w:hint="default"/>
        <w:lang w:val="en-US" w:eastAsia="zh-CN" w:bidi="ar-SA"/>
      </w:rPr>
    </w:lvl>
    <w:lvl w:ilvl="6" w:tentative="0">
      <w:start w:val="0"/>
      <w:numFmt w:val="bullet"/>
      <w:lvlText w:val="•"/>
      <w:lvlJc w:val="left"/>
      <w:pPr>
        <w:ind w:left="6092" w:hanging="525"/>
      </w:pPr>
      <w:rPr>
        <w:rFonts w:hint="default"/>
        <w:lang w:val="en-US" w:eastAsia="zh-CN" w:bidi="ar-SA"/>
      </w:rPr>
    </w:lvl>
    <w:lvl w:ilvl="7" w:tentative="0">
      <w:start w:val="0"/>
      <w:numFmt w:val="bullet"/>
      <w:lvlText w:val="•"/>
      <w:lvlJc w:val="left"/>
      <w:pPr>
        <w:ind w:left="7070" w:hanging="525"/>
      </w:pPr>
      <w:rPr>
        <w:rFonts w:hint="default"/>
        <w:lang w:val="en-US" w:eastAsia="zh-CN" w:bidi="ar-SA"/>
      </w:rPr>
    </w:lvl>
    <w:lvl w:ilvl="8" w:tentative="0">
      <w:start w:val="0"/>
      <w:numFmt w:val="bullet"/>
      <w:lvlText w:val="•"/>
      <w:lvlJc w:val="left"/>
      <w:pPr>
        <w:ind w:left="8049" w:hanging="525"/>
      </w:pPr>
      <w:rPr>
        <w:rFonts w:hint="default"/>
        <w:lang w:val="en-US" w:eastAsia="zh-CN" w:bidi="ar-SA"/>
      </w:rPr>
    </w:lvl>
  </w:abstractNum>
  <w:abstractNum w:abstractNumId="5">
    <w:nsid w:val="74E9A97B"/>
    <w:multiLevelType w:val="singleLevel"/>
    <w:tmpl w:val="74E9A97B"/>
    <w:lvl w:ilvl="0" w:tentative="0">
      <w:start w:val="1"/>
      <w:numFmt w:val="decimalEnclosedCircleChinese"/>
      <w:suff w:val="space"/>
      <w:lvlText w:val="%1"/>
      <w:lvlJc w:val="left"/>
      <w:rPr>
        <w:rFonts w:hint="eastAsia"/>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wNWM3YTk2ZDAyMzE3ZWMxOWI1ZmRjOGUyMjkzZGQifQ=="/>
  </w:docVars>
  <w:rsids>
    <w:rsidRoot w:val="406777B4"/>
    <w:rsid w:val="0D845C38"/>
    <w:rsid w:val="20866C05"/>
    <w:rsid w:val="23631987"/>
    <w:rsid w:val="406777B4"/>
    <w:rsid w:val="484873EA"/>
    <w:rsid w:val="50FA658D"/>
    <w:rsid w:val="53D22348"/>
    <w:rsid w:val="55C82819"/>
    <w:rsid w:val="5CE62B2B"/>
    <w:rsid w:val="68ED4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zh-CN" w:bidi="ar-SA"/>
    </w:rPr>
  </w:style>
  <w:style w:type="paragraph" w:styleId="4">
    <w:name w:val="heading 1"/>
    <w:basedOn w:val="1"/>
    <w:next w:val="1"/>
    <w:qFormat/>
    <w:uiPriority w:val="9"/>
    <w:pPr>
      <w:ind w:left="1026" w:right="1076"/>
      <w:jc w:val="center"/>
      <w:outlineLvl w:val="0"/>
    </w:pPr>
    <w:rPr>
      <w:sz w:val="72"/>
      <w:szCs w:val="72"/>
    </w:rPr>
  </w:style>
  <w:style w:type="paragraph" w:styleId="5">
    <w:name w:val="heading 2"/>
    <w:basedOn w:val="1"/>
    <w:next w:val="1"/>
    <w:unhideWhenUsed/>
    <w:qFormat/>
    <w:uiPriority w:val="0"/>
    <w:pPr>
      <w:spacing w:before="22"/>
      <w:ind w:left="1144" w:right="1155"/>
      <w:jc w:val="center"/>
      <w:outlineLvl w:val="1"/>
    </w:pPr>
    <w:rPr>
      <w:sz w:val="44"/>
      <w:szCs w:val="44"/>
    </w:rPr>
  </w:style>
  <w:style w:type="paragraph" w:styleId="6">
    <w:name w:val="heading 4"/>
    <w:basedOn w:val="1"/>
    <w:next w:val="1"/>
    <w:unhideWhenUsed/>
    <w:qFormat/>
    <w:uiPriority w:val="9"/>
    <w:pPr>
      <w:spacing w:before="43"/>
      <w:ind w:right="10"/>
      <w:jc w:val="center"/>
      <w:outlineLvl w:val="3"/>
    </w:pPr>
    <w:rPr>
      <w:sz w:val="30"/>
      <w:szCs w:val="30"/>
    </w:rPr>
  </w:style>
  <w:style w:type="paragraph" w:styleId="7">
    <w:name w:val="heading 8"/>
    <w:basedOn w:val="1"/>
    <w:next w:val="1"/>
    <w:qFormat/>
    <w:uiPriority w:val="1"/>
    <w:pPr>
      <w:spacing w:before="1"/>
      <w:ind w:left="440"/>
      <w:outlineLvl w:val="7"/>
    </w:pPr>
    <w:rPr>
      <w:sz w:val="24"/>
      <w:szCs w:val="24"/>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firstLine="648"/>
    </w:pPr>
    <w:rPr>
      <w:sz w:val="32"/>
      <w:szCs w:val="20"/>
    </w:rPr>
  </w:style>
  <w:style w:type="paragraph" w:styleId="8">
    <w:name w:val="Body Text"/>
    <w:basedOn w:val="1"/>
    <w:next w:val="1"/>
    <w:qFormat/>
    <w:uiPriority w:val="1"/>
    <w:rPr>
      <w:sz w:val="21"/>
      <w:szCs w:val="21"/>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Table Paragraph"/>
    <w:basedOn w:val="1"/>
    <w:qFormat/>
    <w:uiPriority w:val="1"/>
  </w:style>
  <w:style w:type="table" w:customStyle="1" w:styleId="13">
    <w:name w:val="Table Normal"/>
    <w:semiHidden/>
    <w:unhideWhenUsed/>
    <w:qFormat/>
    <w:uiPriority w:val="2"/>
    <w:tblPr>
      <w:tblLayout w:type="fixed"/>
      <w:tblCellMar>
        <w:top w:w="0" w:type="dxa"/>
        <w:left w:w="0" w:type="dxa"/>
        <w:bottom w:w="0" w:type="dxa"/>
        <w:right w:w="0" w:type="dxa"/>
      </w:tblCellMar>
    </w:tblPr>
  </w:style>
  <w:style w:type="paragraph" w:styleId="14">
    <w:name w:val="List Paragraph"/>
    <w:basedOn w:val="1"/>
    <w:qFormat/>
    <w:uiPriority w:val="1"/>
    <w:pPr>
      <w:ind w:left="220" w:firstLine="420"/>
    </w:pPr>
  </w:style>
  <w:style w:type="paragraph" w:customStyle="1" w:styleId="15">
    <w:name w:val="首行缩进"/>
    <w:basedOn w:val="1"/>
    <w:qFormat/>
    <w:uiPriority w:val="0"/>
    <w:pPr>
      <w:spacing w:line="360" w:lineRule="auto"/>
      <w:ind w:left="210" w:leftChars="100"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14155</Words>
  <Characters>15140</Characters>
  <Lines>0</Lines>
  <Paragraphs>0</Paragraphs>
  <TotalTime>5</TotalTime>
  <ScaleCrop>false</ScaleCrop>
  <LinksUpToDate>false</LinksUpToDate>
  <CharactersWithSpaces>15282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2023-03-15T09:39:00Z</dcterms:created>
  <dc:creator>　</dc:creator>
  <cp:lastModifiedBy>马小龙</cp:lastModifiedBy>
  <dcterms:modified xsi:type="dcterms:W3CDTF">2023-04-26T10:28:31Z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71454BB53B46439C89B45F8AFE841F8F</vt:lpwstr>
  </property>
</Properties>
</file>