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cs="宋体"/>
          <w:b/>
          <w:bCs/>
          <w:sz w:val="44"/>
          <w:szCs w:val="44"/>
        </w:rPr>
      </w:pPr>
      <w:r>
        <w:rPr>
          <w:rFonts w:hint="eastAsia" w:ascii="仿宋" w:hAnsi="仿宋" w:eastAsia="仿宋" w:cs="宋体"/>
          <w:b/>
          <w:bCs/>
          <w:sz w:val="44"/>
          <w:szCs w:val="44"/>
        </w:rPr>
        <w:t>宁夏公路管理中心固原分中心</w:t>
      </w:r>
    </w:p>
    <w:p>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cs="宋体"/>
          <w:b/>
          <w:bCs/>
          <w:sz w:val="44"/>
          <w:szCs w:val="44"/>
          <w:lang w:eastAsia="zh-CN"/>
        </w:rPr>
      </w:pPr>
      <w:r>
        <w:rPr>
          <w:rFonts w:hint="eastAsia" w:ascii="仿宋" w:hAnsi="仿宋" w:eastAsia="仿宋" w:cs="宋体"/>
          <w:b/>
          <w:bCs/>
          <w:sz w:val="44"/>
          <w:szCs w:val="44"/>
        </w:rPr>
        <w:t>2023年路面预防养护工程</w:t>
      </w:r>
      <w:r>
        <w:rPr>
          <w:rFonts w:hint="eastAsia" w:ascii="仿宋" w:hAnsi="仿宋" w:eastAsia="仿宋" w:cs="宋体"/>
          <w:b/>
          <w:bCs/>
          <w:sz w:val="44"/>
          <w:szCs w:val="44"/>
          <w:lang w:eastAsia="zh-CN"/>
        </w:rPr>
        <w:t>施工</w:t>
      </w:r>
    </w:p>
    <w:p>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cs="宋体"/>
          <w:b/>
          <w:kern w:val="0"/>
          <w:sz w:val="44"/>
          <w:szCs w:val="44"/>
        </w:rPr>
      </w:pPr>
      <w:r>
        <w:rPr>
          <w:rFonts w:hint="eastAsia" w:ascii="仿宋" w:hAnsi="仿宋" w:eastAsia="仿宋" w:cs="宋体"/>
          <w:b/>
          <w:bCs/>
          <w:sz w:val="44"/>
          <w:szCs w:val="44"/>
        </w:rPr>
        <w:t>招标关键内容</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after="0" w:line="240" w:lineRule="auto"/>
        <w:textAlignment w:val="auto"/>
        <w:rPr>
          <w:rFonts w:ascii="仿宋" w:hAnsi="仿宋" w:eastAsia="仿宋" w:cs="宋体"/>
          <w:b/>
          <w:spacing w:val="20"/>
          <w:sz w:val="28"/>
          <w:szCs w:val="28"/>
        </w:rPr>
      </w:pPr>
      <w:r>
        <w:rPr>
          <w:rFonts w:hint="eastAsia" w:ascii="仿宋" w:hAnsi="仿宋" w:eastAsia="仿宋" w:cs="仿宋"/>
          <w:b/>
          <w:sz w:val="28"/>
          <w:szCs w:val="28"/>
        </w:rPr>
        <w:t>投标人资格要求</w:t>
      </w:r>
    </w:p>
    <w:p>
      <w:pPr>
        <w:keepNext w:val="0"/>
        <w:keepLines w:val="0"/>
        <w:pageBreakBefore w:val="0"/>
        <w:tabs>
          <w:tab w:val="left" w:pos="1051"/>
        </w:tabs>
        <w:kinsoku/>
        <w:wordWrap/>
        <w:overflowPunct/>
        <w:topLinePunct w:val="0"/>
        <w:autoSpaceDE/>
        <w:autoSpaceDN/>
        <w:bidi w:val="0"/>
        <w:snapToGrid w:val="0"/>
        <w:spacing w:before="120" w:beforeLines="50" w:after="120" w:afterLines="50"/>
        <w:jc w:val="center"/>
        <w:textAlignment w:val="auto"/>
        <w:rPr>
          <w:rFonts w:ascii="仿宋" w:hAnsi="仿宋" w:eastAsia="仿宋"/>
          <w:b/>
          <w:sz w:val="32"/>
          <w:szCs w:val="32"/>
        </w:rPr>
      </w:pPr>
      <w:bookmarkStart w:id="0" w:name="_Toc5103_WPSOffice_Level2"/>
      <w:r>
        <w:rPr>
          <w:rFonts w:hint="eastAsia" w:ascii="仿宋" w:hAnsi="仿宋" w:eastAsia="仿宋"/>
          <w:b/>
          <w:sz w:val="32"/>
          <w:szCs w:val="32"/>
        </w:rPr>
        <w:t>附录</w:t>
      </w:r>
      <w:r>
        <w:rPr>
          <w:rFonts w:hint="eastAsia" w:ascii="仿宋" w:hAnsi="仿宋" w:eastAsia="仿宋"/>
          <w:b/>
          <w:spacing w:val="-69"/>
          <w:sz w:val="32"/>
          <w:szCs w:val="32"/>
        </w:rPr>
        <w:t xml:space="preserve"> </w:t>
      </w:r>
      <w:r>
        <w:rPr>
          <w:rFonts w:ascii="仿宋" w:hAnsi="仿宋" w:eastAsia="仿宋"/>
          <w:b/>
          <w:sz w:val="32"/>
          <w:szCs w:val="32"/>
        </w:rPr>
        <w:t>1</w:t>
      </w:r>
      <w:r>
        <w:rPr>
          <w:rFonts w:ascii="仿宋" w:hAnsi="仿宋" w:eastAsia="仿宋"/>
          <w:b/>
          <w:sz w:val="32"/>
          <w:szCs w:val="32"/>
        </w:rPr>
        <w:tab/>
      </w:r>
      <w:r>
        <w:rPr>
          <w:rFonts w:hint="eastAsia" w:ascii="仿宋" w:hAnsi="仿宋" w:eastAsia="仿宋"/>
          <w:b/>
          <w:sz w:val="32"/>
          <w:szCs w:val="32"/>
        </w:rPr>
        <w:t>资格审查条件（资质最低要求）</w:t>
      </w:r>
      <w:bookmarkEnd w:id="0"/>
    </w:p>
    <w:tbl>
      <w:tblPr>
        <w:tblStyle w:val="11"/>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105" w:type="dxa"/>
            <w:vAlign w:val="center"/>
          </w:tcPr>
          <w:p>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cs="宋体"/>
                <w:b/>
                <w:bCs/>
                <w:sz w:val="28"/>
                <w:szCs w:val="28"/>
              </w:rPr>
            </w:pPr>
            <w:r>
              <w:rPr>
                <w:rFonts w:hint="eastAsia" w:ascii="仿宋" w:hAnsi="仿宋" w:eastAsia="仿宋" w:cs="宋体"/>
                <w:b/>
                <w:bCs/>
                <w:sz w:val="28"/>
                <w:szCs w:val="28"/>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105" w:type="dxa"/>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lang w:val="en-US" w:eastAsia="zh-CN"/>
              </w:rPr>
            </w:pPr>
            <w:bookmarkStart w:id="1" w:name="EBe557d73c7c5f454c8f5a0d517b7bee4a"/>
            <w:bookmarkEnd w:id="1"/>
            <w:r>
              <w:rPr>
                <w:rFonts w:hint="eastAsia" w:ascii="仿宋" w:hAnsi="仿宋" w:eastAsia="仿宋"/>
                <w:sz w:val="28"/>
                <w:szCs w:val="28"/>
                <w:lang w:val="en-US" w:eastAsia="zh-CN"/>
              </w:rPr>
              <w:t xml:space="preserve">1.投标人具有法人或其他组织资格；持有工商行政管理部门核发的有效企业营业执照或事业单位法人证书或社会团体法人登记证书 ；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2.具备交通运输主管部门颁发的路基路面养护甲级资质或具备交通运输主管部门颁发的公路养护工程二类甲级资质和二类乙级资质,所有资质证书需在有效期内；</w:t>
            </w:r>
          </w:p>
          <w:p>
            <w:pPr>
              <w:keepNext w:val="0"/>
              <w:keepLines w:val="0"/>
              <w:pageBreakBefore w:val="0"/>
              <w:widowControl/>
              <w:kinsoku/>
              <w:wordWrap/>
              <w:overflowPunct/>
              <w:topLinePunct w:val="0"/>
              <w:autoSpaceDE/>
              <w:autoSpaceDN/>
              <w:bidi w:val="0"/>
              <w:snapToGrid w:val="0"/>
              <w:textAlignment w:val="auto"/>
              <w:rPr>
                <w:rFonts w:ascii="仿宋" w:hAnsi="仿宋" w:eastAsia="仿宋"/>
                <w:sz w:val="28"/>
                <w:szCs w:val="28"/>
              </w:rPr>
            </w:pPr>
            <w:r>
              <w:rPr>
                <w:rFonts w:hint="eastAsia" w:ascii="仿宋" w:hAnsi="仿宋" w:eastAsia="仿宋"/>
                <w:sz w:val="28"/>
                <w:szCs w:val="28"/>
                <w:lang w:val="en-US" w:eastAsia="zh-CN"/>
              </w:rPr>
              <w:t>3.具备建设主管部门颁发的有效安全生产许可证，并在人员、设备、资金等方面具有相应的施工能力；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105" w:type="dxa"/>
            <w:vAlign w:val="center"/>
          </w:tcPr>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注：修改补充投标人须知正文第3.5.1项：</w:t>
            </w:r>
          </w:p>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 “投标人基本情况表”应附企业营业执照或事业单位法人证书或社会团体法人登记证书和组织机 构代码证 (按照“三证合一”或“五证合一”登记制度进行登记的，可仅提供营业执照，下同)、施工 资质证书、安全生产许可证、基本账户开户银行提供的开户或账户信息证明的彩色影印件。</w:t>
            </w:r>
          </w:p>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(2) 企业营业执照或事业单位法人证书或社会团体法人登记证书和组织机构代码证、施工资质证书、 安全生产许可证的彩色影印件应提供全本 (证书封面、封底、空白页除外) ，应包括投标人名称、投标 人其他相关信息、颁发机构名称、投标人信息变更情况等关键页在内。</w:t>
            </w:r>
          </w:p>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(3) 对于法人发生重组或变更的投标人，应在投标文件中提供附有法人重组或变更时相关部门的合法 批件、变更时的企业法人营业执照和资质证书的变更记录的彩色影印件。</w:t>
            </w:r>
          </w:p>
          <w:p>
            <w:pPr>
              <w:keepNext w:val="0"/>
              <w:keepLines w:val="0"/>
              <w:pageBreakBefore w:val="0"/>
              <w:widowControl/>
              <w:tabs>
                <w:tab w:val="left" w:pos="9240"/>
              </w:tabs>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(4) 根据《交通运输部关于取消一批证明事项的决定》(交法规[2020]</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eastAsia="zh-CN"/>
              </w:rPr>
              <w:t>1号) 文件规定，投标人无须 提供在国家企业信用信息公示系统中基础信息 (体现股东及出资详细信息) 的网页截图或由法定的社 会验资机构出具的验资报告或注册地工商部门出具的股东出资情况证明彩色影印件。</w:t>
            </w:r>
          </w:p>
          <w:p>
            <w:pPr>
              <w:keepNext w:val="0"/>
              <w:keepLines w:val="0"/>
              <w:pageBreakBefore w:val="0"/>
              <w:widowControl/>
              <w:tabs>
                <w:tab w:val="left" w:pos="9240"/>
              </w:tabs>
              <w:kinsoku/>
              <w:wordWrap/>
              <w:overflowPunct/>
              <w:topLinePunct w:val="0"/>
              <w:autoSpaceDE/>
              <w:autoSpaceDN/>
              <w:bidi w:val="0"/>
              <w:snapToGrid w:val="0"/>
              <w:textAlignment w:val="auto"/>
              <w:rPr>
                <w:rFonts w:ascii="仿宋" w:hAnsi="仿宋" w:eastAsia="仿宋" w:cs="宋体"/>
                <w:b/>
                <w:bCs/>
                <w:kern w:val="0"/>
                <w:sz w:val="28"/>
                <w:szCs w:val="28"/>
              </w:rPr>
            </w:pPr>
            <w:r>
              <w:rPr>
                <w:rFonts w:hint="eastAsia" w:ascii="仿宋" w:hAnsi="仿宋" w:eastAsia="仿宋" w:cs="Times New Roman"/>
                <w:sz w:val="28"/>
                <w:szCs w:val="28"/>
                <w:lang w:eastAsia="zh-CN"/>
              </w:rPr>
              <w:t>(5) 招标文件中其他地方与此处不一致时，以此处为准。</w:t>
            </w:r>
          </w:p>
        </w:tc>
      </w:tr>
    </w:tbl>
    <w:p>
      <w:pPr>
        <w:keepNext w:val="0"/>
        <w:keepLines w:val="0"/>
        <w:pageBreakBefore w:val="0"/>
        <w:kinsoku/>
        <w:wordWrap/>
        <w:overflowPunct/>
        <w:topLinePunct w:val="0"/>
        <w:autoSpaceDE/>
        <w:autoSpaceDN/>
        <w:bidi w:val="0"/>
        <w:snapToGrid w:val="0"/>
        <w:jc w:val="center"/>
        <w:textAlignment w:val="auto"/>
        <w:rPr>
          <w:rFonts w:ascii="仿宋" w:hAnsi="仿宋" w:eastAsia="仿宋"/>
          <w:sz w:val="28"/>
          <w:szCs w:val="28"/>
        </w:rPr>
      </w:pPr>
      <w:r>
        <w:rPr>
          <w:rFonts w:hint="eastAsia" w:ascii="仿宋" w:hAnsi="仿宋" w:eastAsia="仿宋" w:cs="宋体"/>
          <w:b/>
          <w:bCs/>
          <w:sz w:val="28"/>
          <w:szCs w:val="28"/>
        </w:rPr>
        <w:br w:type="page"/>
      </w:r>
    </w:p>
    <w:p>
      <w:pPr>
        <w:pStyle w:val="21"/>
        <w:keepNext w:val="0"/>
        <w:keepLines w:val="0"/>
        <w:pageBreakBefore w:val="0"/>
        <w:kinsoku/>
        <w:wordWrap/>
        <w:overflowPunct/>
        <w:topLinePunct w:val="0"/>
        <w:autoSpaceDE/>
        <w:autoSpaceDN/>
        <w:bidi w:val="0"/>
        <w:snapToGrid w:val="0"/>
        <w:spacing w:line="360" w:lineRule="auto"/>
        <w:jc w:val="center"/>
        <w:textAlignment w:val="auto"/>
        <w:rPr>
          <w:rFonts w:hint="eastAsia" w:ascii="黑体" w:hAnsi="黑体" w:eastAsia="黑体" w:cs="黑体"/>
          <w:b/>
          <w:bCs/>
          <w:color w:val="auto"/>
          <w:sz w:val="30"/>
          <w:szCs w:val="30"/>
          <w:highlight w:val="none"/>
        </w:rPr>
      </w:pPr>
      <w:bookmarkStart w:id="2" w:name="_bookmark22"/>
      <w:bookmarkEnd w:id="2"/>
      <w:r>
        <w:rPr>
          <w:rFonts w:hint="eastAsia" w:ascii="仿宋" w:hAnsi="仿宋" w:eastAsia="仿宋"/>
          <w:b/>
          <w:sz w:val="32"/>
          <w:szCs w:val="32"/>
        </w:rPr>
        <w:t xml:space="preserve">附录 </w:t>
      </w:r>
      <w:r>
        <w:rPr>
          <w:rFonts w:ascii="仿宋" w:hAnsi="仿宋" w:eastAsia="仿宋"/>
          <w:b/>
          <w:sz w:val="32"/>
          <w:szCs w:val="32"/>
        </w:rPr>
        <w:t>2</w:t>
      </w:r>
      <w:r>
        <w:rPr>
          <w:rFonts w:ascii="仿宋" w:hAnsi="仿宋" w:eastAsia="仿宋"/>
          <w:b/>
          <w:sz w:val="32"/>
          <w:szCs w:val="32"/>
        </w:rPr>
        <w:tab/>
      </w:r>
      <w:r>
        <w:rPr>
          <w:rFonts w:ascii="仿宋" w:hAnsi="仿宋" w:eastAsia="仿宋"/>
          <w:b/>
          <w:sz w:val="32"/>
          <w:szCs w:val="32"/>
        </w:rPr>
        <w:t xml:space="preserve"> </w:t>
      </w:r>
      <w:r>
        <w:rPr>
          <w:rFonts w:hint="eastAsia" w:ascii="黑体" w:hAnsi="黑体" w:eastAsia="黑体" w:cs="黑体"/>
          <w:b/>
          <w:bCs/>
          <w:color w:val="auto"/>
          <w:sz w:val="30"/>
          <w:szCs w:val="30"/>
          <w:highlight w:val="none"/>
        </w:rPr>
        <w:t>资格审查条件</w:t>
      </w:r>
      <w:r>
        <w:rPr>
          <w:rFonts w:hint="eastAsia" w:ascii="黑体" w:hAnsi="黑体" w:eastAsia="黑体" w:cs="黑体"/>
          <w:b/>
          <w:bCs/>
          <w:color w:val="auto"/>
          <w:sz w:val="30"/>
          <w:szCs w:val="30"/>
          <w:highlight w:val="none"/>
          <w:lang w:eastAsia="zh-CN"/>
        </w:rPr>
        <w:t>（</w:t>
      </w:r>
      <w:r>
        <w:rPr>
          <w:rFonts w:hint="eastAsia" w:ascii="黑体" w:hAnsi="黑体" w:eastAsia="黑体" w:cs="黑体"/>
          <w:b/>
          <w:bCs/>
          <w:color w:val="auto"/>
          <w:sz w:val="30"/>
          <w:szCs w:val="30"/>
          <w:highlight w:val="none"/>
        </w:rPr>
        <w:t>财务最低要求</w:t>
      </w:r>
      <w:r>
        <w:rPr>
          <w:rFonts w:hint="eastAsia" w:ascii="黑体" w:hAnsi="黑体" w:eastAsia="黑体" w:cs="黑体"/>
          <w:b/>
          <w:bCs/>
          <w:color w:val="auto"/>
          <w:sz w:val="30"/>
          <w:szCs w:val="30"/>
          <w:highlight w:val="none"/>
          <w:lang w:eastAsia="zh-CN"/>
        </w:rPr>
        <w:t>）</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9380" w:type="dxa"/>
            <w:noWrap w:val="0"/>
            <w:tcMar>
              <w:top w:w="113" w:type="dxa"/>
              <w:left w:w="108" w:type="dxa"/>
              <w:bottom w:w="113" w:type="dxa"/>
              <w:right w:w="108" w:type="dxa"/>
            </w:tcMar>
            <w:vAlign w:val="center"/>
          </w:tcPr>
          <w:p>
            <w:pPr>
              <w:pStyle w:val="21"/>
              <w:keepNext w:val="0"/>
              <w:keepLines w:val="0"/>
              <w:pageBreakBefore w:val="0"/>
              <w:kinsoku/>
              <w:wordWrap/>
              <w:overflowPunct/>
              <w:topLinePunct w:val="0"/>
              <w:autoSpaceDE/>
              <w:autoSpaceDN/>
              <w:bidi w:val="0"/>
              <w:snapToGrid w:val="0"/>
              <w:jc w:val="center"/>
              <w:textAlignment w:val="auto"/>
              <w:rPr>
                <w:b/>
                <w:bCs/>
                <w:color w:val="auto"/>
                <w:sz w:val="24"/>
                <w:highlight w:val="none"/>
              </w:rPr>
            </w:pPr>
            <w:r>
              <w:rPr>
                <w:rFonts w:hAnsi="宋体"/>
                <w:b/>
                <w:bCs/>
                <w:color w:val="auto"/>
                <w:sz w:val="24"/>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9380" w:type="dxa"/>
            <w:tcBorders>
              <w:bottom w:val="single" w:color="auto"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投标人提供近 3 年(2019 年至 2021 年)经审计的财务报表，且提供的每一年度财务报表中年末的流动资产与流动负债比均不小于 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1" w:hRule="atLeast"/>
          <w:jc w:val="center"/>
        </w:trPr>
        <w:tc>
          <w:tcPr>
            <w:tcW w:w="9380" w:type="dxa"/>
            <w:tcBorders>
              <w:top w:val="single" w:color="auto"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修改补充投标人须知正文第3.5.2项：</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 各标段投标人应在投标文件中附近 3 年经会计师事务所或审计机构审计的财务会计报表，包括资产负债表、现金流量表、利润表和财务情况说明书的彩色影印件。</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(2) 投标人的成立时间少于该年份规定的可以对本项目投标，应提供成立以来的财务状况表，且投标人所提供的所有年份的财务报表均需满足以上要求。</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(3) 投标人如为集团公司，财务会计报表指合并财务会计报表。</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(4) 招标文件中其他地方与此处不一致时， 以此处为准。</w:t>
            </w:r>
          </w:p>
        </w:tc>
      </w:tr>
    </w:tbl>
    <w:p>
      <w:pPr>
        <w:pStyle w:val="21"/>
        <w:keepNext w:val="0"/>
        <w:keepLines w:val="0"/>
        <w:pageBreakBefore w:val="0"/>
        <w:kinsoku/>
        <w:wordWrap/>
        <w:overflowPunct/>
        <w:topLinePunct w:val="0"/>
        <w:autoSpaceDE/>
        <w:autoSpaceDN/>
        <w:bidi w:val="0"/>
        <w:snapToGrid w:val="0"/>
        <w:spacing w:line="360" w:lineRule="auto"/>
        <w:textAlignment w:val="auto"/>
        <w:rPr>
          <w:rFonts w:hint="eastAsia"/>
          <w:color w:val="0000FF"/>
          <w:sz w:val="24"/>
        </w:rPr>
      </w:pPr>
    </w:p>
    <w:p>
      <w:pPr>
        <w:keepNext w:val="0"/>
        <w:keepLines w:val="0"/>
        <w:pageBreakBefore w:val="0"/>
        <w:kinsoku/>
        <w:wordWrap/>
        <w:overflowPunct/>
        <w:topLinePunct w:val="0"/>
        <w:autoSpaceDE/>
        <w:autoSpaceDN/>
        <w:bidi w:val="0"/>
        <w:snapToGrid w:val="0"/>
        <w:textAlignment w:val="auto"/>
        <w:rPr>
          <w:rFonts w:hint="eastAsia" w:ascii="仿宋" w:hAnsi="仿宋" w:eastAsia="仿宋"/>
          <w:b/>
          <w:sz w:val="32"/>
          <w:szCs w:val="32"/>
        </w:rPr>
      </w:pPr>
    </w:p>
    <w:p>
      <w:pPr>
        <w:keepNext w:val="0"/>
        <w:keepLines w:val="0"/>
        <w:pageBreakBefore w:val="0"/>
        <w:tabs>
          <w:tab w:val="left" w:pos="1051"/>
        </w:tabs>
        <w:kinsoku/>
        <w:wordWrap/>
        <w:overflowPunct/>
        <w:topLinePunct w:val="0"/>
        <w:autoSpaceDE/>
        <w:autoSpaceDN/>
        <w:bidi w:val="0"/>
        <w:snapToGrid w:val="0"/>
        <w:spacing w:before="120" w:beforeLines="50" w:after="120" w:afterLines="50"/>
        <w:jc w:val="center"/>
        <w:textAlignment w:val="auto"/>
        <w:rPr>
          <w:rFonts w:ascii="仿宋" w:hAnsi="仿宋" w:eastAsia="仿宋"/>
          <w:b/>
          <w:sz w:val="32"/>
          <w:szCs w:val="32"/>
        </w:rPr>
      </w:pPr>
      <w:r>
        <w:rPr>
          <w:rFonts w:hint="eastAsia" w:ascii="仿宋" w:hAnsi="仿宋" w:eastAsia="仿宋"/>
          <w:b/>
          <w:sz w:val="32"/>
          <w:szCs w:val="32"/>
        </w:rPr>
        <w:t xml:space="preserve">附录 </w:t>
      </w:r>
      <w:r>
        <w:rPr>
          <w:rFonts w:hint="eastAsia" w:ascii="仿宋" w:hAnsi="仿宋" w:eastAsia="仿宋"/>
          <w:b/>
          <w:sz w:val="32"/>
          <w:szCs w:val="32"/>
          <w:lang w:val="en-US" w:eastAsia="zh-CN"/>
        </w:rPr>
        <w:t>3</w:t>
      </w:r>
      <w:r>
        <w:rPr>
          <w:rFonts w:ascii="仿宋" w:hAnsi="仿宋" w:eastAsia="仿宋"/>
          <w:b/>
          <w:sz w:val="32"/>
          <w:szCs w:val="32"/>
        </w:rPr>
        <w:tab/>
      </w:r>
      <w:r>
        <w:rPr>
          <w:rFonts w:ascii="仿宋" w:hAnsi="仿宋" w:eastAsia="仿宋"/>
          <w:b/>
          <w:sz w:val="32"/>
          <w:szCs w:val="32"/>
        </w:rPr>
        <w:t xml:space="preserve"> </w:t>
      </w:r>
      <w:r>
        <w:rPr>
          <w:rFonts w:hint="eastAsia" w:ascii="仿宋" w:hAnsi="仿宋" w:eastAsia="仿宋"/>
          <w:b/>
          <w:sz w:val="32"/>
          <w:szCs w:val="32"/>
        </w:rPr>
        <w:t>资格审查条件（业绩最低要求）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281" w:type="dxa"/>
            <w:vAlign w:val="center"/>
          </w:tcPr>
          <w:p>
            <w:pPr>
              <w:keepNext w:val="0"/>
              <w:keepLines w:val="0"/>
              <w:pageBreakBefore w:val="0"/>
              <w:kinsoku/>
              <w:wordWrap/>
              <w:overflowPunct/>
              <w:topLinePunct w:val="0"/>
              <w:autoSpaceDE/>
              <w:autoSpaceDN/>
              <w:bidi w:val="0"/>
              <w:snapToGrid w:val="0"/>
              <w:jc w:val="center"/>
              <w:textAlignment w:val="auto"/>
              <w:rPr>
                <w:rFonts w:ascii="仿宋" w:hAnsi="仿宋" w:eastAsia="仿宋"/>
                <w:b/>
                <w:sz w:val="28"/>
                <w:szCs w:val="28"/>
              </w:rPr>
            </w:pPr>
            <w:bookmarkStart w:id="3" w:name="EB0a994361b39c42349248d95b29298c49"/>
            <w:bookmarkEnd w:id="3"/>
            <w:bookmarkStart w:id="4" w:name="_Toc26223_WPSOffice_Level2"/>
            <w:r>
              <w:rPr>
                <w:rFonts w:hint="eastAsia" w:ascii="仿宋" w:hAnsi="仿宋" w:eastAsia="仿宋" w:cs="宋体"/>
                <w:b/>
                <w:bCs/>
                <w:sz w:val="28"/>
                <w:szCs w:val="28"/>
              </w:rPr>
              <w:t>业绩要求</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9281" w:type="dxa"/>
            <w:vAlign w:val="center"/>
          </w:tcPr>
          <w:p>
            <w:pPr>
              <w:keepNext w:val="0"/>
              <w:keepLines w:val="0"/>
              <w:pageBreakBefore w:val="0"/>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投标人在近 3 年内(自2023 年 3 月 27 日起向前计算 3 年至投标截止之日，精确到天，以交工日期为准)至少成功完成过 1 个合同项下金额不小于1500万元的二级及以上等级公路路面养护工程施工业绩。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9281" w:type="dxa"/>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修改补充投标人须知正文第3.5.3项：</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1）投标人应按资格审查资料中的表（四）（近年完成的类似项目情况表）填写所提供的业绩，提供的每个业绩均应填写，未按照表（四）（近年完成的类似项目情况表）规定的格式填报的业绩，其业绩审查将不予认可。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（2）投标人填报的类似项目应是已列入交通运输部或省级交通运输主管部门主管的“公路建设市场信用信息管理系统”并公开的主包已建业绩或分包已建业绩。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3）“近年完成的类似项目情况表”应附在交通运输部“全国公路建设市场信用信息管理系统”中查询到的企业“业绩信息”相关项目网页截图，即包括“项目名称”“项目类型”“合同价”“主要工程量”“人员履约信息”等栏目在内的项目详细信息网页截图。在交通运输部“全国公路建设市场信用信息管理系统”中无法查询的，应附省级交通运输主管部门“公路建设市场信用信息管理系统”中查询到的网页截图。除网页截图外，投标人无须再提供任何业绩证明资料。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（4）如投标人未提供相关项目网页截图或相关项目网页截图中的信息无法证实投标人满足招标文件规定的资格审查条件（业绩最低要求），则该项目业绩不予认定。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5）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不予退还投标保证金，并认定为失信投标行为（如中标同时取消其中标资格），并依据《宁夏回族自治区公路建设与养护市场信用评价管理办法（试行）》（宁交规发〔2021〕5 号）文件对投标人本次投标行为进行评价，同时将评价结果上报宁夏交通运输厅，并在宁夏交通运输厅网站予以公布。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（6）非交通运输部“公路建设市场信用信息管理系统”中或省级交通运输主管部门的“公路建设市场信用信息管理系统”中已经登记的并审核通过的业绩在资格评审中将不予认可。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 xml:space="preserve">（7）投标人提供的业绩达不到附录 3 业绩最低要求的，其资格审查不予通过。 </w:t>
            </w:r>
            <w:bookmarkStart w:id="8" w:name="_GoBack"/>
            <w:bookmarkEnd w:id="8"/>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sz w:val="28"/>
                <w:szCs w:val="28"/>
              </w:rPr>
            </w:pPr>
            <w:r>
              <w:rPr>
                <w:rFonts w:hint="eastAsia" w:ascii="仿宋" w:hAnsi="仿宋" w:eastAsia="仿宋"/>
                <w:sz w:val="28"/>
                <w:szCs w:val="28"/>
                <w:lang w:val="en-US" w:eastAsia="zh-CN"/>
              </w:rPr>
              <w:t>（8）招标文件中其他地方与此处不一致时，以此处为准。</w:t>
            </w:r>
          </w:p>
        </w:tc>
      </w:tr>
    </w:tbl>
    <w:p>
      <w:pPr>
        <w:keepNext w:val="0"/>
        <w:keepLines w:val="0"/>
        <w:pageBreakBefore w:val="0"/>
        <w:tabs>
          <w:tab w:val="left" w:pos="1051"/>
        </w:tabs>
        <w:kinsoku/>
        <w:wordWrap/>
        <w:overflowPunct/>
        <w:topLinePunct w:val="0"/>
        <w:autoSpaceDE/>
        <w:autoSpaceDN/>
        <w:bidi w:val="0"/>
        <w:snapToGrid w:val="0"/>
        <w:jc w:val="center"/>
        <w:textAlignment w:val="auto"/>
        <w:rPr>
          <w:rFonts w:ascii="仿宋" w:hAnsi="仿宋" w:eastAsia="仿宋"/>
          <w:sz w:val="28"/>
          <w:szCs w:val="28"/>
        </w:rPr>
      </w:pPr>
    </w:p>
    <w:p>
      <w:pPr>
        <w:keepNext w:val="0"/>
        <w:keepLines w:val="0"/>
        <w:pageBreakBefore w:val="0"/>
        <w:kinsoku/>
        <w:wordWrap/>
        <w:overflowPunct/>
        <w:topLinePunct w:val="0"/>
        <w:autoSpaceDE/>
        <w:autoSpaceDN/>
        <w:bidi w:val="0"/>
        <w:snapToGrid w:val="0"/>
        <w:textAlignment w:val="auto"/>
        <w:rPr>
          <w:rFonts w:hint="eastAsia" w:ascii="仿宋" w:hAnsi="仿宋" w:eastAsia="仿宋"/>
          <w:b/>
          <w:sz w:val="32"/>
          <w:szCs w:val="32"/>
        </w:rPr>
      </w:pPr>
      <w:r>
        <w:rPr>
          <w:rFonts w:hint="eastAsia" w:ascii="仿宋" w:hAnsi="仿宋" w:eastAsia="仿宋"/>
          <w:b/>
          <w:sz w:val="32"/>
          <w:szCs w:val="32"/>
        </w:rPr>
        <w:br w:type="page"/>
      </w:r>
    </w:p>
    <w:p>
      <w:pPr>
        <w:keepNext w:val="0"/>
        <w:keepLines w:val="0"/>
        <w:pageBreakBefore w:val="0"/>
        <w:tabs>
          <w:tab w:val="left" w:pos="1051"/>
        </w:tabs>
        <w:kinsoku/>
        <w:wordWrap/>
        <w:overflowPunct/>
        <w:topLinePunct w:val="0"/>
        <w:autoSpaceDE/>
        <w:autoSpaceDN/>
        <w:bidi w:val="0"/>
        <w:snapToGrid w:val="0"/>
        <w:spacing w:before="120" w:beforeLines="50" w:after="120" w:afterLines="50"/>
        <w:jc w:val="center"/>
        <w:textAlignment w:val="auto"/>
        <w:rPr>
          <w:rFonts w:hint="eastAsia" w:ascii="仿宋" w:hAnsi="仿宋" w:eastAsia="仿宋"/>
          <w:b/>
          <w:sz w:val="32"/>
          <w:szCs w:val="32"/>
        </w:rPr>
      </w:pPr>
      <w:r>
        <w:rPr>
          <w:rFonts w:hint="eastAsia" w:ascii="仿宋" w:hAnsi="仿宋" w:eastAsia="仿宋"/>
          <w:b/>
          <w:sz w:val="32"/>
          <w:szCs w:val="32"/>
        </w:rPr>
        <w:t xml:space="preserve">附录 </w:t>
      </w:r>
      <w:r>
        <w:rPr>
          <w:rFonts w:hint="eastAsia" w:ascii="仿宋" w:hAnsi="仿宋" w:eastAsia="仿宋"/>
          <w:b/>
          <w:sz w:val="32"/>
          <w:szCs w:val="32"/>
          <w:lang w:val="en-US" w:eastAsia="zh-CN"/>
        </w:rPr>
        <w:t>4</w:t>
      </w:r>
      <w:r>
        <w:rPr>
          <w:rFonts w:ascii="仿宋" w:hAnsi="仿宋" w:eastAsia="仿宋"/>
          <w:b/>
          <w:sz w:val="32"/>
          <w:szCs w:val="32"/>
        </w:rPr>
        <w:tab/>
      </w:r>
      <w:r>
        <w:rPr>
          <w:rFonts w:ascii="仿宋" w:hAnsi="仿宋" w:eastAsia="仿宋"/>
          <w:b/>
          <w:sz w:val="32"/>
          <w:szCs w:val="32"/>
        </w:rPr>
        <w:t xml:space="preserve"> </w:t>
      </w:r>
      <w:r>
        <w:rPr>
          <w:rFonts w:hint="eastAsia" w:ascii="仿宋" w:hAnsi="仿宋" w:eastAsia="仿宋"/>
          <w:b/>
          <w:sz w:val="32"/>
          <w:szCs w:val="32"/>
        </w:rPr>
        <w:t>资格审查条件（信誉最低要求）</w:t>
      </w:r>
      <w:bookmarkStart w:id="5" w:name="_bookmark24"/>
      <w:bookmarkEnd w:id="5"/>
      <w:bookmarkStart w:id="6" w:name="_Toc635_WPSOffice_Level2"/>
    </w:p>
    <w:tbl>
      <w:tblPr>
        <w:tblStyle w:val="11"/>
        <w:tblW w:w="9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440" w:type="dxa"/>
            <w:tcMar>
              <w:top w:w="57" w:type="dxa"/>
              <w:left w:w="108" w:type="dxa"/>
              <w:bottom w:w="57" w:type="dxa"/>
              <w:right w:w="108" w:type="dxa"/>
            </w:tcMar>
            <w:vAlign w:val="center"/>
          </w:tcPr>
          <w:p>
            <w:pPr>
              <w:keepNext w:val="0"/>
              <w:keepLines w:val="0"/>
              <w:pageBreakBefore w:val="0"/>
              <w:kinsoku/>
              <w:wordWrap/>
              <w:overflowPunct/>
              <w:topLinePunct w:val="0"/>
              <w:autoSpaceDE/>
              <w:autoSpaceDN/>
              <w:bidi w:val="0"/>
              <w:snapToGrid w:val="0"/>
              <w:jc w:val="center"/>
              <w:textAlignment w:val="auto"/>
              <w:rPr>
                <w:rFonts w:ascii="仿宋" w:hAnsi="仿宋" w:eastAsia="仿宋" w:cs="宋体"/>
                <w:sz w:val="28"/>
                <w:szCs w:val="28"/>
              </w:rPr>
            </w:pPr>
            <w:r>
              <w:rPr>
                <w:rFonts w:hint="eastAsia" w:ascii="仿宋" w:hAnsi="仿宋" w:eastAsia="仿宋" w:cs="宋体"/>
                <w:b/>
                <w:bCs/>
                <w:sz w:val="28"/>
                <w:szCs w:val="28"/>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9" w:hRule="atLeast"/>
          <w:jc w:val="center"/>
        </w:trPr>
        <w:tc>
          <w:tcPr>
            <w:tcW w:w="9440" w:type="dxa"/>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(1)未被交通运输部或宁夏回族自治区交通运输厅取消在宁夏回族自治区投标资格且处于 有效期内(以“全国公路建设市场信用信息管理系统 、宁夏公路建设市场信用信息管理系统”中查询结果为准)；</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(2)未被责令停业，暂扣或吊销执照，或吊销资质证书，或吊销安全生产许可证；</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 未进入清算程序，或被宣告破产，或其他丧失履约能力的情形；</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 在国家企业信用信息公示系统(http://www.gsxt.gov.cn/)中未被列入严重违法失信 企业名单(附网站查询截图)；</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(5)在“信用中国”( http://www.creditchina.gov.cn )、“信用交通”(</w:t>
            </w:r>
            <w:r>
              <w:rPr>
                <w:rFonts w:hint="eastAsia" w:ascii="仿宋" w:hAnsi="仿宋" w:eastAsia="仿宋" w:cs="Times New Roman"/>
                <w:sz w:val="28"/>
                <w:szCs w:val="28"/>
                <w:lang w:val="en-US" w:eastAsia="zh-CN"/>
              </w:rPr>
              <w:fldChar w:fldCharType="begin"/>
            </w:r>
            <w:r>
              <w:rPr>
                <w:rFonts w:hint="eastAsia" w:ascii="仿宋" w:hAnsi="仿宋" w:eastAsia="仿宋" w:cs="Times New Roman"/>
                <w:sz w:val="28"/>
                <w:szCs w:val="28"/>
                <w:lang w:val="en-US" w:eastAsia="zh-CN"/>
              </w:rPr>
              <w:instrText xml:space="preserve"> HYPERLINK "http://credit.mot.gov.cn/" </w:instrText>
            </w:r>
            <w:r>
              <w:rPr>
                <w:rFonts w:hint="eastAsia" w:ascii="仿宋" w:hAnsi="仿宋" w:eastAsia="仿宋" w:cs="Times New Roman"/>
                <w:sz w:val="28"/>
                <w:szCs w:val="28"/>
                <w:lang w:val="en-US" w:eastAsia="zh-CN"/>
              </w:rPr>
              <w:fldChar w:fldCharType="separate"/>
            </w:r>
            <w:r>
              <w:rPr>
                <w:rFonts w:hint="eastAsia" w:ascii="仿宋" w:hAnsi="仿宋" w:eastAsia="仿宋" w:cs="Times New Roman"/>
                <w:sz w:val="28"/>
                <w:szCs w:val="28"/>
                <w:lang w:val="en-US" w:eastAsia="zh-CN"/>
              </w:rPr>
              <w:t>http://credit.mot.gov.cn/</w:t>
            </w:r>
            <w:r>
              <w:rPr>
                <w:rFonts w:hint="eastAsia" w:ascii="仿宋" w:hAnsi="仿宋" w:eastAsia="仿宋" w:cs="Times New Roman"/>
                <w:sz w:val="28"/>
                <w:szCs w:val="28"/>
                <w:lang w:val="en-US" w:eastAsia="zh-CN"/>
              </w:rPr>
              <w:fldChar w:fldCharType="end"/>
            </w:r>
            <w:r>
              <w:rPr>
                <w:rFonts w:hint="eastAsia" w:ascii="仿宋" w:hAnsi="仿宋" w:eastAsia="仿宋" w:cs="Times New Roman"/>
                <w:sz w:val="28"/>
                <w:szCs w:val="28"/>
                <w:lang w:val="en-US" w:eastAsia="zh-CN"/>
              </w:rPr>
              <w:t>)、“信 用 宁 夏”(http://credit.nx.gov.cn/)任一网站中未被列入失信被执行人(附网站查询截图)；</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 投标人及其法定代表人 、拟委任的项目经理自2020年 3 月 27 日以来无行贿犯罪行为 (附承诺函)；</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 无法律法规或投标人须知前附表规定的其他不合格情形。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1" w:hRule="atLeast"/>
          <w:jc w:val="center"/>
        </w:trPr>
        <w:tc>
          <w:tcPr>
            <w:tcW w:w="9440" w:type="dxa"/>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注：1.投标人提供“投标人信誉情况表”时，按照以上内容及投标文件格式中的要求提供证明资料。</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2.招标文件中其他地方与此处不一致时，以此处为准。</w:t>
            </w:r>
          </w:p>
        </w:tc>
      </w:tr>
    </w:tbl>
    <w:p>
      <w:pPr>
        <w:pStyle w:val="21"/>
        <w:keepNext w:val="0"/>
        <w:keepLines w:val="0"/>
        <w:pageBreakBefore w:val="0"/>
        <w:kinsoku/>
        <w:wordWrap/>
        <w:overflowPunct/>
        <w:topLinePunct w:val="0"/>
        <w:autoSpaceDE/>
        <w:autoSpaceDN/>
        <w:bidi w:val="0"/>
        <w:snapToGrid w:val="0"/>
        <w:spacing w:before="120" w:after="120" w:line="360" w:lineRule="auto"/>
        <w:jc w:val="center"/>
        <w:textAlignment w:val="auto"/>
        <w:rPr>
          <w:rFonts w:hint="eastAsia" w:ascii="仿宋" w:hAnsi="仿宋" w:eastAsia="仿宋" w:cs="Times New Roman"/>
          <w:b/>
          <w:kern w:val="2"/>
          <w:sz w:val="32"/>
          <w:szCs w:val="32"/>
          <w:lang w:val="en-US" w:eastAsia="zh-CN" w:bidi="ar-SA"/>
        </w:rPr>
      </w:pPr>
      <w:r>
        <w:rPr>
          <w:rFonts w:hint="eastAsia" w:ascii="仿宋" w:hAnsi="仿宋" w:eastAsia="仿宋"/>
          <w:b/>
          <w:sz w:val="28"/>
          <w:szCs w:val="28"/>
        </w:rPr>
        <w:br w:type="page"/>
      </w:r>
      <w:bookmarkEnd w:id="6"/>
      <w:r>
        <w:rPr>
          <w:rFonts w:hint="eastAsia" w:ascii="仿宋" w:hAnsi="仿宋" w:eastAsia="仿宋" w:cs="Times New Roman"/>
          <w:b/>
          <w:kern w:val="2"/>
          <w:sz w:val="32"/>
          <w:szCs w:val="32"/>
          <w:lang w:val="en-US" w:eastAsia="zh-CN" w:bidi="ar-SA"/>
        </w:rPr>
        <w:t>附录5  资格审查条件（项目经理和项目总工最低要求）</w:t>
      </w:r>
    </w:p>
    <w:tbl>
      <w:tblPr>
        <w:tblStyle w:val="11"/>
        <w:tblW w:w="92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924"/>
        <w:gridCol w:w="4549"/>
        <w:gridCol w:w="26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9221" w:type="dxa"/>
            <w:gridSpan w:val="4"/>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第1标段：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11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人员</w:t>
            </w:r>
          </w:p>
        </w:tc>
        <w:tc>
          <w:tcPr>
            <w:tcW w:w="924"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数量</w:t>
            </w:r>
          </w:p>
        </w:tc>
        <w:tc>
          <w:tcPr>
            <w:tcW w:w="4549"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资格要求</w:t>
            </w:r>
          </w:p>
        </w:tc>
        <w:tc>
          <w:tcPr>
            <w:tcW w:w="2631"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0" w:hRule="atLeast"/>
          <w:jc w:val="center"/>
        </w:trPr>
        <w:tc>
          <w:tcPr>
            <w:tcW w:w="111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w:t>
            </w:r>
          </w:p>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经理</w:t>
            </w:r>
          </w:p>
        </w:tc>
        <w:tc>
          <w:tcPr>
            <w:tcW w:w="924"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4549"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具有公路工程相关专业中级及以上职称，并具有住建部门颁发的公路工程专业二级及以上注册建造师证，持有交通运输主管部门或建设主管部门颁发的 B 类安全生产考核证书。近三年内(自 2023 年 3 月 27 日起向前计算 3 年至投标截止日，精确到天，以交工日期为准)，担任过二级及以上等级公路路面养护工程施工业绩的项目经理(项目负责人) 职务，业绩数量至少为 1 个(如为项目副经理职务业绩数量至少为 2 个)。</w:t>
            </w:r>
          </w:p>
        </w:tc>
        <w:tc>
          <w:tcPr>
            <w:tcW w:w="2631" w:type="dxa"/>
            <w:vMerge w:val="restart"/>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无在岗项目是指：①目前未在其它项目上中标或任职；②在其它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5" w:hRule="atLeast"/>
          <w:jc w:val="center"/>
        </w:trPr>
        <w:tc>
          <w:tcPr>
            <w:tcW w:w="1117"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w:t>
            </w:r>
          </w:p>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总工</w:t>
            </w:r>
          </w:p>
        </w:tc>
        <w:tc>
          <w:tcPr>
            <w:tcW w:w="924"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4549" w:type="dxa"/>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项目总工：具有公路工程相关专业中级及以上职称。近三年内(自 2023 年 3 月 2</w:t>
            </w:r>
            <w:r>
              <w:rPr>
                <w:rFonts w:hint="eastAsia" w:ascii="仿宋" w:hAnsi="仿宋" w:eastAsia="仿宋" w:cs="Times New Roman"/>
                <w:sz w:val="28"/>
                <w:szCs w:val="28"/>
                <w:lang w:val="en-US" w:eastAsia="zh-CN"/>
              </w:rPr>
              <w:t>7</w:t>
            </w:r>
            <w:r>
              <w:rPr>
                <w:rFonts w:hint="default" w:ascii="仿宋" w:hAnsi="仿宋" w:eastAsia="仿宋" w:cs="Times New Roman"/>
                <w:sz w:val="28"/>
                <w:szCs w:val="28"/>
                <w:lang w:val="en-US" w:eastAsia="zh-CN"/>
              </w:rPr>
              <w:t xml:space="preserve"> 日起向前计算 3 年至投标截止日，精确到天，以交工日期为准)，担任过二级及以上等级公路路面养护工程施工业绩的项目总工(技术负责人)职务，业绩数量至少为 1 个(如为项目副总工 职务业绩数量至少为 2 个)。</w:t>
            </w:r>
          </w:p>
        </w:tc>
        <w:tc>
          <w:tcPr>
            <w:tcW w:w="2631" w:type="dxa"/>
            <w:vMerge w:val="continue"/>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9221" w:type="dxa"/>
            <w:gridSpan w:val="4"/>
            <w:tcBorders>
              <w:top w:val="single" w:color="auto" w:sz="4" w:space="0"/>
              <w:left w:val="single" w:color="auto" w:sz="4" w:space="0"/>
              <w:bottom w:val="single" w:color="auto" w:sz="4" w:space="0"/>
              <w:right w:val="single" w:color="auto" w:sz="4" w:space="0"/>
            </w:tcBorders>
            <w:noWrap w:val="0"/>
            <w:tcMar>
              <w:top w:w="57" w:type="dxa"/>
              <w:left w:w="51" w:type="dxa"/>
              <w:bottom w:w="57" w:type="dxa"/>
              <w:right w:w="51"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修改补充投标人须知正文第3.5.5项：</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（1）投标人应按“拟委任的项目经理和项目总工资历表”的格式要求分别填写项目经理和项目总工的资历，还应后附相关资格证明材料的彩色扫描件。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（2）项目经理须提供的资格证明材料：身份证、职称资格证书、建造师注册证书、安全生产考核合格证书彩色扫描件，其中：建造师注册证书及安全生产考核合格证书还需提供在政府相关部门网 站上公开信息的网页截图；投标人所属社保机构出具的 2022 年 10 月至今任意连续 3 个月社保缴费证明或其他能够证明参加社保的有效证明材料、在岗撤离承诺书（如需、格式自拟）。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（3）项目总工须提供的资格证明材料：身份证、职称资格证书，投标人所属社保机构出具的2022 年 10 月至今任意连续 3 个月社保缴费证明或其他能够证明参加社保的有效证明材料、在岗撤离承 诺书（如需、格式自拟）。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（4）项目经理和项目总工其他要求：必须是在投标人单位参加社会保险的全日制从业人员：注册建造师证书注册的单位必须为投标人，社保缴费单位与投标人名称必须一致；所有证件需清楚的反 映有效期、年检情况及单位变更情况信息（如有）；所附人员的各类证书、证照以及各种证明材料中该人员的姓名应完全一致（除曾用名）。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（5）“拟委任的项目经理和项目总工资历表”还应附交通运输部“全国公路建设市场信用信息管理系统”中载明的、能够证明项目经理和项目总工具有相关业绩的网页截图复印件。在交通运输部 “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（7）投标人对投标文件中拟委任的项目经理、项目总工是否在岗必须如实填报，在评标过程中或公示期间，若招标人收到有关反映投标人项目经理、项目总工有在岗项目的投诉，招标人一经查实 将认定为失信投标行为，取消其中标资格。 </w:t>
            </w:r>
          </w:p>
          <w:p>
            <w:pPr>
              <w:keepNext w:val="0"/>
              <w:keepLines w:val="0"/>
              <w:pageBreakBefore w:val="0"/>
              <w:widowControl/>
              <w:kinsoku/>
              <w:wordWrap/>
              <w:overflowPunct/>
              <w:topLinePunct w:val="0"/>
              <w:autoSpaceDE/>
              <w:autoSpaceDN/>
              <w:bidi w:val="0"/>
              <w:snapToGrid w:val="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（8）招标文件中其他地方与此处不一致时，以此处为准。 </w:t>
            </w:r>
          </w:p>
        </w:tc>
      </w:tr>
    </w:tbl>
    <w:p>
      <w:pPr>
        <w:pStyle w:val="6"/>
        <w:keepNext w:val="0"/>
        <w:keepLines w:val="0"/>
        <w:pageBreakBefore w:val="0"/>
        <w:kinsoku/>
        <w:wordWrap/>
        <w:overflowPunct/>
        <w:topLinePunct w:val="0"/>
        <w:autoSpaceDE/>
        <w:autoSpaceDN/>
        <w:bidi w:val="0"/>
        <w:snapToGrid w:val="0"/>
        <w:textAlignment w:val="auto"/>
        <w:rPr>
          <w:rFonts w:hint="eastAsia" w:eastAsiaTheme="minorEastAsia"/>
        </w:rPr>
      </w:pPr>
    </w:p>
    <w:p>
      <w:pPr>
        <w:keepNext w:val="0"/>
        <w:keepLines w:val="0"/>
        <w:pageBreakBefore w:val="0"/>
        <w:widowControl/>
        <w:kinsoku/>
        <w:wordWrap/>
        <w:overflowPunct/>
        <w:topLinePunct w:val="0"/>
        <w:autoSpaceDE/>
        <w:autoSpaceDN/>
        <w:bidi w:val="0"/>
        <w:snapToGrid w:val="0"/>
        <w:jc w:val="left"/>
        <w:textAlignment w:val="auto"/>
        <w:rPr>
          <w:rFonts w:ascii="仿宋" w:hAnsi="仿宋" w:eastAsia="仿宋"/>
          <w:b/>
          <w:bCs/>
          <w:sz w:val="28"/>
          <w:szCs w:val="28"/>
        </w:rPr>
      </w:pPr>
      <w:r>
        <w:rPr>
          <w:rFonts w:ascii="仿宋" w:hAnsi="仿宋" w:eastAsia="仿宋"/>
          <w:b/>
          <w:bCs/>
          <w:sz w:val="28"/>
          <w:szCs w:val="28"/>
        </w:rPr>
        <w:br w:type="page"/>
      </w:r>
    </w:p>
    <w:p>
      <w:pPr>
        <w:keepNext w:val="0"/>
        <w:keepLines w:val="0"/>
        <w:pageBreakBefore w:val="0"/>
        <w:tabs>
          <w:tab w:val="left" w:pos="1051"/>
        </w:tabs>
        <w:kinsoku/>
        <w:wordWrap/>
        <w:overflowPunct/>
        <w:topLinePunct w:val="0"/>
        <w:autoSpaceDE/>
        <w:autoSpaceDN/>
        <w:bidi w:val="0"/>
        <w:snapToGrid w:val="0"/>
        <w:spacing w:before="120" w:beforeLines="50" w:after="120" w:afterLines="50"/>
        <w:textAlignment w:val="auto"/>
        <w:rPr>
          <w:rFonts w:hint="eastAsia" w:ascii="仿宋" w:hAnsi="仿宋" w:eastAsia="仿宋" w:cs="Times New Roman"/>
          <w:b/>
          <w:bCs w:val="0"/>
          <w:kern w:val="2"/>
          <w:sz w:val="32"/>
          <w:szCs w:val="32"/>
          <w:lang w:val="en-US" w:eastAsia="zh-CN" w:bidi="ar-SA"/>
        </w:rPr>
      </w:pPr>
      <w:r>
        <w:rPr>
          <w:rFonts w:hint="eastAsia" w:ascii="仿宋" w:hAnsi="仿宋" w:eastAsia="仿宋"/>
          <w:b/>
          <w:sz w:val="32"/>
          <w:szCs w:val="32"/>
        </w:rPr>
        <w:t>二、</w:t>
      </w:r>
      <w:r>
        <w:rPr>
          <w:rFonts w:hint="eastAsia" w:ascii="仿宋" w:hAnsi="仿宋" w:eastAsia="仿宋" w:cs="Times New Roman"/>
          <w:b/>
          <w:bCs w:val="0"/>
          <w:kern w:val="2"/>
          <w:sz w:val="32"/>
          <w:szCs w:val="32"/>
          <w:lang w:val="en-US" w:eastAsia="zh-CN" w:bidi="ar-SA"/>
        </w:rPr>
        <w:t>评标办法（双信封合理低价法）</w:t>
      </w:r>
    </w:p>
    <w:p>
      <w:pPr>
        <w:keepNext w:val="0"/>
        <w:keepLines w:val="0"/>
        <w:pageBreakBefore w:val="0"/>
        <w:widowControl/>
        <w:kinsoku/>
        <w:wordWrap/>
        <w:overflowPunct/>
        <w:topLinePunct w:val="0"/>
        <w:autoSpaceDE/>
        <w:autoSpaceDN/>
        <w:bidi w:val="0"/>
        <w:adjustRightInd/>
        <w:snapToGrid w:val="0"/>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评标办法前附表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1385"/>
        <w:gridCol w:w="1993"/>
        <w:gridCol w:w="4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2270" w:type="dxa"/>
            <w:gridSpan w:val="2"/>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562" w:firstLineChars="200"/>
              <w:jc w:val="both"/>
              <w:textAlignment w:val="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条款号</w:t>
            </w:r>
          </w:p>
        </w:tc>
        <w:tc>
          <w:tcPr>
            <w:tcW w:w="6914"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885"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1385" w:type="dxa"/>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评标方法</w:t>
            </w:r>
          </w:p>
        </w:tc>
        <w:tc>
          <w:tcPr>
            <w:tcW w:w="6914"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综合评分相等时，评标委员会依次按照以下优先顺序推荐中标候选人或确定中 标人：</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 评标价低的投标人优先；</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 2021年度被宁夏交通运输厅评为较高信用等级的投标人优先：以《自治 区交通运输厅关于公布2021年度宁夏公路建设与养护市场从业单位及从业人员信用评价结果的通知》（宁夏回族自治区交通运输厅官网2022年6月10日发布）文件中的信用评价等级（施工企业）为准；</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 由评标委员会根据施工组织设计的编制情况投票确定其推荐排序。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bookmarkStart w:id="7" w:name="EB9c72802fc116425186c0586e89968f58"/>
            <w:r>
              <w:rPr>
                <w:rFonts w:hint="eastAsia" w:ascii="仿宋" w:hAnsi="仿宋" w:eastAsia="仿宋" w:cs="Times New Roman"/>
                <w:sz w:val="28"/>
                <w:szCs w:val="28"/>
                <w:lang w:val="en-US" w:eastAsia="zh-CN"/>
              </w:rPr>
              <w:t>2.1.1</w:t>
            </w:r>
          </w:p>
        </w:tc>
        <w:tc>
          <w:tcPr>
            <w:tcW w:w="1385"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形式评审</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与响应性评审</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标准</w:t>
            </w:r>
          </w:p>
        </w:tc>
        <w:tc>
          <w:tcPr>
            <w:tcW w:w="6914" w:type="dxa"/>
            <w:gridSpan w:val="2"/>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第一个信封（商务及技术文件）评审标准：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(1)投标文件按照招标文件规定的格式、内容填写，字迹清晰可辨: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a.投标函按招标文件规定填报了项目名称、标段、补遗书编号（如有）、工期、工程质量要求、安全目标等；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b.投标函附录的所有内容和数据均符合招标文件规定；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c.投标文件中有承诺函、规范投标行为承诺函、使用农民工承诺书等内容，其内容文字与招标文件规定一致，未进行修改和删减且签字盖章齐全；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d.投标文件组成齐全完整，内容均按规定填写。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(2)投标文件上法定代表人或其授权代理人的签字、投标人的单位章盖章齐全，符合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招标文件规定，符合投标人须知 3.7.3 条要求（除授权书、法人身份证明需亲笔签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名）。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(3)投标人按照招标文件的规定提供了投标保证金：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a.投标保证金金额符合招标文件规定的金额，且投标保证金有效期不少于投标有效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期；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b.若投标保证金采用现金或支票形式提交，投标人应在递交投标文件截止时间之前，将投标保证金由投标人的基本账户转入招标人指定账户；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c.若投标保证金采用保函（保险保证）形式提交，保函的格式、开具保函的银行、保函（保险保证）的有效期均满足招标文件要求，且递交投标文件截止时间之前向招标人单独密封提交了保函（保险保证）原件。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d.若采用其他形式，满足招标文件的规定。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(4)投标人法定代表人授权代理人签署投标文件的，须提交授权委托书，且授权人和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被授权人均在授权委托书上签名，未使用印章、签名章或其他电子制版签名代替。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(5)投标人法定代表人亲自签署投标文件的，提供了法定代表人身份证明，且法定代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表人在法定代表人身份证明上签名，未使用印章、签名章或其他电子制版签名代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替。</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(6)本项目不接受联合体投标。</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(7)本项目不允许分包。</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(8)同一投标人未提交两个以上不同的投标文件，但招标文件要求提交备选投标的除</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(9)投标文件中未出现有关投标报价的内容。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(10)投标文件载明的招标项目完成期限未超过招标文件规定的时限。</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(11)投标文件对招标文件的实质性要求和条件作出了响应。</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(12)权利义务符合招标文件规定。</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a.投标人应接受招标文件规定的风险划分原则，未提出新的风险划分办法；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b.投标人未增加发包人的责任范围，或减少投标人义务；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c.投标人未提出不同的工程验收、计量、支付办法；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d.投标人对合同纠纷、事故处理办法未提出异议；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e.投标人在投标活动中无欺诈行为；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f.投标人未对合同条款有重要保留。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(13)围标、串标审查：</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如果有证据显示投标人以他人名义投标、与他人串通投标、以行贿手段谋取中标，以及投标弄虚作假的，评标委员会应对该投标文件作无效投标处理。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(14)评标委员会要对投标人的财务能力、管理水平和以往施工业绩及履约信誉进行详细评审。如发现投标文件有以下情况之一的，评标委员会将对其作无效投标处理: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a.承诺的质量标准低于招标文件或国家强制性标准要求；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b.提供虚假施工业绩及履约信誉证明材料。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(15)投标文件提交方式：满足投标人须知 3.7.4 项规定。</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(16)按照评标委员会的要求进行了澄清、说明或补正。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(17)未附有招标人不能接受的其他条件。</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第二个信封（报价文件）评审标准：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(1)投标文件按照招标文件规定的格式、内容填写，字迹清晰可辨: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a、投标函按招标文件规定填报了项目名称、标段、补遗书编号（如有）、投标价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（包括大写金额和小写金额）；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b、已标价工程量清单说明、投标报价说明、计日工说明、其他说明以及工程量清单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表中文字与招标文件规定一致，未进行实质性修改和删减；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c、投标文件组成齐全完整，内容均按规定填写。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(2)投标文件上法定代表人或其授权代理人的签字、投标人的单位章盖章齐全，符合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招标文件规定：投标文件格式中（包括但不限于投标函、已标价工程量清单等）中明确要求投标人法定代表人或其委托代理人签字的、明确要求投标人加盖单位章的，投标文件上法定代表人或其授权代理人的签字、投标人的单位章盖章应齐全。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(3)投标报价中报价满足投标人须知的要求及满足以下要求: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a、投标报价的大写金额能确定具体数值；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b、投标报价未超过招标文件设定的最高投标限价；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c、投标报价大写金额无错误且可唱出；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d、未提交调价函；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e、同一投标人未提交两个以上不同的投标报价。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(4)投标报价编制及填写满足投标人须知正文及前附表第 3.2 款、工程量清单说明的要求: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(5)投标文件未附有招标人不能接受的其他条件: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(6)未修改招标人给定的暂估价（如有）或暂列金额（如有）: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(7)按照评标委员会的要求进行了澄清、说明或补正: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(8)投标文件符合招标文件的其他相关规定: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000000" w:sz="2" w:space="0"/>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2.1.2</w:t>
            </w:r>
          </w:p>
        </w:tc>
        <w:tc>
          <w:tcPr>
            <w:tcW w:w="1385" w:type="dxa"/>
            <w:tcBorders>
              <w:top w:val="single" w:color="000000" w:sz="2" w:space="0"/>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资格评审标准</w:t>
            </w: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投标人具备有效的营业执照等证件</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具备有效的营业执照、组织机构代码证、税务登记证（或三证合一的营业执照）、资质证书、安全生产许可证、基本账户开户许可证（或开户行出具的证明）等招标文件要求提交的证照，且所有证照在正本中均为彩色扫描件或彩色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5" w:type="dxa"/>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投标人的资质等级符合 招标文件投标人须知附 录 1 (包括小注)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投标人的资质等级符合招标文件投标人须知附录 1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restart"/>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restart"/>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投标人的财务状况符合 招标文件投标人须知附 录 2 (包括小注)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投标人的财务状况符合招标文件投标人须知附录 2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投标人的业绩符合招标 文件投标人须知附录 3 </w:t>
            </w:r>
            <w:r>
              <w:rPr>
                <w:rFonts w:hint="eastAsia" w:ascii="仿宋" w:hAnsi="仿宋" w:eastAsia="仿宋" w:cs="Times New Roman"/>
                <w:sz w:val="28"/>
                <w:szCs w:val="28"/>
                <w:lang w:val="en-US" w:eastAsia="zh-CN"/>
              </w:rPr>
              <w:tab/>
            </w:r>
            <w:r>
              <w:rPr>
                <w:rFonts w:hint="eastAsia" w:ascii="仿宋" w:hAnsi="仿宋" w:eastAsia="仿宋" w:cs="Times New Roman"/>
                <w:sz w:val="28"/>
                <w:szCs w:val="28"/>
                <w:lang w:val="en-US" w:eastAsia="zh-CN"/>
              </w:rPr>
              <w:t>(包括小注)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投标人的业绩符合招标文件投标人须知附录 3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投标人的信誉符合招标 文件投标人须知附录 4 </w:t>
            </w:r>
            <w:r>
              <w:rPr>
                <w:rFonts w:hint="eastAsia" w:ascii="仿宋" w:hAnsi="仿宋" w:eastAsia="仿宋" w:cs="Times New Roman"/>
                <w:sz w:val="28"/>
                <w:szCs w:val="28"/>
                <w:lang w:val="en-US" w:eastAsia="zh-CN"/>
              </w:rPr>
              <w:tab/>
            </w:r>
            <w:r>
              <w:rPr>
                <w:rFonts w:hint="eastAsia" w:ascii="仿宋" w:hAnsi="仿宋" w:eastAsia="仿宋" w:cs="Times New Roman"/>
                <w:sz w:val="28"/>
                <w:szCs w:val="28"/>
                <w:lang w:val="en-US" w:eastAsia="zh-CN"/>
              </w:rPr>
              <w:t>(包括小注)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投标人的信誉符合招标文件投标人须知附录 4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投标人的项目经理和项 目总工符合招标文件附 录 5 (包括小注) 规定；</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投标人的项目经理和项目总工符合招标文件附录 5 (包括小注)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385"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p>
        </w:tc>
        <w:tc>
          <w:tcPr>
            <w:tcW w:w="199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投标人不存在第二章“投标人须知”第 1.4.3 项或第 1.4.4 项规定的任何一种情形</w:t>
            </w:r>
          </w:p>
        </w:tc>
        <w:tc>
          <w:tcPr>
            <w:tcW w:w="492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投标人不存在第二章“投标人须知”第1.4.3 项或第 1.4.4 项规定的任何一种情形</w:t>
            </w:r>
          </w:p>
        </w:tc>
      </w:tr>
      <w:bookmarkEnd w:id="7"/>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 w:hRule="atLeast"/>
          <w:jc w:val="center"/>
        </w:trPr>
        <w:tc>
          <w:tcPr>
            <w:tcW w:w="9184" w:type="dxa"/>
            <w:gridSpan w:val="4"/>
            <w:tcBorders>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投标人递交的投标文件不满足形式评审与响应性评审标准中任意一项要求的，其投标文件不通过初步审查，评标委员会将否决其投标。</w:t>
            </w:r>
          </w:p>
        </w:tc>
      </w:tr>
    </w:tbl>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br w:type="page"/>
      </w:r>
    </w:p>
    <w:tbl>
      <w:tblPr>
        <w:tblStyle w:val="11"/>
        <w:tblW w:w="0" w:type="auto"/>
        <w:tblInd w:w="-1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2"/>
        <w:gridCol w:w="1270"/>
        <w:gridCol w:w="70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blHeader/>
        </w:trPr>
        <w:tc>
          <w:tcPr>
            <w:tcW w:w="2232" w:type="dxa"/>
            <w:gridSpan w:val="2"/>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条款号</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评审因素及评审标准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62"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2.2.1</w:t>
            </w:r>
          </w:p>
        </w:tc>
        <w:tc>
          <w:tcPr>
            <w:tcW w:w="1270"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分值构成</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（总分</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100分）</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评标价：100分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962"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2.2.2（一）</w:t>
            </w:r>
          </w:p>
        </w:tc>
        <w:tc>
          <w:tcPr>
            <w:tcW w:w="1270"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评标基准价</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计算方法</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一、计算公式字母含义</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 P 为评标基准价；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 Di 为评标价：Di＝投标函文字报价；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 N 为有效评标价的数量（有效评标价：除第一信封经评标委员会否决的投标人及第二信封开标现场被宣布为不进入评标基准价计算的评标价之外，剩余所有投标人的评标价均为有效评标价）；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 K 为评标基准价系数：K 值取值范围为 0.980、0.985、0.990、0.995、1.000 共 5 个数值，在开标现场由招标人或监督人随机抽取一个 K 值，并当场公布；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5. n1 为去掉最高有效评标价的数量，n2 为去掉最低有效评标价的数量（n1、n2 的取值组内各标段分别抽取）。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n1、n2 的取值方法：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当 N＜6 时，n1、n2 均取 0；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当 6≤N＜10，n1、n2 均取 1；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当 N≥10 时，n1 在取值区间 1～M-1 中现场随机抽取，n2 在取值区间 1～M+1 中现场随机抽取，M=N/4，M 去尾取整数。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9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2.2.2（二）</w:t>
            </w:r>
          </w:p>
        </w:tc>
        <w:tc>
          <w:tcPr>
            <w:tcW w:w="12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评标基准价</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计算方法</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二、评标基准价计算方法</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在开标现场，招标人将当场计算并宣布评标基准价。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(1)评标价的确定：评标价=投标函文字报价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 评标基准价的确定：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以下三种评标基准价计算方法，招标人在开标现场随机抽取其中一种方法作为当次招标评标基准价的计算方法，按已抽取的评标基准价计算方法由招标 人或监督人抽取相关计算参数。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评标基准价方法 1（平均值随机系数法）：有效评标价去掉 n1 个最高评标价和 n2 个最低评标价后取平均值，乘以评标基准价系数 K 作为评标基准价 P。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评标基准价方法 2（价差随机系数法）：先去掉 n1 个最高有效评标价和 n2 个最低有效评标价，用剩余有效评标价中最大评标价与最小评标价之差与调整系数乘积加最小评标价作为评标基准价。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P＝（Dmax - Dmin）×Ks +Dmin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式中：Dmax 为去掉 n1 个最高有效评标价后的最大评标价数值。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Dmin 为去掉 n2 个最低有效评标价后的最小评标价数值。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Ks 为随机调整系数：Ks＝（X+Y/10）/10，其中 X、Y 为开标现场随机抽取的两个系数，各设 5 个数值，分别为 2、3、4、5、6。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评标基准价方法 3（随机权重法）：先去掉 n1 个最高有效评标价和 n2 个最低有效评标价后的平均值，用最高投标限价与平均值的权值之和作为评标基准价。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P=D 平均×K1×Q1 + B 上限×K2×Q2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式中：D 平均为去掉 n1 个最高评标价和 n2 个最低评标价后的平均值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B 上限为投标最高限价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K1、K2、Q1、Q2 权重系数：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Q2=1-Q1，Q1 取值范围 30%～70%；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K1 的取值范围为：95%～100%；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K2 的取值范围为(85%+E%)～(90%+E%)，其中 E 为 0 至 5 的自然数，由招标人在编制招标文件时结合项目实际自行选取 E 值后明确 K2 的取值范围。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Q1 值、K1 值、K2 值均在第二信封开标现场随机抽取确定。Q1 取值的步长不大于 1%，K1 和 K2 取值的步长不大于 0.5%。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明确 E=3，明确 K2 的取值范围；Q1 取值的步长现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场从 0.1% 、 0.2% 、 0.3% 、 0.4% 、 0.5% 、 0.6% 、0.7%、0.8%、0.9%、1.0%共 10 个数值中随机抽取；</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K1 和 K2 取值的步长现场从 0.1%、0.2%、0.3%、0.4%、0.5%共 5 个数值中随机抽取。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Q1 值、K1 值、K2 值的抽取，如项目分组招标，对应系数按照组进行抽取；如未分组，对应系数按照标段进行抽取。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招标人应在招标文件中约定高于最高投标限价的投标报价为无效报价，不得参与评标基准价的计算。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基准价必须在开标时现场计算并确定，计算数据均统一采用开标时各投标人的投标报价，除开标时计算错误外，不因第二信封评审否决投标而改变，也不因招标投标当事人异议、投诉以及其它任何情形而改变。评标基准价确定方法中，凡涉及随机抽取工作的，应由监督部门在开标现场予以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4" w:hRule="atLeast"/>
        </w:trPr>
        <w:tc>
          <w:tcPr>
            <w:tcW w:w="9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2.2.3</w:t>
            </w:r>
          </w:p>
        </w:tc>
        <w:tc>
          <w:tcPr>
            <w:tcW w:w="12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评标价的偏差率计算公式</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偏差率=100%×（投标人评标价－评标基准价）/评标基准价</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偏差率保留贰位小数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7" w:hRule="atLeast"/>
        </w:trPr>
        <w:tc>
          <w:tcPr>
            <w:tcW w:w="9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2.2.4</w:t>
            </w:r>
          </w:p>
        </w:tc>
        <w:tc>
          <w:tcPr>
            <w:tcW w:w="12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第二信封</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评标价</w:t>
            </w:r>
          </w:p>
        </w:tc>
        <w:tc>
          <w:tcPr>
            <w:tcW w:w="705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100.00分</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评标价得分计算公式示例:</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（1）如果投标人的评标价&gt;评标基准价,则评标价得分=100-偏差率×100×E1；</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（2）如果投标的人评标价≤评标基准价,则评标价得分=100+偏差率×100×E2；</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其中:E1 是评标价每高于评标基准价一个百分点的扣分值 E1 =2；E2 是评标价每低于评标基准价一个百分点的扣分值 E2 =1。</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投标人的投标价等于评标基准价者得满分(满分为 100 分)，每高于评标基准价一个百 分点扣 2 分,每低于评标基准价一个百分点扣 1 分,中间值按比例内插计算。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8" w:hRule="atLeast"/>
        </w:trPr>
        <w:tc>
          <w:tcPr>
            <w:tcW w:w="929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8329" w:type="dxa"/>
            <w:gridSpan w:val="2"/>
            <w:noWrap w:val="0"/>
            <w:vAlign w:val="top"/>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1、评标办法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本条细化为：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本次评标采用双信封形式合理低价法。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1.1 评标委员会首先对投标文件第一个信封（商务与技术文件）进行初步评审（形式评审与响应性评审、资格评审），通过第一个信封初步评审后的投标文件方可进入第二个信封的开标。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1.2 第二个信封的开标在监督部门的监督下进行，未通过第一个信封初步评审投标人的第二个信封电子文件不予读取。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1.3 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1.4 评标委员会将按照本条第 1 条中确定的先后排序依次推荐第一、第二、第三中标候选人。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1.5 通过第一个信封评审的投标人在 3 个及以上的，招标人将按规定的程序进行第二个信封开标；在对第二个信封进行评审后，有效投标不足 3 个使得投标明显缺乏竞争的，评标委员会可以否决全部投标。评标委员会未否决全部投标的，应当在评标报告中阐明理由并推荐中标候选人。 </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1.6 在评审过程中评标委员会认为投标人有围标串标、哄抬或压低标价谋取中标的嫌疑，评标委员会有权做出废标或重新招标。  </w:t>
            </w:r>
          </w:p>
        </w:tc>
      </w:tr>
    </w:tbl>
    <w:p>
      <w:pPr>
        <w:keepNext w:val="0"/>
        <w:keepLines w:val="0"/>
        <w:pageBreakBefore w:val="0"/>
        <w:widowControl/>
        <w:kinsoku/>
        <w:wordWrap/>
        <w:overflowPunct/>
        <w:topLinePunct w:val="0"/>
        <w:autoSpaceDE/>
        <w:autoSpaceDN/>
        <w:bidi w:val="0"/>
        <w:adjustRightInd/>
        <w:snapToGrid w:val="0"/>
        <w:ind w:firstLine="560" w:firstLineChars="200"/>
        <w:textAlignment w:val="auto"/>
        <w:rPr>
          <w:rFonts w:hint="eastAsia" w:ascii="仿宋" w:hAnsi="仿宋" w:eastAsia="仿宋"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val="0"/>
        <w:ind w:firstLine="420" w:firstLineChars="200"/>
        <w:textAlignment w:val="auto"/>
        <w:rPr>
          <w:rFonts w:ascii="仿宋" w:hAnsi="仿宋" w:eastAsia="仿宋"/>
        </w:rPr>
      </w:pPr>
    </w:p>
    <w:sectPr>
      <w:footerReference r:id="rId3"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F7FBE"/>
    <w:multiLevelType w:val="singleLevel"/>
    <w:tmpl w:val="BC9F7F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MjgwOTJhYzg4MzMxZjZiYzhmNGQ1MWRmMmI1OTgifQ=="/>
  </w:docVars>
  <w:rsids>
    <w:rsidRoot w:val="63A606C9"/>
    <w:rsid w:val="000034A1"/>
    <w:rsid w:val="0003433A"/>
    <w:rsid w:val="000A123F"/>
    <w:rsid w:val="00125D24"/>
    <w:rsid w:val="0015079D"/>
    <w:rsid w:val="001D4773"/>
    <w:rsid w:val="00204408"/>
    <w:rsid w:val="0037634C"/>
    <w:rsid w:val="003D0419"/>
    <w:rsid w:val="003D1D81"/>
    <w:rsid w:val="004A4B7B"/>
    <w:rsid w:val="00516816"/>
    <w:rsid w:val="00517FB1"/>
    <w:rsid w:val="00581CFA"/>
    <w:rsid w:val="005D1EBF"/>
    <w:rsid w:val="005D4069"/>
    <w:rsid w:val="00703998"/>
    <w:rsid w:val="007C6003"/>
    <w:rsid w:val="008B2E3C"/>
    <w:rsid w:val="008C499B"/>
    <w:rsid w:val="008E3424"/>
    <w:rsid w:val="00AD0E31"/>
    <w:rsid w:val="00B233BF"/>
    <w:rsid w:val="00B3410E"/>
    <w:rsid w:val="00B34890"/>
    <w:rsid w:val="00BA4EC8"/>
    <w:rsid w:val="00BB4770"/>
    <w:rsid w:val="00BF1D5A"/>
    <w:rsid w:val="00C223DF"/>
    <w:rsid w:val="00D64ED1"/>
    <w:rsid w:val="00D9374D"/>
    <w:rsid w:val="00EC4A7B"/>
    <w:rsid w:val="00F02105"/>
    <w:rsid w:val="00FA0FA3"/>
    <w:rsid w:val="01163108"/>
    <w:rsid w:val="01722330"/>
    <w:rsid w:val="01A93FA3"/>
    <w:rsid w:val="041D2A27"/>
    <w:rsid w:val="043833BC"/>
    <w:rsid w:val="04966335"/>
    <w:rsid w:val="052120A3"/>
    <w:rsid w:val="054E09BE"/>
    <w:rsid w:val="055C42E1"/>
    <w:rsid w:val="05E2747D"/>
    <w:rsid w:val="06C23411"/>
    <w:rsid w:val="06D65E71"/>
    <w:rsid w:val="070752C8"/>
    <w:rsid w:val="07CF228A"/>
    <w:rsid w:val="08AD067D"/>
    <w:rsid w:val="08E91129"/>
    <w:rsid w:val="08F04266"/>
    <w:rsid w:val="090147FC"/>
    <w:rsid w:val="09AF5A91"/>
    <w:rsid w:val="09C81D53"/>
    <w:rsid w:val="0A434DE7"/>
    <w:rsid w:val="0B6251C3"/>
    <w:rsid w:val="0B6C5E87"/>
    <w:rsid w:val="0CF54541"/>
    <w:rsid w:val="0D046532"/>
    <w:rsid w:val="0D093B48"/>
    <w:rsid w:val="0D6671EC"/>
    <w:rsid w:val="0E0802A4"/>
    <w:rsid w:val="0F152C78"/>
    <w:rsid w:val="0F503CB0"/>
    <w:rsid w:val="104C45AC"/>
    <w:rsid w:val="10AA73F0"/>
    <w:rsid w:val="114F61E9"/>
    <w:rsid w:val="11603F53"/>
    <w:rsid w:val="135D1009"/>
    <w:rsid w:val="140E5EE8"/>
    <w:rsid w:val="1468384A"/>
    <w:rsid w:val="146D70B2"/>
    <w:rsid w:val="146E4BD8"/>
    <w:rsid w:val="14AE3227"/>
    <w:rsid w:val="15A71D70"/>
    <w:rsid w:val="16734728"/>
    <w:rsid w:val="16A91EF8"/>
    <w:rsid w:val="171151D4"/>
    <w:rsid w:val="19453B6A"/>
    <w:rsid w:val="19614D0C"/>
    <w:rsid w:val="197B7B7C"/>
    <w:rsid w:val="198033E4"/>
    <w:rsid w:val="199944A6"/>
    <w:rsid w:val="1AA255DC"/>
    <w:rsid w:val="1C777F77"/>
    <w:rsid w:val="1CB3587E"/>
    <w:rsid w:val="1CFA41E4"/>
    <w:rsid w:val="1D266050"/>
    <w:rsid w:val="1D392227"/>
    <w:rsid w:val="1E3E561C"/>
    <w:rsid w:val="1EDA3596"/>
    <w:rsid w:val="1FA0658E"/>
    <w:rsid w:val="1FDA1374"/>
    <w:rsid w:val="20C242E2"/>
    <w:rsid w:val="20F070A1"/>
    <w:rsid w:val="22B67E76"/>
    <w:rsid w:val="24C42ABE"/>
    <w:rsid w:val="24FA6740"/>
    <w:rsid w:val="25F34F3E"/>
    <w:rsid w:val="264F6618"/>
    <w:rsid w:val="274719E5"/>
    <w:rsid w:val="27BF77CD"/>
    <w:rsid w:val="27D52B4D"/>
    <w:rsid w:val="27DF39CB"/>
    <w:rsid w:val="27EB2370"/>
    <w:rsid w:val="28625282"/>
    <w:rsid w:val="29932CBF"/>
    <w:rsid w:val="29EC23D0"/>
    <w:rsid w:val="2AF87654"/>
    <w:rsid w:val="2B710DDE"/>
    <w:rsid w:val="2B7E174D"/>
    <w:rsid w:val="2CFC0B7C"/>
    <w:rsid w:val="2DFC0FB7"/>
    <w:rsid w:val="2F2D07B2"/>
    <w:rsid w:val="2F8135BA"/>
    <w:rsid w:val="307A46B3"/>
    <w:rsid w:val="30874C00"/>
    <w:rsid w:val="314B0324"/>
    <w:rsid w:val="31505F30"/>
    <w:rsid w:val="32270449"/>
    <w:rsid w:val="325E7BE3"/>
    <w:rsid w:val="34D73CCF"/>
    <w:rsid w:val="351E1519"/>
    <w:rsid w:val="35977693"/>
    <w:rsid w:val="35D955C9"/>
    <w:rsid w:val="35EB3E83"/>
    <w:rsid w:val="36AD2EE7"/>
    <w:rsid w:val="36CB02EB"/>
    <w:rsid w:val="370855A5"/>
    <w:rsid w:val="383A69FC"/>
    <w:rsid w:val="39557D02"/>
    <w:rsid w:val="399E2A97"/>
    <w:rsid w:val="3ADF5417"/>
    <w:rsid w:val="3D7D43BC"/>
    <w:rsid w:val="3DD84CED"/>
    <w:rsid w:val="3E6930BE"/>
    <w:rsid w:val="3F310B59"/>
    <w:rsid w:val="3F5D653A"/>
    <w:rsid w:val="3FEA0D08"/>
    <w:rsid w:val="40E57E4D"/>
    <w:rsid w:val="41557F55"/>
    <w:rsid w:val="42472441"/>
    <w:rsid w:val="424E557E"/>
    <w:rsid w:val="43AF64F0"/>
    <w:rsid w:val="440920A4"/>
    <w:rsid w:val="441A605F"/>
    <w:rsid w:val="45BE6EBE"/>
    <w:rsid w:val="46555E19"/>
    <w:rsid w:val="465D0514"/>
    <w:rsid w:val="46853538"/>
    <w:rsid w:val="46893028"/>
    <w:rsid w:val="46AE1A0E"/>
    <w:rsid w:val="46CF6E7E"/>
    <w:rsid w:val="47867568"/>
    <w:rsid w:val="4796765D"/>
    <w:rsid w:val="498E6BA8"/>
    <w:rsid w:val="4AF91EC3"/>
    <w:rsid w:val="4BF03B4A"/>
    <w:rsid w:val="4C2555A1"/>
    <w:rsid w:val="4CA23096"/>
    <w:rsid w:val="4D491763"/>
    <w:rsid w:val="4D6D5452"/>
    <w:rsid w:val="4EC42650"/>
    <w:rsid w:val="4EFE79D7"/>
    <w:rsid w:val="4FE94B38"/>
    <w:rsid w:val="50642410"/>
    <w:rsid w:val="51E07136"/>
    <w:rsid w:val="525A26FD"/>
    <w:rsid w:val="526B7C2D"/>
    <w:rsid w:val="532A16EF"/>
    <w:rsid w:val="53592617"/>
    <w:rsid w:val="53FB308C"/>
    <w:rsid w:val="584B1779"/>
    <w:rsid w:val="587D7935"/>
    <w:rsid w:val="593F3A1A"/>
    <w:rsid w:val="59A172CA"/>
    <w:rsid w:val="59DB7BE7"/>
    <w:rsid w:val="5A643739"/>
    <w:rsid w:val="5B637E94"/>
    <w:rsid w:val="5D616655"/>
    <w:rsid w:val="5D651824"/>
    <w:rsid w:val="5D891708"/>
    <w:rsid w:val="5DD21301"/>
    <w:rsid w:val="5E2A4C99"/>
    <w:rsid w:val="6005151A"/>
    <w:rsid w:val="60C211B9"/>
    <w:rsid w:val="612D484A"/>
    <w:rsid w:val="615732CC"/>
    <w:rsid w:val="63A606C9"/>
    <w:rsid w:val="64686FCC"/>
    <w:rsid w:val="65006754"/>
    <w:rsid w:val="66613222"/>
    <w:rsid w:val="673559EF"/>
    <w:rsid w:val="67AE06E9"/>
    <w:rsid w:val="67B471FC"/>
    <w:rsid w:val="684D1CB0"/>
    <w:rsid w:val="689C6793"/>
    <w:rsid w:val="68AF64C7"/>
    <w:rsid w:val="691106ED"/>
    <w:rsid w:val="692F585A"/>
    <w:rsid w:val="6A5D01A4"/>
    <w:rsid w:val="6AEB3A02"/>
    <w:rsid w:val="6C4E5FF7"/>
    <w:rsid w:val="6C5C0714"/>
    <w:rsid w:val="6C8C6B1F"/>
    <w:rsid w:val="6D8048D6"/>
    <w:rsid w:val="6FF670D1"/>
    <w:rsid w:val="703A5210"/>
    <w:rsid w:val="70473489"/>
    <w:rsid w:val="70A97C9F"/>
    <w:rsid w:val="70C90342"/>
    <w:rsid w:val="717A163C"/>
    <w:rsid w:val="71B52674"/>
    <w:rsid w:val="71B66B18"/>
    <w:rsid w:val="72155D12"/>
    <w:rsid w:val="723B0B8C"/>
    <w:rsid w:val="72C519BA"/>
    <w:rsid w:val="72CC5EC7"/>
    <w:rsid w:val="734B3290"/>
    <w:rsid w:val="73A429A0"/>
    <w:rsid w:val="75C13CDD"/>
    <w:rsid w:val="760442A1"/>
    <w:rsid w:val="77043E82"/>
    <w:rsid w:val="771B5D78"/>
    <w:rsid w:val="7720494C"/>
    <w:rsid w:val="783B1B25"/>
    <w:rsid w:val="78736567"/>
    <w:rsid w:val="78AF2E46"/>
    <w:rsid w:val="78B10039"/>
    <w:rsid w:val="78CB541D"/>
    <w:rsid w:val="78EC1071"/>
    <w:rsid w:val="795310F0"/>
    <w:rsid w:val="7C386FB6"/>
    <w:rsid w:val="7C767542"/>
    <w:rsid w:val="7D16490F"/>
    <w:rsid w:val="7D230DDA"/>
    <w:rsid w:val="7DC75C09"/>
    <w:rsid w:val="7E9C3249"/>
    <w:rsid w:val="7F032C71"/>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3" w:lineRule="auto"/>
      <w:outlineLvl w:val="2"/>
    </w:pPr>
    <w:rPr>
      <w:b/>
      <w:sz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widowControl w:val="0"/>
      <w:spacing w:line="360" w:lineRule="auto"/>
      <w:ind w:left="420" w:leftChars="200" w:firstLine="640" w:firstLineChars="200"/>
      <w:jc w:val="both"/>
    </w:pPr>
    <w:rPr>
      <w:rFonts w:ascii="宋体" w:hAnsi="宋体" w:eastAsia="宋体" w:cs="Times New Roman"/>
      <w:kern w:val="2"/>
      <w:sz w:val="24"/>
      <w:szCs w:val="24"/>
      <w:lang w:val="en-US" w:eastAsia="zh-CN" w:bidi="ar-SA"/>
    </w:rPr>
  </w:style>
  <w:style w:type="paragraph" w:styleId="5">
    <w:name w:val="Normal Indent"/>
    <w:basedOn w:val="1"/>
    <w:qFormat/>
    <w:uiPriority w:val="0"/>
    <w:pPr>
      <w:ind w:firstLine="420" w:firstLineChars="200"/>
    </w:pPr>
  </w:style>
  <w:style w:type="paragraph" w:styleId="6">
    <w:name w:val="Body Text"/>
    <w:basedOn w:val="1"/>
    <w:next w:val="1"/>
    <w:link w:val="28"/>
    <w:qFormat/>
    <w:uiPriority w:val="0"/>
    <w:pPr>
      <w:spacing w:after="12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next w:val="1"/>
    <w:link w:val="26"/>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515"/>
      </w:tabs>
      <w:spacing w:line="360" w:lineRule="auto"/>
    </w:pPr>
  </w:style>
  <w:style w:type="paragraph" w:styleId="10">
    <w:name w:val="footnote text"/>
    <w:basedOn w:val="1"/>
    <w:qFormat/>
    <w:uiPriority w:val="0"/>
    <w:pPr>
      <w:snapToGrid w:val="0"/>
      <w:jc w:val="left"/>
    </w:pPr>
    <w:rPr>
      <w:sz w:val="18"/>
      <w:szCs w:val="18"/>
    </w:rPr>
  </w:style>
  <w:style w:type="character" w:styleId="13">
    <w:name w:val="footnote reference"/>
    <w:qFormat/>
    <w:uiPriority w:val="0"/>
    <w:rPr>
      <w:vertAlign w:val="superscript"/>
    </w:rPr>
  </w:style>
  <w:style w:type="paragraph" w:customStyle="1" w:styleId="14">
    <w:name w:val="A居中标题"/>
    <w:basedOn w:val="1"/>
    <w:qFormat/>
    <w:uiPriority w:val="0"/>
    <w:pPr>
      <w:spacing w:before="100" w:beforeLines="100" w:after="100" w:afterLines="100" w:line="360" w:lineRule="auto"/>
      <w:jc w:val="center"/>
    </w:pPr>
    <w:rPr>
      <w:rFonts w:ascii="宋体" w:hAnsi="宋体" w:eastAsia="宋体"/>
      <w:b/>
      <w:bCs/>
      <w:kern w:val="0"/>
      <w:sz w:val="32"/>
      <w:szCs w:val="32"/>
    </w:rPr>
  </w:style>
  <w:style w:type="paragraph" w:customStyle="1" w:styleId="15">
    <w:name w:val="Normal_0"/>
    <w:qFormat/>
    <w:uiPriority w:val="0"/>
    <w:rPr>
      <w:rFonts w:ascii="Times New Roman" w:hAnsi="Times New Roman" w:eastAsia="Times New Roman" w:cs="Times New Roman"/>
      <w:sz w:val="24"/>
      <w:szCs w:val="24"/>
      <w:lang w:val="en-US" w:eastAsia="zh-CN" w:bidi="ar-SA"/>
    </w:rPr>
  </w:style>
  <w:style w:type="paragraph" w:styleId="16">
    <w:name w:val="List Paragraph"/>
    <w:basedOn w:val="1"/>
    <w:qFormat/>
    <w:uiPriority w:val="1"/>
    <w:pPr>
      <w:ind w:left="424" w:firstLine="439"/>
    </w:pPr>
  </w:style>
  <w:style w:type="paragraph" w:customStyle="1" w:styleId="17">
    <w:name w:val="最 中间标题"/>
    <w:basedOn w:val="1"/>
    <w:link w:val="24"/>
    <w:qFormat/>
    <w:uiPriority w:val="0"/>
    <w:pPr>
      <w:spacing w:before="100" w:beforeLines="100" w:after="100" w:afterLines="100"/>
      <w:jc w:val="center"/>
    </w:pPr>
    <w:rPr>
      <w:rFonts w:ascii="宋体" w:hAnsi="宋体"/>
      <w:b/>
      <w:bCs/>
      <w:kern w:val="0"/>
      <w:sz w:val="30"/>
      <w:szCs w:val="30"/>
    </w:rPr>
  </w:style>
  <w:style w:type="paragraph" w:customStyle="1" w:styleId="18">
    <w:name w:val="Table Paragraph"/>
    <w:basedOn w:val="1"/>
    <w:qFormat/>
    <w:uiPriority w:val="1"/>
  </w:style>
  <w:style w:type="character" w:customStyle="1" w:styleId="19">
    <w:name w:val="左侧题目 Char"/>
    <w:link w:val="20"/>
    <w:qFormat/>
    <w:uiPriority w:val="0"/>
    <w:rPr>
      <w:rFonts w:ascii="宋体" w:hAnsi="宋体"/>
      <w:b/>
      <w:bCs/>
      <w:kern w:val="0"/>
      <w:sz w:val="28"/>
      <w:szCs w:val="28"/>
    </w:rPr>
  </w:style>
  <w:style w:type="paragraph" w:customStyle="1" w:styleId="20">
    <w:name w:val="左侧题目"/>
    <w:basedOn w:val="1"/>
    <w:link w:val="19"/>
    <w:qFormat/>
    <w:uiPriority w:val="0"/>
    <w:pPr>
      <w:spacing w:before="50" w:beforeLines="50" w:after="50" w:afterLines="50"/>
      <w:jc w:val="left"/>
    </w:pPr>
    <w:rPr>
      <w:rFonts w:ascii="宋体" w:hAnsi="宋体"/>
      <w:b/>
      <w:bCs/>
      <w:kern w:val="0"/>
      <w:sz w:val="28"/>
      <w:szCs w:val="28"/>
    </w:rPr>
  </w:style>
  <w:style w:type="paragraph" w:customStyle="1" w:styleId="21">
    <w:name w:val="正文_2"/>
    <w:next w:val="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缩进_1"/>
    <w:basedOn w:val="21"/>
    <w:qFormat/>
    <w:uiPriority w:val="0"/>
    <w:pPr>
      <w:ind w:firstLine="420" w:firstLineChars="200"/>
    </w:p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最 中间标题 Char"/>
    <w:link w:val="17"/>
    <w:qFormat/>
    <w:uiPriority w:val="0"/>
    <w:rPr>
      <w:rFonts w:ascii="宋体" w:hAnsi="宋体"/>
      <w:b/>
      <w:bCs/>
      <w:kern w:val="0"/>
      <w:sz w:val="30"/>
      <w:szCs w:val="30"/>
    </w:rPr>
  </w:style>
  <w:style w:type="paragraph" w:customStyle="1" w:styleId="25">
    <w:name w:val="表中"/>
    <w:basedOn w:val="1"/>
    <w:qFormat/>
    <w:locked/>
    <w:uiPriority w:val="0"/>
    <w:pPr>
      <w:adjustRightInd w:val="0"/>
      <w:snapToGrid w:val="0"/>
      <w:spacing w:line="420" w:lineRule="atLeast"/>
      <w:jc w:val="center"/>
      <w:textAlignment w:val="baseline"/>
    </w:pPr>
    <w:rPr>
      <w:snapToGrid w:val="0"/>
      <w:kern w:val="0"/>
      <w:szCs w:val="20"/>
    </w:rPr>
  </w:style>
  <w:style w:type="character" w:customStyle="1" w:styleId="26">
    <w:name w:val="页眉 字符"/>
    <w:basedOn w:val="12"/>
    <w:link w:val="8"/>
    <w:qFormat/>
    <w:uiPriority w:val="99"/>
    <w:rPr>
      <w:rFonts w:ascii="Calibri" w:hAnsi="Calibri" w:eastAsia="Calibri" w:cs="Times New Roman"/>
      <w:kern w:val="2"/>
      <w:sz w:val="18"/>
      <w:szCs w:val="18"/>
    </w:rPr>
  </w:style>
  <w:style w:type="character" w:customStyle="1" w:styleId="27">
    <w:name w:val="标题 3 字符"/>
    <w:basedOn w:val="12"/>
    <w:link w:val="4"/>
    <w:qFormat/>
    <w:uiPriority w:val="0"/>
    <w:rPr>
      <w:rFonts w:ascii="Calibri" w:hAnsi="Calibri" w:eastAsia="Calibri" w:cs="Times New Roman"/>
      <w:b/>
      <w:kern w:val="2"/>
      <w:sz w:val="32"/>
      <w:szCs w:val="24"/>
    </w:rPr>
  </w:style>
  <w:style w:type="character" w:customStyle="1" w:styleId="28">
    <w:name w:val="正文文本 字符"/>
    <w:basedOn w:val="12"/>
    <w:link w:val="6"/>
    <w:qFormat/>
    <w:uiPriority w:val="0"/>
    <w:rPr>
      <w:rFonts w:ascii="Calibri" w:hAnsi="Calibri" w:eastAsia="Calibri" w:cs="Times New Roman"/>
      <w:kern w:val="2"/>
      <w:sz w:val="21"/>
      <w:szCs w:val="24"/>
    </w:rPr>
  </w:style>
  <w:style w:type="paragraph" w:customStyle="1" w:styleId="29">
    <w:name w:val="Normal_2"/>
    <w:qFormat/>
    <w:uiPriority w:val="0"/>
    <w:rPr>
      <w:rFonts w:ascii="Times New Roman" w:hAnsi="Times New Roman" w:eastAsia="Times New Roman" w:cs="Times New Roman"/>
      <w:sz w:val="24"/>
      <w:szCs w:val="24"/>
      <w:lang w:bidi="ar-SA"/>
    </w:rPr>
  </w:style>
  <w:style w:type="paragraph" w:customStyle="1" w:styleId="30">
    <w:name w:val="CM42"/>
    <w:basedOn w:val="23"/>
    <w:next w:val="23"/>
    <w:qFormat/>
    <w:uiPriority w:val="99"/>
    <w:pPr>
      <w:spacing w:line="400" w:lineRule="atLeast"/>
    </w:pPr>
    <w:rPr>
      <w:rFonts w:ascii="黑体" w:hAnsi="Calibri" w:eastAsia="黑体"/>
      <w:color w:val="auto"/>
    </w:rPr>
  </w:style>
  <w:style w:type="paragraph" w:customStyle="1" w:styleId="31">
    <w:name w:val="CM98"/>
    <w:basedOn w:val="23"/>
    <w:next w:val="23"/>
    <w:qFormat/>
    <w:uiPriority w:val="99"/>
    <w:pPr>
      <w:spacing w:line="400" w:lineRule="atLeast"/>
    </w:pPr>
    <w:rPr>
      <w:rFonts w:ascii="黑体" w:hAnsi="Calibri" w:eastAsia="黑体"/>
      <w:color w:val="auto"/>
    </w:rPr>
  </w:style>
  <w:style w:type="paragraph" w:customStyle="1" w:styleId="32">
    <w:name w:val="CM91"/>
    <w:basedOn w:val="23"/>
    <w:next w:val="23"/>
    <w:qFormat/>
    <w:uiPriority w:val="99"/>
    <w:pPr>
      <w:spacing w:line="398" w:lineRule="atLeast"/>
    </w:pPr>
    <w:rPr>
      <w:rFonts w:ascii="黑体" w:hAnsi="Calibri" w:eastAsia="黑体"/>
      <w:color w:val="auto"/>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7D903-63D3-4975-8BFC-6BAFD333E567}">
  <ds:schemaRefs/>
</ds:datastoreItem>
</file>

<file path=docProps/app.xml><?xml version="1.0" encoding="utf-8"?>
<Properties xmlns="http://schemas.openxmlformats.org/officeDocument/2006/extended-properties" xmlns:vt="http://schemas.openxmlformats.org/officeDocument/2006/docPropsVTypes">
  <Template>Normal</Template>
  <Pages>15</Pages>
  <Words>8732</Words>
  <Characters>9324</Characters>
  <Lines>8</Lines>
  <Paragraphs>25</Paragraphs>
  <TotalTime>0</TotalTime>
  <ScaleCrop>false</ScaleCrop>
  <LinksUpToDate>false</LinksUpToDate>
  <CharactersWithSpaces>9848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2022-04-10T07:29:00Z</dcterms:created>
  <dc:creator>愛_妃</dc:creator>
  <cp:lastModifiedBy>Mille tendresse</cp:lastModifiedBy>
  <dcterms:modified xsi:type="dcterms:W3CDTF">2023-03-29T12:10:10Z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72507B8562524C12AE31D33CDC7EBEF7</vt:lpwstr>
  </property>
</Properties>
</file>