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73" w:line="360" w:lineRule="auto"/>
        <w:ind w:right="-237" w:rightChars="-113"/>
        <w:jc w:val="center"/>
        <w:textAlignment w:val="baseline"/>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宁夏公路管理中心石嘴山分中心2023年第一批桥梁养护工程</w:t>
      </w:r>
    </w:p>
    <w:p>
      <w:pPr>
        <w:keepNext w:val="0"/>
        <w:keepLines w:val="0"/>
        <w:pageBreakBefore w:val="0"/>
        <w:widowControl/>
        <w:kinsoku w:val="0"/>
        <w:wordWrap/>
        <w:overflowPunct/>
        <w:topLinePunct w:val="0"/>
        <w:autoSpaceDE w:val="0"/>
        <w:autoSpaceDN w:val="0"/>
        <w:bidi w:val="0"/>
        <w:adjustRightInd w:val="0"/>
        <w:snapToGrid w:val="0"/>
        <w:spacing w:before="173" w:line="360" w:lineRule="auto"/>
        <w:ind w:right="-237" w:rightChars="-113"/>
        <w:jc w:val="center"/>
        <w:textAlignment w:val="baseline"/>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关键内容</w:t>
      </w:r>
    </w:p>
    <w:p>
      <w:pPr>
        <w:keepNext w:val="0"/>
        <w:keepLines w:val="0"/>
        <w:pageBreakBefore w:val="0"/>
        <w:widowControl/>
        <w:kinsoku w:val="0"/>
        <w:wordWrap/>
        <w:overflowPunct/>
        <w:topLinePunct w:val="0"/>
        <w:autoSpaceDE w:val="0"/>
        <w:autoSpaceDN w:val="0"/>
        <w:bidi w:val="0"/>
        <w:adjustRightInd w:val="0"/>
        <w:snapToGrid w:val="0"/>
        <w:spacing w:before="173" w:line="360" w:lineRule="auto"/>
        <w:ind w:right="-237" w:rightChars="-113"/>
        <w:jc w:val="left"/>
        <w:textAlignment w:val="baseline"/>
        <w:rPr>
          <w:rFonts w:hint="eastAsia"/>
          <w:lang w:val="en-US" w:eastAsia="zh-CN"/>
        </w:rPr>
      </w:pPr>
      <w:r>
        <w:rPr>
          <w:rFonts w:hint="eastAsia" w:ascii="宋体" w:hAnsi="宋体" w:eastAsia="宋体" w:cs="宋体"/>
          <w:b/>
          <w:bCs/>
          <w:color w:val="000000"/>
          <w:kern w:val="0"/>
          <w:sz w:val="32"/>
          <w:szCs w:val="32"/>
          <w:lang w:val="en-US" w:eastAsia="zh-CN" w:bidi="ar"/>
        </w:rPr>
        <w:t>一、项目概况</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both"/>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本次招标项目包含两项养护工程：1.G110线K1179+647开元桥预防养护工程，本项目位于石嘴山市大武口区，公路等级为二级公路，设计速度60km/h, 桥梁设计荷载等级为公路-I级，桥梁整体评定为2类。主要工程量为铣刨重铺桥面4cm细粒式AC-13C型SBS改性沥青混凝土8433.6㎡，小箱梁梁底涂抹5mm环氧砂浆2410.7㎡，更换支座30个，喷涂水性漆防腐2787.9㎡,维修泄水孔108个，热熔型标线431.4㎡等。</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both"/>
        <w:textAlignment w:val="baseline"/>
        <w:rPr>
          <w:rFonts w:hint="default"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4"/>
          <w:szCs w:val="24"/>
          <w:highlight w:val="none"/>
          <w:lang w:val="en-US" w:eastAsia="zh-CN"/>
        </w:rPr>
        <w:t>2.S303线K15+219姚伏东桥拆除新建工程，本项目位于石嘴山市平罗县，原桥为2-5.5m钢筋混凝土简支梁桥，全长16.5m, 设计荷载等级为汽车-20级，将原桥拆除后，新建2-10m装配式预应力混凝土简支空心板桥，同时对桥头两侧引道进行渐变、顺接处理并完善交安设施。桥梁全长20.84m,净宽为22m, 全宽23m,下部结构采用柱式墩、柱式台，钻孔灌注桩基础，汽车荷载等级公路I级。主要工程量为新建2-10m装配式预应力混凝土简支空心板桥1座，路基填方384m³，路基挖方2762m³，路面工程4584㎡, 交通标志10块，热熔标线312.6㎡。</w:t>
      </w:r>
    </w:p>
    <w:p>
      <w:pPr>
        <w:bidi w:val="0"/>
        <w:rPr>
          <w:rFonts w:hint="eastAsia"/>
          <w:lang w:val="en-US" w:eastAsia="zh-CN"/>
        </w:rPr>
      </w:pPr>
    </w:p>
    <w:p>
      <w:pPr>
        <w:keepNext w:val="0"/>
        <w:keepLines w:val="0"/>
        <w:widowControl/>
        <w:numPr>
          <w:ilvl w:val="0"/>
          <w:numId w:val="0"/>
        </w:numPr>
        <w:suppressLineNumbers w:val="0"/>
        <w:spacing w:line="360" w:lineRule="auto"/>
        <w:ind w:leftChars="-95" w:right="-168" w:rightChars="-80"/>
        <w:jc w:val="both"/>
        <w:outlineLvl w:val="0"/>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 xml:space="preserve">二、对投标人的全部资格条件要求 </w:t>
      </w:r>
    </w:p>
    <w:p>
      <w:pPr>
        <w:pStyle w:val="2"/>
        <w:spacing w:line="360" w:lineRule="auto"/>
        <w:ind w:left="0" w:leftChars="0" w:firstLine="480" w:firstLineChars="200"/>
        <w:rPr>
          <w:rFonts w:hint="eastAsia" w:ascii="宋体" w:hAnsi="宋体" w:eastAsia="宋体" w:cs="宋体"/>
          <w:b w:val="0"/>
          <w:bCs w:val="0"/>
          <w:snapToGrid w:val="0"/>
          <w:color w:val="000000"/>
          <w:kern w:val="0"/>
          <w:sz w:val="24"/>
          <w:szCs w:val="24"/>
          <w:lang w:val="en-US" w:eastAsia="zh-CN" w:bidi="ar"/>
        </w:rPr>
      </w:pPr>
      <w:r>
        <w:rPr>
          <w:rFonts w:hint="eastAsia" w:ascii="宋体" w:hAnsi="宋体" w:eastAsia="宋体" w:cs="宋体"/>
          <w:b w:val="0"/>
          <w:bCs w:val="0"/>
          <w:snapToGrid w:val="0"/>
          <w:color w:val="000000"/>
          <w:kern w:val="0"/>
          <w:sz w:val="24"/>
          <w:szCs w:val="24"/>
          <w:lang w:val="en-US" w:eastAsia="zh-CN" w:bidi="ar"/>
        </w:rPr>
        <w:t xml:space="preserve">详见招标公告。 </w:t>
      </w:r>
    </w:p>
    <w:p>
      <w:pPr>
        <w:keepNext w:val="0"/>
        <w:keepLines w:val="0"/>
        <w:widowControl/>
        <w:numPr>
          <w:ilvl w:val="0"/>
          <w:numId w:val="1"/>
        </w:numPr>
        <w:suppressLineNumbers w:val="0"/>
        <w:spacing w:line="360" w:lineRule="auto"/>
        <w:ind w:leftChars="-95" w:right="-168" w:rightChars="-80"/>
        <w:jc w:val="both"/>
        <w:outlineLvl w:val="0"/>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资格审查办法</w:t>
      </w:r>
      <w:bookmarkStart w:id="0" w:name="_Toc20133"/>
    </w:p>
    <w:p>
      <w:pPr>
        <w:bidi w:val="0"/>
        <w:jc w:val="center"/>
        <w:outlineLvl w:val="1"/>
        <w:rPr>
          <w:rFonts w:hint="eastAsia" w:asciiTheme="minorEastAsia" w:hAnsiTheme="minorEastAsia" w:eastAsiaTheme="minorEastAsia" w:cstheme="minorEastAsia"/>
          <w:color w:val="auto"/>
          <w:sz w:val="24"/>
          <w:szCs w:val="24"/>
          <w:highlight w:val="none"/>
        </w:rPr>
      </w:pPr>
      <w:bookmarkStart w:id="1" w:name="_Toc17580"/>
      <w:r>
        <w:rPr>
          <w:rFonts w:hint="eastAsia" w:asciiTheme="minorEastAsia" w:hAnsiTheme="minorEastAsia" w:eastAsiaTheme="minorEastAsia" w:cstheme="minorEastAsia"/>
          <w:color w:val="auto"/>
          <w:sz w:val="24"/>
          <w:szCs w:val="24"/>
          <w:highlight w:val="none"/>
        </w:rPr>
        <w:t>附录 1 资格审查条件(资质最低条件)</w:t>
      </w:r>
      <w:bookmarkEnd w:id="1"/>
    </w:p>
    <w:p>
      <w:pPr>
        <w:rPr>
          <w:rFonts w:hint="eastAsia" w:asciiTheme="minorEastAsia" w:hAnsiTheme="minorEastAsia" w:eastAsiaTheme="minorEastAsia" w:cstheme="minorEastAsia"/>
          <w:color w:val="auto"/>
          <w:sz w:val="24"/>
          <w:szCs w:val="24"/>
          <w:highlight w:val="none"/>
        </w:rPr>
      </w:pPr>
    </w:p>
    <w:p>
      <w:pPr>
        <w:spacing w:line="192" w:lineRule="exact"/>
        <w:rPr>
          <w:rFonts w:hint="eastAsia" w:asciiTheme="minorEastAsia" w:hAnsiTheme="minorEastAsia" w:eastAsiaTheme="minorEastAsia" w:cstheme="minorEastAsia"/>
          <w:color w:val="auto"/>
          <w:sz w:val="24"/>
          <w:szCs w:val="24"/>
          <w:highlight w:val="none"/>
        </w:rPr>
      </w:pPr>
    </w:p>
    <w:tbl>
      <w:tblPr>
        <w:tblStyle w:val="9"/>
        <w:tblW w:w="958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5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9582" w:type="dxa"/>
            <w:noWrap w:val="0"/>
            <w:vAlign w:val="center"/>
          </w:tcPr>
          <w:p>
            <w:pPr>
              <w:spacing w:before="16" w:line="189"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施工企业资质等级要求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5" w:hRule="atLeast"/>
        </w:trPr>
        <w:tc>
          <w:tcPr>
            <w:tcW w:w="9582" w:type="dxa"/>
            <w:noWrap w:val="0"/>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1.投标人具有法人或其他组织资格；持有工商行政管理部门核发的有效企业营业执照或事业单位法人证书或社会团体法人登记证书；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snapToGrid w:val="0"/>
                <w:color w:val="auto"/>
                <w:kern w:val="0"/>
                <w:sz w:val="24"/>
                <w:szCs w:val="24"/>
                <w:highlight w:val="none"/>
                <w:lang w:val="en-US" w:eastAsia="zh-CN" w:bidi="ar"/>
              </w:rPr>
              <w:t>具有交通运输主管部门颁发的桥梁养护乙级及以上资质，或同时具备公路养护工程一类和二类乙级资质证书且在有效期内；</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3.具备建设行政主管部门颁发的有效安全生产许可证；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4.投标人应在人员、设备、资金等方面具有相应的施工能力。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2" w:hRule="atLeast"/>
        </w:trPr>
        <w:tc>
          <w:tcPr>
            <w:tcW w:w="9582" w:type="dxa"/>
            <w:noWrap w:val="0"/>
            <w:vAlign w:val="top"/>
          </w:tcPr>
          <w:p>
            <w:pPr>
              <w:keepNext w:val="0"/>
              <w:keepLines w:val="0"/>
              <w:widowControl/>
              <w:suppressLineNumbers w:val="0"/>
              <w:spacing w:line="360" w:lineRule="auto"/>
              <w:jc w:val="left"/>
              <w:rPr>
                <w:rFonts w:hint="eastAsia" w:asciiTheme="minorEastAsia" w:hAnsiTheme="minorEastAsia" w:eastAsiaTheme="minorEastAsia" w:cstheme="minorEastAsia"/>
                <w:snapToGrid w:val="0"/>
                <w:color w:val="auto"/>
                <w:kern w:val="0"/>
                <w:sz w:val="24"/>
                <w:szCs w:val="24"/>
                <w:highlight w:val="none"/>
                <w:lang w:val="en-US" w:eastAsia="zh-CN" w:bidi="ar"/>
              </w:rPr>
            </w:pPr>
            <w:r>
              <w:rPr>
                <w:rFonts w:hint="eastAsia" w:asciiTheme="minorEastAsia" w:hAnsiTheme="minorEastAsia" w:eastAsiaTheme="minorEastAsia" w:cstheme="minorEastAsia"/>
                <w:snapToGrid w:val="0"/>
                <w:color w:val="auto"/>
                <w:kern w:val="0"/>
                <w:sz w:val="24"/>
                <w:szCs w:val="24"/>
                <w:highlight w:val="none"/>
                <w:lang w:val="en-US" w:eastAsia="zh-CN" w:bidi="ar"/>
              </w:rPr>
              <w:t xml:space="preserve">注：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
              </w:rPr>
            </w:pPr>
            <w:r>
              <w:rPr>
                <w:rFonts w:hint="eastAsia" w:asciiTheme="minorEastAsia" w:hAnsiTheme="minorEastAsia" w:eastAsiaTheme="minorEastAsia" w:cstheme="minorEastAsia"/>
                <w:snapToGrid w:val="0"/>
                <w:color w:val="auto"/>
                <w:kern w:val="0"/>
                <w:sz w:val="24"/>
                <w:szCs w:val="24"/>
                <w:highlight w:val="none"/>
                <w:lang w:val="en-US" w:eastAsia="zh-CN" w:bidi="ar"/>
              </w:rPr>
              <w:t xml:space="preserve">修改补充投标人须知正文第 3.5.1 项：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
              </w:rPr>
            </w:pPr>
            <w:r>
              <w:rPr>
                <w:rFonts w:hint="eastAsia" w:asciiTheme="minorEastAsia" w:hAnsiTheme="minorEastAsia" w:eastAsiaTheme="minorEastAsia" w:cstheme="minorEastAsia"/>
                <w:snapToGrid w:val="0"/>
                <w:color w:val="auto"/>
                <w:kern w:val="0"/>
                <w:sz w:val="24"/>
                <w:szCs w:val="24"/>
                <w:highlight w:val="none"/>
                <w:lang w:val="en-US" w:eastAsia="zh-CN" w:bidi="ar"/>
              </w:rPr>
              <w:t xml:space="preserve">（1）“投标人基本情况表”应附企业营业执照或事业单位法人证书或社会团体法人登记证书和组织机构代码证（按照“三证合一”或“五证合一”登记制度进行登记的，可仅提供营业执照，下同）、施工资质证书、安全生产许可证、基本账户开户银行提供的开户或账户信息证明的彩色影印件。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
              </w:rPr>
            </w:pPr>
            <w:r>
              <w:rPr>
                <w:rFonts w:hint="eastAsia" w:asciiTheme="minorEastAsia" w:hAnsiTheme="minorEastAsia" w:eastAsiaTheme="minorEastAsia" w:cstheme="minorEastAsia"/>
                <w:snapToGrid w:val="0"/>
                <w:color w:val="auto"/>
                <w:kern w:val="0"/>
                <w:sz w:val="24"/>
                <w:szCs w:val="24"/>
                <w:highlight w:val="none"/>
                <w:lang w:val="en-US" w:eastAsia="zh-CN" w:bidi="ar"/>
              </w:rPr>
              <w:t xml:space="preserve">（2）企业营业执照或事业单位法人证书或社会团体法人登记证书和组织机构代码证、施工资质证书、安全生产许可证的彩色影印件应提供全本（证书封面、封底、空白页除外），应包括投标人名称、投标人其他相关信息、颁发机构名称、投标人信息变更情况等关键页在内。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
              </w:rPr>
            </w:pPr>
            <w:r>
              <w:rPr>
                <w:rFonts w:hint="eastAsia" w:asciiTheme="minorEastAsia" w:hAnsiTheme="minorEastAsia" w:eastAsiaTheme="minorEastAsia" w:cstheme="minorEastAsia"/>
                <w:snapToGrid w:val="0"/>
                <w:color w:val="auto"/>
                <w:kern w:val="0"/>
                <w:sz w:val="24"/>
                <w:szCs w:val="24"/>
                <w:highlight w:val="none"/>
                <w:lang w:val="en-US" w:eastAsia="zh-CN" w:bidi="ar"/>
              </w:rPr>
              <w:t xml:space="preserve">（3）对于法人发生重组或变更的投标人，应在投标文件中提供附有法人重组或变更时相关部门的合法批件、变更时的企业法人营业执照和资质证书的变更记录的彩色影印件。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
              </w:rPr>
            </w:pPr>
            <w:r>
              <w:rPr>
                <w:rFonts w:hint="eastAsia" w:asciiTheme="minorEastAsia" w:hAnsiTheme="minorEastAsia" w:eastAsiaTheme="minorEastAsia" w:cstheme="minorEastAsia"/>
                <w:snapToGrid w:val="0"/>
                <w:color w:val="auto"/>
                <w:kern w:val="0"/>
                <w:sz w:val="24"/>
                <w:szCs w:val="24"/>
                <w:highlight w:val="none"/>
                <w:lang w:val="en-US" w:eastAsia="zh-CN" w:bidi="ar"/>
              </w:rPr>
              <w:t xml:space="preserve">（4）根据《交通运输部关于取消一批证明事项的决定》（交法规[2020]1号）文件规定，投标人无须提供在国家企业信用信息公示系统中基础信息（体现股东及出资详细信息）的网页截图或由法定的社会验资机构出具的验资报告或注册地工商部门出具的股东出资情况证明彩色影印件。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bidi="ar"/>
              </w:rPr>
              <w:t>（5）招标文件中其他地方与此处不一致时，以此处为准。</w:t>
            </w:r>
          </w:p>
        </w:tc>
      </w:tr>
    </w:tbl>
    <w:p>
      <w:pPr>
        <w:spacing w:line="284" w:lineRule="auto"/>
        <w:rPr>
          <w:rFonts w:hint="eastAsia" w:asciiTheme="minorEastAsia" w:hAnsiTheme="minorEastAsia" w:eastAsiaTheme="minorEastAsia" w:cstheme="minorEastAsia"/>
          <w:color w:val="auto"/>
          <w:sz w:val="24"/>
          <w:szCs w:val="24"/>
          <w:highlight w:val="none"/>
        </w:rPr>
        <w:sectPr>
          <w:headerReference r:id="rId5" w:type="default"/>
          <w:footerReference r:id="rId6" w:type="default"/>
          <w:pgSz w:w="11910" w:h="16845"/>
          <w:pgMar w:top="964" w:right="1066" w:bottom="1061" w:left="1246" w:header="0" w:footer="944" w:gutter="0"/>
          <w:pgNumType w:fmt="decimal"/>
          <w:cols w:space="720" w:num="1"/>
        </w:sectPr>
      </w:pPr>
    </w:p>
    <w:p>
      <w:pPr>
        <w:spacing w:before="75" w:line="181" w:lineRule="auto"/>
        <w:ind w:firstLine="2985"/>
        <w:outlineLvl w:val="1"/>
        <w:rPr>
          <w:rFonts w:hint="eastAsia" w:asciiTheme="minorEastAsia" w:hAnsiTheme="minorEastAsia" w:eastAsiaTheme="minorEastAsia" w:cstheme="minorEastAsia"/>
          <w:color w:val="auto"/>
          <w:sz w:val="24"/>
          <w:szCs w:val="24"/>
          <w:highlight w:val="none"/>
        </w:rPr>
      </w:pPr>
      <w:bookmarkStart w:id="2" w:name="_Toc23661"/>
      <w:bookmarkStart w:id="3" w:name="_Toc28301"/>
      <w:r>
        <w:rPr>
          <w:rFonts w:hint="eastAsia" w:asciiTheme="minorEastAsia" w:hAnsiTheme="minorEastAsia" w:eastAsiaTheme="minorEastAsia" w:cstheme="minorEastAsia"/>
          <w:color w:val="auto"/>
          <w:spacing w:val="5"/>
          <w:sz w:val="24"/>
          <w:szCs w:val="24"/>
          <w:highlight w:val="none"/>
        </w:rPr>
        <w:t>附录</w:t>
      </w:r>
      <w:r>
        <w:rPr>
          <w:rFonts w:hint="eastAsia" w:asciiTheme="minorEastAsia" w:hAnsiTheme="minorEastAsia" w:eastAsiaTheme="minorEastAsia" w:cstheme="minorEastAsia"/>
          <w:color w:val="auto"/>
          <w:spacing w:val="-26"/>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rPr>
        <w:t>2</w:t>
      </w:r>
      <w:r>
        <w:rPr>
          <w:rFonts w:hint="eastAsia" w:asciiTheme="minorEastAsia" w:hAnsiTheme="minorEastAsia" w:eastAsiaTheme="minorEastAsia" w:cstheme="minorEastAsia"/>
          <w:color w:val="auto"/>
          <w:spacing w:val="-14"/>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rPr>
        <w:t>资格审查条件(财务最低要求)</w:t>
      </w:r>
      <w:bookmarkEnd w:id="2"/>
      <w:bookmarkEnd w:id="3"/>
    </w:p>
    <w:p>
      <w:pPr>
        <w:rPr>
          <w:rFonts w:hint="eastAsia" w:asciiTheme="minorEastAsia" w:hAnsiTheme="minorEastAsia" w:eastAsiaTheme="minorEastAsia" w:cstheme="minorEastAsia"/>
          <w:color w:val="auto"/>
          <w:sz w:val="24"/>
          <w:szCs w:val="24"/>
          <w:highlight w:val="none"/>
        </w:rPr>
      </w:pPr>
    </w:p>
    <w:p>
      <w:pPr>
        <w:spacing w:line="192" w:lineRule="exact"/>
        <w:rPr>
          <w:rFonts w:hint="eastAsia" w:asciiTheme="minorEastAsia" w:hAnsiTheme="minorEastAsia" w:eastAsiaTheme="minorEastAsia" w:cstheme="minorEastAsia"/>
          <w:color w:val="auto"/>
          <w:sz w:val="24"/>
          <w:szCs w:val="24"/>
          <w:highlight w:val="none"/>
        </w:rPr>
      </w:pPr>
    </w:p>
    <w:tbl>
      <w:tblPr>
        <w:tblStyle w:val="9"/>
        <w:tblW w:w="958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5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9582" w:type="dxa"/>
            <w:noWrap w:val="0"/>
            <w:vAlign w:val="center"/>
          </w:tcPr>
          <w:p>
            <w:pPr>
              <w:spacing w:before="17" w:line="189"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财务要求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9" w:hRule="atLeast"/>
        </w:trPr>
        <w:tc>
          <w:tcPr>
            <w:tcW w:w="9582"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投标人须提交近三年（2019年－2021年）经审计的财务报表，并满足以下要求：</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1.投标人在近三年（2019年－2021年）每一年度末的流动资产与流动负债比均不小于1。</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2.投标人提供近三年（2019年－2021年）经审计的财务报表。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9" w:hRule="atLeast"/>
        </w:trPr>
        <w:tc>
          <w:tcPr>
            <w:tcW w:w="9582"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注：</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修改补充投标人须知正文第3.5.2项：</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（1）投标人应在投标文件中附近</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年经会计师事务所或审计机构审计的财务会计报表，包括资产负债表、现金流量表、利润表和财务情况说明书的彩色影印件。</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（2）投标人的成立时间少于该年份规定的可以对本项目投标，应提供成立以来的财务状况表，且投标人所提供的财务报表均需满足以上要求。</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（3）投标人如为集团公司，财务会计报表指合并财务会计报表；</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（4）招标文件中其他地方与此处不一致时，以此处为准。</w:t>
            </w:r>
          </w:p>
        </w:tc>
      </w:tr>
    </w:tbl>
    <w:p>
      <w:pPr>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sectPr>
          <w:pgSz w:w="11910" w:h="16845"/>
          <w:pgMar w:top="964" w:right="1066" w:bottom="1061" w:left="1246" w:header="0" w:footer="944" w:gutter="0"/>
          <w:pgNumType w:fmt="decimal"/>
          <w:cols w:space="720" w:num="1"/>
        </w:sectPr>
      </w:pPr>
    </w:p>
    <w:p>
      <w:pPr>
        <w:spacing w:before="75" w:line="181" w:lineRule="auto"/>
        <w:ind w:firstLine="2985"/>
        <w:outlineLvl w:val="1"/>
        <w:rPr>
          <w:rFonts w:hint="eastAsia" w:asciiTheme="minorEastAsia" w:hAnsiTheme="minorEastAsia" w:eastAsiaTheme="minorEastAsia" w:cstheme="minorEastAsia"/>
          <w:color w:val="auto"/>
          <w:sz w:val="24"/>
          <w:szCs w:val="24"/>
          <w:highlight w:val="none"/>
        </w:rPr>
      </w:pPr>
      <w:bookmarkStart w:id="4" w:name="_Toc27930"/>
      <w:bookmarkStart w:id="5" w:name="_Toc32346"/>
      <w:r>
        <w:rPr>
          <w:rFonts w:hint="eastAsia" w:asciiTheme="minorEastAsia" w:hAnsiTheme="minorEastAsia" w:eastAsiaTheme="minorEastAsia" w:cstheme="minorEastAsia"/>
          <w:color w:val="auto"/>
          <w:spacing w:val="5"/>
          <w:sz w:val="24"/>
          <w:szCs w:val="24"/>
          <w:highlight w:val="none"/>
        </w:rPr>
        <w:t>附录</w:t>
      </w:r>
      <w:r>
        <w:rPr>
          <w:rFonts w:hint="eastAsia" w:asciiTheme="minorEastAsia" w:hAnsiTheme="minorEastAsia" w:eastAsiaTheme="minorEastAsia" w:cstheme="minorEastAsia"/>
          <w:color w:val="auto"/>
          <w:spacing w:val="-26"/>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rPr>
        <w:t>3</w:t>
      </w:r>
      <w:r>
        <w:rPr>
          <w:rFonts w:hint="eastAsia" w:asciiTheme="minorEastAsia" w:hAnsiTheme="minorEastAsia" w:eastAsiaTheme="minorEastAsia" w:cstheme="minorEastAsia"/>
          <w:color w:val="auto"/>
          <w:spacing w:val="-14"/>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rPr>
        <w:t>资格审查条件(业绩最低要求)</w:t>
      </w:r>
      <w:bookmarkEnd w:id="4"/>
      <w:bookmarkEnd w:id="5"/>
    </w:p>
    <w:p>
      <w:pPr>
        <w:rPr>
          <w:rFonts w:hint="eastAsia" w:asciiTheme="minorEastAsia" w:hAnsiTheme="minorEastAsia" w:eastAsiaTheme="minorEastAsia" w:cstheme="minorEastAsia"/>
          <w:color w:val="auto"/>
          <w:sz w:val="24"/>
          <w:szCs w:val="24"/>
          <w:highlight w:val="none"/>
        </w:rPr>
      </w:pPr>
    </w:p>
    <w:p>
      <w:pPr>
        <w:spacing w:line="192" w:lineRule="exact"/>
        <w:rPr>
          <w:rFonts w:hint="eastAsia" w:asciiTheme="minorEastAsia" w:hAnsiTheme="minorEastAsia" w:eastAsiaTheme="minorEastAsia" w:cstheme="minorEastAsia"/>
          <w:color w:val="auto"/>
          <w:sz w:val="24"/>
          <w:szCs w:val="24"/>
          <w:highlight w:val="none"/>
        </w:rPr>
      </w:pPr>
    </w:p>
    <w:tbl>
      <w:tblPr>
        <w:tblStyle w:val="9"/>
        <w:tblW w:w="967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6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9672" w:type="dxa"/>
            <w:noWrap w:val="0"/>
            <w:vAlign w:val="center"/>
          </w:tcPr>
          <w:p>
            <w:pPr>
              <w:spacing w:before="16" w:line="189"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业绩要求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9672" w:type="dxa"/>
            <w:noWrap w:val="0"/>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bidi="ar"/>
              </w:rPr>
              <w:t>投标人在近 3 年（2020年</w:t>
            </w:r>
            <w:bookmarkStart w:id="40" w:name="_GoBack"/>
            <w:bookmarkEnd w:id="40"/>
            <w:r>
              <w:rPr>
                <w:rFonts w:hint="eastAsia" w:asciiTheme="minorEastAsia" w:hAnsiTheme="minorEastAsia" w:eastAsiaTheme="minorEastAsia" w:cstheme="minorEastAsia"/>
                <w:snapToGrid w:val="0"/>
                <w:color w:val="auto"/>
                <w:kern w:val="0"/>
                <w:sz w:val="24"/>
                <w:szCs w:val="24"/>
                <w:highlight w:val="none"/>
                <w:lang w:val="en-US" w:eastAsia="zh-CN" w:bidi="ar"/>
              </w:rPr>
              <w:t xml:space="preserve">3月20日至投标截止日，以交工日期为准）至少完成过1个合同额不少于450万元的公路桥梁养护工程施工业绩。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04" w:hRule="atLeast"/>
        </w:trPr>
        <w:tc>
          <w:tcPr>
            <w:tcW w:w="9672" w:type="dxa"/>
            <w:noWrap w:val="0"/>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bidi="ar"/>
              </w:rPr>
              <w:t xml:space="preserve">注：修改补充投标人须知正文第 3.5.3 项：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bidi="ar"/>
              </w:rPr>
              <w:t xml:space="preserve">（1）投标人应按资格审查资料中的表（四）（近年完成的类似项目情况表）填写所提供的业绩，提供的每个业绩均应填写，未按照表（四）（近年完成的类似项目情况表）规定的格式填报的业绩，其业绩审查将不予认可。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bidi="ar"/>
              </w:rPr>
              <w:t xml:space="preserve">（2）投标人填报的业绩必须是在交通运输部“公路建设市场信用信息管理系统”中或省级交通运输主管部门的“公路建设市场信用信息管理系统”中已经登记的并审核通过的业绩，且登记的信息能够反映项目开工时间、工程内容（含公路等级）、桥梁类型及跨径、合同金额、交工日期等内容，投标人应将该业绩所在交通运输主管部门的“公路建设市场信用信息管理系统”的截屏进行打印，并将该截屏附在投标文件中。除网页截图外，投标人无需再提供任何证明材料。若投标人未提供相关项目网页截图，或相关项目网页截图中的信息无法证实投标人满足招标文件规定的资格审查条件（业绩最低要求），则该项目业绩不予认定。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bidi="ar"/>
              </w:rPr>
              <w:t xml:space="preserve">（3）非交通运输部“公路建设市场信用信息管理系统”中或省级交通运输主管部门的“公路建设市场信用信息管理系统”中已经登记的并审核通过的业绩在资格评审中将不予认可。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bidi="ar"/>
              </w:rPr>
              <w:t xml:space="preserve">（4）投标人提供的施工业绩应是以投标人名义签署的合同业绩。其母公司及下属专业单位签署合同的业绩、分包业绩、联合体业绩在资格审查中均不予认可。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bidi="ar"/>
              </w:rPr>
              <w:t xml:space="preserve">（5）投标人提供的业绩达不到附录 3 业绩最低要求的，其资格审查不予通过。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bidi="ar"/>
              </w:rPr>
              <w:t xml:space="preserve">（6）《宁夏回族自治区公路建设与养护市场信用信息管理系统》已正常开启，由于端口号变化，本系统的登录地址变更为：http://222.75.71.73:8081/CISS/main/highway，如投标人需要，请正确登陆。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bidi="ar"/>
              </w:rPr>
              <w:t xml:space="preserve">（7）如部分地区省级交通运输主管部门的“公路建设市场信用信息管理系统”需要登录才可查询业绩的，投标企业必须提供登录账号密码，如不提供导致评标委员会无法查询业绩的，则该项目业绩不予认定。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bidi="ar"/>
              </w:rPr>
              <w:t>（8）招标文件中其他地方与此处不一致时，以此处为准。</w:t>
            </w:r>
          </w:p>
        </w:tc>
      </w:tr>
    </w:tbl>
    <w:p>
      <w:pPr>
        <w:spacing w:line="278" w:lineRule="auto"/>
        <w:rPr>
          <w:rFonts w:hint="eastAsia" w:asciiTheme="minorEastAsia" w:hAnsiTheme="minorEastAsia" w:eastAsiaTheme="minorEastAsia" w:cstheme="minorEastAsia"/>
          <w:color w:val="auto"/>
          <w:sz w:val="24"/>
          <w:szCs w:val="24"/>
          <w:highlight w:val="none"/>
        </w:rPr>
      </w:pPr>
    </w:p>
    <w:p>
      <w:pPr>
        <w:spacing w:line="278" w:lineRule="auto"/>
        <w:rPr>
          <w:rFonts w:hint="eastAsia" w:asciiTheme="minorEastAsia" w:hAnsiTheme="minorEastAsia" w:eastAsiaTheme="minorEastAsia" w:cstheme="minorEastAsia"/>
          <w:color w:val="auto"/>
          <w:sz w:val="24"/>
          <w:szCs w:val="24"/>
          <w:highlight w:val="none"/>
        </w:rPr>
      </w:pPr>
    </w:p>
    <w:p>
      <w:pPr>
        <w:pStyle w:val="6"/>
        <w:rPr>
          <w:rFonts w:hint="eastAsia" w:asciiTheme="minorEastAsia" w:hAnsiTheme="minorEastAsia" w:eastAsiaTheme="minorEastAsia" w:cstheme="minorEastAsia"/>
          <w:color w:val="auto"/>
          <w:sz w:val="24"/>
          <w:szCs w:val="24"/>
          <w:highlight w:val="none"/>
        </w:rPr>
        <w:sectPr>
          <w:headerReference r:id="rId7" w:type="default"/>
          <w:footerReference r:id="rId8" w:type="default"/>
          <w:pgSz w:w="11910" w:h="16845"/>
          <w:pgMar w:top="1134" w:right="1066" w:bottom="1134" w:left="1246" w:header="0" w:footer="944" w:gutter="0"/>
          <w:pgNumType w:fmt="decimal"/>
          <w:cols w:space="720" w:num="1"/>
        </w:sectPr>
      </w:pPr>
    </w:p>
    <w:p>
      <w:pPr>
        <w:spacing w:before="74" w:line="181" w:lineRule="auto"/>
        <w:ind w:firstLine="2925"/>
        <w:outlineLvl w:val="1"/>
        <w:rPr>
          <w:rFonts w:hint="eastAsia" w:asciiTheme="minorEastAsia" w:hAnsiTheme="minorEastAsia" w:eastAsiaTheme="minorEastAsia" w:cstheme="minorEastAsia"/>
          <w:color w:val="auto"/>
          <w:sz w:val="24"/>
          <w:szCs w:val="24"/>
          <w:highlight w:val="none"/>
        </w:rPr>
      </w:pPr>
      <w:bookmarkStart w:id="6" w:name="_Toc10802"/>
      <w:bookmarkStart w:id="7" w:name="_Toc26963"/>
      <w:r>
        <w:rPr>
          <w:rFonts w:hint="eastAsia" w:asciiTheme="minorEastAsia" w:hAnsiTheme="minorEastAsia" w:eastAsiaTheme="minorEastAsia" w:cstheme="minorEastAsia"/>
          <w:color w:val="auto"/>
          <w:spacing w:val="4"/>
          <w:sz w:val="24"/>
          <w:szCs w:val="24"/>
          <w:highlight w:val="none"/>
        </w:rPr>
        <w:t>附录</w:t>
      </w:r>
      <w:r>
        <w:rPr>
          <w:rFonts w:hint="eastAsia" w:asciiTheme="minorEastAsia" w:hAnsiTheme="minorEastAsia" w:eastAsiaTheme="minorEastAsia" w:cstheme="minorEastAsia"/>
          <w:color w:val="auto"/>
          <w:spacing w:val="-23"/>
          <w:sz w:val="24"/>
          <w:szCs w:val="24"/>
          <w:highlight w:val="none"/>
        </w:rPr>
        <w:t xml:space="preserve"> </w:t>
      </w:r>
      <w:r>
        <w:rPr>
          <w:rFonts w:hint="eastAsia" w:asciiTheme="minorEastAsia" w:hAnsiTheme="minorEastAsia" w:eastAsiaTheme="minorEastAsia" w:cstheme="minorEastAsia"/>
          <w:color w:val="auto"/>
          <w:spacing w:val="4"/>
          <w:sz w:val="24"/>
          <w:szCs w:val="24"/>
          <w:highlight w:val="none"/>
        </w:rPr>
        <w:t>4</w:t>
      </w:r>
      <w:r>
        <w:rPr>
          <w:rFonts w:hint="eastAsia" w:asciiTheme="minorEastAsia" w:hAnsiTheme="minorEastAsia" w:eastAsiaTheme="minorEastAsia" w:cstheme="minorEastAsia"/>
          <w:color w:val="auto"/>
          <w:spacing w:val="-14"/>
          <w:sz w:val="24"/>
          <w:szCs w:val="24"/>
          <w:highlight w:val="none"/>
        </w:rPr>
        <w:t xml:space="preserve"> </w:t>
      </w:r>
      <w:r>
        <w:rPr>
          <w:rFonts w:hint="eastAsia" w:asciiTheme="minorEastAsia" w:hAnsiTheme="minorEastAsia" w:eastAsiaTheme="minorEastAsia" w:cstheme="minorEastAsia"/>
          <w:color w:val="auto"/>
          <w:spacing w:val="4"/>
          <w:sz w:val="24"/>
          <w:szCs w:val="24"/>
          <w:highlight w:val="none"/>
        </w:rPr>
        <w:t>资格审查条件(信誉最低要求）</w:t>
      </w:r>
      <w:bookmarkEnd w:id="6"/>
      <w:bookmarkEnd w:id="7"/>
    </w:p>
    <w:p>
      <w:pPr>
        <w:rPr>
          <w:rFonts w:hint="eastAsia" w:asciiTheme="minorEastAsia" w:hAnsiTheme="minorEastAsia" w:eastAsiaTheme="minorEastAsia" w:cstheme="minorEastAsia"/>
          <w:color w:val="auto"/>
          <w:sz w:val="24"/>
          <w:szCs w:val="24"/>
          <w:highlight w:val="none"/>
        </w:rPr>
      </w:pPr>
    </w:p>
    <w:p>
      <w:pPr>
        <w:spacing w:line="192" w:lineRule="exact"/>
        <w:rPr>
          <w:rFonts w:hint="eastAsia" w:asciiTheme="minorEastAsia" w:hAnsiTheme="minorEastAsia" w:eastAsiaTheme="minorEastAsia" w:cstheme="minorEastAsia"/>
          <w:color w:val="auto"/>
          <w:sz w:val="24"/>
          <w:szCs w:val="24"/>
          <w:highlight w:val="none"/>
        </w:rPr>
      </w:pPr>
    </w:p>
    <w:tbl>
      <w:tblPr>
        <w:tblStyle w:val="9"/>
        <w:tblW w:w="979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7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9798" w:type="dxa"/>
            <w:noWrap w:val="0"/>
            <w:vAlign w:val="center"/>
          </w:tcPr>
          <w:p>
            <w:pPr>
              <w:spacing w:before="16" w:line="189" w:lineRule="auto"/>
              <w:ind w:firstLine="4349"/>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信誉要求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72" w:hRule="atLeast"/>
        </w:trPr>
        <w:tc>
          <w:tcPr>
            <w:tcW w:w="9798" w:type="dxa"/>
            <w:noWrap w:val="0"/>
            <w:vAlign w:val="center"/>
          </w:tcPr>
          <w:p>
            <w:pPr>
              <w:bidi w:val="0"/>
              <w:spacing w:line="36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未被交通运输部或宁夏回族自治区交通运输厅取消在宁夏回族自治区投标资格且处于有效期内（以“全国公路建设市场信用信息管理系统、宁夏回族自治区公路建设与养护市场信用信息管理系统”中查询结果为准）； </w:t>
            </w:r>
          </w:p>
          <w:p>
            <w:pPr>
              <w:bidi w:val="0"/>
              <w:spacing w:line="36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2.未被责令停业，暂扣或吊销执照，或吊销资质证书，或吊销安全生产许可证； </w:t>
            </w:r>
          </w:p>
          <w:p>
            <w:pPr>
              <w:bidi w:val="0"/>
              <w:spacing w:line="36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3.未进入清算程序，或被宣告破产，或其他丧失履约能力的情形； </w:t>
            </w:r>
          </w:p>
          <w:p>
            <w:pPr>
              <w:bidi w:val="0"/>
              <w:spacing w:line="36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4.在国家企业信用信息公示系统（http：//www.gsxt.gov.cn/）中未被列入严重违法失信企业名单；（提供网站查询截图） </w:t>
            </w:r>
          </w:p>
          <w:p>
            <w:pPr>
              <w:bidi w:val="0"/>
              <w:spacing w:line="36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5.在“信用中国”（http ：//www.creditchina.gov.cn ）、“信用宁夏”（http ：//credit.nx.gov.cn/）网站中未被列入失信被执行人、企业经营异常名录、重大税收违法案件当事人名单；（提供网站查询截图）  </w:t>
            </w:r>
          </w:p>
          <w:p>
            <w:pPr>
              <w:bidi w:val="0"/>
              <w:spacing w:line="36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6.投标人及其法定代表人、拟委任的项目经理自2020年3月20日以来无行贿犯罪行为；（提供承诺函） </w:t>
            </w:r>
          </w:p>
          <w:p>
            <w:pPr>
              <w:bidi w:val="0"/>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7.不存在法律法规或投标人须知前附表规定的其他不合格情形。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6" w:hRule="atLeast"/>
        </w:trPr>
        <w:tc>
          <w:tcPr>
            <w:tcW w:w="9798" w:type="dxa"/>
            <w:noWrap w:val="0"/>
            <w:vAlign w:val="center"/>
          </w:tcPr>
          <w:p>
            <w:pPr>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注：1.投标人提供“投标人信誉情况表”时，按照以上内容及投标文件格式中的要求提供证明资料。</w:t>
            </w:r>
          </w:p>
          <w:p>
            <w:pPr>
              <w:bidi w:val="0"/>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2.招标文件中其他地方与此处不一致时，以此处为准。</w:t>
            </w:r>
          </w:p>
        </w:tc>
      </w:tr>
    </w:tbl>
    <w:p>
      <w:pPr>
        <w:rPr>
          <w:rFonts w:hint="eastAsia" w:asciiTheme="minorEastAsia" w:hAnsiTheme="minorEastAsia" w:eastAsiaTheme="minorEastAsia" w:cstheme="minorEastAsia"/>
          <w:color w:val="auto"/>
          <w:sz w:val="24"/>
          <w:szCs w:val="24"/>
          <w:highlight w:val="none"/>
        </w:rPr>
        <w:sectPr>
          <w:pgSz w:w="11910" w:h="16845"/>
          <w:pgMar w:top="1134" w:right="1066" w:bottom="1134" w:left="1246" w:header="0" w:footer="944" w:gutter="0"/>
          <w:pgNumType w:fmt="decimal"/>
          <w:cols w:space="720" w:num="1"/>
        </w:sectPr>
      </w:pPr>
    </w:p>
    <w:p>
      <w:pPr>
        <w:spacing w:before="75" w:line="181" w:lineRule="auto"/>
        <w:jc w:val="center"/>
        <w:outlineLvl w:val="1"/>
        <w:rPr>
          <w:rFonts w:hint="eastAsia" w:asciiTheme="minorEastAsia" w:hAnsiTheme="minorEastAsia" w:eastAsiaTheme="minorEastAsia" w:cstheme="minorEastAsia"/>
          <w:color w:val="auto"/>
          <w:sz w:val="24"/>
          <w:szCs w:val="24"/>
          <w:highlight w:val="none"/>
        </w:rPr>
      </w:pPr>
      <w:bookmarkStart w:id="8" w:name="_Toc22401"/>
      <w:bookmarkStart w:id="9" w:name="_Toc1980"/>
      <w:r>
        <w:rPr>
          <w:rFonts w:hint="eastAsia" w:asciiTheme="minorEastAsia" w:hAnsiTheme="minorEastAsia" w:eastAsiaTheme="minorEastAsia" w:cstheme="minorEastAsia"/>
          <w:color w:val="auto"/>
          <w:spacing w:val="6"/>
          <w:sz w:val="24"/>
          <w:szCs w:val="24"/>
          <w:highlight w:val="none"/>
        </w:rPr>
        <w:t>附录</w:t>
      </w:r>
      <w:r>
        <w:rPr>
          <w:rFonts w:hint="eastAsia" w:asciiTheme="minorEastAsia" w:hAnsiTheme="minorEastAsia" w:eastAsiaTheme="minorEastAsia" w:cstheme="minorEastAsia"/>
          <w:color w:val="auto"/>
          <w:spacing w:val="-13"/>
          <w:sz w:val="24"/>
          <w:szCs w:val="24"/>
          <w:highlight w:val="none"/>
        </w:rPr>
        <w:t xml:space="preserve"> </w:t>
      </w:r>
      <w:r>
        <w:rPr>
          <w:rFonts w:hint="eastAsia" w:asciiTheme="minorEastAsia" w:hAnsiTheme="minorEastAsia" w:eastAsiaTheme="minorEastAsia" w:cstheme="minorEastAsia"/>
          <w:color w:val="auto"/>
          <w:spacing w:val="6"/>
          <w:sz w:val="24"/>
          <w:szCs w:val="24"/>
          <w:highlight w:val="none"/>
        </w:rPr>
        <w:t>5</w:t>
      </w:r>
      <w:r>
        <w:rPr>
          <w:rFonts w:hint="eastAsia" w:asciiTheme="minorEastAsia" w:hAnsiTheme="minorEastAsia" w:eastAsiaTheme="minorEastAsia" w:cstheme="minorEastAsia"/>
          <w:color w:val="auto"/>
          <w:spacing w:val="-14"/>
          <w:sz w:val="24"/>
          <w:szCs w:val="24"/>
          <w:highlight w:val="none"/>
        </w:rPr>
        <w:t xml:space="preserve"> </w:t>
      </w:r>
      <w:r>
        <w:rPr>
          <w:rFonts w:hint="eastAsia" w:asciiTheme="minorEastAsia" w:hAnsiTheme="minorEastAsia" w:eastAsiaTheme="minorEastAsia" w:cstheme="minorEastAsia"/>
          <w:color w:val="auto"/>
          <w:spacing w:val="6"/>
          <w:sz w:val="24"/>
          <w:szCs w:val="24"/>
          <w:highlight w:val="none"/>
        </w:rPr>
        <w:t>资格审查条件(项目经理和项目总工最低要求)</w:t>
      </w:r>
      <w:bookmarkEnd w:id="8"/>
      <w:bookmarkEnd w:id="9"/>
    </w:p>
    <w:p>
      <w:pPr>
        <w:rPr>
          <w:rFonts w:hint="eastAsia" w:asciiTheme="minorEastAsia" w:hAnsiTheme="minorEastAsia" w:eastAsiaTheme="minorEastAsia" w:cstheme="minorEastAsia"/>
          <w:color w:val="auto"/>
          <w:sz w:val="24"/>
          <w:szCs w:val="24"/>
          <w:highlight w:val="none"/>
        </w:rPr>
      </w:pPr>
    </w:p>
    <w:p>
      <w:pPr>
        <w:spacing w:line="192" w:lineRule="exact"/>
        <w:rPr>
          <w:rFonts w:hint="eastAsia" w:asciiTheme="minorEastAsia" w:hAnsiTheme="minorEastAsia" w:eastAsiaTheme="minorEastAsia" w:cstheme="minorEastAsia"/>
          <w:color w:val="auto"/>
          <w:sz w:val="24"/>
          <w:szCs w:val="24"/>
          <w:highlight w:val="none"/>
        </w:rPr>
      </w:pPr>
    </w:p>
    <w:tbl>
      <w:tblPr>
        <w:tblStyle w:val="9"/>
        <w:tblW w:w="9506" w:type="dxa"/>
        <w:tblInd w:w="8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6"/>
        <w:gridCol w:w="885"/>
        <w:gridCol w:w="5068"/>
        <w:gridCol w:w="24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7" w:hRule="atLeast"/>
        </w:trPr>
        <w:tc>
          <w:tcPr>
            <w:tcW w:w="1146" w:type="dxa"/>
            <w:noWrap w:val="0"/>
            <w:vAlign w:val="center"/>
          </w:tcPr>
          <w:p>
            <w:pPr>
              <w:spacing w:before="16" w:line="189"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人员</w:t>
            </w:r>
          </w:p>
        </w:tc>
        <w:tc>
          <w:tcPr>
            <w:tcW w:w="885" w:type="dxa"/>
            <w:noWrap w:val="0"/>
            <w:vAlign w:val="center"/>
          </w:tcPr>
          <w:p>
            <w:pPr>
              <w:spacing w:before="16" w:line="189"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数量</w:t>
            </w:r>
          </w:p>
        </w:tc>
        <w:tc>
          <w:tcPr>
            <w:tcW w:w="5068" w:type="dxa"/>
            <w:noWrap w:val="0"/>
            <w:vAlign w:val="center"/>
          </w:tcPr>
          <w:p>
            <w:pPr>
              <w:spacing w:before="16" w:line="189"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资格要求</w:t>
            </w:r>
          </w:p>
        </w:tc>
        <w:tc>
          <w:tcPr>
            <w:tcW w:w="240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6" w:line="189" w:lineRule="auto"/>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在岗要求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6" w:hRule="atLeast"/>
        </w:trPr>
        <w:tc>
          <w:tcPr>
            <w:tcW w:w="1146" w:type="dxa"/>
            <w:noWrap w:val="0"/>
            <w:vAlign w:val="center"/>
          </w:tcPr>
          <w:p>
            <w:pPr>
              <w:spacing w:before="75" w:line="181"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项目经理</w:t>
            </w:r>
          </w:p>
        </w:tc>
        <w:tc>
          <w:tcPr>
            <w:tcW w:w="885" w:type="dxa"/>
            <w:noWrap w:val="0"/>
            <w:vAlign w:val="center"/>
          </w:tcPr>
          <w:p>
            <w:pPr>
              <w:spacing w:before="74" w:line="18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506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5" w:line="360"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具有公路工程相关专业中级及以上职称，并具有住房和城乡建设部颁发的公路工程专业二级及以上注册建造师证，持有交通运输主管部门或建设主管部门颁发的 B 类安全生产考核证书。近三年内（2020年3月20日至投标截止日，以交工日期为准），担任过一个公路桥梁养护工程施工的项目经理（项目负责人）职务（如为项目副经理职务业绩数量至少为2个）。</w:t>
            </w:r>
          </w:p>
        </w:tc>
        <w:tc>
          <w:tcPr>
            <w:tcW w:w="2407" w:type="dxa"/>
            <w:vMerge w:val="restart"/>
            <w:tcBorders>
              <w:bottom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74" w:line="305" w:lineRule="auto"/>
              <w:ind w:right="176"/>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无在岗项目是指：①目前未在其他项目上中标或任职；②在其他项目上中标或已任职，且中标或已任职项目的合同工期与本项目的工期重叠，但本项目中标后能够从该项目上撤离。则投标人必须在本次投标文件中提供书面承诺原件，承诺的内容为上述人员能够从中标项目或已任职项目上撤离。未填写在岗要求或未提供承诺证明材料的，其资格审查不通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36" w:hRule="atLeast"/>
        </w:trPr>
        <w:tc>
          <w:tcPr>
            <w:tcW w:w="1146" w:type="dxa"/>
            <w:noWrap w:val="0"/>
            <w:vAlign w:val="center"/>
          </w:tcPr>
          <w:p>
            <w:pPr>
              <w:spacing w:before="75" w:line="181"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项目总工</w:t>
            </w:r>
          </w:p>
        </w:tc>
        <w:tc>
          <w:tcPr>
            <w:tcW w:w="885" w:type="dxa"/>
            <w:noWrap w:val="0"/>
            <w:vAlign w:val="center"/>
          </w:tcPr>
          <w:p>
            <w:pPr>
              <w:spacing w:before="75" w:line="18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506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具有公路工程相关专业高级职称。近三年内（2020年3月20日至投标截止日，以交工日期为准），担任过一个公路桥梁养护工程施工的项目总工（技术负责人）职务（如为项目副总工职务业绩数量至少为 2个）。</w:t>
            </w:r>
          </w:p>
        </w:tc>
        <w:tc>
          <w:tcPr>
            <w:tcW w:w="2407" w:type="dxa"/>
            <w:vMerge w:val="continue"/>
            <w:tcBorders>
              <w:top w:val="nil"/>
            </w:tcBorders>
            <w:noWrap w:val="0"/>
            <w:vAlign w:val="top"/>
          </w:tcPr>
          <w:p>
            <w:pPr>
              <w:rPr>
                <w:rFonts w:hint="eastAsia" w:asciiTheme="minorEastAsia" w:hAnsiTheme="minorEastAsia" w:eastAsiaTheme="minorEastAsia" w:cstheme="minorEastAsia"/>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1" w:hRule="atLeast"/>
        </w:trPr>
        <w:tc>
          <w:tcPr>
            <w:tcW w:w="9506" w:type="dxa"/>
            <w:gridSpan w:val="4"/>
            <w:noWrap w:val="0"/>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注：修改补充投标人须知正文第3.5.5项：</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（1）投标人应按资格审查资料表（六）拟委任的项目经理和项目总工资历表的格式要求分别填写项目经理和项目总工的资历，还应后附相关资格证明材料的彩色影印件。 </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项目经理须提供的资格证明材料：身份证、职称资格证书、建造师注册证书、安全生产考核合格证书、建造师注册证书及安全生产考核合格证书在政府相关部门网站上公开信息的网页截图、投标人所属社保机构出具的2022年11月至今任意连续3个月社保缴费证明或其他能够证明参加社保的有效证明材料、人员相关业绩的网页截图、在岗撤离承诺书（如需、格式自拟）。 </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项目总工须提供的资格证明材料：身份证、职称资格证书、安全生产考核合格证书、安全生产考核合格证书在政府相关部门网站上公开信息的网页截图、投标人所属社保机构出具的2022年11月至今任意连续3个月社保缴费证明或其他能够证明参加社保的有效证明材料、相关业绩的网页截图、在岗撤离承诺书（如需、格式自拟）。 </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项目经理和项目总工其他要求：必须是在投标人单位参加社会保险的全日制从业人员；注册建造师证书注册的单位必须为投标人，社保缴费单位与投标人名称必须一致；所有证件需清楚地反映有效期、年检情况及单位变更情况信息（如有）；所附人员的各类证书、证照以及各种证明材料中该人员的姓名应完全一致（除曾用名）。 </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5）人员相关业绩的网页截图要求：人员业绩应附在交通运输部或省级交通运输主管部门“公路建设市场信用信息管理系统”中已经登记并审核通过的且能够证明项目经理和项目总工具有相关业绩的网页截图。除网页截图外，投标人无须再提供任何业绩证明材料。如投标人未提供相关业绩网页截图或相关业绩网页截图中的信息无法证实投标人满足项目经理和项目总工最低要求，则该业绩不予认定。非交通运输部或省级交通运输主管部门的“公路建设市场信用信息管理系统”中已经登记的并审核通过的业绩在资格评审中将不予认可。如部分地区省级交通运输主管部门的“公路建设市场信用信息管理系统”需要登录才可查询业绩的，投标企业必须提供登录账号密码，如不提供导致评标委员会无法查询业绩的，则该项目业绩不予认定。 </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6）在评审过程中招标人将通过网上核实投标人所提供的网页截图的内容、建造师注册证书、安全生产考核合格证书等相关信息，核实后如发现投标人提供的网页截图、信息与招标人核实的内容不一致的，或投标人提供虚假截屏信息的，招标人将视为该投标文件不符合招标文件的规定，在资格评审中不予通过。 </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7）投标人对投标文件中拟委任的项目经理、项目总工是否在岗必须如实填报，在评标过程中或公示期间，若招标人收到有关反映投标人项目经理、项目总工有在岗项目的投诉，招标人一经查实将认定为失信投标行为，取消其中标资格。 </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（8）招标文件中其他地方与此处不一致时，以此处为准。</w:t>
            </w:r>
          </w:p>
        </w:tc>
      </w:tr>
    </w:tbl>
    <w:p>
      <w:pPr>
        <w:numPr>
          <w:ilvl w:val="0"/>
          <w:numId w:val="0"/>
        </w:numPr>
        <w:bidi w:val="0"/>
      </w:pPr>
    </w:p>
    <w:bookmarkEnd w:id="0"/>
    <w:p>
      <w:pPr>
        <w:keepNext w:val="0"/>
        <w:keepLines w:val="0"/>
        <w:widowControl/>
        <w:numPr>
          <w:ilvl w:val="0"/>
          <w:numId w:val="0"/>
        </w:numPr>
        <w:suppressLineNumbers w:val="0"/>
        <w:spacing w:line="360" w:lineRule="auto"/>
        <w:ind w:leftChars="-95" w:right="-168" w:rightChars="-80"/>
        <w:jc w:val="both"/>
        <w:outlineLvl w:val="0"/>
        <w:rPr>
          <w:rFonts w:hint="eastAsia" w:ascii="宋体" w:hAnsi="宋体" w:eastAsia="宋体" w:cs="宋体"/>
          <w:b/>
          <w:bCs/>
          <w:color w:val="000000"/>
          <w:kern w:val="0"/>
          <w:sz w:val="32"/>
          <w:szCs w:val="32"/>
          <w:lang w:val="en-US" w:eastAsia="zh-CN" w:bidi="ar"/>
        </w:rPr>
        <w:sectPr>
          <w:headerReference r:id="rId9" w:type="default"/>
          <w:footerReference r:id="rId10" w:type="default"/>
          <w:pgSz w:w="11907" w:h="16841"/>
          <w:pgMar w:top="850" w:right="1134" w:bottom="850" w:left="1134" w:header="883" w:footer="922" w:gutter="0"/>
          <w:pgNumType w:fmt="decimal"/>
          <w:cols w:space="720" w:num="1"/>
        </w:sectPr>
      </w:pPr>
      <w:bookmarkStart w:id="10" w:name="_bookmark6"/>
      <w:bookmarkEnd w:id="10"/>
      <w:bookmarkStart w:id="11" w:name="_bookmark5"/>
      <w:bookmarkEnd w:id="11"/>
      <w:bookmarkStart w:id="12" w:name="_bookmark4"/>
      <w:bookmarkEnd w:id="12"/>
      <w:bookmarkStart w:id="13" w:name="_bookmark7"/>
      <w:bookmarkEnd w:id="13"/>
    </w:p>
    <w:p>
      <w:pPr>
        <w:keepNext w:val="0"/>
        <w:keepLines w:val="0"/>
        <w:widowControl/>
        <w:numPr>
          <w:ilvl w:val="0"/>
          <w:numId w:val="0"/>
        </w:numPr>
        <w:suppressLineNumbers w:val="0"/>
        <w:spacing w:line="360" w:lineRule="auto"/>
        <w:ind w:leftChars="-95" w:right="-168" w:rightChars="-80"/>
        <w:jc w:val="both"/>
        <w:outlineLvl w:val="0"/>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四、评标办法全文</w:t>
      </w:r>
    </w:p>
    <w:p>
      <w:pPr>
        <w:spacing w:line="240" w:lineRule="auto"/>
        <w:ind w:firstLine="122"/>
        <w:jc w:val="center"/>
        <w:outlineLvl w:val="2"/>
        <w:rPr>
          <w:rFonts w:ascii="宋体" w:hAnsi="宋体" w:eastAsia="宋体" w:cs="宋体"/>
          <w:sz w:val="14"/>
          <w:szCs w:val="14"/>
        </w:rPr>
      </w:pPr>
      <w:bookmarkStart w:id="14" w:name="_Toc3189"/>
      <w:bookmarkStart w:id="15" w:name="_Toc29314"/>
      <w:bookmarkStart w:id="16" w:name="_Toc7377"/>
      <w:r>
        <w:rPr>
          <w:rFonts w:ascii="黑体" w:hAnsi="黑体" w:eastAsia="黑体" w:cs="黑体"/>
          <w:spacing w:val="-1"/>
          <w:sz w:val="28"/>
          <w:szCs w:val="28"/>
        </w:rPr>
        <w:t>评标办法前附表</w:t>
      </w:r>
      <w:bookmarkEnd w:id="14"/>
      <w:bookmarkEnd w:id="15"/>
      <w:bookmarkEnd w:id="16"/>
    </w:p>
    <w:p/>
    <w:p>
      <w:pPr>
        <w:spacing w:line="19" w:lineRule="exact"/>
      </w:pPr>
    </w:p>
    <w:tbl>
      <w:tblPr>
        <w:tblStyle w:val="9"/>
        <w:tblW w:w="88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3"/>
        <w:gridCol w:w="1501"/>
        <w:gridCol w:w="63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2514" w:type="dxa"/>
            <w:gridSpan w:val="2"/>
            <w:noWrap w:val="0"/>
            <w:vAlign w:val="top"/>
          </w:tcPr>
          <w:p>
            <w:pPr>
              <w:spacing w:before="122" w:line="186" w:lineRule="auto"/>
              <w:ind w:firstLine="68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条款号</w:t>
            </w:r>
          </w:p>
        </w:tc>
        <w:tc>
          <w:tcPr>
            <w:tcW w:w="6384" w:type="dxa"/>
            <w:noWrap w:val="0"/>
            <w:vAlign w:val="top"/>
          </w:tcPr>
          <w:p>
            <w:pPr>
              <w:spacing w:before="122" w:line="186" w:lineRule="auto"/>
              <w:ind w:firstLine="250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评审因素与评审标准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1013" w:type="dxa"/>
            <w:noWrap w:val="0"/>
            <w:vAlign w:val="center"/>
          </w:tcPr>
          <w:p>
            <w:pPr>
              <w:spacing w:before="60"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501" w:type="dxa"/>
            <w:noWrap w:val="0"/>
            <w:vAlign w:val="center"/>
          </w:tcPr>
          <w:p>
            <w:pPr>
              <w:spacing w:before="69"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评标方法</w:t>
            </w:r>
          </w:p>
        </w:tc>
        <w:tc>
          <w:tcPr>
            <w:tcW w:w="6384" w:type="dxa"/>
            <w:noWrap w:val="0"/>
            <w:vAlign w:val="top"/>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评标价得分</w:t>
            </w:r>
            <w:r>
              <w:rPr>
                <w:rFonts w:hint="eastAsia" w:asciiTheme="minorEastAsia" w:hAnsiTheme="minorEastAsia" w:eastAsiaTheme="minorEastAsia" w:cstheme="minorEastAsia"/>
                <w:color w:val="auto"/>
                <w:sz w:val="24"/>
                <w:szCs w:val="24"/>
                <w:highlight w:val="none"/>
              </w:rPr>
              <w:t xml:space="preserve">相等时，评标委员会依次按照以下优先顺序推荐中标候选人或确定中标人： </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（1）评标价低的投标人优先； </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202</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年度被宁夏交通运输厅评为较高信用等级的投标人优先：以《自治区交通运输厅关于公布2021年度宁夏公路建设与养护市场从业单位及从业人员信用评价结果的通知》（宁夏回族自治区交通运输厅官网202</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日发布）文件中（公路养护工程施工企业）的信用评价等级为准；</w:t>
            </w:r>
          </w:p>
          <w:p>
            <w:pPr>
              <w:numPr>
                <w:ilvl w:val="0"/>
                <w:numId w:val="0"/>
              </w:numPr>
              <w:bidi w:val="0"/>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由评标委员会根据施工组织设计的编制情况投票确定其推荐排序。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1013" w:type="dxa"/>
            <w:noWrap w:val="0"/>
            <w:vAlign w:val="top"/>
          </w:tcPr>
          <w:p>
            <w:pPr>
              <w:spacing w:line="250" w:lineRule="auto"/>
              <w:rPr>
                <w:rFonts w:hint="eastAsia" w:asciiTheme="minorEastAsia" w:hAnsiTheme="minorEastAsia" w:eastAsiaTheme="minorEastAsia" w:cstheme="minorEastAsia"/>
                <w:color w:val="auto"/>
                <w:sz w:val="24"/>
                <w:szCs w:val="24"/>
                <w:highlight w:val="none"/>
              </w:rPr>
            </w:pPr>
          </w:p>
          <w:p>
            <w:pPr>
              <w:spacing w:line="250" w:lineRule="auto"/>
              <w:rPr>
                <w:rFonts w:hint="eastAsia" w:asciiTheme="minorEastAsia" w:hAnsiTheme="minorEastAsia" w:eastAsiaTheme="minorEastAsia" w:cstheme="minorEastAsia"/>
                <w:color w:val="auto"/>
                <w:sz w:val="24"/>
                <w:szCs w:val="24"/>
                <w:highlight w:val="none"/>
              </w:rPr>
            </w:pPr>
          </w:p>
          <w:p>
            <w:pPr>
              <w:spacing w:line="250" w:lineRule="auto"/>
              <w:rPr>
                <w:rFonts w:hint="eastAsia" w:asciiTheme="minorEastAsia" w:hAnsiTheme="minorEastAsia" w:eastAsiaTheme="minorEastAsia" w:cstheme="minorEastAsia"/>
                <w:color w:val="auto"/>
                <w:sz w:val="24"/>
                <w:szCs w:val="24"/>
                <w:highlight w:val="none"/>
              </w:rPr>
            </w:pPr>
          </w:p>
          <w:p>
            <w:pPr>
              <w:spacing w:line="251" w:lineRule="auto"/>
              <w:rPr>
                <w:rFonts w:hint="eastAsia" w:asciiTheme="minorEastAsia" w:hAnsiTheme="minorEastAsia" w:eastAsiaTheme="minorEastAsia" w:cstheme="minorEastAsia"/>
                <w:color w:val="auto"/>
                <w:sz w:val="24"/>
                <w:szCs w:val="24"/>
                <w:highlight w:val="none"/>
              </w:rPr>
            </w:pPr>
          </w:p>
          <w:p>
            <w:pPr>
              <w:spacing w:line="251" w:lineRule="auto"/>
              <w:rPr>
                <w:rFonts w:hint="eastAsia" w:asciiTheme="minorEastAsia" w:hAnsiTheme="minorEastAsia" w:eastAsiaTheme="minorEastAsia" w:cstheme="minorEastAsia"/>
                <w:color w:val="auto"/>
                <w:sz w:val="24"/>
                <w:szCs w:val="24"/>
                <w:highlight w:val="none"/>
              </w:rPr>
            </w:pPr>
          </w:p>
          <w:p>
            <w:pPr>
              <w:spacing w:line="251" w:lineRule="auto"/>
              <w:rPr>
                <w:rFonts w:hint="eastAsia" w:asciiTheme="minorEastAsia" w:hAnsiTheme="minorEastAsia" w:eastAsiaTheme="minorEastAsia" w:cstheme="minorEastAsia"/>
                <w:color w:val="auto"/>
                <w:sz w:val="24"/>
                <w:szCs w:val="24"/>
                <w:highlight w:val="none"/>
              </w:rPr>
            </w:pPr>
          </w:p>
          <w:p>
            <w:pPr>
              <w:spacing w:line="251" w:lineRule="auto"/>
              <w:rPr>
                <w:rFonts w:hint="eastAsia" w:asciiTheme="minorEastAsia" w:hAnsiTheme="minorEastAsia" w:eastAsiaTheme="minorEastAsia" w:cstheme="minorEastAsia"/>
                <w:color w:val="auto"/>
                <w:sz w:val="24"/>
                <w:szCs w:val="24"/>
                <w:highlight w:val="none"/>
              </w:rPr>
            </w:pPr>
          </w:p>
          <w:p>
            <w:pPr>
              <w:spacing w:line="251" w:lineRule="auto"/>
              <w:rPr>
                <w:rFonts w:hint="eastAsia" w:asciiTheme="minorEastAsia" w:hAnsiTheme="minorEastAsia" w:eastAsiaTheme="minorEastAsia" w:cstheme="minorEastAsia"/>
                <w:color w:val="auto"/>
                <w:sz w:val="24"/>
                <w:szCs w:val="24"/>
                <w:highlight w:val="none"/>
              </w:rPr>
            </w:pPr>
          </w:p>
          <w:p>
            <w:pPr>
              <w:spacing w:line="251" w:lineRule="auto"/>
              <w:rPr>
                <w:rFonts w:hint="eastAsia" w:asciiTheme="minorEastAsia" w:hAnsiTheme="minorEastAsia" w:eastAsiaTheme="minorEastAsia" w:cstheme="minorEastAsia"/>
                <w:color w:val="auto"/>
                <w:sz w:val="24"/>
                <w:szCs w:val="24"/>
                <w:highlight w:val="none"/>
              </w:rPr>
            </w:pPr>
          </w:p>
          <w:p>
            <w:pPr>
              <w:spacing w:line="251" w:lineRule="auto"/>
              <w:rPr>
                <w:rFonts w:hint="eastAsia" w:asciiTheme="minorEastAsia" w:hAnsiTheme="minorEastAsia" w:eastAsiaTheme="minorEastAsia" w:cstheme="minorEastAsia"/>
                <w:color w:val="auto"/>
                <w:sz w:val="24"/>
                <w:szCs w:val="24"/>
                <w:highlight w:val="none"/>
              </w:rPr>
            </w:pPr>
          </w:p>
          <w:p>
            <w:pPr>
              <w:spacing w:line="251" w:lineRule="auto"/>
              <w:rPr>
                <w:rFonts w:hint="eastAsia" w:asciiTheme="minorEastAsia" w:hAnsiTheme="minorEastAsia" w:eastAsiaTheme="minorEastAsia" w:cstheme="minorEastAsia"/>
                <w:color w:val="auto"/>
                <w:sz w:val="24"/>
                <w:szCs w:val="24"/>
                <w:highlight w:val="none"/>
              </w:rPr>
            </w:pPr>
          </w:p>
          <w:p>
            <w:pPr>
              <w:spacing w:line="251" w:lineRule="auto"/>
              <w:rPr>
                <w:rFonts w:hint="eastAsia" w:asciiTheme="minorEastAsia" w:hAnsiTheme="minorEastAsia" w:eastAsiaTheme="minorEastAsia" w:cstheme="minorEastAsia"/>
                <w:color w:val="auto"/>
                <w:sz w:val="24"/>
                <w:szCs w:val="24"/>
                <w:highlight w:val="none"/>
              </w:rPr>
            </w:pPr>
          </w:p>
          <w:p>
            <w:pPr>
              <w:spacing w:line="251" w:lineRule="auto"/>
              <w:rPr>
                <w:rFonts w:hint="eastAsia" w:asciiTheme="minorEastAsia" w:hAnsiTheme="minorEastAsia" w:eastAsiaTheme="minorEastAsia" w:cstheme="minorEastAsia"/>
                <w:color w:val="auto"/>
                <w:sz w:val="24"/>
                <w:szCs w:val="24"/>
                <w:highlight w:val="none"/>
              </w:rPr>
            </w:pPr>
          </w:p>
          <w:p>
            <w:pPr>
              <w:spacing w:before="60" w:line="360" w:lineRule="exact"/>
              <w:ind w:firstLine="15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position w:val="13"/>
                <w:sz w:val="24"/>
                <w:szCs w:val="24"/>
                <w:highlight w:val="none"/>
              </w:rPr>
              <w:t>2.1.1</w:t>
            </w:r>
          </w:p>
          <w:p>
            <w:pPr>
              <w:spacing w:line="204" w:lineRule="auto"/>
              <w:ind w:firstLine="157"/>
              <w:rPr>
                <w:rFonts w:hint="eastAsia" w:asciiTheme="minorEastAsia" w:hAnsiTheme="minorEastAsia" w:eastAsiaTheme="minorEastAsia" w:cstheme="minorEastAsia"/>
                <w:color w:val="auto"/>
                <w:sz w:val="24"/>
                <w:szCs w:val="24"/>
                <w:highlight w:val="none"/>
              </w:rPr>
            </w:pPr>
          </w:p>
        </w:tc>
        <w:tc>
          <w:tcPr>
            <w:tcW w:w="1501" w:type="dxa"/>
            <w:noWrap w:val="0"/>
            <w:vAlign w:val="top"/>
          </w:tcPr>
          <w:p>
            <w:pPr>
              <w:spacing w:line="254" w:lineRule="auto"/>
              <w:rPr>
                <w:rFonts w:hint="eastAsia" w:asciiTheme="minorEastAsia" w:hAnsiTheme="minorEastAsia" w:eastAsiaTheme="minorEastAsia" w:cstheme="minorEastAsia"/>
                <w:color w:val="auto"/>
                <w:sz w:val="24"/>
                <w:szCs w:val="24"/>
                <w:highlight w:val="none"/>
              </w:rPr>
            </w:pPr>
          </w:p>
          <w:p>
            <w:pPr>
              <w:spacing w:line="254" w:lineRule="auto"/>
              <w:rPr>
                <w:rFonts w:hint="eastAsia" w:asciiTheme="minorEastAsia" w:hAnsiTheme="minorEastAsia" w:eastAsiaTheme="minorEastAsia" w:cstheme="minorEastAsia"/>
                <w:color w:val="auto"/>
                <w:sz w:val="24"/>
                <w:szCs w:val="24"/>
                <w:highlight w:val="none"/>
              </w:rPr>
            </w:pPr>
          </w:p>
          <w:p>
            <w:pPr>
              <w:spacing w:line="254" w:lineRule="auto"/>
              <w:rPr>
                <w:rFonts w:hint="eastAsia" w:asciiTheme="minorEastAsia" w:hAnsiTheme="minorEastAsia" w:eastAsiaTheme="minorEastAsia" w:cstheme="minorEastAsia"/>
                <w:color w:val="auto"/>
                <w:sz w:val="24"/>
                <w:szCs w:val="24"/>
                <w:highlight w:val="none"/>
              </w:rPr>
            </w:pPr>
          </w:p>
          <w:p>
            <w:pPr>
              <w:spacing w:line="254" w:lineRule="auto"/>
              <w:rPr>
                <w:rFonts w:hint="eastAsia" w:asciiTheme="minorEastAsia" w:hAnsiTheme="minorEastAsia" w:eastAsiaTheme="minorEastAsia" w:cstheme="minorEastAsia"/>
                <w:color w:val="auto"/>
                <w:sz w:val="24"/>
                <w:szCs w:val="24"/>
                <w:highlight w:val="none"/>
              </w:rPr>
            </w:pPr>
          </w:p>
          <w:p>
            <w:pPr>
              <w:spacing w:line="254" w:lineRule="auto"/>
              <w:rPr>
                <w:rFonts w:hint="eastAsia" w:asciiTheme="minorEastAsia" w:hAnsiTheme="minorEastAsia" w:eastAsiaTheme="minorEastAsia" w:cstheme="minorEastAsia"/>
                <w:color w:val="auto"/>
                <w:sz w:val="24"/>
                <w:szCs w:val="24"/>
                <w:highlight w:val="none"/>
              </w:rPr>
            </w:pPr>
          </w:p>
          <w:p>
            <w:pPr>
              <w:spacing w:line="254" w:lineRule="auto"/>
              <w:rPr>
                <w:rFonts w:hint="eastAsia" w:asciiTheme="minorEastAsia" w:hAnsiTheme="minorEastAsia" w:eastAsiaTheme="minorEastAsia" w:cstheme="minorEastAsia"/>
                <w:color w:val="auto"/>
                <w:sz w:val="24"/>
                <w:szCs w:val="24"/>
                <w:highlight w:val="none"/>
              </w:rPr>
            </w:pPr>
          </w:p>
          <w:p>
            <w:pPr>
              <w:spacing w:line="254" w:lineRule="auto"/>
              <w:rPr>
                <w:rFonts w:hint="eastAsia" w:asciiTheme="minorEastAsia" w:hAnsiTheme="minorEastAsia" w:eastAsiaTheme="minorEastAsia" w:cstheme="minorEastAsia"/>
                <w:color w:val="auto"/>
                <w:sz w:val="24"/>
                <w:szCs w:val="24"/>
                <w:highlight w:val="none"/>
              </w:rPr>
            </w:pPr>
          </w:p>
          <w:p>
            <w:pPr>
              <w:spacing w:line="255" w:lineRule="auto"/>
              <w:rPr>
                <w:rFonts w:hint="eastAsia" w:asciiTheme="minorEastAsia" w:hAnsiTheme="minorEastAsia" w:eastAsiaTheme="minorEastAsia" w:cstheme="minorEastAsia"/>
                <w:color w:val="auto"/>
                <w:sz w:val="24"/>
                <w:szCs w:val="24"/>
                <w:highlight w:val="none"/>
              </w:rPr>
            </w:pPr>
          </w:p>
          <w:p>
            <w:pPr>
              <w:spacing w:line="255" w:lineRule="auto"/>
              <w:rPr>
                <w:rFonts w:hint="eastAsia" w:asciiTheme="minorEastAsia" w:hAnsiTheme="minorEastAsia" w:eastAsiaTheme="minorEastAsia" w:cstheme="minorEastAsia"/>
                <w:color w:val="auto"/>
                <w:sz w:val="24"/>
                <w:szCs w:val="24"/>
                <w:highlight w:val="none"/>
              </w:rPr>
            </w:pPr>
          </w:p>
          <w:p>
            <w:pPr>
              <w:spacing w:line="255" w:lineRule="auto"/>
              <w:rPr>
                <w:rFonts w:hint="eastAsia" w:asciiTheme="minorEastAsia" w:hAnsiTheme="minorEastAsia" w:eastAsiaTheme="minorEastAsia" w:cstheme="minorEastAsia"/>
                <w:color w:val="auto"/>
                <w:sz w:val="24"/>
                <w:szCs w:val="24"/>
                <w:highlight w:val="none"/>
              </w:rPr>
            </w:pPr>
          </w:p>
          <w:p>
            <w:pPr>
              <w:spacing w:line="255" w:lineRule="auto"/>
              <w:rPr>
                <w:rFonts w:hint="eastAsia" w:asciiTheme="minorEastAsia" w:hAnsiTheme="minorEastAsia" w:eastAsiaTheme="minorEastAsia" w:cstheme="minorEastAsia"/>
                <w:color w:val="auto"/>
                <w:sz w:val="24"/>
                <w:szCs w:val="24"/>
                <w:highlight w:val="none"/>
              </w:rPr>
            </w:pPr>
          </w:p>
          <w:p>
            <w:pPr>
              <w:spacing w:line="255" w:lineRule="auto"/>
              <w:rPr>
                <w:rFonts w:hint="eastAsia" w:asciiTheme="minorEastAsia" w:hAnsiTheme="minorEastAsia" w:eastAsiaTheme="minorEastAsia" w:cstheme="minorEastAsia"/>
                <w:color w:val="auto"/>
                <w:sz w:val="24"/>
                <w:szCs w:val="24"/>
                <w:highlight w:val="none"/>
              </w:rPr>
            </w:pPr>
          </w:p>
          <w:p>
            <w:pPr>
              <w:spacing w:before="69" w:line="316" w:lineRule="auto"/>
              <w:ind w:left="213" w:right="208" w:firstLine="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形式评审</w:t>
            </w:r>
            <w:r>
              <w:rPr>
                <w:rFonts w:hint="eastAsia" w:asciiTheme="minorEastAsia" w:hAnsiTheme="minorEastAsia" w:eastAsiaTheme="minorEastAsia" w:cstheme="minorEastAsia"/>
                <w:color w:val="auto"/>
                <w:spacing w:val="3"/>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rPr>
              <w:t>与响应性</w:t>
            </w:r>
            <w:r>
              <w:rPr>
                <w:rFonts w:hint="eastAsia" w:asciiTheme="minorEastAsia" w:hAnsiTheme="minorEastAsia" w:eastAsiaTheme="minorEastAsia" w:cstheme="minorEastAsia"/>
                <w:color w:val="auto"/>
                <w:spacing w:val="3"/>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rPr>
              <w:t>评审标准</w:t>
            </w:r>
          </w:p>
        </w:tc>
        <w:tc>
          <w:tcPr>
            <w:tcW w:w="6384" w:type="dxa"/>
            <w:noWrap w:val="0"/>
            <w:vAlign w:val="top"/>
          </w:tcPr>
          <w:p>
            <w:pPr>
              <w:pStyle w:val="6"/>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第一个信封（商务及技术文件）评审标准：</w:t>
            </w:r>
          </w:p>
          <w:p>
            <w:pPr>
              <w:pStyle w:val="6"/>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(1)投标文件按照招标文件规定的格式、内容填写，字迹清晰可辨：</w:t>
            </w:r>
          </w:p>
          <w:p>
            <w:pPr>
              <w:pStyle w:val="6"/>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a.投标函按招标文件规定填报了项目名称、</w:t>
            </w:r>
            <w:r>
              <w:rPr>
                <w:rFonts w:hint="eastAsia" w:asciiTheme="minorEastAsia" w:hAnsiTheme="minorEastAsia" w:eastAsiaTheme="minorEastAsia" w:cstheme="minorEastAsia"/>
                <w:color w:val="auto"/>
                <w:sz w:val="24"/>
                <w:szCs w:val="24"/>
                <w:highlight w:val="none"/>
                <w:lang w:eastAsia="zh-CN"/>
              </w:rPr>
              <w:t>标段号</w:t>
            </w:r>
            <w:r>
              <w:rPr>
                <w:rFonts w:hint="eastAsia" w:asciiTheme="minorEastAsia" w:hAnsiTheme="minorEastAsia" w:eastAsiaTheme="minorEastAsia" w:cstheme="minorEastAsia"/>
                <w:color w:val="auto"/>
                <w:sz w:val="24"/>
                <w:szCs w:val="24"/>
                <w:highlight w:val="none"/>
              </w:rPr>
              <w:t>、补遗书编号（如有）、工期、工程质量要求、安全目标等；</w:t>
            </w:r>
          </w:p>
          <w:p>
            <w:pPr>
              <w:pStyle w:val="6"/>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b.投标函附录的所有内容和数据均符合招标文件规定；</w:t>
            </w:r>
          </w:p>
          <w:p>
            <w:pPr>
              <w:pStyle w:val="6"/>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c.投标文件中有承诺函、规范投标行为承诺函、使用农民工承诺等内容，其内容文字与招标文件规定一致，未进行修改和删减且签字盖章齐全；</w:t>
            </w:r>
          </w:p>
          <w:p>
            <w:pPr>
              <w:pStyle w:val="6"/>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d.按照招标文件规定的格式、内容编制了施工组织设计及项目管理机构相关图表；</w:t>
            </w:r>
          </w:p>
          <w:p>
            <w:pPr>
              <w:numPr>
                <w:ilvl w:val="0"/>
                <w:numId w:val="0"/>
              </w:numPr>
              <w:bidi w:val="0"/>
              <w:spacing w:line="360" w:lineRule="auto"/>
              <w:ind w:leftChars="0" w:right="0" w:right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e.投标文件组成齐全完整，内容均按规定填写，按招标文件规定的形式装订。</w:t>
            </w:r>
          </w:p>
          <w:p>
            <w:pPr>
              <w:pStyle w:val="6"/>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(2)投标文件上法定代表人或其授权代理人的签字、投标人的单位章盖章齐全，符合招标文件规定。</w:t>
            </w:r>
          </w:p>
          <w:p>
            <w:pPr>
              <w:pStyle w:val="6"/>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(3)投标人按照招标文件的规定提供了投标保证金：</w:t>
            </w:r>
          </w:p>
          <w:p>
            <w:pPr>
              <w:pStyle w:val="6"/>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a.投标保证金金额符合招标文件规定的金额，且投标保证金有效期不少于投标有效期；</w:t>
            </w:r>
          </w:p>
          <w:p>
            <w:pPr>
              <w:pStyle w:val="6"/>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b.若投标保证金采用现金或支票形式提交，投标人应在递交投标文件截止时间之前，将投标保证金由投标人的基本账户转入招标人指定账户；</w:t>
            </w:r>
          </w:p>
          <w:p>
            <w:pPr>
              <w:pStyle w:val="6"/>
              <w:spacing w:line="36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c.若投标保证金采用保函形式提交，保函的格式、开具保函的银行、保函的有效期均满足招标文件要求，且递交投标文件截止时间之前向招标人单独密封提交了保函原件。</w:t>
            </w:r>
          </w:p>
          <w:p>
            <w:pPr>
              <w:pStyle w:val="6"/>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(4)投标人法定代表人授权代理人签署投标文件的，需提交授权委托书，且授权人和被授权人均在授权委托书上亲笔签名。</w:t>
            </w:r>
          </w:p>
          <w:p>
            <w:pPr>
              <w:pStyle w:val="6"/>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(5)投标人法定代表人亲自签署投标文件的，提供了法定代表人身份证明，且法定代表人在法定代表人身份证明上签名。</w:t>
            </w:r>
          </w:p>
          <w:p>
            <w:pPr>
              <w:pStyle w:val="6"/>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(6)本项目不接受联合体投标。</w:t>
            </w:r>
          </w:p>
          <w:p>
            <w:pPr>
              <w:pStyle w:val="6"/>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(7)本项目不允许分包。</w:t>
            </w:r>
          </w:p>
          <w:p>
            <w:pPr>
              <w:pStyle w:val="6"/>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(8)同一投标人未提交两个以上不同的投标文件。</w:t>
            </w:r>
          </w:p>
          <w:p>
            <w:pPr>
              <w:pStyle w:val="6"/>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(9)投标文件中未出现有关投标报价的内容。</w:t>
            </w:r>
          </w:p>
          <w:p>
            <w:pPr>
              <w:pStyle w:val="6"/>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(10)投标文件载明的招标项目完成期限未超过招标文件规定的时限。</w:t>
            </w:r>
          </w:p>
          <w:p>
            <w:pPr>
              <w:pStyle w:val="6"/>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(11)投标文件对招标文件的实质性要求和条件作出了响应。</w:t>
            </w:r>
          </w:p>
          <w:p>
            <w:pPr>
              <w:pStyle w:val="6"/>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(12)权利义务符合招标文件规定：</w:t>
            </w:r>
          </w:p>
          <w:p>
            <w:pPr>
              <w:pStyle w:val="6"/>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a.投标人应接受招标文件规定的风险划分原则，未提出新的风险划分办法；</w:t>
            </w:r>
          </w:p>
          <w:p>
            <w:pPr>
              <w:pStyle w:val="6"/>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b.投标人未增加发包人的责任范围，或减少投标人义务；</w:t>
            </w:r>
          </w:p>
          <w:p>
            <w:pPr>
              <w:pStyle w:val="6"/>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c.投标人未提出不同的工程验收、计量、支付办法；</w:t>
            </w:r>
          </w:p>
          <w:p>
            <w:pPr>
              <w:pStyle w:val="6"/>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d.投标人对合同纠纷、事故处理办法未提出异议；</w:t>
            </w:r>
          </w:p>
          <w:p>
            <w:pPr>
              <w:pStyle w:val="6"/>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e.投标人在投标活动中无欺诈行为；</w:t>
            </w:r>
          </w:p>
          <w:p>
            <w:pPr>
              <w:pStyle w:val="6"/>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f.投标人未对合同条款有重要保留。</w:t>
            </w:r>
          </w:p>
          <w:p>
            <w:pPr>
              <w:numPr>
                <w:ilvl w:val="0"/>
                <w:numId w:val="0"/>
              </w:numPr>
              <w:bidi w:val="0"/>
              <w:spacing w:line="360" w:lineRule="auto"/>
              <w:ind w:leftChars="0" w:right="0" w:rightChars="0"/>
              <w:jc w:val="both"/>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w:t>
            </w:r>
            <w:r>
              <w:rPr>
                <w:rFonts w:hint="eastAsia" w:asciiTheme="minorEastAsia" w:hAnsiTheme="minorEastAsia" w:eastAsiaTheme="minorEastAsia" w:cstheme="minorEastAsia"/>
                <w:snapToGrid w:val="0"/>
                <w:color w:val="auto"/>
                <w:kern w:val="0"/>
                <w:sz w:val="24"/>
                <w:szCs w:val="24"/>
                <w:highlight w:val="none"/>
                <w:lang w:val="en-US" w:eastAsia="zh-CN"/>
              </w:rPr>
              <w:t>3</w:t>
            </w:r>
            <w:r>
              <w:rPr>
                <w:rFonts w:hint="eastAsia" w:asciiTheme="minorEastAsia" w:hAnsiTheme="minorEastAsia" w:eastAsiaTheme="minorEastAsia" w:cstheme="minorEastAsia"/>
                <w:snapToGrid w:val="0"/>
                <w:color w:val="auto"/>
                <w:kern w:val="0"/>
                <w:sz w:val="24"/>
                <w:szCs w:val="24"/>
                <w:highlight w:val="none"/>
              </w:rPr>
              <w:t>）围标、串标审查：如果有证据显示投标人以他人名义投标、与他人串通投标、以行贿手段谋取中标，以及投标弄虚作假的，评标委员会应对该投标文件作无效投标处理。</w:t>
            </w:r>
          </w:p>
          <w:p>
            <w:pPr>
              <w:numPr>
                <w:ilvl w:val="0"/>
                <w:numId w:val="0"/>
              </w:numPr>
              <w:bidi w:val="0"/>
              <w:spacing w:line="360" w:lineRule="auto"/>
              <w:ind w:leftChars="0" w:right="0" w:rightChars="0"/>
              <w:jc w:val="both"/>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w:t>
            </w:r>
            <w:r>
              <w:rPr>
                <w:rFonts w:hint="eastAsia" w:asciiTheme="minorEastAsia" w:hAnsiTheme="minorEastAsia" w:eastAsiaTheme="minorEastAsia" w:cstheme="minorEastAsia"/>
                <w:snapToGrid w:val="0"/>
                <w:color w:val="auto"/>
                <w:kern w:val="0"/>
                <w:sz w:val="24"/>
                <w:szCs w:val="24"/>
                <w:highlight w:val="none"/>
                <w:lang w:val="en-US" w:eastAsia="zh-CN"/>
              </w:rPr>
              <w:t>4</w:t>
            </w:r>
            <w:r>
              <w:rPr>
                <w:rFonts w:hint="eastAsia" w:asciiTheme="minorEastAsia" w:hAnsiTheme="minorEastAsia" w:eastAsiaTheme="minorEastAsia" w:cstheme="minorEastAsia"/>
                <w:snapToGrid w:val="0"/>
                <w:color w:val="auto"/>
                <w:kern w:val="0"/>
                <w:sz w:val="24"/>
                <w:szCs w:val="24"/>
                <w:highlight w:val="none"/>
              </w:rPr>
              <w:t>）评标委员会要对投标人的财务能力、管理水平和以往施工业绩及履约信誉进行详细评审。如发现投标文件有以下情况之一的，评标委员会将对其作无效投标处理：</w:t>
            </w:r>
          </w:p>
          <w:p>
            <w:pPr>
              <w:numPr>
                <w:ilvl w:val="0"/>
                <w:numId w:val="0"/>
              </w:numPr>
              <w:bidi w:val="0"/>
              <w:spacing w:line="360" w:lineRule="auto"/>
              <w:ind w:leftChars="0" w:right="0" w:rightChars="0"/>
              <w:jc w:val="both"/>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a.承诺的质量标准低于招标文件或国家强制性标准要求；</w:t>
            </w:r>
          </w:p>
          <w:p>
            <w:pPr>
              <w:numPr>
                <w:ilvl w:val="0"/>
                <w:numId w:val="0"/>
              </w:numPr>
              <w:bidi w:val="0"/>
              <w:spacing w:line="360" w:lineRule="auto"/>
              <w:ind w:leftChars="0" w:right="0" w:rightChars="0"/>
              <w:jc w:val="both"/>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b.提供虚假施工业绩及履约信誉证明材料。</w:t>
            </w:r>
          </w:p>
          <w:p>
            <w:pPr>
              <w:numPr>
                <w:ilvl w:val="0"/>
                <w:numId w:val="0"/>
              </w:numPr>
              <w:bidi w:val="0"/>
              <w:spacing w:line="360" w:lineRule="auto"/>
              <w:ind w:leftChars="0" w:right="0" w:rightChars="0"/>
              <w:jc w:val="both"/>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eastAsia="zh-CN"/>
              </w:rPr>
              <w:t>（</w:t>
            </w:r>
            <w:r>
              <w:rPr>
                <w:rFonts w:hint="eastAsia" w:asciiTheme="minorEastAsia" w:hAnsiTheme="minorEastAsia" w:eastAsiaTheme="minorEastAsia" w:cstheme="minorEastAsia"/>
                <w:snapToGrid w:val="0"/>
                <w:color w:val="auto"/>
                <w:kern w:val="0"/>
                <w:sz w:val="24"/>
                <w:szCs w:val="24"/>
                <w:highlight w:val="none"/>
                <w:lang w:val="en-US" w:eastAsia="zh-CN"/>
              </w:rPr>
              <w:t>15</w:t>
            </w:r>
            <w:r>
              <w:rPr>
                <w:rFonts w:hint="eastAsia" w:asciiTheme="minorEastAsia" w:hAnsiTheme="minorEastAsia" w:eastAsiaTheme="minorEastAsia" w:cstheme="minorEastAsia"/>
                <w:snapToGrid w:val="0"/>
                <w:color w:val="auto"/>
                <w:kern w:val="0"/>
                <w:sz w:val="24"/>
                <w:szCs w:val="24"/>
                <w:highlight w:val="none"/>
                <w:lang w:eastAsia="zh-CN"/>
              </w:rPr>
              <w:t>）</w:t>
            </w:r>
            <w:r>
              <w:rPr>
                <w:rFonts w:hint="eastAsia" w:asciiTheme="minorEastAsia" w:hAnsiTheme="minorEastAsia" w:eastAsiaTheme="minorEastAsia" w:cstheme="minorEastAsia"/>
                <w:snapToGrid w:val="0"/>
                <w:color w:val="auto"/>
                <w:kern w:val="0"/>
                <w:sz w:val="24"/>
                <w:szCs w:val="24"/>
                <w:highlight w:val="none"/>
              </w:rPr>
              <w:t>投标文件和提交方式要满足投标人须知之规定。</w:t>
            </w:r>
          </w:p>
          <w:p>
            <w:pPr>
              <w:numPr>
                <w:ilvl w:val="0"/>
                <w:numId w:val="0"/>
              </w:numPr>
              <w:bidi w:val="0"/>
              <w:spacing w:line="360" w:lineRule="auto"/>
              <w:ind w:leftChars="0" w:right="0" w:rightChars="0"/>
              <w:jc w:val="both"/>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w:t>
            </w:r>
            <w:r>
              <w:rPr>
                <w:rFonts w:hint="eastAsia" w:asciiTheme="minorEastAsia" w:hAnsiTheme="minorEastAsia" w:eastAsiaTheme="minorEastAsia" w:cstheme="minorEastAsia"/>
                <w:snapToGrid w:val="0"/>
                <w:color w:val="auto"/>
                <w:kern w:val="0"/>
                <w:sz w:val="24"/>
                <w:szCs w:val="24"/>
                <w:highlight w:val="none"/>
                <w:lang w:val="en-US" w:eastAsia="zh-CN"/>
              </w:rPr>
              <w:t>6</w:t>
            </w:r>
            <w:r>
              <w:rPr>
                <w:rFonts w:hint="eastAsia" w:asciiTheme="minorEastAsia" w:hAnsiTheme="minorEastAsia" w:eastAsiaTheme="minorEastAsia" w:cstheme="minorEastAsia"/>
                <w:snapToGrid w:val="0"/>
                <w:color w:val="auto"/>
                <w:kern w:val="0"/>
                <w:sz w:val="24"/>
                <w:szCs w:val="24"/>
                <w:highlight w:val="none"/>
              </w:rPr>
              <w:t>）按评标委员会要求澄清、说明或补正的。</w:t>
            </w:r>
          </w:p>
          <w:p>
            <w:pPr>
              <w:numPr>
                <w:ilvl w:val="0"/>
                <w:numId w:val="0"/>
              </w:numPr>
              <w:bidi w:val="0"/>
              <w:spacing w:line="360" w:lineRule="auto"/>
              <w:ind w:leftChars="0" w:right="0" w:rightChars="0"/>
              <w:jc w:val="both"/>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（1</w:t>
            </w:r>
            <w:r>
              <w:rPr>
                <w:rFonts w:hint="eastAsia" w:asciiTheme="minorEastAsia" w:hAnsiTheme="minorEastAsia" w:eastAsiaTheme="minorEastAsia" w:cstheme="minorEastAsia"/>
                <w:snapToGrid w:val="0"/>
                <w:color w:val="auto"/>
                <w:kern w:val="0"/>
                <w:sz w:val="24"/>
                <w:szCs w:val="24"/>
                <w:highlight w:val="none"/>
                <w:lang w:val="en-US" w:eastAsia="zh-CN"/>
              </w:rPr>
              <w:t>7</w:t>
            </w:r>
            <w:r>
              <w:rPr>
                <w:rFonts w:hint="eastAsia" w:asciiTheme="minorEastAsia" w:hAnsiTheme="minorEastAsia" w:eastAsiaTheme="minorEastAsia" w:cstheme="minorEastAsia"/>
                <w:snapToGrid w:val="0"/>
                <w:color w:val="auto"/>
                <w:kern w:val="0"/>
                <w:sz w:val="24"/>
                <w:szCs w:val="24"/>
                <w:highlight w:val="none"/>
              </w:rPr>
              <w:t>）未附有招标人不能接受的其他条件。</w:t>
            </w:r>
          </w:p>
          <w:p>
            <w:pPr>
              <w:pStyle w:val="6"/>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第二个信封（报价文件）评审标准：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投标文件按照招标文件规定的格式、内容填写</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字迹清晰可辨：</w:t>
            </w:r>
          </w:p>
          <w:p>
            <w:pPr>
              <w:numPr>
                <w:ilvl w:val="0"/>
                <w:numId w:val="0"/>
              </w:numPr>
              <w:bidi w:val="0"/>
              <w:spacing w:line="360" w:lineRule="auto"/>
              <w:ind w:leftChars="0" w:right="0" w:right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投标函按招标文件规定填报了项目名称、标段号、补遗书编号（如有）、投标价（包括大写金额和小写金额）；</w:t>
            </w:r>
          </w:p>
          <w:p>
            <w:pPr>
              <w:numPr>
                <w:ilvl w:val="0"/>
                <w:numId w:val="0"/>
              </w:numPr>
              <w:bidi w:val="0"/>
              <w:spacing w:line="360" w:lineRule="auto"/>
              <w:ind w:leftChars="0" w:right="0" w:right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已标价工程量清单说明文字与招标文件规定一致，未进行实质性修改和删减；未对工程量电子清单中的文字、数据、格式和运算定义进行修改。</w:t>
            </w:r>
          </w:p>
          <w:p>
            <w:pPr>
              <w:numPr>
                <w:ilvl w:val="0"/>
                <w:numId w:val="0"/>
              </w:numPr>
              <w:bidi w:val="0"/>
              <w:spacing w:line="360" w:lineRule="auto"/>
              <w:ind w:leftChars="0" w:right="0" w:right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投标文件组成齐全完整，内容均按规定填写。</w:t>
            </w:r>
          </w:p>
          <w:p>
            <w:pPr>
              <w:numPr>
                <w:ilvl w:val="0"/>
                <w:numId w:val="0"/>
              </w:numPr>
              <w:bidi w:val="0"/>
              <w:spacing w:line="360" w:lineRule="auto"/>
              <w:ind w:leftChars="0" w:right="0" w:rightChars="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（2）投标文件上法定代表人或其授权代理人的签字、投标人的单位章盖章齐全，符合招标文件规定</w:t>
            </w:r>
            <w:r>
              <w:rPr>
                <w:rFonts w:hint="eastAsia" w:asciiTheme="minorEastAsia" w:hAnsiTheme="minorEastAsia" w:eastAsiaTheme="minorEastAsia" w:cstheme="minorEastAsia"/>
                <w:color w:val="auto"/>
                <w:sz w:val="24"/>
                <w:szCs w:val="24"/>
                <w:highlight w:val="none"/>
                <w:lang w:eastAsia="zh-CN"/>
              </w:rPr>
              <w:t>。</w:t>
            </w:r>
          </w:p>
          <w:p>
            <w:pPr>
              <w:numPr>
                <w:ilvl w:val="0"/>
                <w:numId w:val="0"/>
              </w:numPr>
              <w:bidi w:val="0"/>
              <w:spacing w:line="360" w:lineRule="auto"/>
              <w:ind w:leftChars="0" w:right="0" w:right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）投标报价中报价满足投标人须知的要求及满足以下要求：</w:t>
            </w:r>
          </w:p>
          <w:p>
            <w:pPr>
              <w:numPr>
                <w:ilvl w:val="0"/>
                <w:numId w:val="0"/>
              </w:numPr>
              <w:bidi w:val="0"/>
              <w:spacing w:line="360" w:lineRule="auto"/>
              <w:ind w:leftChars="0" w:right="0" w:right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投标报价的大写金额能确定具体数值；</w:t>
            </w:r>
          </w:p>
          <w:p>
            <w:pPr>
              <w:numPr>
                <w:ilvl w:val="0"/>
                <w:numId w:val="0"/>
              </w:numPr>
              <w:bidi w:val="0"/>
              <w:spacing w:line="360" w:lineRule="auto"/>
              <w:ind w:leftChars="0" w:right="0" w:right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投标报价未超过招标文件设定的最高投标限价；</w:t>
            </w:r>
          </w:p>
          <w:p>
            <w:pPr>
              <w:numPr>
                <w:ilvl w:val="0"/>
                <w:numId w:val="0"/>
              </w:numPr>
              <w:bidi w:val="0"/>
              <w:spacing w:line="360" w:lineRule="auto"/>
              <w:ind w:leftChars="0" w:right="0" w:right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投标报价大写金额无错误且可唱出；</w:t>
            </w:r>
          </w:p>
          <w:p>
            <w:pPr>
              <w:numPr>
                <w:ilvl w:val="0"/>
                <w:numId w:val="0"/>
              </w:numPr>
              <w:bidi w:val="0"/>
              <w:spacing w:line="360" w:lineRule="auto"/>
              <w:ind w:leftChars="0" w:right="0" w:right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未提交调价函；</w:t>
            </w:r>
          </w:p>
          <w:p>
            <w:pPr>
              <w:numPr>
                <w:ilvl w:val="0"/>
                <w:numId w:val="0"/>
              </w:numPr>
              <w:bidi w:val="0"/>
              <w:spacing w:line="360" w:lineRule="auto"/>
              <w:ind w:leftChars="0" w:right="0" w:right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e</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同一投标人未提交两个以上不同的投标报价；</w:t>
            </w:r>
          </w:p>
          <w:p>
            <w:pPr>
              <w:pStyle w:val="6"/>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）投标文件未附有招标人不能接受的其他条件。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1013" w:type="dxa"/>
            <w:noWrap w:val="0"/>
            <w:vAlign w:val="center"/>
          </w:tcPr>
          <w:p>
            <w:pPr>
              <w:spacing w:line="204" w:lineRule="auto"/>
              <w:ind w:firstLine="157"/>
              <w:jc w:val="center"/>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val="en-US" w:eastAsia="zh-CN"/>
              </w:rPr>
              <w:t>2.1.2</w:t>
            </w:r>
          </w:p>
        </w:tc>
        <w:tc>
          <w:tcPr>
            <w:tcW w:w="1501" w:type="dxa"/>
            <w:noWrap w:val="0"/>
            <w:vAlign w:val="center"/>
          </w:tcPr>
          <w:p>
            <w:pPr>
              <w:spacing w:before="69" w:line="316" w:lineRule="auto"/>
              <w:ind w:left="213" w:right="208" w:firstLine="3"/>
              <w:jc w:val="center"/>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资格评</w:t>
            </w:r>
          </w:p>
          <w:p>
            <w:pPr>
              <w:spacing w:before="69" w:line="316" w:lineRule="auto"/>
              <w:ind w:left="213" w:right="208" w:firstLine="3"/>
              <w:jc w:val="center"/>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审标准</w:t>
            </w:r>
          </w:p>
        </w:tc>
        <w:tc>
          <w:tcPr>
            <w:tcW w:w="6384" w:type="dxa"/>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82" w:firstLineChars="76"/>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投标人具备有效的营业执照、组织机构代码证、税务登记证（或三证合一的营业执照）、资质证书、安全生产许可证、基本账户开户许可证等招标文件要求提交的证照，且所有证照在正本中均为彩色扫描件或彩色复印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82" w:firstLineChars="76"/>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投标人的资质等级符合招标文件投标人须知附录1（包括小注）规定；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82" w:firstLineChars="76"/>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投标人的财务状况符合招标文件投标人须知附录2（包括小注）规定；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82" w:firstLineChars="76"/>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投标人的业绩符合招标文件投标人须知附录3（包括小注）规定；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82" w:firstLineChars="76"/>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投标人的信誉符合招标文件投标人须知附录4（包括小注）规定；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82" w:firstLineChars="76"/>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投标人的项目经理和项目总工符合招标文件附录5（包括小注）规定；</w:t>
            </w:r>
          </w:p>
          <w:p>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firstLine="182" w:firstLineChars="76"/>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投标人不存在第二章“投标人须知”第1.4.3项或第1.4.4项规定的任何一种情形。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013" w:type="dxa"/>
            <w:noWrap w:val="0"/>
            <w:vAlign w:val="center"/>
          </w:tcPr>
          <w:p>
            <w:pPr>
              <w:spacing w:line="204" w:lineRule="auto"/>
              <w:ind w:firstLine="157"/>
              <w:jc w:val="both"/>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val="en-US" w:eastAsia="zh-CN"/>
              </w:rPr>
              <w:t>2.2.1</w:t>
            </w:r>
          </w:p>
        </w:tc>
        <w:tc>
          <w:tcPr>
            <w:tcW w:w="1501" w:type="dxa"/>
            <w:noWrap w:val="0"/>
            <w:vAlign w:val="center"/>
          </w:tcPr>
          <w:p>
            <w:pPr>
              <w:spacing w:before="69" w:line="316" w:lineRule="auto"/>
              <w:ind w:left="213" w:right="208" w:firstLine="3"/>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分值构成</w:t>
            </w:r>
          </w:p>
          <w:p>
            <w:pPr>
              <w:spacing w:before="69" w:line="316" w:lineRule="auto"/>
              <w:ind w:right="208"/>
              <w:jc w:val="center"/>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（总分100分）</w:t>
            </w:r>
          </w:p>
        </w:tc>
        <w:tc>
          <w:tcPr>
            <w:tcW w:w="6384" w:type="dxa"/>
            <w:noWrap w:val="0"/>
            <w:vAlign w:val="center"/>
          </w:tcPr>
          <w:p>
            <w:pPr>
              <w:pStyle w:val="6"/>
              <w:ind w:left="0" w:leftChars="0"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评标价：100分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013" w:type="dxa"/>
            <w:noWrap w:val="0"/>
            <w:vAlign w:val="center"/>
          </w:tcPr>
          <w:p>
            <w:pPr>
              <w:spacing w:line="204" w:lineRule="auto"/>
              <w:ind w:firstLine="157"/>
              <w:jc w:val="both"/>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val="en-US" w:eastAsia="zh-CN"/>
              </w:rPr>
              <w:t>2.2.2</w:t>
            </w:r>
          </w:p>
        </w:tc>
        <w:tc>
          <w:tcPr>
            <w:tcW w:w="1501" w:type="dxa"/>
            <w:noWrap w:val="0"/>
            <w:vAlign w:val="center"/>
          </w:tcPr>
          <w:p>
            <w:pPr>
              <w:spacing w:before="69" w:line="316" w:lineRule="auto"/>
              <w:ind w:left="213" w:right="208" w:firstLine="3"/>
              <w:jc w:val="center"/>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评标基准价计算方法</w:t>
            </w:r>
          </w:p>
          <w:p>
            <w:pPr>
              <w:spacing w:before="69" w:line="316" w:lineRule="auto"/>
              <w:ind w:left="213" w:right="208" w:firstLine="3"/>
              <w:jc w:val="center"/>
              <w:rPr>
                <w:rFonts w:hint="eastAsia" w:asciiTheme="minorEastAsia" w:hAnsiTheme="minorEastAsia" w:eastAsiaTheme="minorEastAsia" w:cstheme="minorEastAsia"/>
                <w:color w:val="auto"/>
                <w:spacing w:val="-3"/>
                <w:sz w:val="24"/>
                <w:szCs w:val="24"/>
                <w:highlight w:val="none"/>
              </w:rPr>
            </w:pPr>
          </w:p>
        </w:tc>
        <w:tc>
          <w:tcPr>
            <w:tcW w:w="63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一、</w:t>
            </w:r>
            <w:r>
              <w:rPr>
                <w:rFonts w:hint="eastAsia" w:asciiTheme="minorEastAsia" w:hAnsiTheme="minorEastAsia" w:eastAsiaTheme="minorEastAsia" w:cstheme="minorEastAsia"/>
                <w:color w:val="auto"/>
                <w:sz w:val="24"/>
                <w:szCs w:val="24"/>
                <w:highlight w:val="none"/>
              </w:rPr>
              <w:t>计算公式字母含义</w:t>
            </w:r>
          </w:p>
          <w:p>
            <w:pPr>
              <w:numPr>
                <w:ilvl w:val="0"/>
                <w:numId w:val="0"/>
              </w:numPr>
              <w:bidi w:val="0"/>
              <w:spacing w:line="360" w:lineRule="auto"/>
              <w:ind w:right="0" w:right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1. </w:t>
            </w:r>
            <w:r>
              <w:rPr>
                <w:rFonts w:hint="eastAsia" w:asciiTheme="minorEastAsia" w:hAnsiTheme="minorEastAsia" w:eastAsiaTheme="minorEastAsia" w:cstheme="minorEastAsia"/>
                <w:color w:val="auto"/>
                <w:sz w:val="24"/>
                <w:szCs w:val="24"/>
                <w:highlight w:val="none"/>
              </w:rPr>
              <w:t>P为评标基准价；</w:t>
            </w:r>
          </w:p>
          <w:p>
            <w:pPr>
              <w:numPr>
                <w:ilvl w:val="0"/>
                <w:numId w:val="0"/>
              </w:numPr>
              <w:bidi w:val="0"/>
              <w:spacing w:line="360" w:lineRule="auto"/>
              <w:ind w:right="0" w:right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2. </w:t>
            </w:r>
            <w:r>
              <w:rPr>
                <w:rFonts w:hint="eastAsia" w:asciiTheme="minorEastAsia" w:hAnsiTheme="minorEastAsia" w:eastAsiaTheme="minorEastAsia" w:cstheme="minorEastAsia"/>
                <w:color w:val="auto"/>
                <w:sz w:val="24"/>
                <w:szCs w:val="24"/>
                <w:highlight w:val="none"/>
              </w:rPr>
              <w:t>Di为评标价：Di＝投标函文字报价；</w:t>
            </w:r>
          </w:p>
          <w:p>
            <w:pPr>
              <w:numPr>
                <w:ilvl w:val="0"/>
                <w:numId w:val="0"/>
              </w:numPr>
              <w:bidi w:val="0"/>
              <w:spacing w:line="360" w:lineRule="auto"/>
              <w:ind w:right="0" w:right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 </w:t>
            </w:r>
            <w:r>
              <w:rPr>
                <w:rFonts w:hint="eastAsia" w:asciiTheme="minorEastAsia" w:hAnsiTheme="minorEastAsia" w:eastAsiaTheme="minorEastAsia" w:cstheme="minorEastAsia"/>
                <w:color w:val="auto"/>
                <w:sz w:val="24"/>
                <w:szCs w:val="24"/>
                <w:highlight w:val="none"/>
              </w:rPr>
              <w:t>N为有效评标价的数量（有效评标价：除第一信封经评标委员会否决的投标人及第二信封开标现场被宣布为不进入评标基准价计算的评标价之外，剩余所有投标人的评标价均为有效评标价）；</w:t>
            </w:r>
          </w:p>
          <w:p>
            <w:pPr>
              <w:numPr>
                <w:ilvl w:val="0"/>
                <w:numId w:val="0"/>
              </w:numPr>
              <w:bidi w:val="0"/>
              <w:spacing w:line="360" w:lineRule="auto"/>
              <w:ind w:right="0" w:right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4. </w:t>
            </w:r>
            <w:r>
              <w:rPr>
                <w:rFonts w:hint="eastAsia" w:asciiTheme="minorEastAsia" w:hAnsiTheme="minorEastAsia" w:eastAsiaTheme="minorEastAsia" w:cstheme="minorEastAsia"/>
                <w:color w:val="auto"/>
                <w:sz w:val="24"/>
                <w:szCs w:val="24"/>
                <w:highlight w:val="none"/>
              </w:rPr>
              <w:t>K为评标基准价系数：K值取值范围为0.980、0.985、0.990、0.995、1.000共5个数值，在开标现场由招标人或监督人随机抽取一个K值，并当场公布；</w:t>
            </w:r>
          </w:p>
          <w:p>
            <w:pPr>
              <w:numPr>
                <w:ilvl w:val="0"/>
                <w:numId w:val="0"/>
              </w:numPr>
              <w:bidi w:val="0"/>
              <w:spacing w:line="360" w:lineRule="auto"/>
              <w:ind w:right="0" w:right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5. </w:t>
            </w:r>
            <w:r>
              <w:rPr>
                <w:rFonts w:hint="eastAsia" w:asciiTheme="minorEastAsia" w:hAnsiTheme="minorEastAsia" w:eastAsiaTheme="minorEastAsia" w:cstheme="minorEastAsia"/>
                <w:color w:val="auto"/>
                <w:sz w:val="24"/>
                <w:szCs w:val="24"/>
                <w:highlight w:val="none"/>
              </w:rPr>
              <w:t>n1为去掉最高有效评标价的数量，n2为去掉最低有效评标价的数量。</w:t>
            </w:r>
          </w:p>
          <w:p>
            <w:pPr>
              <w:numPr>
                <w:ilvl w:val="0"/>
                <w:numId w:val="0"/>
              </w:numPr>
              <w:bidi w:val="0"/>
              <w:spacing w:line="360" w:lineRule="auto"/>
              <w:ind w:right="0" w:rightChars="0"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n1、n2的取值方法：</w:t>
            </w:r>
          </w:p>
          <w:p>
            <w:pPr>
              <w:numPr>
                <w:ilvl w:val="0"/>
                <w:numId w:val="0"/>
              </w:numPr>
              <w:bidi w:val="0"/>
              <w:spacing w:line="360" w:lineRule="auto"/>
              <w:ind w:right="0" w:rightChars="0"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当N＜6时，n1、n2均取0；</w:t>
            </w:r>
          </w:p>
          <w:p>
            <w:pPr>
              <w:numPr>
                <w:ilvl w:val="0"/>
                <w:numId w:val="0"/>
              </w:numPr>
              <w:bidi w:val="0"/>
              <w:spacing w:line="360" w:lineRule="auto"/>
              <w:ind w:right="0" w:rightChars="0"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当6≤N＜10，n1、n2均取1；</w:t>
            </w:r>
          </w:p>
          <w:p>
            <w:pPr>
              <w:numPr>
                <w:ilvl w:val="0"/>
                <w:numId w:val="0"/>
              </w:numPr>
              <w:bidi w:val="0"/>
              <w:spacing w:line="360" w:lineRule="auto"/>
              <w:ind w:right="0" w:rightChars="0"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当N≥10时，n1在取值区间1～M-1中现场随机抽取，n2在取值区间1～M+1中现场随机抽取，M=N/4，M去尾取整数。</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招标人设有最高限价，目的是防止哄抬标价，投标价超出此最高限价的，招标人将视为超出招标人的支付能力，评标基准价计算时不把这样的投标价计算在内，并且其投标报价得分为零分，投标文件其他部分不再进行评审。</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评标委员会依据评标办法第2.1.1项规定的标准对第二个信封进行形式评审与响应性评审，有一项不符合评审标准的，评标委员会应否决其投标。</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（1）评标价的确定：</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评标价＝投标函文字报价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（2）评标价平均值的计算</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按第二章“投标人须知”第5.2.4项规定开标现场被宣布为不进入评标基准价计算的投标报价之外，所有投标人的评标价去掉一个最高值和一个最低值后的算数平均值即为评标价平均值（如果参与评标价平均值计算的有效投标人少于5家时，则计算评标价平均值时不去掉最高值和最低值）；</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（3）评标基准价的计算：</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招标人或监督人在开标现场随机抽取以下其中一种方法作为当次招标评标基准价的计算方法，按已抽取的评标基准价计算方法由招标人或监督人抽取相关计算参数。</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方法一（平均值随机系数法）：</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有效评标价去掉n1个最高评标价和n2个最低评标价后取平均值，乘以评标基准价系数K作为评标基准价Ｐ。</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P=D（平均）*K</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式中：D（平均）为去掉n1个最高评标价和n2个最低评标价后的平均值，K为评标基准价系数，（K值取值范围为0.980、0.985、0.990、0.995、1.000共5个数值，在开标现场由招标人或监督人随机抽取一个K值，并当场公布）。</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方法二（价差随机系数法）：</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先去掉n1个最高有效评标价和n2个最低有效评标价，用剩余有效评标价中最大评标价与最小评标价之差与调整系数乘积加最小评标价作为评标基准价。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P=（Dmax-Dmin）×Ks+Dmin</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式中：Dmax为去掉n1个最高有效评标价后的最大评标价数值。</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Dmin为去掉n2个最低有效评标价后的最小评标价数值。</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Ks为随机调整系数：Ks＝（X+Y/10）/10,其中X、Y为开标现场抽取的两个系数，各设5个数值，分别为2、3、4、5、6。</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方法三（随机权重法）：</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先去掉n1个最高有效评标价和n2个最低有效评标价后的平均值，用最高投标限价与平均值的权值之和作为评标基准价。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P=D平均×K1×Q1+B上限×K2×Q2</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式中：D平均为去掉n1个最高评标价和n2个最低评标价后的平均值；</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B上限为投标最高限价；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K1、K2、Q1、Q2权重系数：</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Q2=1-Q1，Q1取值范围30%～70%；</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K1的取值范围为95%～100%；</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K2的取值范围为(85%+E%)～(90%+E%)，其中明确E为3。</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Q1值、K1值、K2值均在第二信封开标现场随机抽取确定。</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Q1取值的步长不大于1%（Q1取值的步长现场从0.1%、0.2%、0.3%、0.4%、0.5%、0.6%、0.7%、0.8%、0.9%、1.0%共10个数值中随机抽取），K1和K2取值的步长不大于0.5%（K1和K2取值的步长现场从0.1%、0.2%、0.3%、0.4%、0.5%共5个数值中随机抽取）。</w:t>
            </w:r>
          </w:p>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013" w:type="dxa"/>
            <w:noWrap w:val="0"/>
            <w:vAlign w:val="center"/>
          </w:tcPr>
          <w:p>
            <w:pPr>
              <w:spacing w:line="204" w:lineRule="auto"/>
              <w:ind w:firstLine="157"/>
              <w:jc w:val="both"/>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val="en-US" w:eastAsia="zh-CN"/>
              </w:rPr>
              <w:t>2.2.3</w:t>
            </w:r>
          </w:p>
        </w:tc>
        <w:tc>
          <w:tcPr>
            <w:tcW w:w="1501" w:type="dxa"/>
            <w:noWrap w:val="0"/>
            <w:vAlign w:val="center"/>
          </w:tcPr>
          <w:p>
            <w:pPr>
              <w:spacing w:before="69" w:line="316" w:lineRule="auto"/>
              <w:ind w:left="213" w:right="208" w:firstLine="3"/>
              <w:jc w:val="center"/>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评标价的偏差率计算公式</w:t>
            </w:r>
          </w:p>
        </w:tc>
        <w:tc>
          <w:tcPr>
            <w:tcW w:w="6384" w:type="dxa"/>
            <w:noWrap w:val="0"/>
            <w:vAlign w:val="center"/>
          </w:tcPr>
          <w:p>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偏差率=100%×（投标人评标价－评标基准价）/评标基准价</w:t>
            </w:r>
          </w:p>
          <w:p>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偏差率保留</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位小数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013" w:type="dxa"/>
            <w:noWrap w:val="0"/>
            <w:vAlign w:val="center"/>
          </w:tcPr>
          <w:p>
            <w:pPr>
              <w:spacing w:line="204" w:lineRule="auto"/>
              <w:ind w:firstLine="157" w:firstLineChars="0"/>
              <w:jc w:val="both"/>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eastAsia="zh-CN"/>
              </w:rPr>
              <w:t>条款号</w:t>
            </w:r>
          </w:p>
        </w:tc>
        <w:tc>
          <w:tcPr>
            <w:tcW w:w="1501" w:type="dxa"/>
            <w:noWrap w:val="0"/>
            <w:vAlign w:val="center"/>
          </w:tcPr>
          <w:p>
            <w:pPr>
              <w:spacing w:before="69" w:line="316" w:lineRule="auto"/>
              <w:ind w:left="213" w:leftChars="0" w:right="208" w:rightChars="0" w:firstLine="3" w:firstLineChars="0"/>
              <w:jc w:val="center"/>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条款内容</w:t>
            </w:r>
          </w:p>
        </w:tc>
        <w:tc>
          <w:tcPr>
            <w:tcW w:w="6384" w:type="dxa"/>
            <w:noWrap w:val="0"/>
            <w:vAlign w:val="center"/>
          </w:tcPr>
          <w:p>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3" w:type="dxa"/>
            <w:noWrap w:val="0"/>
            <w:vAlign w:val="center"/>
          </w:tcPr>
          <w:p>
            <w:pPr>
              <w:spacing w:line="204" w:lineRule="auto"/>
              <w:ind w:firstLine="157" w:firstLineChars="0"/>
              <w:jc w:val="both"/>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val="en-US" w:eastAsia="zh-CN"/>
              </w:rPr>
              <w:t>2.2.4</w:t>
            </w:r>
          </w:p>
        </w:tc>
        <w:tc>
          <w:tcPr>
            <w:tcW w:w="1501" w:type="dxa"/>
            <w:noWrap w:val="0"/>
            <w:vAlign w:val="center"/>
          </w:tcPr>
          <w:p>
            <w:pPr>
              <w:spacing w:before="69" w:line="316" w:lineRule="auto"/>
              <w:ind w:left="213" w:leftChars="0" w:right="208" w:rightChars="0" w:firstLine="3" w:firstLineChars="0"/>
              <w:jc w:val="center"/>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评标价</w:t>
            </w:r>
          </w:p>
          <w:p>
            <w:pPr>
              <w:spacing w:before="69" w:line="316" w:lineRule="auto"/>
              <w:ind w:left="213" w:leftChars="0" w:right="208" w:rightChars="0" w:firstLine="3" w:firstLineChars="0"/>
              <w:jc w:val="center"/>
              <w:rPr>
                <w:rFonts w:hint="eastAsia" w:asciiTheme="minorEastAsia" w:hAnsiTheme="minorEastAsia" w:eastAsiaTheme="minorEastAsia" w:cstheme="minorEastAsia"/>
                <w:color w:val="auto"/>
                <w:spacing w:val="-3"/>
                <w:sz w:val="24"/>
                <w:szCs w:val="24"/>
                <w:highlight w:val="none"/>
              </w:rPr>
            </w:pPr>
          </w:p>
        </w:tc>
        <w:tc>
          <w:tcPr>
            <w:tcW w:w="6384" w:type="dxa"/>
            <w:noWrap w:val="0"/>
            <w:vAlign w:val="center"/>
          </w:tcPr>
          <w:p>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100分评标价得分计算公式示例：</w:t>
            </w:r>
          </w:p>
          <w:p>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（1）如果投标人的评标价&gt;评标基准价，则评标价得分＝100－偏差率×100×E1；</w:t>
            </w:r>
          </w:p>
          <w:p>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（2）如果投标人的评标价≤评标基准价，则评标价得分＝100＋偏差率×100×E2。</w:t>
            </w:r>
          </w:p>
          <w:p>
            <w:pPr>
              <w:bidi w:val="0"/>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其中：</w:t>
            </w:r>
          </w:p>
          <w:p>
            <w:pPr>
              <w:bidi w:val="0"/>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E1是评标价每高于评标基准价一个百分点的扣减值，扣减值为</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w:t>
            </w:r>
          </w:p>
          <w:p>
            <w:pPr>
              <w:bidi w:val="0"/>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E</w:t>
            </w:r>
            <w:r>
              <w:rPr>
                <w:rFonts w:hint="eastAsia" w:asciiTheme="minorEastAsia" w:hAnsiTheme="minorEastAsia" w:eastAsiaTheme="minorEastAsia" w:cstheme="minorEastAsia"/>
                <w:color w:val="auto"/>
                <w:sz w:val="24"/>
                <w:szCs w:val="24"/>
                <w:highlight w:val="none"/>
              </w:rPr>
              <w:t>2是评标价每低于评标基准价一个百分点的扣减值，扣减值为</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3" w:type="dxa"/>
            <w:noWrap w:val="0"/>
            <w:vAlign w:val="center"/>
          </w:tcPr>
          <w:p>
            <w:pPr>
              <w:spacing w:line="204" w:lineRule="auto"/>
              <w:ind w:firstLine="157" w:firstLineChars="0"/>
              <w:jc w:val="both"/>
              <w:rPr>
                <w:rFonts w:hint="eastAsia" w:asciiTheme="minorEastAsia" w:hAnsiTheme="minorEastAsia" w:eastAsiaTheme="minorEastAsia" w:cstheme="minorEastAsia"/>
                <w:color w:val="auto"/>
                <w:spacing w:val="-1"/>
                <w:sz w:val="24"/>
                <w:szCs w:val="24"/>
                <w:highlight w:val="none"/>
                <w:lang w:val="en-US" w:eastAsia="zh-CN"/>
              </w:rPr>
            </w:pPr>
          </w:p>
        </w:tc>
        <w:tc>
          <w:tcPr>
            <w:tcW w:w="7885" w:type="dxa"/>
            <w:gridSpan w:val="2"/>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3.5.2条细化为：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3.5.2评标委员会应对在评标过程中发现的投标人与投标人之间、投标人与招标人之间存在的串通投标的情形进行评审和认定。投标人存在串通投标、弄虚作假、行贿等违法行为的，评标委员会应否决其投标。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（1）有下列情形之一的，属于投标人相互串通投标：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a.投标人之间协商投标报价等投标文件的实质性内容；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b.投标人之间约定中标人；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c.投标人之间约定部分投标人放弃投标或者中标；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d.属于同一集团、协会、商会等组织成员的投标人按照该组织要求协同投标；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e.投标人之间为谋取中标或排斥特定投标人而采取的其他联合行动。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（2）有下列情形之一的，视为投标人相互串通投标：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a.不同投标人的投标文件由同一单位或者个人编制；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b.不同投标人委托同一单位或者个人办理投标事宜；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c.不同投标人的投标文件载明的项目管理成员为同一人；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d.不同投标人的投标文件异常一致或者投标报价呈规律性差异；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e.不同投标人的投标文件相互混装；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f.不同投标人的投标保证金从同一单位或者个人的账户转出。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g.</w:t>
            </w:r>
            <w:r>
              <w:rPr>
                <w:rFonts w:hint="eastAsia" w:asciiTheme="minorEastAsia" w:hAnsiTheme="minorEastAsia" w:eastAsiaTheme="minorEastAsia" w:cstheme="minorEastAsia"/>
                <w:color w:val="auto"/>
                <w:sz w:val="24"/>
                <w:szCs w:val="24"/>
                <w:highlight w:val="none"/>
                <w:lang w:eastAsia="zh-CN"/>
              </w:rPr>
              <w:t>不同投标人编制的投标文件存在两处以上相同错误的；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h</w:t>
            </w:r>
            <w:r>
              <w:rPr>
                <w:rFonts w:hint="eastAsia" w:asciiTheme="minorEastAsia" w:hAnsiTheme="minorEastAsia" w:eastAsiaTheme="minorEastAsia" w:cstheme="minorEastAsia"/>
                <w:color w:val="auto"/>
                <w:sz w:val="24"/>
                <w:szCs w:val="24"/>
                <w:highlight w:val="none"/>
                <w:lang w:eastAsia="zh-CN"/>
              </w:rPr>
              <w:t>.不同投标人的投标文件由同一投标人送达或者分发的；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i</w:t>
            </w:r>
            <w:r>
              <w:rPr>
                <w:rFonts w:hint="eastAsia" w:asciiTheme="minorEastAsia" w:hAnsiTheme="minorEastAsia" w:eastAsiaTheme="minorEastAsia" w:cstheme="minorEastAsia"/>
                <w:color w:val="auto"/>
                <w:sz w:val="24"/>
                <w:szCs w:val="24"/>
                <w:highlight w:val="none"/>
                <w:lang w:eastAsia="zh-CN"/>
              </w:rPr>
              <w:t>.参加投标活动的人员为同一项目其他投标人的在职人员的；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j</w:t>
            </w:r>
            <w:r>
              <w:rPr>
                <w:rFonts w:hint="eastAsia" w:asciiTheme="minorEastAsia" w:hAnsiTheme="minorEastAsia" w:eastAsiaTheme="minorEastAsia" w:cstheme="minorEastAsia"/>
                <w:color w:val="auto"/>
                <w:sz w:val="24"/>
                <w:szCs w:val="24"/>
                <w:highlight w:val="none"/>
                <w:lang w:eastAsia="zh-CN"/>
              </w:rPr>
              <w:t>.不同投标人的法定代表人或者委托代理人、项目负责人、项目总监等人员有在同一单位缴纳社会保险的；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k</w:t>
            </w:r>
            <w:r>
              <w:rPr>
                <w:rFonts w:hint="eastAsia" w:asciiTheme="minorEastAsia" w:hAnsiTheme="minorEastAsia" w:eastAsiaTheme="minorEastAsia" w:cstheme="minorEastAsia"/>
                <w:color w:val="auto"/>
                <w:sz w:val="24"/>
                <w:szCs w:val="24"/>
                <w:highlight w:val="none"/>
                <w:lang w:eastAsia="zh-CN"/>
              </w:rPr>
              <w:t>.不同投标人的投标保证金由同一自然人、法人、其他组织账户或者同一账户资金缴纳，或者不同投标人的投标保证金从各自的基本账户转出，但所需资金来自同一自然人、法人或者其他组织账户的；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l.</w:t>
            </w:r>
            <w:r>
              <w:rPr>
                <w:rFonts w:hint="eastAsia" w:asciiTheme="minorEastAsia" w:hAnsiTheme="minorEastAsia" w:eastAsiaTheme="minorEastAsia" w:cstheme="minorEastAsia"/>
                <w:color w:val="auto"/>
                <w:sz w:val="24"/>
                <w:szCs w:val="24"/>
                <w:highlight w:val="none"/>
                <w:lang w:eastAsia="zh-CN"/>
              </w:rPr>
              <w:t>不同投标人参与同一项目招标投标活动中，使用的计算机网卡MAC地址、CPU序列号、硬盘序列号、加密锁序列号等信息相同的。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（3）有下列情形之一的，属于招标人与投标人串通投标：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a.招标人在开标前开启投标文件并将有关信息泄露给其他投标人；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b.招标人直接或者间接向投标人泄露评标委员会成员等信息；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c.招标人明示或者暗示投标人压低或者抬高投标报价；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d.招标人授意投标人撤换、修改投标文件；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e.招标人明示或者暗示投标人为特定投标人中标提供方便；</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f.招标人与投标人为谋求特定投标人中标而采取的其他串通行为。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（4）有下列情形之一的，应当视为招标人、招标代理机构、评标委员会成员与投标人串通投标：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a.招标人、招标代理机构故意损毁、篡改特定的投标文件内容，或者在资格预审时损毁、篡改特定的资格预审申请文件内容的；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b.招标人、招标代理机构、评标委员会成员直接或者间接向投标人或者投标人的利害关系人泄漏获取资格预审文件或者通过资格预审的申请人的名称、数量的；或者泄漏获取招标文件的潜在投标人的名称、数量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c.招标人、招标代理机构、评标委员会成员直接或者间接向投标人或者投标人的利害关系人泄漏资格审查或者评标情况的；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d.招标人、招标代理机构以胁迫、劝退、利诱等方式，使特定投标人以外的其他投标人放弃投标或者中标人放弃中标的；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e.在依法必须进行招标的项目的中标人确定前，投标人已经开展该项目招标范围内的工作的。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（5）投标人有下列情形之一的，属于弄虚作假的行为：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a.使用通过受让或者租借等方式获取的资格、资质证书投标；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b.使用伪造、变造的许可证件；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c.提供虚假的财务状况或者业绩、荣誉；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d.提供虚假的项目负责人或主要技术人员简历、劳动关系证明；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e.提供虚假的信用状况；</w:t>
            </w:r>
          </w:p>
          <w:p>
            <w:pPr>
              <w:keepNext w:val="0"/>
              <w:keepLines w:val="0"/>
              <w:pageBreakBefore w:val="0"/>
              <w:widowControl/>
              <w:kinsoku w:val="0"/>
              <w:wordWrap/>
              <w:overflowPunct/>
              <w:topLinePunct w:val="0"/>
              <w:autoSpaceDE w:val="0"/>
              <w:autoSpaceDN w:val="0"/>
              <w:bidi w:val="0"/>
              <w:adjustRightInd w:val="0"/>
              <w:snapToGrid w:val="0"/>
              <w:spacing w:line="288"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f.其他弄虚作假的行为。</w:t>
            </w:r>
          </w:p>
        </w:tc>
      </w:tr>
    </w:tbl>
    <w:p>
      <w:pPr>
        <w:pStyle w:val="6"/>
        <w:rPr>
          <w:rFonts w:ascii="宋体" w:hAnsi="宋体" w:eastAsia="宋体" w:cs="宋体"/>
          <w:spacing w:val="-3"/>
          <w:sz w:val="24"/>
          <w:szCs w:val="24"/>
        </w:rPr>
        <w:sectPr>
          <w:pgSz w:w="11907" w:h="16841"/>
          <w:pgMar w:top="850" w:right="1134" w:bottom="850" w:left="1134" w:header="883" w:footer="922" w:gutter="0"/>
          <w:pgNumType w:fmt="decimal"/>
          <w:cols w:space="720" w:num="1"/>
        </w:sect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jc w:val="both"/>
        <w:textAlignment w:val="baseline"/>
        <w:outlineLvl w:val="2"/>
        <w:rPr>
          <w:rFonts w:hint="eastAsia" w:asciiTheme="minorEastAsia" w:hAnsiTheme="minorEastAsia" w:eastAsiaTheme="minorEastAsia" w:cstheme="minorEastAsia"/>
          <w:b/>
          <w:bCs/>
          <w:sz w:val="24"/>
          <w:szCs w:val="24"/>
          <w:highlight w:val="none"/>
          <w:lang w:eastAsia="zh-CN"/>
        </w:rPr>
      </w:pPr>
      <w:bookmarkStart w:id="17" w:name="_Toc6449"/>
      <w:bookmarkStart w:id="18" w:name="_Toc13955"/>
      <w:bookmarkStart w:id="19" w:name="_Toc15182"/>
      <w:bookmarkStart w:id="20" w:name="_Toc30646"/>
      <w:bookmarkStart w:id="21" w:name="_Toc26315"/>
      <w:r>
        <w:rPr>
          <w:rFonts w:hint="eastAsia" w:asciiTheme="minorEastAsia" w:hAnsiTheme="minorEastAsia" w:eastAsiaTheme="minorEastAsia" w:cstheme="minorEastAsia"/>
          <w:b/>
          <w:bCs/>
          <w:sz w:val="24"/>
          <w:szCs w:val="24"/>
          <w:highlight w:val="none"/>
          <w:lang w:eastAsia="zh-CN"/>
        </w:rPr>
        <w:t>1.评标方法</w:t>
      </w:r>
      <w:bookmarkEnd w:id="17"/>
      <w:bookmarkEnd w:id="18"/>
      <w:bookmarkEnd w:id="19"/>
      <w:bookmarkEnd w:id="20"/>
      <w:bookmarkEnd w:id="21"/>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本次评标采用合理低价法。评标委员会对满足招标文件实质性要求的投标文件，按照本章第2.2款规定的评分标准进行打分，并按得分由高到低顺序推荐中标候选人，但投标报价低于其成本的除外。综合评分相等时，评标委员会应按照评标办法前附表规定的优先次序推荐中标候选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jc w:val="both"/>
        <w:textAlignment w:val="baseline"/>
        <w:outlineLvl w:val="2"/>
        <w:rPr>
          <w:rFonts w:hint="eastAsia" w:asciiTheme="minorEastAsia" w:hAnsiTheme="minorEastAsia" w:eastAsiaTheme="minorEastAsia" w:cstheme="minorEastAsia"/>
          <w:b/>
          <w:bCs/>
          <w:sz w:val="24"/>
          <w:szCs w:val="24"/>
          <w:highlight w:val="none"/>
          <w:lang w:eastAsia="zh-CN"/>
        </w:rPr>
      </w:pPr>
      <w:bookmarkStart w:id="22" w:name="_Toc12203"/>
      <w:bookmarkStart w:id="23" w:name="_Toc7388"/>
      <w:bookmarkStart w:id="24" w:name="_Toc23967"/>
      <w:bookmarkStart w:id="25" w:name="_Toc23736"/>
      <w:bookmarkStart w:id="26" w:name="_Toc19814"/>
      <w:r>
        <w:rPr>
          <w:rFonts w:hint="eastAsia" w:asciiTheme="minorEastAsia" w:hAnsiTheme="minorEastAsia" w:eastAsiaTheme="minorEastAsia" w:cstheme="minorEastAsia"/>
          <w:b/>
          <w:bCs/>
          <w:sz w:val="24"/>
          <w:szCs w:val="24"/>
          <w:highlight w:val="none"/>
          <w:lang w:eastAsia="zh-CN"/>
        </w:rPr>
        <w:t>2.评审标准</w:t>
      </w:r>
      <w:bookmarkEnd w:id="22"/>
      <w:bookmarkEnd w:id="23"/>
      <w:bookmarkEnd w:id="24"/>
      <w:bookmarkEnd w:id="25"/>
      <w:bookmarkEnd w:id="26"/>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bookmarkStart w:id="27" w:name="_Toc32169"/>
      <w:bookmarkStart w:id="28" w:name="_Toc673"/>
      <w:bookmarkStart w:id="29" w:name="_Toc29520"/>
      <w:bookmarkStart w:id="30" w:name="_Toc9470"/>
      <w:r>
        <w:rPr>
          <w:rFonts w:hint="eastAsia" w:asciiTheme="minorEastAsia" w:hAnsiTheme="minorEastAsia" w:eastAsiaTheme="minorEastAsia" w:cstheme="minorEastAsia"/>
          <w:sz w:val="24"/>
          <w:szCs w:val="24"/>
          <w:highlight w:val="none"/>
          <w:lang w:eastAsia="zh-CN"/>
        </w:rPr>
        <w:t>2.1初步评审标准</w:t>
      </w:r>
      <w:bookmarkEnd w:id="27"/>
      <w:bookmarkEnd w:id="28"/>
      <w:bookmarkEnd w:id="29"/>
      <w:bookmarkEnd w:id="30"/>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2.1.1形式评审标准：见评标办法前附表。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2.1.2资格评审标准：见评标办法前附表（适用于未进行资格预审的）。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2.1.3响应性评审标准：见评标办法前附表。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bookmarkStart w:id="31" w:name="_Toc18439"/>
      <w:bookmarkStart w:id="32" w:name="_Toc14775"/>
      <w:bookmarkStart w:id="33" w:name="_Toc19832"/>
      <w:bookmarkStart w:id="34" w:name="_Toc28893"/>
      <w:r>
        <w:rPr>
          <w:rFonts w:hint="eastAsia" w:asciiTheme="minorEastAsia" w:hAnsiTheme="minorEastAsia" w:eastAsiaTheme="minorEastAsia" w:cstheme="minorEastAsia"/>
          <w:sz w:val="24"/>
          <w:szCs w:val="24"/>
          <w:highlight w:val="none"/>
          <w:lang w:eastAsia="zh-CN"/>
        </w:rPr>
        <w:t>2.2、分值构成与评分标准分值构成</w:t>
      </w:r>
      <w:bookmarkEnd w:id="31"/>
      <w:bookmarkEnd w:id="32"/>
      <w:bookmarkEnd w:id="33"/>
      <w:bookmarkEnd w:id="34"/>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评标价：见评标办法前附表。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2.2.1评标基准价计算</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评标基准价计算方法：见评标办法前附表。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2.2.2评标价的偏差率计算</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评标价的偏差率计算公式：见评标办法前附表。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2.2.3评分标准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firstLine="420" w:firstLineChars="0"/>
        <w:jc w:val="both"/>
        <w:textAlignment w:val="baseline"/>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评标价评分标准：见评标办法前附表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jc w:val="both"/>
        <w:textAlignment w:val="baseline"/>
        <w:outlineLvl w:val="2"/>
        <w:rPr>
          <w:rFonts w:hint="eastAsia" w:asciiTheme="minorEastAsia" w:hAnsiTheme="minorEastAsia" w:eastAsiaTheme="minorEastAsia" w:cstheme="minorEastAsia"/>
          <w:b/>
          <w:bCs/>
          <w:sz w:val="24"/>
          <w:szCs w:val="24"/>
          <w:highlight w:val="none"/>
          <w:lang w:eastAsia="zh-CN"/>
        </w:rPr>
      </w:pPr>
      <w:bookmarkStart w:id="35" w:name="_Toc21004"/>
      <w:bookmarkStart w:id="36" w:name="_Toc15788"/>
      <w:bookmarkStart w:id="37" w:name="_Toc6203"/>
      <w:bookmarkStart w:id="38" w:name="_Toc31822"/>
      <w:bookmarkStart w:id="39" w:name="_Toc11778"/>
      <w:r>
        <w:rPr>
          <w:rFonts w:hint="eastAsia" w:asciiTheme="minorEastAsia" w:hAnsiTheme="minorEastAsia" w:eastAsiaTheme="minorEastAsia" w:cstheme="minorEastAsia"/>
          <w:b/>
          <w:bCs/>
          <w:sz w:val="24"/>
          <w:szCs w:val="24"/>
          <w:highlight w:val="none"/>
          <w:lang w:eastAsia="zh-CN"/>
        </w:rPr>
        <w:t>3.评标程序</w:t>
      </w:r>
      <w:bookmarkEnd w:id="35"/>
      <w:bookmarkEnd w:id="36"/>
      <w:bookmarkEnd w:id="37"/>
      <w:bookmarkEnd w:id="38"/>
      <w:bookmarkEnd w:id="39"/>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3.1第一个信封初步评审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3.1.1评标委员会可以要求投标人提交第二章“投标人须知”第3.5.1项至第3.5.6项规定的有关证明和证件的原件，以便核验。评标委员会依据本章第2.1款规定的标准对投标文件第一个信封（商务及技术文件）进行初步评审。有一项不符合评审标准的，评标委员会应否决其投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3.1.2第二个信封开标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第一个封（商务及技术文件）评审</w:t>
      </w:r>
      <w:r>
        <w:rPr>
          <w:rFonts w:hint="eastAsia" w:asciiTheme="minorEastAsia" w:hAnsiTheme="minorEastAsia" w:eastAsiaTheme="minorEastAsia" w:cstheme="minorEastAsia"/>
          <w:sz w:val="24"/>
          <w:szCs w:val="24"/>
          <w:highlight w:val="none"/>
          <w:lang w:val="en-US" w:eastAsia="zh-CN"/>
        </w:rPr>
        <w:t>结束</w:t>
      </w:r>
      <w:r>
        <w:rPr>
          <w:rFonts w:hint="eastAsia" w:asciiTheme="minorEastAsia" w:hAnsiTheme="minorEastAsia" w:eastAsiaTheme="minorEastAsia" w:cstheme="minorEastAsia"/>
          <w:sz w:val="24"/>
          <w:szCs w:val="24"/>
          <w:highlight w:val="none"/>
          <w:lang w:eastAsia="zh-CN"/>
        </w:rPr>
        <w:t>后，招标人将按照第二章“投标人须知”第5.1款规定的时间和地点对通过投标文件第一个信封（商务及技术文件）评审的投标文件第二个信封（报价文件）进行开标。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3.2第二个信封初步评审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3.2.1评标委员会依据本章第2.1.1项、第2.1.3项规定的评审标准对投标文件第二个信封（报价文件）进行初步评审。有一项不符合评审标准的，评标委员会应否决其投标。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3.2.2投标报价有算术错误的，评标委员会按以下原则对投标报价进行修正，修正的价格经投标人书面确认后具有约束力。投标人不接受修正价格的，评标委员会应否决其投标。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（1）投标文件中的大写金额与小写金额不一致的，以大写金额为准；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（2）总价金额与依据单价计算出的结果不一致的，以单价</w:t>
      </w:r>
      <w:r>
        <w:rPr>
          <w:rFonts w:hint="eastAsia" w:asciiTheme="minorEastAsia" w:hAnsiTheme="minorEastAsia" w:eastAsiaTheme="minorEastAsia" w:cstheme="minorEastAsia"/>
          <w:sz w:val="24"/>
          <w:szCs w:val="24"/>
          <w:highlight w:val="none"/>
          <w:lang w:val="en-US" w:eastAsia="zh-CN"/>
        </w:rPr>
        <w:t>金额</w:t>
      </w:r>
      <w:r>
        <w:rPr>
          <w:rFonts w:hint="eastAsia" w:asciiTheme="minorEastAsia" w:hAnsiTheme="minorEastAsia" w:eastAsiaTheme="minorEastAsia" w:cstheme="minorEastAsia"/>
          <w:sz w:val="24"/>
          <w:szCs w:val="24"/>
          <w:highlight w:val="none"/>
          <w:lang w:eastAsia="zh-CN"/>
        </w:rPr>
        <w:t>为准修正总价，但单价金额小数点有明显错误的除外；</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（3）当单价与数量相乘不等于合价时，以单价计算为准，如果单价有明显的小数点位置差错，应以标出的合价为准，同时对单价予以修正；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（4）当各子目的合价累计不等于总价时，应以各子目合价累计数为准，修正总价。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3.3.1工程量清单中的投标报价有其他错误的，评标委员会按以下原则对投标报价进行修正，修正的价格经投标人书面确认后具有约束力。投标人不接受修正价格的，评标委员会应否决其投标。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在招标人给定的工程量清单中多报了某个工程子目的单价、合价或总额价，或所报单价、合价或总额价增加了报价范围，则从投标报价中扣除多报的工程子目报价或工程子目报价中增加了报价范围的部分报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（3）当单价与数量的乘积与合价（金额）虽然一致，但投标人修改了该子目的工程数量，则其合价按招标人给定的工程数量乘以投标人所报单价予以修正。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3.3.2修正后的最终投标报价若超过最高投标报价（如有），评标委员会应否决其投标。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3.3.3修正后的最终投标报价仅作为签订合同的一个依据，不参与评标价得分的计算。3.4第二个信封详细评审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3.4.1评标委员会按本章第2.2款规定的量化因素和分值进行打分，并计算出综合评估得分（即评标价得分）。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3.4.2投标人得分分值计算保留小数点后三位，小数点后第三位“四舍五入”。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3.4.3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3.5投标文件相关信息的核查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3.5.1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3.5.2评标委员会应对在评标过程中发现的投标人与投标人之间、投标人与招标人之间存在的串通投标的情形进行评审和认定。投标人存在串通投标、弄虚作假、行贿等违法行为的，评标委员会应否决其投标。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（1）有下列情形之一的，属于投标人相互串通投标：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a.投标人之间协商投标报价等投标文件的实质性内容；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b.投标人之间约定中标人；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c.投标人之间约定部分投标人放弃投标或中标；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d.属于同一集团、协会、商会等组织成员的投标人按照该组织要求协同投标；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e.投标人之间为谋取中标或排斥特定投标人而采取的其他联合行动。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（2）有下列情形之一的，视为投标人相互串通投标：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a.不同投标人的投标文件由同一单位或个人编制；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b.不同投标人委托同一单位或个人办理投标事宜；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c.不同投标人的投标文件载明的项目管理成员为同一人；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d.不同投标人的投标文件异常一致或投标报价呈规律性差异；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e.不同投标人的投标文件相互混装；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f.不同投标人的投标保证金从同一单位或个人的账户转出。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（3）有下列情形之一的，属于招标人与投标人串通投标：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a.招标人在开标前开启投标文件并将有关信息泄露给其他投标人；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b.招标人直接或间接向投标人泄露标底、评标委员会成员等信息；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c.招标人明示或暗示投标人；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d.招标人授意投标人撤换、修改投标文件；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e.招标人明示或暗示投标人为特定投标人中标提供方便；</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f.招标人与投标人为谋求特定投标人中标而采取的其他串通行为。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（4）投标人有下列情形之一的，属于弄虚作假的行为：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a.使用通过受让或租借等方式获取的资格、资质证书投标；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b.使用伪造、变造的许可证件；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c.提供虚假的财务状况或业绩；</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d.提供虚假的项目负责人或主要技术人员简历、劳动关系证明；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e.提供虚假的信用状况；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f.其他弄虚作假的行为。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3.6投标文件的澄清和说明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3.6.1</w:t>
      </w:r>
      <w:r>
        <w:rPr>
          <w:rFonts w:hint="eastAsia" w:asciiTheme="minorEastAsia" w:hAnsiTheme="minorEastAsia" w:eastAsiaTheme="minorEastAsia" w:cstheme="minorEastAsia"/>
          <w:sz w:val="24"/>
          <w:szCs w:val="24"/>
          <w:highlight w:val="none"/>
          <w:lang w:eastAsia="zh-CN"/>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3.6.2</w:t>
      </w:r>
      <w:r>
        <w:rPr>
          <w:rFonts w:hint="eastAsia" w:asciiTheme="minorEastAsia" w:hAnsiTheme="minorEastAsia" w:eastAsiaTheme="minorEastAsia" w:cstheme="minorEastAsia"/>
          <w:sz w:val="24"/>
          <w:szCs w:val="24"/>
          <w:highlight w:val="none"/>
          <w:lang w:eastAsia="zh-CN"/>
        </w:rPr>
        <w:t>澄清和说明不得超出投标文件的范围或改变投标文件的实质性内容（算术性错误的修正除外）。投标人的书面澄清、说明属于投标文件的组成部分。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3.6.3</w:t>
      </w:r>
      <w:r>
        <w:rPr>
          <w:rFonts w:hint="eastAsia" w:asciiTheme="minorEastAsia" w:hAnsiTheme="minorEastAsia" w:eastAsiaTheme="minorEastAsia" w:cstheme="minorEastAsia"/>
          <w:sz w:val="24"/>
          <w:szCs w:val="24"/>
          <w:highlight w:val="none"/>
          <w:lang w:eastAsia="zh-CN"/>
        </w:rPr>
        <w:t>评标委员会不得暗示或诱导投标人作出澄清、说明，对投标人提交的澄清、说明有疑问的，可以要求投标人进一步澄清或说明，直至满足评标委员会的要求。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3.6.4</w:t>
      </w:r>
      <w:r>
        <w:rPr>
          <w:rFonts w:hint="eastAsia" w:asciiTheme="minorEastAsia" w:hAnsiTheme="minorEastAsia" w:eastAsiaTheme="minorEastAsia" w:cstheme="minorEastAsia"/>
          <w:sz w:val="24"/>
          <w:szCs w:val="24"/>
          <w:highlight w:val="none"/>
          <w:lang w:eastAsia="zh-CN"/>
        </w:rPr>
        <w:t>凡超出招标文件规定的或给发包人带来未曾要求的利益的变化、偏差或其他因素在评标时不予考虑。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3.7不得否决投标的情形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投标文件存在第二章“投标人须知”第1.12.3项所列情形的，均视为细微偏差，评标委员会不得否决投标人的投标，应按照第二章“投标人须知”第1.12.4项规定的原则处理。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3.8、评标结果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3.8.1除第二章“投标人须知”前附表授权直接确定中标人外，评标委员会按照得分由高到低的顺序推荐中标候选人，并标明排序。</w:t>
      </w:r>
    </w:p>
    <w:p>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3.8.2</w:t>
      </w:r>
      <w:r>
        <w:rPr>
          <w:rFonts w:hint="eastAsia" w:asciiTheme="minorEastAsia" w:hAnsiTheme="minorEastAsia" w:eastAsiaTheme="minorEastAsia" w:cstheme="minorEastAsia"/>
          <w:sz w:val="24"/>
          <w:szCs w:val="24"/>
          <w:highlight w:val="none"/>
          <w:lang w:eastAsia="zh-CN"/>
        </w:rPr>
        <w:t>评标委员会完成评标后，应向招标人提交书面评标报告。</w:t>
      </w:r>
    </w:p>
    <w:p>
      <w:pPr>
        <w:keepNext w:val="0"/>
        <w:keepLines w:val="0"/>
        <w:widowControl/>
        <w:numPr>
          <w:ilvl w:val="0"/>
          <w:numId w:val="2"/>
        </w:numPr>
        <w:suppressLineNumbers w:val="0"/>
        <w:spacing w:line="360" w:lineRule="auto"/>
        <w:ind w:leftChars="-95" w:right="-168" w:rightChars="-80"/>
        <w:jc w:val="both"/>
        <w:outlineLvl w:val="0"/>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招标人联系方式</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right="-168" w:rightChars="-80" w:firstLine="436" w:firstLineChars="200"/>
        <w:jc w:val="both"/>
        <w:textAlignment w:val="baseline"/>
        <w:outlineLvl w:val="9"/>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 xml:space="preserve">招标人：宁夏公路管理中心石嘴山分中心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004" w:rightChars="-478"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w:t>
      </w:r>
      <w:r>
        <w:rPr>
          <w:rFonts w:hint="eastAsia" w:ascii="宋体" w:hAnsi="宋体" w:eastAsia="宋体" w:cs="宋体"/>
          <w:spacing w:val="-17"/>
          <w:sz w:val="24"/>
          <w:szCs w:val="24"/>
          <w:lang w:val="en-US" w:eastAsia="zh-CN"/>
        </w:rPr>
        <w:t>宁夏石嘴山市大武口区游艺东街521号</w:t>
      </w:r>
      <w:r>
        <w:rPr>
          <w:rFonts w:hint="eastAsia" w:ascii="宋体" w:hAnsi="宋体" w:eastAsia="宋体" w:cs="宋体"/>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联系人：刘先生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电话：0952-2059011                      </w:t>
      </w:r>
    </w:p>
    <w:p>
      <w:pPr>
        <w:pStyle w:val="2"/>
        <w:rPr>
          <w:rFonts w:hint="eastAsia"/>
          <w:lang w:val="en-US" w:eastAsia="zh-CN"/>
        </w:rPr>
      </w:pPr>
    </w:p>
    <w:p>
      <w:pPr>
        <w:rPr>
          <w:rFonts w:hint="eastAsia"/>
          <w:lang w:val="en-US" w:eastAsia="zh-CN"/>
        </w:rPr>
      </w:pPr>
    </w:p>
    <w:sectPr>
      <w:pgSz w:w="11906" w:h="16838"/>
      <w:pgMar w:top="1134" w:right="1247" w:bottom="1134" w:left="124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816"/>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815"/>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4343"/>
      <w:rPr>
        <w:rFonts w:ascii="黑体" w:hAnsi="黑体" w:eastAsia="黑体" w:cs="黑体"/>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9FF60B"/>
    <w:multiLevelType w:val="singleLevel"/>
    <w:tmpl w:val="D09FF60B"/>
    <w:lvl w:ilvl="0" w:tentative="0">
      <w:start w:val="3"/>
      <w:numFmt w:val="chineseCounting"/>
      <w:suff w:val="nothing"/>
      <w:lvlText w:val="%1、"/>
      <w:lvlJc w:val="left"/>
      <w:rPr>
        <w:rFonts w:hint="eastAsia"/>
      </w:rPr>
    </w:lvl>
  </w:abstractNum>
  <w:abstractNum w:abstractNumId="1">
    <w:nsid w:val="3B471B1F"/>
    <w:multiLevelType w:val="singleLevel"/>
    <w:tmpl w:val="3B471B1F"/>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1Yzk5NTBhZmQyMTkxMTIyYmVlZmI1ZTYwNmNlYjkifQ=="/>
  </w:docVars>
  <w:rsids>
    <w:rsidRoot w:val="4604188B"/>
    <w:rsid w:val="13010404"/>
    <w:rsid w:val="306F33F1"/>
    <w:rsid w:val="39817DF9"/>
    <w:rsid w:val="4604188B"/>
    <w:rsid w:val="51AD6962"/>
    <w:rsid w:val="58B74223"/>
    <w:rsid w:val="5CC16665"/>
    <w:rsid w:val="5F306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836"/>
    </w:pPr>
    <w:rPr>
      <w:rFonts w:ascii="宋体" w:hAnsi="宋体" w:eastAsia="宋体" w:cs="宋体"/>
      <w:sz w:val="21"/>
      <w:szCs w:val="21"/>
      <w:lang w:val="zh-CN" w:eastAsia="zh-CN" w:bidi="zh-CN"/>
    </w:rPr>
  </w:style>
  <w:style w:type="paragraph" w:styleId="3">
    <w:name w:val="annotation text"/>
    <w:basedOn w:val="1"/>
    <w:qFormat/>
    <w:uiPriority w:val="0"/>
    <w:pPr>
      <w:jc w:val="left"/>
    </w:pPr>
  </w:style>
  <w:style w:type="paragraph" w:styleId="4">
    <w:name w:val="Body Text Indent"/>
    <w:basedOn w:val="1"/>
    <w:qFormat/>
    <w:uiPriority w:val="0"/>
    <w:pPr>
      <w:ind w:firstLine="648"/>
    </w:pPr>
    <w:rPr>
      <w:sz w:val="32"/>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basedOn w:val="4"/>
    <w:next w:val="1"/>
    <w:qFormat/>
    <w:uiPriority w:val="0"/>
    <w:pPr>
      <w:ind w:firstLine="420" w:firstLineChars="200"/>
    </w:pPr>
  </w:style>
  <w:style w:type="table" w:customStyle="1" w:styleId="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12270</Words>
  <Characters>13159</Characters>
  <Lines>0</Lines>
  <Paragraphs>0</Paragraphs>
  <TotalTime>4</TotalTime>
  <ScaleCrop>false</ScaleCrop>
  <LinksUpToDate>false</LinksUpToDate>
  <CharactersWithSpaces>13288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2023-03-16T02:31:00Z</dcterms:created>
  <dc:creator>狗狗脸 </dc:creator>
  <cp:lastModifiedBy>刘光</cp:lastModifiedBy>
  <dcterms:modified xsi:type="dcterms:W3CDTF">2023-03-18T10:06:33Z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0563B73ADC58469696CE82442CE377D0</vt:lpwstr>
  </property>
</Properties>
</file>