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eastAsia="宋体" w:cs="宋体"/>
          <w:sz w:val="21"/>
          <w:szCs w:val="21"/>
          <w:lang w:eastAsia="zh-CN"/>
        </w:rPr>
      </w:pPr>
      <w:bookmarkStart w:id="0" w:name="_Toc22172_WPSOffice_Level2"/>
      <w:bookmarkStart w:id="1" w:name="_Toc26966"/>
      <w:bookmarkStart w:id="2" w:name="_Toc2128"/>
      <w:bookmarkStart w:id="3" w:name="_Toc12826"/>
      <w:bookmarkStart w:id="4" w:name="_Toc22389"/>
      <w:bookmarkStart w:id="5" w:name="_Toc25519_WPSOffice_Level2"/>
      <w:r>
        <w:rPr>
          <w:rFonts w:hint="eastAsia" w:cs="宋体"/>
          <w:sz w:val="21"/>
          <w:szCs w:val="21"/>
          <w:lang w:eastAsia="zh-CN"/>
        </w:rPr>
        <w:t>一、资格审查内容</w:t>
      </w:r>
    </w:p>
    <w:p>
      <w:pPr>
        <w:pStyle w:val="8"/>
        <w:spacing w:before="240" w:after="240"/>
        <w:rPr>
          <w:rFonts w:hint="eastAsia" w:cs="宋体"/>
          <w:sz w:val="21"/>
          <w:szCs w:val="21"/>
        </w:rPr>
      </w:pPr>
      <w:r>
        <w:rPr>
          <w:rFonts w:hint="eastAsia" w:cs="宋体"/>
          <w:sz w:val="21"/>
          <w:szCs w:val="21"/>
        </w:rPr>
        <w:t>附录1  资格审查条件(资质最低条件)</w:t>
      </w:r>
      <w:bookmarkEnd w:id="0"/>
      <w:bookmarkEnd w:id="1"/>
      <w:bookmarkEnd w:id="2"/>
      <w:bookmarkEnd w:id="3"/>
      <w:bookmarkEnd w:id="4"/>
      <w:bookmarkEnd w:id="5"/>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033" w:type="dxa"/>
            <w:noWrap w:val="0"/>
            <w:tcMar>
              <w:top w:w="113" w:type="dxa"/>
              <w:left w:w="113" w:type="dxa"/>
              <w:bottom w:w="113" w:type="dxa"/>
              <w:right w:w="113" w:type="dxa"/>
            </w:tcMar>
            <w:vAlign w:val="center"/>
          </w:tcPr>
          <w:p>
            <w:pPr>
              <w:spacing w:line="360" w:lineRule="auto"/>
              <w:jc w:val="center"/>
              <w:rPr>
                <w:rFonts w:hint="eastAsia" w:ascii="宋体" w:hAnsi="宋体" w:cs="宋体"/>
                <w:szCs w:val="21"/>
              </w:rPr>
            </w:pPr>
            <w:r>
              <w:rPr>
                <w:rFonts w:hint="eastAsia" w:ascii="宋体" w:hAnsi="宋体" w:cs="宋体"/>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033" w:type="dxa"/>
            <w:noWrap w:val="0"/>
            <w:tcMar>
              <w:top w:w="113" w:type="dxa"/>
              <w:left w:w="113" w:type="dxa"/>
              <w:bottom w:w="113" w:type="dxa"/>
              <w:right w:w="113" w:type="dxa"/>
            </w:tcMar>
            <w:vAlign w:val="center"/>
          </w:tcPr>
          <w:p>
            <w:pPr>
              <w:spacing w:line="348" w:lineRule="auto"/>
              <w:ind w:firstLine="420" w:firstLineChars="200"/>
              <w:jc w:val="left"/>
              <w:rPr>
                <w:rFonts w:hint="eastAsia" w:ascii="宋体" w:hAnsi="宋体" w:cs="宋体"/>
                <w:szCs w:val="21"/>
                <w:highlight w:val="black"/>
              </w:rPr>
            </w:pPr>
            <w:r>
              <w:rPr>
                <w:rFonts w:hint="eastAsia" w:ascii="宋体" w:hAnsi="宋体" w:eastAsia="宋体" w:cs="宋体"/>
                <w:sz w:val="21"/>
                <w:szCs w:val="21"/>
                <w:lang w:val="en-US" w:eastAsia="zh-CN"/>
              </w:rPr>
              <w:t>投标人须具有独立法人资格，持有工商行政管理部门核发的有效的营业执照，具有中华人民共和国住房和城乡建设部颁发的电力施工总承包二级及以上或输变电工程专业承包二级及以上资质；同时具有电力监管机构核发的《承装（修、试）电力设施许可证》，许可范围须为二级及以上承装；同时具有建设行政主管部门颁发的有效安全生产许可证，并在人员、设备、资金等方面具有相应的施工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033" w:type="dxa"/>
            <w:noWrap w:val="0"/>
            <w:tcMar>
              <w:top w:w="113" w:type="dxa"/>
              <w:left w:w="113" w:type="dxa"/>
              <w:bottom w:w="113" w:type="dxa"/>
              <w:right w:w="113" w:type="dxa"/>
            </w:tcMar>
            <w:vAlign w:val="center"/>
          </w:tcPr>
          <w:p>
            <w:pPr>
              <w:spacing w:line="360" w:lineRule="auto"/>
              <w:jc w:val="left"/>
              <w:rPr>
                <w:rFonts w:hint="eastAsia" w:ascii="宋体" w:hAnsi="宋体" w:cs="宋体"/>
                <w:szCs w:val="21"/>
              </w:rPr>
            </w:pPr>
            <w:r>
              <w:rPr>
                <w:rFonts w:hint="eastAsia" w:ascii="宋体" w:hAnsi="宋体" w:cs="宋体"/>
                <w:szCs w:val="21"/>
              </w:rPr>
              <w:t>注：</w:t>
            </w:r>
          </w:p>
          <w:p>
            <w:pPr>
              <w:spacing w:line="360" w:lineRule="auto"/>
              <w:ind w:firstLine="420" w:firstLineChars="200"/>
              <w:jc w:val="left"/>
              <w:rPr>
                <w:rFonts w:hint="eastAsia" w:ascii="宋体" w:hAnsi="宋体" w:cs="宋体"/>
                <w:szCs w:val="21"/>
              </w:rPr>
            </w:pPr>
            <w:r>
              <w:rPr>
                <w:rFonts w:hint="eastAsia" w:ascii="宋体" w:hAnsi="宋体" w:cs="宋体"/>
                <w:szCs w:val="21"/>
              </w:rPr>
              <w:t>1、“投标人基本情况表”应附企业法人营业执照副本和组织机构代码证副本（按照“三证合一”或“五证合一”登记制度进行登记的，可仅提供营业执照副本，下同）、资质证书副本、安全生产许可证副本、基本账户开户许可证（或加盖开户行印章的基本户信息证明材料）的彩色扫描件。</w:t>
            </w:r>
          </w:p>
          <w:p>
            <w:pPr>
              <w:spacing w:line="360" w:lineRule="auto"/>
              <w:ind w:firstLine="420" w:firstLineChars="200"/>
              <w:jc w:val="left"/>
              <w:rPr>
                <w:rFonts w:hint="eastAsia" w:ascii="宋体" w:hAnsi="宋体" w:cs="宋体"/>
                <w:szCs w:val="21"/>
              </w:rPr>
            </w:pPr>
            <w:r>
              <w:rPr>
                <w:rFonts w:hint="eastAsia" w:ascii="宋体" w:hAnsi="宋体" w:cs="宋体"/>
                <w:szCs w:val="21"/>
              </w:rPr>
              <w:t>2、企业法人营业执照副本和组织机构代码证副本、施工资质证书副本、安全生产许可证副本、基本账户开户许可证（或加盖开户行印章的基本户信息证明材料）的复印件应提供全本（证书封面、封底、空白页除外），应包括投标人名称、投标人其他相关信息、颁发机构名称、投标人信息变更情况等关键页在内。</w:t>
            </w:r>
          </w:p>
          <w:p>
            <w:pPr>
              <w:spacing w:line="360" w:lineRule="auto"/>
              <w:ind w:firstLine="420" w:firstLineChars="200"/>
              <w:jc w:val="left"/>
              <w:rPr>
                <w:rFonts w:hint="eastAsia" w:ascii="宋体" w:hAnsi="宋体" w:cs="宋体"/>
                <w:szCs w:val="21"/>
              </w:rPr>
            </w:pPr>
            <w:r>
              <w:rPr>
                <w:rFonts w:hint="eastAsia" w:ascii="宋体" w:hAnsi="宋体" w:cs="宋体"/>
                <w:szCs w:val="21"/>
              </w:rPr>
              <w:t>3、对于法人发生重组或变更的投标人，应在投标文件中提供附有法人重组或变更时相关部门的合法批件、变更时的企业法人营业执照和资质证书的副本变更记录彩色扫描件。</w:t>
            </w:r>
          </w:p>
          <w:p>
            <w:pPr>
              <w:pStyle w:val="2"/>
              <w:rPr>
                <w:rFonts w:hint="eastAsia"/>
                <w:lang w:val="en-US" w:eastAsia="zh-CN"/>
              </w:rPr>
            </w:pPr>
          </w:p>
          <w:p>
            <w:pPr>
              <w:pStyle w:val="2"/>
              <w:spacing w:line="360" w:lineRule="auto"/>
              <w:ind w:firstLine="422" w:firstLineChars="200"/>
              <w:rPr>
                <w:rFonts w:hint="eastAsia" w:ascii="宋体" w:hAnsi="宋体" w:cs="宋体"/>
                <w:szCs w:val="21"/>
                <w:lang w:val="en-US" w:eastAsia="zh-CN"/>
              </w:rPr>
            </w:pPr>
            <w:r>
              <w:rPr>
                <w:rFonts w:hint="eastAsia" w:ascii="宋体" w:hAnsi="宋体" w:cs="宋体"/>
                <w:b/>
                <w:bCs/>
                <w:szCs w:val="21"/>
                <w:lang w:val="en-US" w:eastAsia="zh-CN"/>
              </w:rPr>
              <w:t>全文中若要求不一致时以此处要求为准。</w:t>
            </w:r>
          </w:p>
        </w:tc>
      </w:tr>
    </w:tbl>
    <w:p>
      <w:pPr>
        <w:rPr>
          <w:rFonts w:hint="eastAsia" w:ascii="宋体" w:hAnsi="宋体" w:cs="宋体"/>
          <w:szCs w:val="21"/>
        </w:rPr>
      </w:pPr>
      <w:bookmarkStart w:id="6" w:name="_Toc29394"/>
      <w:bookmarkStart w:id="7" w:name="_Toc12694"/>
      <w:bookmarkStart w:id="8" w:name="_Toc28825_WPSOffice_Level2"/>
      <w:bookmarkStart w:id="9" w:name="_Toc22845"/>
      <w:bookmarkStart w:id="10" w:name="_Toc19287"/>
      <w:bookmarkStart w:id="11" w:name="_Toc21721"/>
      <w:bookmarkStart w:id="12" w:name="_Toc4877"/>
      <w:bookmarkStart w:id="13" w:name="_Toc9698_WPSOffice_Level2"/>
      <w:bookmarkStart w:id="14" w:name="_Toc5648"/>
      <w:bookmarkStart w:id="15" w:name="_Toc15466"/>
      <w:bookmarkStart w:id="16" w:name="_Toc10932"/>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8"/>
        <w:spacing w:before="240" w:after="240"/>
        <w:rPr>
          <w:rFonts w:hint="eastAsia" w:cs="宋体"/>
          <w:sz w:val="21"/>
          <w:szCs w:val="21"/>
        </w:rPr>
      </w:pPr>
      <w:bookmarkStart w:id="17" w:name="_Toc343"/>
      <w:bookmarkStart w:id="18" w:name="_Toc1037"/>
      <w:r>
        <w:rPr>
          <w:rFonts w:hint="eastAsia" w:cs="宋体"/>
          <w:sz w:val="21"/>
          <w:szCs w:val="21"/>
        </w:rPr>
        <w:t>附录2  资格审查条件(财务最低要求)</w:t>
      </w:r>
      <w:bookmarkEnd w:id="6"/>
      <w:bookmarkEnd w:id="7"/>
      <w:bookmarkEnd w:id="8"/>
      <w:bookmarkEnd w:id="9"/>
      <w:bookmarkEnd w:id="10"/>
      <w:bookmarkEnd w:id="11"/>
      <w:bookmarkEnd w:id="12"/>
      <w:bookmarkEnd w:id="13"/>
      <w:bookmarkEnd w:id="14"/>
      <w:bookmarkEnd w:id="15"/>
      <w:bookmarkEnd w:id="16"/>
      <w:bookmarkEnd w:id="17"/>
      <w:bookmarkEnd w:id="18"/>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9000" w:type="dxa"/>
            <w:noWrap w:val="0"/>
            <w:tcMar>
              <w:top w:w="113" w:type="dxa"/>
              <w:left w:w="113" w:type="dxa"/>
              <w:bottom w:w="113" w:type="dxa"/>
              <w:right w:w="113" w:type="dxa"/>
            </w:tcMar>
            <w:vAlign w:val="center"/>
          </w:tcPr>
          <w:p>
            <w:pPr>
              <w:spacing w:line="360" w:lineRule="auto"/>
              <w:jc w:val="center"/>
              <w:rPr>
                <w:rFonts w:hint="eastAsia" w:ascii="宋体" w:hAnsi="宋体" w:cs="宋体"/>
                <w:szCs w:val="21"/>
              </w:rPr>
            </w:pPr>
            <w:r>
              <w:rPr>
                <w:rFonts w:hint="eastAsia" w:ascii="宋体" w:hAnsi="宋体" w:cs="宋体"/>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9000" w:type="dxa"/>
            <w:noWrap w:val="0"/>
            <w:tcMar>
              <w:top w:w="113" w:type="dxa"/>
              <w:left w:w="113" w:type="dxa"/>
              <w:bottom w:w="113" w:type="dxa"/>
              <w:right w:w="113" w:type="dxa"/>
            </w:tcMar>
            <w:vAlign w:val="center"/>
          </w:tcPr>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投标人须提供近三年（2019年、2020年、2021年）经审计的财务报</w:t>
            </w:r>
            <w:r>
              <w:rPr>
                <w:rFonts w:hint="eastAsia" w:ascii="宋体" w:hAnsi="宋体" w:cs="宋体"/>
                <w:color w:val="auto"/>
                <w:szCs w:val="21"/>
                <w:lang w:val="en-US" w:eastAsia="zh-CN"/>
              </w:rPr>
              <w:t>告</w:t>
            </w:r>
            <w:r>
              <w:rPr>
                <w:rFonts w:hint="eastAsia" w:ascii="宋体" w:hAnsi="宋体" w:cs="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1" w:hRule="atLeast"/>
          <w:jc w:val="center"/>
        </w:trPr>
        <w:tc>
          <w:tcPr>
            <w:tcW w:w="9000" w:type="dxa"/>
            <w:noWrap w:val="0"/>
            <w:tcMar>
              <w:top w:w="113" w:type="dxa"/>
              <w:left w:w="113" w:type="dxa"/>
              <w:bottom w:w="113" w:type="dxa"/>
              <w:right w:w="113" w:type="dxa"/>
            </w:tcMar>
            <w:vAlign w:val="center"/>
          </w:tcPr>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注：</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1、投标人应在投标文件中附近三年（2019年、2020年、2021年）经会计师事务所或审计机构审计的财务报</w:t>
            </w:r>
            <w:r>
              <w:rPr>
                <w:rFonts w:hint="eastAsia" w:ascii="宋体" w:hAnsi="宋体" w:cs="宋体"/>
                <w:color w:val="auto"/>
                <w:szCs w:val="21"/>
                <w:lang w:val="en-US" w:eastAsia="zh-CN"/>
              </w:rPr>
              <w:t>告</w:t>
            </w:r>
            <w:r>
              <w:rPr>
                <w:rFonts w:hint="eastAsia" w:ascii="宋体" w:hAnsi="宋体" w:cs="宋体"/>
                <w:color w:val="auto"/>
                <w:szCs w:val="21"/>
              </w:rPr>
              <w:t>，包括资产负债表、现金流量表、利润表和财务情况说明书的彩色扫描件。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2、投标人的成立时间少于该年份规定的可以对本项目投标，应提供成立以来的财务状况表，且投标人所提供的财务报表均需满足对应要求。</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3、投标人如为集团公司，财务会计报表指合并财务会计报表。</w:t>
            </w:r>
          </w:p>
          <w:p>
            <w:pPr>
              <w:pStyle w:val="2"/>
              <w:spacing w:line="360" w:lineRule="auto"/>
              <w:rPr>
                <w:rFonts w:hint="eastAsia" w:ascii="宋体" w:hAnsi="宋体" w:cs="宋体"/>
                <w:color w:val="auto"/>
                <w:szCs w:val="21"/>
                <w:lang w:val="en-US" w:eastAsia="zh-CN"/>
              </w:rPr>
            </w:pPr>
          </w:p>
          <w:p>
            <w:pPr>
              <w:spacing w:line="360" w:lineRule="auto"/>
              <w:ind w:firstLine="632" w:firstLineChars="300"/>
              <w:jc w:val="left"/>
              <w:rPr>
                <w:rFonts w:hint="eastAsia" w:ascii="宋体" w:hAnsi="宋体" w:cs="宋体"/>
                <w:b/>
                <w:bCs/>
                <w:color w:val="auto"/>
                <w:szCs w:val="21"/>
              </w:rPr>
            </w:pPr>
            <w:r>
              <w:rPr>
                <w:rFonts w:hint="eastAsia" w:ascii="宋体" w:hAnsi="宋体" w:cs="宋体"/>
                <w:b/>
                <w:bCs/>
                <w:color w:val="auto"/>
                <w:szCs w:val="21"/>
              </w:rPr>
              <w:t>全文中若要求不一致时以此处要求为准。</w:t>
            </w:r>
          </w:p>
        </w:tc>
      </w:tr>
    </w:tbl>
    <w:p>
      <w:pPr>
        <w:pStyle w:val="8"/>
        <w:spacing w:before="240" w:after="240"/>
        <w:rPr>
          <w:rFonts w:hint="eastAsia" w:cs="宋体"/>
          <w:sz w:val="21"/>
          <w:szCs w:val="21"/>
        </w:rPr>
      </w:pPr>
      <w:bookmarkStart w:id="19" w:name="_Toc29945"/>
      <w:bookmarkStart w:id="20" w:name="_Toc12178"/>
      <w:bookmarkStart w:id="21" w:name="_Toc16795"/>
      <w:bookmarkStart w:id="22" w:name="_Toc11200"/>
      <w:bookmarkStart w:id="23" w:name="_Toc19063"/>
      <w:bookmarkStart w:id="24" w:name="_Toc3789"/>
      <w:bookmarkStart w:id="25" w:name="_Toc21306"/>
      <w:bookmarkStart w:id="26" w:name="_Toc4772_WPSOffice_Level2"/>
      <w:bookmarkStart w:id="27" w:name="_Toc1829_WPSOffice_Level2"/>
      <w:bookmarkStart w:id="28" w:name="_Toc8835"/>
      <w:bookmarkStart w:id="29" w:name="_Toc28142"/>
      <w:bookmarkStart w:id="30" w:name="_Toc15687"/>
      <w:bookmarkStart w:id="31" w:name="_Toc3192"/>
      <w:r>
        <w:rPr>
          <w:rFonts w:hint="eastAsia" w:cs="宋体"/>
          <w:sz w:val="21"/>
          <w:szCs w:val="21"/>
        </w:rPr>
        <w:t>附录3  资格审查条件(业绩最低要求)</w:t>
      </w:r>
      <w:bookmarkEnd w:id="19"/>
      <w:bookmarkEnd w:id="20"/>
      <w:bookmarkEnd w:id="21"/>
      <w:bookmarkEnd w:id="22"/>
      <w:bookmarkEnd w:id="23"/>
      <w:bookmarkEnd w:id="24"/>
      <w:bookmarkEnd w:id="25"/>
      <w:bookmarkEnd w:id="26"/>
      <w:bookmarkEnd w:id="27"/>
      <w:bookmarkEnd w:id="28"/>
      <w:bookmarkEnd w:id="29"/>
      <w:bookmarkEnd w:id="30"/>
      <w:bookmarkEnd w:id="31"/>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926" w:type="dxa"/>
            <w:noWrap w:val="0"/>
            <w:tcMar>
              <w:top w:w="113" w:type="dxa"/>
              <w:left w:w="113" w:type="dxa"/>
              <w:bottom w:w="113" w:type="dxa"/>
              <w:right w:w="113" w:type="dxa"/>
            </w:tcMar>
            <w:vAlign w:val="center"/>
          </w:tcPr>
          <w:p>
            <w:pPr>
              <w:spacing w:line="240" w:lineRule="atLeast"/>
              <w:jc w:val="center"/>
              <w:rPr>
                <w:rFonts w:hint="eastAsia" w:ascii="宋体" w:hAnsi="宋体" w:cs="宋体"/>
                <w:szCs w:val="21"/>
              </w:rPr>
            </w:pPr>
            <w:r>
              <w:rPr>
                <w:rFonts w:hint="eastAsia" w:ascii="宋体" w:hAnsi="宋体" w:cs="宋体"/>
                <w:szCs w:val="21"/>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1" w:hRule="atLeast"/>
          <w:jc w:val="center"/>
        </w:trPr>
        <w:tc>
          <w:tcPr>
            <w:tcW w:w="8926" w:type="dxa"/>
            <w:noWrap w:val="0"/>
            <w:tcMar>
              <w:top w:w="113" w:type="dxa"/>
              <w:left w:w="113" w:type="dxa"/>
              <w:bottom w:w="113" w:type="dxa"/>
              <w:right w:w="113" w:type="dxa"/>
            </w:tcMar>
            <w:vAlign w:val="center"/>
          </w:tcPr>
          <w:p>
            <w:pPr>
              <w:pageBreakBefore w:val="0"/>
              <w:widowControl w:val="0"/>
              <w:kinsoku/>
              <w:wordWrap/>
              <w:autoSpaceDE/>
              <w:autoSpaceDN/>
              <w:bidi w:val="0"/>
              <w:snapToGrid/>
              <w:spacing w:line="360" w:lineRule="auto"/>
              <w:ind w:firstLine="420" w:firstLineChars="200"/>
              <w:textAlignment w:val="auto"/>
              <w:rPr>
                <w:rFonts w:hint="eastAsia" w:ascii="宋体" w:hAnsi="宋体" w:cs="宋体"/>
                <w:szCs w:val="21"/>
                <w:highlight w:val="green"/>
              </w:rPr>
            </w:pPr>
            <w:r>
              <w:rPr>
                <w:rFonts w:hint="eastAsia" w:ascii="宋体" w:hAnsi="宋体" w:eastAsia="宋体" w:cs="宋体"/>
                <w:sz w:val="21"/>
                <w:szCs w:val="21"/>
                <w:lang w:val="en-US" w:eastAsia="zh-CN"/>
              </w:rPr>
              <w:t>投标人近三年（2020年1月1日至投标截止之日止，以合同签订时间为准），至少完成过1个单项合同额不少于900万元220kv及以上电力线路新建或改迁工程业绩。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8926" w:type="dxa"/>
            <w:noWrap w:val="0"/>
            <w:tcMar>
              <w:top w:w="113" w:type="dxa"/>
              <w:left w:w="113" w:type="dxa"/>
              <w:bottom w:w="113" w:type="dxa"/>
              <w:right w:w="113" w:type="dxa"/>
            </w:tcMar>
            <w:vAlign w:val="center"/>
          </w:tcPr>
          <w:p>
            <w:pPr>
              <w:pStyle w:val="2"/>
              <w:spacing w:line="360" w:lineRule="auto"/>
              <w:rPr>
                <w:rFonts w:hint="eastAsia" w:ascii="宋体" w:hAnsi="宋体" w:cs="宋体"/>
                <w:szCs w:val="21"/>
                <w:lang w:val="en-US" w:eastAsia="zh-CN"/>
              </w:rPr>
            </w:pPr>
            <w:r>
              <w:rPr>
                <w:rFonts w:hint="eastAsia" w:ascii="宋体" w:hAnsi="宋体" w:cs="宋体"/>
                <w:szCs w:val="21"/>
                <w:lang w:val="en-US" w:eastAsia="zh-CN"/>
              </w:rPr>
              <w:t>注：</w:t>
            </w:r>
          </w:p>
          <w:p>
            <w:pPr>
              <w:spacing w:line="360" w:lineRule="auto"/>
              <w:ind w:firstLine="420" w:firstLineChars="200"/>
              <w:jc w:val="left"/>
              <w:rPr>
                <w:rFonts w:hint="eastAsia" w:ascii="宋体" w:hAnsi="宋体" w:cs="宋体"/>
                <w:szCs w:val="21"/>
              </w:rPr>
            </w:pPr>
            <w:r>
              <w:rPr>
                <w:rFonts w:hint="eastAsia" w:ascii="宋体" w:hAnsi="宋体" w:cs="宋体"/>
                <w:szCs w:val="21"/>
              </w:rPr>
              <w:t>1、在评审过程中发现投标人提供虚假信息的，招标人将视为该投标文件不符合招标文件的规定，在资格评审中不通过。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szCs w:val="21"/>
              </w:rPr>
              <w:t>2、投标人提供的业绩证明材料：</w:t>
            </w:r>
            <w:r>
              <w:rPr>
                <w:rFonts w:hint="eastAsia" w:ascii="宋体" w:hAnsi="宋体" w:eastAsia="宋体" w:cs="宋体"/>
                <w:color w:val="auto"/>
                <w:sz w:val="21"/>
                <w:szCs w:val="21"/>
                <w:highlight w:val="none"/>
                <w:lang w:eastAsia="zh-CN"/>
              </w:rPr>
              <w:t>应附</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名义签署的合同</w:t>
            </w:r>
            <w:r>
              <w:rPr>
                <w:rFonts w:hint="eastAsia" w:ascii="宋体" w:hAnsi="宋体" w:eastAsia="宋体" w:cs="宋体"/>
                <w:color w:val="auto"/>
                <w:sz w:val="21"/>
                <w:szCs w:val="21"/>
                <w:highlight w:val="none"/>
                <w:lang w:eastAsia="zh-CN"/>
              </w:rPr>
              <w:t>协议书</w:t>
            </w:r>
            <w:r>
              <w:rPr>
                <w:rFonts w:hint="eastAsia" w:ascii="宋体" w:hAnsi="宋体" w:eastAsia="宋体" w:cs="宋体"/>
                <w:color w:val="auto"/>
                <w:sz w:val="21"/>
                <w:szCs w:val="21"/>
                <w:highlight w:val="none"/>
                <w:lang w:val="en-US" w:eastAsia="zh-CN"/>
              </w:rPr>
              <w:t>和交竣工验收证明材料</w:t>
            </w:r>
            <w:r>
              <w:rPr>
                <w:rFonts w:hint="eastAsia" w:ascii="宋体" w:hAnsi="宋体" w:cs="宋体"/>
                <w:color w:val="auto"/>
                <w:sz w:val="21"/>
                <w:szCs w:val="21"/>
                <w:highlight w:val="none"/>
                <w:lang w:val="en-US" w:eastAsia="zh-CN"/>
              </w:rPr>
              <w:t>的彩色扫描件，二者缺一不可</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对电力线路新建或迁改工程涉及的劳务分包及土建分包等非电力线路架设业绩不予认可。</w:t>
            </w:r>
          </w:p>
          <w:p>
            <w:pPr>
              <w:spacing w:line="360" w:lineRule="auto"/>
              <w:ind w:firstLine="420" w:firstLineChars="200"/>
              <w:jc w:val="left"/>
              <w:rPr>
                <w:rFonts w:hint="eastAsia" w:ascii="宋体" w:hAnsi="宋体" w:cs="宋体"/>
                <w:b/>
                <w:bCs/>
                <w:szCs w:val="21"/>
              </w:rPr>
            </w:pPr>
            <w:r>
              <w:rPr>
                <w:rFonts w:hint="eastAsia" w:ascii="宋体" w:hAnsi="宋体" w:cs="宋体"/>
                <w:szCs w:val="21"/>
              </w:rPr>
              <w:t>3、投标人提供的业绩达不到附录3业绩最低要求的，其资格审查不予通过。</w:t>
            </w:r>
          </w:p>
          <w:p>
            <w:pPr>
              <w:spacing w:line="360" w:lineRule="auto"/>
              <w:ind w:firstLine="632" w:firstLineChars="300"/>
              <w:rPr>
                <w:rFonts w:hint="eastAsia" w:ascii="宋体" w:hAnsi="宋体" w:cs="宋体"/>
                <w:szCs w:val="21"/>
              </w:rPr>
            </w:pPr>
            <w:r>
              <w:rPr>
                <w:rFonts w:hint="eastAsia" w:ascii="宋体" w:hAnsi="宋体" w:cs="宋体"/>
                <w:b/>
                <w:bCs/>
                <w:szCs w:val="21"/>
              </w:rPr>
              <w:t>全文中若要求不一致时以此处要求为准。</w:t>
            </w:r>
          </w:p>
        </w:tc>
      </w:tr>
    </w:tbl>
    <w:p>
      <w:pPr>
        <w:pStyle w:val="8"/>
        <w:spacing w:before="240" w:after="240"/>
        <w:rPr>
          <w:rFonts w:hint="eastAsia" w:cs="宋体"/>
          <w:sz w:val="21"/>
          <w:szCs w:val="21"/>
        </w:rPr>
      </w:pPr>
      <w:bookmarkStart w:id="32" w:name="_Toc29891"/>
      <w:bookmarkStart w:id="33" w:name="_Toc5394"/>
      <w:bookmarkStart w:id="34" w:name="_Toc1523"/>
      <w:bookmarkStart w:id="35" w:name="_Toc27950"/>
      <w:bookmarkStart w:id="36" w:name="_Toc7748"/>
      <w:bookmarkStart w:id="37" w:name="_Toc4950"/>
      <w:bookmarkStart w:id="38" w:name="_Toc4032"/>
      <w:bookmarkStart w:id="39" w:name="_Toc10683"/>
      <w:bookmarkStart w:id="40" w:name="_Toc13977"/>
      <w:bookmarkStart w:id="41" w:name="_Toc25525_WPSOffice_Level2"/>
      <w:bookmarkStart w:id="42" w:name="_Toc31726_WPSOffice_Level2"/>
      <w:bookmarkStart w:id="43" w:name="_Toc22736"/>
      <w:bookmarkStart w:id="44" w:name="_Toc713"/>
      <w:r>
        <w:rPr>
          <w:rFonts w:hint="eastAsia" w:cs="宋体"/>
          <w:sz w:val="21"/>
          <w:szCs w:val="21"/>
        </w:rPr>
        <w:t>附录4  资格审查条件(信誉最低要求)</w:t>
      </w:r>
      <w:bookmarkEnd w:id="32"/>
      <w:bookmarkEnd w:id="33"/>
      <w:bookmarkEnd w:id="34"/>
      <w:bookmarkEnd w:id="35"/>
      <w:bookmarkEnd w:id="36"/>
      <w:bookmarkEnd w:id="37"/>
      <w:bookmarkEnd w:id="38"/>
      <w:bookmarkEnd w:id="39"/>
      <w:bookmarkEnd w:id="40"/>
      <w:bookmarkEnd w:id="41"/>
      <w:bookmarkEnd w:id="42"/>
      <w:bookmarkEnd w:id="43"/>
      <w:bookmarkEnd w:id="44"/>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902"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3" w:hRule="atLeast"/>
          <w:jc w:val="center"/>
        </w:trPr>
        <w:tc>
          <w:tcPr>
            <w:tcW w:w="8902" w:type="dxa"/>
            <w:noWrap w:val="0"/>
            <w:tcMar>
              <w:top w:w="113" w:type="dxa"/>
              <w:left w:w="113" w:type="dxa"/>
              <w:bottom w:w="113" w:type="dxa"/>
              <w:right w:w="113" w:type="dxa"/>
            </w:tcMar>
            <w:vAlign w:val="center"/>
          </w:tcPr>
          <w:p>
            <w:pPr>
              <w:spacing w:line="360" w:lineRule="auto"/>
              <w:rPr>
                <w:rFonts w:hint="eastAsia" w:ascii="宋体" w:hAnsi="宋体" w:cs="宋体"/>
                <w:szCs w:val="21"/>
              </w:rPr>
            </w:pPr>
            <w:r>
              <w:rPr>
                <w:rFonts w:hint="eastAsia" w:ascii="宋体" w:hAnsi="宋体" w:cs="宋体"/>
                <w:szCs w:val="21"/>
              </w:rPr>
              <w:t>（1）未被省级及以上交通运输主管部门取消招标项目所在地的投标资格且处于有效期内；（</w:t>
            </w:r>
            <w:r>
              <w:rPr>
                <w:rFonts w:hint="eastAsia" w:ascii="宋体" w:hAnsi="宋体" w:cs="宋体"/>
                <w:b/>
                <w:bCs/>
                <w:szCs w:val="21"/>
              </w:rPr>
              <w:t>提供加盖单位印章的承诺函</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（2）未被责令停业，暂扣或吊销执照，或吊销资质证书；</w:t>
            </w:r>
            <w:r>
              <w:rPr>
                <w:rFonts w:hint="eastAsia" w:ascii="宋体" w:hAnsi="宋体" w:cs="宋体"/>
                <w:b/>
                <w:bCs/>
                <w:szCs w:val="21"/>
              </w:rPr>
              <w:t>（提供加盖单位印章的承诺函）。</w:t>
            </w:r>
          </w:p>
          <w:p>
            <w:pPr>
              <w:spacing w:line="360" w:lineRule="auto"/>
              <w:rPr>
                <w:rFonts w:hint="eastAsia" w:ascii="宋体" w:hAnsi="宋体" w:cs="宋体"/>
                <w:szCs w:val="21"/>
              </w:rPr>
            </w:pPr>
            <w:r>
              <w:rPr>
                <w:rFonts w:hint="eastAsia" w:ascii="宋体" w:hAnsi="宋体" w:cs="宋体"/>
                <w:szCs w:val="21"/>
              </w:rPr>
              <w:t>（3）未进入清算程序，或被宣告破产，或其他丧失履约能力的情形；</w:t>
            </w:r>
            <w:r>
              <w:rPr>
                <w:rFonts w:hint="eastAsia" w:ascii="宋体" w:hAnsi="宋体" w:cs="宋体"/>
                <w:b/>
                <w:bCs/>
                <w:szCs w:val="21"/>
              </w:rPr>
              <w:t>（提供加盖单位印章的承诺函）。</w:t>
            </w:r>
          </w:p>
          <w:p>
            <w:pPr>
              <w:spacing w:line="360" w:lineRule="auto"/>
              <w:rPr>
                <w:rFonts w:hint="eastAsia" w:ascii="宋体" w:hAnsi="宋体" w:cs="宋体"/>
                <w:b/>
                <w:bCs/>
                <w:szCs w:val="21"/>
              </w:rPr>
            </w:pPr>
            <w:r>
              <w:rPr>
                <w:rFonts w:hint="eastAsia" w:ascii="宋体" w:hAnsi="宋体" w:cs="宋体"/>
                <w:szCs w:val="21"/>
              </w:rPr>
              <w:t>（4）在国家企业信用信息公示系统（http://www.gsxt.gov.cn/）中</w:t>
            </w:r>
            <w:r>
              <w:rPr>
                <w:rFonts w:hint="eastAsia"/>
              </w:rPr>
              <w:t>未被列入严重违法失信企业名单</w:t>
            </w:r>
            <w:r>
              <w:rPr>
                <w:rFonts w:hint="eastAsia" w:ascii="宋体" w:hAnsi="宋体" w:cs="宋体"/>
                <w:szCs w:val="21"/>
              </w:rPr>
              <w:t>；</w:t>
            </w:r>
            <w:r>
              <w:rPr>
                <w:rFonts w:hint="eastAsia" w:ascii="宋体" w:hAnsi="宋体" w:cs="宋体"/>
                <w:b/>
                <w:bCs/>
                <w:szCs w:val="21"/>
              </w:rPr>
              <w:t>（提供彩色网页查询截图）</w:t>
            </w:r>
          </w:p>
          <w:p>
            <w:pPr>
              <w:spacing w:line="360" w:lineRule="auto"/>
              <w:rPr>
                <w:rFonts w:hint="eastAsia" w:ascii="宋体" w:hAnsi="宋体" w:cs="宋体"/>
                <w:szCs w:val="21"/>
              </w:rPr>
            </w:pPr>
            <w:r>
              <w:rPr>
                <w:rFonts w:hint="eastAsia" w:ascii="宋体" w:hAnsi="宋体" w:cs="宋体"/>
                <w:szCs w:val="21"/>
              </w:rPr>
              <w:t>（5）在“信用中国”网站（http://www.creditchina.gov.cn）中</w:t>
            </w:r>
            <w:r>
              <w:rPr>
                <w:rFonts w:hint="eastAsia"/>
              </w:rPr>
              <w:t>未被列入</w:t>
            </w:r>
            <w:r>
              <w:rPr>
                <w:rFonts w:hint="eastAsia"/>
                <w:color w:val="auto"/>
              </w:rPr>
              <w:t>失信被执行人、企业经营异常名录</w:t>
            </w:r>
            <w:r>
              <w:rPr>
                <w:rFonts w:hint="eastAsia" w:ascii="宋体" w:hAnsi="宋体" w:cs="宋体"/>
                <w:color w:val="auto"/>
                <w:szCs w:val="21"/>
              </w:rPr>
              <w:t>；在“信</w:t>
            </w:r>
            <w:r>
              <w:rPr>
                <w:rFonts w:hint="eastAsia" w:ascii="宋体" w:hAnsi="宋体" w:cs="宋体"/>
                <w:szCs w:val="21"/>
              </w:rPr>
              <w:t>用宁夏”网站（http://credit.nx.gov.cn/）中未被列入失信惩戒名单、未有拖欠农民工工资行政处罚记录。</w:t>
            </w:r>
            <w:r>
              <w:rPr>
                <w:rFonts w:hint="eastAsia" w:ascii="宋体" w:hAnsi="宋体" w:cs="宋体"/>
                <w:b/>
                <w:bCs/>
                <w:szCs w:val="21"/>
              </w:rPr>
              <w:t>（提供彩色网页查询截图）</w:t>
            </w:r>
          </w:p>
          <w:p>
            <w:pPr>
              <w:spacing w:line="360" w:lineRule="auto"/>
              <w:rPr>
                <w:rFonts w:hint="eastAsia" w:ascii="宋体" w:hAnsi="宋体" w:cs="宋体"/>
                <w:szCs w:val="21"/>
              </w:rPr>
            </w:pPr>
            <w:r>
              <w:rPr>
                <w:rFonts w:hint="eastAsia" w:ascii="宋体" w:hAnsi="宋体" w:cs="宋体"/>
                <w:szCs w:val="21"/>
              </w:rPr>
              <w:t>（6）未存在以他人名义投标、串通投标的情形且未处于处罚期内；</w:t>
            </w:r>
            <w:r>
              <w:rPr>
                <w:rFonts w:hint="eastAsia" w:ascii="宋体" w:hAnsi="宋体" w:cs="宋体"/>
                <w:b/>
                <w:bCs/>
                <w:szCs w:val="21"/>
              </w:rPr>
              <w:t>（提供加盖单位印章的承诺函）。</w:t>
            </w:r>
          </w:p>
          <w:p>
            <w:pPr>
              <w:spacing w:line="360" w:lineRule="auto"/>
              <w:rPr>
                <w:rFonts w:hint="eastAsia" w:ascii="宋体" w:hAnsi="宋体" w:cs="宋体"/>
                <w:szCs w:val="21"/>
              </w:rPr>
            </w:pPr>
            <w:r>
              <w:rPr>
                <w:rFonts w:hint="eastAsia" w:ascii="宋体" w:hAnsi="宋体" w:cs="宋体"/>
                <w:szCs w:val="21"/>
              </w:rPr>
              <w:t>（7）投标人及其法定代表人、拟委任的项目经理自20</w:t>
            </w:r>
            <w:r>
              <w:rPr>
                <w:rFonts w:hint="eastAsia" w:ascii="宋体" w:hAnsi="宋体" w:cs="宋体"/>
                <w:szCs w:val="21"/>
                <w:lang w:val="en-US" w:eastAsia="zh-CN"/>
              </w:rPr>
              <w:t>20</w:t>
            </w:r>
            <w:r>
              <w:rPr>
                <w:rFonts w:hint="eastAsia" w:ascii="宋体" w:hAnsi="宋体" w:cs="宋体"/>
                <w:szCs w:val="21"/>
              </w:rPr>
              <w:t>年1月1日以来没有行贿犯罪行为的承诺函；</w:t>
            </w:r>
            <w:r>
              <w:rPr>
                <w:rFonts w:hint="eastAsia" w:ascii="宋体" w:hAnsi="宋体" w:cs="宋体"/>
                <w:b/>
                <w:bCs/>
                <w:szCs w:val="21"/>
              </w:rPr>
              <w:t>（提供加盖单位印章的承诺函）</w:t>
            </w:r>
          </w:p>
          <w:p>
            <w:pPr>
              <w:spacing w:line="360" w:lineRule="auto"/>
              <w:rPr>
                <w:rFonts w:hint="eastAsia" w:ascii="宋体" w:hAnsi="宋体" w:cs="宋体"/>
                <w:szCs w:val="21"/>
              </w:rPr>
            </w:pPr>
            <w:r>
              <w:rPr>
                <w:rFonts w:hint="eastAsia" w:ascii="宋体" w:hAnsi="宋体" w:cs="宋体"/>
                <w:szCs w:val="21"/>
              </w:rPr>
              <w:t>（8）法律法规或投标人须知前附表规定的其他情形。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8902" w:type="dxa"/>
            <w:noWrap w:val="0"/>
            <w:tcMar>
              <w:top w:w="113" w:type="dxa"/>
              <w:left w:w="113" w:type="dxa"/>
              <w:bottom w:w="113" w:type="dxa"/>
              <w:right w:w="113" w:type="dxa"/>
            </w:tcMar>
            <w:vAlign w:val="center"/>
          </w:tcPr>
          <w:p>
            <w:pPr>
              <w:spacing w:line="324" w:lineRule="auto"/>
              <w:jc w:val="left"/>
              <w:rPr>
                <w:rFonts w:hint="eastAsia" w:ascii="宋体" w:hAnsi="宋体" w:cs="宋体"/>
                <w:szCs w:val="21"/>
              </w:rPr>
            </w:pPr>
            <w:r>
              <w:rPr>
                <w:rFonts w:hint="eastAsia" w:ascii="宋体" w:hAnsi="宋体" w:cs="宋体"/>
                <w:szCs w:val="21"/>
              </w:rPr>
              <w:t>注：</w:t>
            </w:r>
          </w:p>
          <w:p>
            <w:pPr>
              <w:spacing w:line="324" w:lineRule="auto"/>
              <w:ind w:firstLine="420" w:firstLineChars="200"/>
              <w:jc w:val="left"/>
              <w:rPr>
                <w:rFonts w:hint="eastAsia" w:ascii="宋体" w:hAnsi="宋体" w:cs="宋体"/>
                <w:szCs w:val="21"/>
              </w:rPr>
            </w:pPr>
            <w:r>
              <w:rPr>
                <w:rFonts w:hint="eastAsia" w:ascii="宋体" w:hAnsi="宋体" w:cs="宋体"/>
                <w:szCs w:val="21"/>
              </w:rPr>
              <w:t>1、在评审过程中发现投标人提供虚假信息的，招标人将视为该投标文件不符合招标文件的规定，在资格评审中不通过；</w:t>
            </w:r>
          </w:p>
          <w:p>
            <w:pPr>
              <w:spacing w:line="324" w:lineRule="auto"/>
              <w:ind w:firstLine="420" w:firstLineChars="200"/>
              <w:jc w:val="left"/>
              <w:rPr>
                <w:rFonts w:hint="eastAsia" w:ascii="宋体" w:hAnsi="宋体" w:cs="宋体"/>
                <w:szCs w:val="21"/>
              </w:rPr>
            </w:pPr>
            <w:r>
              <w:rPr>
                <w:rFonts w:hint="eastAsia" w:ascii="宋体" w:hAnsi="宋体" w:cs="宋体"/>
                <w:szCs w:val="21"/>
              </w:rPr>
              <w:t>2、如投标人中标，招标人发现投标人提供的承诺存在虚假信息的，则视为弄虚作假骗取中标，其中标无效，并将按照相关招投标法进行处理。</w:t>
            </w:r>
          </w:p>
          <w:p>
            <w:pPr>
              <w:ind w:firstLine="422" w:firstLineChars="200"/>
              <w:rPr>
                <w:rFonts w:hint="eastAsia" w:ascii="宋体" w:hAnsi="宋体" w:cs="宋体"/>
                <w:szCs w:val="21"/>
              </w:rPr>
            </w:pPr>
            <w:r>
              <w:rPr>
                <w:rFonts w:hint="eastAsia" w:ascii="宋体" w:hAnsi="宋体" w:cs="宋体"/>
                <w:b/>
                <w:bCs/>
                <w:szCs w:val="21"/>
              </w:rPr>
              <w:t>全文中若要求不一致时以此处要求为准。</w:t>
            </w:r>
          </w:p>
          <w:p>
            <w:pPr>
              <w:ind w:left="210" w:leftChars="100"/>
              <w:rPr>
                <w:rFonts w:hint="eastAsia" w:ascii="宋体" w:hAnsi="宋体" w:cs="宋体"/>
                <w:szCs w:val="21"/>
              </w:rPr>
            </w:pPr>
          </w:p>
        </w:tc>
      </w:tr>
    </w:tbl>
    <w:p>
      <w:pPr>
        <w:spacing w:before="120" w:after="120"/>
        <w:jc w:val="center"/>
        <w:rPr>
          <w:rFonts w:hint="eastAsia" w:ascii="宋体" w:hAnsi="宋体" w:cs="宋体"/>
          <w:b/>
          <w:bCs/>
          <w:kern w:val="44"/>
          <w:szCs w:val="21"/>
        </w:rPr>
      </w:pPr>
    </w:p>
    <w:p>
      <w:pPr>
        <w:rPr>
          <w:rFonts w:hint="eastAsia" w:ascii="宋体" w:hAnsi="宋体" w:cs="宋体"/>
          <w:szCs w:val="21"/>
        </w:rPr>
      </w:pPr>
      <w:r>
        <w:rPr>
          <w:rFonts w:hint="eastAsia" w:ascii="宋体" w:hAnsi="宋体" w:cs="宋体"/>
          <w:szCs w:val="21"/>
        </w:rPr>
        <w:br w:type="page"/>
      </w:r>
    </w:p>
    <w:p>
      <w:pPr>
        <w:pStyle w:val="8"/>
        <w:spacing w:before="0" w:beforeLines="0" w:after="0" w:afterLines="0"/>
        <w:rPr>
          <w:rFonts w:hint="eastAsia" w:cs="宋体"/>
          <w:sz w:val="21"/>
          <w:szCs w:val="21"/>
        </w:rPr>
      </w:pPr>
      <w:bookmarkStart w:id="45" w:name="_Toc31570"/>
      <w:bookmarkStart w:id="46" w:name="_Toc2013"/>
      <w:bookmarkStart w:id="47" w:name="_Toc32623"/>
      <w:bookmarkStart w:id="48" w:name="_Toc730"/>
      <w:bookmarkStart w:id="49" w:name="_Toc13179_WPSOffice_Level2"/>
      <w:bookmarkStart w:id="50" w:name="_Toc29060"/>
      <w:bookmarkStart w:id="51" w:name="_Toc26892"/>
      <w:bookmarkStart w:id="52" w:name="_Toc24603"/>
      <w:bookmarkStart w:id="53" w:name="_Toc11970"/>
      <w:bookmarkStart w:id="54" w:name="_Toc20951"/>
      <w:bookmarkStart w:id="55" w:name="_Toc1095"/>
      <w:bookmarkStart w:id="56" w:name="_Toc16472"/>
      <w:bookmarkStart w:id="57" w:name="_Toc9516_WPSOffice_Level2"/>
      <w:bookmarkStart w:id="58" w:name="_Toc121"/>
      <w:r>
        <w:rPr>
          <w:rFonts w:hint="eastAsia" w:cs="宋体"/>
          <w:sz w:val="21"/>
          <w:szCs w:val="21"/>
        </w:rPr>
        <w:t>附录5  资格审查条件</w:t>
      </w:r>
      <w:bookmarkEnd w:id="45"/>
      <w:bookmarkEnd w:id="46"/>
    </w:p>
    <w:p>
      <w:pPr>
        <w:pStyle w:val="8"/>
        <w:spacing w:before="0" w:beforeLines="0" w:after="0" w:afterLines="0"/>
        <w:rPr>
          <w:rFonts w:hint="eastAsia" w:cs="宋体"/>
          <w:sz w:val="21"/>
          <w:szCs w:val="21"/>
        </w:rPr>
      </w:pPr>
      <w:bookmarkStart w:id="59" w:name="_Toc17953"/>
      <w:bookmarkStart w:id="60" w:name="_Toc30407"/>
      <w:bookmarkStart w:id="61" w:name="_Toc125"/>
      <w:bookmarkStart w:id="62" w:name="_Toc5641"/>
      <w:r>
        <w:rPr>
          <w:rFonts w:hint="eastAsia" w:cs="宋体"/>
          <w:sz w:val="21"/>
          <w:szCs w:val="21"/>
        </w:rPr>
        <w:t>(项目经理和项目总工最低要求)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4"/>
        <w:gridCol w:w="836"/>
        <w:gridCol w:w="4612"/>
        <w:gridCol w:w="2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234"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人员</w:t>
            </w:r>
          </w:p>
        </w:tc>
        <w:tc>
          <w:tcPr>
            <w:tcW w:w="836"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数量</w:t>
            </w:r>
          </w:p>
        </w:tc>
        <w:tc>
          <w:tcPr>
            <w:tcW w:w="4612"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资格要求</w:t>
            </w:r>
          </w:p>
        </w:tc>
        <w:tc>
          <w:tcPr>
            <w:tcW w:w="2468"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0" w:hRule="exact"/>
          <w:jc w:val="center"/>
        </w:trPr>
        <w:tc>
          <w:tcPr>
            <w:tcW w:w="1234" w:type="dxa"/>
            <w:noWrap w:val="0"/>
            <w:tcMar>
              <w:top w:w="113" w:type="dxa"/>
              <w:left w:w="113" w:type="dxa"/>
              <w:bottom w:w="113" w:type="dxa"/>
              <w:right w:w="113" w:type="dxa"/>
            </w:tcMar>
            <w:vAlign w:val="center"/>
          </w:tcPr>
          <w:p>
            <w:pPr>
              <w:spacing w:line="360" w:lineRule="auto"/>
              <w:jc w:val="center"/>
              <w:rPr>
                <w:rFonts w:hint="eastAsia" w:ascii="宋体" w:hAnsi="宋体" w:cs="宋体"/>
                <w:szCs w:val="21"/>
              </w:rPr>
            </w:pPr>
            <w:r>
              <w:rPr>
                <w:rFonts w:hint="eastAsia" w:ascii="宋体" w:hAnsi="宋体" w:cs="宋体"/>
                <w:szCs w:val="21"/>
              </w:rPr>
              <w:t>项目经理</w:t>
            </w:r>
          </w:p>
        </w:tc>
        <w:tc>
          <w:tcPr>
            <w:tcW w:w="836" w:type="dxa"/>
            <w:noWrap w:val="0"/>
            <w:tcMar>
              <w:top w:w="113" w:type="dxa"/>
              <w:left w:w="113" w:type="dxa"/>
              <w:bottom w:w="113" w:type="dxa"/>
              <w:right w:w="113" w:type="dxa"/>
            </w:tcMar>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4612" w:type="dxa"/>
            <w:noWrap w:val="0"/>
            <w:tcMar>
              <w:top w:w="113" w:type="dxa"/>
              <w:left w:w="113" w:type="dxa"/>
              <w:bottom w:w="113" w:type="dxa"/>
              <w:right w:w="113" w:type="dxa"/>
            </w:tcMar>
            <w:vAlign w:val="center"/>
          </w:tcPr>
          <w:p>
            <w:pPr>
              <w:spacing w:line="300" w:lineRule="exact"/>
              <w:ind w:firstLine="420" w:firstLineChars="200"/>
              <w:jc w:val="left"/>
              <w:rPr>
                <w:rFonts w:hint="eastAsia" w:ascii="宋体" w:hAnsi="宋体" w:cs="宋体"/>
                <w:szCs w:val="21"/>
              </w:rPr>
            </w:pPr>
            <w:r>
              <w:rPr>
                <w:rFonts w:hint="eastAsia" w:ascii="宋体" w:hAnsi="宋体" w:eastAsia="宋体" w:cs="宋体"/>
                <w:sz w:val="21"/>
                <w:szCs w:val="21"/>
                <w:lang w:val="en-US" w:eastAsia="zh-CN"/>
              </w:rPr>
              <w:t>为投标人在职员工，由投标人依法为其缴纳社会保险，且社保缴费单位与注册单位必须一致。持有二级建造师证（机电工程专业），具有电力工程相关专业中级或以上技术职称，并持有住建部门或交通运输部门或电力主管部门颁发的B类安全生产考核合格证。至少担任过1个220KV及以上电力线路新建或改迁工程业绩的项目经理（项目负责人）</w:t>
            </w:r>
          </w:p>
        </w:tc>
        <w:tc>
          <w:tcPr>
            <w:tcW w:w="2468" w:type="dxa"/>
            <w:vMerge w:val="restart"/>
            <w:noWrap w:val="0"/>
            <w:tcMar>
              <w:top w:w="113" w:type="dxa"/>
              <w:left w:w="113" w:type="dxa"/>
              <w:bottom w:w="113" w:type="dxa"/>
              <w:right w:w="113" w:type="dxa"/>
            </w:tcMar>
            <w:vAlign w:val="center"/>
          </w:tcPr>
          <w:p>
            <w:pPr>
              <w:spacing w:line="360" w:lineRule="auto"/>
              <w:jc w:val="left"/>
              <w:rPr>
                <w:rFonts w:hint="eastAsia" w:ascii="宋体" w:hAnsi="宋体" w:cs="宋体"/>
                <w:szCs w:val="21"/>
              </w:rPr>
            </w:pPr>
            <w:r>
              <w:rPr>
                <w:rFonts w:hint="eastAsia" w:ascii="宋体" w:hAnsi="宋体" w:cs="宋体"/>
                <w:szCs w:val="21"/>
              </w:rPr>
              <w:t>无在岗项目（指目前未在其他项目上任职，或虽在其它项目上中标，且中标项目的合同工期与本次招标项目的工期重叠，但本项目中标后能够从该项目撤离。）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5" w:hRule="exact"/>
          <w:jc w:val="center"/>
        </w:trPr>
        <w:tc>
          <w:tcPr>
            <w:tcW w:w="1234"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项目总工</w:t>
            </w:r>
          </w:p>
        </w:tc>
        <w:tc>
          <w:tcPr>
            <w:tcW w:w="836" w:type="dxa"/>
            <w:noWrap w:val="0"/>
            <w:tcMar>
              <w:top w:w="113" w:type="dxa"/>
              <w:left w:w="113" w:type="dxa"/>
              <w:bottom w:w="113" w:type="dxa"/>
              <w:right w:w="113" w:type="dxa"/>
            </w:tcMar>
            <w:vAlign w:val="center"/>
          </w:tcPr>
          <w:p>
            <w:pPr>
              <w:jc w:val="center"/>
              <w:rPr>
                <w:rFonts w:hint="eastAsia" w:ascii="宋体" w:hAnsi="宋体" w:cs="宋体"/>
                <w:szCs w:val="21"/>
              </w:rPr>
            </w:pPr>
            <w:r>
              <w:rPr>
                <w:rFonts w:hint="eastAsia" w:ascii="宋体" w:hAnsi="宋体" w:cs="宋体"/>
                <w:szCs w:val="21"/>
              </w:rPr>
              <w:t>1</w:t>
            </w:r>
          </w:p>
        </w:tc>
        <w:tc>
          <w:tcPr>
            <w:tcW w:w="4612" w:type="dxa"/>
            <w:noWrap w:val="0"/>
            <w:tcMar>
              <w:top w:w="113" w:type="dxa"/>
              <w:left w:w="113" w:type="dxa"/>
              <w:bottom w:w="113" w:type="dxa"/>
              <w:right w:w="113" w:type="dxa"/>
            </w:tcMar>
            <w:vAlign w:val="center"/>
          </w:tcPr>
          <w:p>
            <w:pPr>
              <w:spacing w:line="300" w:lineRule="exact"/>
              <w:ind w:firstLine="420" w:firstLineChars="200"/>
              <w:jc w:val="left"/>
              <w:rPr>
                <w:rFonts w:hint="eastAsia" w:ascii="宋体" w:hAnsi="宋体" w:cs="宋体"/>
                <w:szCs w:val="21"/>
              </w:rPr>
            </w:pPr>
            <w:r>
              <w:rPr>
                <w:rFonts w:hint="eastAsia" w:ascii="宋体" w:hAnsi="宋体" w:eastAsia="宋体" w:cs="宋体"/>
                <w:sz w:val="21"/>
                <w:szCs w:val="21"/>
                <w:lang w:val="en-US" w:eastAsia="zh-CN"/>
              </w:rPr>
              <w:t>为投标人在职员工，由投标人依法为其缴纳社会保险，且社保缴费单位与注册单位必须一致。具有电力工程相关专业高级技术职称或以上级别职称，并持有住建部门或交通运输部门或电力主管部门颁发的B类安全生产考核合格证。至少担任过1个220KV及以上电力线路新建或改迁工程业绩的项目总工（技术负责人）</w:t>
            </w:r>
          </w:p>
        </w:tc>
        <w:tc>
          <w:tcPr>
            <w:tcW w:w="2468" w:type="dxa"/>
            <w:vMerge w:val="continue"/>
            <w:noWrap w:val="0"/>
            <w:tcMar>
              <w:top w:w="113" w:type="dxa"/>
              <w:left w:w="113" w:type="dxa"/>
              <w:bottom w:w="113" w:type="dxa"/>
              <w:right w:w="113" w:type="dxa"/>
            </w:tcMar>
            <w:vAlign w:val="center"/>
          </w:tcPr>
          <w:p>
            <w:pPr>
              <w:spacing w:line="400" w:lineRule="exact"/>
              <w:jc w:val="left"/>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9150" w:type="dxa"/>
            <w:gridSpan w:val="4"/>
            <w:noWrap w:val="0"/>
            <w:tcMar>
              <w:top w:w="113" w:type="dxa"/>
              <w:left w:w="113" w:type="dxa"/>
              <w:bottom w:w="113" w:type="dxa"/>
              <w:right w:w="113" w:type="dxa"/>
            </w:tcMar>
            <w:vAlign w:val="center"/>
          </w:tcPr>
          <w:p>
            <w:pPr>
              <w:spacing w:line="340" w:lineRule="exact"/>
              <w:jc w:val="left"/>
              <w:rPr>
                <w:rFonts w:hint="eastAsia" w:ascii="宋体" w:hAnsi="宋体" w:cs="宋体"/>
                <w:b/>
                <w:bCs/>
                <w:szCs w:val="21"/>
              </w:rPr>
            </w:pPr>
            <w:r>
              <w:rPr>
                <w:rFonts w:hint="eastAsia" w:ascii="宋体" w:hAnsi="宋体" w:cs="宋体"/>
                <w:b/>
                <w:bCs/>
                <w:szCs w:val="21"/>
              </w:rPr>
              <w:t>注：</w:t>
            </w:r>
          </w:p>
          <w:p>
            <w:pPr>
              <w:spacing w:line="348" w:lineRule="auto"/>
              <w:ind w:firstLine="420" w:firstLineChars="200"/>
              <w:jc w:val="left"/>
              <w:rPr>
                <w:rFonts w:hint="eastAsia" w:ascii="宋体" w:hAnsi="宋体" w:cs="宋体"/>
                <w:szCs w:val="21"/>
              </w:rPr>
            </w:pPr>
            <w:r>
              <w:rPr>
                <w:rFonts w:hint="eastAsia" w:ascii="宋体" w:hAnsi="宋体" w:cs="宋体"/>
                <w:szCs w:val="21"/>
              </w:rPr>
              <w:t>1、投标人需提供项目经理和项目总工的身份证、职称证书、建造师资格证和注册证书、安全生产考核合格B证（还必须附有反映证件有效期、年检情况及单位变更情况信息的证件页）以及资格审查条件所要求的其他相关证书的彩色扫描件。提供建造师注册证书、安全生产考核合格证书在政府相关部门网站上公开信息的网页截图彩色扫描件。投标人所属社保机构出具的2022年</w:t>
            </w:r>
            <w:r>
              <w:rPr>
                <w:rFonts w:hint="eastAsia" w:ascii="宋体" w:hAnsi="宋体" w:cs="宋体"/>
                <w:szCs w:val="21"/>
                <w:lang w:val="en-US" w:eastAsia="zh-CN"/>
              </w:rPr>
              <w:t>6</w:t>
            </w:r>
            <w:r>
              <w:rPr>
                <w:rFonts w:hint="eastAsia" w:ascii="宋体" w:hAnsi="宋体" w:cs="宋体"/>
                <w:szCs w:val="21"/>
              </w:rPr>
              <w:t>月以来连续的某3个月拟委任的项目经理和项目总工有效证明材料复印件。未填报人员或填报人员不满足要求的，其资格审查不予通过。</w:t>
            </w:r>
          </w:p>
          <w:p>
            <w:pPr>
              <w:spacing w:line="348" w:lineRule="auto"/>
              <w:ind w:firstLine="420" w:firstLineChars="200"/>
              <w:jc w:val="left"/>
              <w:rPr>
                <w:rFonts w:hint="eastAsia" w:ascii="宋体" w:hAnsi="宋体" w:cs="宋体"/>
                <w:szCs w:val="21"/>
              </w:rPr>
            </w:pPr>
            <w:r>
              <w:rPr>
                <w:rFonts w:hint="eastAsia" w:ascii="宋体" w:hAnsi="宋体" w:cs="宋体"/>
                <w:szCs w:val="21"/>
              </w:rPr>
              <w:t>2、投标人必须如实填报项目经理、项目总工有无在岗项目，如项目经理、项目总工在其它项目上中标，且中标项目的合同工期与本次招标项目的工期重叠，但本项目中标后能够从中标项目上撤离；或者项目经理、项目总工已经在其它项目上任职，但本项目中标后能够从任职项目上撤离。则投标人必须在本次投标文件中提供书面承诺彩色扫描件，承诺的内容为上述人员能够从中标项目或任职项目上撤离。</w:t>
            </w:r>
          </w:p>
          <w:p>
            <w:pPr>
              <w:spacing w:line="348" w:lineRule="auto"/>
              <w:ind w:firstLine="420" w:firstLineChars="200"/>
              <w:jc w:val="left"/>
              <w:rPr>
                <w:rFonts w:hint="eastAsia" w:ascii="宋体" w:hAnsi="宋体" w:cs="宋体"/>
                <w:szCs w:val="21"/>
              </w:rPr>
            </w:pPr>
            <w:r>
              <w:rPr>
                <w:rFonts w:hint="eastAsia" w:ascii="宋体" w:hAnsi="宋体" w:cs="宋体"/>
                <w:szCs w:val="21"/>
              </w:rPr>
              <w:t>3、项目经理、项目总工应提供业绩证明材料：中标通知书或合同协议书或业主出具的书面证明材料或交</w:t>
            </w:r>
            <w:r>
              <w:rPr>
                <w:rFonts w:hint="eastAsia" w:ascii="宋体" w:hAnsi="宋体" w:cs="宋体"/>
                <w:szCs w:val="21"/>
                <w:lang w:val="en-US" w:eastAsia="zh-CN"/>
              </w:rPr>
              <w:t>竣</w:t>
            </w:r>
            <w:r>
              <w:rPr>
                <w:rFonts w:hint="eastAsia" w:ascii="宋体" w:hAnsi="宋体" w:cs="宋体"/>
                <w:szCs w:val="21"/>
              </w:rPr>
              <w:t>工验收证明材料，并逐页加盖单位章，上述证明材料中应能体现出该拟派项目负责人的姓名及具体担任的职务。</w:t>
            </w:r>
          </w:p>
          <w:p>
            <w:pPr>
              <w:spacing w:line="348" w:lineRule="auto"/>
              <w:ind w:firstLine="420" w:firstLineChars="200"/>
              <w:jc w:val="left"/>
              <w:rPr>
                <w:rFonts w:hint="eastAsia" w:ascii="宋体" w:hAnsi="宋体" w:cs="宋体"/>
                <w:szCs w:val="21"/>
              </w:rPr>
            </w:pPr>
            <w:r>
              <w:rPr>
                <w:rFonts w:hint="eastAsia" w:ascii="宋体" w:hAnsi="宋体" w:cs="宋体"/>
                <w:szCs w:val="21"/>
              </w:rPr>
              <w:t>4、在评审过程中发现投标人提供虚假信息的，招标人将视为该投标文件不符合招标文件的规定，在资格评审中不通过。</w:t>
            </w:r>
          </w:p>
          <w:p>
            <w:pPr>
              <w:spacing w:line="348" w:lineRule="auto"/>
              <w:ind w:firstLine="420" w:firstLineChars="200"/>
              <w:jc w:val="left"/>
              <w:rPr>
                <w:rFonts w:hint="eastAsia" w:ascii="宋体" w:hAnsi="宋体" w:cs="宋体"/>
                <w:szCs w:val="21"/>
              </w:rPr>
            </w:pPr>
            <w:r>
              <w:rPr>
                <w:rFonts w:hint="eastAsia" w:ascii="宋体" w:hAnsi="宋体" w:cs="宋体"/>
                <w:szCs w:val="21"/>
              </w:rPr>
              <w:t>5、如投标人中标，招标人发现投标人投标人提供虚假信息的，则视为弄虚作假骗取中标，其中标无效，并将按照相关招投标法进行处理。</w:t>
            </w:r>
          </w:p>
          <w:p>
            <w:pPr>
              <w:spacing w:line="348" w:lineRule="auto"/>
              <w:ind w:firstLine="420" w:firstLineChars="200"/>
              <w:jc w:val="left"/>
              <w:rPr>
                <w:rFonts w:hint="eastAsia" w:ascii="宋体" w:hAnsi="宋体" w:cs="宋体"/>
                <w:szCs w:val="21"/>
              </w:rPr>
            </w:pPr>
            <w:r>
              <w:rPr>
                <w:rFonts w:hint="eastAsia" w:ascii="宋体" w:hAnsi="宋体" w:cs="宋体"/>
                <w:szCs w:val="21"/>
              </w:rPr>
              <w:t>6、项目经理和项目总工不满足附录5资格要求的其资格审查不通过；</w:t>
            </w:r>
          </w:p>
          <w:p>
            <w:pPr>
              <w:ind w:firstLine="632" w:firstLineChars="300"/>
              <w:rPr>
                <w:rFonts w:hint="eastAsia" w:ascii="宋体" w:hAnsi="宋体" w:cs="宋体"/>
                <w:szCs w:val="21"/>
              </w:rPr>
            </w:pPr>
            <w:r>
              <w:rPr>
                <w:rFonts w:hint="eastAsia" w:ascii="宋体" w:hAnsi="宋体" w:cs="宋体"/>
                <w:b/>
                <w:bCs/>
                <w:szCs w:val="21"/>
              </w:rPr>
              <w:t>全文中若要求不一致时以此处要求为准。</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8"/>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jc w:val="both"/>
        <w:textAlignment w:val="auto"/>
        <w:rPr>
          <w:rFonts w:hint="eastAsia" w:cs="宋体"/>
          <w:sz w:val="21"/>
          <w:szCs w:val="21"/>
          <w:lang w:eastAsia="zh-CN"/>
        </w:rPr>
      </w:pPr>
      <w:r>
        <w:rPr>
          <w:rFonts w:hint="eastAsia" w:cs="宋体"/>
          <w:sz w:val="21"/>
          <w:szCs w:val="21"/>
          <w:lang w:eastAsia="zh-CN"/>
        </w:rPr>
        <w:t>评标办法</w:t>
      </w:r>
    </w:p>
    <w:p>
      <w:pPr>
        <w:pStyle w:val="4"/>
        <w:spacing w:before="0" w:after="0" w:line="360" w:lineRule="auto"/>
        <w:jc w:val="center"/>
        <w:rPr>
          <w:rFonts w:hint="eastAsia"/>
        </w:rPr>
      </w:pPr>
      <w:bookmarkStart w:id="63" w:name="_Toc18264"/>
      <w:bookmarkStart w:id="64" w:name="_Toc18014"/>
      <w:bookmarkStart w:id="65" w:name="_Toc26448"/>
      <w:bookmarkStart w:id="66" w:name="_Toc18243"/>
      <w:bookmarkStart w:id="67" w:name="_Toc18690"/>
      <w:bookmarkStart w:id="68" w:name="_Toc1035"/>
      <w:r>
        <w:rPr>
          <w:rFonts w:hint="eastAsia"/>
        </w:rPr>
        <w:t xml:space="preserve">第三章 </w:t>
      </w:r>
      <w:bookmarkStart w:id="69" w:name="_Toc152042384"/>
      <w:bookmarkStart w:id="70" w:name="_Toc144974573"/>
      <w:bookmarkStart w:id="71" w:name="_Toc236625558"/>
      <w:bookmarkStart w:id="72" w:name="_Toc152045606"/>
      <w:r>
        <w:rPr>
          <w:rFonts w:hint="eastAsia"/>
        </w:rPr>
        <w:t>评标办法（</w:t>
      </w:r>
      <w:r>
        <w:rPr>
          <w:rFonts w:hint="eastAsia"/>
          <w:lang w:eastAsia="zh-CN"/>
        </w:rPr>
        <w:t>合理低价法</w:t>
      </w:r>
      <w:r>
        <w:rPr>
          <w:rFonts w:hint="eastAsia"/>
        </w:rPr>
        <w:t>）</w:t>
      </w:r>
      <w:bookmarkEnd w:id="63"/>
      <w:bookmarkEnd w:id="64"/>
      <w:bookmarkEnd w:id="65"/>
      <w:bookmarkEnd w:id="66"/>
      <w:bookmarkEnd w:id="67"/>
      <w:bookmarkEnd w:id="68"/>
    </w:p>
    <w:p>
      <w:pPr>
        <w:pStyle w:val="5"/>
        <w:jc w:val="center"/>
        <w:rPr>
          <w:rFonts w:hint="eastAsia"/>
        </w:rPr>
      </w:pPr>
      <w:bookmarkStart w:id="73" w:name="_Toc28310"/>
      <w:bookmarkStart w:id="74" w:name="_Toc10731"/>
      <w:bookmarkStart w:id="75" w:name="_Toc2018"/>
      <w:bookmarkStart w:id="76" w:name="_Toc15079"/>
      <w:bookmarkStart w:id="77" w:name="_Toc8317"/>
      <w:bookmarkStart w:id="78" w:name="_Toc24933"/>
      <w:bookmarkStart w:id="79" w:name="_Toc9603"/>
      <w:r>
        <w:rPr>
          <w:rFonts w:hint="eastAsia"/>
          <w:lang w:val="en-US" w:eastAsia="zh-CN"/>
        </w:rPr>
        <w:t xml:space="preserve">第一节  </w:t>
      </w:r>
      <w:r>
        <w:rPr>
          <w:rFonts w:hint="eastAsia"/>
        </w:rPr>
        <w:t>评标办法前附表</w:t>
      </w:r>
      <w:bookmarkEnd w:id="73"/>
      <w:bookmarkEnd w:id="74"/>
      <w:bookmarkEnd w:id="75"/>
      <w:bookmarkEnd w:id="76"/>
      <w:bookmarkEnd w:id="77"/>
      <w:bookmarkEnd w:id="78"/>
      <w:bookmarkEnd w:id="79"/>
    </w:p>
    <w:tbl>
      <w:tblPr>
        <w:tblStyle w:val="6"/>
        <w:tblW w:w="52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712"/>
        <w:gridCol w:w="196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05" w:type="pct"/>
            <w:gridSpan w:val="2"/>
            <w:noWrap w:val="0"/>
            <w:vAlign w:val="center"/>
          </w:tcPr>
          <w:p>
            <w:pPr>
              <w:autoSpaceDE w:val="0"/>
              <w:autoSpaceDN w:val="0"/>
              <w:spacing w:line="336" w:lineRule="auto"/>
              <w:jc w:val="center"/>
              <w:rPr>
                <w:rFonts w:hint="eastAsia" w:ascii="宋体" w:hAnsi="宋体" w:cs="宋体"/>
                <w:b/>
                <w:kern w:val="0"/>
                <w:szCs w:val="21"/>
              </w:rPr>
            </w:pPr>
            <w:r>
              <w:rPr>
                <w:rFonts w:hint="eastAsia" w:ascii="宋体" w:hAnsi="宋体" w:cs="宋体"/>
                <w:b/>
                <w:kern w:val="0"/>
                <w:szCs w:val="21"/>
              </w:rPr>
              <w:t>条款号</w:t>
            </w:r>
          </w:p>
        </w:tc>
        <w:tc>
          <w:tcPr>
            <w:tcW w:w="4194" w:type="pct"/>
            <w:gridSpan w:val="2"/>
            <w:noWrap w:val="0"/>
            <w:vAlign w:val="center"/>
          </w:tcPr>
          <w:p>
            <w:pPr>
              <w:autoSpaceDE w:val="0"/>
              <w:autoSpaceDN w:val="0"/>
              <w:spacing w:line="336" w:lineRule="auto"/>
              <w:jc w:val="center"/>
              <w:rPr>
                <w:rFonts w:hint="eastAsia" w:ascii="宋体" w:hAnsi="宋体" w:cs="宋体"/>
                <w:b/>
                <w:kern w:val="0"/>
                <w:szCs w:val="21"/>
              </w:rPr>
            </w:pPr>
            <w:r>
              <w:rPr>
                <w:rFonts w:hint="eastAsia" w:ascii="宋体" w:hAnsi="宋体" w:cs="宋体"/>
                <w:b/>
                <w:kern w:val="0"/>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trPr>
        <w:tc>
          <w:tcPr>
            <w:tcW w:w="387" w:type="pct"/>
            <w:noWrap w:val="0"/>
            <w:vAlign w:val="center"/>
          </w:tcPr>
          <w:p>
            <w:pPr>
              <w:autoSpaceDE w:val="0"/>
              <w:autoSpaceDN w:val="0"/>
              <w:spacing w:line="336" w:lineRule="auto"/>
              <w:jc w:val="center"/>
              <w:rPr>
                <w:rFonts w:hint="eastAsia" w:ascii="宋体" w:hAnsi="宋体" w:cs="宋体"/>
                <w:b/>
                <w:kern w:val="0"/>
                <w:szCs w:val="21"/>
              </w:rPr>
            </w:pPr>
            <w:r>
              <w:rPr>
                <w:rFonts w:hint="eastAsia" w:ascii="宋体" w:hAnsi="宋体" w:cs="宋体"/>
                <w:bCs/>
                <w:kern w:val="0"/>
                <w:szCs w:val="21"/>
              </w:rPr>
              <w:t>1</w:t>
            </w:r>
          </w:p>
        </w:tc>
        <w:tc>
          <w:tcPr>
            <w:tcW w:w="418" w:type="pct"/>
            <w:noWrap w:val="0"/>
            <w:vAlign w:val="center"/>
          </w:tcPr>
          <w:p>
            <w:pPr>
              <w:autoSpaceDE w:val="0"/>
              <w:autoSpaceDN w:val="0"/>
              <w:spacing w:line="336" w:lineRule="auto"/>
              <w:jc w:val="center"/>
              <w:rPr>
                <w:rFonts w:hint="eastAsia" w:ascii="宋体" w:hAnsi="宋体" w:cs="宋体"/>
                <w:kern w:val="0"/>
                <w:szCs w:val="21"/>
              </w:rPr>
            </w:pPr>
            <w:r>
              <w:rPr>
                <w:rFonts w:hint="eastAsia" w:ascii="宋体" w:hAnsi="宋体" w:cs="宋体"/>
                <w:kern w:val="0"/>
                <w:szCs w:val="21"/>
              </w:rPr>
              <w:t>评标</w:t>
            </w:r>
          </w:p>
          <w:p>
            <w:pPr>
              <w:autoSpaceDE w:val="0"/>
              <w:autoSpaceDN w:val="0"/>
              <w:spacing w:line="336" w:lineRule="auto"/>
              <w:jc w:val="center"/>
              <w:rPr>
                <w:rFonts w:hint="eastAsia" w:ascii="宋体" w:hAnsi="宋体" w:cs="宋体"/>
                <w:kern w:val="0"/>
                <w:szCs w:val="21"/>
              </w:rPr>
            </w:pPr>
            <w:r>
              <w:rPr>
                <w:rFonts w:hint="eastAsia" w:ascii="宋体" w:hAnsi="宋体" w:cs="宋体"/>
                <w:kern w:val="0"/>
                <w:szCs w:val="21"/>
              </w:rPr>
              <w:t>办法</w:t>
            </w:r>
          </w:p>
        </w:tc>
        <w:tc>
          <w:tcPr>
            <w:tcW w:w="4194" w:type="pct"/>
            <w:gridSpan w:val="2"/>
            <w:noWrap w:val="0"/>
            <w:vAlign w:val="center"/>
          </w:tcPr>
          <w:p>
            <w:pPr>
              <w:tabs>
                <w:tab w:val="left" w:pos="246"/>
                <w:tab w:val="left" w:pos="318"/>
                <w:tab w:val="left" w:pos="459"/>
              </w:tabs>
              <w:autoSpaceDE w:val="0"/>
              <w:autoSpaceDN w:val="0"/>
              <w:spacing w:line="360" w:lineRule="auto"/>
              <w:ind w:left="105" w:leftChars="5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综合评分相等时，评标委员会依次按照以下优先顺序推荐中标候选人或确定中标人：</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）评标价低的投标人优先；</w:t>
            </w:r>
          </w:p>
          <w:p>
            <w:pPr>
              <w:tabs>
                <w:tab w:val="left" w:pos="246"/>
                <w:tab w:val="left" w:pos="318"/>
                <w:tab w:val="left" w:pos="459"/>
              </w:tabs>
              <w:autoSpaceDE w:val="0"/>
              <w:autoSpaceDN w:val="0"/>
              <w:spacing w:line="360" w:lineRule="auto"/>
              <w:ind w:left="105" w:leftChars="50"/>
              <w:jc w:val="left"/>
              <w:rPr>
                <w:rFonts w:hint="eastAsia"/>
              </w:rPr>
            </w:pPr>
            <w:r>
              <w:rPr>
                <w:rFonts w:hint="eastAsia" w:ascii="宋体" w:hAnsi="宋体" w:eastAsia="宋体" w:cs="宋体"/>
                <w:lang w:val="en-US" w:eastAsia="zh-CN"/>
              </w:rPr>
              <w:t>（2）</w:t>
            </w:r>
            <w:r>
              <w:rPr>
                <w:rFonts w:hint="eastAsia" w:ascii="宋体" w:hAnsi="宋体" w:eastAsia="宋体" w:cs="宋体"/>
                <w:lang w:eastAsia="zh-CN"/>
              </w:rPr>
              <w:t>由评标委员会根据投标人的综合实力（企业规模、财务情况等），确定推荐顺序。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87" w:type="pct"/>
            <w:noWrap w:val="0"/>
            <w:vAlign w:val="center"/>
          </w:tcPr>
          <w:p>
            <w:pPr>
              <w:spacing w:line="336" w:lineRule="auto"/>
              <w:jc w:val="center"/>
              <w:rPr>
                <w:rFonts w:hint="eastAsia" w:ascii="宋体" w:hAnsi="宋体" w:eastAsia="宋体" w:cs="宋体"/>
                <w:bCs/>
                <w:szCs w:val="21"/>
              </w:rPr>
            </w:pPr>
            <w:r>
              <w:rPr>
                <w:rFonts w:hint="eastAsia" w:ascii="宋体" w:hAnsi="宋体" w:eastAsia="宋体" w:cs="宋体"/>
                <w:bCs/>
                <w:szCs w:val="21"/>
              </w:rPr>
              <w:t>2.1.1</w:t>
            </w:r>
          </w:p>
          <w:p>
            <w:pPr>
              <w:spacing w:line="336" w:lineRule="auto"/>
              <w:jc w:val="center"/>
              <w:rPr>
                <w:rFonts w:hint="default" w:eastAsia="宋体"/>
                <w:lang w:val="en-US" w:eastAsia="zh-CN"/>
              </w:rPr>
            </w:pPr>
            <w:r>
              <w:rPr>
                <w:rFonts w:hint="eastAsia" w:ascii="宋体" w:hAnsi="宋体" w:eastAsia="宋体" w:cs="宋体"/>
                <w:bCs/>
                <w:szCs w:val="21"/>
                <w:lang w:val="en-US" w:eastAsia="zh-CN"/>
              </w:rPr>
              <w:t>2.1.3</w:t>
            </w:r>
          </w:p>
        </w:tc>
        <w:tc>
          <w:tcPr>
            <w:tcW w:w="418" w:type="pct"/>
            <w:noWrap w:val="0"/>
            <w:vAlign w:val="center"/>
          </w:tcPr>
          <w:p>
            <w:pPr>
              <w:autoSpaceDE w:val="0"/>
              <w:autoSpaceDN w:val="0"/>
              <w:spacing w:line="336" w:lineRule="auto"/>
              <w:jc w:val="center"/>
              <w:rPr>
                <w:rFonts w:hint="eastAsia" w:ascii="宋体" w:hAnsi="宋体" w:cs="宋体"/>
                <w:bCs/>
                <w:kern w:val="0"/>
                <w:szCs w:val="21"/>
              </w:rPr>
            </w:pPr>
            <w:r>
              <w:rPr>
                <w:rFonts w:hint="eastAsia" w:ascii="宋体" w:hAnsi="宋体" w:cs="宋体"/>
                <w:bCs/>
                <w:kern w:val="0"/>
                <w:szCs w:val="21"/>
              </w:rPr>
              <w:t>形式评审与响应性评审标准</w:t>
            </w:r>
          </w:p>
        </w:tc>
        <w:tc>
          <w:tcPr>
            <w:tcW w:w="4194" w:type="pct"/>
            <w:gridSpan w:val="2"/>
            <w:noWrap w:val="0"/>
            <w:vAlign w:val="center"/>
          </w:tcPr>
          <w:p>
            <w:pPr>
              <w:tabs>
                <w:tab w:val="left" w:pos="246"/>
              </w:tabs>
              <w:autoSpaceDE w:val="0"/>
              <w:autoSpaceDN w:val="0"/>
              <w:spacing w:line="360" w:lineRule="auto"/>
              <w:jc w:val="left"/>
              <w:rPr>
                <w:rFonts w:hint="eastAsia" w:ascii="宋体" w:hAnsi="宋体" w:cs="宋体"/>
                <w:b/>
                <w:bCs/>
              </w:rPr>
            </w:pPr>
            <w:r>
              <w:rPr>
                <w:rFonts w:hint="eastAsia" w:ascii="宋体" w:hAnsi="宋体" w:cs="宋体"/>
                <w:b/>
                <w:bCs/>
              </w:rPr>
              <w:t>第一个信封（商务及技术文件）评审标准：</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（1）投标文件按照招标文件规定的格式、内容填写，字迹清晰可辨：</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a.投标函按招标文件规定填报了项目名称、标段号（如有）、补遗书编号（如有）、工期、工程质量要求</w:t>
            </w:r>
            <w:r>
              <w:rPr>
                <w:rFonts w:hint="eastAsia" w:ascii="宋体" w:hAnsi="宋体" w:cs="宋体"/>
                <w:lang w:eastAsia="zh-CN"/>
              </w:rPr>
              <w:t>及</w:t>
            </w:r>
            <w:r>
              <w:rPr>
                <w:rFonts w:hint="eastAsia" w:ascii="宋体" w:hAnsi="宋体" w:cs="宋体"/>
              </w:rPr>
              <w:t>安全目标等；</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b.</w:t>
            </w:r>
            <w:r>
              <w:rPr>
                <w:rFonts w:hint="eastAsia" w:ascii="宋体" w:hAnsi="宋体" w:eastAsia="宋体" w:cs="宋体"/>
                <w:lang w:eastAsia="zh-CN"/>
              </w:rPr>
              <w:t>投</w:t>
            </w:r>
            <w:r>
              <w:rPr>
                <w:rFonts w:hint="eastAsia" w:ascii="宋体" w:hAnsi="宋体" w:eastAsia="宋体" w:cs="宋体"/>
              </w:rPr>
              <w:t>标函附录的所有内容和数据均符合招标文件规定；</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.投标文件组成齐全完整，内容均按规定填写。</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.投标文件中有承诺函、规范投标行为承诺函、使用农民工承诺函等内容，其内容文字与招标文件规定一致，未进行修改和删减且签字盖章齐全；</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（2）投标文件上法定代表人或其授权代理人的签字、投标人的单位章盖章齐全，符合招标文件规定，符合投标人须知正文第3.7.3款要求；</w:t>
            </w:r>
          </w:p>
          <w:p>
            <w:pPr>
              <w:tabs>
                <w:tab w:val="left" w:pos="246"/>
                <w:tab w:val="left" w:pos="318"/>
                <w:tab w:val="left" w:pos="459"/>
              </w:tabs>
              <w:autoSpaceDE w:val="0"/>
              <w:autoSpaceDN w:val="0"/>
              <w:spacing w:line="336" w:lineRule="auto"/>
              <w:ind w:left="105" w:left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（3）投标人按照招标文件的规定提供了投标保证金：</w:t>
            </w:r>
          </w:p>
          <w:p>
            <w:pPr>
              <w:tabs>
                <w:tab w:val="left" w:pos="246"/>
                <w:tab w:val="left" w:pos="318"/>
                <w:tab w:val="left" w:pos="459"/>
              </w:tabs>
              <w:autoSpaceDE w:val="0"/>
              <w:autoSpaceDN w:val="0"/>
              <w:spacing w:line="336" w:lineRule="auto"/>
              <w:ind w:left="105" w:left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a.投标保证金金额符合招标文件规定的金额，且投标保证金有效期不少于投标有效期；</w:t>
            </w:r>
          </w:p>
          <w:p>
            <w:pPr>
              <w:tabs>
                <w:tab w:val="left" w:pos="246"/>
                <w:tab w:val="left" w:pos="318"/>
                <w:tab w:val="left" w:pos="459"/>
              </w:tabs>
              <w:autoSpaceDE w:val="0"/>
              <w:autoSpaceDN w:val="0"/>
              <w:spacing w:line="336" w:lineRule="auto"/>
              <w:ind w:left="105" w:left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b.若投标保证金采用转账、汇票、本票、支票形式提交，投标人应在递交投标文件截止时间之前，将投标保证金由投标人的基本账户转入招标人指定账户；</w:t>
            </w:r>
          </w:p>
          <w:p>
            <w:pPr>
              <w:tabs>
                <w:tab w:val="left" w:pos="246"/>
                <w:tab w:val="left" w:pos="318"/>
                <w:tab w:val="left" w:pos="459"/>
              </w:tabs>
              <w:autoSpaceDE w:val="0"/>
              <w:autoSpaceDN w:val="0"/>
              <w:spacing w:line="336" w:lineRule="auto"/>
              <w:ind w:left="105" w:leftChars="5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c.若投标保证金采用保函形式提交，保函的格式、开具保函的银行或担保人、保函的有效期均满足招标文件要求，且递交投标文件截止时间之前向招标人单独密封提交了保函原件；</w:t>
            </w:r>
          </w:p>
          <w:p>
            <w:pPr>
              <w:tabs>
                <w:tab w:val="left" w:pos="246"/>
                <w:tab w:val="left" w:pos="318"/>
                <w:tab w:val="left" w:pos="459"/>
              </w:tabs>
              <w:autoSpaceDE w:val="0"/>
              <w:autoSpaceDN w:val="0"/>
              <w:spacing w:line="336" w:lineRule="auto"/>
              <w:ind w:left="105" w:leftChars="50"/>
              <w:jc w:val="left"/>
              <w:rPr>
                <w:rFonts w:hint="eastAsia"/>
                <w:color w:val="auto"/>
              </w:rPr>
            </w:pPr>
            <w:r>
              <w:rPr>
                <w:rFonts w:hint="eastAsia" w:ascii="宋体" w:hAnsi="宋体" w:eastAsia="宋体" w:cs="宋体"/>
                <w:color w:val="auto"/>
                <w:kern w:val="0"/>
                <w:highlight w:val="none"/>
              </w:rPr>
              <w:t>d.若采用其他形式，满足招标文件的规定。</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cs="宋体"/>
              </w:rPr>
              <w:t>（</w:t>
            </w:r>
            <w:r>
              <w:rPr>
                <w:rFonts w:hint="eastAsia" w:ascii="宋体" w:hAnsi="宋体" w:eastAsia="宋体" w:cs="宋体"/>
              </w:rPr>
              <w:t>4）投标人法定代表人授权代理人签署投标文件的，需提交授权委托书，且授权人和被授权人均在授权委托书上亲笔签名，未使用印章、签名章或其他电子制版签名代替。</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（5）投标人法定代表人亲自签署投标文件的，提供了法定代表人身份证明，且法定代表人在法定代表人身份证明上签名，未使用印章、签名章或其他电子制版签名代替。</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（6）投标人未以联合体形式投标；</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（7）投标人无分包计划；</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）同一投标人未提交两个以上不同的投标文件，但招标文件要求提交备选投标的除外；</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）投标文件中未出现有关投标报价的内容；</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）投标文件载明的招标项目完成期限未超过招标文件规定的时限；</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）投标文件对招标文件的实质性要求和条件作出响应；</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）权利义务符合招标文件规定：</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a.投标人应接受招标文件规定的风险划分原则，未提出新的风险划分办法；</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b.投标人未增加发包人的责任范围，或减少投标人义务；</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c.投标人未提出不同的工程验收、计量、支付办法；</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d.投标人对合同纠纷、事故处理办法未提出异议；</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e.投标人在投标活动中无欺诈行为；</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f.投标人未对合同条款有重要保留。</w:t>
            </w:r>
          </w:p>
          <w:p>
            <w:pPr>
              <w:tabs>
                <w:tab w:val="left" w:pos="246"/>
                <w:tab w:val="left" w:pos="318"/>
                <w:tab w:val="left" w:pos="459"/>
              </w:tabs>
              <w:autoSpaceDE w:val="0"/>
              <w:autoSpaceDN w:val="0"/>
              <w:spacing w:line="360" w:lineRule="auto"/>
              <w:ind w:left="105" w:leftChars="50"/>
              <w:jc w:val="left"/>
              <w:rPr>
                <w:rFonts w:hint="eastAsia" w:ascii="宋体" w:hAnsi="宋体" w:cs="宋体"/>
              </w:rPr>
            </w:pPr>
            <w:r>
              <w:rPr>
                <w:rFonts w:hint="eastAsia" w:ascii="宋体" w:hAnsi="宋体" w:cs="宋体"/>
              </w:rPr>
              <w:t>（14）围标、串标审查：如果有证据显示投标人以他人名义投标、与他人串通投标、以行贿手段谋取中标，以及投标弄虚作假的，评标委员会应对该投标文件作无效投标处理；</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 xml:space="preserve">）投标书正本封面应有“正本”标识；投标书副本封面应有“副本”标识；投 </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 xml:space="preserve">标书副本应为正本的复印件；投标文件正、副本份数符合招标文件第二章“投标 </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人须知”第3.7.4项规定；</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eastAsia="zh-CN"/>
              </w:rPr>
              <w:t>未</w:t>
            </w:r>
            <w:r>
              <w:rPr>
                <w:rFonts w:hint="eastAsia" w:ascii="宋体" w:hAnsi="宋体" w:eastAsia="宋体" w:cs="宋体"/>
              </w:rPr>
              <w:t>按照评标委员会的要求进行了澄清、说明或补正；</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17</w:t>
            </w:r>
            <w:r>
              <w:rPr>
                <w:rFonts w:hint="eastAsia" w:ascii="宋体" w:hAnsi="宋体" w:eastAsia="宋体" w:cs="宋体"/>
              </w:rPr>
              <w:t>）投标文件符合招标文件的其他相关规定。</w:t>
            </w:r>
          </w:p>
          <w:p>
            <w:pPr>
              <w:tabs>
                <w:tab w:val="left" w:pos="246"/>
              </w:tabs>
              <w:autoSpaceDE w:val="0"/>
              <w:autoSpaceDN w:val="0"/>
              <w:spacing w:line="360" w:lineRule="auto"/>
              <w:ind w:firstLine="211" w:firstLineChars="100"/>
              <w:jc w:val="left"/>
              <w:rPr>
                <w:rFonts w:hint="eastAsia" w:ascii="宋体" w:hAnsi="宋体" w:cs="宋体"/>
                <w:b/>
                <w:bCs/>
              </w:rPr>
            </w:pPr>
          </w:p>
          <w:p>
            <w:pPr>
              <w:tabs>
                <w:tab w:val="left" w:pos="246"/>
              </w:tabs>
              <w:autoSpaceDE w:val="0"/>
              <w:autoSpaceDN w:val="0"/>
              <w:spacing w:line="360" w:lineRule="auto"/>
              <w:ind w:firstLine="211" w:firstLineChars="100"/>
              <w:jc w:val="left"/>
              <w:rPr>
                <w:rFonts w:hint="eastAsia" w:ascii="宋体" w:hAnsi="宋体" w:cs="宋体"/>
                <w:b/>
                <w:bCs/>
              </w:rPr>
            </w:pPr>
            <w:r>
              <w:rPr>
                <w:rFonts w:hint="eastAsia" w:ascii="宋体" w:hAnsi="宋体" w:cs="宋体"/>
                <w:b/>
                <w:bCs/>
              </w:rPr>
              <w:t>第二个信封（报价文件）评审标准：</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（1）投标文件按照招标文件规定的格式、内容填写，字迹清晰可辨：</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a.投标函按招标文件规定填报了项目名称、标段号（如有）、补遗书编号（如有）、投标价（包括大写金额和小写金额）；</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b.已标价工程量清单说明文字与招标文件规定一致，未进行实质性修改和删减；</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c.投标文件组成齐全完整，内容均按规定填写。</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（2）投标文件格式中（包括但不限于投标函、已标价工程量清单等）中明确要求投标人法定代表人或其委托代理人的签字，明确要求投标人加盖单位章的，符合招标文件规定，符合投标人须知第3.7.3款要求；</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投标报价未超过招标文件设定的最高投标限价；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4</w:t>
            </w:r>
            <w:r>
              <w:rPr>
                <w:rFonts w:hint="eastAsia" w:ascii="宋体" w:hAnsi="宋体" w:eastAsia="宋体" w:cs="宋体"/>
                <w:lang w:val="en-US" w:eastAsia="zh-CN"/>
              </w:rPr>
              <w:t>）投标报价的大写金额能够确定具体数值；</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w:t>
            </w:r>
            <w:r>
              <w:rPr>
                <w:rFonts w:hint="default" w:ascii="宋体" w:hAnsi="宋体" w:eastAsia="宋体" w:cs="宋体"/>
                <w:lang w:val="en-US" w:eastAsia="zh-CN"/>
              </w:rPr>
              <w:t>5</w:t>
            </w:r>
            <w:r>
              <w:rPr>
                <w:rFonts w:hint="eastAsia" w:ascii="宋体" w:hAnsi="宋体" w:eastAsia="宋体" w:cs="宋体"/>
                <w:lang w:val="en-US" w:eastAsia="zh-CN"/>
              </w:rPr>
              <w:t>）同一投标人未提交两个以上不同的投标报价，但招标文件要求提交备选投标的除外；</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 xml:space="preserve">（6）投标人若填写工程清单，填写完毕的工程量清单未对招标人给定的工程量清单电子文件中的数据、格式和运算定义进行修改；工程量固化清单中的投标报价和投标函大写金额报价一致。 </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投标文件正、副本份数符合招标文件第二章“投标人须知”第3.7.4项规定；</w:t>
            </w:r>
          </w:p>
          <w:p>
            <w:pPr>
              <w:tabs>
                <w:tab w:val="left" w:pos="246"/>
                <w:tab w:val="left" w:pos="318"/>
                <w:tab w:val="left" w:pos="459"/>
              </w:tabs>
              <w:autoSpaceDE w:val="0"/>
              <w:autoSpaceDN w:val="0"/>
              <w:spacing w:line="360" w:lineRule="auto"/>
              <w:ind w:left="105" w:leftChars="50"/>
              <w:jc w:val="left"/>
              <w:rPr>
                <w:rFonts w:hint="eastAsia"/>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）投标文件符合招标文件的其他相关规定。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387" w:type="pct"/>
            <w:vMerge w:val="restart"/>
            <w:noWrap w:val="0"/>
            <w:vAlign w:val="center"/>
          </w:tcPr>
          <w:p>
            <w:pPr>
              <w:spacing w:line="336" w:lineRule="auto"/>
              <w:jc w:val="center"/>
              <w:rPr>
                <w:rFonts w:hint="eastAsia" w:ascii="宋体" w:hAnsi="宋体" w:eastAsia="宋体" w:cs="宋体"/>
                <w:b/>
                <w:szCs w:val="21"/>
                <w:lang w:eastAsia="zh-CN"/>
              </w:rPr>
            </w:pPr>
            <w:r>
              <w:rPr>
                <w:rFonts w:hint="eastAsia" w:ascii="宋体" w:hAnsi="宋体" w:cs="宋体"/>
                <w:bCs/>
                <w:szCs w:val="21"/>
              </w:rPr>
              <w:t>2.1.</w:t>
            </w:r>
            <w:r>
              <w:rPr>
                <w:rFonts w:hint="eastAsia" w:ascii="宋体" w:hAnsi="宋体" w:cs="宋体"/>
                <w:bCs/>
                <w:szCs w:val="21"/>
                <w:lang w:val="en-US" w:eastAsia="zh-CN"/>
              </w:rPr>
              <w:t>2</w:t>
            </w:r>
          </w:p>
        </w:tc>
        <w:tc>
          <w:tcPr>
            <w:tcW w:w="418" w:type="pct"/>
            <w:vMerge w:val="restart"/>
            <w:noWrap w:val="0"/>
            <w:vAlign w:val="center"/>
          </w:tcPr>
          <w:p>
            <w:pPr>
              <w:autoSpaceDE w:val="0"/>
              <w:autoSpaceDN w:val="0"/>
              <w:spacing w:line="336" w:lineRule="auto"/>
              <w:jc w:val="center"/>
              <w:rPr>
                <w:rFonts w:hint="eastAsia" w:ascii="宋体" w:hAnsi="宋体" w:cs="宋体"/>
                <w:kern w:val="0"/>
                <w:szCs w:val="21"/>
              </w:rPr>
            </w:pPr>
            <w:r>
              <w:rPr>
                <w:rFonts w:hint="eastAsia" w:ascii="宋体" w:hAnsi="宋体" w:cs="宋体"/>
                <w:kern w:val="0"/>
                <w:szCs w:val="21"/>
              </w:rPr>
              <w:t>资格评审标准</w:t>
            </w: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投标人具备有效的营业执照等证件</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投标人具备有效的企业法人营业执照副本、资质证书副本、安全生产许可证副本、基本账户开户许可证或加盖开户行印章的基本户信息证明材料等招标文件要求提交的证照，且所有证照均为彩色复印件或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投标人资质等级符合招标文件规定</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符合投标人须知附录1（包括小注）的规定。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投标人财务状况符合招标文件规定</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符合投标人须知附录2（包括小注）的规定。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center"/>
              <w:rPr>
                <w:rFonts w:hint="eastAsia" w:ascii="宋体" w:hAnsi="宋体" w:eastAsia="宋体" w:cs="宋体"/>
              </w:rPr>
            </w:pPr>
            <w:r>
              <w:rPr>
                <w:rFonts w:hint="eastAsia" w:ascii="宋体" w:hAnsi="宋体" w:eastAsia="宋体" w:cs="宋体"/>
              </w:rPr>
              <w:t>投标人业绩符合招标文件规定</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符合投标人须知附录3（包括小注）的规定。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center"/>
              <w:rPr>
                <w:rFonts w:hint="eastAsia" w:ascii="宋体" w:hAnsi="宋体" w:eastAsia="宋体" w:cs="宋体"/>
              </w:rPr>
            </w:pPr>
            <w:r>
              <w:rPr>
                <w:rFonts w:hint="eastAsia" w:ascii="宋体" w:hAnsi="宋体" w:eastAsia="宋体" w:cs="宋体"/>
              </w:rPr>
              <w:t>投标人信誉符合招标文件规定</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符合投标人须知附录4（包括小注）的规定。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center"/>
              <w:rPr>
                <w:rFonts w:hint="eastAsia" w:ascii="宋体" w:hAnsi="宋体" w:eastAsia="宋体" w:cs="宋体"/>
              </w:rPr>
            </w:pPr>
            <w:r>
              <w:rPr>
                <w:rFonts w:hint="eastAsia" w:ascii="宋体" w:hAnsi="宋体" w:eastAsia="宋体" w:cs="宋体"/>
              </w:rPr>
              <w:t>投标人项目经理和项目总工符合招标文件规定</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符合投标人须知附录5（包括小注）的规定。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387" w:type="pct"/>
            <w:vMerge w:val="continue"/>
            <w:noWrap w:val="0"/>
            <w:vAlign w:val="center"/>
          </w:tcPr>
          <w:p>
            <w:pPr>
              <w:spacing w:line="336" w:lineRule="auto"/>
              <w:jc w:val="center"/>
              <w:rPr>
                <w:rFonts w:hint="eastAsia" w:ascii="宋体" w:hAnsi="宋体" w:cs="宋体"/>
                <w:b/>
                <w:szCs w:val="21"/>
              </w:rPr>
            </w:pPr>
          </w:p>
        </w:tc>
        <w:tc>
          <w:tcPr>
            <w:tcW w:w="418" w:type="pct"/>
            <w:vMerge w:val="continue"/>
            <w:noWrap w:val="0"/>
            <w:vAlign w:val="center"/>
          </w:tcPr>
          <w:p>
            <w:pPr>
              <w:autoSpaceDE w:val="0"/>
              <w:autoSpaceDN w:val="0"/>
              <w:spacing w:line="336" w:lineRule="auto"/>
              <w:jc w:val="center"/>
              <w:rPr>
                <w:rFonts w:hint="eastAsia" w:ascii="宋体" w:hAnsi="宋体" w:cs="宋体"/>
                <w:kern w:val="0"/>
                <w:szCs w:val="21"/>
              </w:rPr>
            </w:pPr>
          </w:p>
        </w:tc>
        <w:tc>
          <w:tcPr>
            <w:tcW w:w="1135" w:type="pct"/>
            <w:tcBorders>
              <w:right w:val="single" w:color="auto" w:sz="4" w:space="0"/>
            </w:tcBorders>
            <w:noWrap w:val="0"/>
            <w:vAlign w:val="center"/>
          </w:tcPr>
          <w:p>
            <w:pPr>
              <w:tabs>
                <w:tab w:val="left" w:pos="246"/>
                <w:tab w:val="left" w:pos="318"/>
                <w:tab w:val="left" w:pos="459"/>
              </w:tabs>
              <w:autoSpaceDE w:val="0"/>
              <w:autoSpaceDN w:val="0"/>
              <w:spacing w:line="360" w:lineRule="auto"/>
              <w:ind w:left="105" w:leftChars="50"/>
              <w:jc w:val="center"/>
              <w:rPr>
                <w:rFonts w:hint="eastAsia" w:ascii="宋体" w:hAnsi="宋体" w:eastAsia="宋体" w:cs="宋体"/>
              </w:rPr>
            </w:pPr>
            <w:r>
              <w:rPr>
                <w:rFonts w:hint="eastAsia" w:ascii="宋体" w:hAnsi="宋体" w:eastAsia="宋体" w:cs="宋体"/>
              </w:rPr>
              <w:t>投标人不存在第二章“投标人须知”第1.4.3项规定的任何一种情形</w:t>
            </w:r>
          </w:p>
        </w:tc>
        <w:tc>
          <w:tcPr>
            <w:tcW w:w="3059" w:type="pct"/>
            <w:tcBorders>
              <w:left w:val="single" w:color="auto" w:sz="4" w:space="0"/>
            </w:tcBorders>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符合“投标人须知”第1.4.3款规定。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05"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宋体" w:hAnsi="宋体" w:cs="宋体"/>
                <w:kern w:val="0"/>
                <w:szCs w:val="21"/>
              </w:rPr>
            </w:pPr>
            <w:r>
              <w:rPr>
                <w:rFonts w:hint="eastAsia" w:ascii="宋体" w:hAnsi="宋体" w:cs="宋体"/>
                <w:b/>
                <w:kern w:val="0"/>
                <w:szCs w:val="21"/>
              </w:rPr>
              <w:t>条款号</w:t>
            </w:r>
          </w:p>
        </w:tc>
        <w:tc>
          <w:tcPr>
            <w:tcW w:w="1135" w:type="pct"/>
            <w:tcBorders>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宋体" w:hAnsi="宋体" w:cs="宋体"/>
                <w:kern w:val="0"/>
                <w:szCs w:val="21"/>
              </w:rPr>
            </w:pPr>
            <w:r>
              <w:rPr>
                <w:rFonts w:hint="eastAsia" w:ascii="宋体" w:hAnsi="宋体" w:cs="宋体"/>
                <w:b/>
                <w:kern w:val="0"/>
                <w:szCs w:val="21"/>
              </w:rPr>
              <w:t>条款内容</w:t>
            </w:r>
          </w:p>
        </w:tc>
        <w:tc>
          <w:tcPr>
            <w:tcW w:w="305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宋体" w:hAnsi="宋体" w:cs="宋体"/>
                <w:kern w:val="0"/>
                <w:szCs w:val="21"/>
              </w:rPr>
            </w:pPr>
            <w:r>
              <w:rPr>
                <w:rFonts w:hint="eastAsia" w:ascii="宋体" w:hAnsi="宋体" w:cs="宋体"/>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05"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default" w:ascii="宋体" w:hAnsi="宋体" w:eastAsia="宋体" w:cs="宋体"/>
                <w:b/>
                <w:kern w:val="0"/>
                <w:szCs w:val="21"/>
                <w:lang w:val="en-US" w:eastAsia="zh-CN"/>
              </w:rPr>
            </w:pPr>
            <w:r>
              <w:rPr>
                <w:rFonts w:hint="eastAsia" w:ascii="宋体" w:hAnsi="宋体" w:eastAsia="宋体" w:cs="宋体"/>
                <w:bCs/>
                <w:szCs w:val="21"/>
                <w:lang w:val="en-US" w:eastAsia="zh-CN"/>
              </w:rPr>
              <w:t>2.2.1</w:t>
            </w:r>
          </w:p>
        </w:tc>
        <w:tc>
          <w:tcPr>
            <w:tcW w:w="1135" w:type="pct"/>
            <w:tcBorders>
              <w:right w:val="single" w:color="auto" w:sz="4" w:space="0"/>
            </w:tcBorders>
            <w:noWrap w:val="0"/>
            <w:vAlign w:val="center"/>
          </w:tcPr>
          <w:p>
            <w:pPr>
              <w:keepNext w:val="0"/>
              <w:keepLines w:val="0"/>
              <w:pageBreakBefore w:val="0"/>
              <w:kinsoku/>
              <w:wordWrap/>
              <w:overflowPunct/>
              <w:topLinePunct w:val="0"/>
              <w:bidi w:val="0"/>
              <w:adjustRightInd/>
              <w:snapToGrid/>
              <w:spacing w:line="340" w:lineRule="exact"/>
              <w:jc w:val="center"/>
              <w:textAlignment w:val="auto"/>
              <w:outlineLvl w:val="9"/>
              <w:rPr>
                <w:rFonts w:hint="eastAsia" w:ascii="宋体" w:hAnsi="宋体" w:cs="宋体"/>
                <w:szCs w:val="21"/>
                <w:highlight w:val="none"/>
              </w:rPr>
            </w:pPr>
            <w:r>
              <w:rPr>
                <w:rFonts w:hint="eastAsia" w:ascii="宋体" w:hAnsi="宋体" w:cs="宋体"/>
                <w:szCs w:val="21"/>
                <w:highlight w:val="none"/>
              </w:rPr>
              <w:t>分值构成</w:t>
            </w:r>
          </w:p>
          <w:p>
            <w:pPr>
              <w:keepNext w:val="0"/>
              <w:keepLines w:val="0"/>
              <w:pageBreakBefore w:val="0"/>
              <w:kinsoku/>
              <w:wordWrap/>
              <w:overflowPunct/>
              <w:topLinePunct w:val="0"/>
              <w:bidi w:val="0"/>
              <w:adjustRightInd/>
              <w:snapToGrid/>
              <w:spacing w:line="340" w:lineRule="exact"/>
              <w:jc w:val="center"/>
              <w:textAlignment w:val="auto"/>
              <w:outlineLvl w:val="9"/>
              <w:rPr>
                <w:rFonts w:hint="eastAsia" w:ascii="宋体" w:hAnsi="宋体" w:cs="宋体"/>
                <w:b/>
                <w:kern w:val="0"/>
                <w:szCs w:val="21"/>
              </w:rPr>
            </w:pPr>
            <w:r>
              <w:rPr>
                <w:rFonts w:hint="eastAsia" w:ascii="宋体" w:hAnsi="宋体" w:cs="宋体"/>
                <w:szCs w:val="21"/>
                <w:highlight w:val="none"/>
              </w:rPr>
              <w:t>（总分100分）</w:t>
            </w:r>
          </w:p>
        </w:tc>
        <w:tc>
          <w:tcPr>
            <w:tcW w:w="3059" w:type="pct"/>
            <w:tcBorders>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firstLine="210" w:firstLineChars="100"/>
              <w:jc w:val="left"/>
              <w:textAlignment w:val="auto"/>
              <w:rPr>
                <w:rFonts w:hint="eastAsia" w:ascii="宋体" w:hAnsi="宋体" w:cs="宋体"/>
                <w:b/>
                <w:kern w:val="0"/>
                <w:szCs w:val="21"/>
              </w:rPr>
            </w:pPr>
            <w:r>
              <w:rPr>
                <w:rFonts w:hint="eastAsia" w:ascii="宋体" w:hAnsi="宋体" w:cs="宋体"/>
                <w:szCs w:val="21"/>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05" w:type="pct"/>
            <w:gridSpan w:val="2"/>
            <w:noWrap w:val="0"/>
            <w:vAlign w:val="center"/>
          </w:tcPr>
          <w:p>
            <w:pPr>
              <w:autoSpaceDE w:val="0"/>
              <w:autoSpaceDN w:val="0"/>
              <w:spacing w:line="336" w:lineRule="auto"/>
              <w:jc w:val="center"/>
              <w:rPr>
                <w:rFonts w:hint="eastAsia" w:ascii="宋体" w:hAnsi="宋体" w:cs="宋体"/>
                <w:bCs/>
                <w:kern w:val="0"/>
                <w:szCs w:val="21"/>
              </w:rPr>
            </w:pPr>
            <w:r>
              <w:rPr>
                <w:rFonts w:hint="eastAsia" w:ascii="宋体" w:hAnsi="宋体" w:cs="宋体"/>
                <w:bCs/>
                <w:szCs w:val="21"/>
              </w:rPr>
              <w:t>2.2.</w:t>
            </w:r>
            <w:r>
              <w:rPr>
                <w:rFonts w:hint="eastAsia" w:ascii="宋体" w:hAnsi="宋体" w:cs="宋体"/>
                <w:bCs/>
                <w:szCs w:val="21"/>
                <w:lang w:val="en-US" w:eastAsia="zh-CN"/>
              </w:rPr>
              <w:t>2</w:t>
            </w:r>
          </w:p>
        </w:tc>
        <w:tc>
          <w:tcPr>
            <w:tcW w:w="1135" w:type="pct"/>
            <w:noWrap w:val="0"/>
            <w:vAlign w:val="center"/>
          </w:tcPr>
          <w:p>
            <w:pPr>
              <w:tabs>
                <w:tab w:val="left" w:pos="246"/>
                <w:tab w:val="left" w:pos="318"/>
                <w:tab w:val="left" w:pos="459"/>
              </w:tabs>
              <w:autoSpaceDE w:val="0"/>
              <w:autoSpaceDN w:val="0"/>
              <w:spacing w:line="336" w:lineRule="auto"/>
              <w:rPr>
                <w:rFonts w:hint="eastAsia" w:ascii="宋体" w:hAnsi="宋体" w:eastAsia="宋体" w:cs="宋体"/>
                <w:bCs/>
                <w:kern w:val="0"/>
                <w:szCs w:val="21"/>
                <w:lang w:eastAsia="zh-CN"/>
              </w:rPr>
            </w:pPr>
            <w:r>
              <w:rPr>
                <w:rFonts w:hint="eastAsia" w:ascii="宋体" w:hAnsi="宋体" w:cs="宋体"/>
                <w:bCs/>
                <w:kern w:val="0"/>
                <w:szCs w:val="21"/>
                <w:lang w:eastAsia="zh-CN"/>
              </w:rPr>
              <w:t>评标基准价计算办法</w:t>
            </w:r>
          </w:p>
        </w:tc>
        <w:tc>
          <w:tcPr>
            <w:tcW w:w="3059" w:type="pct"/>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一、计算公式字母含义</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 xml:space="preserve">1. P为评标基准价；    </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2. Di为评标价：Di＝投标函文字报价；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3. N为有效评标价的数量（有效评标价：除第一信封经评标委员会否决的投标人及第二信封开标现场被宣布为不进入评标基准价计算的评标价之外，剩余所有投标人的评标价均为有效评标价）；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4. K为评标基准价系数：K值取值范围为0.980、0.985、0.990、0.995、1.000共5个数值，在开标现场由投标人代表随机抽取一个K值，并当场公布；</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5. n1为去掉最高有效评标价的数量，n2为去掉最低有效评标价的数量。</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n1、n2的取值方法：</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当N＜6时，n1、n2均取0；</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当6≤N＜10，n1、n2均取1；</w:t>
            </w:r>
          </w:p>
          <w:p>
            <w:pPr>
              <w:tabs>
                <w:tab w:val="left" w:pos="246"/>
                <w:tab w:val="left" w:pos="318"/>
                <w:tab w:val="left" w:pos="459"/>
              </w:tabs>
              <w:autoSpaceDE w:val="0"/>
              <w:autoSpaceDN w:val="0"/>
              <w:spacing w:line="360" w:lineRule="auto"/>
              <w:ind w:left="105" w:leftChars="50"/>
              <w:jc w:val="left"/>
              <w:rPr>
                <w:rFonts w:hint="eastAsia" w:ascii="宋体" w:hAnsi="宋体" w:cs="宋体"/>
                <w:bCs/>
                <w:kern w:val="0"/>
                <w:szCs w:val="21"/>
              </w:rPr>
            </w:pPr>
            <w:r>
              <w:rPr>
                <w:rFonts w:hint="eastAsia" w:ascii="宋体" w:hAnsi="宋体" w:eastAsia="宋体" w:cs="宋体"/>
              </w:rPr>
              <w:t>当N≥10时，n1在取值区间1～M-1中现场随机抽取，n2在取值区间1～M+1中现场随机抽取，M=N/4，M去尾取整数。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05" w:type="pct"/>
            <w:gridSpan w:val="2"/>
            <w:noWrap w:val="0"/>
            <w:vAlign w:val="center"/>
          </w:tcPr>
          <w:p>
            <w:pPr>
              <w:autoSpaceDE w:val="0"/>
              <w:autoSpaceDN w:val="0"/>
              <w:spacing w:line="336" w:lineRule="auto"/>
              <w:jc w:val="center"/>
              <w:rPr>
                <w:rFonts w:hint="eastAsia" w:ascii="宋体" w:hAnsi="宋体" w:cs="宋体"/>
                <w:bCs/>
                <w:szCs w:val="21"/>
              </w:rPr>
            </w:pPr>
          </w:p>
        </w:tc>
        <w:tc>
          <w:tcPr>
            <w:tcW w:w="1135" w:type="pct"/>
            <w:noWrap w:val="0"/>
            <w:vAlign w:val="center"/>
          </w:tcPr>
          <w:p>
            <w:pPr>
              <w:tabs>
                <w:tab w:val="left" w:pos="246"/>
                <w:tab w:val="left" w:pos="318"/>
                <w:tab w:val="left" w:pos="459"/>
              </w:tabs>
              <w:autoSpaceDE w:val="0"/>
              <w:autoSpaceDN w:val="0"/>
              <w:spacing w:line="336" w:lineRule="auto"/>
              <w:rPr>
                <w:rFonts w:hint="eastAsia" w:ascii="宋体" w:hAnsi="宋体" w:cs="宋体"/>
                <w:bCs/>
                <w:kern w:val="0"/>
                <w:szCs w:val="21"/>
                <w:lang w:eastAsia="zh-CN"/>
              </w:rPr>
            </w:pPr>
          </w:p>
        </w:tc>
        <w:tc>
          <w:tcPr>
            <w:tcW w:w="3059" w:type="pct"/>
            <w:noWrap w:val="0"/>
            <w:vAlign w:val="center"/>
          </w:tcPr>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二、评标基准价计算方法</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在开标现场，招标人将当场计算并宣布评标基准价。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评标价的确定：评标价=投标函文字报价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(2) 评标基准价的确定：</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共有三种不同的评标基准价计算方法，招标人在开标现场随机抽取以下其中一种方法作为当次招标评标基准价的计算方法，评标基准价计算的相关参数均按组由投标人代表随机抽签确定每个参数的抽取人并进行随机抽取。</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b/>
                <w:bCs/>
              </w:rPr>
              <w:t>评标基准价方法1（平均值随机系数法）：</w:t>
            </w:r>
            <w:r>
              <w:rPr>
                <w:rFonts w:hint="eastAsia" w:ascii="宋体" w:hAnsi="宋体" w:eastAsia="宋体" w:cs="宋体"/>
              </w:rPr>
              <w:t>有效评标价去掉n1个最高评标价和n2个最低评标价后取平均值，乘以评标基准价系数K作为评标基准价Ｐ。</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b/>
                <w:bCs/>
              </w:rPr>
              <w:t>评标基准价方法2（价差随机系数法）：</w:t>
            </w:r>
            <w:r>
              <w:rPr>
                <w:rFonts w:hint="eastAsia" w:ascii="宋体" w:hAnsi="宋体" w:eastAsia="宋体" w:cs="宋体"/>
              </w:rPr>
              <w:t>先去掉n1个最高有效评标价和n2个最低有效评标价，用剩余有效评标价中最大评标价与最小评标价之差与调整系数乘积加最小评标价作为评标基准价。</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P＝（Dmax - Dmin）×Ks +Dmin</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式中：Dmax为去掉n1个最高有效评标价后的最大评标价数值。</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Dmin为去掉n2个最低有效评标价后的最小评标价数值。</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Ks为随机调整系数：Ks＝（X+Y/10）/10，其中X、Y为开标现场随机抽取的两个系数，各设5个数值，分别为2、3、4、5、6。</w:t>
            </w:r>
          </w:p>
          <w:p>
            <w:pPr>
              <w:widowControl/>
              <w:shd w:val="clear" w:color="auto" w:fill="FFFFFF"/>
              <w:spacing w:line="340" w:lineRule="exact"/>
              <w:ind w:firstLine="422" w:firstLineChars="200"/>
              <w:jc w:val="left"/>
              <w:rPr>
                <w:rFonts w:hint="eastAsia" w:ascii="宋体" w:hAnsi="宋体" w:cs="宋体"/>
                <w:szCs w:val="21"/>
                <w:highlight w:val="none"/>
              </w:rPr>
            </w:pPr>
            <w:r>
              <w:rPr>
                <w:rFonts w:hint="eastAsia" w:ascii="宋体" w:hAnsi="宋体" w:cs="宋体"/>
                <w:b/>
                <w:szCs w:val="21"/>
                <w:highlight w:val="none"/>
              </w:rPr>
              <w:t>评标基准价方法3（随机权重法）：</w:t>
            </w:r>
            <w:r>
              <w:rPr>
                <w:rFonts w:hint="eastAsia" w:ascii="宋体" w:hAnsi="宋体" w:cs="宋体"/>
                <w:szCs w:val="21"/>
                <w:highlight w:val="none"/>
              </w:rPr>
              <w:t>先去掉n1个最高有效评标价和n2个最低有效评标价后的平均值，用最高投标限价与平均值的权值之和作为评标基准价。</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P=D平均×K1×Q1 + B上限×K2×Q2</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式中：D平均为去掉n1个最高评标价和n2个最低评标价后的平均值</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B上限为投标最高限价</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K1、K2、Q1、Q2权重系数：</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Q2=1-Q1，Q1取值范围30%～70%；</w:t>
            </w:r>
            <w:r>
              <w:rPr>
                <w:rFonts w:hint="eastAsia" w:ascii="宋体" w:hAnsi="宋体" w:cs="宋体"/>
                <w:szCs w:val="21"/>
                <w:highlight w:val="none"/>
                <w:lang w:eastAsia="zh-CN"/>
              </w:rPr>
              <w:t>（本项目</w:t>
            </w:r>
            <w:r>
              <w:rPr>
                <w:rFonts w:hint="eastAsia" w:ascii="宋体" w:hAnsi="宋体" w:cs="宋体"/>
                <w:b w:val="0"/>
                <w:bCs w:val="0"/>
                <w:szCs w:val="21"/>
                <w:highlight w:val="none"/>
              </w:rPr>
              <w:t>Q1取值的步长</w:t>
            </w:r>
            <w:r>
              <w:rPr>
                <w:rFonts w:hint="eastAsia" w:ascii="宋体" w:hAnsi="宋体" w:cs="宋体"/>
                <w:b w:val="0"/>
                <w:bCs w:val="0"/>
                <w:szCs w:val="21"/>
                <w:highlight w:val="none"/>
                <w:lang w:eastAsia="zh-CN"/>
              </w:rPr>
              <w:t>为</w:t>
            </w:r>
            <w:r>
              <w:rPr>
                <w:rFonts w:hint="eastAsia" w:ascii="宋体" w:hAnsi="宋体" w:cs="宋体"/>
                <w:b w:val="0"/>
                <w:bCs w:val="0"/>
                <w:szCs w:val="21"/>
                <w:highlight w:val="none"/>
              </w:rPr>
              <w:t>1%</w:t>
            </w:r>
            <w:r>
              <w:rPr>
                <w:rFonts w:hint="eastAsia" w:ascii="宋体" w:hAnsi="宋体" w:cs="宋体"/>
                <w:b w:val="0"/>
                <w:bCs w:val="0"/>
                <w:szCs w:val="21"/>
                <w:highlight w:val="none"/>
                <w:lang w:eastAsia="zh-CN"/>
              </w:rPr>
              <w:t>）</w:t>
            </w:r>
            <w:r>
              <w:rPr>
                <w:rFonts w:hint="eastAsia" w:ascii="宋体" w:hAnsi="宋体" w:cs="宋体"/>
                <w:szCs w:val="21"/>
                <w:highlight w:val="none"/>
              </w:rPr>
              <w:t>；</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K1的取值范围为：95%～100%；（本项目K1取值的步长为0.5%）；</w:t>
            </w:r>
          </w:p>
          <w:p>
            <w:pPr>
              <w:widowControl/>
              <w:shd w:val="clear" w:color="auto" w:fill="FFFFFF"/>
              <w:spacing w:line="340" w:lineRule="exact"/>
              <w:ind w:firstLine="210" w:firstLineChars="100"/>
              <w:jc w:val="left"/>
              <w:rPr>
                <w:rFonts w:hint="eastAsia" w:ascii="宋体" w:hAnsi="宋体" w:cs="宋体"/>
                <w:szCs w:val="21"/>
                <w:highlight w:val="none"/>
              </w:rPr>
            </w:pPr>
            <w:r>
              <w:rPr>
                <w:rFonts w:hint="eastAsia" w:ascii="宋体" w:hAnsi="宋体" w:eastAsia="宋体" w:cs="宋体"/>
              </w:rPr>
              <w:t>K2的取值范围为(85%+E%)～(90%+E%)，其中E为0至5的自然数，由招标人在编制招标文件时结合项目实际自行选取E值后明确K2的取值范围。本项目中：E=</w:t>
            </w:r>
            <w:r>
              <w:rPr>
                <w:rFonts w:hint="eastAsia" w:ascii="宋体" w:hAnsi="宋体" w:cs="宋体"/>
                <w:bCs/>
                <w:color w:val="0000FF"/>
                <w:szCs w:val="21"/>
                <w:highlight w:val="none"/>
                <w:u w:val="single"/>
                <w:lang w:val="en-US" w:eastAsia="zh-CN"/>
              </w:rPr>
              <w:t xml:space="preserve">  </w:t>
            </w:r>
            <w:r>
              <w:rPr>
                <w:rFonts w:hint="eastAsia" w:cs="宋体"/>
                <w:bCs/>
                <w:color w:val="0000FF"/>
                <w:szCs w:val="21"/>
                <w:highlight w:val="none"/>
                <w:u w:val="single"/>
                <w:lang w:val="en-US" w:eastAsia="zh-CN"/>
              </w:rPr>
              <w:t>3</w:t>
            </w:r>
            <w:r>
              <w:rPr>
                <w:rFonts w:hint="eastAsia" w:ascii="宋体" w:hAnsi="宋体" w:cs="宋体"/>
                <w:bCs/>
                <w:color w:val="0000FF"/>
                <w:szCs w:val="21"/>
                <w:highlight w:val="none"/>
                <w:u w:val="single"/>
                <w:lang w:val="en-US" w:eastAsia="zh-CN"/>
              </w:rPr>
              <w:t xml:space="preserve">  </w:t>
            </w:r>
            <w:r>
              <w:rPr>
                <w:rFonts w:hint="eastAsia" w:cs="宋体"/>
                <w:bCs/>
                <w:szCs w:val="21"/>
                <w:highlight w:val="none"/>
                <w:u w:val="none"/>
                <w:lang w:val="en-US" w:eastAsia="zh-CN"/>
              </w:rPr>
              <w:t>。</w:t>
            </w:r>
          </w:p>
          <w:p>
            <w:pPr>
              <w:tabs>
                <w:tab w:val="left" w:pos="246"/>
                <w:tab w:val="left" w:pos="318"/>
                <w:tab w:val="left" w:pos="459"/>
              </w:tabs>
              <w:autoSpaceDE w:val="0"/>
              <w:autoSpaceDN w:val="0"/>
              <w:spacing w:line="360" w:lineRule="auto"/>
              <w:ind w:left="105" w:leftChars="50"/>
              <w:jc w:val="left"/>
              <w:rPr>
                <w:rFonts w:hint="eastAsia" w:ascii="宋体" w:hAnsi="宋体" w:eastAsia="宋体" w:cs="宋体"/>
              </w:rPr>
            </w:pPr>
            <w:r>
              <w:rPr>
                <w:rFonts w:hint="eastAsia" w:ascii="宋体" w:hAnsi="宋体" w:eastAsia="宋体" w:cs="宋体"/>
              </w:rPr>
              <w:t>Q1值、K1值、K2值均在第二信封开标现场随机抽取确定。Q1取值的步长不大于1%，K1和K2取值的步长不大于0.5%。</w:t>
            </w:r>
          </w:p>
          <w:p>
            <w:pPr>
              <w:tabs>
                <w:tab w:val="left" w:pos="246"/>
                <w:tab w:val="left" w:pos="318"/>
                <w:tab w:val="left" w:pos="459"/>
              </w:tabs>
              <w:autoSpaceDE w:val="0"/>
              <w:autoSpaceDN w:val="0"/>
              <w:spacing w:line="360" w:lineRule="auto"/>
              <w:ind w:firstLine="210" w:firstLineChars="100"/>
              <w:jc w:val="left"/>
              <w:rPr>
                <w:rFonts w:hint="eastAsia" w:ascii="宋体" w:hAnsi="宋体" w:eastAsia="宋体" w:cs="宋体"/>
              </w:rPr>
            </w:pPr>
          </w:p>
          <w:p>
            <w:pPr>
              <w:tabs>
                <w:tab w:val="left" w:pos="246"/>
                <w:tab w:val="left" w:pos="318"/>
                <w:tab w:val="left" w:pos="459"/>
              </w:tabs>
              <w:autoSpaceDE w:val="0"/>
              <w:autoSpaceDN w:val="0"/>
              <w:spacing w:line="360" w:lineRule="auto"/>
              <w:ind w:firstLine="210" w:firstLineChars="100"/>
              <w:jc w:val="left"/>
              <w:rPr>
                <w:rFonts w:hint="eastAsia" w:ascii="宋体" w:hAnsi="宋体" w:cs="宋体"/>
                <w:szCs w:val="21"/>
                <w:highlight w:val="none"/>
              </w:rPr>
            </w:pPr>
            <w:r>
              <w:rPr>
                <w:rFonts w:hint="eastAsia" w:ascii="宋体" w:hAnsi="宋体" w:eastAsia="宋体" w:cs="宋体"/>
              </w:rPr>
              <w:t>招标人应在招标文件中约定高于最高投标限价的投标报价为无效报价，不得参与评标基准价的计算。评标基准价必须在开标时现场计算并确定，计算数据均统一采用开标时各投标人的投标报价，除开标时计算错误外，不因第二信封评审否决投标而改变，也不因招标投标当事人异议、投诉以及其它任何情形而改变。评标基准价确定方法中，凡涉及随机抽取工作的，应由监督部门在开标现场予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5" w:type="pct"/>
            <w:gridSpan w:val="2"/>
            <w:noWrap w:val="0"/>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outlineLvl w:val="9"/>
              <w:rPr>
                <w:rFonts w:hint="eastAsia" w:ascii="宋体" w:hAnsi="宋体" w:cs="宋体"/>
                <w:bCs/>
                <w:kern w:val="0"/>
                <w:szCs w:val="21"/>
              </w:rPr>
            </w:pPr>
            <w:r>
              <w:rPr>
                <w:rFonts w:hint="eastAsia" w:ascii="宋体" w:hAnsi="宋体" w:cs="宋体"/>
                <w:kern w:val="0"/>
                <w:szCs w:val="21"/>
                <w:highlight w:val="none"/>
              </w:rPr>
              <w:t>2.2.3</w:t>
            </w:r>
          </w:p>
        </w:tc>
        <w:tc>
          <w:tcPr>
            <w:tcW w:w="1135" w:type="pct"/>
            <w:noWrap w:val="0"/>
            <w:vAlign w:val="center"/>
          </w:tcPr>
          <w:p>
            <w:pPr>
              <w:keepNext w:val="0"/>
              <w:keepLines w:val="0"/>
              <w:pageBreakBefore w:val="0"/>
              <w:kinsoku/>
              <w:wordWrap/>
              <w:overflowPunct/>
              <w:topLinePunct w:val="0"/>
              <w:bidi w:val="0"/>
              <w:adjustRightInd/>
              <w:snapToGrid/>
              <w:spacing w:line="340" w:lineRule="exact"/>
              <w:jc w:val="center"/>
              <w:textAlignment w:val="auto"/>
              <w:outlineLvl w:val="9"/>
              <w:rPr>
                <w:rFonts w:hint="eastAsia" w:ascii="宋体" w:hAnsi="宋体" w:cs="宋体"/>
                <w:bCs/>
                <w:kern w:val="0"/>
                <w:szCs w:val="21"/>
              </w:rPr>
            </w:pPr>
            <w:r>
              <w:rPr>
                <w:rFonts w:hint="eastAsia" w:ascii="宋体" w:hAnsi="宋体" w:cs="宋体"/>
                <w:szCs w:val="21"/>
                <w:highlight w:val="none"/>
              </w:rPr>
              <w:t>评标价的偏差率计算公式</w:t>
            </w:r>
          </w:p>
        </w:tc>
        <w:tc>
          <w:tcPr>
            <w:tcW w:w="3059" w:type="pct"/>
            <w:noWrap w:val="0"/>
            <w:vAlign w:val="center"/>
          </w:tcPr>
          <w:p>
            <w:pPr>
              <w:keepNext w:val="0"/>
              <w:keepLines w:val="0"/>
              <w:pageBreakBefore w:val="0"/>
              <w:kinsoku/>
              <w:wordWrap/>
              <w:overflowPunct/>
              <w:topLinePunct w:val="0"/>
              <w:autoSpaceDE w:val="0"/>
              <w:autoSpaceDN w:val="0"/>
              <w:bidi w:val="0"/>
              <w:adjustRightInd/>
              <w:snapToGrid/>
              <w:spacing w:line="340" w:lineRule="exact"/>
              <w:jc w:val="left"/>
              <w:textAlignment w:val="auto"/>
              <w:outlineLvl w:val="9"/>
              <w:rPr>
                <w:rFonts w:hint="eastAsia" w:ascii="宋体" w:hAnsi="宋体" w:cs="宋体"/>
                <w:szCs w:val="21"/>
                <w:highlight w:val="none"/>
              </w:rPr>
            </w:pPr>
            <w:r>
              <w:rPr>
                <w:rFonts w:hint="eastAsia" w:ascii="宋体" w:hAnsi="宋体" w:cs="宋体"/>
                <w:szCs w:val="21"/>
                <w:highlight w:val="none"/>
              </w:rPr>
              <w:t>偏差率=100%×（投标人评标价－评标基准价）/评标基准价</w:t>
            </w:r>
          </w:p>
          <w:p>
            <w:pPr>
              <w:keepNext w:val="0"/>
              <w:keepLines w:val="0"/>
              <w:pageBreakBefore w:val="0"/>
              <w:kinsoku/>
              <w:wordWrap/>
              <w:overflowPunct/>
              <w:topLinePunct w:val="0"/>
              <w:autoSpaceDE w:val="0"/>
              <w:autoSpaceDN w:val="0"/>
              <w:bidi w:val="0"/>
              <w:adjustRightInd/>
              <w:snapToGrid/>
              <w:spacing w:line="340" w:lineRule="exact"/>
              <w:jc w:val="left"/>
              <w:textAlignment w:val="auto"/>
              <w:outlineLvl w:val="9"/>
              <w:rPr>
                <w:rFonts w:hint="eastAsia" w:ascii="宋体" w:hAnsi="宋体" w:cs="宋体"/>
                <w:bCs/>
                <w:kern w:val="0"/>
                <w:szCs w:val="21"/>
              </w:rPr>
            </w:pPr>
            <w:r>
              <w:rPr>
                <w:rFonts w:hint="eastAsia" w:ascii="宋体" w:hAnsi="宋体" w:cs="宋体"/>
                <w:szCs w:val="21"/>
                <w:highlight w:val="none"/>
              </w:rPr>
              <w:t>偏差率保留</w:t>
            </w:r>
            <w:r>
              <w:rPr>
                <w:rFonts w:hint="eastAsia" w:cs="宋体"/>
                <w:szCs w:val="21"/>
                <w:highlight w:val="none"/>
                <w:u w:val="single"/>
                <w:lang w:val="en-US" w:eastAsia="zh-CN"/>
              </w:rPr>
              <w:t>贰</w:t>
            </w:r>
            <w:r>
              <w:rPr>
                <w:rFonts w:hint="eastAsia" w:ascii="宋体" w:hAnsi="宋体" w:cs="宋体"/>
                <w:szCs w:val="21"/>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05" w:type="pct"/>
            <w:gridSpan w:val="2"/>
            <w:noWrap w:val="0"/>
            <w:vAlign w:val="center"/>
          </w:tcPr>
          <w:p>
            <w:pPr>
              <w:keepNext w:val="0"/>
              <w:keepLines w:val="0"/>
              <w:pageBreakBefore w:val="0"/>
              <w:kinsoku/>
              <w:wordWrap/>
              <w:overflowPunct/>
              <w:topLinePunct w:val="0"/>
              <w:bidi w:val="0"/>
              <w:adjustRightInd/>
              <w:snapToGrid/>
              <w:spacing w:line="340" w:lineRule="exact"/>
              <w:jc w:val="center"/>
              <w:textAlignment w:val="auto"/>
              <w:outlineLvl w:val="9"/>
              <w:rPr>
                <w:rFonts w:hint="eastAsia" w:ascii="宋体" w:hAnsi="宋体" w:cs="宋体"/>
                <w:kern w:val="0"/>
                <w:szCs w:val="21"/>
                <w:highlight w:val="none"/>
              </w:rPr>
            </w:pPr>
            <w:r>
              <w:rPr>
                <w:rFonts w:hint="eastAsia" w:ascii="宋体" w:hAnsi="宋体" w:cs="宋体"/>
                <w:szCs w:val="21"/>
                <w:highlight w:val="none"/>
              </w:rPr>
              <w:t>2.2.4</w:t>
            </w:r>
          </w:p>
        </w:tc>
        <w:tc>
          <w:tcPr>
            <w:tcW w:w="1135" w:type="pct"/>
            <w:noWrap w:val="0"/>
            <w:vAlign w:val="center"/>
          </w:tcPr>
          <w:p>
            <w:pPr>
              <w:keepNext w:val="0"/>
              <w:keepLines w:val="0"/>
              <w:pageBreakBefore w:val="0"/>
              <w:kinsoku/>
              <w:wordWrap/>
              <w:overflowPunct/>
              <w:topLinePunct w:val="0"/>
              <w:autoSpaceDE w:val="0"/>
              <w:autoSpaceDN w:val="0"/>
              <w:bidi w:val="0"/>
              <w:adjustRightInd/>
              <w:snapToGrid/>
              <w:spacing w:line="340" w:lineRule="exact"/>
              <w:jc w:val="center"/>
              <w:textAlignment w:val="auto"/>
              <w:outlineLvl w:val="9"/>
              <w:rPr>
                <w:rFonts w:hint="eastAsia" w:ascii="宋体" w:hAnsi="宋体" w:cs="宋体"/>
                <w:kern w:val="0"/>
                <w:szCs w:val="21"/>
                <w:highlight w:val="none"/>
              </w:rPr>
            </w:pPr>
            <w:r>
              <w:rPr>
                <w:rFonts w:hint="eastAsia" w:ascii="宋体" w:hAnsi="宋体" w:cs="宋体"/>
                <w:kern w:val="0"/>
                <w:szCs w:val="21"/>
                <w:highlight w:val="none"/>
              </w:rPr>
              <w:t>第二信封</w:t>
            </w:r>
          </w:p>
          <w:p>
            <w:pPr>
              <w:keepNext w:val="0"/>
              <w:keepLines w:val="0"/>
              <w:pageBreakBefore w:val="0"/>
              <w:kinsoku/>
              <w:wordWrap/>
              <w:overflowPunct/>
              <w:topLinePunct w:val="0"/>
              <w:bidi w:val="0"/>
              <w:adjustRightInd/>
              <w:snapToGrid/>
              <w:spacing w:line="340" w:lineRule="exact"/>
              <w:jc w:val="center"/>
              <w:textAlignment w:val="auto"/>
              <w:outlineLvl w:val="9"/>
              <w:rPr>
                <w:rFonts w:hint="eastAsia" w:ascii="宋体" w:hAnsi="宋体" w:cs="宋体"/>
                <w:szCs w:val="21"/>
                <w:highlight w:val="none"/>
              </w:rPr>
            </w:pPr>
            <w:r>
              <w:rPr>
                <w:rFonts w:hint="eastAsia" w:ascii="宋体" w:hAnsi="宋体" w:cs="宋体"/>
                <w:szCs w:val="21"/>
                <w:highlight w:val="none"/>
              </w:rPr>
              <w:t>评标价</w:t>
            </w:r>
          </w:p>
        </w:tc>
        <w:tc>
          <w:tcPr>
            <w:tcW w:w="3059" w:type="pct"/>
            <w:noWrap w:val="0"/>
            <w:vAlign w:val="center"/>
          </w:tcPr>
          <w:p>
            <w:pPr>
              <w:tabs>
                <w:tab w:val="left" w:pos="246"/>
                <w:tab w:val="left" w:pos="318"/>
                <w:tab w:val="left" w:pos="459"/>
              </w:tabs>
              <w:autoSpaceDE w:val="0"/>
              <w:autoSpaceDN w:val="0"/>
              <w:spacing w:line="360" w:lineRule="auto"/>
              <w:ind w:firstLine="210" w:firstLineChars="100"/>
              <w:jc w:val="left"/>
              <w:rPr>
                <w:rFonts w:hint="eastAsia" w:ascii="宋体" w:hAnsi="宋体" w:eastAsia="宋体" w:cs="宋体"/>
              </w:rPr>
            </w:pPr>
            <w:r>
              <w:rPr>
                <w:rFonts w:hint="eastAsia" w:ascii="宋体" w:hAnsi="宋体" w:eastAsia="宋体" w:cs="宋体"/>
              </w:rPr>
              <w:t>100分</w:t>
            </w:r>
          </w:p>
          <w:p>
            <w:pPr>
              <w:tabs>
                <w:tab w:val="left" w:pos="246"/>
                <w:tab w:val="left" w:pos="318"/>
                <w:tab w:val="left" w:pos="459"/>
              </w:tabs>
              <w:autoSpaceDE w:val="0"/>
              <w:autoSpaceDN w:val="0"/>
              <w:spacing w:line="360" w:lineRule="auto"/>
              <w:ind w:firstLine="210" w:firstLineChars="100"/>
              <w:jc w:val="left"/>
              <w:rPr>
                <w:rFonts w:hint="eastAsia" w:ascii="宋体" w:hAnsi="宋体" w:eastAsia="宋体" w:cs="宋体"/>
              </w:rPr>
            </w:pPr>
            <w:r>
              <w:rPr>
                <w:rFonts w:hint="eastAsia" w:ascii="宋体" w:hAnsi="宋体" w:eastAsia="宋体" w:cs="宋体"/>
              </w:rPr>
              <w:t>评标价得分计算公式示例:</w:t>
            </w:r>
          </w:p>
          <w:p>
            <w:pPr>
              <w:tabs>
                <w:tab w:val="left" w:pos="246"/>
                <w:tab w:val="left" w:pos="318"/>
                <w:tab w:val="left" w:pos="459"/>
              </w:tabs>
              <w:autoSpaceDE w:val="0"/>
              <w:autoSpaceDN w:val="0"/>
              <w:spacing w:line="360" w:lineRule="auto"/>
              <w:ind w:firstLine="210" w:firstLineChars="100"/>
              <w:jc w:val="left"/>
              <w:rPr>
                <w:rFonts w:hint="eastAsia" w:ascii="宋体" w:hAnsi="宋体" w:eastAsia="宋体" w:cs="宋体"/>
              </w:rPr>
            </w:pPr>
            <w:r>
              <w:rPr>
                <w:rFonts w:hint="eastAsia" w:ascii="宋体" w:hAnsi="宋体" w:eastAsia="宋体" w:cs="宋体"/>
              </w:rPr>
              <w:t>(1)如果投标人的评标价&gt;评标基准价,则评标价得分=100-偏差率×100×E1；</w:t>
            </w:r>
          </w:p>
          <w:p>
            <w:pPr>
              <w:tabs>
                <w:tab w:val="left" w:pos="246"/>
                <w:tab w:val="left" w:pos="318"/>
                <w:tab w:val="left" w:pos="459"/>
              </w:tabs>
              <w:autoSpaceDE w:val="0"/>
              <w:autoSpaceDN w:val="0"/>
              <w:spacing w:line="360" w:lineRule="auto"/>
              <w:ind w:firstLine="210" w:firstLineChars="100"/>
              <w:jc w:val="left"/>
              <w:rPr>
                <w:rFonts w:hint="eastAsia" w:ascii="宋体" w:hAnsi="宋体" w:eastAsia="宋体" w:cs="宋体"/>
              </w:rPr>
            </w:pPr>
            <w:r>
              <w:rPr>
                <w:rFonts w:hint="eastAsia" w:ascii="宋体" w:hAnsi="宋体" w:eastAsia="宋体" w:cs="宋体"/>
              </w:rPr>
              <w:t>(2)如果投标的人评标价≤评标基准价,则评标价得分=100+偏差率×100×E2；</w:t>
            </w:r>
          </w:p>
          <w:p>
            <w:pPr>
              <w:tabs>
                <w:tab w:val="left" w:pos="246"/>
                <w:tab w:val="left" w:pos="318"/>
                <w:tab w:val="left" w:pos="459"/>
              </w:tabs>
              <w:autoSpaceDE w:val="0"/>
              <w:autoSpaceDN w:val="0"/>
              <w:spacing w:line="360" w:lineRule="auto"/>
              <w:ind w:firstLine="210" w:firstLineChars="100"/>
              <w:jc w:val="left"/>
              <w:rPr>
                <w:rFonts w:hint="eastAsia"/>
              </w:rPr>
            </w:pPr>
            <w:r>
              <w:rPr>
                <w:rFonts w:hint="eastAsia" w:ascii="宋体" w:hAnsi="宋体" w:eastAsia="宋体" w:cs="宋体"/>
              </w:rPr>
              <w:t>其中：</w:t>
            </w:r>
            <w:r>
              <w:rPr>
                <w:rFonts w:hint="eastAsia" w:ascii="宋体" w:hAnsi="宋体" w:eastAsia="宋体" w:cs="宋体"/>
                <w:b/>
                <w:bCs/>
              </w:rPr>
              <w:t>E1=</w:t>
            </w:r>
            <w:r>
              <w:rPr>
                <w:rFonts w:hint="eastAsia" w:ascii="宋体" w:hAnsi="宋体" w:eastAsia="宋体" w:cs="宋体"/>
                <w:b/>
                <w:bCs/>
                <w:lang w:val="en-US" w:eastAsia="zh-CN"/>
              </w:rPr>
              <w:t xml:space="preserve">2 </w:t>
            </w:r>
            <w:r>
              <w:rPr>
                <w:rFonts w:hint="eastAsia" w:ascii="宋体" w:hAnsi="宋体" w:eastAsia="宋体" w:cs="宋体"/>
              </w:rPr>
              <w:t>是评标价每高于评标基准价一个百分点的扣分值；</w:t>
            </w:r>
            <w:r>
              <w:rPr>
                <w:rFonts w:hint="eastAsia" w:ascii="宋体" w:hAnsi="宋体" w:eastAsia="宋体" w:cs="宋体"/>
                <w:b/>
                <w:bCs/>
              </w:rPr>
              <w:t>E2=</w:t>
            </w:r>
            <w:r>
              <w:rPr>
                <w:rFonts w:hint="eastAsia" w:ascii="宋体" w:hAnsi="宋体" w:eastAsia="宋体" w:cs="宋体"/>
                <w:b/>
                <w:bCs/>
                <w:lang w:val="en-US" w:eastAsia="zh-CN"/>
              </w:rPr>
              <w:t>1</w:t>
            </w:r>
            <w:r>
              <w:rPr>
                <w:rFonts w:hint="eastAsia" w:ascii="宋体" w:hAnsi="宋体" w:eastAsia="宋体" w:cs="宋体"/>
                <w:lang w:val="en-US" w:eastAsia="zh-CN"/>
              </w:rPr>
              <w:t xml:space="preserve"> </w:t>
            </w:r>
            <w:r>
              <w:rPr>
                <w:rFonts w:hint="eastAsia" w:ascii="宋体" w:hAnsi="宋体" w:eastAsia="宋体" w:cs="宋体"/>
              </w:rPr>
              <w:t>是评标价每低于评标基准价一个百分点的扣分值。</w:t>
            </w:r>
            <w:r>
              <w:rPr>
                <w:rFonts w:hint="eastAsia" w:ascii="宋体" w:hAnsi="宋体" w:eastAsia="宋体" w:cs="宋体"/>
                <w:lang w:val="en-US"/>
              </w:rPr>
              <w:t>评标</w:t>
            </w:r>
            <w:r>
              <w:rPr>
                <w:rFonts w:hint="eastAsia" w:ascii="宋体" w:hAnsi="宋体" w:eastAsia="宋体" w:cs="宋体"/>
              </w:rPr>
              <w:t xml:space="preserve">价最低得分为 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noWrap w:val="0"/>
            <w:vAlign w:val="center"/>
          </w:tcPr>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color w:val="000000"/>
                <w:spacing w:val="0"/>
                <w:w w:val="100"/>
                <w:position w:val="0"/>
                <w:highlight w:val="none"/>
              </w:rPr>
            </w:pPr>
            <w:r>
              <w:rPr>
                <w:color w:val="000000"/>
                <w:spacing w:val="0"/>
                <w:w w:val="100"/>
                <w:position w:val="0"/>
                <w:highlight w:val="none"/>
              </w:rPr>
              <w:t>需要补充的其他内容：</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1、评标办法</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本条细化为：</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本次评标釆用双信封形式合理低价法。</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1.1</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评标委员会首先对投标文件第一个信封（商务与技术文件）进行初步评审（形式 评审与响应性评审、资格评审），通过第一个信封初步评审后的投标文件方可进入第二个信封的开标。</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1.2</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第二个信封的开标在监督部门的监督下进行，未通过第一个信封初步评审投标人的第二个信封电子文件不予读取。</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1.3</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评标委员会对投标文件第二个信封进行形式和响应性评审，并按照本章第2.2款规定的评分标准进行评分，然后按最终得分由高到低顺序确定中标候选人推荐排序，但投标报价低于其成本的除外。</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422" w:firstLineChars="20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当两家及以上投标人在标段中的最终得分相等且评标价也相等时，若各投标人工程量清单子目单价也相同时，视为串标，其投标均被否决。</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1.4</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评标委员会将按照本条第1条中确定的先后排序依次推荐第一、第二、第三中标候选人。</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1.5</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通过第一个信封评审的投标人在3个及以上的，招标人将按规定的程序进行第二个信封开标；在对第二个信封进行评审后，有效投标不足3个使得投标明显缺乏竞争 的，评标委员会可以否决全部投标。评标委员会未否决全部投标的，应当在评标报告中阐明理由并推荐中标候选人。</w:t>
            </w:r>
          </w:p>
          <w:p>
            <w:pPr>
              <w:pStyle w:val="9"/>
              <w:keepNext w:val="0"/>
              <w:keepLines w:val="0"/>
              <w:pageBreakBefore w:val="0"/>
              <w:widowControl w:val="0"/>
              <w:shd w:val="clear" w:color="auto" w:fill="auto"/>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rPr>
                <w:rFonts w:hint="eastAsia"/>
                <w:b/>
                <w:bCs/>
                <w:color w:val="000000"/>
                <w:spacing w:val="0"/>
                <w:w w:val="100"/>
                <w:position w:val="0"/>
                <w:sz w:val="21"/>
                <w:szCs w:val="21"/>
                <w:highlight w:val="none"/>
              </w:rPr>
            </w:pPr>
            <w:r>
              <w:rPr>
                <w:rFonts w:hint="eastAsia"/>
                <w:b/>
                <w:bCs/>
                <w:color w:val="000000"/>
                <w:spacing w:val="0"/>
                <w:w w:val="100"/>
                <w:position w:val="0"/>
                <w:sz w:val="21"/>
                <w:szCs w:val="21"/>
                <w:highlight w:val="none"/>
              </w:rPr>
              <w:t>1.6</w:t>
            </w:r>
            <w:r>
              <w:rPr>
                <w:rFonts w:hint="eastAsia"/>
                <w:b/>
                <w:bCs/>
                <w:color w:val="000000"/>
                <w:spacing w:val="0"/>
                <w:w w:val="100"/>
                <w:position w:val="0"/>
                <w:sz w:val="21"/>
                <w:szCs w:val="21"/>
                <w:highlight w:val="none"/>
                <w:lang w:eastAsia="zh-CN"/>
              </w:rPr>
              <w:t>、</w:t>
            </w:r>
            <w:r>
              <w:rPr>
                <w:rFonts w:hint="eastAsia"/>
                <w:b/>
                <w:bCs/>
                <w:color w:val="000000"/>
                <w:spacing w:val="0"/>
                <w:w w:val="100"/>
                <w:position w:val="0"/>
                <w:sz w:val="21"/>
                <w:szCs w:val="21"/>
                <w:highlight w:val="none"/>
              </w:rPr>
              <w:t>在评审过程中评标委员会</w:t>
            </w:r>
            <w:r>
              <w:rPr>
                <w:rFonts w:hint="eastAsia"/>
                <w:b/>
                <w:bCs/>
                <w:color w:val="000000"/>
                <w:spacing w:val="0"/>
                <w:w w:val="100"/>
                <w:position w:val="0"/>
                <w:sz w:val="21"/>
                <w:szCs w:val="21"/>
                <w:highlight w:val="none"/>
                <w:lang w:eastAsia="zh-CN"/>
              </w:rPr>
              <w:t>认</w:t>
            </w:r>
            <w:r>
              <w:rPr>
                <w:rFonts w:hint="eastAsia"/>
                <w:b/>
                <w:bCs/>
                <w:color w:val="000000"/>
                <w:spacing w:val="0"/>
                <w:w w:val="100"/>
                <w:position w:val="0"/>
                <w:sz w:val="21"/>
                <w:szCs w:val="21"/>
                <w:highlight w:val="none"/>
              </w:rPr>
              <w:t>为投标人有围标串标、哄抬或压低标价谋取中标的嫌疑，评标委员会有权做出废标或重新招标。</w:t>
            </w:r>
          </w:p>
          <w:p>
            <w:pPr>
              <w:tabs>
                <w:tab w:val="left" w:pos="246"/>
                <w:tab w:val="left" w:pos="318"/>
                <w:tab w:val="left" w:pos="459"/>
              </w:tabs>
              <w:autoSpaceDE w:val="0"/>
              <w:autoSpaceDN w:val="0"/>
              <w:spacing w:line="336" w:lineRule="auto"/>
              <w:ind w:firstLine="420" w:firstLineChars="200"/>
              <w:rPr>
                <w:rFonts w:hint="eastAsia" w:ascii="宋体" w:hAnsi="宋体" w:cs="宋体"/>
                <w:szCs w:val="21"/>
              </w:rPr>
            </w:pPr>
          </w:p>
        </w:tc>
      </w:tr>
    </w:tbl>
    <w:p>
      <w:pPr>
        <w:rPr>
          <w:rFonts w:hint="eastAsia" w:ascii="宋体" w:hAnsi="宋体" w:cs="宋体"/>
          <w:szCs w:val="21"/>
        </w:rPr>
      </w:pPr>
    </w:p>
    <w:p>
      <w:pPr>
        <w:rPr>
          <w:rFonts w:hint="eastAsia"/>
        </w:rPr>
      </w:pPr>
      <w:bookmarkStart w:id="80" w:name="_Toc14838"/>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bookmarkEnd w:id="69"/>
    <w:bookmarkEnd w:id="70"/>
    <w:bookmarkEnd w:id="71"/>
    <w:bookmarkEnd w:id="72"/>
    <w:bookmarkEnd w:id="80"/>
    <w:p>
      <w:pPr>
        <w:spacing w:before="120" w:beforeLines="50" w:after="120" w:afterLines="50" w:line="0" w:lineRule="atLeast"/>
        <w:jc w:val="center"/>
        <w:rPr>
          <w:rFonts w:hint="eastAsia" w:ascii="宋体" w:hAnsi="宋体" w:eastAsia="宋体" w:cs="宋体"/>
          <w:color w:val="auto"/>
          <w:sz w:val="21"/>
          <w:szCs w:val="21"/>
          <w:highlight w:val="none"/>
          <w:lang w:val="en-US" w:eastAsia="zh-CN"/>
        </w:rPr>
      </w:pPr>
      <w:bookmarkStart w:id="132" w:name="_GoBack"/>
      <w:bookmarkEnd w:id="132"/>
      <w:bookmarkStart w:id="81" w:name="_Toc16142_WPSOffice_Level2"/>
      <w:r>
        <w:rPr>
          <w:rFonts w:hint="eastAsia" w:ascii="宋体" w:hAnsi="宋体" w:eastAsia="宋体" w:cs="宋体"/>
          <w:b/>
          <w:bCs/>
          <w:color w:val="auto"/>
          <w:sz w:val="21"/>
          <w:szCs w:val="21"/>
          <w:highlight w:val="none"/>
        </w:rPr>
        <w:t>评标方法</w:t>
      </w:r>
      <w:r>
        <w:rPr>
          <w:rFonts w:hint="eastAsia" w:ascii="宋体" w:hAnsi="宋体" w:eastAsia="宋体" w:cs="宋体"/>
          <w:b/>
          <w:bCs/>
          <w:color w:val="auto"/>
          <w:sz w:val="21"/>
          <w:szCs w:val="21"/>
          <w:highlight w:val="none"/>
          <w:lang w:val="en-US" w:eastAsia="zh-CN"/>
        </w:rPr>
        <w:t>正文</w:t>
      </w:r>
    </w:p>
    <w:p>
      <w:pPr>
        <w:pageBreakBefore w:val="0"/>
        <w:widowControl w:val="0"/>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1.评标方法</w:t>
      </w:r>
      <w:bookmarkEnd w:id="81"/>
    </w:p>
    <w:p>
      <w:pPr>
        <w:pageBreakBefore w:val="0"/>
        <w:widowControl w:val="0"/>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w:t>
      </w:r>
      <w:r>
        <w:rPr>
          <w:rFonts w:hint="eastAsia" w:ascii="宋体" w:hAnsi="宋体" w:eastAsia="宋体" w:cs="宋体"/>
          <w:color w:val="auto"/>
          <w:sz w:val="21"/>
          <w:szCs w:val="21"/>
          <w:highlight w:val="none"/>
          <w:lang w:eastAsia="zh-CN"/>
        </w:rPr>
        <w:t>双信封</w:t>
      </w:r>
      <w:r>
        <w:rPr>
          <w:rFonts w:hint="eastAsia" w:ascii="宋体" w:hAnsi="宋体" w:eastAsia="宋体" w:cs="宋体"/>
          <w:color w:val="auto"/>
          <w:sz w:val="21"/>
          <w:szCs w:val="21"/>
          <w:highlight w:val="none"/>
        </w:rPr>
        <w:t>合理低价法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评标委员会对满足招标文件实质性要求的投标文件，按照本章第 2.2</w:t>
      </w:r>
      <w:r>
        <w:rPr>
          <w:rFonts w:hint="eastAsia" w:ascii="宋体" w:hAnsi="宋体" w:eastAsia="宋体" w:cs="宋体"/>
          <w:color w:val="auto"/>
          <w:sz w:val="21"/>
          <w:szCs w:val="21"/>
          <w:highlight w:val="none"/>
          <w:lang w:val="en-US" w:eastAsia="zh-CN"/>
        </w:rPr>
        <w:t>.1项至2.2.4项</w:t>
      </w:r>
      <w:r>
        <w:rPr>
          <w:rFonts w:hint="eastAsia" w:ascii="宋体" w:hAnsi="宋体" w:eastAsia="宋体" w:cs="宋体"/>
          <w:color w:val="auto"/>
          <w:sz w:val="21"/>
          <w:szCs w:val="21"/>
          <w:highlight w:val="none"/>
        </w:rPr>
        <w:t>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ageBreakBefore w:val="0"/>
        <w:widowControl w:val="0"/>
        <w:kinsoku/>
        <w:wordWrap/>
        <w:overflowPunct/>
        <w:topLinePunct w:val="0"/>
        <w:bidi w:val="0"/>
        <w:adjustRightInd w:val="0"/>
        <w:snapToGrid/>
        <w:spacing w:line="360" w:lineRule="auto"/>
        <w:ind w:left="0" w:right="0"/>
        <w:textAlignment w:val="auto"/>
        <w:rPr>
          <w:rFonts w:hint="eastAsia" w:ascii="宋体" w:hAnsi="宋体" w:eastAsia="宋体" w:cs="宋体"/>
          <w:b/>
          <w:bCs/>
          <w:color w:val="auto"/>
          <w:sz w:val="21"/>
          <w:szCs w:val="21"/>
          <w:highlight w:val="none"/>
        </w:rPr>
      </w:pPr>
      <w:bookmarkStart w:id="82" w:name="_Toc9423_WPSOffice_Level2"/>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评审标准</w:t>
      </w:r>
      <w:bookmarkEnd w:id="82"/>
    </w:p>
    <w:p>
      <w:pPr>
        <w:pStyle w:val="3"/>
        <w:pageBreakBefore w:val="0"/>
        <w:widowControl w:val="0"/>
        <w:kinsoku/>
        <w:wordWrap/>
        <w:overflowPunct/>
        <w:topLinePunct w:val="0"/>
        <w:bidi w:val="0"/>
        <w:adjustRightInd w:val="0"/>
        <w:snapToGrid/>
        <w:spacing w:before="0" w:beforeLines="0" w:after="0" w:afterLines="0" w:line="360" w:lineRule="auto"/>
        <w:ind w:left="0" w:leftChars="0" w:right="0" w:firstLine="0" w:firstLineChars="0"/>
        <w:jc w:val="left"/>
        <w:textAlignment w:val="auto"/>
        <w:rPr>
          <w:rFonts w:hint="eastAsia" w:ascii="宋体" w:hAnsi="宋体" w:eastAsia="宋体" w:cs="宋体"/>
          <w:color w:val="auto"/>
          <w:sz w:val="21"/>
          <w:szCs w:val="21"/>
          <w:highlight w:val="none"/>
        </w:rPr>
      </w:pPr>
      <w:bookmarkStart w:id="83" w:name="_Toc21486"/>
      <w:bookmarkStart w:id="84" w:name="_Toc30341"/>
      <w:bookmarkStart w:id="85" w:name="_Toc31517"/>
      <w:bookmarkStart w:id="86" w:name="_Toc655"/>
      <w:bookmarkStart w:id="87" w:name="_Toc10429_WPSOffice_Level3"/>
      <w:bookmarkStart w:id="88" w:name="_Toc26702"/>
      <w:bookmarkStart w:id="89" w:name="_Toc12447"/>
      <w:bookmarkStart w:id="90" w:name="_Toc13791"/>
      <w:bookmarkStart w:id="91" w:name="_Toc275242203"/>
      <w:r>
        <w:rPr>
          <w:rFonts w:hint="eastAsia" w:ascii="宋体" w:hAnsi="宋体" w:eastAsia="宋体" w:cs="宋体"/>
          <w:color w:val="auto"/>
          <w:sz w:val="21"/>
          <w:szCs w:val="21"/>
          <w:highlight w:val="none"/>
        </w:rPr>
        <w:t>2.1 初步评审标准</w:t>
      </w:r>
      <w:bookmarkEnd w:id="83"/>
      <w:bookmarkEnd w:id="84"/>
      <w:bookmarkEnd w:id="85"/>
      <w:bookmarkEnd w:id="86"/>
      <w:bookmarkEnd w:id="87"/>
      <w:bookmarkEnd w:id="88"/>
      <w:bookmarkEnd w:id="89"/>
      <w:bookmarkEnd w:id="90"/>
      <w:bookmarkEnd w:id="91"/>
    </w:p>
    <w:p>
      <w:pPr>
        <w:pageBreakBefore w:val="0"/>
        <w:widowControl w:val="0"/>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形式评审标准：见评标办法前附表。</w:t>
      </w:r>
    </w:p>
    <w:p>
      <w:pPr>
        <w:pageBreakBefore w:val="0"/>
        <w:widowControl w:val="0"/>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资格评审标准：见评标办法前附表（适用于未进行资格预审的）。</w:t>
      </w:r>
    </w:p>
    <w:p>
      <w:pPr>
        <w:pageBreakBefore w:val="0"/>
        <w:widowControl w:val="0"/>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响应性评审标准：见评标办法前附表。</w:t>
      </w:r>
    </w:p>
    <w:p>
      <w:pPr>
        <w:pStyle w:val="3"/>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firstLine="0" w:firstLineChars="0"/>
        <w:jc w:val="left"/>
        <w:textAlignment w:val="auto"/>
        <w:rPr>
          <w:rFonts w:hint="eastAsia" w:ascii="宋体" w:hAnsi="宋体" w:eastAsia="宋体" w:cs="宋体"/>
          <w:b/>
          <w:bCs/>
          <w:color w:val="auto"/>
          <w:sz w:val="21"/>
          <w:szCs w:val="21"/>
          <w:highlight w:val="none"/>
        </w:rPr>
      </w:pPr>
      <w:bookmarkStart w:id="92" w:name="_Toc20200"/>
      <w:bookmarkStart w:id="93" w:name="_Toc18435"/>
      <w:bookmarkStart w:id="94" w:name="_Toc842"/>
      <w:bookmarkStart w:id="95" w:name="_Toc10838"/>
      <w:bookmarkStart w:id="96" w:name="_Toc20118"/>
      <w:bookmarkStart w:id="97" w:name="_Toc16938"/>
      <w:bookmarkStart w:id="98" w:name="_Toc27267_WPSOffice_Level3"/>
      <w:r>
        <w:rPr>
          <w:rFonts w:hint="eastAsia" w:ascii="宋体" w:hAnsi="宋体" w:eastAsia="宋体" w:cs="宋体"/>
          <w:b/>
          <w:bCs/>
          <w:color w:val="auto"/>
          <w:sz w:val="21"/>
          <w:szCs w:val="21"/>
          <w:highlight w:val="none"/>
        </w:rPr>
        <w:t>2.2 分值构成与评分标准</w:t>
      </w:r>
      <w:bookmarkEnd w:id="92"/>
      <w:bookmarkEnd w:id="93"/>
      <w:bookmarkEnd w:id="94"/>
      <w:bookmarkEnd w:id="95"/>
      <w:bookmarkEnd w:id="96"/>
      <w:bookmarkEnd w:id="97"/>
      <w:bookmarkEnd w:id="98"/>
    </w:p>
    <w:p>
      <w:pPr>
        <w:pStyle w:val="3"/>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firstLine="211" w:firstLineChars="100"/>
        <w:jc w:val="left"/>
        <w:textAlignment w:val="auto"/>
        <w:rPr>
          <w:rFonts w:hint="eastAsia" w:ascii="宋体" w:hAnsi="宋体" w:eastAsia="宋体" w:cs="宋体"/>
          <w:color w:val="auto"/>
          <w:sz w:val="21"/>
          <w:szCs w:val="21"/>
          <w:highlight w:val="none"/>
        </w:rPr>
      </w:pPr>
      <w:bookmarkStart w:id="99" w:name="_Toc28588"/>
      <w:bookmarkStart w:id="100" w:name="_Toc16448"/>
      <w:bookmarkStart w:id="101" w:name="_Toc685"/>
      <w:bookmarkStart w:id="102" w:name="_Toc16099"/>
      <w:bookmarkStart w:id="103" w:name="_Toc29047"/>
      <w:bookmarkStart w:id="104" w:name="_Toc11392"/>
      <w:r>
        <w:rPr>
          <w:rFonts w:hint="eastAsia" w:ascii="宋体" w:hAnsi="宋体" w:eastAsia="宋体" w:cs="宋体"/>
          <w:b/>
          <w:bCs/>
          <w:color w:val="auto"/>
          <w:sz w:val="21"/>
          <w:szCs w:val="21"/>
          <w:highlight w:val="none"/>
        </w:rPr>
        <w:t>2.2.1 分值构成</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评标价：见评标办法前附表；</w:t>
      </w:r>
    </w:p>
    <w:p>
      <w:pPr>
        <w:pStyle w:val="3"/>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firstLine="211" w:firstLineChars="100"/>
        <w:jc w:val="left"/>
        <w:textAlignment w:val="auto"/>
        <w:rPr>
          <w:rFonts w:hint="eastAsia" w:ascii="宋体" w:hAnsi="宋体" w:eastAsia="宋体" w:cs="宋体"/>
          <w:sz w:val="21"/>
          <w:szCs w:val="21"/>
          <w:highlight w:val="none"/>
        </w:rPr>
      </w:pPr>
      <w:bookmarkStart w:id="105" w:name="_Toc19258"/>
      <w:bookmarkStart w:id="106" w:name="_Toc21705"/>
      <w:bookmarkStart w:id="107" w:name="_Toc28877"/>
      <w:bookmarkStart w:id="108" w:name="_Toc3162"/>
      <w:bookmarkStart w:id="109" w:name="_Toc19954"/>
      <w:bookmarkStart w:id="110" w:name="_Toc17944"/>
      <w:r>
        <w:rPr>
          <w:rFonts w:hint="eastAsia" w:ascii="宋体" w:hAnsi="宋体" w:eastAsia="宋体" w:cs="宋体"/>
          <w:b/>
          <w:bCs/>
          <w:color w:val="auto"/>
          <w:sz w:val="21"/>
          <w:szCs w:val="21"/>
          <w:highlight w:val="none"/>
          <w:lang w:val="en-US" w:eastAsia="zh-CN"/>
        </w:rPr>
        <w:t>2.2.2</w:t>
      </w:r>
      <w:r>
        <w:rPr>
          <w:rFonts w:hint="eastAsia" w:ascii="宋体" w:hAnsi="宋体" w:eastAsia="宋体" w:cs="宋体"/>
          <w:b/>
          <w:bCs/>
          <w:color w:val="auto"/>
          <w:sz w:val="21"/>
          <w:szCs w:val="21"/>
          <w:highlight w:val="none"/>
        </w:rPr>
        <w:t>评标基准价计算</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评标基准价计算方法：见评标办法前附表。</w:t>
      </w:r>
    </w:p>
    <w:p>
      <w:pPr>
        <w:pStyle w:val="3"/>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firstLine="211" w:firstLineChars="100"/>
        <w:jc w:val="left"/>
        <w:textAlignment w:val="auto"/>
        <w:rPr>
          <w:rFonts w:hint="eastAsia" w:ascii="宋体" w:hAnsi="宋体" w:eastAsia="宋体" w:cs="宋体"/>
          <w:b/>
          <w:bCs/>
          <w:color w:val="auto"/>
          <w:sz w:val="21"/>
          <w:szCs w:val="21"/>
          <w:highlight w:val="none"/>
          <w:lang w:val="en-US" w:eastAsia="zh-CN"/>
        </w:rPr>
      </w:pPr>
      <w:bookmarkStart w:id="111" w:name="_Toc12605"/>
      <w:bookmarkStart w:id="112" w:name="_Toc10028"/>
      <w:bookmarkStart w:id="113" w:name="_Toc30415"/>
      <w:bookmarkStart w:id="114" w:name="_Toc20099"/>
      <w:bookmarkStart w:id="115" w:name="_Toc25004"/>
      <w:bookmarkStart w:id="116" w:name="_Toc19275"/>
      <w:r>
        <w:rPr>
          <w:rFonts w:hint="eastAsia" w:ascii="宋体" w:hAnsi="宋体" w:eastAsia="宋体" w:cs="宋体"/>
          <w:b/>
          <w:bCs/>
          <w:color w:val="auto"/>
          <w:sz w:val="21"/>
          <w:szCs w:val="21"/>
          <w:highlight w:val="none"/>
          <w:lang w:val="en-US" w:eastAsia="zh-CN"/>
        </w:rPr>
        <w:t>2.2.3评标价的偏差率计算</w:t>
      </w:r>
      <w:bookmarkEnd w:id="111"/>
      <w:bookmarkEnd w:id="112"/>
      <w:bookmarkEnd w:id="113"/>
      <w:bookmarkEnd w:id="114"/>
      <w:bookmarkEnd w:id="115"/>
      <w:bookmarkEnd w:id="116"/>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评标价的偏差率计算公式：见评标办法前附表。</w:t>
      </w:r>
    </w:p>
    <w:p>
      <w:pPr>
        <w:pStyle w:val="3"/>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left="0" w:leftChars="0" w:right="0" w:firstLine="211" w:firstLineChars="100"/>
        <w:jc w:val="left"/>
        <w:textAlignment w:val="auto"/>
        <w:rPr>
          <w:rFonts w:hint="eastAsia" w:ascii="宋体" w:hAnsi="宋体" w:eastAsia="宋体" w:cs="宋体"/>
          <w:color w:val="auto"/>
          <w:sz w:val="21"/>
          <w:szCs w:val="21"/>
          <w:highlight w:val="none"/>
        </w:rPr>
      </w:pPr>
      <w:bookmarkStart w:id="117" w:name="_Toc25340"/>
      <w:bookmarkStart w:id="118" w:name="_Toc16255"/>
      <w:bookmarkStart w:id="119" w:name="_Toc2301"/>
      <w:bookmarkStart w:id="120" w:name="_Toc20773"/>
      <w:bookmarkStart w:id="121" w:name="_Toc30159"/>
      <w:bookmarkStart w:id="122" w:name="_Toc16742"/>
      <w:r>
        <w:rPr>
          <w:rFonts w:hint="eastAsia" w:ascii="宋体" w:hAnsi="宋体" w:eastAsia="宋体" w:cs="宋体"/>
          <w:b/>
          <w:bCs/>
          <w:color w:val="auto"/>
          <w:sz w:val="21"/>
          <w:szCs w:val="21"/>
          <w:highlight w:val="none"/>
          <w:lang w:val="en-US" w:eastAsia="zh-CN"/>
        </w:rPr>
        <w:t>2.2.4 评分标准</w:t>
      </w:r>
      <w:bookmarkEnd w:id="117"/>
      <w:bookmarkEnd w:id="118"/>
      <w:bookmarkEnd w:id="119"/>
      <w:bookmarkEnd w:id="120"/>
      <w:bookmarkEnd w:id="121"/>
      <w:bookmarkEnd w:id="122"/>
    </w:p>
    <w:p>
      <w:pPr>
        <w:pageBreakBefore w:val="0"/>
        <w:widowControl w:val="0"/>
        <w:kinsoku/>
        <w:wordWrap/>
        <w:overflowPunct/>
        <w:topLinePunct w:val="0"/>
        <w:bidi w:val="0"/>
        <w:adjustRightInd w:val="0"/>
        <w:snapToGrid/>
        <w:spacing w:line="360" w:lineRule="auto"/>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评标价评分标准：见评标办法前附表。</w:t>
      </w:r>
    </w:p>
    <w:p>
      <w:pPr>
        <w:pageBreakBefore w:val="0"/>
        <w:widowControl w:val="0"/>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23" w:name="_Toc10429_WPSOffice_Level2"/>
      <w:r>
        <w:rPr>
          <w:rFonts w:hint="eastAsia" w:ascii="宋体" w:hAnsi="宋体" w:eastAsia="宋体" w:cs="宋体"/>
          <w:b/>
          <w:bCs/>
          <w:color w:val="auto"/>
          <w:sz w:val="21"/>
          <w:szCs w:val="21"/>
          <w:highlight w:val="none"/>
        </w:rPr>
        <w:t>3. 评标程序</w:t>
      </w:r>
      <w:bookmarkEnd w:id="123"/>
    </w:p>
    <w:p>
      <w:pPr>
        <w:pageBreakBefore w:val="0"/>
        <w:widowControl w:val="0"/>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24" w:name="_Toc22431_WPSOffice_Level3"/>
      <w:r>
        <w:rPr>
          <w:rFonts w:hint="eastAsia" w:ascii="宋体" w:hAnsi="宋体" w:eastAsia="宋体" w:cs="宋体"/>
          <w:b/>
          <w:bCs/>
          <w:color w:val="auto"/>
          <w:kern w:val="44"/>
          <w:sz w:val="21"/>
          <w:szCs w:val="21"/>
          <w:highlight w:val="none"/>
        </w:rPr>
        <w:t>3.1 第一个信封初步评审</w:t>
      </w:r>
      <w:bookmarkEnd w:id="124"/>
    </w:p>
    <w:p>
      <w:pPr>
        <w:pageBreakBefore w:val="0"/>
        <w:widowControl w:val="0"/>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评标委员会可以要求投标人提交第二章“投标人须知”第 3.5项规定的有关证明和证件，以便核验。评标委员会依据本章第 第2.1.1项、第2.1.3项规定的标准对投标文件第一个信封（商务及技术文件）进行初步评审。有一项不符合评审标准的，评标委员会应否决其投标。（适用于未进行资格预审的）</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25" w:name="_Toc2541_WPSOffice_Level3"/>
      <w:r>
        <w:rPr>
          <w:rFonts w:hint="eastAsia" w:ascii="宋体" w:hAnsi="宋体" w:eastAsia="宋体" w:cs="宋体"/>
          <w:b/>
          <w:bCs/>
          <w:color w:val="auto"/>
          <w:sz w:val="21"/>
          <w:szCs w:val="21"/>
          <w:highlight w:val="none"/>
          <w:lang w:val="en-US" w:eastAsia="zh-CN"/>
        </w:rPr>
        <w:t xml:space="preserve">3.2 </w:t>
      </w:r>
      <w:r>
        <w:rPr>
          <w:rFonts w:hint="eastAsia" w:ascii="宋体" w:hAnsi="宋体" w:eastAsia="宋体" w:cs="宋体"/>
          <w:b/>
          <w:bCs/>
          <w:color w:val="auto"/>
          <w:sz w:val="21"/>
          <w:szCs w:val="21"/>
          <w:highlight w:val="none"/>
        </w:rPr>
        <w:t>第二个信封开标</w:t>
      </w:r>
      <w:bookmarkEnd w:id="125"/>
      <w:r>
        <w:rPr>
          <w:rFonts w:hint="eastAsia" w:ascii="宋体" w:hAnsi="宋体" w:eastAsia="宋体" w:cs="宋体"/>
          <w:color w:val="auto"/>
          <w:sz w:val="21"/>
          <w:szCs w:val="21"/>
          <w:highlight w:val="none"/>
        </w:rPr>
        <w:t xml:space="preserve"> </w:t>
      </w:r>
    </w:p>
    <w:p>
      <w:pPr>
        <w:pageBreakBefore w:val="0"/>
        <w:widowControl w:val="0"/>
        <w:tabs>
          <w:tab w:val="left" w:pos="480"/>
        </w:tabs>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26" w:name="_Toc4944_WPSOffice_Level3"/>
      <w:r>
        <w:rPr>
          <w:rFonts w:hint="eastAsia" w:ascii="宋体" w:hAnsi="宋体" w:eastAsia="宋体" w:cs="宋体"/>
          <w:b/>
          <w:bCs/>
          <w:color w:val="auto"/>
          <w:sz w:val="21"/>
          <w:szCs w:val="21"/>
          <w:highlight w:val="none"/>
          <w:lang w:val="en-US" w:eastAsia="zh-CN"/>
        </w:rPr>
        <w:t>3.3</w:t>
      </w:r>
      <w:r>
        <w:rPr>
          <w:rFonts w:hint="eastAsia" w:ascii="宋体" w:hAnsi="宋体" w:eastAsia="宋体" w:cs="宋体"/>
          <w:b/>
          <w:bCs/>
          <w:color w:val="auto"/>
          <w:sz w:val="21"/>
          <w:szCs w:val="21"/>
          <w:highlight w:val="none"/>
        </w:rPr>
        <w:t>第二个信封初步评审</w:t>
      </w:r>
      <w:bookmarkEnd w:id="126"/>
    </w:p>
    <w:p>
      <w:pPr>
        <w:pageBreakBefore w:val="0"/>
        <w:widowControl w:val="0"/>
        <w:numPr>
          <w:ilvl w:val="0"/>
          <w:numId w:val="0"/>
        </w:numPr>
        <w:tabs>
          <w:tab w:val="left" w:pos="1080"/>
        </w:tabs>
        <w:kinsoku/>
        <w:wordWrap/>
        <w:overflowPunct/>
        <w:topLinePunct w:val="0"/>
        <w:bidi w:val="0"/>
        <w:adjustRightInd w:val="0"/>
        <w:snapToGrid/>
        <w:spacing w:line="360" w:lineRule="auto"/>
        <w:ind w:left="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3.3.1</w:t>
      </w:r>
      <w:r>
        <w:rPr>
          <w:rFonts w:hint="eastAsia" w:ascii="宋体" w:hAnsi="宋体" w:eastAsia="宋体" w:cs="宋体"/>
          <w:color w:val="auto"/>
          <w:sz w:val="21"/>
          <w:szCs w:val="21"/>
          <w:highlight w:val="none"/>
        </w:rPr>
        <w:t>评标委员会依据本章第2.1.1项、第2.1.3项规定的评审标准对投标文件第二个信封（报价文件）进行初步评审。有一项不符合评审标准的，评标委员会应否决其投标。</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27" w:name="_Toc11957_WPSOffice_Level3"/>
      <w:r>
        <w:rPr>
          <w:rFonts w:hint="eastAsia" w:ascii="宋体" w:hAnsi="宋体" w:eastAsia="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rPr>
        <w:t>第二个信封详细评审</w:t>
      </w:r>
      <w:bookmarkEnd w:id="127"/>
    </w:p>
    <w:p>
      <w:pPr>
        <w:pageBreakBefore w:val="0"/>
        <w:widowControl w:val="0"/>
        <w:tabs>
          <w:tab w:val="left" w:pos="480"/>
        </w:tabs>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3.4.1 评标委员会按本章第 </w:t>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.1项至2.2.4项</w:t>
      </w:r>
      <w:r>
        <w:rPr>
          <w:rFonts w:hint="eastAsia" w:ascii="宋体" w:hAnsi="宋体" w:eastAsia="宋体" w:cs="宋体"/>
          <w:b w:val="0"/>
          <w:bCs w:val="0"/>
          <w:color w:val="auto"/>
          <w:sz w:val="21"/>
          <w:szCs w:val="21"/>
          <w:highlight w:val="none"/>
          <w:lang w:val="en-US" w:eastAsia="zh-CN"/>
        </w:rPr>
        <w:t>规定的</w:t>
      </w:r>
      <w:r>
        <w:rPr>
          <w:rFonts w:hint="eastAsia" w:ascii="宋体" w:hAnsi="宋体" w:eastAsia="宋体" w:cs="宋体"/>
          <w:color w:val="auto"/>
          <w:sz w:val="21"/>
          <w:szCs w:val="21"/>
          <w:highlight w:val="none"/>
        </w:rPr>
        <w:t>评分标准进行打分</w:t>
      </w:r>
      <w:r>
        <w:rPr>
          <w:rFonts w:hint="eastAsia" w:ascii="宋体" w:hAnsi="宋体" w:eastAsia="宋体" w:cs="宋体"/>
          <w:b w:val="0"/>
          <w:bCs w:val="0"/>
          <w:color w:val="auto"/>
          <w:sz w:val="21"/>
          <w:szCs w:val="21"/>
          <w:highlight w:val="none"/>
          <w:lang w:val="en-US" w:eastAsia="zh-CN"/>
        </w:rPr>
        <w:t>，并计算出综合评估得分（即评标价得分）。</w:t>
      </w:r>
    </w:p>
    <w:p>
      <w:pPr>
        <w:pageBreakBefore w:val="0"/>
        <w:widowControl w:val="0"/>
        <w:tabs>
          <w:tab w:val="left" w:pos="480"/>
        </w:tabs>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3.4.2 投标人得分分值计算保留小数点后两位，小数点后第三位“四舍五入”。</w:t>
      </w:r>
    </w:p>
    <w:p>
      <w:pPr>
        <w:pageBreakBefore w:val="0"/>
        <w:widowControl w:val="0"/>
        <w:tabs>
          <w:tab w:val="left" w:pos="480"/>
        </w:tabs>
        <w:kinsoku/>
        <w:wordWrap/>
        <w:overflowPunct/>
        <w:topLinePunct w:val="0"/>
        <w:bidi w:val="0"/>
        <w:adjustRightInd w:val="0"/>
        <w:snapToGrid/>
        <w:spacing w:line="360" w:lineRule="auto"/>
        <w:ind w:left="0"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b/>
          <w:bCs/>
          <w:color w:val="auto"/>
          <w:sz w:val="21"/>
          <w:szCs w:val="21"/>
          <w:highlight w:val="none"/>
        </w:rPr>
      </w:pPr>
      <w:bookmarkStart w:id="128" w:name="_Toc11403_WPSOffice_Level3"/>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rPr>
        <w:t>投标文件相关信息的核查</w:t>
      </w:r>
      <w:bookmarkEnd w:id="128"/>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3.5.1</w:t>
      </w:r>
      <w:r>
        <w:rPr>
          <w:rFonts w:hint="eastAsia" w:ascii="宋体" w:hAnsi="宋体" w:eastAsia="宋体" w:cs="宋体"/>
          <w:color w:val="auto"/>
          <w:sz w:val="21"/>
          <w:szCs w:val="21"/>
          <w:highlight w:val="none"/>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w:t>
      </w:r>
      <w:r>
        <w:rPr>
          <w:rFonts w:hint="eastAsia" w:ascii="宋体" w:hAnsi="宋体" w:eastAsia="宋体" w:cs="宋体"/>
          <w:color w:val="auto"/>
          <w:sz w:val="21"/>
          <w:szCs w:val="21"/>
          <w:highlight w:val="none"/>
          <w:lang w:val="en-US" w:eastAsia="zh-CN"/>
        </w:rPr>
        <w:t>的资格条件不符合招标文件规定的，评标委员会应否决其投标。</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napToGrid/>
        <w:spacing w:line="360" w:lineRule="auto"/>
        <w:ind w:left="0" w:righ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补充：如投标人所提供的资质、业绩、主要人员资历和目前在岗情况、信用等级等信息在“公路建设市场信用信息管理系统”无法查询，则评标委员会应核实投标人是否按照招标文件要求，提供相关承诺函。</w:t>
      </w:r>
    </w:p>
    <w:p>
      <w:pPr>
        <w:pageBreakBefore w:val="0"/>
        <w:widowControl w:val="0"/>
        <w:kinsoku/>
        <w:wordWrap/>
        <w:overflowPunct/>
        <w:topLinePunct w:val="0"/>
        <w:bidi w:val="0"/>
        <w:adjustRightInd w:val="0"/>
        <w:snapToGrid/>
        <w:spacing w:line="360" w:lineRule="auto"/>
        <w:ind w:left="0" w:right="0" w:firstLine="478" w:firstLineChars="2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bookmarkStart w:id="129" w:name="_Toc7911_WPSOffice_Level3"/>
      <w:r>
        <w:rPr>
          <w:rFonts w:hint="eastAsia" w:ascii="宋体" w:hAnsi="宋体" w:eastAsia="宋体" w:cs="宋体"/>
          <w:b w:val="0"/>
          <w:bCs w:val="0"/>
          <w:color w:val="auto"/>
          <w:sz w:val="21"/>
          <w:szCs w:val="21"/>
          <w:highlight w:val="none"/>
          <w:lang w:eastAsia="zh-CN"/>
        </w:rPr>
        <w:t>（1）有下列情形之一的，相关投标均无效</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a、与招标人存在利害关系可能影响招标公正性的法人、其他组织或者个人，不得参加投标。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b、单位负责人为同一人或者存在控股、管理关系的不同单位，不得参加同一标段投标或者未划分标段的同一招标项目投标。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违反前两款规定的，相关投标均无效。</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（2）除《中华人民共和国招标投标法》第三十二条、《中华人民共和国招标投标法实施条例》第三十九条、第四十条规定的投标人相互串通投标的情形外,有下列情形之一的,应当视为投标人相互串通投标: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a、不同投标人的投标文件存在两处以上相同错误的；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b、不同投标人的投标文件由同一人编制或者打印、复印的；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c、不同投标人的投标文件由同一投标人送达或者分发的；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d、参加投标活动的人员为同一项目其他投标人的在职人员的；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e、不同投标人的法定代表人或者委托代理人、项目负责人、项目总监等人员在同一单位缴纳社会保险的；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f、不同投标人的投标保证金由同一自然人、法人、其他组织账户或者同一账号资金缴纳，或者不同投标人的投标保证金从各自的基本账户转出，但所需资金来自同一自然人、法人或者其他组织账户的；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g、不同投标人参与同一项目招标投标活动中，使用的计算机网卡MAC地址、CPU序列号、硬盘序列号、加密锁系列号等信息相同的。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除《中华人民共和国招标投标法》第三十二条、《中华人民共和国招标投标法实施条例》第四十一条规定的招标人、招标代理机构、评标委员会成员与投标人串通投标情形外,有下列情形之一的,应当视为招标人、招标代理机构、评标委员会成员与投标人串通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a、招标人、招标代理机构故意损毁、篡改特定的投标文件内容,或者在资格预审时损毁、篡改特定的资格预审申请文件内容的；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b、招标人、招标代理机构、评标委员会成员直接或者间接向投标人或者投标人的利害关系人泄露获取招标文件或者通过资格预审的申请人的名称、数量的；或者泄露获取招标文件的潜在投标人的名称、数量的;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c、招标人、招标代理机构、评标委员会成员直接或者间接向投标人或者投标人的利害关系人泄露资格审查或者评标情况的；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d、招标人、招标代理机构以胁迫、劝退、利诱等方式,使特定投标人以外的其他投标人放弃投标或者中标人放弃中标的；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e、在依法必须进行招标的项目的中标人确定前,投标人已经开展该项目招标范围内的工作的。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（4）投标人有下列情形之一的，属于弄虚作假的行为：</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a.使用通过受让或租借等方式获取的资格、资质证书投标；</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b.使用伪造、变造的许可证件；</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c.提供虚假的财务状况或业绩、荣誉的；</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d.提供虚假的项目负责人或主要技术人员简历、劳动关系证明；</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e.提供虚假的信用状况；</w:t>
      </w:r>
    </w:p>
    <w:p>
      <w:pPr>
        <w:keepNext w:val="0"/>
        <w:keepLines w:val="0"/>
        <w:pageBreakBefore w:val="0"/>
        <w:widowControl w:val="0"/>
        <w:tabs>
          <w:tab w:val="left" w:pos="480"/>
        </w:tabs>
        <w:kinsoku/>
        <w:wordWrap/>
        <w:overflowPunct/>
        <w:topLinePunct w:val="0"/>
        <w:autoSpaceDE w:val="0"/>
        <w:autoSpaceDN w:val="0"/>
        <w:bidi w:val="0"/>
        <w:adjustRightInd w:val="0"/>
        <w:snapToGrid/>
        <w:spacing w:line="360" w:lineRule="auto"/>
        <w:ind w:left="0" w:right="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3.6</w:t>
      </w:r>
      <w:r>
        <w:rPr>
          <w:rFonts w:hint="eastAsia" w:ascii="宋体" w:hAnsi="宋体" w:eastAsia="宋体" w:cs="宋体"/>
          <w:b/>
          <w:bCs/>
          <w:color w:val="auto"/>
          <w:sz w:val="21"/>
          <w:szCs w:val="21"/>
          <w:highlight w:val="none"/>
        </w:rPr>
        <w:t>投标文件的澄清和说明</w:t>
      </w:r>
      <w:bookmarkEnd w:id="129"/>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napToGrid/>
        <w:spacing w:line="360" w:lineRule="auto"/>
        <w:ind w:left="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3.6.1</w:t>
      </w:r>
      <w:r>
        <w:rPr>
          <w:rFonts w:hint="eastAsia" w:ascii="宋体" w:hAnsi="宋体" w:eastAsia="宋体" w:cs="宋体"/>
          <w:color w:val="auto"/>
          <w:sz w:val="21"/>
          <w:szCs w:val="21"/>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napToGrid/>
        <w:spacing w:line="360" w:lineRule="auto"/>
        <w:ind w:left="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3.6.2</w:t>
      </w:r>
      <w:r>
        <w:rPr>
          <w:rFonts w:hint="eastAsia" w:ascii="宋体" w:hAnsi="宋体" w:eastAsia="宋体" w:cs="宋体"/>
          <w:color w:val="auto"/>
          <w:sz w:val="21"/>
          <w:szCs w:val="21"/>
          <w:highlight w:val="none"/>
        </w:rPr>
        <w:t>澄清和说明不得超出投标文件的范围或改变投标文件的实质性内容（算术性错误的修正除外）。投标人的书面澄清、说明属于投标文件的组成部分。</w:t>
      </w:r>
    </w:p>
    <w:p>
      <w:pPr>
        <w:keepNext w:val="0"/>
        <w:keepLines w:val="0"/>
        <w:pageBreakBefore w:val="0"/>
        <w:widowControl w:val="0"/>
        <w:numPr>
          <w:ilvl w:val="0"/>
          <w:numId w:val="0"/>
        </w:numPr>
        <w:tabs>
          <w:tab w:val="left" w:pos="1080"/>
        </w:tabs>
        <w:kinsoku/>
        <w:wordWrap/>
        <w:overflowPunct/>
        <w:topLinePunct w:val="0"/>
        <w:autoSpaceDE w:val="0"/>
        <w:autoSpaceDN w:val="0"/>
        <w:bidi w:val="0"/>
        <w:adjustRightInd w:val="0"/>
        <w:snapToGrid/>
        <w:spacing w:line="360" w:lineRule="auto"/>
        <w:ind w:left="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评标委员会不得暗示或诱导投标人作出澄清、说明，对投标人提交的澄清、说明有疑问的，可以要求投标人进一步澄清或说明，直至满足评标委员会的要求。</w:t>
      </w:r>
    </w:p>
    <w:p>
      <w:pPr>
        <w:pageBreakBefore w:val="0"/>
        <w:widowControl w:val="0"/>
        <w:numPr>
          <w:ilvl w:val="0"/>
          <w:numId w:val="0"/>
        </w:numPr>
        <w:tabs>
          <w:tab w:val="left" w:pos="1080"/>
        </w:tabs>
        <w:kinsoku/>
        <w:wordWrap/>
        <w:overflowPunct/>
        <w:topLinePunct w:val="0"/>
        <w:bidi w:val="0"/>
        <w:adjustRightInd w:val="0"/>
        <w:snapToGrid/>
        <w:spacing w:line="360" w:lineRule="auto"/>
        <w:ind w:left="0" w:right="0"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3.6.4</w:t>
      </w:r>
      <w:r>
        <w:rPr>
          <w:rFonts w:hint="eastAsia" w:ascii="宋体" w:hAnsi="宋体" w:eastAsia="宋体" w:cs="宋体"/>
          <w:color w:val="auto"/>
          <w:sz w:val="21"/>
          <w:szCs w:val="21"/>
          <w:highlight w:val="none"/>
        </w:rPr>
        <w:t>凡超出招标文件规定的或给发包人带来未曾要求的利益的变化、偏差或其他因素在评标</w:t>
      </w:r>
    </w:p>
    <w:p>
      <w:pPr>
        <w:pageBreakBefore w:val="0"/>
        <w:widowControl w:val="0"/>
        <w:tabs>
          <w:tab w:val="left" w:pos="1080"/>
        </w:tabs>
        <w:kinsoku/>
        <w:wordWrap/>
        <w:overflowPunct/>
        <w:topLinePunct w:val="0"/>
        <w:bidi w:val="0"/>
        <w:adjustRightInd w:val="0"/>
        <w:snapToGrid/>
        <w:spacing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时不予考虑。</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30" w:name="_Toc12396_WPSOffice_Level3"/>
      <w:r>
        <w:rPr>
          <w:rFonts w:hint="eastAsia" w:ascii="宋体" w:hAnsi="宋体" w:eastAsia="宋体" w:cs="宋体"/>
          <w:b/>
          <w:bCs/>
          <w:color w:val="auto"/>
          <w:sz w:val="21"/>
          <w:szCs w:val="21"/>
          <w:highlight w:val="none"/>
          <w:lang w:val="en-US" w:eastAsia="zh-CN"/>
        </w:rPr>
        <w:t>3.7</w:t>
      </w:r>
      <w:r>
        <w:rPr>
          <w:rFonts w:hint="eastAsia" w:ascii="宋体" w:hAnsi="宋体" w:eastAsia="宋体" w:cs="宋体"/>
          <w:b/>
          <w:bCs/>
          <w:color w:val="auto"/>
          <w:sz w:val="21"/>
          <w:szCs w:val="21"/>
          <w:highlight w:val="none"/>
        </w:rPr>
        <w:t>不得否决投标的情形</w:t>
      </w:r>
      <w:bookmarkEnd w:id="130"/>
    </w:p>
    <w:p>
      <w:pPr>
        <w:pageBreakBefore w:val="0"/>
        <w:widowControl w:val="0"/>
        <w:kinsoku/>
        <w:wordWrap/>
        <w:overflowPunct/>
        <w:topLinePunct w:val="0"/>
        <w:bidi w:val="0"/>
        <w:adjustRightInd w:val="0"/>
        <w:snapToGrid/>
        <w:spacing w:line="360" w:lineRule="auto"/>
        <w:ind w:left="0" w:leftChars="0" w:right="0" w:firstLine="478" w:firstLineChars="2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投标文件存在第二章“投标人须知”第1.12.3项所列情形的，均视为细微偏差，评标委员会不得否决投标人的投标，应按照第二章“投标人须知”第 1.12.4 项规定的原则处理。</w:t>
      </w:r>
    </w:p>
    <w:p>
      <w:pPr>
        <w:pageBreakBefore w:val="0"/>
        <w:widowControl w:val="0"/>
        <w:tabs>
          <w:tab w:val="left" w:pos="480"/>
        </w:tabs>
        <w:kinsoku/>
        <w:wordWrap/>
        <w:overflowPunct/>
        <w:topLinePunct w:val="0"/>
        <w:bidi w:val="0"/>
        <w:adjustRightInd w:val="0"/>
        <w:snapToGrid/>
        <w:spacing w:line="360" w:lineRule="auto"/>
        <w:ind w:left="0" w:right="0"/>
        <w:textAlignment w:val="auto"/>
        <w:rPr>
          <w:rFonts w:hint="eastAsia" w:ascii="宋体" w:hAnsi="宋体" w:eastAsia="宋体" w:cs="宋体"/>
          <w:color w:val="auto"/>
          <w:sz w:val="21"/>
          <w:szCs w:val="21"/>
          <w:highlight w:val="none"/>
        </w:rPr>
      </w:pPr>
      <w:bookmarkStart w:id="131" w:name="_Toc32132_WPSOffice_Level3"/>
      <w:r>
        <w:rPr>
          <w:rFonts w:hint="eastAsia" w:ascii="宋体" w:hAnsi="宋体" w:eastAsia="宋体" w:cs="宋体"/>
          <w:b/>
          <w:bCs/>
          <w:color w:val="auto"/>
          <w:sz w:val="21"/>
          <w:szCs w:val="21"/>
          <w:highlight w:val="none"/>
          <w:lang w:val="en-US" w:eastAsia="zh-CN"/>
        </w:rPr>
        <w:t>3.8</w:t>
      </w:r>
      <w:r>
        <w:rPr>
          <w:rFonts w:hint="eastAsia" w:ascii="宋体" w:hAnsi="宋体" w:eastAsia="宋体" w:cs="宋体"/>
          <w:b/>
          <w:bCs/>
          <w:color w:val="auto"/>
          <w:sz w:val="21"/>
          <w:szCs w:val="21"/>
          <w:highlight w:val="none"/>
        </w:rPr>
        <w:t>评标结果</w:t>
      </w:r>
      <w:bookmarkEnd w:id="131"/>
    </w:p>
    <w:p>
      <w:pPr>
        <w:pageBreakBefore w:val="0"/>
        <w:widowControl w:val="0"/>
        <w:numPr>
          <w:ilvl w:val="0"/>
          <w:numId w:val="0"/>
        </w:numPr>
        <w:tabs>
          <w:tab w:val="left" w:pos="1080"/>
        </w:tabs>
        <w:kinsoku/>
        <w:wordWrap/>
        <w:overflowPunct/>
        <w:topLinePunct w:val="0"/>
        <w:bidi w:val="0"/>
        <w:adjustRightInd w:val="0"/>
        <w:snapToGrid/>
        <w:spacing w:line="360" w:lineRule="auto"/>
        <w:ind w:left="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3.8.1 </w:t>
      </w:r>
      <w:r>
        <w:rPr>
          <w:rFonts w:hint="eastAsia" w:ascii="宋体" w:hAnsi="宋体" w:eastAsia="宋体" w:cs="宋体"/>
          <w:color w:val="auto"/>
          <w:sz w:val="21"/>
          <w:szCs w:val="21"/>
          <w:highlight w:val="none"/>
        </w:rPr>
        <w:t>除第二章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前附表授权直接确定中标人外，评标委员会按照得分由高到低的顺序推荐中标候选人，并标明排序。</w:t>
      </w:r>
    </w:p>
    <w:p>
      <w:pPr>
        <w:pageBreakBefore w:val="0"/>
        <w:widowControl w:val="0"/>
        <w:numPr>
          <w:ilvl w:val="0"/>
          <w:numId w:val="0"/>
        </w:numPr>
        <w:tabs>
          <w:tab w:val="left" w:pos="1080"/>
        </w:tabs>
        <w:kinsoku/>
        <w:wordWrap/>
        <w:overflowPunct/>
        <w:topLinePunct w:val="0"/>
        <w:bidi w:val="0"/>
        <w:adjustRightInd w:val="0"/>
        <w:snapToGrid/>
        <w:spacing w:line="360" w:lineRule="auto"/>
        <w:ind w:left="0" w:leftChars="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3.8.2 </w:t>
      </w:r>
      <w:r>
        <w:rPr>
          <w:rFonts w:hint="eastAsia" w:ascii="宋体" w:hAnsi="宋体" w:eastAsia="宋体" w:cs="宋体"/>
          <w:color w:val="auto"/>
          <w:sz w:val="21"/>
          <w:szCs w:val="21"/>
          <w:highlight w:val="none"/>
        </w:rPr>
        <w:t>评标委员会完成评标后，应向招标人提交书面评标报告。</w:t>
      </w:r>
    </w:p>
    <w:p>
      <w:pPr>
        <w:pStyle w:val="8"/>
        <w:keepNext w:val="0"/>
        <w:keepLines w:val="0"/>
        <w:pageBreakBefore w:val="0"/>
        <w:widowControl w:val="0"/>
        <w:numPr>
          <w:numId w:val="0"/>
        </w:numPr>
        <w:kinsoku/>
        <w:wordWrap/>
        <w:overflowPunct/>
        <w:topLinePunct w:val="0"/>
        <w:autoSpaceDE/>
        <w:autoSpaceDN/>
        <w:bidi w:val="0"/>
        <w:adjustRightInd/>
        <w:snapToGrid/>
        <w:spacing w:before="0" w:beforeLines="0" w:after="0" w:afterLines="0"/>
        <w:jc w:val="both"/>
        <w:textAlignment w:val="auto"/>
        <w:rPr>
          <w:rFonts w:hint="eastAsia"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8CBE5"/>
    <w:multiLevelType w:val="singleLevel"/>
    <w:tmpl w:val="A1D8CB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mZmZWVlNTFkMzMzZDY2ZDM1NTE0ZGQ5N2Y4ZWIifQ=="/>
    <w:docVar w:name="KSO_WPS_MARK_KEY" w:val="a66c0fa6-290e-48d0-ac66-dbd4f4d44220"/>
  </w:docVars>
  <w:rsids>
    <w:rsidRoot w:val="00000000"/>
    <w:rsid w:val="4F36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8"/>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Lines="0" w:afterLines="0" w:line="360" w:lineRule="auto"/>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customStyle="1" w:styleId="8">
    <w:name w:val="A居中标题"/>
    <w:basedOn w:val="1"/>
    <w:uiPriority w:val="0"/>
    <w:pPr>
      <w:spacing w:before="100" w:beforeLines="100" w:after="100" w:afterLines="100" w:line="360" w:lineRule="auto"/>
      <w:jc w:val="center"/>
    </w:pPr>
    <w:rPr>
      <w:rFonts w:ascii="宋体" w:hAnsi="宋体"/>
      <w:b/>
      <w:bCs/>
      <w:kern w:val="0"/>
      <w:sz w:val="32"/>
      <w:szCs w:val="32"/>
    </w:rPr>
  </w:style>
  <w:style w:type="paragraph" w:customStyle="1" w:styleId="9">
    <w:name w:val="Other|1"/>
    <w:basedOn w:val="1"/>
    <w:qFormat/>
    <w:uiPriority w:val="0"/>
    <w:pPr>
      <w:widowControl w:val="0"/>
      <w:shd w:val="clear" w:color="auto" w:fill="auto"/>
      <w:spacing w:line="444" w:lineRule="auto"/>
      <w:ind w:firstLine="33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2023-02-28T05:58:30Z</dcterms:created>
  <dc:creator>Administrator.SKY-20220810OQW</dc:creator>
  <cp:lastModifiedBy>随影同行</cp:lastModifiedBy>
  <dcterms:modified xsi:type="dcterms:W3CDTF">2023-02-28T06:01:05Z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12E8E97973724C1BA9298641E162F825</vt:lpwstr>
  </property>
</Properties>
</file>