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numPr>
          <w:numId w:val="0"/>
        </w:numPr>
        <w:kinsoku/>
        <w:wordWrap/>
        <w:overflowPunct/>
        <w:topLinePunct w:val="0"/>
        <w:autoSpaceDE/>
        <w:autoSpaceDN/>
        <w:bidi w:val="0"/>
        <w:adjustRightInd/>
        <w:snapToGrid w:val="0"/>
        <w:spacing w:line="240" w:lineRule="atLeast"/>
        <w:ind w:firstLine="2168" w:firstLineChars="600"/>
        <w:jc w:val="both"/>
        <w:textAlignment w:val="auto"/>
        <w:rPr>
          <w:sz w:val="36"/>
          <w:szCs w:val="36"/>
        </w:rPr>
      </w:pPr>
      <w:bookmarkStart w:id="0" w:name="_Toc230"/>
      <w:bookmarkStart w:id="1" w:name="_Toc23726"/>
      <w:bookmarkStart w:id="2" w:name="_Toc14471"/>
      <w:bookmarkStart w:id="3" w:name="_Toc6377"/>
      <w:bookmarkStart w:id="4" w:name="_Toc9752"/>
      <w:bookmarkStart w:id="5" w:name="_Toc27089"/>
      <w:bookmarkStart w:id="6" w:name="_Toc10278"/>
      <w:bookmarkStart w:id="7" w:name="_Toc7681"/>
      <w:bookmarkStart w:id="8" w:name="_Toc9080"/>
      <w:bookmarkStart w:id="9" w:name="_Toc17118"/>
      <w:bookmarkStart w:id="10" w:name="_Toc13671"/>
      <w:bookmarkStart w:id="11" w:name="_Toc5125"/>
      <w:bookmarkStart w:id="16" w:name="_GoBack"/>
      <w:bookmarkEnd w:id="16"/>
      <w:r>
        <w:rPr>
          <w:sz w:val="36"/>
          <w:szCs w:val="36"/>
        </w:rPr>
        <w:t>评标办法（综合评估法）</w:t>
      </w:r>
      <w:bookmarkEnd w:id="0"/>
      <w:bookmarkEnd w:id="1"/>
      <w:bookmarkEnd w:id="2"/>
      <w:bookmarkEnd w:id="3"/>
      <w:bookmarkEnd w:id="4"/>
      <w:bookmarkEnd w:id="5"/>
      <w:bookmarkEnd w:id="6"/>
      <w:bookmarkEnd w:id="7"/>
      <w:bookmarkEnd w:id="8"/>
      <w:bookmarkEnd w:id="9"/>
      <w:bookmarkEnd w:id="10"/>
      <w:bookmarkEnd w:id="11"/>
      <w:bookmarkStart w:id="12" w:name="_bookmark34"/>
      <w:bookmarkEnd w:id="12"/>
    </w:p>
    <w:p>
      <w:pPr>
        <w:pageBreakBefore w:val="0"/>
        <w:widowControl w:val="0"/>
        <w:kinsoku/>
        <w:wordWrap/>
        <w:overflowPunct/>
        <w:topLinePunct w:val="0"/>
        <w:autoSpaceDE/>
        <w:autoSpaceDN/>
        <w:bidi w:val="0"/>
        <w:adjustRightInd/>
        <w:snapToGrid w:val="0"/>
        <w:spacing w:before="126" w:line="240" w:lineRule="atLeast"/>
        <w:ind w:left="811"/>
        <w:jc w:val="center"/>
        <w:textAlignment w:val="auto"/>
        <w:rPr>
          <w:b/>
          <w:w w:val="99"/>
          <w:sz w:val="21"/>
          <w:szCs w:val="21"/>
        </w:rPr>
      </w:pPr>
      <w:r>
        <w:rPr>
          <w:b/>
          <w:sz w:val="21"/>
          <w:szCs w:val="21"/>
        </w:rPr>
        <w:t>评标办法前附表</w:t>
      </w:r>
    </w:p>
    <w:tbl>
      <w:tblPr>
        <w:tblStyle w:val="7"/>
        <w:tblW w:w="9001"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4"/>
        <w:gridCol w:w="898"/>
        <w:gridCol w:w="723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2" w:hRule="atLeast"/>
          <w:jc w:val="center"/>
        </w:trPr>
        <w:tc>
          <w:tcPr>
            <w:tcW w:w="1762" w:type="dxa"/>
            <w:gridSpan w:val="2"/>
          </w:tcPr>
          <w:p>
            <w:pPr>
              <w:pStyle w:val="11"/>
              <w:spacing w:before="113"/>
              <w:ind w:left="560"/>
              <w:rPr>
                <w:b/>
              </w:rPr>
            </w:pPr>
            <w:r>
              <w:rPr>
                <w:b/>
              </w:rPr>
              <w:t>条款号</w:t>
            </w:r>
            <w:r>
              <w:rPr>
                <w:b/>
                <w:w w:val="99"/>
              </w:rPr>
              <w:t xml:space="preserve"> </w:t>
            </w:r>
          </w:p>
        </w:tc>
        <w:tc>
          <w:tcPr>
            <w:tcW w:w="7239" w:type="dxa"/>
          </w:tcPr>
          <w:p>
            <w:pPr>
              <w:pStyle w:val="11"/>
              <w:spacing w:before="113"/>
              <w:ind w:left="2910" w:right="2783"/>
              <w:jc w:val="center"/>
              <w:rPr>
                <w:b/>
              </w:rPr>
            </w:pPr>
            <w:r>
              <w:rPr>
                <w:b/>
              </w:rPr>
              <w:t>评审因素与标准</w:t>
            </w:r>
            <w:r>
              <w:rPr>
                <w:b/>
                <w:w w:val="99"/>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95" w:hRule="atLeast"/>
          <w:jc w:val="center"/>
        </w:trPr>
        <w:tc>
          <w:tcPr>
            <w:tcW w:w="864" w:type="dxa"/>
            <w:tcBorders>
              <w:bottom w:val="nil"/>
            </w:tcBorders>
          </w:tcPr>
          <w:p>
            <w:pPr>
              <w:pStyle w:val="11"/>
              <w:rPr>
                <w:b/>
                <w:sz w:val="20"/>
              </w:rPr>
            </w:pPr>
          </w:p>
          <w:p>
            <w:pPr>
              <w:pStyle w:val="11"/>
              <w:rPr>
                <w:b/>
                <w:sz w:val="20"/>
              </w:rPr>
            </w:pPr>
          </w:p>
          <w:p>
            <w:pPr>
              <w:pStyle w:val="11"/>
              <w:spacing w:before="148"/>
              <w:ind w:left="376"/>
            </w:pPr>
            <w:r>
              <w:t xml:space="preserve">1 </w:t>
            </w:r>
          </w:p>
        </w:tc>
        <w:tc>
          <w:tcPr>
            <w:tcW w:w="898" w:type="dxa"/>
            <w:tcBorders>
              <w:bottom w:val="nil"/>
            </w:tcBorders>
          </w:tcPr>
          <w:p>
            <w:pPr>
              <w:pStyle w:val="11"/>
              <w:rPr>
                <w:b/>
                <w:sz w:val="20"/>
              </w:rPr>
            </w:pPr>
          </w:p>
          <w:p>
            <w:pPr>
              <w:pStyle w:val="11"/>
              <w:spacing w:before="11"/>
              <w:rPr>
                <w:b/>
                <w:sz w:val="20"/>
              </w:rPr>
            </w:pPr>
          </w:p>
          <w:p>
            <w:pPr>
              <w:pStyle w:val="11"/>
              <w:spacing w:line="242" w:lineRule="auto"/>
              <w:ind w:left="236" w:right="103"/>
            </w:pPr>
            <w:r>
              <w:t xml:space="preserve">评标办法 </w:t>
            </w:r>
          </w:p>
        </w:tc>
        <w:tc>
          <w:tcPr>
            <w:tcW w:w="7239" w:type="dxa"/>
            <w:tcBorders>
              <w:bottom w:val="nil"/>
            </w:tcBorders>
          </w:tcPr>
          <w:p>
            <w:pPr>
              <w:pStyle w:val="11"/>
              <w:keepNext w:val="0"/>
              <w:keepLines w:val="0"/>
              <w:pageBreakBefore w:val="0"/>
              <w:widowControl w:val="0"/>
              <w:kinsoku/>
              <w:wordWrap/>
              <w:overflowPunct/>
              <w:topLinePunct w:val="0"/>
              <w:autoSpaceDE/>
              <w:autoSpaceDN/>
              <w:bidi w:val="0"/>
              <w:adjustRightInd/>
              <w:snapToGrid w:val="0"/>
              <w:spacing w:before="116" w:line="240" w:lineRule="atLeast"/>
              <w:ind w:left="109"/>
              <w:textAlignment w:val="auto"/>
              <w:rPr>
                <w:b/>
                <w:bCs/>
              </w:rPr>
            </w:pPr>
            <w:r>
              <w:rPr>
                <w:b/>
                <w:bCs/>
              </w:rPr>
              <w:t xml:space="preserve">综合评分相等时，评标委员会依次按照以下优先顺序推荐中标候选人： </w:t>
            </w:r>
          </w:p>
          <w:p>
            <w:pPr>
              <w:pStyle w:val="11"/>
              <w:keepNext w:val="0"/>
              <w:keepLines w:val="0"/>
              <w:pageBreakBefore w:val="0"/>
              <w:widowControl w:val="0"/>
              <w:numPr>
                <w:ilvl w:val="0"/>
                <w:numId w:val="1"/>
              </w:numPr>
              <w:tabs>
                <w:tab w:val="left" w:pos="639"/>
              </w:tabs>
              <w:kinsoku/>
              <w:wordWrap/>
              <w:overflowPunct/>
              <w:topLinePunct w:val="0"/>
              <w:autoSpaceDE/>
              <w:autoSpaceDN/>
              <w:bidi w:val="0"/>
              <w:adjustRightInd/>
              <w:snapToGrid w:val="0"/>
              <w:spacing w:before="2" w:line="240" w:lineRule="atLeast"/>
              <w:ind w:hanging="530"/>
              <w:textAlignment w:val="auto"/>
            </w:pPr>
            <w:r>
              <w:rPr>
                <w:spacing w:val="-3"/>
              </w:rPr>
              <w:t>评标价低的投标人优先；</w:t>
            </w:r>
          </w:p>
          <w:p>
            <w:pPr>
              <w:pStyle w:val="11"/>
              <w:keepNext w:val="0"/>
              <w:keepLines w:val="0"/>
              <w:pageBreakBefore w:val="0"/>
              <w:widowControl w:val="0"/>
              <w:numPr>
                <w:ilvl w:val="0"/>
                <w:numId w:val="1"/>
              </w:numPr>
              <w:tabs>
                <w:tab w:val="left" w:pos="639"/>
              </w:tabs>
              <w:kinsoku/>
              <w:wordWrap/>
              <w:overflowPunct/>
              <w:topLinePunct w:val="0"/>
              <w:autoSpaceDE/>
              <w:autoSpaceDN/>
              <w:bidi w:val="0"/>
              <w:adjustRightInd/>
              <w:snapToGrid w:val="0"/>
              <w:spacing w:before="2" w:line="240" w:lineRule="atLeast"/>
              <w:ind w:hanging="530"/>
              <w:textAlignment w:val="auto"/>
            </w:pPr>
            <w:r>
              <w:rPr>
                <w:rFonts w:hint="eastAsia" w:ascii="宋体" w:hAnsi="宋体" w:eastAsia="宋体" w:cs="宋体"/>
                <w:color w:val="000000"/>
                <w:kern w:val="0"/>
                <w:sz w:val="21"/>
                <w:szCs w:val="21"/>
                <w:lang w:val="en-US" w:eastAsia="zh-CN" w:bidi="ar"/>
              </w:rPr>
              <w:t>商务和技术得分较高的投标人优先</w:t>
            </w:r>
            <w:r>
              <w:rPr>
                <w:rFonts w:hint="eastAsia" w:cs="宋体"/>
                <w:color w:val="000000"/>
                <w:kern w:val="0"/>
                <w:sz w:val="21"/>
                <w:szCs w:val="21"/>
                <w:lang w:val="en-US" w:eastAsia="zh-CN" w:bidi="ar"/>
              </w:rPr>
              <w:t>；</w:t>
            </w:r>
          </w:p>
          <w:p>
            <w:pPr>
              <w:pStyle w:val="11"/>
              <w:keepNext w:val="0"/>
              <w:keepLines w:val="0"/>
              <w:pageBreakBefore w:val="0"/>
              <w:widowControl w:val="0"/>
              <w:numPr>
                <w:ilvl w:val="0"/>
                <w:numId w:val="1"/>
              </w:numPr>
              <w:tabs>
                <w:tab w:val="left" w:pos="639"/>
              </w:tabs>
              <w:kinsoku/>
              <w:wordWrap/>
              <w:overflowPunct/>
              <w:topLinePunct w:val="0"/>
              <w:autoSpaceDE/>
              <w:autoSpaceDN/>
              <w:bidi w:val="0"/>
              <w:adjustRightInd/>
              <w:snapToGrid w:val="0"/>
              <w:spacing w:before="2" w:line="240" w:lineRule="atLeast"/>
              <w:ind w:hanging="530"/>
              <w:textAlignment w:val="auto"/>
            </w:pPr>
            <w:r>
              <w:rPr>
                <w:rFonts w:hint="eastAsia"/>
                <w:spacing w:val="-3"/>
                <w:lang w:val="en-US"/>
              </w:rPr>
              <w:t>由评标委员会根据投标文件的编制情况投票确定其推荐排序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5" w:hRule="atLeast"/>
          <w:jc w:val="center"/>
        </w:trPr>
        <w:tc>
          <w:tcPr>
            <w:tcW w:w="864" w:type="dxa"/>
            <w:tcBorders>
              <w:bottom w:val="nil"/>
            </w:tcBorders>
          </w:tcPr>
          <w:p>
            <w:pPr>
              <w:pStyle w:val="11"/>
              <w:rPr>
                <w:rFonts w:ascii="Times New Roman"/>
                <w:sz w:val="20"/>
              </w:rPr>
            </w:pPr>
          </w:p>
        </w:tc>
        <w:tc>
          <w:tcPr>
            <w:tcW w:w="898" w:type="dxa"/>
            <w:tcBorders>
              <w:bottom w:val="nil"/>
            </w:tcBorders>
          </w:tcPr>
          <w:p>
            <w:pPr>
              <w:pStyle w:val="11"/>
              <w:rPr>
                <w:rFonts w:ascii="Times New Roman"/>
                <w:sz w:val="20"/>
              </w:rPr>
            </w:pPr>
          </w:p>
        </w:tc>
        <w:tc>
          <w:tcPr>
            <w:tcW w:w="7239" w:type="dxa"/>
            <w:tcBorders>
              <w:bottom w:val="nil"/>
            </w:tcBorders>
          </w:tcPr>
          <w:p>
            <w:pPr>
              <w:pStyle w:val="11"/>
              <w:keepNext w:val="0"/>
              <w:keepLines w:val="0"/>
              <w:pageBreakBefore w:val="0"/>
              <w:widowControl w:val="0"/>
              <w:kinsoku/>
              <w:wordWrap/>
              <w:overflowPunct/>
              <w:topLinePunct w:val="0"/>
              <w:autoSpaceDE/>
              <w:autoSpaceDN/>
              <w:bidi w:val="0"/>
              <w:adjustRightInd/>
              <w:snapToGrid/>
              <w:spacing w:before="115" w:line="240" w:lineRule="atLeast"/>
              <w:ind w:left="109"/>
              <w:textAlignment w:val="auto"/>
              <w:rPr>
                <w:b/>
              </w:rPr>
            </w:pPr>
            <w:r>
              <w:rPr>
                <w:b/>
              </w:rPr>
              <w:t>第一个信封（商务及技术文件）评审标准：</w:t>
            </w:r>
            <w:r>
              <w:rPr>
                <w:b/>
                <w:w w:val="99"/>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jc w:val="center"/>
        </w:trPr>
        <w:tc>
          <w:tcPr>
            <w:tcW w:w="864" w:type="dxa"/>
            <w:tcBorders>
              <w:top w:val="nil"/>
              <w:bottom w:val="nil"/>
            </w:tcBorders>
          </w:tcPr>
          <w:p>
            <w:pPr>
              <w:pStyle w:val="11"/>
              <w:rPr>
                <w:rFonts w:ascii="Times New Roman"/>
                <w:sz w:val="20"/>
              </w:rPr>
            </w:pPr>
          </w:p>
        </w:tc>
        <w:tc>
          <w:tcPr>
            <w:tcW w:w="898" w:type="dxa"/>
            <w:tcBorders>
              <w:top w:val="nil"/>
              <w:bottom w:val="nil"/>
            </w:tcBorders>
          </w:tcPr>
          <w:p>
            <w:pPr>
              <w:pStyle w:val="11"/>
              <w:rPr>
                <w:rFonts w:ascii="Times New Roman"/>
                <w:sz w:val="20"/>
              </w:rPr>
            </w:pPr>
          </w:p>
        </w:tc>
        <w:tc>
          <w:tcPr>
            <w:tcW w:w="7239" w:type="dxa"/>
            <w:tcBorders>
              <w:top w:val="nil"/>
              <w:bottom w:val="nil"/>
            </w:tcBorders>
          </w:tcPr>
          <w:p>
            <w:pPr>
              <w:pStyle w:val="11"/>
              <w:numPr>
                <w:ilvl w:val="0"/>
                <w:numId w:val="2"/>
              </w:numPr>
              <w:tabs>
                <w:tab w:val="left" w:pos="653"/>
              </w:tabs>
              <w:spacing w:line="340" w:lineRule="exact"/>
              <w:ind w:right="74" w:firstLine="0"/>
              <w:rPr>
                <w:rFonts w:hint="eastAsia" w:ascii="宋体" w:hAnsi="宋体" w:eastAsia="宋体" w:cs="宋体"/>
                <w:spacing w:val="4"/>
              </w:rPr>
            </w:pPr>
            <w:r>
              <w:rPr>
                <w:rFonts w:hint="eastAsia" w:ascii="宋体" w:hAnsi="宋体" w:eastAsia="宋体" w:cs="宋体"/>
                <w:spacing w:val="4"/>
              </w:rPr>
              <w:t>投标文件按照招标文件规定的格式、内容填写，字迹清晰可辨：</w:t>
            </w:r>
          </w:p>
          <w:p>
            <w:pPr>
              <w:pStyle w:val="11"/>
              <w:numPr>
                <w:ilvl w:val="0"/>
                <w:numId w:val="0"/>
              </w:numPr>
              <w:tabs>
                <w:tab w:val="left" w:pos="653"/>
              </w:tabs>
              <w:spacing w:line="340" w:lineRule="exact"/>
              <w:ind w:left="109" w:leftChars="0" w:right="74" w:rightChars="0" w:firstLine="218" w:firstLineChars="100"/>
              <w:rPr>
                <w:rFonts w:hint="eastAsia" w:ascii="宋体" w:hAnsi="宋体" w:eastAsia="宋体" w:cs="宋体"/>
                <w:spacing w:val="4"/>
              </w:rPr>
            </w:pPr>
            <w:r>
              <w:rPr>
                <w:rFonts w:hint="eastAsia" w:ascii="宋体" w:hAnsi="宋体" w:eastAsia="宋体" w:cs="宋体"/>
                <w:spacing w:val="4"/>
                <w:lang w:val="en-US" w:eastAsia="zh-CN"/>
              </w:rPr>
              <w:t>a.</w:t>
            </w:r>
            <w:r>
              <w:rPr>
                <w:rFonts w:hint="eastAsia" w:ascii="宋体" w:hAnsi="宋体" w:eastAsia="宋体" w:cs="宋体"/>
                <w:spacing w:val="4"/>
              </w:rPr>
              <w:t>投标函按招标文件规定填报了项目名称、补遗书编号（如有）、服务</w:t>
            </w:r>
            <w:r>
              <w:rPr>
                <w:rFonts w:hint="eastAsia" w:ascii="宋体" w:hAnsi="宋体" w:eastAsia="宋体" w:cs="宋体"/>
                <w:spacing w:val="4"/>
                <w:lang w:val="en-US"/>
              </w:rPr>
              <w:t>期限</w:t>
            </w:r>
            <w:r>
              <w:rPr>
                <w:rFonts w:hint="eastAsia" w:ascii="宋体" w:hAnsi="宋体" w:eastAsia="宋体" w:cs="宋体"/>
                <w:spacing w:val="4"/>
              </w:rPr>
              <w:t>、质量要求及安全目标；</w:t>
            </w:r>
          </w:p>
          <w:p>
            <w:pPr>
              <w:pStyle w:val="11"/>
              <w:numPr>
                <w:ilvl w:val="0"/>
                <w:numId w:val="0"/>
              </w:numPr>
              <w:tabs>
                <w:tab w:val="left" w:pos="653"/>
              </w:tabs>
              <w:spacing w:line="340" w:lineRule="exact"/>
              <w:ind w:left="109" w:leftChars="0" w:right="74" w:rightChars="0" w:firstLine="218" w:firstLineChars="100"/>
              <w:rPr>
                <w:rFonts w:hint="eastAsia" w:ascii="宋体" w:hAnsi="宋体" w:eastAsia="宋体" w:cs="宋体"/>
                <w:spacing w:val="4"/>
              </w:rPr>
            </w:pPr>
            <w:r>
              <w:rPr>
                <w:rFonts w:hint="eastAsia" w:ascii="宋体" w:hAnsi="宋体" w:eastAsia="宋体" w:cs="宋体"/>
                <w:spacing w:val="4"/>
                <w:lang w:val="en-US" w:eastAsia="zh-CN"/>
              </w:rPr>
              <w:t>b.</w:t>
            </w:r>
            <w:r>
              <w:rPr>
                <w:rFonts w:hint="eastAsia" w:ascii="宋体" w:hAnsi="宋体" w:eastAsia="宋体" w:cs="宋体"/>
                <w:spacing w:val="4"/>
              </w:rPr>
              <w:t>投标文件组成齐全完整，内容均按规定填写。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864" w:type="dxa"/>
            <w:tcBorders>
              <w:top w:val="nil"/>
              <w:bottom w:val="nil"/>
            </w:tcBorders>
          </w:tcPr>
          <w:p>
            <w:pPr>
              <w:pStyle w:val="11"/>
              <w:rPr>
                <w:rFonts w:ascii="Times New Roman"/>
                <w:sz w:val="20"/>
              </w:rPr>
            </w:pPr>
          </w:p>
        </w:tc>
        <w:tc>
          <w:tcPr>
            <w:tcW w:w="898" w:type="dxa"/>
            <w:tcBorders>
              <w:top w:val="nil"/>
              <w:bottom w:val="nil"/>
            </w:tcBorders>
          </w:tcPr>
          <w:p>
            <w:pPr>
              <w:pStyle w:val="11"/>
              <w:rPr>
                <w:rFonts w:ascii="Times New Roman"/>
                <w:sz w:val="20"/>
              </w:rPr>
            </w:pPr>
          </w:p>
        </w:tc>
        <w:tc>
          <w:tcPr>
            <w:tcW w:w="7239" w:type="dxa"/>
            <w:tcBorders>
              <w:top w:val="nil"/>
              <w:bottom w:val="nil"/>
            </w:tcBorders>
          </w:tcPr>
          <w:p>
            <w:pPr>
              <w:pStyle w:val="11"/>
              <w:numPr>
                <w:ilvl w:val="0"/>
                <w:numId w:val="2"/>
              </w:numPr>
              <w:tabs>
                <w:tab w:val="left" w:pos="653"/>
              </w:tabs>
              <w:spacing w:line="340" w:lineRule="exact"/>
              <w:ind w:right="74" w:firstLine="0"/>
              <w:rPr>
                <w:rFonts w:hint="eastAsia" w:ascii="宋体" w:hAnsi="宋体" w:eastAsia="宋体" w:cs="宋体"/>
                <w:spacing w:val="4"/>
              </w:rPr>
            </w:pPr>
            <w:r>
              <w:rPr>
                <w:rFonts w:hint="eastAsia" w:ascii="宋体" w:hAnsi="宋体" w:eastAsia="宋体" w:cs="宋体"/>
                <w:spacing w:val="4"/>
              </w:rPr>
              <w:t xml:space="preserve">投标文件上法定代表人或其委托代理人的签字、投标人的单位章盖章齐全，符招标文件规定。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59" w:hRule="atLeast"/>
          <w:jc w:val="center"/>
        </w:trPr>
        <w:tc>
          <w:tcPr>
            <w:tcW w:w="864" w:type="dxa"/>
            <w:tcBorders>
              <w:top w:val="nil"/>
              <w:bottom w:val="nil"/>
            </w:tcBorders>
          </w:tcPr>
          <w:p>
            <w:pPr>
              <w:pStyle w:val="11"/>
              <w:rPr>
                <w:b/>
                <w:sz w:val="20"/>
              </w:rPr>
            </w:pPr>
          </w:p>
          <w:p>
            <w:pPr>
              <w:pStyle w:val="11"/>
              <w:spacing w:before="154"/>
              <w:ind w:left="167"/>
            </w:pPr>
            <w:r>
              <w:t xml:space="preserve">2.1.1 </w:t>
            </w:r>
          </w:p>
          <w:p>
            <w:pPr>
              <w:pStyle w:val="11"/>
              <w:spacing w:before="2"/>
              <w:ind w:left="167"/>
            </w:pPr>
            <w:r>
              <w:t xml:space="preserve">2.1.3 </w:t>
            </w:r>
          </w:p>
        </w:tc>
        <w:tc>
          <w:tcPr>
            <w:tcW w:w="898" w:type="dxa"/>
            <w:tcBorders>
              <w:top w:val="nil"/>
              <w:bottom w:val="nil"/>
            </w:tcBorders>
          </w:tcPr>
          <w:p>
            <w:pPr>
              <w:pStyle w:val="11"/>
              <w:spacing w:before="139" w:line="242" w:lineRule="auto"/>
              <w:ind w:left="131" w:right="-15"/>
            </w:pPr>
            <w:r>
              <w:t xml:space="preserve">形式评审与响应性评审标准 </w:t>
            </w:r>
          </w:p>
        </w:tc>
        <w:tc>
          <w:tcPr>
            <w:tcW w:w="7239" w:type="dxa"/>
            <w:tcBorders>
              <w:top w:val="nil"/>
              <w:bottom w:val="nil"/>
            </w:tcBorders>
          </w:tcPr>
          <w:p>
            <w:pPr>
              <w:pStyle w:val="11"/>
              <w:numPr>
                <w:ilvl w:val="0"/>
                <w:numId w:val="2"/>
              </w:numPr>
              <w:tabs>
                <w:tab w:val="left" w:pos="653"/>
              </w:tabs>
              <w:spacing w:line="340" w:lineRule="exact"/>
              <w:ind w:right="74" w:firstLine="0"/>
              <w:rPr>
                <w:rFonts w:hint="eastAsia" w:ascii="宋体" w:hAnsi="宋体" w:eastAsia="宋体" w:cs="宋体"/>
                <w:spacing w:val="4"/>
              </w:rPr>
            </w:pPr>
            <w:r>
              <w:rPr>
                <w:rFonts w:hint="eastAsia" w:ascii="宋体" w:hAnsi="宋体" w:eastAsia="宋体" w:cs="宋体"/>
                <w:spacing w:val="4"/>
              </w:rPr>
              <w:t xml:space="preserve">投标人法定代表人授权委托代理人签署投标文件的，须提交授权委托书，且授权人和被授权人均在授权委托书上签名，未使用印章、签名章或其他电子制版签名代替。 </w:t>
            </w:r>
          </w:p>
          <w:p>
            <w:pPr>
              <w:pStyle w:val="11"/>
              <w:numPr>
                <w:ilvl w:val="0"/>
                <w:numId w:val="2"/>
              </w:numPr>
              <w:tabs>
                <w:tab w:val="left" w:pos="653"/>
              </w:tabs>
              <w:spacing w:line="340" w:lineRule="exact"/>
              <w:ind w:right="74" w:firstLine="0"/>
              <w:rPr>
                <w:rFonts w:hint="eastAsia" w:ascii="宋体" w:hAnsi="宋体" w:eastAsia="宋体" w:cs="宋体"/>
                <w:spacing w:val="4"/>
              </w:rPr>
            </w:pPr>
            <w:r>
              <w:rPr>
                <w:rFonts w:hint="eastAsia" w:ascii="宋体" w:hAnsi="宋体" w:eastAsia="宋体" w:cs="宋体"/>
                <w:spacing w:val="4"/>
              </w:rPr>
              <w:t xml:space="preserve">投标人法定代表人亲自签署投标文件的，提供了法定代表人身份证明，且法定代表人在法定代表人身份证明上签名，未使用印章、签名章或其他电子制版签名代替。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3" w:hRule="atLeast"/>
          <w:jc w:val="center"/>
        </w:trPr>
        <w:tc>
          <w:tcPr>
            <w:tcW w:w="864" w:type="dxa"/>
            <w:tcBorders>
              <w:top w:val="nil"/>
              <w:bottom w:val="nil"/>
            </w:tcBorders>
          </w:tcPr>
          <w:p>
            <w:pPr>
              <w:pStyle w:val="11"/>
              <w:rPr>
                <w:rFonts w:ascii="Times New Roman"/>
                <w:sz w:val="20"/>
              </w:rPr>
            </w:pPr>
          </w:p>
        </w:tc>
        <w:tc>
          <w:tcPr>
            <w:tcW w:w="898" w:type="dxa"/>
            <w:tcBorders>
              <w:top w:val="nil"/>
              <w:bottom w:val="nil"/>
            </w:tcBorders>
          </w:tcPr>
          <w:p>
            <w:pPr>
              <w:pStyle w:val="11"/>
              <w:rPr>
                <w:rFonts w:ascii="Times New Roman"/>
                <w:sz w:val="20"/>
              </w:rPr>
            </w:pPr>
          </w:p>
        </w:tc>
        <w:tc>
          <w:tcPr>
            <w:tcW w:w="7239" w:type="dxa"/>
            <w:tcBorders>
              <w:top w:val="nil"/>
              <w:bottom w:val="nil"/>
            </w:tcBorders>
          </w:tcPr>
          <w:p>
            <w:pPr>
              <w:pStyle w:val="11"/>
              <w:numPr>
                <w:ilvl w:val="0"/>
                <w:numId w:val="2"/>
              </w:numPr>
              <w:tabs>
                <w:tab w:val="left" w:pos="653"/>
              </w:tabs>
              <w:spacing w:line="340" w:lineRule="exact"/>
              <w:ind w:right="74" w:firstLine="0"/>
              <w:rPr>
                <w:rFonts w:hint="eastAsia" w:ascii="宋体" w:hAnsi="宋体" w:eastAsia="宋体" w:cs="宋体"/>
                <w:spacing w:val="4"/>
              </w:rPr>
            </w:pPr>
            <w:r>
              <w:rPr>
                <w:rFonts w:hint="eastAsia" w:ascii="宋体" w:hAnsi="宋体" w:eastAsia="宋体" w:cs="宋体"/>
                <w:spacing w:val="4"/>
              </w:rPr>
              <w:t xml:space="preserve">同一投标人未提交两个以上不同的投标文件。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4" w:hRule="atLeast"/>
          <w:jc w:val="center"/>
        </w:trPr>
        <w:tc>
          <w:tcPr>
            <w:tcW w:w="864" w:type="dxa"/>
            <w:tcBorders>
              <w:top w:val="nil"/>
              <w:bottom w:val="nil"/>
            </w:tcBorders>
          </w:tcPr>
          <w:p>
            <w:pPr>
              <w:pStyle w:val="11"/>
              <w:rPr>
                <w:rFonts w:ascii="Times New Roman"/>
                <w:sz w:val="20"/>
              </w:rPr>
            </w:pPr>
          </w:p>
        </w:tc>
        <w:tc>
          <w:tcPr>
            <w:tcW w:w="898" w:type="dxa"/>
            <w:tcBorders>
              <w:top w:val="nil"/>
              <w:bottom w:val="nil"/>
            </w:tcBorders>
          </w:tcPr>
          <w:p>
            <w:pPr>
              <w:pStyle w:val="11"/>
              <w:rPr>
                <w:rFonts w:ascii="Times New Roman"/>
                <w:sz w:val="20"/>
              </w:rPr>
            </w:pPr>
          </w:p>
        </w:tc>
        <w:tc>
          <w:tcPr>
            <w:tcW w:w="7239" w:type="dxa"/>
            <w:tcBorders>
              <w:top w:val="nil"/>
              <w:bottom w:val="nil"/>
            </w:tcBorders>
          </w:tcPr>
          <w:p>
            <w:pPr>
              <w:pStyle w:val="11"/>
              <w:numPr>
                <w:ilvl w:val="0"/>
                <w:numId w:val="2"/>
              </w:numPr>
              <w:tabs>
                <w:tab w:val="left" w:pos="653"/>
              </w:tabs>
              <w:spacing w:line="340" w:lineRule="exact"/>
              <w:ind w:right="74" w:firstLine="0"/>
              <w:rPr>
                <w:rFonts w:hint="eastAsia" w:ascii="宋体" w:hAnsi="宋体" w:eastAsia="宋体" w:cs="宋体"/>
                <w:spacing w:val="4"/>
              </w:rPr>
            </w:pPr>
            <w:r>
              <w:rPr>
                <w:rFonts w:hint="eastAsia" w:ascii="宋体" w:hAnsi="宋体" w:eastAsia="宋体" w:cs="宋体"/>
                <w:spacing w:val="4"/>
              </w:rPr>
              <w:t xml:space="preserve">投标文件第一信封中未出现有关投标报价的内容。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7" w:hRule="atLeast"/>
          <w:jc w:val="center"/>
        </w:trPr>
        <w:tc>
          <w:tcPr>
            <w:tcW w:w="864" w:type="dxa"/>
            <w:tcBorders>
              <w:top w:val="nil"/>
              <w:bottom w:val="nil"/>
            </w:tcBorders>
          </w:tcPr>
          <w:p>
            <w:pPr>
              <w:pStyle w:val="11"/>
              <w:rPr>
                <w:rFonts w:ascii="Times New Roman"/>
                <w:sz w:val="20"/>
              </w:rPr>
            </w:pPr>
          </w:p>
        </w:tc>
        <w:tc>
          <w:tcPr>
            <w:tcW w:w="898" w:type="dxa"/>
            <w:tcBorders>
              <w:top w:val="nil"/>
              <w:bottom w:val="nil"/>
            </w:tcBorders>
          </w:tcPr>
          <w:p>
            <w:pPr>
              <w:pStyle w:val="11"/>
              <w:rPr>
                <w:rFonts w:ascii="Times New Roman"/>
                <w:sz w:val="20"/>
              </w:rPr>
            </w:pPr>
          </w:p>
        </w:tc>
        <w:tc>
          <w:tcPr>
            <w:tcW w:w="7239" w:type="dxa"/>
            <w:tcBorders>
              <w:top w:val="nil"/>
              <w:bottom w:val="nil"/>
            </w:tcBorders>
          </w:tcPr>
          <w:p>
            <w:pPr>
              <w:pStyle w:val="11"/>
              <w:numPr>
                <w:ilvl w:val="0"/>
                <w:numId w:val="2"/>
              </w:numPr>
              <w:tabs>
                <w:tab w:val="left" w:pos="653"/>
              </w:tabs>
              <w:spacing w:line="340" w:lineRule="exact"/>
              <w:ind w:right="74" w:firstLine="0"/>
              <w:rPr>
                <w:rFonts w:hint="eastAsia" w:ascii="宋体" w:hAnsi="宋体" w:eastAsia="宋体" w:cs="宋体"/>
                <w:spacing w:val="4"/>
              </w:rPr>
            </w:pPr>
            <w:r>
              <w:rPr>
                <w:rFonts w:hint="eastAsia" w:ascii="宋体" w:hAnsi="宋体" w:eastAsia="宋体" w:cs="宋体"/>
                <w:spacing w:val="4"/>
              </w:rPr>
              <w:t xml:space="preserve">投标文件载明的招标项目完成期限未超过招标文件规定的时限。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jc w:val="center"/>
        </w:trPr>
        <w:tc>
          <w:tcPr>
            <w:tcW w:w="864" w:type="dxa"/>
            <w:tcBorders>
              <w:top w:val="nil"/>
              <w:bottom w:val="nil"/>
            </w:tcBorders>
          </w:tcPr>
          <w:p>
            <w:pPr>
              <w:pStyle w:val="11"/>
              <w:rPr>
                <w:rFonts w:ascii="Times New Roman"/>
                <w:sz w:val="20"/>
              </w:rPr>
            </w:pPr>
          </w:p>
        </w:tc>
        <w:tc>
          <w:tcPr>
            <w:tcW w:w="898" w:type="dxa"/>
            <w:tcBorders>
              <w:top w:val="nil"/>
              <w:bottom w:val="nil"/>
            </w:tcBorders>
          </w:tcPr>
          <w:p>
            <w:pPr>
              <w:pStyle w:val="11"/>
              <w:rPr>
                <w:rFonts w:ascii="Times New Roman"/>
                <w:sz w:val="20"/>
              </w:rPr>
            </w:pPr>
          </w:p>
        </w:tc>
        <w:tc>
          <w:tcPr>
            <w:tcW w:w="7239" w:type="dxa"/>
            <w:tcBorders>
              <w:top w:val="nil"/>
              <w:bottom w:val="nil"/>
            </w:tcBorders>
          </w:tcPr>
          <w:p>
            <w:pPr>
              <w:pStyle w:val="11"/>
              <w:numPr>
                <w:ilvl w:val="0"/>
                <w:numId w:val="2"/>
              </w:numPr>
              <w:tabs>
                <w:tab w:val="left" w:pos="653"/>
              </w:tabs>
              <w:spacing w:line="340" w:lineRule="exact"/>
              <w:ind w:right="74" w:firstLine="0"/>
              <w:rPr>
                <w:rFonts w:hint="eastAsia" w:ascii="宋体" w:hAnsi="宋体" w:eastAsia="宋体" w:cs="宋体"/>
                <w:spacing w:val="4"/>
              </w:rPr>
            </w:pPr>
            <w:r>
              <w:rPr>
                <w:rFonts w:hint="eastAsia" w:ascii="宋体" w:hAnsi="宋体" w:eastAsia="宋体" w:cs="宋体"/>
                <w:spacing w:val="4"/>
              </w:rPr>
              <w:t xml:space="preserve">）投标文件对招标文件的实质性要求和条件作出响应。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7" w:hRule="atLeast"/>
          <w:jc w:val="center"/>
        </w:trPr>
        <w:tc>
          <w:tcPr>
            <w:tcW w:w="864" w:type="dxa"/>
            <w:tcBorders>
              <w:top w:val="nil"/>
              <w:bottom w:val="nil"/>
            </w:tcBorders>
          </w:tcPr>
          <w:p>
            <w:pPr>
              <w:pStyle w:val="11"/>
              <w:rPr>
                <w:rFonts w:ascii="Times New Roman"/>
                <w:sz w:val="20"/>
              </w:rPr>
            </w:pPr>
          </w:p>
        </w:tc>
        <w:tc>
          <w:tcPr>
            <w:tcW w:w="898" w:type="dxa"/>
            <w:tcBorders>
              <w:top w:val="nil"/>
              <w:bottom w:val="nil"/>
            </w:tcBorders>
          </w:tcPr>
          <w:p>
            <w:pPr>
              <w:pStyle w:val="11"/>
              <w:rPr>
                <w:rFonts w:ascii="Times New Roman"/>
                <w:sz w:val="20"/>
              </w:rPr>
            </w:pPr>
          </w:p>
        </w:tc>
        <w:tc>
          <w:tcPr>
            <w:tcW w:w="7239" w:type="dxa"/>
            <w:tcBorders>
              <w:top w:val="nil"/>
              <w:bottom w:val="nil"/>
            </w:tcBorders>
          </w:tcPr>
          <w:p>
            <w:pPr>
              <w:pStyle w:val="11"/>
              <w:numPr>
                <w:ilvl w:val="0"/>
                <w:numId w:val="2"/>
              </w:numPr>
              <w:tabs>
                <w:tab w:val="left" w:pos="653"/>
              </w:tabs>
              <w:spacing w:line="340" w:lineRule="exact"/>
              <w:ind w:right="74" w:firstLine="0"/>
              <w:rPr>
                <w:rFonts w:hint="eastAsia" w:ascii="宋体" w:hAnsi="宋体" w:eastAsia="宋体" w:cs="宋体"/>
                <w:spacing w:val="4"/>
              </w:rPr>
            </w:pPr>
            <w:r>
              <w:rPr>
                <w:rFonts w:hint="eastAsia" w:ascii="宋体" w:hAnsi="宋体" w:eastAsia="宋体" w:cs="宋体"/>
                <w:spacing w:val="4"/>
              </w:rPr>
              <w:t xml:space="preserve">权利义务符合招标文件规定：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864" w:type="dxa"/>
            <w:tcBorders>
              <w:top w:val="nil"/>
              <w:bottom w:val="nil"/>
            </w:tcBorders>
          </w:tcPr>
          <w:p>
            <w:pPr>
              <w:pStyle w:val="11"/>
              <w:rPr>
                <w:rFonts w:ascii="Times New Roman"/>
                <w:sz w:val="20"/>
              </w:rPr>
            </w:pPr>
          </w:p>
        </w:tc>
        <w:tc>
          <w:tcPr>
            <w:tcW w:w="898" w:type="dxa"/>
            <w:tcBorders>
              <w:top w:val="nil"/>
              <w:bottom w:val="nil"/>
            </w:tcBorders>
          </w:tcPr>
          <w:p>
            <w:pPr>
              <w:pStyle w:val="11"/>
              <w:rPr>
                <w:rFonts w:ascii="Times New Roman"/>
                <w:sz w:val="20"/>
              </w:rPr>
            </w:pPr>
          </w:p>
        </w:tc>
        <w:tc>
          <w:tcPr>
            <w:tcW w:w="7239" w:type="dxa"/>
            <w:tcBorders>
              <w:top w:val="nil"/>
              <w:bottom w:val="nil"/>
            </w:tcBorders>
          </w:tcPr>
          <w:p>
            <w:pPr>
              <w:pStyle w:val="11"/>
              <w:numPr>
                <w:ilvl w:val="0"/>
                <w:numId w:val="0"/>
              </w:numPr>
              <w:tabs>
                <w:tab w:val="left" w:pos="653"/>
              </w:tabs>
              <w:spacing w:line="340" w:lineRule="exact"/>
              <w:ind w:left="109" w:leftChars="0" w:right="74" w:rightChars="0" w:firstLine="218" w:firstLineChars="100"/>
              <w:rPr>
                <w:rFonts w:hint="eastAsia" w:ascii="宋体" w:hAnsi="宋体" w:eastAsia="宋体" w:cs="宋体"/>
                <w:spacing w:val="4"/>
              </w:rPr>
            </w:pPr>
            <w:r>
              <w:rPr>
                <w:rFonts w:hint="eastAsia" w:ascii="宋体" w:hAnsi="宋体" w:eastAsia="宋体" w:cs="宋体"/>
                <w:spacing w:val="4"/>
              </w:rPr>
              <w:t xml:space="preserve">a.投标人应接受招标文件规定的风险划分原则，未提出新的风险划分办法；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864" w:type="dxa"/>
            <w:tcBorders>
              <w:top w:val="nil"/>
              <w:bottom w:val="nil"/>
            </w:tcBorders>
          </w:tcPr>
          <w:p>
            <w:pPr>
              <w:pStyle w:val="11"/>
              <w:rPr>
                <w:rFonts w:ascii="Times New Roman"/>
                <w:sz w:val="20"/>
              </w:rPr>
            </w:pPr>
          </w:p>
        </w:tc>
        <w:tc>
          <w:tcPr>
            <w:tcW w:w="898" w:type="dxa"/>
            <w:tcBorders>
              <w:top w:val="nil"/>
              <w:bottom w:val="nil"/>
            </w:tcBorders>
          </w:tcPr>
          <w:p>
            <w:pPr>
              <w:pStyle w:val="11"/>
              <w:rPr>
                <w:rFonts w:ascii="Times New Roman"/>
                <w:sz w:val="20"/>
              </w:rPr>
            </w:pPr>
          </w:p>
        </w:tc>
        <w:tc>
          <w:tcPr>
            <w:tcW w:w="7239" w:type="dxa"/>
            <w:tcBorders>
              <w:top w:val="nil"/>
              <w:bottom w:val="nil"/>
            </w:tcBorders>
          </w:tcPr>
          <w:p>
            <w:pPr>
              <w:pStyle w:val="11"/>
              <w:numPr>
                <w:ilvl w:val="0"/>
                <w:numId w:val="0"/>
              </w:numPr>
              <w:tabs>
                <w:tab w:val="left" w:pos="653"/>
              </w:tabs>
              <w:spacing w:line="340" w:lineRule="exact"/>
              <w:ind w:left="109" w:leftChars="0" w:right="74" w:rightChars="0" w:firstLine="218" w:firstLineChars="100"/>
              <w:rPr>
                <w:rFonts w:hint="eastAsia" w:ascii="宋体" w:hAnsi="宋体" w:eastAsia="宋体" w:cs="宋体"/>
                <w:spacing w:val="4"/>
              </w:rPr>
            </w:pPr>
            <w:r>
              <w:rPr>
                <w:rFonts w:hint="eastAsia" w:ascii="宋体" w:hAnsi="宋体" w:eastAsia="宋体" w:cs="宋体"/>
                <w:spacing w:val="4"/>
              </w:rPr>
              <w:t xml:space="preserve">b.投标人未增加委托人的责任范围，或减少投标人义务；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jc w:val="center"/>
        </w:trPr>
        <w:tc>
          <w:tcPr>
            <w:tcW w:w="864" w:type="dxa"/>
            <w:tcBorders>
              <w:top w:val="nil"/>
              <w:bottom w:val="nil"/>
            </w:tcBorders>
          </w:tcPr>
          <w:p>
            <w:pPr>
              <w:pStyle w:val="11"/>
              <w:rPr>
                <w:rFonts w:ascii="Times New Roman"/>
                <w:sz w:val="20"/>
              </w:rPr>
            </w:pPr>
          </w:p>
        </w:tc>
        <w:tc>
          <w:tcPr>
            <w:tcW w:w="898" w:type="dxa"/>
            <w:tcBorders>
              <w:top w:val="nil"/>
              <w:bottom w:val="nil"/>
            </w:tcBorders>
          </w:tcPr>
          <w:p>
            <w:pPr>
              <w:pStyle w:val="11"/>
              <w:rPr>
                <w:rFonts w:ascii="Times New Roman"/>
                <w:sz w:val="20"/>
              </w:rPr>
            </w:pPr>
          </w:p>
        </w:tc>
        <w:tc>
          <w:tcPr>
            <w:tcW w:w="7239" w:type="dxa"/>
            <w:tcBorders>
              <w:top w:val="nil"/>
              <w:bottom w:val="nil"/>
            </w:tcBorders>
          </w:tcPr>
          <w:p>
            <w:pPr>
              <w:pStyle w:val="11"/>
              <w:numPr>
                <w:ilvl w:val="0"/>
                <w:numId w:val="0"/>
              </w:numPr>
              <w:tabs>
                <w:tab w:val="left" w:pos="653"/>
              </w:tabs>
              <w:spacing w:line="340" w:lineRule="exact"/>
              <w:ind w:left="109" w:leftChars="0" w:right="74" w:rightChars="0" w:firstLine="218" w:firstLineChars="100"/>
              <w:rPr>
                <w:rFonts w:hint="eastAsia" w:ascii="宋体" w:hAnsi="宋体" w:eastAsia="宋体" w:cs="宋体"/>
                <w:spacing w:val="4"/>
              </w:rPr>
            </w:pPr>
            <w:r>
              <w:rPr>
                <w:rFonts w:hint="eastAsia" w:ascii="宋体" w:hAnsi="宋体" w:eastAsia="宋体" w:cs="宋体"/>
                <w:spacing w:val="4"/>
              </w:rPr>
              <w:t xml:space="preserve">c.投标人未提出不同的支付办法；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864" w:type="dxa"/>
            <w:tcBorders>
              <w:top w:val="nil"/>
              <w:bottom w:val="nil"/>
            </w:tcBorders>
          </w:tcPr>
          <w:p>
            <w:pPr>
              <w:pStyle w:val="11"/>
              <w:rPr>
                <w:rFonts w:ascii="Times New Roman"/>
                <w:sz w:val="20"/>
              </w:rPr>
            </w:pPr>
          </w:p>
        </w:tc>
        <w:tc>
          <w:tcPr>
            <w:tcW w:w="898" w:type="dxa"/>
            <w:tcBorders>
              <w:top w:val="nil"/>
              <w:bottom w:val="nil"/>
            </w:tcBorders>
          </w:tcPr>
          <w:p>
            <w:pPr>
              <w:pStyle w:val="11"/>
              <w:rPr>
                <w:rFonts w:ascii="Times New Roman"/>
                <w:sz w:val="20"/>
              </w:rPr>
            </w:pPr>
          </w:p>
        </w:tc>
        <w:tc>
          <w:tcPr>
            <w:tcW w:w="7239" w:type="dxa"/>
            <w:tcBorders>
              <w:top w:val="nil"/>
              <w:bottom w:val="nil"/>
            </w:tcBorders>
          </w:tcPr>
          <w:p>
            <w:pPr>
              <w:pStyle w:val="11"/>
              <w:numPr>
                <w:ilvl w:val="0"/>
                <w:numId w:val="0"/>
              </w:numPr>
              <w:tabs>
                <w:tab w:val="left" w:pos="653"/>
              </w:tabs>
              <w:spacing w:line="340" w:lineRule="exact"/>
              <w:ind w:left="109" w:leftChars="0" w:right="74" w:rightChars="0" w:firstLine="218" w:firstLineChars="100"/>
              <w:rPr>
                <w:rFonts w:hint="eastAsia" w:ascii="宋体" w:hAnsi="宋体" w:eastAsia="宋体" w:cs="宋体"/>
                <w:spacing w:val="4"/>
              </w:rPr>
            </w:pPr>
            <w:r>
              <w:rPr>
                <w:rFonts w:hint="eastAsia" w:ascii="宋体" w:hAnsi="宋体" w:eastAsia="宋体" w:cs="宋体"/>
                <w:spacing w:val="4"/>
              </w:rPr>
              <w:t xml:space="preserve">d.投标人对合同纠纷、事故处理办法未提出异议；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864" w:type="dxa"/>
            <w:tcBorders>
              <w:top w:val="nil"/>
              <w:bottom w:val="nil"/>
            </w:tcBorders>
          </w:tcPr>
          <w:p>
            <w:pPr>
              <w:pStyle w:val="11"/>
              <w:rPr>
                <w:rFonts w:ascii="Times New Roman"/>
                <w:sz w:val="20"/>
              </w:rPr>
            </w:pPr>
          </w:p>
        </w:tc>
        <w:tc>
          <w:tcPr>
            <w:tcW w:w="898" w:type="dxa"/>
            <w:tcBorders>
              <w:top w:val="nil"/>
              <w:bottom w:val="nil"/>
            </w:tcBorders>
          </w:tcPr>
          <w:p>
            <w:pPr>
              <w:pStyle w:val="11"/>
              <w:rPr>
                <w:rFonts w:ascii="Times New Roman"/>
                <w:sz w:val="20"/>
              </w:rPr>
            </w:pPr>
          </w:p>
        </w:tc>
        <w:tc>
          <w:tcPr>
            <w:tcW w:w="7239" w:type="dxa"/>
            <w:tcBorders>
              <w:top w:val="nil"/>
              <w:bottom w:val="nil"/>
            </w:tcBorders>
          </w:tcPr>
          <w:p>
            <w:pPr>
              <w:pStyle w:val="11"/>
              <w:numPr>
                <w:ilvl w:val="0"/>
                <w:numId w:val="0"/>
              </w:numPr>
              <w:tabs>
                <w:tab w:val="left" w:pos="653"/>
              </w:tabs>
              <w:spacing w:line="340" w:lineRule="exact"/>
              <w:ind w:left="109" w:leftChars="0" w:right="74" w:rightChars="0" w:firstLine="218" w:firstLineChars="100"/>
              <w:rPr>
                <w:rFonts w:hint="eastAsia" w:ascii="宋体" w:hAnsi="宋体" w:eastAsia="宋体" w:cs="宋体"/>
                <w:spacing w:val="4"/>
              </w:rPr>
            </w:pPr>
            <w:r>
              <w:rPr>
                <w:rFonts w:hint="eastAsia" w:ascii="宋体" w:hAnsi="宋体" w:eastAsia="宋体" w:cs="宋体"/>
                <w:spacing w:val="4"/>
              </w:rPr>
              <w:t xml:space="preserve">e.投标人在投标活动中无欺诈行为；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jc w:val="center"/>
        </w:trPr>
        <w:tc>
          <w:tcPr>
            <w:tcW w:w="864" w:type="dxa"/>
            <w:tcBorders>
              <w:top w:val="nil"/>
              <w:bottom w:val="nil"/>
            </w:tcBorders>
          </w:tcPr>
          <w:p>
            <w:pPr>
              <w:pStyle w:val="11"/>
              <w:rPr>
                <w:rFonts w:ascii="Times New Roman"/>
                <w:sz w:val="20"/>
              </w:rPr>
            </w:pPr>
          </w:p>
        </w:tc>
        <w:tc>
          <w:tcPr>
            <w:tcW w:w="898" w:type="dxa"/>
            <w:tcBorders>
              <w:top w:val="nil"/>
              <w:bottom w:val="nil"/>
            </w:tcBorders>
          </w:tcPr>
          <w:p>
            <w:pPr>
              <w:pStyle w:val="11"/>
              <w:rPr>
                <w:rFonts w:ascii="Times New Roman"/>
                <w:sz w:val="20"/>
              </w:rPr>
            </w:pPr>
          </w:p>
        </w:tc>
        <w:tc>
          <w:tcPr>
            <w:tcW w:w="7239" w:type="dxa"/>
            <w:tcBorders>
              <w:top w:val="nil"/>
              <w:bottom w:val="nil"/>
            </w:tcBorders>
          </w:tcPr>
          <w:p>
            <w:pPr>
              <w:pStyle w:val="11"/>
              <w:numPr>
                <w:ilvl w:val="0"/>
                <w:numId w:val="0"/>
              </w:numPr>
              <w:tabs>
                <w:tab w:val="left" w:pos="653"/>
              </w:tabs>
              <w:spacing w:line="340" w:lineRule="exact"/>
              <w:ind w:left="109" w:leftChars="0" w:right="74" w:rightChars="0" w:firstLine="218" w:firstLineChars="100"/>
              <w:rPr>
                <w:rFonts w:hint="eastAsia" w:ascii="宋体" w:hAnsi="宋体" w:eastAsia="宋体" w:cs="宋体"/>
                <w:spacing w:val="4"/>
              </w:rPr>
            </w:pPr>
            <w:r>
              <w:rPr>
                <w:rFonts w:hint="eastAsia" w:ascii="宋体" w:hAnsi="宋体" w:eastAsia="宋体" w:cs="宋体"/>
                <w:spacing w:val="4"/>
              </w:rPr>
              <w:t xml:space="preserve">f.投标人未对合同条款有重要保留。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jc w:val="center"/>
        </w:trPr>
        <w:tc>
          <w:tcPr>
            <w:tcW w:w="864" w:type="dxa"/>
            <w:tcBorders>
              <w:top w:val="nil"/>
              <w:bottom w:val="nil"/>
            </w:tcBorders>
          </w:tcPr>
          <w:p>
            <w:pPr>
              <w:pStyle w:val="11"/>
              <w:rPr>
                <w:rFonts w:ascii="Times New Roman"/>
                <w:sz w:val="20"/>
              </w:rPr>
            </w:pPr>
          </w:p>
        </w:tc>
        <w:tc>
          <w:tcPr>
            <w:tcW w:w="898" w:type="dxa"/>
            <w:tcBorders>
              <w:top w:val="nil"/>
              <w:bottom w:val="nil"/>
            </w:tcBorders>
          </w:tcPr>
          <w:p>
            <w:pPr>
              <w:pStyle w:val="11"/>
              <w:rPr>
                <w:rFonts w:ascii="Times New Roman"/>
                <w:sz w:val="20"/>
              </w:rPr>
            </w:pPr>
          </w:p>
        </w:tc>
        <w:tc>
          <w:tcPr>
            <w:tcW w:w="7239" w:type="dxa"/>
            <w:tcBorders>
              <w:top w:val="nil"/>
              <w:bottom w:val="nil"/>
            </w:tcBorders>
          </w:tcPr>
          <w:p>
            <w:pPr>
              <w:pStyle w:val="11"/>
              <w:numPr>
                <w:ilvl w:val="0"/>
                <w:numId w:val="2"/>
              </w:numPr>
              <w:tabs>
                <w:tab w:val="left" w:pos="653"/>
              </w:tabs>
              <w:spacing w:line="340" w:lineRule="exact"/>
              <w:ind w:right="74" w:firstLine="0"/>
              <w:rPr>
                <w:rFonts w:hint="eastAsia" w:ascii="宋体" w:hAnsi="宋体" w:eastAsia="宋体" w:cs="宋体"/>
                <w:spacing w:val="4"/>
              </w:rPr>
            </w:pPr>
            <w:r>
              <w:rPr>
                <w:rFonts w:hint="eastAsia" w:ascii="宋体" w:hAnsi="宋体" w:eastAsia="宋体" w:cs="宋体"/>
                <w:spacing w:val="4"/>
              </w:rPr>
              <w:t>投标文件</w:t>
            </w:r>
            <w:r>
              <w:rPr>
                <w:rFonts w:hint="eastAsia" w:ascii="宋体" w:hAnsi="宋体" w:eastAsia="宋体" w:cs="宋体"/>
                <w:spacing w:val="4"/>
                <w:lang w:val="en-US"/>
              </w:rPr>
              <w:t>编制符合电子投标文件编制规定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64" w:hRule="atLeast"/>
          <w:jc w:val="center"/>
        </w:trPr>
        <w:tc>
          <w:tcPr>
            <w:tcW w:w="864" w:type="dxa"/>
            <w:tcBorders>
              <w:top w:val="nil"/>
            </w:tcBorders>
          </w:tcPr>
          <w:p>
            <w:pPr>
              <w:pStyle w:val="11"/>
              <w:rPr>
                <w:rFonts w:ascii="Times New Roman"/>
                <w:sz w:val="20"/>
              </w:rPr>
            </w:pPr>
          </w:p>
        </w:tc>
        <w:tc>
          <w:tcPr>
            <w:tcW w:w="898" w:type="dxa"/>
            <w:tcBorders>
              <w:top w:val="nil"/>
            </w:tcBorders>
          </w:tcPr>
          <w:p>
            <w:pPr>
              <w:pStyle w:val="11"/>
              <w:rPr>
                <w:rFonts w:ascii="Times New Roman"/>
                <w:sz w:val="20"/>
              </w:rPr>
            </w:pPr>
          </w:p>
        </w:tc>
        <w:tc>
          <w:tcPr>
            <w:tcW w:w="7239" w:type="dxa"/>
            <w:tcBorders>
              <w:top w:val="nil"/>
            </w:tcBorders>
          </w:tcPr>
          <w:p>
            <w:pPr>
              <w:pStyle w:val="11"/>
              <w:numPr>
                <w:ilvl w:val="0"/>
                <w:numId w:val="2"/>
              </w:numPr>
              <w:tabs>
                <w:tab w:val="left" w:pos="653"/>
              </w:tabs>
              <w:spacing w:line="340" w:lineRule="exact"/>
              <w:ind w:right="74" w:firstLine="0"/>
              <w:rPr>
                <w:rFonts w:hint="eastAsia" w:ascii="宋体" w:hAnsi="宋体" w:eastAsia="宋体" w:cs="宋体"/>
                <w:spacing w:val="4"/>
              </w:rPr>
            </w:pPr>
            <w:r>
              <w:rPr>
                <w:rFonts w:hint="eastAsia" w:ascii="宋体" w:hAnsi="宋体" w:eastAsia="宋体" w:cs="宋体"/>
                <w:spacing w:val="4"/>
                <w:lang w:val="en-US"/>
              </w:rPr>
              <w:t>投标人未对项目进行</w:t>
            </w:r>
            <w:r>
              <w:rPr>
                <w:rFonts w:hint="eastAsia" w:ascii="宋体" w:hAnsi="宋体" w:eastAsia="宋体" w:cs="宋体"/>
                <w:spacing w:val="4"/>
              </w:rPr>
              <w:t xml:space="preserve">分包。 </w:t>
            </w:r>
          </w:p>
          <w:p>
            <w:pPr>
              <w:pStyle w:val="11"/>
              <w:numPr>
                <w:ilvl w:val="0"/>
                <w:numId w:val="2"/>
              </w:numPr>
              <w:tabs>
                <w:tab w:val="left" w:pos="653"/>
              </w:tabs>
              <w:spacing w:line="340" w:lineRule="exact"/>
              <w:ind w:right="74" w:firstLine="0"/>
              <w:rPr>
                <w:rFonts w:hint="eastAsia" w:ascii="宋体" w:hAnsi="宋体" w:eastAsia="宋体" w:cs="宋体"/>
                <w:spacing w:val="4"/>
              </w:rPr>
            </w:pPr>
            <w:r>
              <w:rPr>
                <w:rFonts w:hint="eastAsia" w:ascii="宋体" w:hAnsi="宋体" w:eastAsia="宋体" w:cs="宋体"/>
                <w:spacing w:val="4"/>
                <w:lang w:val="en-US"/>
              </w:rPr>
              <w:t>投标人不是</w:t>
            </w:r>
            <w:r>
              <w:rPr>
                <w:rFonts w:hint="eastAsia" w:ascii="宋体" w:hAnsi="宋体" w:eastAsia="宋体" w:cs="宋体"/>
                <w:spacing w:val="4"/>
              </w:rPr>
              <w:t xml:space="preserve">联合体投标。 </w:t>
            </w:r>
          </w:p>
          <w:p>
            <w:pPr>
              <w:pStyle w:val="11"/>
              <w:numPr>
                <w:ilvl w:val="0"/>
                <w:numId w:val="2"/>
              </w:numPr>
              <w:tabs>
                <w:tab w:val="left" w:pos="653"/>
              </w:tabs>
              <w:spacing w:line="340" w:lineRule="exact"/>
              <w:ind w:right="74" w:firstLine="0"/>
              <w:rPr>
                <w:rFonts w:hint="eastAsia" w:ascii="宋体" w:hAnsi="宋体" w:eastAsia="宋体" w:cs="宋体"/>
                <w:spacing w:val="4"/>
              </w:rPr>
            </w:pPr>
            <w:r>
              <w:rPr>
                <w:rFonts w:hint="eastAsia" w:ascii="宋体" w:hAnsi="宋体" w:eastAsia="宋体" w:cs="宋体"/>
                <w:spacing w:val="4"/>
              </w:rPr>
              <w:t xml:space="preserve">投标人未以他人名义投标、未与他人串通投标、未以行贿手段谋取中标，以及未弄虚作假。 </w:t>
            </w:r>
          </w:p>
          <w:p>
            <w:pPr>
              <w:pStyle w:val="11"/>
              <w:numPr>
                <w:ilvl w:val="0"/>
                <w:numId w:val="2"/>
              </w:numPr>
              <w:tabs>
                <w:tab w:val="left" w:pos="653"/>
              </w:tabs>
              <w:spacing w:line="340" w:lineRule="exact"/>
              <w:ind w:right="74" w:firstLine="0"/>
              <w:rPr>
                <w:rFonts w:hint="eastAsia" w:ascii="宋体" w:hAnsi="宋体" w:eastAsia="宋体" w:cs="宋体"/>
                <w:spacing w:val="4"/>
              </w:rPr>
            </w:pPr>
            <w:r>
              <w:rPr>
                <w:rFonts w:hint="eastAsia" w:ascii="宋体" w:hAnsi="宋体" w:eastAsia="宋体" w:cs="宋体"/>
                <w:spacing w:val="4"/>
                <w:lang w:val="en-US"/>
              </w:rPr>
              <w:t>投标人</w:t>
            </w:r>
            <w:r>
              <w:rPr>
                <w:rFonts w:hint="eastAsia" w:ascii="宋体" w:hAnsi="宋体" w:eastAsia="宋体" w:cs="宋体"/>
                <w:spacing w:val="4"/>
              </w:rPr>
              <w:t>按评标委员会要求澄清、说明或补正的。</w:t>
            </w:r>
          </w:p>
          <w:p>
            <w:pPr>
              <w:pStyle w:val="11"/>
              <w:numPr>
                <w:ilvl w:val="0"/>
                <w:numId w:val="2"/>
              </w:numPr>
              <w:tabs>
                <w:tab w:val="left" w:pos="653"/>
              </w:tabs>
              <w:spacing w:line="340" w:lineRule="exact"/>
              <w:ind w:right="74" w:firstLine="0"/>
              <w:rPr>
                <w:rFonts w:hint="eastAsia" w:ascii="宋体" w:hAnsi="宋体" w:eastAsia="宋体" w:cs="宋体"/>
                <w:spacing w:val="4"/>
                <w:lang w:eastAsia="zh-CN"/>
              </w:rPr>
            </w:pPr>
            <w:r>
              <w:rPr>
                <w:rFonts w:hint="eastAsia" w:ascii="宋体" w:hAnsi="宋体" w:eastAsia="宋体" w:cs="宋体"/>
                <w:spacing w:val="4"/>
                <w:lang w:eastAsia="zh-CN"/>
              </w:rPr>
              <w:t>投标文件满足投标人须知的其他规定。</w:t>
            </w:r>
          </w:p>
        </w:tc>
      </w:tr>
    </w:tbl>
    <w:p>
      <w:pPr>
        <w:pStyle w:val="6"/>
        <w:jc w:val="both"/>
      </w:pPr>
    </w:p>
    <w:p/>
    <w:tbl>
      <w:tblPr>
        <w:tblStyle w:val="7"/>
        <w:tblW w:w="9001"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4"/>
        <w:gridCol w:w="1084"/>
        <w:gridCol w:w="705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8" w:hRule="atLeast"/>
          <w:jc w:val="center"/>
        </w:trPr>
        <w:tc>
          <w:tcPr>
            <w:tcW w:w="1948" w:type="dxa"/>
            <w:gridSpan w:val="2"/>
          </w:tcPr>
          <w:p>
            <w:pPr>
              <w:pStyle w:val="11"/>
              <w:spacing w:before="113"/>
              <w:ind w:left="560"/>
              <w:rPr>
                <w:b/>
              </w:rPr>
            </w:pPr>
            <w:r>
              <w:rPr>
                <w:b/>
              </w:rPr>
              <w:t>条款号</w:t>
            </w:r>
            <w:r>
              <w:rPr>
                <w:b/>
                <w:w w:val="99"/>
              </w:rPr>
              <w:t xml:space="preserve"> </w:t>
            </w:r>
          </w:p>
        </w:tc>
        <w:tc>
          <w:tcPr>
            <w:tcW w:w="7053" w:type="dxa"/>
          </w:tcPr>
          <w:p>
            <w:pPr>
              <w:pStyle w:val="11"/>
              <w:spacing w:before="113"/>
              <w:ind w:right="2783" w:firstLine="2530" w:firstLineChars="1200"/>
              <w:jc w:val="both"/>
              <w:rPr>
                <w:b/>
              </w:rPr>
            </w:pPr>
            <w:r>
              <w:rPr>
                <w:b/>
              </w:rPr>
              <w:t>评审因素与标准</w:t>
            </w:r>
            <w:r>
              <w:rPr>
                <w:b/>
                <w:w w:val="99"/>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55" w:hRule="atLeast"/>
          <w:jc w:val="center"/>
        </w:trPr>
        <w:tc>
          <w:tcPr>
            <w:tcW w:w="864" w:type="dxa"/>
          </w:tcPr>
          <w:p>
            <w:pPr>
              <w:pStyle w:val="11"/>
              <w:rPr>
                <w:rFonts w:ascii="Times New Roman"/>
                <w:sz w:val="20"/>
              </w:rPr>
            </w:pPr>
          </w:p>
        </w:tc>
        <w:tc>
          <w:tcPr>
            <w:tcW w:w="1084" w:type="dxa"/>
          </w:tcPr>
          <w:p>
            <w:pPr>
              <w:pStyle w:val="11"/>
              <w:rPr>
                <w:rFonts w:ascii="Times New Roman"/>
                <w:sz w:val="20"/>
              </w:rPr>
            </w:pPr>
          </w:p>
        </w:tc>
        <w:tc>
          <w:tcPr>
            <w:tcW w:w="7053" w:type="dxa"/>
            <w:vAlign w:val="center"/>
          </w:tcPr>
          <w:p>
            <w:pPr>
              <w:pStyle w:val="11"/>
              <w:spacing w:line="340" w:lineRule="exact"/>
              <w:ind w:left="109"/>
              <w:jc w:val="left"/>
              <w:rPr>
                <w:b/>
              </w:rPr>
            </w:pPr>
            <w:r>
              <w:rPr>
                <w:b/>
              </w:rPr>
              <w:t>第二个信封（报价文件）评审标准：</w:t>
            </w:r>
          </w:p>
          <w:p>
            <w:pPr>
              <w:pStyle w:val="11"/>
              <w:numPr>
                <w:ilvl w:val="0"/>
                <w:numId w:val="0"/>
              </w:numPr>
              <w:tabs>
                <w:tab w:val="left" w:pos="653"/>
              </w:tabs>
              <w:spacing w:line="340" w:lineRule="exact"/>
              <w:ind w:left="109" w:leftChars="0" w:right="74" w:rightChars="0" w:firstLine="218" w:firstLineChars="100"/>
            </w:pPr>
            <w:r>
              <w:rPr>
                <w:rFonts w:hint="eastAsia"/>
                <w:spacing w:val="4"/>
                <w:lang w:eastAsia="zh-CN"/>
              </w:rPr>
              <w:t>（</w:t>
            </w:r>
            <w:r>
              <w:rPr>
                <w:rFonts w:hint="eastAsia"/>
                <w:spacing w:val="4"/>
                <w:lang w:val="en-US" w:eastAsia="zh-CN"/>
              </w:rPr>
              <w:t>1</w:t>
            </w:r>
            <w:r>
              <w:rPr>
                <w:rFonts w:hint="eastAsia"/>
                <w:spacing w:val="4"/>
                <w:lang w:eastAsia="zh-CN"/>
              </w:rPr>
              <w:t>）</w:t>
            </w:r>
            <w:r>
              <w:rPr>
                <w:spacing w:val="4"/>
              </w:rPr>
              <w:t>投标文件按照招标文件规定的格式、内容填写，字迹清晰可辨，内容</w:t>
            </w:r>
            <w:r>
              <w:rPr>
                <w:spacing w:val="-2"/>
              </w:rPr>
              <w:t>齐全完整：</w:t>
            </w:r>
          </w:p>
          <w:p>
            <w:pPr>
              <w:pStyle w:val="11"/>
              <w:spacing w:line="340" w:lineRule="exact"/>
              <w:ind w:left="109"/>
              <w:jc w:val="left"/>
            </w:pPr>
            <w:r>
              <w:t>a、投标函按招标文件规定填报了项目名称、补遗书编号（如有）、投标价</w:t>
            </w:r>
          </w:p>
          <w:p>
            <w:pPr>
              <w:pStyle w:val="11"/>
              <w:spacing w:line="340" w:lineRule="exact"/>
              <w:ind w:left="109"/>
              <w:jc w:val="left"/>
            </w:pPr>
            <w:r>
              <w:t>（包括大写金额和小写金额）；</w:t>
            </w:r>
          </w:p>
          <w:p>
            <w:pPr>
              <w:pStyle w:val="11"/>
              <w:spacing w:line="340" w:lineRule="exact"/>
              <w:ind w:left="109"/>
              <w:jc w:val="left"/>
            </w:pPr>
            <w:r>
              <w:rPr>
                <w:rFonts w:hint="eastAsia"/>
                <w:lang w:val="en-US" w:eastAsia="zh-CN"/>
              </w:rPr>
              <w:t>b</w:t>
            </w:r>
            <w:r>
              <w:t>、投标文件组成齐全完整，内容均按规定填写。</w:t>
            </w:r>
          </w:p>
          <w:p>
            <w:pPr>
              <w:pStyle w:val="11"/>
              <w:numPr>
                <w:ilvl w:val="0"/>
                <w:numId w:val="0"/>
              </w:numPr>
              <w:tabs>
                <w:tab w:val="left" w:pos="653"/>
              </w:tabs>
              <w:spacing w:line="340" w:lineRule="exact"/>
              <w:ind w:right="74" w:rightChars="0" w:firstLine="218" w:firstLineChars="100"/>
            </w:pPr>
            <w:r>
              <w:rPr>
                <w:rFonts w:hint="eastAsia"/>
                <w:spacing w:val="4"/>
                <w:lang w:eastAsia="zh-CN"/>
              </w:rPr>
              <w:t>（</w:t>
            </w:r>
            <w:r>
              <w:rPr>
                <w:rFonts w:hint="eastAsia"/>
                <w:spacing w:val="4"/>
                <w:lang w:val="en-US" w:eastAsia="zh-CN"/>
              </w:rPr>
              <w:t>2</w:t>
            </w:r>
            <w:r>
              <w:rPr>
                <w:rFonts w:hint="eastAsia"/>
                <w:spacing w:val="4"/>
                <w:lang w:eastAsia="zh-CN"/>
              </w:rPr>
              <w:t>）</w:t>
            </w:r>
            <w:r>
              <w:rPr>
                <w:spacing w:val="4"/>
              </w:rPr>
              <w:t>投标文件上法定代表人或其授权代理人的签字、投标人的单位章盖章</w:t>
            </w:r>
            <w:r>
              <w:rPr>
                <w:spacing w:val="-3"/>
              </w:rPr>
              <w:t>齐全，符合招标文件规定。</w:t>
            </w:r>
          </w:p>
          <w:p>
            <w:pPr>
              <w:pStyle w:val="11"/>
              <w:numPr>
                <w:ilvl w:val="0"/>
                <w:numId w:val="0"/>
              </w:numPr>
              <w:tabs>
                <w:tab w:val="left" w:pos="639"/>
              </w:tabs>
              <w:spacing w:line="340" w:lineRule="exact"/>
              <w:ind w:left="108" w:leftChars="0" w:firstLine="204" w:firstLineChars="100"/>
            </w:pPr>
            <w:r>
              <w:rPr>
                <w:rFonts w:hint="eastAsia"/>
                <w:spacing w:val="-3"/>
                <w:lang w:eastAsia="zh-CN"/>
              </w:rPr>
              <w:t>（</w:t>
            </w:r>
            <w:r>
              <w:rPr>
                <w:rFonts w:hint="eastAsia"/>
                <w:spacing w:val="-3"/>
                <w:lang w:val="en-US" w:eastAsia="zh-CN"/>
              </w:rPr>
              <w:t>3</w:t>
            </w:r>
            <w:r>
              <w:rPr>
                <w:rFonts w:hint="eastAsia"/>
                <w:spacing w:val="-3"/>
                <w:lang w:eastAsia="zh-CN"/>
              </w:rPr>
              <w:t>）</w:t>
            </w:r>
            <w:r>
              <w:rPr>
                <w:spacing w:val="-3"/>
              </w:rPr>
              <w:t>投标报价未超过招标文件设定的最高投标限价。</w:t>
            </w:r>
          </w:p>
          <w:p>
            <w:pPr>
              <w:pStyle w:val="11"/>
              <w:numPr>
                <w:ilvl w:val="0"/>
                <w:numId w:val="0"/>
              </w:numPr>
              <w:tabs>
                <w:tab w:val="left" w:pos="639"/>
              </w:tabs>
              <w:spacing w:line="340" w:lineRule="exact"/>
              <w:ind w:left="108" w:leftChars="0" w:firstLine="204" w:firstLineChars="100"/>
            </w:pPr>
            <w:r>
              <w:rPr>
                <w:rFonts w:hint="eastAsia"/>
                <w:spacing w:val="-3"/>
                <w:lang w:eastAsia="zh-CN"/>
              </w:rPr>
              <w:t>（</w:t>
            </w:r>
            <w:r>
              <w:rPr>
                <w:rFonts w:hint="eastAsia"/>
                <w:spacing w:val="-3"/>
                <w:lang w:val="en-US" w:eastAsia="zh-CN"/>
              </w:rPr>
              <w:t>4</w:t>
            </w:r>
            <w:r>
              <w:rPr>
                <w:rFonts w:hint="eastAsia"/>
                <w:spacing w:val="-3"/>
                <w:lang w:eastAsia="zh-CN"/>
              </w:rPr>
              <w:t>）</w:t>
            </w:r>
            <w:r>
              <w:rPr>
                <w:spacing w:val="-3"/>
              </w:rPr>
              <w:t>投标报价的大写金额能够确定具体数值。</w:t>
            </w:r>
          </w:p>
          <w:p>
            <w:pPr>
              <w:pStyle w:val="11"/>
              <w:numPr>
                <w:ilvl w:val="0"/>
                <w:numId w:val="0"/>
              </w:numPr>
              <w:tabs>
                <w:tab w:val="left" w:pos="639"/>
              </w:tabs>
              <w:spacing w:line="340" w:lineRule="exact"/>
              <w:ind w:left="108" w:leftChars="0" w:firstLine="204" w:firstLineChars="100"/>
            </w:pPr>
            <w:r>
              <w:rPr>
                <w:rFonts w:hint="eastAsia"/>
                <w:spacing w:val="-3"/>
                <w:lang w:eastAsia="zh-CN"/>
              </w:rPr>
              <w:t>（</w:t>
            </w:r>
            <w:r>
              <w:rPr>
                <w:rFonts w:hint="eastAsia"/>
                <w:spacing w:val="-3"/>
                <w:lang w:val="en-US" w:eastAsia="zh-CN"/>
              </w:rPr>
              <w:t>5</w:t>
            </w:r>
            <w:r>
              <w:rPr>
                <w:rFonts w:hint="eastAsia"/>
                <w:spacing w:val="-3"/>
                <w:lang w:eastAsia="zh-CN"/>
              </w:rPr>
              <w:t>）</w:t>
            </w:r>
            <w:r>
              <w:rPr>
                <w:spacing w:val="-3"/>
              </w:rPr>
              <w:t>同一投标人未提交两个以上不同的投标报价。</w:t>
            </w:r>
          </w:p>
          <w:p>
            <w:pPr>
              <w:pStyle w:val="11"/>
              <w:numPr>
                <w:ilvl w:val="0"/>
                <w:numId w:val="0"/>
              </w:numPr>
              <w:tabs>
                <w:tab w:val="left" w:pos="667"/>
              </w:tabs>
              <w:spacing w:line="340" w:lineRule="exact"/>
              <w:ind w:left="109" w:leftChars="0" w:right="-29" w:rightChars="0" w:firstLine="204" w:firstLineChars="100"/>
            </w:pPr>
            <w:r>
              <w:rPr>
                <w:rFonts w:hint="eastAsia"/>
                <w:spacing w:val="-3"/>
                <w:lang w:eastAsia="zh-CN"/>
              </w:rPr>
              <w:t>（</w:t>
            </w:r>
            <w:r>
              <w:rPr>
                <w:rFonts w:hint="eastAsia"/>
                <w:spacing w:val="-3"/>
                <w:lang w:val="en-US" w:eastAsia="zh-CN"/>
              </w:rPr>
              <w:t>6</w:t>
            </w:r>
            <w:r>
              <w:rPr>
                <w:rFonts w:hint="eastAsia"/>
                <w:spacing w:val="-3"/>
                <w:lang w:eastAsia="zh-CN"/>
              </w:rPr>
              <w:t>）</w:t>
            </w:r>
            <w:r>
              <w:rPr>
                <w:spacing w:val="-3"/>
              </w:rPr>
              <w:t>投标文件未附有招标人不能接受的条件</w:t>
            </w:r>
            <w:r>
              <w:rPr>
                <w:rFonts w:hint="eastAsia"/>
                <w:spacing w:val="-3"/>
              </w:rPr>
              <w:t>。</w:t>
            </w:r>
          </w:p>
          <w:p>
            <w:pPr>
              <w:pStyle w:val="11"/>
              <w:numPr>
                <w:ilvl w:val="255"/>
                <w:numId w:val="0"/>
              </w:numPr>
              <w:tabs>
                <w:tab w:val="center" w:pos="3511"/>
              </w:tabs>
              <w:spacing w:line="340" w:lineRule="exact"/>
            </w:pPr>
            <w:r>
              <w:rPr>
                <w:rFonts w:hint="eastAsia"/>
                <w:spacing w:val="-3"/>
              </w:rPr>
              <w:tab/>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76" w:hRule="atLeast"/>
          <w:jc w:val="center"/>
        </w:trPr>
        <w:tc>
          <w:tcPr>
            <w:tcW w:w="864" w:type="dxa"/>
            <w:vAlign w:val="center"/>
          </w:tcPr>
          <w:p>
            <w:pPr>
              <w:pStyle w:val="11"/>
              <w:ind w:left="112"/>
              <w:jc w:val="center"/>
            </w:pPr>
            <w:r>
              <w:t>2.1.2</w:t>
            </w:r>
          </w:p>
        </w:tc>
        <w:tc>
          <w:tcPr>
            <w:tcW w:w="1084" w:type="dxa"/>
            <w:vAlign w:val="center"/>
          </w:tcPr>
          <w:p>
            <w:pPr>
              <w:pStyle w:val="11"/>
              <w:spacing w:before="2" w:line="244" w:lineRule="auto"/>
              <w:ind w:left="112" w:right="17"/>
              <w:jc w:val="center"/>
            </w:pPr>
            <w:r>
              <w:t>资格评审标准</w:t>
            </w:r>
          </w:p>
        </w:tc>
        <w:tc>
          <w:tcPr>
            <w:tcW w:w="7053" w:type="dxa"/>
          </w:tcPr>
          <w:p>
            <w:pPr>
              <w:pStyle w:val="11"/>
              <w:numPr>
                <w:ilvl w:val="0"/>
                <w:numId w:val="3"/>
              </w:numPr>
              <w:tabs>
                <w:tab w:val="left" w:pos="639"/>
              </w:tabs>
              <w:spacing w:line="340" w:lineRule="exact"/>
              <w:ind w:right="78" w:firstLine="0"/>
            </w:pPr>
            <w:r>
              <w:rPr>
                <w:spacing w:val="4"/>
              </w:rPr>
              <w:t>投标人具备有效的</w:t>
            </w:r>
            <w:r>
              <w:rPr>
                <w:rFonts w:hint="eastAsia" w:ascii="宋体" w:hAnsi="宋体" w:cs="宋体"/>
                <w:szCs w:val="21"/>
              </w:rPr>
              <w:t>企业营业执照、资质证书、计量认证证书、基本账户开户许可证或基本户信息证明材料</w:t>
            </w:r>
            <w:r>
              <w:rPr>
                <w:spacing w:val="-3"/>
              </w:rPr>
              <w:t>。</w:t>
            </w:r>
            <w:r>
              <w:t xml:space="preserve"> </w:t>
            </w:r>
          </w:p>
          <w:p>
            <w:pPr>
              <w:pStyle w:val="11"/>
              <w:numPr>
                <w:ilvl w:val="0"/>
                <w:numId w:val="3"/>
              </w:numPr>
              <w:tabs>
                <w:tab w:val="left" w:pos="639"/>
              </w:tabs>
              <w:spacing w:line="340" w:lineRule="exact"/>
              <w:ind w:left="638" w:hanging="530"/>
            </w:pPr>
            <w:r>
              <w:rPr>
                <w:spacing w:val="-3"/>
              </w:rPr>
              <w:t>投标人的资质等级符合招标文件</w:t>
            </w:r>
            <w:r>
              <w:rPr>
                <w:rFonts w:hint="eastAsia"/>
                <w:spacing w:val="-3"/>
                <w:lang w:val="en-US"/>
              </w:rPr>
              <w:t>投标人须知正文及附录1</w:t>
            </w:r>
            <w:r>
              <w:rPr>
                <w:spacing w:val="-3"/>
              </w:rPr>
              <w:t>规定。</w:t>
            </w:r>
            <w:r>
              <w:t xml:space="preserve"> </w:t>
            </w:r>
          </w:p>
          <w:p>
            <w:pPr>
              <w:pStyle w:val="11"/>
              <w:numPr>
                <w:ilvl w:val="0"/>
                <w:numId w:val="3"/>
              </w:numPr>
              <w:tabs>
                <w:tab w:val="left" w:pos="639"/>
              </w:tabs>
              <w:spacing w:line="340" w:lineRule="exact"/>
              <w:ind w:left="638" w:hanging="530"/>
            </w:pPr>
            <w:r>
              <w:rPr>
                <w:spacing w:val="-3"/>
              </w:rPr>
              <w:t>投标人的</w:t>
            </w:r>
            <w:r>
              <w:rPr>
                <w:rFonts w:hint="eastAsia"/>
                <w:spacing w:val="-3"/>
                <w:lang w:val="en-US" w:eastAsia="zh-CN"/>
              </w:rPr>
              <w:t>类似</w:t>
            </w:r>
            <w:r>
              <w:rPr>
                <w:spacing w:val="-3"/>
              </w:rPr>
              <w:t>项目业绩符合招标文件</w:t>
            </w:r>
            <w:r>
              <w:rPr>
                <w:rFonts w:hint="eastAsia"/>
                <w:spacing w:val="-3"/>
                <w:lang w:val="en-US"/>
              </w:rPr>
              <w:t>投标人须知正文及附录2</w:t>
            </w:r>
            <w:r>
              <w:rPr>
                <w:spacing w:val="-3"/>
              </w:rPr>
              <w:t>规定。</w:t>
            </w:r>
            <w:r>
              <w:t xml:space="preserve"> </w:t>
            </w:r>
          </w:p>
          <w:p>
            <w:pPr>
              <w:pStyle w:val="11"/>
              <w:numPr>
                <w:ilvl w:val="0"/>
                <w:numId w:val="3"/>
              </w:numPr>
              <w:tabs>
                <w:tab w:val="left" w:pos="639"/>
              </w:tabs>
              <w:spacing w:line="340" w:lineRule="exact"/>
              <w:ind w:left="638" w:hanging="530"/>
            </w:pPr>
            <w:r>
              <w:rPr>
                <w:spacing w:val="-3"/>
              </w:rPr>
              <w:t>投标人的信誉符合招标文件</w:t>
            </w:r>
            <w:r>
              <w:rPr>
                <w:rFonts w:hint="eastAsia"/>
                <w:spacing w:val="-3"/>
                <w:lang w:val="en-US"/>
              </w:rPr>
              <w:t>投标人须知正文及附录3</w:t>
            </w:r>
            <w:r>
              <w:rPr>
                <w:spacing w:val="-3"/>
              </w:rPr>
              <w:t>规定。</w:t>
            </w:r>
            <w:r>
              <w:t xml:space="preserve"> </w:t>
            </w:r>
          </w:p>
          <w:p>
            <w:pPr>
              <w:pStyle w:val="11"/>
              <w:numPr>
                <w:ilvl w:val="0"/>
                <w:numId w:val="3"/>
              </w:numPr>
              <w:tabs>
                <w:tab w:val="left" w:pos="639"/>
              </w:tabs>
              <w:spacing w:line="340" w:lineRule="exact"/>
              <w:ind w:left="638" w:hanging="530"/>
            </w:pPr>
            <w:r>
              <w:rPr>
                <w:spacing w:val="-3"/>
              </w:rPr>
              <w:t>投标人的</w:t>
            </w:r>
            <w:r>
              <w:rPr>
                <w:rFonts w:hint="eastAsia"/>
                <w:spacing w:val="-3"/>
                <w:lang w:val="en-US" w:eastAsia="zh-CN"/>
              </w:rPr>
              <w:t>项目负责人</w:t>
            </w:r>
            <w:r>
              <w:rPr>
                <w:spacing w:val="-3"/>
              </w:rPr>
              <w:t>资格符合招标文件</w:t>
            </w:r>
            <w:r>
              <w:rPr>
                <w:rFonts w:hint="eastAsia"/>
                <w:spacing w:val="-3"/>
                <w:lang w:val="en-US"/>
              </w:rPr>
              <w:t>投标人须知正文及附录4</w:t>
            </w:r>
            <w:r>
              <w:rPr>
                <w:spacing w:val="-3"/>
              </w:rPr>
              <w:t>规定。</w:t>
            </w:r>
            <w:r>
              <w:t xml:space="preserve"> </w:t>
            </w:r>
          </w:p>
          <w:p>
            <w:pPr>
              <w:pStyle w:val="11"/>
              <w:numPr>
                <w:ilvl w:val="0"/>
                <w:numId w:val="3"/>
              </w:numPr>
              <w:tabs>
                <w:tab w:val="left" w:pos="639"/>
              </w:tabs>
              <w:spacing w:line="340" w:lineRule="exact"/>
              <w:ind w:left="638" w:hanging="530"/>
            </w:pPr>
            <w:r>
              <w:rPr>
                <w:spacing w:val="-3"/>
              </w:rPr>
              <w:t>投标人的其他要求符合招标文件规定。</w:t>
            </w:r>
            <w:r>
              <w:t xml:space="preserve"> </w:t>
            </w:r>
          </w:p>
          <w:p>
            <w:pPr>
              <w:pStyle w:val="11"/>
              <w:numPr>
                <w:ilvl w:val="0"/>
                <w:numId w:val="3"/>
              </w:numPr>
              <w:tabs>
                <w:tab w:val="left" w:pos="639"/>
              </w:tabs>
              <w:spacing w:line="340" w:lineRule="exact"/>
              <w:ind w:right="78" w:firstLine="0"/>
            </w:pPr>
            <w:r>
              <w:rPr>
                <w:spacing w:val="4"/>
              </w:rPr>
              <w:t xml:space="preserve">投标人不存在第二章“投标人须知”第 </w:t>
            </w:r>
            <w:r>
              <w:t>1.4.3</w:t>
            </w:r>
            <w:r>
              <w:rPr>
                <w:spacing w:val="7"/>
              </w:rPr>
              <w:t xml:space="preserve"> 项或第 </w:t>
            </w:r>
            <w:r>
              <w:t>1.4.4</w:t>
            </w:r>
            <w:r>
              <w:rPr>
                <w:spacing w:val="5"/>
              </w:rPr>
              <w:t xml:space="preserve"> 项规定</w:t>
            </w:r>
            <w:r>
              <w:rPr>
                <w:spacing w:val="-2"/>
              </w:rPr>
              <w:t>的任何一种情形。</w:t>
            </w:r>
            <w: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75" w:hRule="atLeast"/>
          <w:jc w:val="center"/>
        </w:trPr>
        <w:tc>
          <w:tcPr>
            <w:tcW w:w="864" w:type="dxa"/>
            <w:vAlign w:val="center"/>
          </w:tcPr>
          <w:p>
            <w:pPr>
              <w:pStyle w:val="11"/>
              <w:spacing w:before="2" w:line="244" w:lineRule="auto"/>
              <w:ind w:left="112" w:right="17"/>
              <w:jc w:val="center"/>
            </w:pPr>
            <w:r>
              <w:t>2.2.1</w:t>
            </w:r>
          </w:p>
        </w:tc>
        <w:tc>
          <w:tcPr>
            <w:tcW w:w="1084"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分值构成</w:t>
            </w:r>
          </w:p>
          <w:p>
            <w:pPr>
              <w:jc w:val="center"/>
              <w:rPr>
                <w:rFonts w:asciiTheme="minorEastAsia" w:hAnsiTheme="minorEastAsia" w:cstheme="minorEastAsia"/>
                <w:szCs w:val="21"/>
              </w:rPr>
            </w:pPr>
            <w:r>
              <w:rPr>
                <w:rFonts w:hint="eastAsia" w:asciiTheme="minorEastAsia" w:hAnsiTheme="minorEastAsia" w:cstheme="minorEastAsia"/>
                <w:szCs w:val="21"/>
              </w:rPr>
              <w:t>（总分100</w:t>
            </w:r>
          </w:p>
          <w:p>
            <w:pPr>
              <w:jc w:val="center"/>
            </w:pPr>
            <w:r>
              <w:rPr>
                <w:rFonts w:hint="eastAsia" w:asciiTheme="minorEastAsia" w:hAnsiTheme="minorEastAsia" w:cstheme="minorEastAsia"/>
                <w:szCs w:val="21"/>
              </w:rPr>
              <w:t>分）</w:t>
            </w:r>
          </w:p>
        </w:tc>
        <w:tc>
          <w:tcPr>
            <w:tcW w:w="7053" w:type="dxa"/>
            <w:vAlign w:val="center"/>
          </w:tcPr>
          <w:p>
            <w:pPr>
              <w:pStyle w:val="11"/>
              <w:spacing w:line="340" w:lineRule="exact"/>
              <w:ind w:left="108"/>
              <w:rPr>
                <w:b/>
                <w:color w:val="auto"/>
              </w:rPr>
            </w:pPr>
            <w:r>
              <w:rPr>
                <w:b/>
                <w:color w:val="auto"/>
              </w:rPr>
              <w:t>第一个信封（商务及技术文件）评分分值构成：</w:t>
            </w:r>
            <w:r>
              <w:rPr>
                <w:b/>
                <w:color w:val="auto"/>
                <w:w w:val="99"/>
              </w:rPr>
              <w:t xml:space="preserve"> </w:t>
            </w:r>
          </w:p>
          <w:p>
            <w:pPr>
              <w:pStyle w:val="11"/>
              <w:spacing w:line="340" w:lineRule="exact"/>
              <w:ind w:left="108"/>
              <w:rPr>
                <w:color w:val="auto"/>
                <w:lang w:val="en-US"/>
              </w:rPr>
            </w:pPr>
            <w:r>
              <w:rPr>
                <w:rFonts w:hint="eastAsia"/>
                <w:color w:val="auto"/>
              </w:rPr>
              <w:t>技术建议书：</w:t>
            </w:r>
            <w:r>
              <w:rPr>
                <w:rFonts w:hint="eastAsia"/>
                <w:color w:val="auto"/>
                <w:lang w:val="en-US" w:eastAsia="zh-CN"/>
              </w:rPr>
              <w:t>40</w:t>
            </w:r>
            <w:r>
              <w:rPr>
                <w:rFonts w:hint="eastAsia"/>
                <w:color w:val="auto"/>
                <w:lang w:val="en-US"/>
              </w:rPr>
              <w:t>分</w:t>
            </w:r>
          </w:p>
          <w:p>
            <w:pPr>
              <w:pStyle w:val="11"/>
              <w:spacing w:line="340" w:lineRule="exact"/>
              <w:ind w:left="108"/>
              <w:rPr>
                <w:color w:val="auto"/>
                <w:lang w:val="en-US"/>
              </w:rPr>
            </w:pPr>
            <w:r>
              <w:rPr>
                <w:rFonts w:hint="eastAsia"/>
                <w:color w:val="auto"/>
                <w:lang w:val="en-US"/>
              </w:rPr>
              <w:t>主要</w:t>
            </w:r>
            <w:r>
              <w:rPr>
                <w:rFonts w:hint="eastAsia"/>
                <w:color w:val="auto"/>
              </w:rPr>
              <w:t>人员：</w:t>
            </w:r>
            <w:r>
              <w:rPr>
                <w:rFonts w:hint="eastAsia"/>
                <w:color w:val="auto"/>
                <w:lang w:val="en-US"/>
              </w:rPr>
              <w:t>2</w:t>
            </w:r>
            <w:r>
              <w:rPr>
                <w:rFonts w:hint="eastAsia"/>
                <w:color w:val="auto"/>
                <w:lang w:val="en-US" w:eastAsia="zh-CN"/>
              </w:rPr>
              <w:t>0</w:t>
            </w:r>
            <w:r>
              <w:rPr>
                <w:rFonts w:hint="eastAsia"/>
                <w:color w:val="auto"/>
                <w:lang w:val="en-US"/>
              </w:rPr>
              <w:t>分</w:t>
            </w:r>
          </w:p>
          <w:p>
            <w:pPr>
              <w:pStyle w:val="11"/>
              <w:spacing w:line="340" w:lineRule="exact"/>
              <w:ind w:left="108"/>
              <w:rPr>
                <w:color w:val="auto"/>
                <w:lang w:val="en-US"/>
              </w:rPr>
            </w:pPr>
            <w:r>
              <w:rPr>
                <w:rFonts w:hint="eastAsia"/>
                <w:color w:val="auto"/>
                <w:lang w:val="en-US"/>
              </w:rPr>
              <w:t>业    绩：25分</w:t>
            </w:r>
          </w:p>
          <w:p>
            <w:pPr>
              <w:pStyle w:val="11"/>
              <w:spacing w:line="340" w:lineRule="exact"/>
              <w:ind w:left="108"/>
              <w:rPr>
                <w:b/>
                <w:color w:val="auto"/>
              </w:rPr>
            </w:pPr>
            <w:r>
              <w:rPr>
                <w:rFonts w:hint="eastAsia"/>
                <w:color w:val="auto"/>
                <w:lang w:val="en-US"/>
              </w:rPr>
              <w:t>履约信誉：5分</w:t>
            </w:r>
            <w:r>
              <w:rPr>
                <w:color w:val="auto"/>
              </w:rPr>
              <w:t xml:space="preserve"> </w:t>
            </w:r>
          </w:p>
          <w:p>
            <w:pPr>
              <w:pStyle w:val="11"/>
              <w:spacing w:line="340" w:lineRule="exact"/>
              <w:ind w:left="108"/>
              <w:rPr>
                <w:b/>
                <w:color w:val="auto"/>
              </w:rPr>
            </w:pPr>
            <w:r>
              <w:rPr>
                <w:b/>
                <w:color w:val="auto"/>
              </w:rPr>
              <w:t>第二个信封（报价文件）评分分值构成：</w:t>
            </w:r>
            <w:r>
              <w:rPr>
                <w:b/>
                <w:color w:val="auto"/>
                <w:w w:val="99"/>
              </w:rPr>
              <w:t xml:space="preserve"> </w:t>
            </w:r>
          </w:p>
          <w:p>
            <w:pPr>
              <w:pStyle w:val="11"/>
              <w:spacing w:line="340" w:lineRule="exact"/>
              <w:ind w:left="108"/>
              <w:rPr>
                <w:spacing w:val="4"/>
              </w:rPr>
            </w:pPr>
            <w:r>
              <w:rPr>
                <w:color w:val="auto"/>
              </w:rPr>
              <w:t>评 标 价：10分</w:t>
            </w:r>
            <w:r>
              <w:rPr>
                <w:b/>
                <w:color w:val="auto"/>
                <w:w w:val="99"/>
              </w:rPr>
              <w:t xml:space="preserve"> </w:t>
            </w:r>
          </w:p>
        </w:tc>
      </w:tr>
    </w:tbl>
    <w:p>
      <w:pPr>
        <w:pStyle w:val="6"/>
        <w:ind w:left="0"/>
        <w:jc w:val="both"/>
        <w:rPr>
          <w:lang w:val="zh-CN"/>
        </w:rPr>
      </w:pPr>
    </w:p>
    <w:p>
      <w:pPr>
        <w:rPr>
          <w:lang w:val="zh-CN"/>
        </w:rPr>
      </w:pPr>
    </w:p>
    <w:p>
      <w:pPr>
        <w:pStyle w:val="2"/>
        <w:rPr>
          <w:lang w:val="zh-CN"/>
        </w:rPr>
      </w:pPr>
    </w:p>
    <w:p>
      <w:pPr>
        <w:rPr>
          <w:lang w:val="zh-CN"/>
        </w:rPr>
      </w:pPr>
    </w:p>
    <w:p>
      <w:pPr>
        <w:pStyle w:val="2"/>
        <w:rPr>
          <w:lang w:val="zh-CN"/>
        </w:rPr>
      </w:pPr>
    </w:p>
    <w:p>
      <w:pPr>
        <w:pStyle w:val="6"/>
        <w:rPr>
          <w:lang w:val="zh-CN"/>
        </w:rPr>
      </w:pPr>
    </w:p>
    <w:tbl>
      <w:tblPr>
        <w:tblStyle w:val="7"/>
        <w:tblW w:w="9735"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4"/>
        <w:gridCol w:w="280"/>
        <w:gridCol w:w="261"/>
        <w:gridCol w:w="696"/>
        <w:gridCol w:w="198"/>
        <w:gridCol w:w="998"/>
        <w:gridCol w:w="2250"/>
        <w:gridCol w:w="840"/>
        <w:gridCol w:w="332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jc w:val="center"/>
        </w:trPr>
        <w:tc>
          <w:tcPr>
            <w:tcW w:w="1164" w:type="dxa"/>
            <w:gridSpan w:val="2"/>
          </w:tcPr>
          <w:p>
            <w:pPr>
              <w:pStyle w:val="11"/>
              <w:jc w:val="center"/>
              <w:rPr>
                <w:rFonts w:ascii="Times New Roman"/>
                <w:sz w:val="18"/>
              </w:rPr>
            </w:pPr>
          </w:p>
          <w:p>
            <w:pPr>
              <w:pStyle w:val="11"/>
              <w:ind w:right="308"/>
              <w:jc w:val="center"/>
              <w:rPr>
                <w:b/>
              </w:rPr>
            </w:pPr>
            <w:r>
              <w:rPr>
                <w:b/>
              </w:rPr>
              <w:t>条款号</w:t>
            </w:r>
          </w:p>
        </w:tc>
        <w:tc>
          <w:tcPr>
            <w:tcW w:w="1155" w:type="dxa"/>
            <w:gridSpan w:val="3"/>
          </w:tcPr>
          <w:p>
            <w:pPr>
              <w:pStyle w:val="11"/>
              <w:jc w:val="center"/>
              <w:rPr>
                <w:rFonts w:ascii="Times New Roman"/>
                <w:sz w:val="18"/>
              </w:rPr>
            </w:pPr>
          </w:p>
          <w:p>
            <w:pPr>
              <w:pStyle w:val="11"/>
              <w:jc w:val="center"/>
              <w:rPr>
                <w:b/>
              </w:rPr>
            </w:pPr>
            <w:r>
              <w:rPr>
                <w:b/>
              </w:rPr>
              <w:t>条款内容</w:t>
            </w:r>
          </w:p>
        </w:tc>
        <w:tc>
          <w:tcPr>
            <w:tcW w:w="7416" w:type="dxa"/>
            <w:gridSpan w:val="4"/>
          </w:tcPr>
          <w:p>
            <w:pPr>
              <w:pStyle w:val="11"/>
              <w:jc w:val="center"/>
              <w:rPr>
                <w:rFonts w:ascii="Times New Roman"/>
                <w:sz w:val="18"/>
              </w:rPr>
            </w:pPr>
          </w:p>
          <w:p>
            <w:pPr>
              <w:pStyle w:val="11"/>
              <w:ind w:left="2746" w:right="2619"/>
              <w:jc w:val="center"/>
              <w:rPr>
                <w:b/>
              </w:rPr>
            </w:pPr>
            <w:r>
              <w:rPr>
                <w:b/>
              </w:rPr>
              <w:t>编列内容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11" w:hRule="atLeast"/>
          <w:jc w:val="center"/>
        </w:trPr>
        <w:tc>
          <w:tcPr>
            <w:tcW w:w="1164" w:type="dxa"/>
            <w:gridSpan w:val="2"/>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4"/>
              <w:rPr>
                <w:rFonts w:ascii="Times New Roman"/>
                <w:sz w:val="19"/>
              </w:rPr>
            </w:pPr>
          </w:p>
          <w:p>
            <w:pPr>
              <w:pStyle w:val="11"/>
              <w:ind w:right="306"/>
              <w:jc w:val="center"/>
            </w:pPr>
            <w:r>
              <w:t>2.2.2</w:t>
            </w:r>
          </w:p>
        </w:tc>
        <w:tc>
          <w:tcPr>
            <w:tcW w:w="1155" w:type="dxa"/>
            <w:gridSpan w:val="3"/>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145"/>
              <w:ind w:left="316"/>
              <w:rPr>
                <w:color w:val="FF0000"/>
              </w:rPr>
            </w:pPr>
          </w:p>
          <w:p>
            <w:pPr>
              <w:pStyle w:val="11"/>
              <w:spacing w:before="145"/>
            </w:pPr>
            <w:r>
              <w:rPr>
                <w:color w:val="002060"/>
              </w:rPr>
              <w:t>评标基准价计算方法</w:t>
            </w:r>
          </w:p>
        </w:tc>
        <w:tc>
          <w:tcPr>
            <w:tcW w:w="7416" w:type="dxa"/>
            <w:gridSpan w:val="4"/>
          </w:tcPr>
          <w:p>
            <w:pPr>
              <w:pStyle w:val="11"/>
              <w:spacing w:line="340" w:lineRule="exact"/>
              <w:ind w:left="108" w:right="573"/>
            </w:pPr>
            <w:r>
              <w:rPr>
                <w:rFonts w:hint="eastAsia"/>
              </w:rPr>
              <w:t>评标基准价的计算：</w:t>
            </w:r>
          </w:p>
          <w:p>
            <w:pPr>
              <w:pStyle w:val="11"/>
              <w:spacing w:line="340" w:lineRule="exact"/>
              <w:ind w:left="108" w:right="573" w:firstLine="210" w:firstLineChars="100"/>
            </w:pPr>
            <w:r>
              <w:rPr>
                <w:rFonts w:hint="eastAsia"/>
              </w:rPr>
              <w:t>在开标现场，招标人将当场计算并宣布评标基准价。</w:t>
            </w:r>
          </w:p>
          <w:p>
            <w:pPr>
              <w:pStyle w:val="11"/>
              <w:spacing w:line="340" w:lineRule="exact"/>
              <w:ind w:left="108" w:right="573"/>
            </w:pPr>
            <w:r>
              <w:rPr>
                <w:rFonts w:hint="eastAsia"/>
              </w:rPr>
              <w:t>（</w:t>
            </w:r>
            <w:r>
              <w:t>1）评标价的确定：</w:t>
            </w:r>
          </w:p>
          <w:p>
            <w:pPr>
              <w:pStyle w:val="11"/>
              <w:spacing w:line="340" w:lineRule="exact"/>
              <w:ind w:left="108" w:right="573" w:firstLine="210" w:firstLineChars="100"/>
            </w:pPr>
            <w:r>
              <w:rPr>
                <w:rFonts w:hint="eastAsia"/>
              </w:rPr>
              <w:t>评标价＝投标函文字报价</w:t>
            </w:r>
          </w:p>
          <w:p>
            <w:pPr>
              <w:pStyle w:val="11"/>
              <w:spacing w:line="340" w:lineRule="exact"/>
              <w:ind w:left="108" w:right="573"/>
            </w:pPr>
            <w:r>
              <w:rPr>
                <w:rFonts w:hint="eastAsia"/>
              </w:rPr>
              <w:t>（</w:t>
            </w:r>
            <w:r>
              <w:t>2）评标价平均值的计算：</w:t>
            </w:r>
          </w:p>
          <w:p>
            <w:pPr>
              <w:pStyle w:val="11"/>
              <w:spacing w:line="340" w:lineRule="exact"/>
              <w:ind w:right="108" w:firstLine="420" w:firstLineChars="200"/>
            </w:pPr>
            <w:r>
              <w:rPr>
                <w:rFonts w:hint="eastAsia"/>
              </w:rPr>
              <w:t>除按第二章“投标人须知”第</w:t>
            </w:r>
            <w:r>
              <w:t>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pStyle w:val="11"/>
              <w:spacing w:line="340" w:lineRule="exact"/>
              <w:ind w:left="108" w:right="573"/>
            </w:pPr>
            <w:r>
              <w:rPr>
                <w:rFonts w:hint="eastAsia"/>
              </w:rPr>
              <w:t>（</w:t>
            </w:r>
            <w:r>
              <w:t>3）评标基准价的确定：</w:t>
            </w:r>
          </w:p>
          <w:p>
            <w:pPr>
              <w:pStyle w:val="11"/>
              <w:spacing w:line="340" w:lineRule="exact"/>
              <w:ind w:left="108" w:right="573" w:firstLine="420" w:firstLineChars="200"/>
            </w:pPr>
            <w:r>
              <w:rPr>
                <w:rFonts w:hint="eastAsia"/>
              </w:rPr>
              <w:t>将评标价平均值直接作为评标基准价。</w:t>
            </w:r>
          </w:p>
          <w:p>
            <w:pPr>
              <w:pStyle w:val="11"/>
              <w:spacing w:line="340" w:lineRule="exact"/>
              <w:ind w:left="108" w:right="108" w:firstLine="420" w:firstLineChars="200"/>
            </w:pPr>
            <w:r>
              <w:rPr>
                <w:rFonts w:hint="eastAsia"/>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4" w:hRule="atLeast"/>
          <w:jc w:val="center"/>
        </w:trPr>
        <w:tc>
          <w:tcPr>
            <w:tcW w:w="1164" w:type="dxa"/>
            <w:gridSpan w:val="2"/>
          </w:tcPr>
          <w:p>
            <w:pPr>
              <w:pStyle w:val="11"/>
              <w:rPr>
                <w:rFonts w:ascii="Times New Roman"/>
                <w:sz w:val="20"/>
              </w:rPr>
            </w:pPr>
          </w:p>
          <w:p>
            <w:pPr>
              <w:pStyle w:val="11"/>
              <w:spacing w:before="162"/>
              <w:ind w:right="306"/>
              <w:jc w:val="center"/>
            </w:pPr>
            <w:r>
              <w:t>2.2.3</w:t>
            </w:r>
          </w:p>
        </w:tc>
        <w:tc>
          <w:tcPr>
            <w:tcW w:w="1155" w:type="dxa"/>
            <w:gridSpan w:val="3"/>
          </w:tcPr>
          <w:p>
            <w:pPr>
              <w:pStyle w:val="11"/>
              <w:spacing w:before="120" w:line="242" w:lineRule="auto"/>
              <w:ind w:left="210" w:right="177"/>
              <w:jc w:val="center"/>
            </w:pPr>
            <w:r>
              <w:t xml:space="preserve">评标价的偏差率计算公式 </w:t>
            </w:r>
          </w:p>
        </w:tc>
        <w:tc>
          <w:tcPr>
            <w:tcW w:w="7416" w:type="dxa"/>
            <w:gridSpan w:val="4"/>
          </w:tcPr>
          <w:p>
            <w:pPr>
              <w:pStyle w:val="11"/>
              <w:spacing w:before="4"/>
              <w:rPr>
                <w:rFonts w:ascii="Times New Roman"/>
                <w:sz w:val="22"/>
              </w:rPr>
            </w:pPr>
          </w:p>
          <w:p>
            <w:pPr>
              <w:pStyle w:val="11"/>
              <w:spacing w:line="242" w:lineRule="auto"/>
              <w:ind w:left="110" w:right="571"/>
            </w:pPr>
            <w:r>
              <w:t>偏差率=100%×（投标人评标价－评标基准价）/评标基准价</w:t>
            </w:r>
          </w:p>
          <w:p>
            <w:pPr>
              <w:pStyle w:val="11"/>
              <w:spacing w:line="242" w:lineRule="auto"/>
              <w:ind w:left="110" w:right="571"/>
            </w:pPr>
            <w:r>
              <w:t>偏差率保留</w:t>
            </w:r>
            <w:r>
              <w:rPr>
                <w:u w:val="single"/>
              </w:rPr>
              <w:t>两</w:t>
            </w:r>
            <w:r>
              <w:t xml:space="preserve">位小数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jc w:val="center"/>
        </w:trPr>
        <w:tc>
          <w:tcPr>
            <w:tcW w:w="5567" w:type="dxa"/>
            <w:gridSpan w:val="7"/>
            <w:tcBorders>
              <w:right w:val="single" w:color="auto" w:sz="4" w:space="0"/>
            </w:tcBorders>
          </w:tcPr>
          <w:p>
            <w:pPr>
              <w:pStyle w:val="11"/>
              <w:spacing w:before="120" w:line="242" w:lineRule="auto"/>
              <w:ind w:left="210" w:right="177"/>
              <w:jc w:val="center"/>
              <w:rPr>
                <w:b/>
                <w:bCs/>
              </w:rPr>
            </w:pPr>
            <w:r>
              <w:rPr>
                <w:b/>
                <w:bCs/>
              </w:rPr>
              <w:t>评分因素与权重分值</w:t>
            </w:r>
          </w:p>
        </w:tc>
        <w:tc>
          <w:tcPr>
            <w:tcW w:w="4168" w:type="dxa"/>
            <w:gridSpan w:val="2"/>
            <w:tcBorders>
              <w:left w:val="single" w:color="auto" w:sz="4" w:space="0"/>
            </w:tcBorders>
          </w:tcPr>
          <w:p>
            <w:pPr>
              <w:pStyle w:val="11"/>
              <w:spacing w:before="120" w:line="242" w:lineRule="auto"/>
              <w:ind w:left="210" w:right="177"/>
              <w:jc w:val="center"/>
              <w:rPr>
                <w:b/>
                <w:bCs/>
              </w:rPr>
            </w:pPr>
            <w:r>
              <w:rPr>
                <w:rFonts w:hint="eastAsia"/>
                <w:b/>
                <w:bCs/>
              </w:rPr>
              <w:t>评分标准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jc w:val="center"/>
        </w:trPr>
        <w:tc>
          <w:tcPr>
            <w:tcW w:w="884" w:type="dxa"/>
            <w:tcBorders>
              <w:right w:val="single" w:color="auto" w:sz="4" w:space="0"/>
            </w:tcBorders>
            <w:vAlign w:val="center"/>
          </w:tcPr>
          <w:p>
            <w:pPr>
              <w:pStyle w:val="11"/>
              <w:spacing w:before="120" w:line="242" w:lineRule="auto"/>
              <w:ind w:left="210" w:right="177"/>
              <w:jc w:val="center"/>
              <w:rPr>
                <w:b/>
                <w:bCs/>
              </w:rPr>
            </w:pPr>
            <w:r>
              <w:rPr>
                <w:rFonts w:hint="eastAsia"/>
                <w:b/>
                <w:bCs/>
              </w:rPr>
              <w:t>条款号</w:t>
            </w:r>
          </w:p>
        </w:tc>
        <w:tc>
          <w:tcPr>
            <w:tcW w:w="1237" w:type="dxa"/>
            <w:gridSpan w:val="3"/>
            <w:tcBorders>
              <w:left w:val="single" w:color="auto" w:sz="4" w:space="0"/>
            </w:tcBorders>
            <w:vAlign w:val="center"/>
          </w:tcPr>
          <w:p>
            <w:pPr>
              <w:pStyle w:val="11"/>
              <w:spacing w:before="120" w:line="242" w:lineRule="auto"/>
              <w:ind w:left="210" w:right="177"/>
              <w:jc w:val="center"/>
              <w:rPr>
                <w:b/>
                <w:bCs/>
              </w:rPr>
            </w:pPr>
            <w:r>
              <w:rPr>
                <w:rFonts w:hint="eastAsia"/>
                <w:b/>
                <w:bCs/>
              </w:rPr>
              <w:t>评分因素</w:t>
            </w:r>
          </w:p>
        </w:tc>
        <w:tc>
          <w:tcPr>
            <w:tcW w:w="1196" w:type="dxa"/>
            <w:gridSpan w:val="2"/>
            <w:tcBorders>
              <w:right w:val="single" w:color="auto" w:sz="4" w:space="0"/>
            </w:tcBorders>
            <w:vAlign w:val="center"/>
          </w:tcPr>
          <w:p>
            <w:pPr>
              <w:pStyle w:val="11"/>
              <w:spacing w:before="120" w:line="242" w:lineRule="auto"/>
              <w:ind w:left="210" w:right="177"/>
              <w:jc w:val="center"/>
              <w:rPr>
                <w:b/>
                <w:bCs/>
                <w:lang w:val="en-US"/>
              </w:rPr>
            </w:pPr>
            <w:r>
              <w:rPr>
                <w:rFonts w:hint="eastAsia"/>
                <w:b/>
                <w:bCs/>
              </w:rPr>
              <w:t>评分因素权重分值</w:t>
            </w:r>
          </w:p>
        </w:tc>
        <w:tc>
          <w:tcPr>
            <w:tcW w:w="2250" w:type="dxa"/>
            <w:tcBorders>
              <w:left w:val="single" w:color="auto" w:sz="4" w:space="0"/>
              <w:right w:val="single" w:color="auto" w:sz="4" w:space="0"/>
            </w:tcBorders>
            <w:vAlign w:val="center"/>
          </w:tcPr>
          <w:p>
            <w:pPr>
              <w:pStyle w:val="11"/>
              <w:spacing w:before="120" w:line="242" w:lineRule="auto"/>
              <w:ind w:left="210" w:right="177"/>
              <w:jc w:val="center"/>
              <w:rPr>
                <w:b/>
                <w:bCs/>
              </w:rPr>
            </w:pPr>
            <w:r>
              <w:rPr>
                <w:rFonts w:hint="eastAsia"/>
                <w:b/>
                <w:bCs/>
              </w:rPr>
              <w:t>各评审因素细分项</w:t>
            </w:r>
          </w:p>
        </w:tc>
        <w:tc>
          <w:tcPr>
            <w:tcW w:w="840" w:type="dxa"/>
            <w:tcBorders>
              <w:left w:val="single" w:color="auto" w:sz="4" w:space="0"/>
              <w:right w:val="single" w:color="auto" w:sz="4" w:space="0"/>
            </w:tcBorders>
            <w:vAlign w:val="center"/>
          </w:tcPr>
          <w:p>
            <w:pPr>
              <w:pStyle w:val="11"/>
              <w:spacing w:before="120" w:line="242" w:lineRule="auto"/>
              <w:ind w:left="210" w:right="177"/>
              <w:jc w:val="center"/>
              <w:rPr>
                <w:b/>
                <w:bCs/>
              </w:rPr>
            </w:pPr>
            <w:r>
              <w:rPr>
                <w:rFonts w:hint="eastAsia"/>
                <w:b/>
                <w:bCs/>
              </w:rPr>
              <w:t>分值</w:t>
            </w:r>
          </w:p>
        </w:tc>
        <w:tc>
          <w:tcPr>
            <w:tcW w:w="3328" w:type="dxa"/>
            <w:tcBorders>
              <w:left w:val="single" w:color="auto" w:sz="4" w:space="0"/>
            </w:tcBorders>
            <w:vAlign w:val="center"/>
          </w:tcPr>
          <w:p>
            <w:pPr>
              <w:pStyle w:val="11"/>
              <w:spacing w:before="120" w:line="242" w:lineRule="auto"/>
              <w:ind w:left="210" w:right="177"/>
              <w:jc w:val="center"/>
              <w:rPr>
                <w:b/>
                <w:bCs/>
              </w:rPr>
            </w:pPr>
            <w:r>
              <w:rPr>
                <w:rFonts w:hint="eastAsia"/>
                <w:b/>
                <w:bCs/>
              </w:rPr>
              <w:t>评分标准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jc w:val="center"/>
        </w:trPr>
        <w:tc>
          <w:tcPr>
            <w:tcW w:w="884" w:type="dxa"/>
            <w:vMerge w:val="restart"/>
            <w:tcBorders>
              <w:right w:val="single" w:color="auto" w:sz="4" w:space="0"/>
            </w:tcBorders>
            <w:vAlign w:val="center"/>
          </w:tcPr>
          <w:p>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2.2.4</w:t>
            </w:r>
          </w:p>
          <w:p>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237" w:type="dxa"/>
            <w:gridSpan w:val="3"/>
            <w:vMerge w:val="restart"/>
            <w:tcBorders>
              <w:left w:val="single" w:color="auto" w:sz="4" w:space="0"/>
            </w:tcBorders>
            <w:vAlign w:val="center"/>
          </w:tcPr>
          <w:p>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技术建议书</w:t>
            </w:r>
          </w:p>
        </w:tc>
        <w:tc>
          <w:tcPr>
            <w:tcW w:w="1196" w:type="dxa"/>
            <w:gridSpan w:val="2"/>
            <w:vMerge w:val="restart"/>
            <w:tcBorders>
              <w:right w:val="single" w:color="auto" w:sz="4" w:space="0"/>
            </w:tcBorders>
            <w:vAlign w:val="center"/>
          </w:tcPr>
          <w:p>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u w:val="single"/>
                <w:lang w:val="en-US" w:eastAsia="zh-CN"/>
              </w:rPr>
              <w:t>40</w:t>
            </w:r>
            <w:r>
              <w:rPr>
                <w:rFonts w:hint="eastAsia" w:ascii="宋体" w:hAnsi="宋体" w:eastAsia="宋体" w:cs="宋体"/>
                <w:color w:val="000000"/>
                <w:szCs w:val="21"/>
              </w:rPr>
              <w:t>分</w:t>
            </w:r>
          </w:p>
        </w:tc>
        <w:tc>
          <w:tcPr>
            <w:tcW w:w="2250" w:type="dxa"/>
            <w:tcBorders>
              <w:left w:val="single" w:color="auto" w:sz="4" w:space="0"/>
              <w:right w:val="single" w:color="auto" w:sz="4" w:space="0"/>
            </w:tcBorders>
            <w:vAlign w:val="center"/>
          </w:tcPr>
          <w:p>
            <w:pPr>
              <w:spacing w:line="300" w:lineRule="exact"/>
              <w:rPr>
                <w:rFonts w:hint="eastAsia" w:ascii="宋体" w:hAnsi="宋体" w:eastAsia="宋体" w:cs="宋体"/>
                <w:b/>
                <w:bCs/>
              </w:rPr>
            </w:pPr>
            <w:r>
              <w:rPr>
                <w:rFonts w:hint="eastAsia" w:ascii="宋体" w:hAnsi="宋体" w:eastAsia="宋体" w:cs="宋体"/>
                <w:color w:val="000000"/>
                <w:szCs w:val="21"/>
              </w:rPr>
              <w:t>技术服务工作大纲</w:t>
            </w:r>
          </w:p>
        </w:tc>
        <w:tc>
          <w:tcPr>
            <w:tcW w:w="840" w:type="dxa"/>
            <w:tcBorders>
              <w:left w:val="single" w:color="auto" w:sz="4" w:space="0"/>
              <w:right w:val="single" w:color="auto" w:sz="4" w:space="0"/>
            </w:tcBorders>
            <w:vAlign w:val="center"/>
          </w:tcPr>
          <w:p>
            <w:pPr>
              <w:spacing w:line="300" w:lineRule="exact"/>
              <w:jc w:val="center"/>
              <w:rPr>
                <w:rFonts w:hint="eastAsia" w:ascii="宋体" w:hAnsi="宋体" w:eastAsia="宋体" w:cs="宋体"/>
                <w:b/>
                <w:bCs/>
              </w:rPr>
            </w:pPr>
            <w:r>
              <w:rPr>
                <w:rFonts w:hint="eastAsia" w:ascii="宋体" w:hAnsi="宋体" w:eastAsia="宋体" w:cs="宋体"/>
                <w:color w:val="000000"/>
                <w:szCs w:val="21"/>
                <w:u w:val="single"/>
              </w:rPr>
              <w:t>10</w:t>
            </w:r>
            <w:r>
              <w:rPr>
                <w:rFonts w:hint="eastAsia" w:ascii="宋体" w:hAnsi="宋体" w:eastAsia="宋体" w:cs="宋体"/>
                <w:color w:val="000000"/>
                <w:szCs w:val="21"/>
              </w:rPr>
              <w:t>分</w:t>
            </w:r>
          </w:p>
        </w:tc>
        <w:tc>
          <w:tcPr>
            <w:tcW w:w="3328" w:type="dxa"/>
            <w:tcBorders>
              <w:left w:val="single" w:color="auto" w:sz="4" w:space="0"/>
            </w:tcBorders>
            <w:vAlign w:val="center"/>
          </w:tcPr>
          <w:p>
            <w:pPr>
              <w:spacing w:line="300" w:lineRule="exact"/>
              <w:ind w:firstLine="218" w:firstLineChars="104"/>
              <w:rPr>
                <w:rFonts w:hint="eastAsia" w:ascii="宋体" w:hAnsi="宋体" w:eastAsia="宋体" w:cs="宋体"/>
                <w:b/>
                <w:bCs/>
              </w:rPr>
            </w:pPr>
            <w:r>
              <w:rPr>
                <w:rFonts w:hint="eastAsia" w:ascii="宋体" w:hAnsi="宋体" w:eastAsia="宋体" w:cs="宋体"/>
                <w:color w:val="000000"/>
                <w:szCs w:val="21"/>
              </w:rPr>
              <w:t>技术服务工作大纲思路清晰，重点突出、措施合理得8～10分，基本合理得6～7分。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9" w:hRule="atLeast"/>
          <w:jc w:val="center"/>
        </w:trPr>
        <w:tc>
          <w:tcPr>
            <w:tcW w:w="884" w:type="dxa"/>
            <w:vMerge w:val="continue"/>
            <w:tcBorders>
              <w:right w:val="single" w:color="auto" w:sz="4" w:space="0"/>
            </w:tcBorders>
            <w:vAlign w:val="center"/>
          </w:tcPr>
          <w:p>
            <w:pPr>
              <w:spacing w:line="300" w:lineRule="exact"/>
              <w:jc w:val="center"/>
              <w:rPr>
                <w:rFonts w:hint="eastAsia" w:ascii="宋体" w:hAnsi="宋体" w:eastAsia="宋体" w:cs="宋体"/>
                <w:color w:val="000000"/>
                <w:szCs w:val="21"/>
              </w:rPr>
            </w:pPr>
          </w:p>
        </w:tc>
        <w:tc>
          <w:tcPr>
            <w:tcW w:w="1237" w:type="dxa"/>
            <w:gridSpan w:val="3"/>
            <w:vMerge w:val="continue"/>
            <w:tcBorders>
              <w:left w:val="single" w:color="auto" w:sz="4" w:space="0"/>
            </w:tcBorders>
            <w:vAlign w:val="center"/>
          </w:tcPr>
          <w:p>
            <w:pPr>
              <w:spacing w:line="300" w:lineRule="exact"/>
              <w:jc w:val="center"/>
              <w:rPr>
                <w:rFonts w:hint="eastAsia" w:ascii="宋体" w:hAnsi="宋体" w:eastAsia="宋体" w:cs="宋体"/>
                <w:color w:val="000000"/>
                <w:szCs w:val="21"/>
              </w:rPr>
            </w:pPr>
          </w:p>
        </w:tc>
        <w:tc>
          <w:tcPr>
            <w:tcW w:w="1196" w:type="dxa"/>
            <w:gridSpan w:val="2"/>
            <w:vMerge w:val="continue"/>
            <w:tcBorders>
              <w:right w:val="single" w:color="auto" w:sz="4" w:space="0"/>
            </w:tcBorders>
            <w:vAlign w:val="center"/>
          </w:tcPr>
          <w:p>
            <w:pPr>
              <w:spacing w:line="300" w:lineRule="exact"/>
              <w:jc w:val="center"/>
              <w:rPr>
                <w:rFonts w:hint="eastAsia" w:ascii="宋体" w:hAnsi="宋体" w:eastAsia="宋体" w:cs="宋体"/>
                <w:color w:val="000000"/>
                <w:szCs w:val="21"/>
                <w:u w:val="single"/>
              </w:rPr>
            </w:pPr>
          </w:p>
        </w:tc>
        <w:tc>
          <w:tcPr>
            <w:tcW w:w="2250" w:type="dxa"/>
            <w:tcBorders>
              <w:left w:val="single" w:color="auto" w:sz="4" w:space="0"/>
              <w:right w:val="single" w:color="auto" w:sz="4" w:space="0"/>
            </w:tcBorders>
            <w:vAlign w:val="center"/>
          </w:tcPr>
          <w:p>
            <w:pPr>
              <w:spacing w:line="300" w:lineRule="exact"/>
              <w:rPr>
                <w:rFonts w:hint="eastAsia" w:ascii="宋体" w:hAnsi="宋体" w:eastAsia="宋体" w:cs="宋体"/>
                <w:color w:val="000000"/>
                <w:szCs w:val="21"/>
              </w:rPr>
            </w:pPr>
            <w:r>
              <w:rPr>
                <w:rFonts w:hint="eastAsia" w:ascii="宋体" w:hAnsi="宋体" w:eastAsia="宋体" w:cs="宋体"/>
                <w:bCs/>
                <w:color w:val="000000"/>
                <w:spacing w:val="-6"/>
                <w:szCs w:val="21"/>
              </w:rPr>
              <w:t>技术</w:t>
            </w:r>
            <w:r>
              <w:rPr>
                <w:rFonts w:hint="eastAsia" w:ascii="宋体" w:hAnsi="宋体" w:eastAsia="宋体" w:cs="宋体"/>
                <w:color w:val="000000"/>
                <w:szCs w:val="21"/>
              </w:rPr>
              <w:t>服务工作方案</w:t>
            </w:r>
          </w:p>
        </w:tc>
        <w:tc>
          <w:tcPr>
            <w:tcW w:w="840" w:type="dxa"/>
            <w:tcBorders>
              <w:left w:val="single" w:color="auto" w:sz="4" w:space="0"/>
              <w:right w:val="single" w:color="auto" w:sz="4" w:space="0"/>
            </w:tcBorders>
            <w:vAlign w:val="center"/>
          </w:tcPr>
          <w:p>
            <w:pPr>
              <w:spacing w:line="300" w:lineRule="exact"/>
              <w:ind w:firstLine="210" w:firstLineChars="100"/>
              <w:rPr>
                <w:rFonts w:hint="eastAsia" w:ascii="宋体" w:hAnsi="宋体" w:eastAsia="宋体" w:cs="宋体"/>
                <w:color w:val="000000"/>
                <w:szCs w:val="21"/>
                <w:u w:val="single"/>
              </w:rPr>
            </w:pPr>
            <w:r>
              <w:rPr>
                <w:rFonts w:hint="eastAsia" w:ascii="宋体" w:hAnsi="宋体" w:eastAsia="宋体" w:cs="宋体"/>
                <w:color w:val="000000"/>
                <w:szCs w:val="21"/>
                <w:u w:val="single"/>
              </w:rPr>
              <w:t>10</w:t>
            </w:r>
            <w:r>
              <w:rPr>
                <w:rFonts w:hint="eastAsia" w:ascii="宋体" w:hAnsi="宋体" w:eastAsia="宋体" w:cs="宋体"/>
                <w:color w:val="000000"/>
                <w:szCs w:val="21"/>
              </w:rPr>
              <w:t>分</w:t>
            </w:r>
          </w:p>
        </w:tc>
        <w:tc>
          <w:tcPr>
            <w:tcW w:w="3328" w:type="dxa"/>
            <w:tcBorders>
              <w:left w:val="single" w:color="auto" w:sz="4" w:space="0"/>
            </w:tcBorders>
            <w:vAlign w:val="center"/>
          </w:tcPr>
          <w:p>
            <w:pPr>
              <w:spacing w:line="300" w:lineRule="exact"/>
              <w:ind w:firstLine="205" w:firstLineChars="104"/>
              <w:rPr>
                <w:rFonts w:hint="eastAsia" w:ascii="宋体" w:hAnsi="宋体" w:eastAsia="宋体" w:cs="宋体"/>
                <w:color w:val="000000"/>
                <w:szCs w:val="21"/>
              </w:rPr>
            </w:pPr>
            <w:r>
              <w:rPr>
                <w:rFonts w:hint="eastAsia" w:ascii="宋体" w:hAnsi="宋体" w:eastAsia="宋体" w:cs="宋体"/>
                <w:bCs/>
                <w:color w:val="000000"/>
                <w:spacing w:val="-6"/>
                <w:szCs w:val="21"/>
              </w:rPr>
              <w:t>技术</w:t>
            </w:r>
            <w:r>
              <w:rPr>
                <w:rFonts w:hint="eastAsia" w:ascii="宋体" w:hAnsi="宋体" w:eastAsia="宋体" w:cs="宋体"/>
                <w:color w:val="000000"/>
                <w:szCs w:val="21"/>
              </w:rPr>
              <w:t>服务工作方案符合项目实际，针对性强，满足现行行业标准和规范要求。方案合理得8～10分，基本合理得6～7分。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jc w:val="center"/>
        </w:trPr>
        <w:tc>
          <w:tcPr>
            <w:tcW w:w="884" w:type="dxa"/>
            <w:vMerge w:val="continue"/>
            <w:tcBorders>
              <w:right w:val="single" w:color="auto" w:sz="4" w:space="0"/>
            </w:tcBorders>
            <w:vAlign w:val="center"/>
          </w:tcPr>
          <w:p>
            <w:pPr>
              <w:spacing w:line="300" w:lineRule="exact"/>
              <w:jc w:val="center"/>
              <w:rPr>
                <w:rFonts w:hint="eastAsia" w:ascii="宋体" w:hAnsi="宋体" w:eastAsia="宋体" w:cs="宋体"/>
              </w:rPr>
            </w:pPr>
          </w:p>
        </w:tc>
        <w:tc>
          <w:tcPr>
            <w:tcW w:w="1237" w:type="dxa"/>
            <w:gridSpan w:val="3"/>
            <w:vMerge w:val="continue"/>
            <w:tcBorders>
              <w:left w:val="single" w:color="auto" w:sz="4" w:space="0"/>
            </w:tcBorders>
            <w:vAlign w:val="center"/>
          </w:tcPr>
          <w:p>
            <w:pPr>
              <w:spacing w:line="300" w:lineRule="exact"/>
              <w:jc w:val="center"/>
              <w:rPr>
                <w:rFonts w:hint="eastAsia" w:ascii="宋体" w:hAnsi="宋体" w:eastAsia="宋体" w:cs="宋体"/>
                <w:bCs/>
                <w:color w:val="000000"/>
                <w:spacing w:val="-6"/>
                <w:szCs w:val="21"/>
              </w:rPr>
            </w:pPr>
          </w:p>
        </w:tc>
        <w:tc>
          <w:tcPr>
            <w:tcW w:w="1196" w:type="dxa"/>
            <w:gridSpan w:val="2"/>
            <w:vMerge w:val="continue"/>
            <w:tcBorders>
              <w:right w:val="single" w:color="auto" w:sz="4" w:space="0"/>
            </w:tcBorders>
            <w:vAlign w:val="center"/>
          </w:tcPr>
          <w:p>
            <w:pPr>
              <w:spacing w:line="300" w:lineRule="exact"/>
              <w:jc w:val="center"/>
              <w:rPr>
                <w:rFonts w:hint="eastAsia" w:ascii="宋体" w:hAnsi="宋体" w:eastAsia="宋体" w:cs="宋体"/>
                <w:bCs/>
                <w:color w:val="000000"/>
                <w:spacing w:val="-6"/>
                <w:szCs w:val="21"/>
              </w:rPr>
            </w:pPr>
          </w:p>
        </w:tc>
        <w:tc>
          <w:tcPr>
            <w:tcW w:w="2250" w:type="dxa"/>
            <w:tcBorders>
              <w:left w:val="single" w:color="auto" w:sz="4" w:space="0"/>
              <w:right w:val="single" w:color="auto" w:sz="4" w:space="0"/>
            </w:tcBorders>
            <w:vAlign w:val="center"/>
          </w:tcPr>
          <w:p>
            <w:pPr>
              <w:spacing w:line="300" w:lineRule="exact"/>
              <w:rPr>
                <w:rFonts w:hint="eastAsia" w:ascii="宋体" w:hAnsi="宋体" w:eastAsia="宋体" w:cs="宋体"/>
                <w:b/>
                <w:bCs/>
              </w:rPr>
            </w:pPr>
            <w:r>
              <w:rPr>
                <w:rFonts w:hint="eastAsia" w:ascii="宋体" w:hAnsi="宋体" w:eastAsia="宋体" w:cs="宋体"/>
                <w:bCs/>
                <w:color w:val="000000"/>
                <w:spacing w:val="-6"/>
                <w:szCs w:val="21"/>
              </w:rPr>
              <w:t>技术服务保证措施</w:t>
            </w:r>
          </w:p>
        </w:tc>
        <w:tc>
          <w:tcPr>
            <w:tcW w:w="840" w:type="dxa"/>
            <w:tcBorders>
              <w:left w:val="single" w:color="auto" w:sz="4" w:space="0"/>
              <w:right w:val="single" w:color="auto" w:sz="4" w:space="0"/>
            </w:tcBorders>
            <w:vAlign w:val="center"/>
          </w:tcPr>
          <w:p>
            <w:pPr>
              <w:spacing w:line="300" w:lineRule="exact"/>
              <w:jc w:val="center"/>
              <w:rPr>
                <w:rFonts w:hint="eastAsia" w:ascii="宋体" w:hAnsi="宋体" w:eastAsia="宋体" w:cs="宋体"/>
                <w:b/>
                <w:bCs/>
              </w:rPr>
            </w:pPr>
            <w:r>
              <w:rPr>
                <w:rFonts w:hint="eastAsia" w:ascii="宋体" w:hAnsi="宋体" w:eastAsia="宋体" w:cs="宋体"/>
                <w:color w:val="000000"/>
                <w:szCs w:val="21"/>
                <w:u w:val="single"/>
              </w:rPr>
              <w:t>10</w:t>
            </w:r>
            <w:r>
              <w:rPr>
                <w:rFonts w:hint="eastAsia" w:ascii="宋体" w:hAnsi="宋体" w:eastAsia="宋体" w:cs="宋体"/>
                <w:color w:val="000000"/>
                <w:szCs w:val="21"/>
              </w:rPr>
              <w:t>分</w:t>
            </w:r>
          </w:p>
        </w:tc>
        <w:tc>
          <w:tcPr>
            <w:tcW w:w="3328" w:type="dxa"/>
            <w:tcBorders>
              <w:left w:val="single" w:color="auto" w:sz="4" w:space="0"/>
            </w:tcBorders>
            <w:vAlign w:val="center"/>
          </w:tcPr>
          <w:p>
            <w:pPr>
              <w:spacing w:line="300" w:lineRule="exact"/>
              <w:ind w:firstLine="218" w:firstLineChars="104"/>
              <w:rPr>
                <w:rFonts w:hint="eastAsia" w:ascii="宋体" w:hAnsi="宋体" w:eastAsia="宋体" w:cs="宋体"/>
                <w:color w:val="000000"/>
                <w:szCs w:val="21"/>
              </w:rPr>
            </w:pPr>
            <w:r>
              <w:rPr>
                <w:rFonts w:hint="eastAsia" w:ascii="宋体" w:hAnsi="宋体" w:eastAsia="宋体" w:cs="宋体"/>
                <w:color w:val="000000"/>
                <w:szCs w:val="21"/>
              </w:rPr>
              <w:t>技术服务保证措施方法得当、科学安全，经济合理得8～10分，基本合理得6～7分。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81" w:hRule="atLeast"/>
          <w:jc w:val="center"/>
        </w:trPr>
        <w:tc>
          <w:tcPr>
            <w:tcW w:w="884" w:type="dxa"/>
            <w:vMerge w:val="continue"/>
            <w:tcBorders>
              <w:right w:val="single" w:color="auto" w:sz="4" w:space="0"/>
            </w:tcBorders>
            <w:vAlign w:val="center"/>
          </w:tcPr>
          <w:p>
            <w:pPr>
              <w:spacing w:line="300" w:lineRule="exact"/>
              <w:jc w:val="center"/>
              <w:rPr>
                <w:rFonts w:hint="eastAsia" w:ascii="宋体" w:hAnsi="宋体" w:eastAsia="宋体" w:cs="宋体"/>
              </w:rPr>
            </w:pPr>
          </w:p>
        </w:tc>
        <w:tc>
          <w:tcPr>
            <w:tcW w:w="1237" w:type="dxa"/>
            <w:gridSpan w:val="3"/>
            <w:vMerge w:val="continue"/>
            <w:tcBorders>
              <w:left w:val="single" w:color="auto" w:sz="4" w:space="0"/>
            </w:tcBorders>
            <w:vAlign w:val="center"/>
          </w:tcPr>
          <w:p>
            <w:pPr>
              <w:spacing w:line="300" w:lineRule="exact"/>
              <w:jc w:val="center"/>
              <w:rPr>
                <w:rFonts w:hint="eastAsia" w:ascii="宋体" w:hAnsi="宋体" w:eastAsia="宋体" w:cs="宋体"/>
                <w:bCs/>
                <w:color w:val="000000"/>
                <w:spacing w:val="-6"/>
                <w:szCs w:val="21"/>
              </w:rPr>
            </w:pPr>
          </w:p>
        </w:tc>
        <w:tc>
          <w:tcPr>
            <w:tcW w:w="1196" w:type="dxa"/>
            <w:gridSpan w:val="2"/>
            <w:vMerge w:val="continue"/>
            <w:tcBorders>
              <w:right w:val="single" w:color="auto" w:sz="4" w:space="0"/>
            </w:tcBorders>
            <w:vAlign w:val="center"/>
          </w:tcPr>
          <w:p>
            <w:pPr>
              <w:spacing w:line="300" w:lineRule="exact"/>
              <w:jc w:val="center"/>
              <w:rPr>
                <w:rFonts w:hint="eastAsia" w:ascii="宋体" w:hAnsi="宋体" w:eastAsia="宋体" w:cs="宋体"/>
                <w:bCs/>
                <w:color w:val="000000"/>
                <w:spacing w:val="-6"/>
                <w:szCs w:val="21"/>
              </w:rPr>
            </w:pPr>
          </w:p>
        </w:tc>
        <w:tc>
          <w:tcPr>
            <w:tcW w:w="2250" w:type="dxa"/>
            <w:tcBorders>
              <w:left w:val="single" w:color="auto" w:sz="4" w:space="0"/>
              <w:right w:val="single" w:color="auto" w:sz="4" w:space="0"/>
            </w:tcBorders>
            <w:vAlign w:val="center"/>
          </w:tcPr>
          <w:p>
            <w:pPr>
              <w:spacing w:line="300" w:lineRule="exact"/>
              <w:rPr>
                <w:rFonts w:hint="eastAsia" w:ascii="宋体" w:hAnsi="宋体" w:eastAsia="宋体" w:cs="宋体"/>
                <w:b/>
                <w:bCs/>
              </w:rPr>
            </w:pPr>
            <w:r>
              <w:rPr>
                <w:rFonts w:hint="eastAsia" w:ascii="宋体" w:hAnsi="宋体" w:eastAsia="宋体" w:cs="宋体"/>
                <w:color w:val="000000"/>
                <w:szCs w:val="21"/>
              </w:rPr>
              <w:t>对项目的理解和建议</w:t>
            </w:r>
          </w:p>
        </w:tc>
        <w:tc>
          <w:tcPr>
            <w:tcW w:w="840" w:type="dxa"/>
            <w:tcBorders>
              <w:left w:val="single" w:color="auto" w:sz="4" w:space="0"/>
              <w:right w:val="single" w:color="auto" w:sz="4" w:space="0"/>
            </w:tcBorders>
            <w:vAlign w:val="center"/>
          </w:tcPr>
          <w:p>
            <w:pPr>
              <w:spacing w:line="300" w:lineRule="exact"/>
              <w:jc w:val="center"/>
              <w:rPr>
                <w:rFonts w:hint="eastAsia" w:ascii="宋体" w:hAnsi="宋体" w:eastAsia="宋体" w:cs="宋体"/>
                <w:b/>
                <w:bCs/>
              </w:rPr>
            </w:pPr>
            <w:r>
              <w:rPr>
                <w:rFonts w:hint="eastAsia" w:ascii="宋体" w:hAnsi="宋体" w:eastAsia="宋体" w:cs="宋体"/>
                <w:color w:val="000000"/>
                <w:szCs w:val="21"/>
                <w:u w:val="single"/>
                <w:lang w:val="en-US" w:eastAsia="zh-CN"/>
              </w:rPr>
              <w:t>10</w:t>
            </w:r>
            <w:r>
              <w:rPr>
                <w:rFonts w:hint="eastAsia" w:ascii="宋体" w:hAnsi="宋体" w:eastAsia="宋体" w:cs="宋体"/>
                <w:color w:val="000000"/>
                <w:szCs w:val="21"/>
              </w:rPr>
              <w:t>分</w:t>
            </w:r>
          </w:p>
        </w:tc>
        <w:tc>
          <w:tcPr>
            <w:tcW w:w="3328" w:type="dxa"/>
            <w:tcBorders>
              <w:left w:val="single" w:color="auto" w:sz="4" w:space="0"/>
            </w:tcBorders>
            <w:vAlign w:val="center"/>
          </w:tcPr>
          <w:p>
            <w:pPr>
              <w:spacing w:line="300" w:lineRule="exact"/>
              <w:ind w:firstLine="218" w:firstLineChars="104"/>
              <w:rPr>
                <w:rFonts w:hint="eastAsia" w:ascii="宋体" w:hAnsi="宋体" w:eastAsia="宋体" w:cs="宋体"/>
                <w:color w:val="000000"/>
                <w:szCs w:val="21"/>
              </w:rPr>
            </w:pPr>
            <w:r>
              <w:rPr>
                <w:rFonts w:hint="eastAsia" w:ascii="宋体" w:hAnsi="宋体" w:eastAsia="宋体" w:cs="宋体"/>
                <w:color w:val="000000"/>
                <w:szCs w:val="21"/>
              </w:rPr>
              <w:t>对本项目有深刻的认识，工作中难点问题的分析、论述清晰，提出建议，对策合理得</w:t>
            </w:r>
            <w:r>
              <w:rPr>
                <w:rFonts w:hint="eastAsia" w:ascii="宋体" w:hAnsi="宋体" w:eastAsia="宋体" w:cs="宋体"/>
                <w:color w:val="000000"/>
                <w:szCs w:val="21"/>
                <w:lang w:val="en-US" w:eastAsia="zh-CN"/>
              </w:rPr>
              <w:t>8</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10</w:t>
            </w:r>
            <w:r>
              <w:rPr>
                <w:rFonts w:hint="eastAsia" w:ascii="宋体" w:hAnsi="宋体" w:eastAsia="宋体" w:cs="宋体"/>
                <w:color w:val="000000"/>
                <w:szCs w:val="21"/>
              </w:rPr>
              <w:t>分，基本合理得</w:t>
            </w:r>
            <w:r>
              <w:rPr>
                <w:rFonts w:hint="eastAsia" w:ascii="宋体" w:hAnsi="宋体" w:eastAsia="宋体" w:cs="宋体"/>
                <w:color w:val="000000"/>
                <w:szCs w:val="21"/>
                <w:lang w:val="en-US" w:eastAsia="zh-CN"/>
              </w:rPr>
              <w:t>6</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7</w:t>
            </w:r>
            <w:r>
              <w:rPr>
                <w:rFonts w:hint="eastAsia" w:ascii="宋体" w:hAnsi="宋体" w:eastAsia="宋体" w:cs="宋体"/>
                <w:color w:val="000000"/>
                <w:szCs w:val="21"/>
              </w:rPr>
              <w:t>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75" w:hRule="atLeast"/>
          <w:jc w:val="center"/>
        </w:trPr>
        <w:tc>
          <w:tcPr>
            <w:tcW w:w="884" w:type="dxa"/>
            <w:tcBorders>
              <w:right w:val="single" w:color="auto" w:sz="4" w:space="0"/>
            </w:tcBorders>
            <w:vAlign w:val="center"/>
          </w:tcPr>
          <w:p>
            <w:pPr>
              <w:spacing w:line="300" w:lineRule="exact"/>
              <w:jc w:val="center"/>
              <w:rPr>
                <w:rFonts w:hint="eastAsia" w:ascii="宋体" w:hAnsi="宋体" w:eastAsia="宋体" w:cs="宋体"/>
              </w:rPr>
            </w:pPr>
            <w:r>
              <w:rPr>
                <w:rFonts w:hint="eastAsia" w:ascii="宋体" w:hAnsi="宋体" w:eastAsia="宋体" w:cs="宋体"/>
              </w:rPr>
              <w:t>2.2.4</w:t>
            </w:r>
          </w:p>
          <w:p>
            <w:pPr>
              <w:spacing w:line="300" w:lineRule="exact"/>
              <w:jc w:val="center"/>
              <w:rPr>
                <w:rFonts w:hint="eastAsia" w:ascii="宋体" w:hAnsi="宋体" w:eastAsia="宋体" w:cs="宋体"/>
              </w:rPr>
            </w:pPr>
            <w:r>
              <w:rPr>
                <w:rFonts w:hint="eastAsia" w:ascii="宋体" w:hAnsi="宋体" w:eastAsia="宋体" w:cs="宋体"/>
              </w:rPr>
              <w:t>（2）</w:t>
            </w:r>
          </w:p>
        </w:tc>
        <w:tc>
          <w:tcPr>
            <w:tcW w:w="1237" w:type="dxa"/>
            <w:gridSpan w:val="3"/>
            <w:tcBorders>
              <w:left w:val="single" w:color="auto" w:sz="4" w:space="0"/>
            </w:tcBorders>
            <w:vAlign w:val="center"/>
          </w:tcPr>
          <w:p>
            <w:pPr>
              <w:spacing w:line="300" w:lineRule="exact"/>
              <w:jc w:val="center"/>
              <w:rPr>
                <w:rFonts w:hint="eastAsia" w:ascii="宋体" w:hAnsi="宋体" w:eastAsia="宋体" w:cs="宋体"/>
                <w:b/>
                <w:bCs/>
              </w:rPr>
            </w:pPr>
            <w:r>
              <w:rPr>
                <w:rFonts w:hint="eastAsia" w:ascii="宋体" w:hAnsi="宋体" w:eastAsia="宋体" w:cs="宋体"/>
                <w:bCs/>
                <w:color w:val="000000"/>
                <w:spacing w:val="-6"/>
                <w:szCs w:val="21"/>
              </w:rPr>
              <w:t>主要人员</w:t>
            </w:r>
          </w:p>
        </w:tc>
        <w:tc>
          <w:tcPr>
            <w:tcW w:w="1196" w:type="dxa"/>
            <w:gridSpan w:val="2"/>
            <w:tcBorders>
              <w:right w:val="single" w:color="auto" w:sz="4" w:space="0"/>
            </w:tcBorders>
            <w:vAlign w:val="center"/>
          </w:tcPr>
          <w:p>
            <w:pPr>
              <w:spacing w:line="300" w:lineRule="exact"/>
              <w:jc w:val="center"/>
              <w:rPr>
                <w:rFonts w:hint="eastAsia" w:ascii="宋体" w:hAnsi="宋体" w:eastAsia="宋体" w:cs="宋体"/>
                <w:b/>
                <w:bCs/>
              </w:rPr>
            </w:pPr>
            <w:r>
              <w:rPr>
                <w:rFonts w:hint="eastAsia" w:ascii="宋体" w:hAnsi="宋体" w:eastAsia="宋体" w:cs="宋体"/>
                <w:bCs/>
                <w:color w:val="000000"/>
                <w:spacing w:val="-6"/>
                <w:szCs w:val="21"/>
              </w:rPr>
              <w:t>2</w:t>
            </w:r>
            <w:r>
              <w:rPr>
                <w:rFonts w:hint="eastAsia" w:ascii="宋体" w:hAnsi="宋体" w:eastAsia="宋体" w:cs="宋体"/>
                <w:bCs/>
                <w:color w:val="000000"/>
                <w:spacing w:val="-6"/>
                <w:szCs w:val="21"/>
                <w:lang w:val="en-US" w:eastAsia="zh-CN"/>
              </w:rPr>
              <w:t>0</w:t>
            </w:r>
            <w:r>
              <w:rPr>
                <w:rFonts w:hint="eastAsia" w:ascii="宋体" w:hAnsi="宋体" w:eastAsia="宋体" w:cs="宋体"/>
                <w:bCs/>
                <w:color w:val="000000"/>
                <w:spacing w:val="-6"/>
                <w:szCs w:val="21"/>
              </w:rPr>
              <w:t>分</w:t>
            </w:r>
          </w:p>
        </w:tc>
        <w:tc>
          <w:tcPr>
            <w:tcW w:w="2250" w:type="dxa"/>
            <w:tcBorders>
              <w:left w:val="single" w:color="auto" w:sz="4" w:space="0"/>
              <w:right w:val="single" w:color="auto" w:sz="4" w:space="0"/>
            </w:tcBorders>
            <w:vAlign w:val="center"/>
          </w:tcPr>
          <w:p>
            <w:pPr>
              <w:spacing w:line="300" w:lineRule="exact"/>
              <w:jc w:val="center"/>
              <w:rPr>
                <w:rFonts w:hint="eastAsia" w:ascii="宋体" w:hAnsi="宋体" w:eastAsia="宋体" w:cs="宋体"/>
                <w:b/>
                <w:bCs/>
              </w:rPr>
            </w:pPr>
            <w:r>
              <w:rPr>
                <w:rFonts w:hint="eastAsia" w:ascii="宋体" w:hAnsi="宋体" w:eastAsia="宋体" w:cs="宋体"/>
                <w:bCs/>
                <w:color w:val="000000"/>
                <w:spacing w:val="-6"/>
                <w:szCs w:val="21"/>
              </w:rPr>
              <w:t>项目负责人</w:t>
            </w:r>
            <w:r>
              <w:rPr>
                <w:rFonts w:hint="eastAsia" w:ascii="宋体" w:hAnsi="宋体" w:cs="宋体"/>
                <w:bCs/>
                <w:color w:val="000000"/>
                <w:spacing w:val="-6"/>
                <w:szCs w:val="21"/>
                <w:lang w:val="en-US" w:eastAsia="zh-CN"/>
              </w:rPr>
              <w:t>任职资格及</w:t>
            </w:r>
            <w:r>
              <w:rPr>
                <w:rFonts w:hint="eastAsia" w:ascii="宋体" w:hAnsi="宋体" w:eastAsia="宋体" w:cs="宋体"/>
                <w:bCs/>
                <w:color w:val="000000"/>
                <w:spacing w:val="-6"/>
                <w:szCs w:val="21"/>
              </w:rPr>
              <w:t>业绩</w:t>
            </w:r>
          </w:p>
        </w:tc>
        <w:tc>
          <w:tcPr>
            <w:tcW w:w="840" w:type="dxa"/>
            <w:tcBorders>
              <w:left w:val="single" w:color="auto" w:sz="4" w:space="0"/>
              <w:right w:val="single" w:color="auto" w:sz="4" w:space="0"/>
            </w:tcBorders>
            <w:vAlign w:val="center"/>
          </w:tcPr>
          <w:p>
            <w:pPr>
              <w:spacing w:line="300" w:lineRule="exact"/>
              <w:jc w:val="center"/>
              <w:rPr>
                <w:rFonts w:hint="eastAsia" w:ascii="宋体" w:hAnsi="宋体" w:eastAsia="宋体" w:cs="宋体"/>
                <w:b/>
                <w:bCs/>
              </w:rPr>
            </w:pPr>
            <w:r>
              <w:rPr>
                <w:rFonts w:hint="eastAsia" w:ascii="宋体" w:hAnsi="宋体" w:eastAsia="宋体" w:cs="宋体"/>
                <w:szCs w:val="21"/>
                <w:u w:val="single"/>
              </w:rPr>
              <w:t>2</w:t>
            </w:r>
            <w:r>
              <w:rPr>
                <w:rFonts w:hint="eastAsia" w:ascii="宋体" w:hAnsi="宋体" w:eastAsia="宋体" w:cs="宋体"/>
                <w:szCs w:val="21"/>
                <w:u w:val="single"/>
                <w:lang w:val="en-US" w:eastAsia="zh-CN"/>
              </w:rPr>
              <w:t>0</w:t>
            </w:r>
            <w:r>
              <w:rPr>
                <w:rFonts w:hint="eastAsia" w:ascii="宋体" w:hAnsi="宋体" w:eastAsia="宋体" w:cs="宋体"/>
                <w:szCs w:val="21"/>
              </w:rPr>
              <w:t>分</w:t>
            </w:r>
          </w:p>
        </w:tc>
        <w:tc>
          <w:tcPr>
            <w:tcW w:w="3328" w:type="dxa"/>
            <w:tcBorders>
              <w:left w:val="single" w:color="auto" w:sz="4" w:space="0"/>
            </w:tcBorders>
            <w:vAlign w:val="center"/>
          </w:tcPr>
          <w:p>
            <w:pPr>
              <w:spacing w:line="300" w:lineRule="exact"/>
              <w:ind w:firstLine="218" w:firstLineChars="104"/>
              <w:jc w:val="left"/>
              <w:rPr>
                <w:rFonts w:hint="eastAsia" w:ascii="宋体" w:hAnsi="宋体" w:eastAsia="宋体" w:cs="宋体"/>
                <w:color w:val="auto"/>
                <w:sz w:val="24"/>
                <w:highlight w:val="none"/>
                <w:lang w:eastAsia="zh-CN"/>
              </w:rPr>
            </w:pPr>
            <w:r>
              <w:rPr>
                <w:rFonts w:hint="eastAsia" w:ascii="宋体" w:hAnsi="宋体" w:eastAsia="宋体" w:cs="宋体"/>
                <w:color w:val="auto"/>
                <w:szCs w:val="21"/>
                <w:highlight w:val="none"/>
              </w:rPr>
              <w:t>满足投标人须知附录4资格审查条件人员最低要求，得基本分</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 xml:space="preserve">分，每增加一个满足附录4的项目负责人业绩加 </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分，本项最多加 </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 xml:space="preserve"> 分</w:t>
            </w:r>
            <w:r>
              <w:rPr>
                <w:rFonts w:hint="eastAsia" w:ascii="宋体" w:hAnsi="宋体" w:eastAsia="宋体" w:cs="宋体"/>
                <w:color w:val="auto"/>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jc w:val="center"/>
        </w:trPr>
        <w:tc>
          <w:tcPr>
            <w:tcW w:w="884" w:type="dxa"/>
            <w:tcBorders>
              <w:right w:val="single" w:color="auto" w:sz="4" w:space="0"/>
            </w:tcBorders>
          </w:tcPr>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8"/>
              <w:rPr>
                <w:rFonts w:ascii="Times New Roman"/>
              </w:rPr>
            </w:pPr>
          </w:p>
          <w:p>
            <w:pPr>
              <w:pStyle w:val="11"/>
              <w:spacing w:before="1"/>
              <w:ind w:left="152"/>
            </w:pPr>
            <w:r>
              <w:t>2.2.4</w:t>
            </w:r>
          </w:p>
          <w:p>
            <w:pPr>
              <w:pStyle w:val="11"/>
              <w:spacing w:before="50"/>
              <w:ind w:left="152"/>
              <w:rPr>
                <w:b/>
                <w:bCs/>
              </w:rPr>
            </w:pPr>
            <w:r>
              <w:t>（</w:t>
            </w:r>
            <w:r>
              <w:rPr>
                <w:rFonts w:hint="eastAsia"/>
                <w:lang w:val="en-US"/>
              </w:rPr>
              <w:t>3</w:t>
            </w:r>
            <w:r>
              <w:t>）</w:t>
            </w:r>
          </w:p>
        </w:tc>
        <w:tc>
          <w:tcPr>
            <w:tcW w:w="1237" w:type="dxa"/>
            <w:gridSpan w:val="3"/>
            <w:tcBorders>
              <w:left w:val="single" w:color="auto" w:sz="4" w:space="0"/>
            </w:tcBorders>
            <w:vAlign w:val="center"/>
          </w:tcPr>
          <w:p>
            <w:pPr>
              <w:pStyle w:val="11"/>
              <w:jc w:val="center"/>
            </w:pPr>
          </w:p>
          <w:p>
            <w:pPr>
              <w:pStyle w:val="11"/>
              <w:jc w:val="center"/>
              <w:rPr>
                <w:b/>
                <w:bCs/>
              </w:rPr>
            </w:pPr>
            <w:r>
              <w:t>评标价</w:t>
            </w:r>
          </w:p>
        </w:tc>
        <w:tc>
          <w:tcPr>
            <w:tcW w:w="1196" w:type="dxa"/>
            <w:gridSpan w:val="2"/>
            <w:tcBorders>
              <w:right w:val="single" w:color="auto" w:sz="4" w:space="0"/>
            </w:tcBorders>
            <w:vAlign w:val="center"/>
          </w:tcPr>
          <w:p>
            <w:pPr>
              <w:pStyle w:val="11"/>
              <w:ind w:left="215"/>
              <w:jc w:val="center"/>
            </w:pPr>
          </w:p>
          <w:p>
            <w:pPr>
              <w:pStyle w:val="11"/>
              <w:ind w:left="215"/>
              <w:jc w:val="center"/>
              <w:rPr>
                <w:b/>
                <w:bCs/>
              </w:rPr>
            </w:pPr>
            <w:r>
              <w:t>10 分</w:t>
            </w:r>
          </w:p>
        </w:tc>
        <w:tc>
          <w:tcPr>
            <w:tcW w:w="6418" w:type="dxa"/>
            <w:gridSpan w:val="3"/>
            <w:tcBorders>
              <w:left w:val="single" w:color="auto" w:sz="4" w:space="0"/>
            </w:tcBorders>
          </w:tcPr>
          <w:p>
            <w:pPr>
              <w:pStyle w:val="11"/>
              <w:spacing w:before="90" w:line="360" w:lineRule="auto"/>
              <w:ind w:left="66" w:right="33" w:firstLine="210" w:firstLineChars="100"/>
              <w:rPr>
                <w:szCs w:val="21"/>
                <w:lang w:val="en-US"/>
              </w:rPr>
            </w:pPr>
            <w:r>
              <w:rPr>
                <w:szCs w:val="21"/>
              </w:rPr>
              <w:t>按照评标办法规定确定投标报价及评标基准价后，计算所有通过第二信封初步评审以及算术性修正后的投标人的投标报价得分</w:t>
            </w:r>
            <w:r>
              <w:rPr>
                <w:rFonts w:hint="eastAsia"/>
                <w:szCs w:val="21"/>
                <w:lang w:val="en-US"/>
              </w:rPr>
              <w:t>.</w:t>
            </w:r>
          </w:p>
          <w:p>
            <w:pPr>
              <w:pStyle w:val="11"/>
              <w:spacing w:before="90" w:line="360" w:lineRule="auto"/>
              <w:ind w:left="66" w:right="33" w:firstLine="210" w:firstLineChars="100"/>
              <w:rPr>
                <w:szCs w:val="21"/>
              </w:rPr>
            </w:pPr>
            <w:r>
              <w:rPr>
                <w:szCs w:val="21"/>
              </w:rPr>
              <w:t xml:space="preserve">投标报价得分计算公式示例： </w:t>
            </w:r>
          </w:p>
          <w:p>
            <w:pPr>
              <w:pStyle w:val="11"/>
              <w:spacing w:before="90" w:line="360" w:lineRule="auto"/>
              <w:ind w:left="66" w:right="33" w:firstLine="210" w:firstLineChars="100"/>
              <w:rPr>
                <w:szCs w:val="21"/>
              </w:rPr>
            </w:pPr>
            <w:r>
              <w:rPr>
                <w:rFonts w:hint="eastAsia"/>
                <w:szCs w:val="21"/>
              </w:rPr>
              <w:t>（</w:t>
            </w:r>
            <w:r>
              <w:rPr>
                <w:rFonts w:hint="eastAsia"/>
                <w:szCs w:val="21"/>
                <w:lang w:val="en-US"/>
              </w:rPr>
              <w:t>1</w:t>
            </w:r>
            <w:r>
              <w:rPr>
                <w:rFonts w:hint="eastAsia"/>
                <w:szCs w:val="21"/>
              </w:rPr>
              <w:t>）</w:t>
            </w:r>
            <w:r>
              <w:rPr>
                <w:szCs w:val="21"/>
              </w:rPr>
              <w:t>如果投标人的</w:t>
            </w:r>
            <w:r>
              <w:rPr>
                <w:rFonts w:hint="eastAsia"/>
                <w:szCs w:val="21"/>
                <w:lang w:val="en-US"/>
              </w:rPr>
              <w:t>评标</w:t>
            </w:r>
            <w:r>
              <w:rPr>
                <w:szCs w:val="21"/>
              </w:rPr>
              <w:t>价&gt;评标基准价，则</w:t>
            </w:r>
            <w:r>
              <w:rPr>
                <w:rFonts w:hint="eastAsia"/>
                <w:szCs w:val="21"/>
                <w:lang w:val="en-US"/>
              </w:rPr>
              <w:t>评标</w:t>
            </w:r>
            <w:r>
              <w:rPr>
                <w:szCs w:val="21"/>
              </w:rPr>
              <w:t xml:space="preserve">价得分＝F－（投标人评标价－评标基准价）/评标基准价×100×E1； </w:t>
            </w:r>
          </w:p>
          <w:p>
            <w:pPr>
              <w:pStyle w:val="11"/>
              <w:spacing w:before="90" w:line="360" w:lineRule="auto"/>
              <w:ind w:left="66" w:right="33" w:firstLine="210" w:firstLineChars="100"/>
              <w:rPr>
                <w:szCs w:val="21"/>
              </w:rPr>
            </w:pPr>
            <w:r>
              <w:rPr>
                <w:rFonts w:hint="eastAsia"/>
                <w:szCs w:val="21"/>
              </w:rPr>
              <w:t>（</w:t>
            </w:r>
            <w:r>
              <w:rPr>
                <w:rFonts w:hint="eastAsia"/>
                <w:szCs w:val="21"/>
                <w:lang w:val="en-US"/>
              </w:rPr>
              <w:t>2</w:t>
            </w:r>
            <w:r>
              <w:rPr>
                <w:rFonts w:hint="eastAsia"/>
                <w:szCs w:val="21"/>
              </w:rPr>
              <w:t>）</w:t>
            </w:r>
            <w:r>
              <w:rPr>
                <w:szCs w:val="21"/>
              </w:rPr>
              <w:t>如果投标人的</w:t>
            </w:r>
            <w:r>
              <w:rPr>
                <w:rFonts w:hint="eastAsia"/>
                <w:szCs w:val="21"/>
                <w:lang w:val="en-US"/>
              </w:rPr>
              <w:t>评标</w:t>
            </w:r>
            <w:r>
              <w:rPr>
                <w:szCs w:val="21"/>
              </w:rPr>
              <w:t>价≤评标基准价，则</w:t>
            </w:r>
            <w:r>
              <w:rPr>
                <w:rFonts w:hint="eastAsia"/>
                <w:szCs w:val="21"/>
                <w:lang w:val="en-US"/>
              </w:rPr>
              <w:t>评标</w:t>
            </w:r>
            <w:r>
              <w:rPr>
                <w:szCs w:val="21"/>
              </w:rPr>
              <w:t xml:space="preserve">价得分＝F＋（投标人评标价－评标基准价）/ 评标基准价×100×E2。 </w:t>
            </w:r>
          </w:p>
          <w:p>
            <w:pPr>
              <w:pStyle w:val="11"/>
              <w:spacing w:before="90" w:line="360" w:lineRule="auto"/>
              <w:ind w:left="66" w:right="33" w:firstLine="210" w:firstLineChars="100"/>
              <w:rPr>
                <w:color w:val="000000"/>
                <w:szCs w:val="21"/>
              </w:rPr>
            </w:pPr>
            <w:r>
              <w:rPr>
                <w:szCs w:val="21"/>
              </w:rPr>
              <w:t>其中</w:t>
            </w:r>
            <w:r>
              <w:rPr>
                <w:rFonts w:hint="eastAsia"/>
                <w:szCs w:val="21"/>
              </w:rPr>
              <w:t>：</w:t>
            </w:r>
            <w:r>
              <w:rPr>
                <w:szCs w:val="21"/>
              </w:rPr>
              <w:t>F是</w:t>
            </w:r>
            <w:r>
              <w:rPr>
                <w:rFonts w:hint="eastAsia"/>
                <w:szCs w:val="21"/>
                <w:lang w:val="en-US"/>
              </w:rPr>
              <w:t>评标</w:t>
            </w:r>
            <w:r>
              <w:rPr>
                <w:szCs w:val="21"/>
              </w:rPr>
              <w:t>价所占的权重分值，E1是</w:t>
            </w:r>
            <w:r>
              <w:rPr>
                <w:rFonts w:hint="eastAsia"/>
                <w:szCs w:val="21"/>
                <w:lang w:val="en-US"/>
              </w:rPr>
              <w:t>评标</w:t>
            </w:r>
            <w:r>
              <w:rPr>
                <w:szCs w:val="21"/>
              </w:rPr>
              <w:t>价每高于评标基准价一个百分点的扣分值</w:t>
            </w:r>
            <w:r>
              <w:rPr>
                <w:rFonts w:hint="eastAsia"/>
                <w:szCs w:val="21"/>
              </w:rPr>
              <w:t>，</w:t>
            </w:r>
            <w:r>
              <w:rPr>
                <w:szCs w:val="21"/>
              </w:rPr>
              <w:t>E2 是</w:t>
            </w:r>
            <w:r>
              <w:rPr>
                <w:rFonts w:hint="eastAsia"/>
                <w:szCs w:val="21"/>
                <w:lang w:val="en-US"/>
              </w:rPr>
              <w:t>评标</w:t>
            </w:r>
            <w:r>
              <w:rPr>
                <w:szCs w:val="21"/>
              </w:rPr>
              <w:t>价每低于评标基准价一个百分点的扣分值，</w:t>
            </w:r>
            <w:r>
              <w:rPr>
                <w:szCs w:val="21"/>
                <w:highlight w:val="none"/>
              </w:rPr>
              <w:t>本项目E1=0.</w:t>
            </w:r>
            <w:r>
              <w:rPr>
                <w:rFonts w:hint="eastAsia"/>
                <w:szCs w:val="21"/>
                <w:highlight w:val="none"/>
                <w:lang w:val="en-US"/>
              </w:rPr>
              <w:t>2</w:t>
            </w:r>
            <w:r>
              <w:rPr>
                <w:szCs w:val="21"/>
                <w:highlight w:val="none"/>
              </w:rPr>
              <w:t>，E2=0.</w:t>
            </w:r>
            <w:r>
              <w:rPr>
                <w:rFonts w:hint="eastAsia"/>
                <w:szCs w:val="21"/>
                <w:highlight w:val="none"/>
                <w:lang w:val="en-US"/>
              </w:rPr>
              <w:t>1</w:t>
            </w:r>
            <w:r>
              <w:rPr>
                <w:szCs w:val="21"/>
                <w:highlight w:val="none"/>
              </w:rPr>
              <w:t>。</w:t>
            </w:r>
            <w:r>
              <w:rPr>
                <w:rFonts w:hint="eastAsia"/>
                <w:szCs w:val="21"/>
                <w:highlight w:val="none"/>
                <w:lang w:val="en-US"/>
              </w:rPr>
              <w:t>评标</w:t>
            </w:r>
            <w:r>
              <w:rPr>
                <w:szCs w:val="21"/>
                <w:highlight w:val="none"/>
              </w:rPr>
              <w:t>价最</w:t>
            </w:r>
            <w:r>
              <w:rPr>
                <w:szCs w:val="21"/>
              </w:rPr>
              <w:t xml:space="preserve">低得分为 0 分。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6" w:hRule="atLeast"/>
          <w:jc w:val="center"/>
        </w:trPr>
        <w:tc>
          <w:tcPr>
            <w:tcW w:w="884" w:type="dxa"/>
            <w:vMerge w:val="restart"/>
            <w:tcBorders>
              <w:right w:val="single" w:color="auto" w:sz="4" w:space="0"/>
            </w:tcBorders>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pPr>
              <w:pStyle w:val="11"/>
              <w:spacing w:before="120" w:line="242" w:lineRule="auto"/>
              <w:ind w:left="210" w:right="17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rPr>
              <w:t>）</w:t>
            </w:r>
          </w:p>
        </w:tc>
        <w:tc>
          <w:tcPr>
            <w:tcW w:w="541" w:type="dxa"/>
            <w:gridSpan w:val="2"/>
            <w:vMerge w:val="restart"/>
            <w:tcBorders>
              <w:left w:val="single" w:color="auto" w:sz="4" w:space="0"/>
            </w:tcBorders>
            <w:vAlign w:val="center"/>
          </w:tcPr>
          <w:p>
            <w:pPr>
              <w:pStyle w:val="11"/>
              <w:spacing w:before="100" w:line="348" w:lineRule="auto"/>
              <w:ind w:left="105" w:right="-15"/>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 xml:space="preserve">其 他 </w:t>
            </w:r>
            <w:r>
              <w:rPr>
                <w:rFonts w:hint="eastAsia" w:ascii="宋体" w:hAnsi="宋体" w:eastAsia="宋体" w:cs="宋体"/>
                <w:color w:val="auto"/>
                <w:sz w:val="21"/>
                <w:szCs w:val="21"/>
                <w:highlight w:val="none"/>
                <w:lang w:val="en-US"/>
              </w:rPr>
              <w:t>因  素</w:t>
            </w:r>
          </w:p>
        </w:tc>
        <w:tc>
          <w:tcPr>
            <w:tcW w:w="696" w:type="dxa"/>
            <w:tcBorders>
              <w:left w:val="single" w:color="auto" w:sz="4" w:space="0"/>
            </w:tcBorders>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1196" w:type="dxa"/>
            <w:gridSpan w:val="2"/>
            <w:tcBorders>
              <w:right w:val="single" w:color="auto" w:sz="4" w:space="0"/>
            </w:tcBorders>
            <w:vAlign w:val="center"/>
          </w:tcPr>
          <w:p>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25分</w:t>
            </w:r>
          </w:p>
        </w:tc>
        <w:tc>
          <w:tcPr>
            <w:tcW w:w="6418" w:type="dxa"/>
            <w:gridSpan w:val="3"/>
            <w:tcBorders>
              <w:left w:val="single" w:color="auto" w:sz="4" w:space="0"/>
            </w:tcBorders>
            <w:vAlign w:val="center"/>
          </w:tcPr>
          <w:p>
            <w:pPr>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满足</w:t>
            </w:r>
            <w:r>
              <w:rPr>
                <w:rFonts w:hint="eastAsia" w:ascii="宋体" w:hAnsi="宋体" w:eastAsia="宋体" w:cs="宋体"/>
                <w:color w:val="auto"/>
                <w:spacing w:val="-3"/>
                <w:sz w:val="21"/>
                <w:szCs w:val="21"/>
                <w:highlight w:val="none"/>
              </w:rPr>
              <w:t>投标人须知</w:t>
            </w:r>
            <w:r>
              <w:rPr>
                <w:rFonts w:hint="eastAsia" w:ascii="宋体" w:hAnsi="宋体" w:eastAsia="宋体" w:cs="宋体"/>
                <w:color w:val="auto"/>
                <w:sz w:val="21"/>
                <w:szCs w:val="21"/>
                <w:highlight w:val="none"/>
              </w:rPr>
              <w:t>附录2资格审查条件业绩最低要求，得基本分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分，每增加一个满足附录2的业绩加</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分，本项最多加</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5" w:hRule="atLeast"/>
          <w:jc w:val="center"/>
        </w:trPr>
        <w:tc>
          <w:tcPr>
            <w:tcW w:w="884" w:type="dxa"/>
            <w:vMerge w:val="continue"/>
            <w:tcBorders>
              <w:right w:val="single" w:color="auto" w:sz="4" w:space="0"/>
            </w:tcBorders>
            <w:vAlign w:val="center"/>
          </w:tcPr>
          <w:p>
            <w:pPr>
              <w:pStyle w:val="11"/>
              <w:spacing w:before="120" w:line="242" w:lineRule="auto"/>
              <w:ind w:left="210" w:right="177"/>
              <w:jc w:val="center"/>
              <w:rPr>
                <w:rFonts w:hint="eastAsia" w:ascii="宋体" w:hAnsi="宋体" w:eastAsia="宋体" w:cs="宋体"/>
                <w:color w:val="auto"/>
                <w:sz w:val="21"/>
                <w:szCs w:val="21"/>
              </w:rPr>
            </w:pPr>
          </w:p>
        </w:tc>
        <w:tc>
          <w:tcPr>
            <w:tcW w:w="541" w:type="dxa"/>
            <w:gridSpan w:val="2"/>
            <w:vMerge w:val="continue"/>
            <w:tcBorders>
              <w:left w:val="single" w:color="auto" w:sz="4" w:space="0"/>
            </w:tcBorders>
            <w:vAlign w:val="center"/>
          </w:tcPr>
          <w:p>
            <w:pPr>
              <w:pStyle w:val="11"/>
              <w:spacing w:before="120" w:line="242" w:lineRule="auto"/>
              <w:ind w:left="210" w:right="177"/>
              <w:jc w:val="center"/>
              <w:rPr>
                <w:rFonts w:hint="eastAsia" w:ascii="宋体" w:hAnsi="宋体" w:eastAsia="宋体" w:cs="宋体"/>
                <w:color w:val="auto"/>
                <w:sz w:val="21"/>
                <w:szCs w:val="21"/>
              </w:rPr>
            </w:pPr>
          </w:p>
        </w:tc>
        <w:tc>
          <w:tcPr>
            <w:tcW w:w="696" w:type="dxa"/>
            <w:tcBorders>
              <w:left w:val="single" w:color="auto" w:sz="4" w:space="0"/>
            </w:tcBorders>
            <w:vAlign w:val="center"/>
          </w:tcPr>
          <w:p>
            <w:pPr>
              <w:pStyle w:val="11"/>
              <w:spacing w:before="120" w:line="242" w:lineRule="auto"/>
              <w:ind w:right="177"/>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bidi="ar-SA"/>
              </w:rPr>
              <w:t>履约信誉</w:t>
            </w:r>
          </w:p>
        </w:tc>
        <w:tc>
          <w:tcPr>
            <w:tcW w:w="1196" w:type="dxa"/>
            <w:gridSpan w:val="2"/>
            <w:tcBorders>
              <w:right w:val="single" w:color="auto" w:sz="4" w:space="0"/>
            </w:tcBorders>
            <w:vAlign w:val="center"/>
          </w:tcPr>
          <w:p>
            <w:pPr>
              <w:pStyle w:val="11"/>
              <w:spacing w:before="120" w:line="242" w:lineRule="auto"/>
              <w:ind w:left="210" w:right="177"/>
              <w:jc w:val="center"/>
              <w:rPr>
                <w:rFonts w:hint="eastAsia" w:ascii="宋体" w:hAnsi="宋体" w:eastAsia="宋体" w:cs="宋体"/>
                <w:color w:val="auto"/>
                <w:sz w:val="21"/>
                <w:szCs w:val="21"/>
              </w:rPr>
            </w:pPr>
            <w:r>
              <w:rPr>
                <w:rFonts w:hint="eastAsia" w:ascii="宋体" w:hAnsi="宋体" w:eastAsia="宋体" w:cs="宋体"/>
                <w:bCs/>
                <w:color w:val="auto"/>
                <w:spacing w:val="-6"/>
                <w:sz w:val="21"/>
                <w:szCs w:val="21"/>
                <w:lang w:val="en-US"/>
              </w:rPr>
              <w:t>5</w:t>
            </w:r>
            <w:r>
              <w:rPr>
                <w:rFonts w:hint="eastAsia" w:ascii="宋体" w:hAnsi="宋体" w:eastAsia="宋体" w:cs="宋体"/>
                <w:bCs/>
                <w:color w:val="auto"/>
                <w:spacing w:val="-6"/>
                <w:sz w:val="21"/>
                <w:szCs w:val="21"/>
              </w:rPr>
              <w:t>分</w:t>
            </w:r>
          </w:p>
        </w:tc>
        <w:tc>
          <w:tcPr>
            <w:tcW w:w="6418" w:type="dxa"/>
            <w:gridSpan w:val="3"/>
            <w:tcBorders>
              <w:left w:val="single" w:color="auto" w:sz="4" w:space="0"/>
            </w:tcBorders>
            <w:vAlign w:val="center"/>
          </w:tcPr>
          <w:p>
            <w:pPr>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pacing w:val="-3"/>
                <w:sz w:val="21"/>
                <w:szCs w:val="21"/>
              </w:rPr>
              <w:t>投标人须知</w:t>
            </w:r>
            <w:r>
              <w:rPr>
                <w:rFonts w:hint="eastAsia" w:ascii="宋体" w:hAnsi="宋体" w:eastAsia="宋体" w:cs="宋体"/>
                <w:color w:val="auto"/>
                <w:sz w:val="21"/>
                <w:szCs w:val="21"/>
              </w:rPr>
              <w:t>附录3资格审查条件信誉最低要求的得5分。</w:t>
            </w:r>
          </w:p>
        </w:tc>
      </w:tr>
    </w:tbl>
    <w:p>
      <w:pPr>
        <w:spacing w:line="360" w:lineRule="auto"/>
        <w:rPr>
          <w:rFonts w:hint="eastAsia"/>
        </w:rPr>
      </w:pPr>
    </w:p>
    <w:p>
      <w:pPr>
        <w:spacing w:line="360" w:lineRule="auto"/>
        <w:rPr>
          <w:b/>
          <w:bCs/>
          <w:lang w:val="zh-CN"/>
        </w:rPr>
      </w:pPr>
    </w:p>
    <w:p>
      <w:pPr>
        <w:spacing w:line="360" w:lineRule="auto"/>
        <w:rPr>
          <w:b/>
          <w:bCs/>
          <w:lang w:val="zh-CN"/>
        </w:rPr>
      </w:pPr>
    </w:p>
    <w:p>
      <w:pPr>
        <w:spacing w:line="360" w:lineRule="auto"/>
        <w:rPr>
          <w:b/>
          <w:bCs/>
          <w:lang w:val="zh-CN"/>
        </w:rPr>
      </w:pPr>
    </w:p>
    <w:p>
      <w:pPr>
        <w:pStyle w:val="2"/>
        <w:rPr>
          <w:b/>
          <w:bCs/>
          <w:lang w:val="zh-CN"/>
        </w:rPr>
      </w:pPr>
    </w:p>
    <w:p>
      <w:pPr>
        <w:rPr>
          <w:b/>
          <w:bCs/>
          <w:lang w:val="zh-CN"/>
        </w:rPr>
      </w:pPr>
    </w:p>
    <w:p>
      <w:pPr>
        <w:pStyle w:val="2"/>
        <w:rPr>
          <w:b/>
          <w:bCs/>
          <w:lang w:val="zh-CN"/>
        </w:rPr>
      </w:pPr>
    </w:p>
    <w:p>
      <w:pPr>
        <w:rPr>
          <w:b/>
          <w:bCs/>
          <w:lang w:val="zh-CN"/>
        </w:rPr>
      </w:pPr>
    </w:p>
    <w:p>
      <w:pPr>
        <w:pStyle w:val="2"/>
        <w:rPr>
          <w:b/>
          <w:bCs/>
          <w:lang w:val="zh-CN"/>
        </w:rPr>
      </w:pPr>
    </w:p>
    <w:p>
      <w:pPr>
        <w:rPr>
          <w:b/>
          <w:bCs/>
          <w:lang w:val="zh-CN"/>
        </w:rPr>
      </w:pPr>
    </w:p>
    <w:p>
      <w:pPr>
        <w:pStyle w:val="2"/>
        <w:rPr>
          <w:b/>
          <w:bCs/>
          <w:lang w:val="zh-CN"/>
        </w:rPr>
      </w:pPr>
    </w:p>
    <w:p>
      <w:pPr>
        <w:pStyle w:val="2"/>
        <w:rPr>
          <w:b/>
          <w:bCs/>
          <w:lang w:val="zh-CN"/>
        </w:rPr>
      </w:pPr>
    </w:p>
    <w:p>
      <w:pPr>
        <w:rPr>
          <w:b/>
          <w:bCs/>
          <w:lang w:val="zh-CN"/>
        </w:rPr>
      </w:pPr>
    </w:p>
    <w:p>
      <w:pPr>
        <w:rPr>
          <w:b/>
          <w:bCs/>
          <w:lang w:val="zh-CN"/>
        </w:rPr>
      </w:pPr>
      <w:r>
        <w:rPr>
          <w:b/>
          <w:bCs/>
          <w:lang w:val="zh-CN"/>
        </w:rPr>
        <w:br w:type="page"/>
      </w:r>
    </w:p>
    <w:p>
      <w:pPr>
        <w:pStyle w:val="4"/>
        <w:pageBreakBefore w:val="0"/>
        <w:widowControl w:val="0"/>
        <w:kinsoku/>
        <w:wordWrap/>
        <w:overflowPunct/>
        <w:topLinePunct w:val="0"/>
        <w:autoSpaceDE/>
        <w:autoSpaceDN/>
        <w:bidi w:val="0"/>
        <w:adjustRightInd/>
        <w:snapToGrid/>
        <w:spacing w:before="0" w:beforeLines="0" w:after="0" w:afterLines="0" w:line="360" w:lineRule="auto"/>
        <w:textAlignment w:val="auto"/>
        <w:rPr>
          <w:lang w:val="zh-CN"/>
        </w:rPr>
      </w:pPr>
      <w:bookmarkStart w:id="13" w:name="_Toc14827"/>
      <w:r>
        <w:rPr>
          <w:rFonts w:hint="eastAsia"/>
          <w:lang w:val="zh-CN"/>
        </w:rPr>
        <w:t>1.评标方法</w:t>
      </w:r>
      <w:bookmarkEnd w:id="13"/>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4"/>
        <w:pageBreakBefore w:val="0"/>
        <w:widowControl w:val="0"/>
        <w:kinsoku/>
        <w:wordWrap/>
        <w:overflowPunct/>
        <w:topLinePunct w:val="0"/>
        <w:autoSpaceDE/>
        <w:autoSpaceDN/>
        <w:bidi w:val="0"/>
        <w:adjustRightInd/>
        <w:snapToGrid/>
        <w:spacing w:before="0" w:beforeLines="0" w:after="0" w:afterLines="0" w:line="360" w:lineRule="auto"/>
        <w:textAlignment w:val="auto"/>
        <w:rPr>
          <w:lang w:val="zh-CN"/>
        </w:rPr>
      </w:pPr>
      <w:bookmarkStart w:id="14" w:name="_Toc9403"/>
      <w:r>
        <w:rPr>
          <w:rFonts w:hint="eastAsia"/>
          <w:lang w:val="zh-CN"/>
        </w:rPr>
        <w:t>2.评审标准</w:t>
      </w:r>
      <w:bookmarkEnd w:id="14"/>
    </w:p>
    <w:p>
      <w:pPr>
        <w:pageBreakBefore w:val="0"/>
        <w:widowControl w:val="0"/>
        <w:kinsoku/>
        <w:wordWrap/>
        <w:overflowPunct/>
        <w:topLinePunct w:val="0"/>
        <w:autoSpaceDE/>
        <w:autoSpaceDN/>
        <w:bidi w:val="0"/>
        <w:adjustRightInd/>
        <w:snapToGrid/>
        <w:spacing w:line="360" w:lineRule="auto"/>
        <w:textAlignment w:val="auto"/>
        <w:rPr>
          <w:b/>
          <w:bCs/>
          <w:lang w:val="zh-CN"/>
        </w:rPr>
      </w:pPr>
      <w:r>
        <w:rPr>
          <w:rFonts w:hint="eastAsia"/>
          <w:b/>
          <w:bCs/>
          <w:lang w:val="zh-CN"/>
        </w:rPr>
        <w:t>2.1初步评审标准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2.1.1形式评审标准：见评标办法前附表。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2.1.2资格评审标准：见评标办法前附表。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2.1.3响应性评审标准：见评标办法前附表。</w:t>
      </w:r>
    </w:p>
    <w:p>
      <w:pPr>
        <w:pageBreakBefore w:val="0"/>
        <w:widowControl w:val="0"/>
        <w:kinsoku/>
        <w:wordWrap/>
        <w:overflowPunct/>
        <w:topLinePunct w:val="0"/>
        <w:autoSpaceDE/>
        <w:autoSpaceDN/>
        <w:bidi w:val="0"/>
        <w:adjustRightInd/>
        <w:snapToGrid/>
        <w:spacing w:line="360" w:lineRule="auto"/>
        <w:textAlignment w:val="auto"/>
        <w:rPr>
          <w:b/>
          <w:bCs/>
          <w:lang w:val="zh-CN"/>
        </w:rPr>
      </w:pPr>
      <w:r>
        <w:rPr>
          <w:rFonts w:hint="eastAsia"/>
          <w:b/>
          <w:bCs/>
          <w:lang w:val="zh-CN"/>
        </w:rPr>
        <w:t>2.2分值构成与评分标准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2.2.1分值构成</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（1）技术建议书：见评标办法前附表；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（2）主要人员：见评标办法前附表；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（3）评标价：见评标办法前附表；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（4）其他评分因素：见评标办法前附表。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2.2.2评标基准价计算</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评标基准价计算方法：见评标办法前附表。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2.2.3评标价的偏差率计算</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评标价的偏差率计算公式：见评标办法前附表。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2.2.4评分标准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（1）技术建议书评分标准：见评标办法前附表；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（2）主要人员评分标准：见评标办法前附表；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（3）评标价评分标准：见评标办法前附表；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（4）其他因素评分标准：见评标办法前附表。3.评标程序</w:t>
      </w:r>
    </w:p>
    <w:p>
      <w:pPr>
        <w:pStyle w:val="4"/>
        <w:pageBreakBefore w:val="0"/>
        <w:widowControl w:val="0"/>
        <w:kinsoku/>
        <w:wordWrap/>
        <w:overflowPunct/>
        <w:topLinePunct w:val="0"/>
        <w:autoSpaceDE/>
        <w:autoSpaceDN/>
        <w:bidi w:val="0"/>
        <w:adjustRightInd/>
        <w:snapToGrid/>
        <w:spacing w:before="0" w:beforeLines="0" w:after="0" w:afterLines="0" w:line="360" w:lineRule="auto"/>
        <w:textAlignment w:val="auto"/>
      </w:pPr>
      <w:bookmarkStart w:id="15" w:name="_Toc15198"/>
      <w:r>
        <w:rPr>
          <w:rFonts w:hint="eastAsia"/>
        </w:rPr>
        <w:t>3.评标程序</w:t>
      </w:r>
      <w:bookmarkEnd w:id="15"/>
    </w:p>
    <w:p>
      <w:pPr>
        <w:pageBreakBefore w:val="0"/>
        <w:widowControl w:val="0"/>
        <w:kinsoku/>
        <w:wordWrap/>
        <w:overflowPunct/>
        <w:topLinePunct w:val="0"/>
        <w:autoSpaceDE/>
        <w:autoSpaceDN/>
        <w:bidi w:val="0"/>
        <w:adjustRightInd/>
        <w:snapToGrid/>
        <w:spacing w:line="360" w:lineRule="auto"/>
        <w:ind w:firstLine="422" w:firstLineChars="200"/>
        <w:textAlignment w:val="auto"/>
        <w:rPr>
          <w:b/>
          <w:bCs/>
          <w:lang w:val="zh-CN"/>
        </w:rPr>
      </w:pPr>
      <w:r>
        <w:rPr>
          <w:rFonts w:hint="eastAsia"/>
          <w:b/>
          <w:bCs/>
          <w:lang w:val="zh-CN"/>
        </w:rPr>
        <w:t>3.1第一个信封初步评审</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评标委员会依据本章第 2.1.1 项、第 2.1.3 项规定的评审标准对投标文件第一个信封（商务及技术文件）进行初步评审。有一项不符合评审标准的，评标委员会应否决其投标。</w:t>
      </w:r>
    </w:p>
    <w:p>
      <w:pPr>
        <w:pageBreakBefore w:val="0"/>
        <w:widowControl w:val="0"/>
        <w:kinsoku/>
        <w:wordWrap/>
        <w:overflowPunct/>
        <w:topLinePunct w:val="0"/>
        <w:autoSpaceDE/>
        <w:autoSpaceDN/>
        <w:bidi w:val="0"/>
        <w:adjustRightInd/>
        <w:snapToGrid/>
        <w:spacing w:line="360" w:lineRule="auto"/>
        <w:ind w:firstLine="422" w:firstLineChars="200"/>
        <w:textAlignment w:val="auto"/>
        <w:rPr>
          <w:b/>
          <w:bCs/>
          <w:lang w:val="zh-CN"/>
        </w:rPr>
      </w:pPr>
      <w:r>
        <w:rPr>
          <w:rFonts w:hint="eastAsia"/>
          <w:b/>
          <w:bCs/>
          <w:lang w:val="zh-CN"/>
        </w:rPr>
        <w:t>3.2第一个信封详细评审</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3.2.1评标委员会按本章第 2.2 款规定的量化因素和分值进行打分，并计算出各投标人的商务和技术得分。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（1）按本章第 2.2.4 项（1）目规定的评审因素和分值对技术建议书部分计算出得分 A:</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（2）按本章第 2.2.4 项（2）目规定的评审因素和分值对主要人员部分计算出得分 B；</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（3）按本章第 2.2.4 项（</w:t>
      </w:r>
      <w:r>
        <w:rPr>
          <w:rFonts w:hint="eastAsia"/>
        </w:rPr>
        <w:t>4</w:t>
      </w:r>
      <w:r>
        <w:rPr>
          <w:rFonts w:hint="eastAsia"/>
          <w:lang w:val="zh-CN"/>
        </w:rPr>
        <w:t>）目规定的评审因素和分值对其他部分计算出得分 D。</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3.2.2投标人的商务和技术得分分值计算保留小数点后两位，小数点后第三位“四舍五入”。</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3.2.3投标人的商务和技术得分=A+B+D。</w:t>
      </w:r>
    </w:p>
    <w:p>
      <w:pPr>
        <w:pageBreakBefore w:val="0"/>
        <w:widowControl w:val="0"/>
        <w:kinsoku/>
        <w:wordWrap/>
        <w:overflowPunct/>
        <w:topLinePunct w:val="0"/>
        <w:autoSpaceDE/>
        <w:autoSpaceDN/>
        <w:bidi w:val="0"/>
        <w:adjustRightInd/>
        <w:snapToGrid/>
        <w:spacing w:line="360" w:lineRule="auto"/>
        <w:ind w:firstLine="422" w:firstLineChars="200"/>
        <w:textAlignment w:val="auto"/>
        <w:rPr>
          <w:b/>
          <w:bCs/>
          <w:lang w:val="zh-CN"/>
        </w:rPr>
      </w:pPr>
      <w:r>
        <w:rPr>
          <w:rFonts w:hint="eastAsia"/>
          <w:b/>
          <w:bCs/>
          <w:lang w:val="zh-CN"/>
        </w:rPr>
        <w:t>3.3第二个信封开标</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第一个信封（商务及技术文件）评审结束后，招标人将按照第二章“投标人须知”第 5.1 款规定的时间和地点对通过投标文件第一个信封（商务及技术文件）评审的投标文件第二个信封（报价文件）进行开标。</w:t>
      </w:r>
    </w:p>
    <w:p>
      <w:pPr>
        <w:pageBreakBefore w:val="0"/>
        <w:widowControl w:val="0"/>
        <w:kinsoku/>
        <w:wordWrap/>
        <w:overflowPunct/>
        <w:topLinePunct w:val="0"/>
        <w:autoSpaceDE/>
        <w:autoSpaceDN/>
        <w:bidi w:val="0"/>
        <w:adjustRightInd/>
        <w:snapToGrid/>
        <w:spacing w:line="360" w:lineRule="auto"/>
        <w:ind w:firstLine="422" w:firstLineChars="200"/>
        <w:textAlignment w:val="auto"/>
        <w:rPr>
          <w:b/>
          <w:bCs/>
          <w:lang w:val="zh-CN"/>
        </w:rPr>
      </w:pPr>
      <w:r>
        <w:rPr>
          <w:rFonts w:hint="eastAsia"/>
          <w:b/>
          <w:bCs/>
          <w:lang w:val="zh-CN"/>
        </w:rPr>
        <w:t>3.4第二个信封初步评审</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3.4.1评标委员会依据本章第 2.1.1 项、第 2.1.3 项规定的评审标准对投标文件第二个信封（报价文件）进行初步评审。有一项不符合评审标准的，评标委员会应否决其投标。</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3.4.2投标报价有算术错误的，评标委员会按以下原则对投标报价进行修正，修正的价格经投标人书面确认后具有约束力。投标人不接受修正价格的，评标委员会应否决其投标。</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（1）投标文件中的大写金额与小写金额不一致的，以大写金额为准；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（2）总价金额与依据单价计算出的结果不一致的，以单价金额为准修正总价，但单价金额小数点有明显错误的除外；</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（3）当单价与数量相乘不等于合价时，以单价计算为准，如果单价有明显的小数点位置差错，应以标出的合价为准，同时对单价予以修正；</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（4）当各子目的合价累计不等于总价时，应以各子目合价累计数为准，修正总价。</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3.4.3修正后的最终投标报价若超过最高投标限价，评标委员会应否决其投标。</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3.4.4修正后的最终投标报价仅作为签订合同的一个依据，不参与评标价得分的计算。</w:t>
      </w:r>
    </w:p>
    <w:p>
      <w:pPr>
        <w:pageBreakBefore w:val="0"/>
        <w:widowControl w:val="0"/>
        <w:kinsoku/>
        <w:wordWrap/>
        <w:overflowPunct/>
        <w:topLinePunct w:val="0"/>
        <w:autoSpaceDE/>
        <w:autoSpaceDN/>
        <w:bidi w:val="0"/>
        <w:adjustRightInd/>
        <w:snapToGrid/>
        <w:spacing w:line="360" w:lineRule="auto"/>
        <w:ind w:firstLine="422" w:firstLineChars="200"/>
        <w:textAlignment w:val="auto"/>
        <w:rPr>
          <w:b/>
          <w:bCs/>
          <w:lang w:val="zh-CN"/>
        </w:rPr>
      </w:pPr>
      <w:r>
        <w:rPr>
          <w:rFonts w:hint="eastAsia"/>
          <w:b/>
          <w:bCs/>
          <w:lang w:val="zh-CN"/>
        </w:rPr>
        <w:t>3.5第二个信封详细评审</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3.5.1评标委员会按本章第 2.2.4（3）目规定的评审因素和分值对评标价计算出得分 C。评标价得分分值计算保留小数点后两位，小数点后第三位“四舍五入”。</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3.5.2投标人综合得分=投标人的商务和技术得分+C。</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3.5.3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ageBreakBefore w:val="0"/>
        <w:widowControl w:val="0"/>
        <w:kinsoku/>
        <w:wordWrap/>
        <w:overflowPunct/>
        <w:topLinePunct w:val="0"/>
        <w:autoSpaceDE/>
        <w:autoSpaceDN/>
        <w:bidi w:val="0"/>
        <w:adjustRightInd/>
        <w:snapToGrid/>
        <w:spacing w:line="360" w:lineRule="auto"/>
        <w:ind w:firstLine="422" w:firstLineChars="200"/>
        <w:textAlignment w:val="auto"/>
        <w:rPr>
          <w:b/>
          <w:bCs/>
          <w:lang w:val="zh-CN"/>
        </w:rPr>
      </w:pPr>
      <w:r>
        <w:rPr>
          <w:rFonts w:hint="eastAsia"/>
          <w:b/>
          <w:bCs/>
          <w:lang w:val="zh-CN"/>
        </w:rPr>
        <w:t>3.6投标文件相关信息的核查</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lang w:val="zh-CN"/>
        </w:rPr>
      </w:pPr>
      <w:r>
        <w:rPr>
          <w:rFonts w:hint="eastAsia"/>
          <w:lang w:val="zh-CN"/>
        </w:rPr>
        <w:t>3.6.1在评标过程中，</w:t>
      </w:r>
      <w:r>
        <w:rPr>
          <w:rFonts w:hint="eastAsia"/>
          <w:highlight w:val="none"/>
          <w:lang w:val="zh-CN"/>
        </w:rPr>
        <w:t>评标委员会应查询交通运输主管部门“公路建设市场信用信息管理系统”、“</w:t>
      </w:r>
      <w:r>
        <w:rPr>
          <w:rFonts w:hint="eastAsia"/>
          <w:highlight w:val="none"/>
        </w:rPr>
        <w:t>信用中国</w:t>
      </w:r>
      <w:r>
        <w:rPr>
          <w:rFonts w:hint="eastAsia"/>
          <w:highlight w:val="none"/>
          <w:lang w:val="zh-CN"/>
        </w:rPr>
        <w:t>”“</w:t>
      </w:r>
      <w:r>
        <w:rPr>
          <w:rFonts w:hint="eastAsia"/>
          <w:highlight w:val="none"/>
        </w:rPr>
        <w:t>信用宁夏</w:t>
      </w:r>
      <w:r>
        <w:rPr>
          <w:rFonts w:hint="eastAsia"/>
          <w:highlight w:val="none"/>
          <w:lang w:val="zh-CN"/>
        </w:rPr>
        <w:t>”“</w:t>
      </w:r>
      <w:r>
        <w:rPr>
          <w:rFonts w:hint="eastAsia"/>
          <w:highlight w:val="none"/>
        </w:rPr>
        <w:t>中国裁判文书网</w:t>
      </w:r>
      <w:r>
        <w:rPr>
          <w:rFonts w:hint="eastAsia"/>
          <w:highlight w:val="none"/>
          <w:lang w:val="zh-CN"/>
        </w:rPr>
        <w:t>”</w:t>
      </w:r>
      <w:r>
        <w:rPr>
          <w:rFonts w:hint="eastAsia"/>
          <w:highlight w:val="none"/>
        </w:rPr>
        <w:t>等</w:t>
      </w:r>
      <w:r>
        <w:rPr>
          <w:rFonts w:hint="eastAsia"/>
          <w:highlight w:val="none"/>
          <w:lang w:val="zh-CN"/>
        </w:rPr>
        <w:t>，对投标人的资质、业绩、信用等信息进行核实。若投标文件载明的信息与</w:t>
      </w:r>
      <w:r>
        <w:rPr>
          <w:rFonts w:hint="eastAsia"/>
          <w:highlight w:val="none"/>
        </w:rPr>
        <w:t>查询</w:t>
      </w:r>
      <w:r>
        <w:rPr>
          <w:rFonts w:hint="eastAsia"/>
          <w:highlight w:val="none"/>
          <w:lang w:val="zh-CN"/>
        </w:rPr>
        <w:t>的信息不符，使得投标人的资格条件不符合招标文件规定的，评标委员会应否决其投标。</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3.6.2评标委员会应对在评标过程中发现的投标人与投标人之间、投标人与招标人之间存在的串通投标的情形进行评审和认定。投标人存在串通投标、弄虚作假、行贿等违法行为的，评标委员会应否决其投标。</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szCs w:val="21"/>
        </w:rPr>
      </w:pPr>
      <w:r>
        <w:rPr>
          <w:rFonts w:hint="eastAsia" w:ascii="宋体" w:hAnsi="宋体" w:cs="宋体"/>
          <w:color w:val="000000"/>
          <w:szCs w:val="21"/>
        </w:rPr>
        <w:t>（1）有下列情形之一的，属于投标人相互串通投标：</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szCs w:val="21"/>
        </w:rPr>
      </w:pPr>
      <w:r>
        <w:rPr>
          <w:rFonts w:hint="eastAsia" w:ascii="宋体" w:hAnsi="宋体" w:cs="宋体"/>
          <w:color w:val="000000"/>
          <w:szCs w:val="21"/>
        </w:rPr>
        <w:t>a．投标人之间协商投标报价等投标文件的实质性内容；</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szCs w:val="21"/>
        </w:rPr>
      </w:pPr>
      <w:r>
        <w:rPr>
          <w:rFonts w:hint="eastAsia" w:ascii="宋体" w:hAnsi="宋体" w:cs="宋体"/>
          <w:color w:val="000000"/>
          <w:szCs w:val="21"/>
        </w:rPr>
        <w:t>b．投标人之间约定中标人：</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szCs w:val="21"/>
        </w:rPr>
      </w:pPr>
      <w:r>
        <w:rPr>
          <w:rFonts w:hint="eastAsia" w:ascii="宋体" w:hAnsi="宋体" w:cs="宋体"/>
          <w:color w:val="000000"/>
          <w:szCs w:val="21"/>
        </w:rPr>
        <w:t>c．投标人之间约定部分投标人放弃投标或中标；</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szCs w:val="21"/>
        </w:rPr>
      </w:pPr>
      <w:r>
        <w:rPr>
          <w:rFonts w:hint="eastAsia" w:ascii="宋体" w:hAnsi="宋体" w:cs="宋体"/>
          <w:color w:val="000000"/>
          <w:szCs w:val="21"/>
        </w:rPr>
        <w:t>d．属于同一集团、协会、商会等组织成员的投标人按照该组织要求协同投标；</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szCs w:val="21"/>
        </w:rPr>
      </w:pPr>
      <w:r>
        <w:rPr>
          <w:rFonts w:hint="eastAsia" w:ascii="宋体" w:hAnsi="宋体" w:cs="宋体"/>
          <w:color w:val="000000"/>
          <w:szCs w:val="21"/>
        </w:rPr>
        <w:t>e．投标人之间为谋取中标或排斥特定投标人而采取的其他联合行动。</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szCs w:val="21"/>
        </w:rPr>
      </w:pPr>
      <w:r>
        <w:rPr>
          <w:rFonts w:hint="eastAsia" w:ascii="宋体" w:hAnsi="宋体" w:cs="宋体"/>
          <w:color w:val="000000"/>
          <w:szCs w:val="21"/>
        </w:rPr>
        <w:t>（2）有下列情形之一的，视为投标人相互串通投标：</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szCs w:val="21"/>
        </w:rPr>
      </w:pPr>
      <w:r>
        <w:rPr>
          <w:rFonts w:hint="eastAsia" w:ascii="宋体" w:hAnsi="宋体" w:cs="宋体"/>
          <w:color w:val="000000"/>
          <w:szCs w:val="21"/>
        </w:rPr>
        <w:t>a．不同投标人的投标文件由同一单位或个人编制；</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szCs w:val="21"/>
        </w:rPr>
      </w:pPr>
      <w:r>
        <w:rPr>
          <w:rFonts w:hint="eastAsia" w:ascii="宋体" w:hAnsi="宋体" w:cs="宋体"/>
          <w:color w:val="000000"/>
          <w:szCs w:val="21"/>
        </w:rPr>
        <w:t>b．不同投标人委托同一单位或个人办理投标事宜；</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szCs w:val="21"/>
        </w:rPr>
      </w:pPr>
      <w:r>
        <w:rPr>
          <w:rFonts w:hint="eastAsia" w:ascii="宋体" w:hAnsi="宋体" w:cs="宋体"/>
          <w:color w:val="000000"/>
          <w:szCs w:val="21"/>
        </w:rPr>
        <w:t>c．不同投标人的投标文件载明的项目管理成员为同一人；</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szCs w:val="21"/>
        </w:rPr>
      </w:pPr>
      <w:r>
        <w:rPr>
          <w:rFonts w:hint="eastAsia" w:ascii="宋体" w:hAnsi="宋体" w:cs="宋体"/>
          <w:color w:val="000000"/>
          <w:szCs w:val="21"/>
        </w:rPr>
        <w:t>d．不同投标人的投标文件异常一致或投标报价呈规律性差异；</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szCs w:val="21"/>
        </w:rPr>
      </w:pPr>
      <w:r>
        <w:rPr>
          <w:rFonts w:hint="eastAsia" w:ascii="宋体" w:hAnsi="宋体" w:cs="宋体"/>
          <w:color w:val="000000"/>
          <w:szCs w:val="21"/>
        </w:rPr>
        <w:t>e．不同投标人的投标文件相互混装；</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szCs w:val="21"/>
        </w:rPr>
      </w:pPr>
      <w:r>
        <w:rPr>
          <w:rFonts w:hint="eastAsia" w:ascii="宋体" w:hAnsi="宋体" w:cs="宋体"/>
          <w:color w:val="000000"/>
          <w:szCs w:val="21"/>
        </w:rPr>
        <w:t>（3）有下列情形之一的，属于招标人与投标人串通投标：</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szCs w:val="21"/>
        </w:rPr>
      </w:pPr>
      <w:r>
        <w:rPr>
          <w:rFonts w:hint="eastAsia" w:ascii="宋体" w:hAnsi="宋体" w:cs="宋体"/>
          <w:color w:val="000000"/>
          <w:szCs w:val="21"/>
        </w:rPr>
        <w:t>a．招标人在开标前开启投标文件并将有关信息泄露给其他投标人；</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szCs w:val="21"/>
        </w:rPr>
      </w:pPr>
      <w:r>
        <w:rPr>
          <w:rFonts w:hint="eastAsia" w:ascii="宋体" w:hAnsi="宋体" w:cs="宋体"/>
          <w:color w:val="000000"/>
          <w:szCs w:val="21"/>
        </w:rPr>
        <w:t>b．招标人直接或间接向投标人泄露标底、评标委员会成员等信息；</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szCs w:val="21"/>
        </w:rPr>
      </w:pPr>
      <w:r>
        <w:rPr>
          <w:rFonts w:hint="eastAsia" w:ascii="宋体" w:hAnsi="宋体" w:cs="宋体"/>
          <w:color w:val="000000"/>
          <w:szCs w:val="21"/>
        </w:rPr>
        <w:t>c．招标人明示或暗示投标人压低或抬高投标报价；</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szCs w:val="21"/>
        </w:rPr>
      </w:pPr>
      <w:r>
        <w:rPr>
          <w:rFonts w:hint="eastAsia" w:ascii="宋体" w:hAnsi="宋体" w:cs="宋体"/>
          <w:color w:val="000000"/>
          <w:szCs w:val="21"/>
        </w:rPr>
        <w:t>d．招标人授意投标人撤换、修改投标文件；</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szCs w:val="21"/>
        </w:rPr>
      </w:pPr>
      <w:r>
        <w:rPr>
          <w:rFonts w:hint="eastAsia" w:ascii="宋体" w:hAnsi="宋体" w:cs="宋体"/>
          <w:color w:val="000000"/>
          <w:szCs w:val="21"/>
        </w:rPr>
        <w:t>e．招标人明示或暗示投标人为特定投标人中标提供方便；</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szCs w:val="21"/>
        </w:rPr>
      </w:pPr>
      <w:r>
        <w:rPr>
          <w:rFonts w:hint="eastAsia" w:ascii="宋体" w:hAnsi="宋体" w:cs="宋体"/>
          <w:color w:val="000000"/>
          <w:szCs w:val="21"/>
        </w:rPr>
        <w:t>f．招标人与投标人为谋求特定投标人中标而采取的其他串通行为。</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szCs w:val="21"/>
        </w:rPr>
      </w:pPr>
      <w:r>
        <w:rPr>
          <w:rFonts w:hint="eastAsia" w:ascii="宋体" w:hAnsi="宋体" w:cs="宋体"/>
          <w:color w:val="000000"/>
          <w:szCs w:val="21"/>
        </w:rPr>
        <w:t>（4）投标人有下列情形之一的，属于弄虚作假的行为：</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szCs w:val="21"/>
        </w:rPr>
      </w:pPr>
      <w:r>
        <w:rPr>
          <w:rFonts w:hint="eastAsia" w:ascii="宋体" w:hAnsi="宋体" w:cs="宋体"/>
          <w:color w:val="000000"/>
          <w:szCs w:val="21"/>
        </w:rPr>
        <w:t>a．使用通过受让或租借等方式获取的资格、资质证书投标；</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szCs w:val="21"/>
        </w:rPr>
      </w:pPr>
      <w:r>
        <w:rPr>
          <w:rFonts w:hint="eastAsia" w:ascii="宋体" w:hAnsi="宋体" w:cs="宋体"/>
          <w:color w:val="000000"/>
          <w:szCs w:val="21"/>
        </w:rPr>
        <w:t>b．使用伪造、变造的许可证件；</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szCs w:val="21"/>
        </w:rPr>
      </w:pPr>
      <w:r>
        <w:rPr>
          <w:rFonts w:hint="eastAsia" w:ascii="宋体" w:hAnsi="宋体" w:cs="宋体"/>
          <w:color w:val="000000"/>
          <w:szCs w:val="21"/>
        </w:rPr>
        <w:t>c．提供虚假的业绩；</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szCs w:val="21"/>
        </w:rPr>
      </w:pPr>
      <w:r>
        <w:rPr>
          <w:rFonts w:hint="eastAsia" w:ascii="宋体" w:hAnsi="宋体" w:cs="宋体"/>
          <w:color w:val="000000"/>
          <w:szCs w:val="21"/>
        </w:rPr>
        <w:t>d．提供虚假的检测或项目负责人或主要技术人员简历、劳动关系证明；</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szCs w:val="21"/>
        </w:rPr>
      </w:pPr>
      <w:r>
        <w:rPr>
          <w:rFonts w:hint="eastAsia" w:ascii="宋体" w:hAnsi="宋体" w:cs="宋体"/>
          <w:color w:val="000000"/>
          <w:szCs w:val="21"/>
        </w:rPr>
        <w:t>e．提供虚假的信用状况；</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szCs w:val="21"/>
        </w:rPr>
      </w:pPr>
      <w:r>
        <w:rPr>
          <w:rFonts w:hint="eastAsia" w:ascii="宋体" w:hAnsi="宋体" w:cs="宋体"/>
          <w:color w:val="000000"/>
          <w:szCs w:val="21"/>
        </w:rPr>
        <w:t>f．其他弄虚作假的行为。</w:t>
      </w:r>
    </w:p>
    <w:p>
      <w:pPr>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eastAsiaTheme="minorEastAsia"/>
          <w:b/>
          <w:bCs/>
          <w:color w:val="000000"/>
          <w:szCs w:val="21"/>
        </w:rPr>
      </w:pPr>
      <w:r>
        <w:rPr>
          <w:rFonts w:hint="eastAsia" w:ascii="宋体" w:hAnsi="宋体" w:cs="宋体"/>
          <w:b/>
          <w:bCs/>
          <w:color w:val="000000"/>
          <w:szCs w:val="21"/>
        </w:rPr>
        <w:t>除上述</w:t>
      </w:r>
      <w:r>
        <w:rPr>
          <w:rFonts w:ascii="宋体" w:hAnsi="宋体" w:cs="宋体"/>
          <w:b/>
          <w:bCs/>
          <w:color w:val="000000"/>
          <w:szCs w:val="21"/>
        </w:rPr>
        <w:t>4</w:t>
      </w:r>
      <w:r>
        <w:rPr>
          <w:rFonts w:hint="eastAsia" w:ascii="宋体" w:hAnsi="宋体" w:cs="宋体"/>
          <w:b/>
          <w:bCs/>
          <w:color w:val="000000"/>
          <w:szCs w:val="21"/>
        </w:rPr>
        <w:t>中情况外，如投标人、招标人、招标代理机构及评标专家还存在其它招投标法及有关法律法规规定的违法行为，一经查实，评标委员会</w:t>
      </w:r>
      <w:r>
        <w:rPr>
          <w:rFonts w:hint="eastAsia"/>
          <w:b/>
          <w:bCs/>
          <w:lang w:val="zh-CN"/>
        </w:rPr>
        <w:t>应否决其投标。</w:t>
      </w:r>
    </w:p>
    <w:p>
      <w:pPr>
        <w:pageBreakBefore w:val="0"/>
        <w:widowControl w:val="0"/>
        <w:kinsoku/>
        <w:wordWrap/>
        <w:overflowPunct/>
        <w:topLinePunct w:val="0"/>
        <w:autoSpaceDE/>
        <w:autoSpaceDN/>
        <w:bidi w:val="0"/>
        <w:adjustRightInd/>
        <w:snapToGrid/>
        <w:spacing w:line="360" w:lineRule="auto"/>
        <w:ind w:firstLine="422" w:firstLineChars="200"/>
        <w:textAlignment w:val="auto"/>
        <w:rPr>
          <w:b/>
          <w:bCs/>
          <w:lang w:val="zh-CN"/>
        </w:rPr>
      </w:pPr>
      <w:r>
        <w:rPr>
          <w:rFonts w:hint="eastAsia"/>
          <w:b/>
          <w:bCs/>
          <w:lang w:val="zh-CN"/>
        </w:rPr>
        <w:t>3.7投标文件的澄清和说明</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3.7.2澄清和说明不得超出投标文件的范围或改变投标文件的实质性内容（算术性错误的修正除外）。投标人的书面澄清、说明属于投标文件的组成部分。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3.7.3评标委员会不得暗示或诱导投标人作出澄清、说明，对投标人提交的澄清、说明有疑问的，可以要求投标人进一步澄清或说明，直至满足评标委员会的要求。</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3.7.4凡超出招标文件规定的或给委托人带来未曾要求的利益的变化、偏差或其他因素在评标时不予考虑。</w:t>
      </w:r>
    </w:p>
    <w:p>
      <w:pPr>
        <w:pageBreakBefore w:val="0"/>
        <w:widowControl w:val="0"/>
        <w:kinsoku/>
        <w:wordWrap/>
        <w:overflowPunct/>
        <w:topLinePunct w:val="0"/>
        <w:autoSpaceDE/>
        <w:autoSpaceDN/>
        <w:bidi w:val="0"/>
        <w:adjustRightInd/>
        <w:snapToGrid/>
        <w:spacing w:line="360" w:lineRule="auto"/>
        <w:ind w:firstLine="422" w:firstLineChars="200"/>
        <w:textAlignment w:val="auto"/>
        <w:rPr>
          <w:b/>
          <w:bCs/>
          <w:lang w:val="zh-CN"/>
        </w:rPr>
      </w:pPr>
      <w:r>
        <w:rPr>
          <w:rFonts w:hint="eastAsia"/>
          <w:b/>
          <w:bCs/>
          <w:lang w:val="zh-CN"/>
        </w:rPr>
        <w:t>3.8不得否决投标的情形</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投标文件存在第二章“投标人须知”第 1.12.3 项所列情形的，均视为细微偏差，评标委员会不</w:t>
      </w:r>
    </w:p>
    <w:p>
      <w:pPr>
        <w:pageBreakBefore w:val="0"/>
        <w:widowControl w:val="0"/>
        <w:kinsoku/>
        <w:wordWrap/>
        <w:overflowPunct/>
        <w:topLinePunct w:val="0"/>
        <w:autoSpaceDE/>
        <w:autoSpaceDN/>
        <w:bidi w:val="0"/>
        <w:adjustRightInd/>
        <w:snapToGrid/>
        <w:spacing w:line="360" w:lineRule="auto"/>
        <w:textAlignment w:val="auto"/>
        <w:rPr>
          <w:lang w:val="zh-CN"/>
        </w:rPr>
      </w:pPr>
      <w:r>
        <w:rPr>
          <w:rFonts w:hint="eastAsia"/>
          <w:lang w:val="zh-CN"/>
        </w:rPr>
        <w:t>得否决投标人的投标，应按照第二章“投标人须知”第 1.12.4 项规定的原则处理。</w:t>
      </w:r>
    </w:p>
    <w:p>
      <w:pPr>
        <w:pageBreakBefore w:val="0"/>
        <w:widowControl w:val="0"/>
        <w:kinsoku/>
        <w:wordWrap/>
        <w:overflowPunct/>
        <w:topLinePunct w:val="0"/>
        <w:autoSpaceDE/>
        <w:autoSpaceDN/>
        <w:bidi w:val="0"/>
        <w:adjustRightInd/>
        <w:snapToGrid/>
        <w:spacing w:line="360" w:lineRule="auto"/>
        <w:ind w:firstLine="422" w:firstLineChars="200"/>
        <w:textAlignment w:val="auto"/>
        <w:rPr>
          <w:b/>
          <w:bCs/>
          <w:lang w:val="zh-CN"/>
        </w:rPr>
      </w:pPr>
      <w:r>
        <w:rPr>
          <w:rFonts w:hint="eastAsia"/>
          <w:b/>
          <w:bCs/>
          <w:lang w:val="zh-CN"/>
        </w:rPr>
        <w:t>3.</w:t>
      </w:r>
      <w:r>
        <w:rPr>
          <w:rFonts w:hint="eastAsia"/>
          <w:b/>
          <w:bCs/>
        </w:rPr>
        <w:t>9</w:t>
      </w:r>
      <w:r>
        <w:rPr>
          <w:rFonts w:hint="eastAsia"/>
          <w:b/>
          <w:bCs/>
          <w:lang w:val="zh-CN"/>
        </w:rPr>
        <w:t>评标结果</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lang w:val="zh-CN"/>
        </w:rPr>
        <w:t>3.</w:t>
      </w:r>
      <w:r>
        <w:rPr>
          <w:rFonts w:hint="eastAsia"/>
        </w:rPr>
        <w:t>9</w:t>
      </w:r>
      <w:r>
        <w:rPr>
          <w:rFonts w:hint="eastAsia"/>
          <w:lang w:val="zh-CN"/>
        </w:rPr>
        <w:t>.1除第二章“投标人须知前附表”授权直接确定中标人外，评标委员会按照得分由高到低的顺序推荐中标候选人，并标明排序。</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lang w:val="zh-CN"/>
        </w:rPr>
      </w:pPr>
      <w:r>
        <w:rPr>
          <w:rFonts w:hint="eastAsia"/>
        </w:rPr>
        <w:t>3.9.2</w:t>
      </w:r>
      <w:r>
        <w:rPr>
          <w:rFonts w:hint="eastAsia"/>
          <w:lang w:val="zh-CN"/>
        </w:rPr>
        <w:t>评标委员会完成评标后，应向招标人提交书面评标报告。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3FCF68"/>
    <w:multiLevelType w:val="multilevel"/>
    <w:tmpl w:val="243FCF68"/>
    <w:lvl w:ilvl="0" w:tentative="0">
      <w:start w:val="1"/>
      <w:numFmt w:val="decimal"/>
      <w:lvlText w:val="（%1）"/>
      <w:lvlJc w:val="left"/>
      <w:pPr>
        <w:ind w:left="109" w:hanging="543"/>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810" w:hanging="543"/>
      </w:pPr>
      <w:rPr>
        <w:rFonts w:hint="default"/>
        <w:lang w:val="zh-CN" w:eastAsia="zh-CN" w:bidi="zh-CN"/>
      </w:rPr>
    </w:lvl>
    <w:lvl w:ilvl="2" w:tentative="0">
      <w:start w:val="0"/>
      <w:numFmt w:val="bullet"/>
      <w:lvlText w:val="•"/>
      <w:lvlJc w:val="left"/>
      <w:pPr>
        <w:ind w:left="1521" w:hanging="543"/>
      </w:pPr>
      <w:rPr>
        <w:rFonts w:hint="default"/>
        <w:lang w:val="zh-CN" w:eastAsia="zh-CN" w:bidi="zh-CN"/>
      </w:rPr>
    </w:lvl>
    <w:lvl w:ilvl="3" w:tentative="0">
      <w:start w:val="0"/>
      <w:numFmt w:val="bullet"/>
      <w:lvlText w:val="•"/>
      <w:lvlJc w:val="left"/>
      <w:pPr>
        <w:ind w:left="2232" w:hanging="543"/>
      </w:pPr>
      <w:rPr>
        <w:rFonts w:hint="default"/>
        <w:lang w:val="zh-CN" w:eastAsia="zh-CN" w:bidi="zh-CN"/>
      </w:rPr>
    </w:lvl>
    <w:lvl w:ilvl="4" w:tentative="0">
      <w:start w:val="0"/>
      <w:numFmt w:val="bullet"/>
      <w:lvlText w:val="•"/>
      <w:lvlJc w:val="left"/>
      <w:pPr>
        <w:ind w:left="2943" w:hanging="543"/>
      </w:pPr>
      <w:rPr>
        <w:rFonts w:hint="default"/>
        <w:lang w:val="zh-CN" w:eastAsia="zh-CN" w:bidi="zh-CN"/>
      </w:rPr>
    </w:lvl>
    <w:lvl w:ilvl="5" w:tentative="0">
      <w:start w:val="0"/>
      <w:numFmt w:val="bullet"/>
      <w:lvlText w:val="•"/>
      <w:lvlJc w:val="left"/>
      <w:pPr>
        <w:ind w:left="3654" w:hanging="543"/>
      </w:pPr>
      <w:rPr>
        <w:rFonts w:hint="default"/>
        <w:lang w:val="zh-CN" w:eastAsia="zh-CN" w:bidi="zh-CN"/>
      </w:rPr>
    </w:lvl>
    <w:lvl w:ilvl="6" w:tentative="0">
      <w:start w:val="0"/>
      <w:numFmt w:val="bullet"/>
      <w:lvlText w:val="•"/>
      <w:lvlJc w:val="left"/>
      <w:pPr>
        <w:ind w:left="4365" w:hanging="543"/>
      </w:pPr>
      <w:rPr>
        <w:rFonts w:hint="default"/>
        <w:lang w:val="zh-CN" w:eastAsia="zh-CN" w:bidi="zh-CN"/>
      </w:rPr>
    </w:lvl>
    <w:lvl w:ilvl="7" w:tentative="0">
      <w:start w:val="0"/>
      <w:numFmt w:val="bullet"/>
      <w:lvlText w:val="•"/>
      <w:lvlJc w:val="left"/>
      <w:pPr>
        <w:ind w:left="5076" w:hanging="543"/>
      </w:pPr>
      <w:rPr>
        <w:rFonts w:hint="default"/>
        <w:lang w:val="zh-CN" w:eastAsia="zh-CN" w:bidi="zh-CN"/>
      </w:rPr>
    </w:lvl>
    <w:lvl w:ilvl="8" w:tentative="0">
      <w:start w:val="0"/>
      <w:numFmt w:val="bullet"/>
      <w:lvlText w:val="•"/>
      <w:lvlJc w:val="left"/>
      <w:pPr>
        <w:ind w:left="5787" w:hanging="543"/>
      </w:pPr>
      <w:rPr>
        <w:rFonts w:hint="default"/>
        <w:lang w:val="zh-CN" w:eastAsia="zh-CN" w:bidi="zh-CN"/>
      </w:rPr>
    </w:lvl>
  </w:abstractNum>
  <w:abstractNum w:abstractNumId="1">
    <w:nsid w:val="4D94DA66"/>
    <w:multiLevelType w:val="multilevel"/>
    <w:tmpl w:val="4D94DA66"/>
    <w:lvl w:ilvl="0" w:tentative="0">
      <w:start w:val="1"/>
      <w:numFmt w:val="decimal"/>
      <w:lvlText w:val="（%1）"/>
      <w:lvlJc w:val="left"/>
      <w:pPr>
        <w:ind w:left="109"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810" w:hanging="529"/>
      </w:pPr>
      <w:rPr>
        <w:rFonts w:hint="default"/>
        <w:lang w:val="zh-CN" w:eastAsia="zh-CN" w:bidi="zh-CN"/>
      </w:rPr>
    </w:lvl>
    <w:lvl w:ilvl="2" w:tentative="0">
      <w:start w:val="0"/>
      <w:numFmt w:val="bullet"/>
      <w:lvlText w:val="•"/>
      <w:lvlJc w:val="left"/>
      <w:pPr>
        <w:ind w:left="1521" w:hanging="529"/>
      </w:pPr>
      <w:rPr>
        <w:rFonts w:hint="default"/>
        <w:lang w:val="zh-CN" w:eastAsia="zh-CN" w:bidi="zh-CN"/>
      </w:rPr>
    </w:lvl>
    <w:lvl w:ilvl="3" w:tentative="0">
      <w:start w:val="0"/>
      <w:numFmt w:val="bullet"/>
      <w:lvlText w:val="•"/>
      <w:lvlJc w:val="left"/>
      <w:pPr>
        <w:ind w:left="2232" w:hanging="529"/>
      </w:pPr>
      <w:rPr>
        <w:rFonts w:hint="default"/>
        <w:lang w:val="zh-CN" w:eastAsia="zh-CN" w:bidi="zh-CN"/>
      </w:rPr>
    </w:lvl>
    <w:lvl w:ilvl="4" w:tentative="0">
      <w:start w:val="0"/>
      <w:numFmt w:val="bullet"/>
      <w:lvlText w:val="•"/>
      <w:lvlJc w:val="left"/>
      <w:pPr>
        <w:ind w:left="2943" w:hanging="529"/>
      </w:pPr>
      <w:rPr>
        <w:rFonts w:hint="default"/>
        <w:lang w:val="zh-CN" w:eastAsia="zh-CN" w:bidi="zh-CN"/>
      </w:rPr>
    </w:lvl>
    <w:lvl w:ilvl="5" w:tentative="0">
      <w:start w:val="0"/>
      <w:numFmt w:val="bullet"/>
      <w:lvlText w:val="•"/>
      <w:lvlJc w:val="left"/>
      <w:pPr>
        <w:ind w:left="3654" w:hanging="529"/>
      </w:pPr>
      <w:rPr>
        <w:rFonts w:hint="default"/>
        <w:lang w:val="zh-CN" w:eastAsia="zh-CN" w:bidi="zh-CN"/>
      </w:rPr>
    </w:lvl>
    <w:lvl w:ilvl="6" w:tentative="0">
      <w:start w:val="0"/>
      <w:numFmt w:val="bullet"/>
      <w:lvlText w:val="•"/>
      <w:lvlJc w:val="left"/>
      <w:pPr>
        <w:ind w:left="4365" w:hanging="529"/>
      </w:pPr>
      <w:rPr>
        <w:rFonts w:hint="default"/>
        <w:lang w:val="zh-CN" w:eastAsia="zh-CN" w:bidi="zh-CN"/>
      </w:rPr>
    </w:lvl>
    <w:lvl w:ilvl="7" w:tentative="0">
      <w:start w:val="0"/>
      <w:numFmt w:val="bullet"/>
      <w:lvlText w:val="•"/>
      <w:lvlJc w:val="left"/>
      <w:pPr>
        <w:ind w:left="5076" w:hanging="529"/>
      </w:pPr>
      <w:rPr>
        <w:rFonts w:hint="default"/>
        <w:lang w:val="zh-CN" w:eastAsia="zh-CN" w:bidi="zh-CN"/>
      </w:rPr>
    </w:lvl>
    <w:lvl w:ilvl="8" w:tentative="0">
      <w:start w:val="0"/>
      <w:numFmt w:val="bullet"/>
      <w:lvlText w:val="•"/>
      <w:lvlJc w:val="left"/>
      <w:pPr>
        <w:ind w:left="5787" w:hanging="529"/>
      </w:pPr>
      <w:rPr>
        <w:rFonts w:hint="default"/>
        <w:lang w:val="zh-CN" w:eastAsia="zh-CN" w:bidi="zh-CN"/>
      </w:rPr>
    </w:lvl>
  </w:abstractNum>
  <w:abstractNum w:abstractNumId="2">
    <w:nsid w:val="58765686"/>
    <w:multiLevelType w:val="multilevel"/>
    <w:tmpl w:val="58765686"/>
    <w:lvl w:ilvl="0" w:tentative="0">
      <w:start w:val="1"/>
      <w:numFmt w:val="decimal"/>
      <w:lvlText w:val="（%1）"/>
      <w:lvlJc w:val="left"/>
      <w:pPr>
        <w:ind w:left="638"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296" w:hanging="529"/>
      </w:pPr>
      <w:rPr>
        <w:rFonts w:hint="default"/>
        <w:lang w:val="zh-CN" w:eastAsia="zh-CN" w:bidi="zh-CN"/>
      </w:rPr>
    </w:lvl>
    <w:lvl w:ilvl="2" w:tentative="0">
      <w:start w:val="0"/>
      <w:numFmt w:val="bullet"/>
      <w:lvlText w:val="•"/>
      <w:lvlJc w:val="left"/>
      <w:pPr>
        <w:ind w:left="1953" w:hanging="529"/>
      </w:pPr>
      <w:rPr>
        <w:rFonts w:hint="default"/>
        <w:lang w:val="zh-CN" w:eastAsia="zh-CN" w:bidi="zh-CN"/>
      </w:rPr>
    </w:lvl>
    <w:lvl w:ilvl="3" w:tentative="0">
      <w:start w:val="0"/>
      <w:numFmt w:val="bullet"/>
      <w:lvlText w:val="•"/>
      <w:lvlJc w:val="left"/>
      <w:pPr>
        <w:ind w:left="2610" w:hanging="529"/>
      </w:pPr>
      <w:rPr>
        <w:rFonts w:hint="default"/>
        <w:lang w:val="zh-CN" w:eastAsia="zh-CN" w:bidi="zh-CN"/>
      </w:rPr>
    </w:lvl>
    <w:lvl w:ilvl="4" w:tentative="0">
      <w:start w:val="0"/>
      <w:numFmt w:val="bullet"/>
      <w:lvlText w:val="•"/>
      <w:lvlJc w:val="left"/>
      <w:pPr>
        <w:ind w:left="3267" w:hanging="529"/>
      </w:pPr>
      <w:rPr>
        <w:rFonts w:hint="default"/>
        <w:lang w:val="zh-CN" w:eastAsia="zh-CN" w:bidi="zh-CN"/>
      </w:rPr>
    </w:lvl>
    <w:lvl w:ilvl="5" w:tentative="0">
      <w:start w:val="0"/>
      <w:numFmt w:val="bullet"/>
      <w:lvlText w:val="•"/>
      <w:lvlJc w:val="left"/>
      <w:pPr>
        <w:ind w:left="3924" w:hanging="529"/>
      </w:pPr>
      <w:rPr>
        <w:rFonts w:hint="default"/>
        <w:lang w:val="zh-CN" w:eastAsia="zh-CN" w:bidi="zh-CN"/>
      </w:rPr>
    </w:lvl>
    <w:lvl w:ilvl="6" w:tentative="0">
      <w:start w:val="0"/>
      <w:numFmt w:val="bullet"/>
      <w:lvlText w:val="•"/>
      <w:lvlJc w:val="left"/>
      <w:pPr>
        <w:ind w:left="4581" w:hanging="529"/>
      </w:pPr>
      <w:rPr>
        <w:rFonts w:hint="default"/>
        <w:lang w:val="zh-CN" w:eastAsia="zh-CN" w:bidi="zh-CN"/>
      </w:rPr>
    </w:lvl>
    <w:lvl w:ilvl="7" w:tentative="0">
      <w:start w:val="0"/>
      <w:numFmt w:val="bullet"/>
      <w:lvlText w:val="•"/>
      <w:lvlJc w:val="left"/>
      <w:pPr>
        <w:ind w:left="5238" w:hanging="529"/>
      </w:pPr>
      <w:rPr>
        <w:rFonts w:hint="default"/>
        <w:lang w:val="zh-CN" w:eastAsia="zh-CN" w:bidi="zh-CN"/>
      </w:rPr>
    </w:lvl>
    <w:lvl w:ilvl="8" w:tentative="0">
      <w:start w:val="0"/>
      <w:numFmt w:val="bullet"/>
      <w:lvlText w:val="•"/>
      <w:lvlJc w:val="left"/>
      <w:pPr>
        <w:ind w:left="5895" w:hanging="529"/>
      </w:pPr>
      <w:rPr>
        <w:rFonts w:hint="default"/>
        <w:lang w:val="zh-CN" w:eastAsia="zh-CN" w:bidi="zh-C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NGIzYjc5YTYzODgzYjk0MzMwNjMwZjIyZDc5ZjUifQ=="/>
  </w:docVars>
  <w:rsids>
    <w:rsidRoot w:val="00000000"/>
    <w:rsid w:val="005C5E8E"/>
    <w:rsid w:val="0D6664A6"/>
    <w:rsid w:val="144462FD"/>
    <w:rsid w:val="24C63B18"/>
    <w:rsid w:val="35436667"/>
    <w:rsid w:val="3BCF04F8"/>
    <w:rsid w:val="71652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3">
    <w:name w:val="heading 1"/>
    <w:basedOn w:val="1"/>
    <w:next w:val="1"/>
    <w:qFormat/>
    <w:uiPriority w:val="0"/>
    <w:pPr>
      <w:keepNext/>
      <w:keepLines/>
      <w:spacing w:line="240" w:lineRule="atLeast"/>
      <w:outlineLvl w:val="0"/>
    </w:pPr>
    <w:rPr>
      <w:rFonts w:eastAsia="宋体" w:asciiTheme="minorAscii" w:hAnsiTheme="minorAscii"/>
      <w:b/>
      <w:kern w:val="44"/>
      <w:sz w:val="36"/>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ascii="Calibri" w:hAnsi="Calibri" w:eastAsia="宋体" w:cs="Times New Roman"/>
      <w:b/>
      <w:sz w:val="30"/>
    </w:rPr>
  </w:style>
  <w:style w:type="paragraph" w:styleId="5">
    <w:name w:val="heading 4"/>
    <w:basedOn w:val="1"/>
    <w:next w:val="1"/>
    <w:semiHidden/>
    <w:unhideWhenUsed/>
    <w:qFormat/>
    <w:uiPriority w:val="0"/>
    <w:pPr>
      <w:keepNext/>
      <w:keepLines/>
      <w:spacing w:beforeLines="0" w:beforeAutospacing="0" w:afterLines="0" w:afterAutospacing="0" w:line="360" w:lineRule="auto"/>
      <w:outlineLvl w:val="3"/>
    </w:pPr>
    <w:rPr>
      <w:rFonts w:ascii="宋体" w:hAnsi="宋体" w:eastAsia="宋体" w:cs="Times New Roman"/>
      <w:sz w:val="30"/>
      <w:szCs w:val="21"/>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sz w:val="24"/>
    </w:rPr>
  </w:style>
  <w:style w:type="paragraph" w:styleId="6">
    <w:name w:val="toc 1"/>
    <w:basedOn w:val="1"/>
    <w:next w:val="1"/>
    <w:qFormat/>
    <w:uiPriority w:val="1"/>
    <w:pPr>
      <w:spacing w:before="183"/>
      <w:ind w:left="172"/>
      <w:jc w:val="center"/>
    </w:pPr>
    <w:rPr>
      <w:rFonts w:ascii="黑体" w:hAnsi="黑体" w:eastAsia="黑体" w:cs="黑体"/>
      <w:sz w:val="20"/>
      <w:szCs w:val="20"/>
    </w:rPr>
  </w:style>
  <w:style w:type="paragraph" w:customStyle="1" w:styleId="9">
    <w:name w:val="样式2"/>
    <w:basedOn w:val="1"/>
    <w:link w:val="10"/>
    <w:uiPriority w:val="0"/>
    <w:pPr>
      <w:spacing w:line="360" w:lineRule="auto"/>
      <w:ind w:firstLine="420" w:firstLineChars="200"/>
    </w:pPr>
    <w:rPr>
      <w:rFonts w:hint="eastAsia" w:ascii="Calibri" w:hAnsi="Calibri" w:eastAsia="宋体" w:cs="Times New Roman"/>
      <w:sz w:val="24"/>
    </w:rPr>
  </w:style>
  <w:style w:type="character" w:customStyle="1" w:styleId="10">
    <w:name w:val="样式2 Char"/>
    <w:link w:val="9"/>
    <w:uiPriority w:val="0"/>
    <w:rPr>
      <w:rFonts w:hint="eastAsia" w:ascii="Calibri" w:hAnsi="Calibri" w:eastAsia="宋体" w:cs="Times New Roman"/>
      <w:sz w:val="24"/>
    </w:rPr>
  </w:style>
  <w:style w:type="paragraph" w:customStyle="1" w:styleId="11">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2022-02-28T08:22:00Z</dcterms:created>
  <dc:creator>LENOVO</dc:creator>
  <cp:lastModifiedBy>LENOVO</cp:lastModifiedBy>
  <dcterms:modified xsi:type="dcterms:W3CDTF">2023-02-06T06:32:31Z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31ACF71601DA41B984B3EFB73459E580</vt:lpwstr>
  </property>
</Properties>
</file>