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52"/>
        </w:rPr>
      </w:pPr>
      <w:bookmarkStart w:id="51" w:name="_GoBack"/>
      <w:bookmarkEnd w:id="51"/>
      <w:r>
        <w:rPr>
          <w:rFonts w:hint="eastAsia" w:ascii="宋体" w:hAnsi="宋体" w:eastAsia="宋体" w:cs="宋体"/>
          <w:b/>
          <w:bCs/>
          <w:color w:val="auto"/>
          <w:sz w:val="44"/>
          <w:szCs w:val="52"/>
        </w:rPr>
        <w:t>宁夏公路管理中心中卫分中心2022年（第二批）S308线跃进渠桥等四项桥梁养护工程项目施工</w:t>
      </w:r>
    </w:p>
    <w:p>
      <w:pPr>
        <w:jc w:val="center"/>
        <w:rPr>
          <w:rFonts w:hint="eastAsia" w:ascii="宋体" w:hAnsi="宋体" w:eastAsia="宋体" w:cs="宋体"/>
          <w:b/>
          <w:bCs/>
          <w:color w:val="auto"/>
          <w:sz w:val="44"/>
          <w:szCs w:val="52"/>
        </w:rPr>
      </w:pPr>
      <w:r>
        <w:rPr>
          <w:rFonts w:hint="eastAsia" w:ascii="宋体" w:hAnsi="宋体" w:eastAsia="宋体" w:cs="宋体"/>
          <w:b/>
          <w:bCs/>
          <w:color w:val="auto"/>
          <w:sz w:val="44"/>
          <w:szCs w:val="52"/>
        </w:rPr>
        <w:t>招标关键内容</w:t>
      </w:r>
    </w:p>
    <w:p>
      <w:pPr>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一、投标人资格要求</w:t>
      </w:r>
    </w:p>
    <w:p>
      <w:pPr>
        <w:bidi w:val="0"/>
        <w:spacing w:line="360" w:lineRule="auto"/>
        <w:jc w:val="center"/>
        <w:rPr>
          <w:rFonts w:hint="eastAsia" w:ascii="仿宋" w:hAnsi="仿宋" w:eastAsia="仿宋" w:cs="仿宋"/>
          <w:color w:val="auto"/>
          <w:sz w:val="32"/>
          <w:szCs w:val="32"/>
        </w:rPr>
      </w:pPr>
      <w:bookmarkStart w:id="0" w:name="_Toc14721"/>
      <w:bookmarkStart w:id="1" w:name="_Toc10545"/>
      <w:bookmarkStart w:id="2" w:name="_Toc23078"/>
      <w:bookmarkStart w:id="3" w:name="_Toc22875"/>
      <w:r>
        <w:rPr>
          <w:rFonts w:hint="eastAsia" w:ascii="仿宋" w:hAnsi="仿宋" w:eastAsia="仿宋" w:cs="仿宋"/>
          <w:color w:val="auto"/>
          <w:sz w:val="32"/>
          <w:szCs w:val="32"/>
        </w:rPr>
        <w:t>附录1资格审查条件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资质最低条件</w:t>
      </w:r>
      <w:bookmarkEnd w:id="0"/>
      <w:bookmarkEnd w:id="1"/>
      <w:bookmarkEnd w:id="2"/>
      <w:bookmarkEnd w:id="3"/>
      <w:r>
        <w:rPr>
          <w:rFonts w:hint="eastAsia" w:ascii="仿宋" w:hAnsi="仿宋" w:eastAsia="仿宋" w:cs="仿宋"/>
          <w:color w:val="auto"/>
          <w:sz w:val="32"/>
          <w:szCs w:val="32"/>
          <w:lang w:eastAsia="zh-CN"/>
        </w:rPr>
        <w:t>）</w:t>
      </w:r>
      <w:bookmarkStart w:id="4" w:name="_bookmark13"/>
      <w:bookmarkEnd w:id="4"/>
      <w:bookmarkStart w:id="5" w:name="_Toc24858"/>
      <w:bookmarkStart w:id="6" w:name="_Toc6459"/>
      <w:bookmarkStart w:id="7" w:name="_Toc19031"/>
      <w:bookmarkStart w:id="8" w:name="_Toc29239"/>
      <w:bookmarkStart w:id="9" w:name="_Toc30484"/>
      <w:bookmarkStart w:id="10" w:name="_Toc6923"/>
      <w:bookmarkStart w:id="11" w:name="_Toc22654"/>
      <w:bookmarkStart w:id="12" w:name="_Toc26752"/>
      <w:bookmarkStart w:id="13" w:name="_Toc256000004"/>
      <w:bookmarkStart w:id="14" w:name="_Toc368"/>
      <w:bookmarkStart w:id="15" w:name="_Toc18487"/>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2.具有交通运输主管部门颁发的桥梁养护乙级(含）以上资质（新资质）或公路养护工程二类乙级资质证书（旧资质）且在有效期内；</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3.具备建设行政主管部门颁发的有效安全生产许可证；</w:t>
            </w:r>
          </w:p>
          <w:p>
            <w:pPr>
              <w:bidi w:val="0"/>
              <w:spacing w:line="360" w:lineRule="auto"/>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highlight w:val="none"/>
                <w:lang w:val="en-US" w:eastAsia="zh-CN"/>
              </w:rPr>
              <w:t>4.投标人应在人员、设备、资金等方面具有相应的施工能力。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注：修改补充投标人须知正文第3.5.1项：</w:t>
            </w:r>
          </w:p>
          <w:p>
            <w:pPr>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w:t>
            </w:r>
            <w:r>
              <w:rPr>
                <w:rFonts w:hint="eastAsia" w:ascii="仿宋" w:hAnsi="仿宋" w:eastAsia="仿宋" w:cs="仿宋"/>
                <w:sz w:val="32"/>
                <w:szCs w:val="32"/>
                <w:highlight w:val="none"/>
                <w:lang w:eastAsia="zh-CN"/>
              </w:rPr>
              <w:t>彩色影印件</w:t>
            </w:r>
            <w:r>
              <w:rPr>
                <w:rFonts w:hint="eastAsia" w:ascii="仿宋" w:hAnsi="仿宋" w:eastAsia="仿宋" w:cs="仿宋"/>
                <w:sz w:val="32"/>
                <w:szCs w:val="32"/>
                <w:highlight w:val="none"/>
                <w:lang w:val="en-US" w:eastAsia="zh-CN"/>
              </w:rPr>
              <w:t>。</w:t>
            </w:r>
          </w:p>
          <w:p>
            <w:pPr>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highlight w:val="none"/>
                <w:lang w:val="en-US" w:eastAsia="zh-CN"/>
              </w:rPr>
              <w:t>（5）招标文件中其他地方与此处不一致时，以此处为准。</w:t>
            </w:r>
          </w:p>
        </w:tc>
      </w:tr>
    </w:tbl>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附录2资格审查条件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财务最低要求</w:t>
      </w:r>
      <w:bookmarkEnd w:id="5"/>
      <w:bookmarkEnd w:id="6"/>
      <w:bookmarkEnd w:id="7"/>
      <w:bookmarkEnd w:id="8"/>
      <w:bookmarkEnd w:id="9"/>
      <w:bookmarkEnd w:id="10"/>
      <w:bookmarkEnd w:id="11"/>
      <w:bookmarkEnd w:id="12"/>
      <w:bookmarkEnd w:id="13"/>
      <w:bookmarkEnd w:id="14"/>
      <w:bookmarkEnd w:id="15"/>
      <w:r>
        <w:rPr>
          <w:rFonts w:hint="eastAsia" w:ascii="仿宋" w:hAnsi="仿宋" w:eastAsia="仿宋" w:cs="仿宋"/>
          <w:color w:val="auto"/>
          <w:sz w:val="32"/>
          <w:szCs w:val="32"/>
          <w:lang w:eastAsia="zh-CN"/>
        </w:rPr>
        <w:t>）</w:t>
      </w:r>
      <w:bookmarkStart w:id="16" w:name="_bookmark14"/>
      <w:bookmarkEnd w:id="16"/>
      <w:bookmarkStart w:id="17" w:name="_Toc25025"/>
      <w:bookmarkStart w:id="18" w:name="_Toc256000005"/>
      <w:bookmarkStart w:id="19" w:name="_Toc6262"/>
      <w:bookmarkStart w:id="20" w:name="_Toc16398"/>
      <w:bookmarkStart w:id="21" w:name="_Toc4428"/>
      <w:bookmarkStart w:id="22" w:name="_Toc13107"/>
      <w:bookmarkStart w:id="23" w:name="_Toc19522"/>
      <w:bookmarkStart w:id="24" w:name="_Toc4312"/>
      <w:bookmarkStart w:id="25" w:name="_Toc4092"/>
      <w:bookmarkStart w:id="26" w:name="_Toc25961"/>
      <w:bookmarkStart w:id="27" w:name="_Toc15775"/>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投标人提供近3年（2018年至2020年）经审计的财务报表，且提供的每一年度财务报表中年末的流动资产与流动负债比均不小于1。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注：修改补充投标人须知正文第3.5.2项：</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（1）各标段投标人应在投标文件中附近3年经会计师事务所或审计机构审计的财务会计报表，包括资产负债表、现金流量表、利润表和财务情况说明书的彩色影印件。</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color w:val="auto"/>
                <w:sz w:val="32"/>
                <w:szCs w:val="32"/>
                <w:lang w:val="en-US" w:eastAsia="zh-CN"/>
              </w:rPr>
              <w:t>以上</w:t>
            </w:r>
            <w:r>
              <w:rPr>
                <w:rFonts w:hint="eastAsia" w:ascii="仿宋" w:hAnsi="仿宋" w:eastAsia="仿宋" w:cs="仿宋"/>
                <w:color w:val="auto"/>
                <w:sz w:val="32"/>
                <w:szCs w:val="32"/>
                <w:lang w:eastAsia="zh-CN"/>
              </w:rPr>
              <w:t>要求</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（3）投标人如为集团公司，财务会计报表指合并财务会计报表；</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（4）招标文件中其他地方与此处不一致时，以此处为准。</w:t>
            </w:r>
          </w:p>
        </w:tc>
      </w:tr>
    </w:tbl>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附录3资格审查条件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业绩最低要求</w:t>
      </w:r>
      <w:bookmarkEnd w:id="17"/>
      <w:bookmarkEnd w:id="18"/>
      <w:bookmarkEnd w:id="19"/>
      <w:bookmarkEnd w:id="20"/>
      <w:bookmarkEnd w:id="21"/>
      <w:bookmarkEnd w:id="22"/>
      <w:bookmarkEnd w:id="23"/>
      <w:bookmarkEnd w:id="24"/>
      <w:bookmarkEnd w:id="25"/>
      <w:bookmarkEnd w:id="26"/>
      <w:bookmarkEnd w:id="27"/>
      <w:r>
        <w:rPr>
          <w:rFonts w:hint="eastAsia" w:ascii="仿宋" w:hAnsi="仿宋" w:eastAsia="仿宋" w:cs="仿宋"/>
          <w:color w:val="auto"/>
          <w:sz w:val="32"/>
          <w:szCs w:val="32"/>
          <w:lang w:eastAsia="zh-CN"/>
        </w:rPr>
        <w:t>）</w:t>
      </w:r>
      <w:bookmarkStart w:id="28" w:name="_Toc16296"/>
      <w:bookmarkStart w:id="29" w:name="_Toc12542"/>
      <w:bookmarkStart w:id="30" w:name="_Toc21867"/>
      <w:bookmarkStart w:id="31" w:name="_Toc256000006"/>
      <w:bookmarkStart w:id="32" w:name="_Toc25539"/>
      <w:bookmarkStart w:id="33" w:name="_Toc21781"/>
      <w:bookmarkStart w:id="34" w:name="_Toc15999"/>
      <w:bookmarkStart w:id="35" w:name="_Toc1147"/>
      <w:bookmarkStart w:id="36" w:name="_Toc19357"/>
      <w:bookmarkStart w:id="37" w:name="_Toc5246"/>
      <w:bookmarkStart w:id="38" w:name="_Toc1649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highlight w:val="none"/>
                <w:lang w:val="en-US" w:eastAsia="zh-CN"/>
              </w:rPr>
              <w:t>投标人在近3年（指2019年6月30日至2022年6月30日，以交工日期为准）至少完成过1个公路桥梁加固、改造养护工程或公路桥梁新建、改扩建公路工程施工业绩。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注：修改补充投标人须知正文第3.5.3项：</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投标人填报的业绩必须是在交通运输部“公路建设市场信用信息管理系统”中或省级交通运输主管部门的“公路建设市场信用信息管理系统”中已经登记的并审核通过的业绩，且登记的信息能够反映项目开工时间、工程内容（含公路等级）、桥梁类型及跨径、合同金额、交工日期等内容，投标人应将该业绩所在交通运输主管部门的“公路建设市场信用信息管理系统”的截屏进行打印，并将该截屏附在投标文件中。除网页截图外，投标人无需再提供任何证明材料。若投标人未提供相关项目网页截图，或相关项目网页截图中的信息无法证实投标人满足招标文件规定的资格审查条件（业绩最低要求），则该项目业绩不予认定。</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（3）非交通运输部“公路建设市场信用信息管理系统”中或省级交通运输主管部门的“公路建设市场信用信息管理系统”中已经登记的并审核通过的业绩在资格评审中将不予认可。</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（4）投标人提供的施工业绩应是以投标人名义签署的合同业绩。其母公司及下属专业单位签署合同的业绩、分包业绩、联合体业绩在资格审查中均不予认可。</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（5）投标人提供的业绩达不到附录3业绩最低要求的，其资格审查不予通过。</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（6）《宁夏回族自治区公路建设与养护市场信用信息管理系统》已正常开启，由于端口号变化，本系统的登录地址变更为：http://222.75.71.73:8081/CISS/main/highway</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"http://222.75.71.73:8081/CISS/main/highway，如投标人需要，请正确登陆。"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，如投标人需要，请正确登陆。</w:t>
            </w:r>
            <w:r>
              <w:rPr>
                <w:rFonts w:hint="eastAsia" w:ascii="仿宋" w:hAnsi="仿宋" w:eastAsia="仿宋" w:cs="仿宋"/>
                <w:sz w:val="32"/>
                <w:szCs w:val="32"/>
                <w:highlight w:val="none"/>
                <w:lang w:val="en-US" w:eastAsia="zh-CN"/>
              </w:rPr>
              <w:fldChar w:fldCharType="end"/>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highlight w:val="none"/>
                <w:lang w:val="en-US" w:eastAsia="zh-CN"/>
              </w:rPr>
              <w:t>（8）招标文件中其他地方与此处不一致时，以此处为准。</w:t>
            </w:r>
          </w:p>
        </w:tc>
      </w:tr>
    </w:tbl>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附录4资格审查条件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信誉最低要求</w:t>
      </w:r>
      <w:bookmarkEnd w:id="28"/>
      <w:bookmarkEnd w:id="29"/>
      <w:bookmarkEnd w:id="30"/>
      <w:bookmarkEnd w:id="31"/>
      <w:bookmarkEnd w:id="32"/>
      <w:bookmarkEnd w:id="33"/>
      <w:bookmarkEnd w:id="34"/>
      <w:r>
        <w:rPr>
          <w:rFonts w:hint="eastAsia" w:ascii="仿宋" w:hAnsi="仿宋" w:eastAsia="仿宋" w:cs="仿宋"/>
          <w:color w:val="auto"/>
          <w:sz w:val="32"/>
          <w:szCs w:val="32"/>
        </w:rPr>
        <w:t>）</w:t>
      </w:r>
      <w:bookmarkEnd w:id="35"/>
      <w:bookmarkEnd w:id="36"/>
      <w:bookmarkEnd w:id="37"/>
      <w:bookmarkEnd w:id="38"/>
      <w:bookmarkStart w:id="39" w:name="_bookmark16"/>
      <w:bookmarkEnd w:id="39"/>
      <w:bookmarkStart w:id="40" w:name="_Toc31938"/>
      <w:bookmarkStart w:id="41" w:name="_Toc256000007"/>
      <w:bookmarkStart w:id="42" w:name="_Toc871"/>
      <w:bookmarkStart w:id="43" w:name="_Toc19066"/>
      <w:bookmarkStart w:id="44" w:name="_Toc14140"/>
      <w:bookmarkStart w:id="45" w:name="_Toc31600"/>
      <w:bookmarkStart w:id="46" w:name="_Toc26870"/>
      <w:bookmarkStart w:id="47" w:name="_Toc22577"/>
      <w:bookmarkStart w:id="48" w:name="_Toc113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未被交通运输部或宁夏回族自治区交通运输厅取消在宁夏回族自治区投标资格且处于有效期内（以“全国公路建设市场信用信息管理系统、宁夏回族自治区公路建设与养护市场信用信息管理系统”中查询结果为准）</w:t>
            </w:r>
            <w:r>
              <w:rPr>
                <w:rFonts w:hint="eastAsia" w:ascii="仿宋" w:hAnsi="仿宋" w:eastAsia="仿宋" w:cs="仿宋"/>
                <w:color w:val="auto"/>
                <w:sz w:val="32"/>
                <w:szCs w:val="32"/>
              </w:rPr>
              <w:t>；</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未被责令停业，暂扣或吊销执照，或吊销资质证书，或吊销安全生产许可证；</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未进入清算程序，或被宣告破产，或其他丧失履约能力的情形；</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在国家企业信用信息公示系统（http：//www.gsxt.gov.cn/）中未被列入严重违法失信企业名单；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网站查询</w:t>
            </w:r>
            <w:r>
              <w:rPr>
                <w:rFonts w:hint="eastAsia" w:ascii="仿宋" w:hAnsi="仿宋" w:eastAsia="仿宋" w:cs="仿宋"/>
                <w:color w:val="auto"/>
                <w:sz w:val="32"/>
                <w:szCs w:val="32"/>
              </w:rPr>
              <w:t>截图</w:t>
            </w:r>
            <w:r>
              <w:rPr>
                <w:rFonts w:hint="eastAsia" w:ascii="仿宋" w:hAnsi="仿宋" w:eastAsia="仿宋" w:cs="仿宋"/>
                <w:color w:val="auto"/>
                <w:sz w:val="32"/>
                <w:szCs w:val="32"/>
                <w:lang w:eastAsia="zh-CN"/>
              </w:rPr>
              <w:t>）</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在“信用中国”（http：//www.creditchina.gov.cn）、“信用宁夏”（http：//credit.nx.gov.cn/）网站中未被列入失信被执行人、企业经营异常名录、重大税收违法案件当事人名单；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网站查询</w:t>
            </w:r>
            <w:r>
              <w:rPr>
                <w:rFonts w:hint="eastAsia" w:ascii="仿宋" w:hAnsi="仿宋" w:eastAsia="仿宋" w:cs="仿宋"/>
                <w:color w:val="auto"/>
                <w:sz w:val="32"/>
                <w:szCs w:val="32"/>
              </w:rPr>
              <w:t>截图</w:t>
            </w:r>
            <w:r>
              <w:rPr>
                <w:rFonts w:hint="eastAsia" w:ascii="仿宋" w:hAnsi="仿宋" w:eastAsia="仿宋" w:cs="仿宋"/>
                <w:color w:val="auto"/>
                <w:sz w:val="32"/>
                <w:szCs w:val="32"/>
                <w:lang w:eastAsia="zh-CN"/>
              </w:rPr>
              <w:t>）</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在“中国执行信息公开网”</w:t>
            </w:r>
            <w:r>
              <w:rPr>
                <w:rFonts w:hint="eastAsia" w:ascii="仿宋" w:hAnsi="仿宋" w:eastAsia="仿宋" w:cs="仿宋"/>
                <w:color w:val="auto"/>
                <w:sz w:val="32"/>
                <w:szCs w:val="32"/>
                <w:lang w:eastAsia="zh-CN"/>
              </w:rPr>
              <w:t>（http://zxgk.court.gov.cn/）</w:t>
            </w:r>
            <w:r>
              <w:rPr>
                <w:rFonts w:hint="eastAsia" w:ascii="仿宋" w:hAnsi="仿宋" w:eastAsia="仿宋" w:cs="仿宋"/>
                <w:color w:val="auto"/>
                <w:sz w:val="32"/>
                <w:szCs w:val="32"/>
              </w:rPr>
              <w:t>中未被列入失信被执行人名单；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网站查询</w:t>
            </w:r>
            <w:r>
              <w:rPr>
                <w:rFonts w:hint="eastAsia" w:ascii="仿宋" w:hAnsi="仿宋" w:eastAsia="仿宋" w:cs="仿宋"/>
                <w:color w:val="auto"/>
                <w:sz w:val="32"/>
                <w:szCs w:val="32"/>
              </w:rPr>
              <w:t>截图</w:t>
            </w:r>
            <w:r>
              <w:rPr>
                <w:rFonts w:hint="eastAsia" w:ascii="仿宋" w:hAnsi="仿宋" w:eastAsia="仿宋" w:cs="仿宋"/>
                <w:color w:val="auto"/>
                <w:sz w:val="32"/>
                <w:szCs w:val="32"/>
                <w:lang w:eastAsia="zh-CN"/>
              </w:rPr>
              <w:t>）</w:t>
            </w:r>
          </w:p>
          <w:p>
            <w:pPr>
              <w:bidi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投标人及其法定代表人、拟委任的项目经理自</w:t>
            </w:r>
            <w:r>
              <w:rPr>
                <w:rFonts w:hint="eastAsia" w:ascii="仿宋" w:hAnsi="仿宋" w:eastAsia="仿宋" w:cs="仿宋"/>
                <w:color w:val="auto"/>
                <w:sz w:val="32"/>
                <w:szCs w:val="32"/>
                <w:lang w:eastAsia="zh-CN"/>
              </w:rPr>
              <w:t>2019年</w:t>
            </w:r>
            <w:r>
              <w:rPr>
                <w:rFonts w:hint="eastAsia" w:ascii="仿宋" w:hAnsi="仿宋" w:eastAsia="仿宋" w:cs="仿宋"/>
                <w:color w:val="auto"/>
                <w:sz w:val="32"/>
                <w:szCs w:val="32"/>
                <w:lang w:val="en-US" w:eastAsia="zh-CN"/>
              </w:rPr>
              <w:t>6月30日</w:t>
            </w:r>
            <w:r>
              <w:rPr>
                <w:rFonts w:hint="eastAsia" w:ascii="仿宋" w:hAnsi="仿宋" w:eastAsia="仿宋" w:cs="仿宋"/>
                <w:color w:val="auto"/>
                <w:sz w:val="32"/>
                <w:szCs w:val="32"/>
              </w:rPr>
              <w:t>以来无行贿犯罪行为；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提供承诺函</w:t>
            </w:r>
            <w:r>
              <w:rPr>
                <w:rFonts w:hint="eastAsia" w:ascii="仿宋" w:hAnsi="仿宋" w:eastAsia="仿宋" w:cs="仿宋"/>
                <w:color w:val="auto"/>
                <w:sz w:val="32"/>
                <w:szCs w:val="32"/>
                <w:lang w:eastAsia="zh-CN"/>
              </w:rPr>
              <w:t>）</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提供</w:t>
            </w:r>
            <w:r>
              <w:rPr>
                <w:rFonts w:hint="eastAsia" w:ascii="仿宋" w:hAnsi="仿宋" w:eastAsia="仿宋" w:cs="仿宋"/>
                <w:color w:val="auto"/>
                <w:sz w:val="32"/>
                <w:szCs w:val="32"/>
                <w:lang w:val="en-US" w:eastAsia="zh-CN"/>
              </w:rPr>
              <w:t>网站查询</w:t>
            </w:r>
            <w:r>
              <w:rPr>
                <w:rFonts w:hint="eastAsia" w:ascii="仿宋" w:hAnsi="仿宋" w:eastAsia="仿宋" w:cs="仿宋"/>
                <w:color w:val="auto"/>
                <w:sz w:val="32"/>
                <w:szCs w:val="32"/>
              </w:rPr>
              <w:t>截图，如有提供证明书、如无则不提供证明书）</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不存在法律法规或投标人须知前附表规定的其他不合格情形。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注：1.投标人提供“投标人信誉情况表”时，按照以上内容及投标文件格式中的要求提供证明资料。</w:t>
            </w:r>
          </w:p>
          <w:p>
            <w:pPr>
              <w:bidi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2.招标文件中其他地方与此处不一致时，以此处为准。</w:t>
            </w:r>
          </w:p>
        </w:tc>
      </w:tr>
    </w:tbl>
    <w:p>
      <w:pPr>
        <w:bidi w:val="0"/>
        <w:spacing w:line="360" w:lineRule="auto"/>
        <w:jc w:val="center"/>
        <w:rPr>
          <w:rFonts w:hint="eastAsia" w:ascii="仿宋" w:hAnsi="仿宋" w:eastAsia="仿宋" w:cs="仿宋"/>
          <w:color w:val="auto"/>
          <w:sz w:val="32"/>
          <w:szCs w:val="32"/>
        </w:rPr>
      </w:pPr>
      <w:bookmarkStart w:id="49" w:name="_Toc1005"/>
      <w:bookmarkStart w:id="50" w:name="_Toc7653"/>
      <w:r>
        <w:rPr>
          <w:rFonts w:hint="eastAsia" w:ascii="仿宋" w:hAnsi="仿宋" w:eastAsia="仿宋" w:cs="仿宋"/>
          <w:color w:val="auto"/>
          <w:sz w:val="32"/>
          <w:szCs w:val="32"/>
        </w:rPr>
        <w:t>附录5资格审查条件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项目经理和项目总工最低要求</w:t>
      </w:r>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cs="仿宋"/>
          <w:color w:val="auto"/>
          <w:sz w:val="32"/>
          <w:szCs w:val="32"/>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17"/>
        <w:gridCol w:w="476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人员</w:t>
            </w:r>
          </w:p>
        </w:tc>
        <w:tc>
          <w:tcPr>
            <w:tcW w:w="1217"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数量</w:t>
            </w:r>
          </w:p>
        </w:tc>
        <w:tc>
          <w:tcPr>
            <w:tcW w:w="4764"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资格要求</w:t>
            </w:r>
          </w:p>
        </w:tc>
        <w:tc>
          <w:tcPr>
            <w:tcW w:w="2393"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sz w:val="32"/>
                <w:szCs w:val="32"/>
                <w:highlight w:val="none"/>
              </w:rPr>
              <w:t>经理</w:t>
            </w:r>
          </w:p>
        </w:tc>
        <w:tc>
          <w:tcPr>
            <w:tcW w:w="1217"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sz w:val="32"/>
                <w:szCs w:val="32"/>
                <w:highlight w:val="none"/>
              </w:rPr>
              <w:t>1</w:t>
            </w:r>
          </w:p>
        </w:tc>
        <w:tc>
          <w:tcPr>
            <w:tcW w:w="4764" w:type="dxa"/>
            <w:noWrap w:val="0"/>
            <w:vAlign w:val="center"/>
          </w:tcPr>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具有公路工程相关专业中级及以上职称，并具有住房和城乡建设部颁发的公路工程专业二级及以上注册建造师证，持有交通运输主管部门或建设主管部门颁发的B类安全生产考核证书。近3年内（指2019年6月30日至2022年6月30日，以交工日期为准）担任过公路桥梁加固、改造养护工程或公路桥梁新建、改扩建公路工程施工的项目经理（项目负责人）职务，业绩数量至少为1个（如为项目副经理职务业绩数量至少为2个）。</w:t>
            </w:r>
          </w:p>
        </w:tc>
        <w:tc>
          <w:tcPr>
            <w:tcW w:w="2393" w:type="dxa"/>
            <w:vMerge w:val="restart"/>
            <w:noWrap w:val="0"/>
            <w:vAlign w:val="center"/>
          </w:tcPr>
          <w:p>
            <w:pPr>
              <w:bidi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color w:val="auto"/>
                <w:sz w:val="32"/>
                <w:szCs w:val="32"/>
                <w:lang w:val="en-US" w:eastAsia="zh-CN"/>
              </w:rPr>
              <w:t>原件的</w:t>
            </w:r>
            <w:r>
              <w:rPr>
                <w:rFonts w:hint="eastAsia" w:ascii="仿宋" w:hAnsi="仿宋" w:eastAsia="仿宋" w:cs="仿宋"/>
                <w:color w:val="auto"/>
                <w:sz w:val="32"/>
                <w:szCs w:val="32"/>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sz w:val="32"/>
                <w:szCs w:val="32"/>
                <w:highlight w:val="none"/>
              </w:rPr>
              <w:t>总工</w:t>
            </w:r>
          </w:p>
        </w:tc>
        <w:tc>
          <w:tcPr>
            <w:tcW w:w="1217" w:type="dxa"/>
            <w:noWrap w:val="0"/>
            <w:vAlign w:val="center"/>
          </w:tcPr>
          <w:p>
            <w:pPr>
              <w:bidi w:val="0"/>
              <w:spacing w:line="360" w:lineRule="auto"/>
              <w:jc w:val="center"/>
              <w:rPr>
                <w:rFonts w:hint="eastAsia" w:ascii="仿宋" w:hAnsi="仿宋" w:eastAsia="仿宋" w:cs="仿宋"/>
                <w:color w:val="auto"/>
                <w:sz w:val="32"/>
                <w:szCs w:val="32"/>
              </w:rPr>
            </w:pPr>
            <w:r>
              <w:rPr>
                <w:rFonts w:hint="eastAsia" w:ascii="仿宋" w:hAnsi="仿宋" w:eastAsia="仿宋" w:cs="仿宋"/>
                <w:sz w:val="32"/>
                <w:szCs w:val="32"/>
                <w:highlight w:val="none"/>
              </w:rPr>
              <w:t>1</w:t>
            </w:r>
          </w:p>
        </w:tc>
        <w:tc>
          <w:tcPr>
            <w:tcW w:w="4764" w:type="dxa"/>
            <w:noWrap w:val="0"/>
            <w:vAlign w:val="center"/>
          </w:tcPr>
          <w:p>
            <w:pPr>
              <w:bidi w:val="0"/>
              <w:spacing w:line="360" w:lineRule="auto"/>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具有公路工程相关专业高级职称。近3年内（指2019年6月30日至2022年6月30日，以交工日期为准）担任过公路桥梁加固、改造养护工程或公路桥梁新建、改扩建公路工程施工的项目总工（技术负责人）职务，业绩数量至少为1个（如为项目副总工职务业绩数量至少为2个）。</w:t>
            </w:r>
          </w:p>
        </w:tc>
        <w:tc>
          <w:tcPr>
            <w:tcW w:w="2393" w:type="dxa"/>
            <w:vMerge w:val="continue"/>
            <w:noWrap w:val="0"/>
            <w:vAlign w:val="top"/>
          </w:tcPr>
          <w:p>
            <w:pPr>
              <w:bidi w:val="0"/>
              <w:spacing w:line="360" w:lineRule="auto"/>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noWrap w:val="0"/>
            <w:vAlign w:val="center"/>
          </w:tcPr>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注：修改补充投标人须知正文第3.5.5项：</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（1）投标人应按资格审查资料表（六）拟委任的项目经理和项目总工资历表的格式要求分别填写项目经理和项目总工的资历，还应后附相关资格证明材料的彩色影印件。</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2022年1月至今任意连续3个月社保缴费证明或其他能够证明参加社保的有效证明材料、人员相关业绩的网页截图、在岗撤离承诺书（如需、格式自拟）。</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（3）项目总工须提供的资格证明材料：身份证、职称资格证书、安全生产考核合格证书、安全生产考核合格证书在政府相关部门网站上公开信息的网页截图、投标人所属社保机构出具的2022年1月 至今任意连续3个月社保缴费证明或其他能够证明参加社保的有效证明材料、相关业绩的网页截图、在岗撤离承诺书（如需、格式自拟）。</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5）人员相关业绩的网页截图要求：人员业绩应附在交通运输部或省级交通运输主管部门“公路建设市场信用信息管理系统”中已经登记并审核通过的且能够证明项目经理和项目总工具有相关业绩的网页截图。除网页截图外，投标人无须再提供任何业绩证明材料。如投标人未提供相关业绩网页截图或相关业绩网页截图中的信息无法证实投标人满足项目经理和项目总工最低要求，则该业绩不予认定。非交通运输部或省级交通运输主管部门的“公路建设市场信用信息管理系统”中已经登记的并审核通过的业绩在资格评审中将不予认可。</w:t>
            </w:r>
            <w:r>
              <w:rPr>
                <w:rFonts w:hint="eastAsia" w:ascii="仿宋" w:hAnsi="仿宋" w:eastAsia="仿宋" w:cs="仿宋"/>
                <w:color w:val="auto"/>
                <w:sz w:val="32"/>
                <w:szCs w:val="32"/>
                <w:lang w:val="en-US" w:eastAsia="zh-CN"/>
              </w:rPr>
              <w:t>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w:t>
            </w:r>
          </w:p>
          <w:p>
            <w:pPr>
              <w:bidi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（8）招标文件中其他地方与此处不一致时，以此处为准。</w:t>
            </w:r>
          </w:p>
        </w:tc>
      </w:tr>
    </w:tbl>
    <w:p>
      <w:pPr>
        <w:bidi w:val="0"/>
        <w:rPr>
          <w:rFonts w:hint="eastAsia" w:ascii="仿宋" w:hAnsi="仿宋" w:eastAsia="仿宋" w:cs="仿宋"/>
          <w:color w:val="auto"/>
          <w:sz w:val="32"/>
          <w:szCs w:val="40"/>
        </w:rPr>
      </w:pPr>
      <w:r>
        <w:rPr>
          <w:rFonts w:hint="eastAsia" w:ascii="仿宋" w:hAnsi="仿宋" w:eastAsia="仿宋" w:cs="仿宋"/>
          <w:color w:val="auto"/>
          <w:sz w:val="32"/>
          <w:szCs w:val="40"/>
        </w:rPr>
        <w:t>二、评标办法全文</w:t>
      </w:r>
    </w:p>
    <w:p>
      <w:pPr>
        <w:bidi w:val="0"/>
        <w:jc w:val="center"/>
        <w:rPr>
          <w:rFonts w:hint="eastAsia" w:ascii="仿宋" w:hAnsi="仿宋" w:eastAsia="仿宋" w:cs="仿宋"/>
          <w:b/>
          <w:color w:val="auto"/>
          <w:szCs w:val="32"/>
          <w:highlight w:val="none"/>
        </w:rPr>
      </w:pPr>
      <w:r>
        <w:rPr>
          <w:rFonts w:hint="eastAsia" w:ascii="仿宋" w:hAnsi="仿宋" w:eastAsia="仿宋" w:cs="仿宋"/>
          <w:color w:val="auto"/>
          <w:sz w:val="32"/>
          <w:szCs w:val="40"/>
        </w:rPr>
        <w:t>评标办法（双信封合理低价法）</w:t>
      </w:r>
    </w:p>
    <w:tbl>
      <w:tblPr>
        <w:tblStyle w:val="9"/>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64"/>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条款号</w:t>
            </w:r>
          </w:p>
        </w:tc>
        <w:tc>
          <w:tcPr>
            <w:tcW w:w="7290"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w:t>
            </w:r>
          </w:p>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方法</w:t>
            </w:r>
          </w:p>
        </w:tc>
        <w:tc>
          <w:tcPr>
            <w:tcW w:w="7290"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 xml:space="preserve">日发布）文件中（公路养护工程施工企业）的信用评价等级为准； </w:t>
            </w:r>
          </w:p>
          <w:p>
            <w:pPr>
              <w:numPr>
                <w:ilvl w:val="0"/>
                <w:numId w:val="0"/>
              </w:numPr>
              <w:bidi w:val="0"/>
              <w:spacing w:line="360" w:lineRule="auto"/>
              <w:ind w:left="0" w:leftChars="0" w:firstLine="0" w:firstLine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2.1.1</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形式评审与响应性评审标准</w:t>
            </w:r>
          </w:p>
        </w:tc>
        <w:tc>
          <w:tcPr>
            <w:tcW w:w="7290" w:type="dxa"/>
            <w:noWrap w:val="0"/>
            <w:vAlign w:val="center"/>
          </w:tcPr>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投标文件上法定代表人或其授权代理人的签字、投标人的单位章盖章齐全，符合招标文件规定</w:t>
            </w:r>
            <w:r>
              <w:rPr>
                <w:rFonts w:hint="eastAsia" w:ascii="仿宋" w:hAnsi="仿宋" w:eastAsia="仿宋" w:cs="仿宋"/>
                <w:color w:val="auto"/>
                <w:sz w:val="32"/>
                <w:szCs w:val="32"/>
                <w:highlight w:val="none"/>
                <w:lang w:eastAsia="zh-CN"/>
              </w:rPr>
              <w:t>，符合投标人须知3.7.3条要求（除授权书、法人身份证明、联合体协议书（如有）需亲笔签名）。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投标人按照招标文件的规定提供了投标保证金：</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a.投标保证金金额符合招标文件规定的金额，且投标保证金有效期不少于投标有效期；</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b.若投标保证金采用现金或支票形式提交，投标人应在递交投标文件截止时间之前，将投标保证金由投标人的基本账户转入招标人指定账户；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c.若投标保证金采用保函形式提交，保函的格式、开具保函的银行、保函的有效期均满足招标文件要求，且递交投标文件截止时间之前向招标人单独密封提交了保函原件。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投标人法定代表人授权代理人签署投标文件的，需提交授权委托书，且授权人和被授权人均在授权委托书上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投标人法定代表人亲自签署投标文件的，提供了法定代表人身份证明，且法定代表人在法定代表人身份证明上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）围标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）评标委员会要对投标人的财务能力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管理水平和以往施工业绩及履约信誉进行详细评审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）按评标委员会要求澄清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已标价工程量清单说明文字与招标文件规定一致，未进行实质性修改和删减；</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（2）投标文件格式中（包括但不限于投标函、已标价工程量清单等）明确要求投标人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法定代表人或其委托代理人的签字，明确要求投标人加盖单位章的，符合招标文件规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定，符合投标人须知3.7.3条要求</w:t>
            </w:r>
            <w:r>
              <w:rPr>
                <w:rFonts w:hint="eastAsia" w:ascii="仿宋" w:hAnsi="仿宋" w:eastAsia="仿宋" w:cs="仿宋"/>
                <w:color w:val="auto"/>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2.1.2</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资格评审标准</w:t>
            </w:r>
          </w:p>
        </w:tc>
        <w:tc>
          <w:tcPr>
            <w:tcW w:w="7290"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投标人具备有效的营业执照、组织机构代码证、税务登记证（或三证合一的营业执照）、资质证书、安全生产许可证、基本账户开户许可证等招标文件要求提交的证照，且所有证照在正本中均为彩色影印件；</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投标人的资质等级符合招标文件投标人须知附录1（包括小注）规定；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投标人的财务状况符合招标文件投标人须知附录2（包括小注）规定；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投标人的业绩符合招标文件投标人须知附录3（包括小注）规定；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投标人的信誉符合招标文件投标人须知附录4（包括小注）规定；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投标人的项目经理和项目总工符合招标文件附录5（包括小注）规定；</w:t>
            </w:r>
          </w:p>
          <w:p>
            <w:pPr>
              <w:numPr>
                <w:ilvl w:val="0"/>
                <w:numId w:val="0"/>
              </w:numPr>
              <w:bidi w:val="0"/>
              <w:spacing w:line="360" w:lineRule="auto"/>
              <w:ind w:left="0" w:lef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2.2.1</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分值构成总分100分</w:t>
            </w:r>
          </w:p>
        </w:tc>
        <w:tc>
          <w:tcPr>
            <w:tcW w:w="7290"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2.2.2</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w:t>
            </w:r>
          </w:p>
        </w:tc>
        <w:tc>
          <w:tcPr>
            <w:tcW w:w="7290" w:type="dxa"/>
            <w:noWrap w:val="0"/>
            <w:vAlign w:val="center"/>
          </w:tcPr>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一、计算公式字母含义</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1.P为评标基准价；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2.Di为评标价：Di＝投标函文字报价；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4.K为评标基准价系数：K值取值范围为0.980、0.985、0.990、0.995、1.000共5个数值，在开标现场由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随机抽取一个K值，并当场公布；</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5.n1为去掉最高有效评标价的数量，n2为去掉最低有效评标价的数量。</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n1、n2的取值方法：</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当N＜6时，n1、n2均取0；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当6≤N＜10，n1、n2均取1；</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当N≥10时，n1在取值区间1～M-1中现场由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随机抽取，n2在取值区间1～M+1中现场由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随机抽取，M=N/4，M去尾取整数。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二、评标基准价计算方法</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在开标现场，招标人将当场计算并宣布评标基准价。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（1）评标价的确定：评标价=投标函文字报价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（2）评标基准价的确定：共有三种不同的评标基准价计算方法，</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在开标现场随机抽取以下其中一种方法作为当次招标评标基准价的计算方法，按已抽取的评标基准价计算方法由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抽取相关计算参数。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评标基准价方法1（平均值随机系数法）：有效评标价去掉n1个最高评标价和n2个最低评标价后取平均值，乘以评标基准价系数K作为评标基准价Ｐ。</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评标基准价方法2（价差随机系数法）：先去掉n1个最高有效评标价和n2个最低有效评标价，用剩余有效评标价中最大评标价与最小评标价之差与调整系数乘积加最小评标价作为评标基准价。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P＝（Dmax-Dmin）×Ks+Dmin</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式中：Dmax为去掉n1个最高有效评标价后的最大评标价数值。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Dmin为去掉n2个最低有效评标价后的最小评标价数值。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Ks为随机调整系数：Ks＝（X+Y/10）/10，其中X、Y为开标现场随机抽取的两个系数，各设5个数值，分别为2、3、4、5、6。</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评标基准价方法3（随机权重法）：先去掉n1个最高有效评标价和n2个最低有效评标价后的平均值，用最高投标限价与平均值的权值之和作为评标基准价。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P=D平均×K1×Q1+B上限×K2×Q2</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式中：D平均为去掉n1个最高评标价和n2个最低评标价后的平均值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B上限为投标最高限价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K1、K2、Q1、Q2权重系数：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Q2=1-Q1，Q1取值范围30%～70%；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K1的取值范围为：95%～100%；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K2的取值范围为(85%+E%)～(90%+E%)，其中E为0至5的自然数，由招标人在编制招标文件时结合项目实际自行选取E值后明确K2的取值范围。</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明确E=3，明确K2的取值范围；</w:t>
            </w:r>
            <w:r>
              <w:rPr>
                <w:rFonts w:hint="eastAsia" w:ascii="仿宋" w:hAnsi="仿宋" w:eastAsia="仿宋" w:cs="仿宋"/>
                <w:color w:val="auto"/>
                <w:sz w:val="32"/>
                <w:szCs w:val="32"/>
                <w:highlight w:val="none"/>
              </w:rPr>
              <w:t>Q1取值的步长现场从0.1%、0.2%、0.3%、0.4%、0.5%、0.6%、0.7%、0.8%、0.9%、1.0%共10个数值中随机抽取；K1和K2取值的步长现场从0.1%、0.2%、0.3%、0.4%、0.5%共5个数值中随机抽取。</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Q1值、K1值、K2值的抽取，如项目分组招标，对应系数按照组进行抽取；如未分组，对应系数按照标段进行抽取。</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2.2.3</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评标价的偏差率计算公式</w:t>
            </w:r>
          </w:p>
        </w:tc>
        <w:tc>
          <w:tcPr>
            <w:tcW w:w="7290"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偏差率=100%×（投标人评标价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评标基准价）/评标基准价</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偏差率保留</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2.2.4</w:t>
            </w:r>
          </w:p>
        </w:tc>
        <w:tc>
          <w:tcPr>
            <w:tcW w:w="1364" w:type="dxa"/>
            <w:noWrap w:val="0"/>
            <w:vAlign w:val="center"/>
          </w:tcPr>
          <w:p>
            <w:pPr>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w:t>
            </w:r>
          </w:p>
        </w:tc>
        <w:tc>
          <w:tcPr>
            <w:tcW w:w="7290"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评标价得分计算公式示例:</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(1)如果投标人的评标价&gt;评标基准价,则评标价得分=100-偏差率×100×E1；</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(2)如果投标的人评标价≤评标基准价,则评标价得分=100+偏差率×100×E2；</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其中:E1是评标价每高于评标基准价1个百分点的扣分值；E2是评标价每低于评标基准价1个百分点的扣分值；招标人可依据招标项目具体特点和实际需要设置E1、E2，但E1大于E2。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8654" w:type="dxa"/>
            <w:gridSpan w:val="2"/>
            <w:noWrap w:val="0"/>
            <w:vAlign w:val="center"/>
          </w:tcPr>
          <w:p>
            <w:pPr>
              <w:numPr>
                <w:ilvl w:val="0"/>
                <w:numId w:val="0"/>
              </w:num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2.第二个信封的开标在监督部门的监督下进行，未通过第一个信封初步评审投标人的第二个信封电子文件不予读取。</w:t>
            </w:r>
          </w:p>
          <w:p>
            <w:pPr>
              <w:numPr>
                <w:ilvl w:val="0"/>
                <w:numId w:val="0"/>
              </w:num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3.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4.评标委员会将按照本条第1条中确定的先后排序依次推荐第一、第二、第三中标候选人。</w:t>
            </w:r>
          </w:p>
          <w:p>
            <w:pPr>
              <w:numPr>
                <w:ilvl w:val="0"/>
                <w:numId w:val="0"/>
              </w:num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5.在评审过程中评标委员会认为投标人有围标串标、哄抬或压低标价谋取中标的嫌疑，评标委员会有权作出否决投标或重新招标。</w:t>
            </w:r>
          </w:p>
          <w:p>
            <w:pPr>
              <w:numPr>
                <w:ilvl w:val="0"/>
                <w:numId w:val="0"/>
              </w:numPr>
              <w:spacing w:line="360" w:lineRule="auto"/>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rPr>
              <w:t>6.当两家及以上投标人在本标段中的投标报价相等，且工程量清单子目单价也相同时，视为串标，其投标均被否决。</w:t>
            </w:r>
          </w:p>
        </w:tc>
      </w:tr>
    </w:tbl>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注：以上内容如与招标文件不一致，以招标文件为准。</w:t>
      </w:r>
    </w:p>
    <w:p>
      <w:pPr>
        <w:bidi w:val="0"/>
        <w:spacing w:line="360" w:lineRule="auto"/>
        <w:rPr>
          <w:rFonts w:hint="eastAsia" w:ascii="仿宋" w:hAnsi="仿宋" w:eastAsia="仿宋" w:cs="仿宋"/>
          <w:color w:val="auto"/>
          <w:sz w:val="32"/>
          <w:szCs w:val="40"/>
        </w:rPr>
      </w:pPr>
      <w:r>
        <w:rPr>
          <w:rFonts w:hint="eastAsia" w:ascii="仿宋" w:hAnsi="仿宋" w:eastAsia="仿宋" w:cs="仿宋"/>
          <w:color w:val="auto"/>
          <w:sz w:val="32"/>
          <w:szCs w:val="40"/>
        </w:rPr>
        <w:t>三、联系方式</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招标人：宁夏公路管理中心中卫分中心</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地址：中卫市沙坡头区中央大道与应理南街交汇处</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邮政编码：755000</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联系人：李先生</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电话：15379683330</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TdmNjM1ZTBmOWZhMGNkMmQwYTIzOGFlNjc4YzYifQ=="/>
  </w:docVars>
  <w:rsids>
    <w:rsidRoot w:val="0B96175E"/>
    <w:rsid w:val="09760C58"/>
    <w:rsid w:val="0B96175E"/>
    <w:rsid w:val="10134C85"/>
    <w:rsid w:val="1D69067E"/>
    <w:rsid w:val="3C065C4A"/>
    <w:rsid w:val="4EA9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next w:val="1"/>
    <w:qFormat/>
    <w:uiPriority w:val="1"/>
    <w:pPr>
      <w:ind w:left="836"/>
    </w:pPr>
    <w:rPr>
      <w:rFonts w:ascii="宋体" w:hAnsi="宋体" w:eastAsia="宋体" w:cs="宋体"/>
      <w:sz w:val="21"/>
      <w:szCs w:val="21"/>
      <w:lang w:val="zh-CN" w:eastAsia="zh-CN" w:bidi="zh-CN"/>
    </w:rPr>
  </w:style>
  <w:style w:type="paragraph" w:styleId="6">
    <w:name w:val="Body Text Indent"/>
    <w:basedOn w:val="1"/>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8220</Words>
  <Characters>8788</Characters>
  <Lines>0</Lines>
  <Paragraphs>0</Paragraphs>
  <TotalTime>1</TotalTime>
  <ScaleCrop>false</ScaleCrop>
  <LinksUpToDate>false</LinksUpToDate>
  <CharactersWithSpaces>8793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Administrator</cp:lastModifiedBy>
  <dcterms:modified xsi:type="dcterms:W3CDTF">2022-07-04T00:36:48Z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75DE8764A7774160BFE3763B6A29851F</vt:lpwstr>
  </property>
</Properties>
</file>