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287" w:beforeLines="100" w:after="287" w:afterLines="100" w:line="360" w:lineRule="auto"/>
        <w:jc w:val="center"/>
        <w:textAlignment w:val="auto"/>
        <w:rPr>
          <w:rFonts w:hint="eastAsia" w:ascii="宋体" w:hAnsi="宋体" w:cs="宋体"/>
          <w:b/>
          <w:bCs/>
          <w:color w:val="auto"/>
          <w:spacing w:val="20"/>
          <w:sz w:val="32"/>
          <w:szCs w:val="32"/>
          <w:highlight w:val="none"/>
        </w:rPr>
      </w:pPr>
      <w:r>
        <w:rPr>
          <w:rFonts w:hint="eastAsia" w:ascii="宋体" w:hAnsi="宋体" w:cs="宋体"/>
          <w:b/>
          <w:bCs/>
          <w:color w:val="auto"/>
          <w:spacing w:val="20"/>
          <w:sz w:val="32"/>
          <w:szCs w:val="32"/>
          <w:highlight w:val="none"/>
        </w:rPr>
        <w:t>国道338线中卫至孟家湾段公路工程施工</w:t>
      </w:r>
    </w:p>
    <w:p>
      <w:pPr>
        <w:keepNext w:val="0"/>
        <w:keepLines w:val="0"/>
        <w:pageBreakBefore w:val="0"/>
        <w:widowControl w:val="0"/>
        <w:kinsoku/>
        <w:wordWrap/>
        <w:overflowPunct/>
        <w:topLinePunct w:val="0"/>
        <w:autoSpaceDE/>
        <w:autoSpaceDN/>
        <w:bidi w:val="0"/>
        <w:adjustRightInd/>
        <w:snapToGrid/>
        <w:spacing w:before="287" w:beforeLines="100" w:after="287" w:afterLines="100" w:line="360" w:lineRule="auto"/>
        <w:jc w:val="center"/>
        <w:textAlignment w:val="auto"/>
        <w:rPr>
          <w:rFonts w:hint="eastAsia" w:ascii="宋体" w:hAnsi="宋体" w:cs="宋体"/>
          <w:b/>
          <w:bCs/>
          <w:color w:val="auto"/>
          <w:spacing w:val="20"/>
          <w:sz w:val="32"/>
          <w:szCs w:val="32"/>
          <w:highlight w:val="none"/>
        </w:rPr>
      </w:pPr>
      <w:r>
        <w:rPr>
          <w:rFonts w:hint="eastAsia" w:ascii="宋体" w:hAnsi="宋体" w:cs="宋体"/>
          <w:b/>
          <w:bCs/>
          <w:color w:val="auto"/>
          <w:spacing w:val="20"/>
          <w:sz w:val="32"/>
          <w:szCs w:val="32"/>
          <w:highlight w:val="none"/>
        </w:rPr>
        <w:t>关键内容</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cs="宋体"/>
          <w:b/>
          <w:bCs/>
          <w:color w:val="auto"/>
          <w:spacing w:val="20"/>
          <w:sz w:val="28"/>
          <w:szCs w:val="28"/>
          <w:highlight w:val="none"/>
        </w:rPr>
      </w:pPr>
      <w:r>
        <w:rPr>
          <w:rFonts w:hint="eastAsia" w:ascii="宋体" w:hAnsi="宋体" w:cs="宋体"/>
          <w:b/>
          <w:bCs/>
          <w:color w:val="auto"/>
          <w:spacing w:val="20"/>
          <w:sz w:val="28"/>
          <w:szCs w:val="28"/>
          <w:highlight w:val="none"/>
        </w:rPr>
        <w:t>项目概况</w:t>
      </w:r>
    </w:p>
    <w:p>
      <w:pPr>
        <w:pStyle w:val="2"/>
        <w:spacing w:line="360" w:lineRule="auto"/>
        <w:ind w:firstLine="420" w:firstLineChars="200"/>
        <w:rPr>
          <w:rFonts w:hint="eastAsia" w:ascii="宋体" w:hAnsi="宋体" w:cs="Tahoma"/>
          <w:color w:val="auto"/>
          <w:kern w:val="0"/>
          <w:szCs w:val="21"/>
          <w:highlight w:val="none"/>
        </w:rPr>
      </w:pPr>
      <w:r>
        <w:rPr>
          <w:rFonts w:hint="eastAsia" w:ascii="宋体" w:hAnsi="宋体" w:cs="Tahoma"/>
          <w:color w:val="auto"/>
          <w:kern w:val="0"/>
          <w:szCs w:val="21"/>
          <w:highlight w:val="none"/>
        </w:rPr>
        <w:t>国道338线中卫至孟家湾段公路项目路线全长15.45公里，位于中卫市沙坡头区境内，为普通国道新建工程。路线起点位于常乐镇以南定武高速南侧，顺接国道338线中宁至中卫段公路工程终点处，向西下穿在建中兰高铁，平行于定武高速南侧布线，于K1677+837处跨越明长城遗址，K1681+378处上跨定武高速，至定武高速北侧向西继续布线，在定武高速黄河桥下游80米新建沙坡头黄河特大桥跨越黄河，下穿孟家湾互通匝道桥后至终点，路线终点接既有国道338线K1701+248处。主要建设内容包括：路基路面工程、黄河特大桥1座，大中桥14座，分离式立交3座，交通安全设施等。</w:t>
      </w:r>
    </w:p>
    <w:p>
      <w:pPr>
        <w:widowControl/>
        <w:wordWrap w:val="0"/>
        <w:spacing w:line="360" w:lineRule="auto"/>
        <w:ind w:firstLine="420" w:firstLineChars="200"/>
        <w:jc w:val="left"/>
        <w:rPr>
          <w:rFonts w:hint="eastAsia"/>
          <w:color w:val="auto"/>
          <w:highlight w:val="none"/>
        </w:rPr>
      </w:pPr>
      <w:r>
        <w:rPr>
          <w:rFonts w:hint="eastAsia" w:ascii="宋体" w:hAnsi="宋体" w:cs="Tahoma"/>
          <w:color w:val="auto"/>
          <w:kern w:val="0"/>
          <w:szCs w:val="21"/>
          <w:highlight w:val="none"/>
        </w:rPr>
        <w:t>主要控制点：在建中兰高铁、定武高速、明长城遗址、定武高速黄河桥。</w:t>
      </w:r>
    </w:p>
    <w:p>
      <w:pPr>
        <w:widowControl/>
        <w:spacing w:line="360" w:lineRule="auto"/>
        <w:ind w:firstLine="420" w:firstLineChars="200"/>
        <w:jc w:val="left"/>
        <w:rPr>
          <w:rFonts w:hint="eastAsia" w:ascii="宋体" w:hAnsi="宋体" w:cs="Tahoma"/>
          <w:color w:val="auto"/>
          <w:kern w:val="0"/>
          <w:szCs w:val="21"/>
          <w:highlight w:val="none"/>
        </w:rPr>
      </w:pPr>
      <w:r>
        <w:rPr>
          <w:rFonts w:hint="eastAsia" w:ascii="宋体" w:hAnsi="宋体" w:cs="Tahoma"/>
          <w:color w:val="auto"/>
          <w:kern w:val="0"/>
          <w:szCs w:val="21"/>
          <w:highlight w:val="none"/>
        </w:rPr>
        <w:t>本次招标划分共为2个标段，为</w:t>
      </w:r>
      <w:r>
        <w:rPr>
          <w:rFonts w:hint="eastAsia" w:ascii="宋体" w:hAnsi="宋体" w:cs="Tahoma"/>
          <w:color w:val="auto"/>
          <w:kern w:val="0"/>
          <w:szCs w:val="21"/>
          <w:highlight w:val="none"/>
          <w:lang w:val="en-US" w:eastAsia="zh-CN"/>
        </w:rPr>
        <w:t>不见面</w:t>
      </w:r>
      <w:r>
        <w:rPr>
          <w:rFonts w:hint="eastAsia" w:ascii="宋体" w:hAnsi="宋体" w:cs="Tahoma"/>
          <w:color w:val="auto"/>
          <w:kern w:val="0"/>
          <w:szCs w:val="21"/>
          <w:highlight w:val="none"/>
        </w:rPr>
        <w:t>电子标。具体标段划分和主要工程内容如下：</w:t>
      </w:r>
    </w:p>
    <w:tbl>
      <w:tblPr>
        <w:tblStyle w:val="7"/>
        <w:tblW w:w="9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1733"/>
        <w:gridCol w:w="1524"/>
        <w:gridCol w:w="4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blHeader/>
          <w:jc w:val="center"/>
        </w:trPr>
        <w:tc>
          <w:tcPr>
            <w:tcW w:w="1176" w:type="dxa"/>
            <w:noWrap w:val="0"/>
            <w:tcMar>
              <w:top w:w="57" w:type="dxa"/>
              <w:left w:w="108" w:type="dxa"/>
              <w:bottom w:w="57" w:type="dxa"/>
              <w:right w:w="108" w:type="dxa"/>
            </w:tcMar>
            <w:vAlign w:val="center"/>
          </w:tcPr>
          <w:p>
            <w:pPr>
              <w:widowControl/>
              <w:jc w:val="center"/>
              <w:textAlignment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标段</w:t>
            </w:r>
          </w:p>
        </w:tc>
        <w:tc>
          <w:tcPr>
            <w:tcW w:w="1733" w:type="dxa"/>
            <w:noWrap w:val="0"/>
            <w:tcMar>
              <w:top w:w="57" w:type="dxa"/>
              <w:left w:w="108" w:type="dxa"/>
              <w:bottom w:w="57" w:type="dxa"/>
              <w:right w:w="108" w:type="dxa"/>
            </w:tcMar>
            <w:vAlign w:val="center"/>
          </w:tcPr>
          <w:p>
            <w:pPr>
              <w:widowControl/>
              <w:jc w:val="center"/>
              <w:textAlignment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起讫桩号</w:t>
            </w:r>
          </w:p>
        </w:tc>
        <w:tc>
          <w:tcPr>
            <w:tcW w:w="1524" w:type="dxa"/>
            <w:noWrap w:val="0"/>
            <w:tcMar>
              <w:top w:w="57" w:type="dxa"/>
              <w:left w:w="108" w:type="dxa"/>
              <w:bottom w:w="57" w:type="dxa"/>
              <w:right w:w="108" w:type="dxa"/>
            </w:tcMar>
            <w:vAlign w:val="center"/>
          </w:tcPr>
          <w:p>
            <w:pPr>
              <w:widowControl/>
              <w:jc w:val="center"/>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长度（公里）</w:t>
            </w:r>
          </w:p>
        </w:tc>
        <w:tc>
          <w:tcPr>
            <w:tcW w:w="4821" w:type="dxa"/>
            <w:noWrap w:val="0"/>
            <w:tcMar>
              <w:top w:w="57" w:type="dxa"/>
              <w:left w:w="108" w:type="dxa"/>
              <w:bottom w:w="57" w:type="dxa"/>
              <w:right w:w="108" w:type="dxa"/>
            </w:tcMar>
            <w:vAlign w:val="center"/>
          </w:tcPr>
          <w:p>
            <w:pPr>
              <w:widowControl/>
              <w:jc w:val="center"/>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主要工程内容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176" w:type="dxa"/>
            <w:noWrap w:val="0"/>
            <w:tcMar>
              <w:top w:w="57" w:type="dxa"/>
              <w:left w:w="108" w:type="dxa"/>
              <w:bottom w:w="57" w:type="dxa"/>
              <w:right w:w="108" w:type="dxa"/>
            </w:tcMar>
            <w:vAlign w:val="center"/>
          </w:tcPr>
          <w:p>
            <w:pPr>
              <w:spacing w:line="288"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第1标段</w:t>
            </w:r>
          </w:p>
        </w:tc>
        <w:tc>
          <w:tcPr>
            <w:tcW w:w="1733" w:type="dxa"/>
            <w:noWrap w:val="0"/>
            <w:tcMar>
              <w:top w:w="57" w:type="dxa"/>
              <w:left w:w="108" w:type="dxa"/>
              <w:bottom w:w="57" w:type="dxa"/>
              <w:right w:w="108" w:type="dxa"/>
            </w:tcMar>
            <w:vAlign w:val="center"/>
          </w:tcPr>
          <w:p>
            <w:pPr>
              <w:pStyle w:val="19"/>
              <w:spacing w:line="288" w:lineRule="auto"/>
              <w:rPr>
                <w:rFonts w:ascii="宋体" w:hAnsi="宋体" w:cs="宋体"/>
                <w:color w:val="auto"/>
                <w:sz w:val="21"/>
                <w:szCs w:val="21"/>
                <w:highlight w:val="none"/>
              </w:rPr>
            </w:pPr>
            <w:r>
              <w:rPr>
                <w:rFonts w:hint="eastAsia" w:ascii="宋体" w:hAnsi="宋体" w:cs="宋体"/>
                <w:color w:val="auto"/>
                <w:sz w:val="21"/>
                <w:szCs w:val="21"/>
                <w:highlight w:val="none"/>
              </w:rPr>
              <w:t>K1672+825~K1681+520</w:t>
            </w:r>
          </w:p>
        </w:tc>
        <w:tc>
          <w:tcPr>
            <w:tcW w:w="1524" w:type="dxa"/>
            <w:noWrap w:val="0"/>
            <w:tcMar>
              <w:top w:w="57" w:type="dxa"/>
              <w:left w:w="108" w:type="dxa"/>
              <w:bottom w:w="57" w:type="dxa"/>
              <w:right w:w="108" w:type="dxa"/>
            </w:tcMar>
            <w:vAlign w:val="center"/>
          </w:tcPr>
          <w:p>
            <w:pPr>
              <w:pStyle w:val="19"/>
              <w:spacing w:line="288"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8.699</w:t>
            </w:r>
          </w:p>
        </w:tc>
        <w:tc>
          <w:tcPr>
            <w:tcW w:w="4821" w:type="dxa"/>
            <w:noWrap w:val="0"/>
            <w:tcMar>
              <w:top w:w="57" w:type="dxa"/>
              <w:left w:w="108" w:type="dxa"/>
              <w:bottom w:w="57" w:type="dxa"/>
              <w:right w:w="108" w:type="dxa"/>
            </w:tcMar>
            <w:vAlign w:val="center"/>
          </w:tcPr>
          <w:p>
            <w:pPr>
              <w:pStyle w:val="19"/>
              <w:spacing w:line="288"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本标段路基工程、桥涵工程及全线路面工程、安全设施等；大桥2378m/8座、中桥198m/3座、分离式立交66m/1座。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176" w:type="dxa"/>
            <w:noWrap w:val="0"/>
            <w:tcMar>
              <w:top w:w="57" w:type="dxa"/>
              <w:left w:w="108" w:type="dxa"/>
              <w:bottom w:w="57" w:type="dxa"/>
              <w:right w:w="108" w:type="dxa"/>
            </w:tcMar>
            <w:vAlign w:val="center"/>
          </w:tcPr>
          <w:p>
            <w:pPr>
              <w:spacing w:line="288"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第2标段</w:t>
            </w:r>
          </w:p>
        </w:tc>
        <w:tc>
          <w:tcPr>
            <w:tcW w:w="1733" w:type="dxa"/>
            <w:noWrap w:val="0"/>
            <w:tcMar>
              <w:top w:w="57" w:type="dxa"/>
              <w:left w:w="108" w:type="dxa"/>
              <w:bottom w:w="57" w:type="dxa"/>
              <w:right w:w="108" w:type="dxa"/>
            </w:tcMar>
            <w:vAlign w:val="center"/>
          </w:tcPr>
          <w:p>
            <w:pPr>
              <w:pStyle w:val="19"/>
              <w:spacing w:line="288" w:lineRule="auto"/>
              <w:rPr>
                <w:rFonts w:ascii="宋体" w:hAnsi="宋体" w:cs="宋体"/>
                <w:color w:val="auto"/>
                <w:sz w:val="21"/>
                <w:szCs w:val="21"/>
                <w:highlight w:val="none"/>
              </w:rPr>
            </w:pPr>
            <w:r>
              <w:rPr>
                <w:rFonts w:hint="eastAsia" w:ascii="宋体" w:hAnsi="宋体" w:cs="宋体"/>
                <w:color w:val="auto"/>
                <w:sz w:val="21"/>
                <w:szCs w:val="21"/>
                <w:highlight w:val="none"/>
              </w:rPr>
              <w:t>K1681+520~K1688+243.319</w:t>
            </w:r>
          </w:p>
        </w:tc>
        <w:tc>
          <w:tcPr>
            <w:tcW w:w="1524" w:type="dxa"/>
            <w:noWrap w:val="0"/>
            <w:tcMar>
              <w:top w:w="57" w:type="dxa"/>
              <w:left w:w="108" w:type="dxa"/>
              <w:bottom w:w="57" w:type="dxa"/>
              <w:right w:w="108" w:type="dxa"/>
            </w:tcMar>
            <w:vAlign w:val="center"/>
          </w:tcPr>
          <w:p>
            <w:pPr>
              <w:pStyle w:val="19"/>
              <w:spacing w:line="288"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6.751</w:t>
            </w:r>
          </w:p>
        </w:tc>
        <w:tc>
          <w:tcPr>
            <w:tcW w:w="4821" w:type="dxa"/>
            <w:noWrap w:val="0"/>
            <w:tcMar>
              <w:top w:w="57" w:type="dxa"/>
              <w:left w:w="108" w:type="dxa"/>
              <w:bottom w:w="57" w:type="dxa"/>
              <w:right w:w="108" w:type="dxa"/>
            </w:tcMar>
            <w:vAlign w:val="center"/>
          </w:tcPr>
          <w:p>
            <w:pPr>
              <w:pStyle w:val="19"/>
              <w:spacing w:line="288"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本标段路基工程、桥涵工程；特大桥1539m/1座、大桥929m/3座、分离式立交217m/1座。</w:t>
            </w:r>
          </w:p>
        </w:tc>
      </w:tr>
    </w:tbl>
    <w:p>
      <w:pPr>
        <w:pStyle w:val="5"/>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cs="宋体"/>
          <w:color w:val="auto"/>
          <w:kern w:val="44"/>
          <w:sz w:val="28"/>
          <w:szCs w:val="28"/>
          <w:highlight w:val="none"/>
        </w:rPr>
      </w:pPr>
      <w:r>
        <w:rPr>
          <w:rFonts w:hint="eastAsia" w:ascii="宋体" w:hAnsi="宋体" w:cs="宋体"/>
          <w:b/>
          <w:bCs/>
          <w:color w:val="auto"/>
          <w:spacing w:val="20"/>
          <w:sz w:val="28"/>
          <w:szCs w:val="28"/>
          <w:highlight w:val="none"/>
        </w:rPr>
        <w:t>对投标人的全部资格条件要求</w:t>
      </w:r>
      <w:bookmarkStart w:id="0" w:name="_Toc25519_WPSOffice_Level2"/>
      <w:bookmarkStart w:id="1" w:name="_Toc22389"/>
      <w:bookmarkStart w:id="2" w:name="_Toc26966"/>
      <w:bookmarkStart w:id="3" w:name="_Toc8366"/>
      <w:bookmarkStart w:id="4" w:name="_Toc22172_WPSOffice_Level2"/>
    </w:p>
    <w:bookmarkEnd w:id="0"/>
    <w:bookmarkEnd w:id="1"/>
    <w:bookmarkEnd w:id="2"/>
    <w:bookmarkEnd w:id="3"/>
    <w:bookmarkEnd w:id="4"/>
    <w:p>
      <w:pPr>
        <w:pStyle w:val="11"/>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20" w:firstLineChars="200"/>
        <w:jc w:val="left"/>
        <w:textAlignment w:val="auto"/>
        <w:rPr>
          <w:rFonts w:hint="eastAsia"/>
          <w:color w:val="auto"/>
          <w:highlight w:val="none"/>
        </w:rPr>
      </w:pPr>
      <w:r>
        <w:rPr>
          <w:rFonts w:hint="eastAsia" w:cs="宋体"/>
          <w:b w:val="0"/>
          <w:bCs w:val="0"/>
          <w:color w:val="auto"/>
          <w:sz w:val="21"/>
          <w:szCs w:val="21"/>
          <w:highlight w:val="none"/>
        </w:rPr>
        <w:t>详见招标公告。</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cs="宋体"/>
          <w:b/>
          <w:bCs/>
          <w:color w:val="auto"/>
          <w:spacing w:val="20"/>
          <w:sz w:val="28"/>
          <w:szCs w:val="28"/>
          <w:highlight w:val="none"/>
        </w:rPr>
      </w:pPr>
      <w:r>
        <w:rPr>
          <w:rFonts w:hint="eastAsia" w:ascii="宋体" w:hAnsi="宋体" w:cs="宋体"/>
          <w:b/>
          <w:bCs/>
          <w:color w:val="auto"/>
          <w:spacing w:val="20"/>
          <w:sz w:val="28"/>
          <w:szCs w:val="28"/>
          <w:highlight w:val="none"/>
        </w:rPr>
        <w:t>资格审查办法</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除投标人须知前附表另有规定外，投标人应按下列规定提供资格审查资料，以证明其满足本章第1.4款规定的资质、财务、业绩、信誉等要求。</w:t>
      </w:r>
    </w:p>
    <w:p>
      <w:pPr>
        <w:autoSpaceDE w:val="0"/>
        <w:autoSpaceDN w:val="0"/>
        <w:adjustRightInd w:val="0"/>
        <w:spacing w:line="360" w:lineRule="auto"/>
        <w:ind w:firstLine="420" w:firstLineChars="200"/>
        <w:rPr>
          <w:rFonts w:hint="eastAsia" w:ascii="宋体" w:hAnsi="宋体" w:cs="宋体"/>
          <w:color w:val="auto"/>
          <w:kern w:val="0"/>
          <w:szCs w:val="21"/>
          <w:highlight w:val="none"/>
        </w:rPr>
      </w:pPr>
      <w:r>
        <w:rPr>
          <w:rFonts w:hint="eastAsia" w:ascii="宋体" w:hAnsi="宋体" w:eastAsia="宋体" w:cs="宋体"/>
          <w:color w:val="auto"/>
          <w:kern w:val="0"/>
          <w:szCs w:val="21"/>
          <w:highlight w:val="none"/>
          <w:lang w:val="en-US" w:eastAsia="zh-CN"/>
        </w:rPr>
        <w:t>1.</w:t>
      </w:r>
      <w:r>
        <w:rPr>
          <w:rFonts w:hint="eastAsia" w:ascii="宋体" w:hAnsi="宋体" w:cs="宋体"/>
          <w:color w:val="auto"/>
          <w:kern w:val="0"/>
          <w:szCs w:val="21"/>
          <w:highlight w:val="none"/>
        </w:rPr>
        <w:t>“投标人基本情况表”应附企业法人营业执照副本和组织机构代码证副本（按照“三证合一”或“五证合一”登记制度进行登记的，可仅提供营业执照副本，下同）、施工资质证书副本、安全生产许可证副本、基本账户开户许可证的复印件</w:t>
      </w:r>
      <w:r>
        <w:rPr>
          <w:rStyle w:val="10"/>
          <w:rFonts w:hint="eastAsia" w:ascii="宋体" w:hAnsi="宋体" w:eastAsia="宋体" w:cs="宋体"/>
          <w:color w:val="auto"/>
          <w:sz w:val="21"/>
          <w:szCs w:val="21"/>
          <w:highlight w:val="none"/>
        </w:rPr>
        <w:footnoteReference w:id="0"/>
      </w:r>
      <w:r>
        <w:rPr>
          <w:rFonts w:hint="eastAsia" w:ascii="宋体" w:hAnsi="宋体" w:cs="宋体"/>
          <w:color w:val="auto"/>
          <w:kern w:val="0"/>
          <w:szCs w:val="21"/>
          <w:highlight w:val="none"/>
        </w:rPr>
        <w:t xml:space="preserve">，投标人在交通运输部“全国公路建设市场信用信息管理系统”公路工程施工资质企业名录中的网页截图复印件，以及投标人在国家企业信用信息公示系统中基础信息（体现股东及出资详细信息）的网页截图或由法定的社会验资机构出具的验资报告或注册地工商部门出具的股东出资情况证明复印件。 </w:t>
      </w:r>
    </w:p>
    <w:p>
      <w:pPr>
        <w:autoSpaceDE w:val="0"/>
        <w:autoSpaceDN w:val="0"/>
        <w:adjustRightInd w:val="0"/>
        <w:spacing w:line="360" w:lineRule="auto"/>
        <w:ind w:firstLine="405"/>
        <w:rPr>
          <w:rFonts w:hint="eastAsia" w:ascii="宋体" w:hAnsi="宋体" w:cs="宋体"/>
          <w:color w:val="auto"/>
          <w:kern w:val="0"/>
          <w:szCs w:val="21"/>
          <w:highlight w:val="none"/>
        </w:rPr>
      </w:pPr>
      <w:r>
        <w:rPr>
          <w:rFonts w:hint="eastAsia" w:ascii="宋体" w:hAnsi="宋体" w:cs="宋体"/>
          <w:color w:val="auto"/>
          <w:kern w:val="0"/>
          <w:szCs w:val="21"/>
          <w:highlight w:val="none"/>
        </w:rPr>
        <w:t>企业法人营业执照副本和组织机构代码证副本、施工资质证书副本、安全生产许可证副本、基本账户开户许可证的复印件应提供全本（证书封面、封底、空白页除外），应包括投标人名称、投标人其他相关信息、颁发机构名称、投标人信息变更情况等关键页在内，并逐页加盖投标人单位章。</w:t>
      </w:r>
    </w:p>
    <w:p>
      <w:pPr>
        <w:autoSpaceDE w:val="0"/>
        <w:autoSpaceDN w:val="0"/>
        <w:adjustRightInd w:val="0"/>
        <w:spacing w:line="360" w:lineRule="auto"/>
        <w:ind w:firstLine="405"/>
        <w:rPr>
          <w:rFonts w:hint="eastAsia" w:ascii="宋体" w:hAnsi="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cs="宋体"/>
          <w:color w:val="auto"/>
          <w:kern w:val="0"/>
          <w:szCs w:val="21"/>
          <w:highlight w:val="none"/>
        </w:rPr>
        <w:t>“ 近年财务状况表”应附经会计师事务所或审计机构审计的财务会计报表，包括资产负债表、现金流量表、利润表和财务情况说明书的复印件，具体年份要求见投标人须知前附表</w:t>
      </w:r>
      <w:r>
        <w:rPr>
          <w:rFonts w:hint="eastAsia" w:ascii="宋体" w:hAnsi="宋体" w:cs="宋体"/>
          <w:color w:val="auto"/>
          <w:kern w:val="0"/>
          <w:sz w:val="24"/>
          <w:szCs w:val="24"/>
          <w:highlight w:val="none"/>
        </w:rPr>
        <w:t>。</w:t>
      </w:r>
      <w:r>
        <w:rPr>
          <w:rFonts w:hint="eastAsia" w:ascii="宋体" w:hAnsi="宋体" w:cs="宋体"/>
          <w:color w:val="auto"/>
          <w:kern w:val="0"/>
          <w:szCs w:val="21"/>
          <w:highlight w:val="none"/>
        </w:rPr>
        <w:t>投标人的成立时间少于投标人须知前附表规定年份的，应提供成立以来的财务状况表。</w:t>
      </w:r>
    </w:p>
    <w:p>
      <w:pPr>
        <w:autoSpaceDE w:val="0"/>
        <w:autoSpaceDN w:val="0"/>
        <w:adjustRightInd w:val="0"/>
        <w:spacing w:line="360" w:lineRule="auto"/>
        <w:ind w:firstLine="405"/>
        <w:rPr>
          <w:rFonts w:hint="eastAsia" w:ascii="宋体" w:hAnsi="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cs="宋体"/>
          <w:color w:val="auto"/>
          <w:kern w:val="0"/>
          <w:szCs w:val="21"/>
          <w:highlight w:val="none"/>
        </w:rPr>
        <w:t>“近年完成的类似项目情况表” 应是已列入交通运输主管部门“公路建设市场信用信息管理系统”并公开的主包已建业绩或分包已建业绩，具体时间要求见投标人须知前附表。</w:t>
      </w:r>
    </w:p>
    <w:p>
      <w:pPr>
        <w:autoSpaceDE w:val="0"/>
        <w:autoSpaceDN w:val="0"/>
        <w:adjustRightInd w:val="0"/>
        <w:spacing w:line="360" w:lineRule="auto"/>
        <w:ind w:firstLine="405"/>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“近年完成的类似项目情况表” 应附在交通运输部“全国公路建设市场信用信息管理系统” （网址：http：//glxy.mot.gov.cn/BM/）中查询到的企业“业绩信息”相关项目网页截图复印件，即包括“项目名称”、“标段类型”、“合同价”、“主要工程量”、“项目主要管理人员”等栏目在内的项目详细信息网页截图复印件。在交通运输部“全国公路建设市场信用信息管理系统”中无法查询的，应附省级交通运输主管部门“公路建设市场信用信息管理系统”中查询到的网页截图复印件。除网页截图复印件外，投标人无须再提供任何业绩证明资料。</w:t>
      </w:r>
    </w:p>
    <w:p>
      <w:pPr>
        <w:autoSpaceDE w:val="0"/>
        <w:autoSpaceDN w:val="0"/>
        <w:adjustRightIn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如投标人未提供相关项目网页截图复印件或相关项目网页截图中的信息无法证实投标人满足招标文件规定的资格审查条件（业绩最低要求），则该项目业绩不予认定。 </w:t>
      </w:r>
    </w:p>
    <w:p>
      <w:pPr>
        <w:autoSpaceDE w:val="0"/>
        <w:autoSpaceDN w:val="0"/>
        <w:adjustRightInd w:val="0"/>
        <w:spacing w:line="360" w:lineRule="auto"/>
        <w:ind w:firstLine="480"/>
        <w:rPr>
          <w:rFonts w:hint="eastAsia" w:ascii="宋体" w:hAnsi="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cs="宋体"/>
          <w:color w:val="auto"/>
          <w:kern w:val="0"/>
          <w:szCs w:val="21"/>
          <w:highlight w:val="none"/>
        </w:rPr>
        <w:t>“投标人的信誉情况表”应附投标人在国家企业信用信息公示系统中未被列入严重违法失信企业名单、在“信用中国”网站中未被列入失信被执行人名单的网页截图复印件，以及由项目所在地或投标人住所地检察机关职务犯罪预防部门出具的近三年内投标人及其法定代表人、拟委任的项目经理均无行贿犯罪行为的查询记录证明原件。</w:t>
      </w:r>
    </w:p>
    <w:p>
      <w:pPr>
        <w:autoSpaceDE w:val="0"/>
        <w:autoSpaceDN w:val="0"/>
        <w:adjustRightInd w:val="0"/>
        <w:spacing w:line="360" w:lineRule="auto"/>
        <w:ind w:firstLine="465"/>
        <w:rPr>
          <w:rFonts w:hint="eastAsia" w:ascii="宋体" w:hAnsi="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cs="宋体"/>
          <w:color w:val="auto"/>
          <w:kern w:val="0"/>
          <w:szCs w:val="21"/>
          <w:highlight w:val="none"/>
        </w:rPr>
        <w:t>“拟委任的项目经理和项目总工资历表”应附项目经理和项目总工的身份证、职称资格证书以及资格审查条件所要求的其他相关证书(如建造师注册证书、安全生产考核合格证书等)的复印件，建造师注册证书、安全生产考核合格证书在政府相关部门网站上公开信息的网页截图复印件，以及投标人所属社保机构出具的拟委任的项目经理和项目总工的社保缴费证明或其他能够证明拟委任的项目经理和项目总工参加社保的有效证明材料复印件。</w:t>
      </w:r>
    </w:p>
    <w:p>
      <w:pPr>
        <w:autoSpaceDE w:val="0"/>
        <w:autoSpaceDN w:val="0"/>
        <w:adjustRightInd w:val="0"/>
        <w:spacing w:line="360" w:lineRule="auto"/>
        <w:ind w:firstLine="405"/>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拟委任的项目经理和项目总工资历表”还应附交通运输部“全国公路建设市场信用信息管理系统”中载明的、能够证明项目经理和项目总工具有相关业绩的网页截图复印件。在交通运输部“全国公路建设市场信用信息管理系统”中无法查询，但可在省级交通运输主管部门“公路建设市场信用信息管理系统”中查询的，应附省级交通运输主管部门“公路建设市场信用信息管理系统”中查询到的网页截图复印件。除网页截图复印件外，投标人无须再提供任何业绩证明资料。如投标人未提供相关业绩网页截图复印件或相关业绩网页截图中的信息无法证实投标人满足招标文件规定的资格审查条件（项目经理和项目总工最低要求），则该项目业绩不予认定。 </w:t>
      </w:r>
    </w:p>
    <w:p>
      <w:pPr>
        <w:autoSpaceDE w:val="0"/>
        <w:autoSpaceDN w:val="0"/>
        <w:adjustRightInd w:val="0"/>
        <w:spacing w:line="360" w:lineRule="auto"/>
        <w:ind w:firstLine="405"/>
        <w:rPr>
          <w:rFonts w:hint="eastAsia" w:ascii="宋体" w:hAnsi="宋体" w:cs="宋体"/>
          <w:color w:val="auto"/>
          <w:kern w:val="0"/>
          <w:szCs w:val="21"/>
          <w:highlight w:val="none"/>
        </w:rPr>
      </w:pPr>
      <w:r>
        <w:rPr>
          <w:rFonts w:hint="eastAsia" w:ascii="宋体" w:hAnsi="宋体" w:cs="宋体"/>
          <w:color w:val="auto"/>
          <w:kern w:val="0"/>
          <w:szCs w:val="21"/>
          <w:highlight w:val="none"/>
        </w:rPr>
        <w:t>如项目经理或项目总工目前仍在其他项目上任职，则投标人应提供由该项目发包人出具的、承诺上述人员能够从该项目撤离的书面证明资料原件。</w:t>
      </w:r>
    </w:p>
    <w:p>
      <w:pPr>
        <w:autoSpaceDE w:val="0"/>
        <w:autoSpaceDN w:val="0"/>
        <w:adjustRightInd w:val="0"/>
        <w:spacing w:line="360" w:lineRule="auto"/>
        <w:ind w:firstLine="405"/>
        <w:rPr>
          <w:rFonts w:hint="eastAsia" w:ascii="宋体" w:hAnsi="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cs="宋体"/>
          <w:color w:val="auto"/>
          <w:kern w:val="0"/>
          <w:szCs w:val="21"/>
          <w:highlight w:val="none"/>
        </w:rPr>
        <w:t>“拟委任的其他管理和技术人员汇总表”（如有）应填报满足投标人须知前附表附录6规定的其他人员的相关信息。“拟委任的其他管理和技术人员资历表”（如有）中相关人员应附身份证、职称资格证书以及资格审查条件所要求的其他相关证书的复印件，相关业绩证明材料复印件，以及投标人所属社保机构出具的社保缴费证明或其他能够证明其参加社保的有效证明材料复印件。</w:t>
      </w:r>
    </w:p>
    <w:p>
      <w:pPr>
        <w:autoSpaceDE w:val="0"/>
        <w:autoSpaceDN w:val="0"/>
        <w:adjustRightInd w:val="0"/>
        <w:spacing w:line="360" w:lineRule="auto"/>
        <w:ind w:firstLine="405"/>
        <w:rPr>
          <w:rFonts w:hint="eastAsia" w:ascii="宋体" w:hAnsi="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cs="宋体"/>
          <w:color w:val="auto"/>
          <w:kern w:val="0"/>
          <w:szCs w:val="21"/>
          <w:highlight w:val="none"/>
        </w:rPr>
        <w:t>“拟投入本标段的主要施工机械表”“拟配备本标段的主要材料试验、测量、质检仪器设备表”（如有）应填报满足投标人须知前附表附录7规定的机械设备和试验检测设备。</w:t>
      </w:r>
    </w:p>
    <w:p>
      <w:pPr>
        <w:autoSpaceDE w:val="0"/>
        <w:autoSpaceDN w:val="0"/>
        <w:adjustRightInd w:val="0"/>
        <w:spacing w:line="360" w:lineRule="auto"/>
        <w:ind w:firstLine="420" w:firstLineChars="200"/>
        <w:rPr>
          <w:rFonts w:hint="eastAsia" w:ascii="宋体" w:hAnsi="宋体" w:cs="宋体"/>
          <w:color w:val="auto"/>
          <w:kern w:val="0"/>
          <w:szCs w:val="21"/>
          <w:highlight w:val="none"/>
        </w:rPr>
      </w:pPr>
      <w:r>
        <w:rPr>
          <w:rFonts w:hint="eastAsia" w:ascii="宋体" w:hAnsi="宋体" w:eastAsia="宋体" w:cs="宋体"/>
          <w:color w:val="auto"/>
          <w:kern w:val="0"/>
          <w:szCs w:val="21"/>
          <w:highlight w:val="none"/>
          <w:lang w:val="en-US" w:eastAsia="zh-CN"/>
        </w:rPr>
        <w:t>8.</w:t>
      </w:r>
      <w:r>
        <w:rPr>
          <w:rFonts w:hint="eastAsia" w:ascii="宋体" w:hAnsi="宋体" w:cs="宋体"/>
          <w:color w:val="auto"/>
          <w:kern w:val="0"/>
          <w:szCs w:val="21"/>
          <w:highlight w:val="none"/>
        </w:rPr>
        <w:t>投标人须知前附表规定接受联合体投标的，本章第</w:t>
      </w:r>
      <w:r>
        <w:rPr>
          <w:rFonts w:hint="eastAsia" w:ascii="宋体" w:hAnsi="宋体" w:eastAsia="宋体" w:cs="宋体"/>
          <w:color w:val="auto"/>
          <w:kern w:val="0"/>
          <w:szCs w:val="21"/>
          <w:highlight w:val="none"/>
          <w:lang w:val="en-US" w:eastAsia="zh-CN"/>
        </w:rPr>
        <w:t xml:space="preserve"> 1</w:t>
      </w:r>
      <w:r>
        <w:rPr>
          <w:rFonts w:hint="eastAsia" w:ascii="宋体" w:hAnsi="宋体" w:cs="宋体"/>
          <w:color w:val="auto"/>
          <w:kern w:val="0"/>
          <w:szCs w:val="21"/>
          <w:highlight w:val="none"/>
        </w:rPr>
        <w:t xml:space="preserve"> 项至第</w:t>
      </w:r>
      <w:r>
        <w:rPr>
          <w:rFonts w:hint="eastAsia" w:ascii="宋体" w:hAnsi="宋体" w:eastAsia="宋体" w:cs="宋体"/>
          <w:color w:val="auto"/>
          <w:kern w:val="0"/>
          <w:szCs w:val="21"/>
          <w:highlight w:val="none"/>
          <w:lang w:val="en-US" w:eastAsia="zh-CN"/>
        </w:rPr>
        <w:t xml:space="preserve"> 7</w:t>
      </w:r>
      <w:r>
        <w:rPr>
          <w:rFonts w:hint="eastAsia" w:ascii="宋体" w:hAnsi="宋体" w:cs="宋体"/>
          <w:color w:val="auto"/>
          <w:kern w:val="0"/>
          <w:szCs w:val="21"/>
          <w:highlight w:val="none"/>
        </w:rPr>
        <w:t xml:space="preserve"> 项规定的表格和资料应包括联合体各方相关情况。</w:t>
      </w:r>
    </w:p>
    <w:p>
      <w:pPr>
        <w:autoSpaceDE w:val="0"/>
        <w:autoSpaceDN w:val="0"/>
        <w:adjustRightInd w:val="0"/>
        <w:spacing w:line="360" w:lineRule="auto"/>
        <w:ind w:firstLine="424" w:firstLineChars="202"/>
        <w:rPr>
          <w:rFonts w:hint="eastAsia" w:ascii="宋体" w:hAnsi="宋体" w:cs="宋体"/>
          <w:color w:val="auto"/>
          <w:kern w:val="0"/>
          <w:szCs w:val="21"/>
          <w:highlight w:val="none"/>
        </w:rPr>
      </w:pPr>
      <w:r>
        <w:rPr>
          <w:rFonts w:hint="eastAsia" w:ascii="宋体" w:hAnsi="宋体" w:eastAsia="宋体" w:cs="宋体"/>
          <w:color w:val="auto"/>
          <w:kern w:val="0"/>
          <w:szCs w:val="21"/>
          <w:highlight w:val="none"/>
          <w:lang w:val="en-US" w:eastAsia="zh-CN"/>
        </w:rPr>
        <w:t>9.</w:t>
      </w:r>
      <w:r>
        <w:rPr>
          <w:rFonts w:hint="eastAsia" w:ascii="宋体" w:hAnsi="宋体" w:cs="宋体"/>
          <w:color w:val="auto"/>
          <w:kern w:val="0"/>
          <w:szCs w:val="21"/>
          <w:highlight w:val="none"/>
        </w:rPr>
        <w:t>除合同条款约定的特殊情形外，投标人在投标文件中填报的项目经理和项目总工不允许更换。</w:t>
      </w:r>
    </w:p>
    <w:p>
      <w:pPr>
        <w:autoSpaceDE w:val="0"/>
        <w:autoSpaceDN w:val="0"/>
        <w:adjustRightInd w:val="0"/>
        <w:spacing w:line="360" w:lineRule="auto"/>
        <w:ind w:firstLine="424" w:firstLineChars="202"/>
        <w:rPr>
          <w:rFonts w:hint="eastAsia" w:ascii="宋体" w:hAnsi="宋体" w:cs="宋体"/>
          <w:color w:val="auto"/>
          <w:kern w:val="0"/>
          <w:szCs w:val="21"/>
          <w:highlight w:val="none"/>
        </w:rPr>
      </w:pPr>
      <w:r>
        <w:rPr>
          <w:rFonts w:hint="eastAsia" w:ascii="宋体" w:hAnsi="宋体" w:eastAsia="宋体" w:cs="宋体"/>
          <w:color w:val="auto"/>
          <w:kern w:val="0"/>
          <w:szCs w:val="21"/>
          <w:highlight w:val="none"/>
          <w:lang w:val="en-US" w:eastAsia="zh-CN"/>
        </w:rPr>
        <w:t>10.</w:t>
      </w:r>
      <w:r>
        <w:rPr>
          <w:rFonts w:hint="eastAsia" w:ascii="宋体" w:hAnsi="宋体" w:cs="宋体"/>
          <w:color w:val="auto"/>
          <w:kern w:val="0"/>
          <w:szCs w:val="21"/>
          <w:highlight w:val="none"/>
        </w:rPr>
        <w:t>投标人在投标文件中填报的资质、业绩、主要人员资历和目前在岗情况、信用等级等信息，应与其在交通运输主管部门“公路建设市场信用信息管理系统”上填报并发布的相关信息一致。投标人应根据本单位实际情况及时完成相关信息的申报、录入和动态更新，并对相关信息的真实性、完整性和准确性负责。</w:t>
      </w:r>
    </w:p>
    <w:p>
      <w:pPr>
        <w:autoSpaceDE w:val="0"/>
        <w:autoSpaceDN w:val="0"/>
        <w:adjustRightInd w:val="0"/>
        <w:spacing w:line="360" w:lineRule="auto"/>
        <w:ind w:firstLine="424" w:firstLineChars="202"/>
        <w:rPr>
          <w:rFonts w:hint="eastAsia" w:ascii="宋体" w:hAnsi="宋体" w:cs="宋体"/>
          <w:color w:val="auto"/>
          <w:kern w:val="0"/>
          <w:szCs w:val="21"/>
          <w:highlight w:val="none"/>
        </w:rPr>
      </w:pPr>
      <w:r>
        <w:rPr>
          <w:rFonts w:hint="eastAsia" w:ascii="宋体" w:hAnsi="宋体" w:eastAsia="宋体" w:cs="宋体"/>
          <w:color w:val="auto"/>
          <w:kern w:val="0"/>
          <w:szCs w:val="21"/>
          <w:highlight w:val="none"/>
          <w:lang w:val="en-US" w:eastAsia="zh-CN"/>
        </w:rPr>
        <w:t>11.</w:t>
      </w:r>
      <w:r>
        <w:rPr>
          <w:rFonts w:hint="eastAsia" w:ascii="宋体" w:hAnsi="宋体" w:cs="宋体"/>
          <w:color w:val="auto"/>
          <w:kern w:val="0"/>
          <w:szCs w:val="21"/>
          <w:highlight w:val="none"/>
        </w:rPr>
        <w:t>招标人有权核查投标人在资格预审申请文件和投标文件中提供的材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10％签约合同价的金额作为违约金。同时招标人将投标人上述弄虚作假行为上报省级交通运输主管部门，作为不良记录纳入公路建设市场信用信息管理系统。</w:t>
      </w:r>
    </w:p>
    <w:p>
      <w:pPr>
        <w:spacing w:line="360" w:lineRule="auto"/>
        <w:ind w:firstLine="420" w:firstLineChars="200"/>
        <w:jc w:val="left"/>
        <w:rPr>
          <w:rFonts w:hint="eastAsia" w:ascii="宋体" w:hAnsi="宋体" w:eastAsia="宋体" w:cs="宋体"/>
          <w:b w:val="0"/>
          <w:bCs w:val="0"/>
          <w:color w:val="auto"/>
          <w:szCs w:val="21"/>
          <w:highlight w:val="none"/>
          <w:lang w:val="en-US" w:eastAsia="zh-CN"/>
        </w:rPr>
      </w:pPr>
    </w:p>
    <w:p>
      <w:pPr>
        <w:pStyle w:val="12"/>
        <w:ind w:left="0" w:leftChars="0" w:firstLine="0" w:firstLineChars="0"/>
        <w:rPr>
          <w:rFonts w:hint="eastAsia" w:ascii="宋体" w:hAnsi="宋体" w:cs="宋体"/>
          <w:color w:val="auto"/>
          <w:szCs w:val="21"/>
          <w:highlight w:val="none"/>
        </w:rPr>
      </w:pPr>
    </w:p>
    <w:p>
      <w:pPr>
        <w:pStyle w:val="5"/>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0" w:firstLineChars="0"/>
        <w:jc w:val="left"/>
        <w:textAlignment w:val="auto"/>
        <w:rPr>
          <w:rFonts w:hint="eastAsia"/>
          <w:b/>
          <w:bCs/>
          <w:color w:val="auto"/>
          <w:sz w:val="28"/>
          <w:szCs w:val="28"/>
          <w:highlight w:val="none"/>
        </w:rPr>
      </w:pPr>
      <w:r>
        <w:rPr>
          <w:rFonts w:hint="eastAsia" w:ascii="宋体" w:hAnsi="宋体" w:eastAsia="Calibri" w:cs="宋体"/>
          <w:b/>
          <w:bCs/>
          <w:color w:val="auto"/>
          <w:spacing w:val="20"/>
          <w:sz w:val="28"/>
          <w:szCs w:val="28"/>
          <w:highlight w:val="none"/>
        </w:rPr>
        <w:br w:type="page"/>
      </w:r>
      <w:r>
        <w:rPr>
          <w:rFonts w:hint="eastAsia" w:ascii="宋体" w:hAnsi="宋体" w:eastAsia="Calibri" w:cs="宋体"/>
          <w:b/>
          <w:bCs/>
          <w:color w:val="auto"/>
          <w:spacing w:val="20"/>
          <w:sz w:val="28"/>
          <w:szCs w:val="28"/>
          <w:highlight w:val="none"/>
        </w:rPr>
        <w:t>评标</w:t>
      </w:r>
      <w:r>
        <w:rPr>
          <w:rFonts w:hint="eastAsia"/>
          <w:b/>
          <w:bCs/>
          <w:color w:val="auto"/>
          <w:sz w:val="28"/>
          <w:szCs w:val="28"/>
          <w:highlight w:val="none"/>
        </w:rPr>
        <w:t>办法全文</w:t>
      </w:r>
    </w:p>
    <w:p>
      <w:pPr>
        <w:pStyle w:val="13"/>
        <w:spacing w:before="120" w:after="120"/>
        <w:rPr>
          <w:rFonts w:ascii="黑体" w:eastAsia="黑体"/>
          <w:b/>
          <w:color w:val="auto"/>
          <w:sz w:val="32"/>
          <w:szCs w:val="32"/>
          <w:highlight w:val="none"/>
        </w:rPr>
      </w:pPr>
      <w:r>
        <w:rPr>
          <w:rFonts w:hint="eastAsia" w:ascii="黑体" w:eastAsia="黑体"/>
          <w:b/>
          <w:color w:val="auto"/>
          <w:sz w:val="32"/>
          <w:szCs w:val="32"/>
          <w:highlight w:val="none"/>
        </w:rPr>
        <w:t>评标办法（技术评分最低标价法）</w:t>
      </w:r>
    </w:p>
    <w:p>
      <w:pPr>
        <w:tabs>
          <w:tab w:val="left" w:leader="middleDot" w:pos="8400"/>
          <w:tab w:val="left" w:leader="middleDot" w:pos="10500"/>
        </w:tabs>
        <w:spacing w:line="276" w:lineRule="auto"/>
        <w:jc w:val="center"/>
        <w:rPr>
          <w:rFonts w:hint="eastAsia"/>
          <w:color w:val="auto"/>
          <w:highlight w:val="none"/>
        </w:rPr>
      </w:pPr>
      <w:r>
        <w:rPr>
          <w:rFonts w:hint="eastAsia" w:ascii="黑体" w:eastAsia="黑体"/>
          <w:color w:val="auto"/>
          <w:sz w:val="24"/>
          <w:highlight w:val="none"/>
        </w:rPr>
        <w:t>评标办法前附表</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7"/>
        <w:gridCol w:w="1463"/>
        <w:gridCol w:w="2601"/>
        <w:gridCol w:w="43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blHeader/>
          <w:jc w:val="center"/>
        </w:trPr>
        <w:tc>
          <w:tcPr>
            <w:tcW w:w="2270" w:type="dxa"/>
            <w:gridSpan w:val="2"/>
            <w:tcBorders>
              <w:top w:val="single" w:color="000000" w:sz="4" w:space="0"/>
              <w:left w:val="single" w:color="000000" w:sz="4" w:space="0"/>
              <w:bottom w:val="single" w:color="000000" w:sz="4" w:space="0"/>
              <w:right w:val="single" w:color="000000" w:sz="6" w:space="0"/>
            </w:tcBorders>
            <w:noWrap w:val="0"/>
            <w:tcMar>
              <w:top w:w="57" w:type="dxa"/>
              <w:left w:w="57" w:type="dxa"/>
              <w:bottom w:w="57" w:type="dxa"/>
              <w:right w:w="57" w:type="dxa"/>
            </w:tcMar>
            <w:vAlign w:val="center"/>
          </w:tcPr>
          <w:p>
            <w:pPr>
              <w:pStyle w:val="17"/>
              <w:jc w:val="center"/>
              <w:rPr>
                <w:rFonts w:hint="eastAsia" w:ascii="宋体" w:hAnsi="宋体" w:cs="宋体"/>
                <w:b/>
                <w:kern w:val="0"/>
              </w:rPr>
            </w:pPr>
            <w:bookmarkStart w:id="5" w:name="EB2bbb7b567f3442f2b23f5e9cce0e3461"/>
            <w:r>
              <w:rPr>
                <w:rFonts w:hint="eastAsia" w:ascii="宋体" w:hAnsi="宋体" w:cs="宋体"/>
                <w:b/>
                <w:kern w:val="0"/>
              </w:rPr>
              <w:t>条款号</w:t>
            </w:r>
          </w:p>
        </w:tc>
        <w:tc>
          <w:tcPr>
            <w:tcW w:w="6914" w:type="dxa"/>
            <w:gridSpan w:val="2"/>
            <w:tcBorders>
              <w:top w:val="single" w:color="000000" w:sz="4" w:space="0"/>
              <w:left w:val="single" w:color="000000" w:sz="6" w:space="0"/>
              <w:bottom w:val="single" w:color="000000" w:sz="4" w:space="0"/>
              <w:right w:val="single" w:color="000000" w:sz="4" w:space="0"/>
            </w:tcBorders>
            <w:noWrap w:val="0"/>
            <w:tcMar>
              <w:top w:w="57" w:type="dxa"/>
              <w:left w:w="57" w:type="dxa"/>
              <w:bottom w:w="57" w:type="dxa"/>
              <w:right w:w="57" w:type="dxa"/>
            </w:tcMar>
            <w:vAlign w:val="center"/>
          </w:tcPr>
          <w:p>
            <w:pPr>
              <w:pStyle w:val="17"/>
              <w:jc w:val="center"/>
              <w:rPr>
                <w:rFonts w:hint="eastAsia" w:ascii="宋体" w:hAnsi="宋体" w:cs="宋体"/>
                <w:b/>
              </w:rPr>
            </w:pPr>
            <w:r>
              <w:rPr>
                <w:rFonts w:hint="eastAsia" w:ascii="宋体" w:hAnsi="宋体" w:cs="宋体"/>
                <w:b/>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0" w:hRule="atLeast"/>
          <w:jc w:val="center"/>
        </w:trPr>
        <w:tc>
          <w:tcPr>
            <w:tcW w:w="807"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pStyle w:val="17"/>
              <w:jc w:val="center"/>
              <w:rPr>
                <w:rFonts w:hint="eastAsia" w:ascii="宋体" w:hAnsi="宋体" w:cs="宋体"/>
                <w:kern w:val="0"/>
              </w:rPr>
            </w:pPr>
            <w:r>
              <w:rPr>
                <w:rFonts w:hint="eastAsia" w:ascii="宋体" w:hAnsi="宋体" w:cs="宋体"/>
                <w:kern w:val="0"/>
              </w:rPr>
              <w:t>1</w:t>
            </w:r>
          </w:p>
        </w:tc>
        <w:tc>
          <w:tcPr>
            <w:tcW w:w="1463" w:type="dxa"/>
            <w:tcBorders>
              <w:top w:val="single" w:color="000000" w:sz="4" w:space="0"/>
              <w:left w:val="single" w:color="000000" w:sz="4" w:space="0"/>
              <w:bottom w:val="single" w:color="000000" w:sz="4" w:space="0"/>
              <w:right w:val="single" w:color="000000" w:sz="6" w:space="0"/>
            </w:tcBorders>
            <w:noWrap w:val="0"/>
            <w:tcMar>
              <w:top w:w="57" w:type="dxa"/>
              <w:left w:w="57" w:type="dxa"/>
              <w:bottom w:w="57" w:type="dxa"/>
              <w:right w:w="57" w:type="dxa"/>
            </w:tcMar>
            <w:vAlign w:val="center"/>
          </w:tcPr>
          <w:p>
            <w:pPr>
              <w:pStyle w:val="17"/>
              <w:jc w:val="center"/>
              <w:rPr>
                <w:rFonts w:hint="eastAsia" w:ascii="宋体" w:hAnsi="宋体" w:cs="宋体"/>
                <w:color w:val="auto"/>
                <w:kern w:val="0"/>
                <w:highlight w:val="none"/>
              </w:rPr>
            </w:pPr>
            <w:r>
              <w:rPr>
                <w:rFonts w:hint="eastAsia" w:ascii="宋体" w:hAnsi="宋体" w:cs="宋体"/>
                <w:color w:val="auto"/>
                <w:kern w:val="0"/>
                <w:highlight w:val="none"/>
              </w:rPr>
              <w:t>评标方法</w:t>
            </w:r>
          </w:p>
        </w:tc>
        <w:tc>
          <w:tcPr>
            <w:tcW w:w="6914" w:type="dxa"/>
            <w:gridSpan w:val="2"/>
            <w:tcBorders>
              <w:top w:val="single" w:color="000000" w:sz="4" w:space="0"/>
              <w:left w:val="single" w:color="000000" w:sz="6" w:space="0"/>
              <w:bottom w:val="single" w:color="000000" w:sz="4" w:space="0"/>
              <w:right w:val="single" w:color="000000" w:sz="4" w:space="0"/>
            </w:tcBorders>
            <w:noWrap w:val="0"/>
            <w:tcMar>
              <w:top w:w="57" w:type="dxa"/>
              <w:left w:w="57" w:type="dxa"/>
              <w:bottom w:w="57" w:type="dxa"/>
              <w:right w:w="57" w:type="dxa"/>
            </w:tcMar>
            <w:vAlign w:val="center"/>
          </w:tcPr>
          <w:p>
            <w:pPr>
              <w:autoSpaceDE w:val="0"/>
              <w:autoSpaceDN w:val="0"/>
              <w:ind w:firstLine="420" w:firstLineChars="200"/>
              <w:rPr>
                <w:rFonts w:hint="eastAsia" w:ascii="宋体" w:hAnsi="宋体" w:cs="宋体"/>
                <w:b/>
                <w:bCs/>
                <w:color w:val="auto"/>
                <w:kern w:val="0"/>
                <w:szCs w:val="21"/>
                <w:highlight w:val="none"/>
              </w:rPr>
            </w:pPr>
            <w:bookmarkStart w:id="6" w:name="EB234904debc964c16b7f6548347c61c15"/>
            <w:r>
              <w:rPr>
                <w:rFonts w:hint="eastAsia" w:ascii="宋体" w:hAnsi="宋体" w:cs="宋体"/>
                <w:b/>
                <w:bCs/>
                <w:color w:val="auto"/>
                <w:kern w:val="0"/>
                <w:szCs w:val="21"/>
                <w:highlight w:val="none"/>
              </w:rPr>
              <w:t>评标价相等时，评标委员会依次按照以下优先顺序推荐中标候选人或确定中标人：</w:t>
            </w:r>
            <w:bookmarkEnd w:id="6"/>
          </w:p>
          <w:p>
            <w:pPr>
              <w:numPr>
                <w:ilvl w:val="0"/>
                <w:numId w:val="2"/>
              </w:numPr>
              <w:autoSpaceDE w:val="0"/>
              <w:autoSpaceDN w:val="0"/>
              <w:ind w:firstLine="420"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投标报价低的投标人优先；</w:t>
            </w:r>
          </w:p>
          <w:p>
            <w:pPr>
              <w:numPr>
                <w:ilvl w:val="0"/>
                <w:numId w:val="3"/>
              </w:numPr>
              <w:autoSpaceDE w:val="0"/>
              <w:autoSpaceDN w:val="0"/>
              <w:ind w:firstLine="420" w:firstLineChars="200"/>
              <w:rPr>
                <w:rFonts w:hint="eastAsia" w:ascii="宋体" w:hAnsi="宋体" w:cs="宋体"/>
                <w:b/>
                <w:bCs/>
                <w:color w:val="auto"/>
                <w:highlight w:val="none"/>
              </w:rPr>
            </w:pPr>
            <w:r>
              <w:rPr>
                <w:rFonts w:hint="eastAsia" w:ascii="宋体" w:hAnsi="宋体" w:cs="宋体"/>
                <w:b/>
                <w:bCs/>
                <w:color w:val="auto"/>
                <w:highlight w:val="none"/>
              </w:rPr>
              <w:t>2020年度被宁夏交通运输厅评为较高信用等级的投标人优先：以《自治区交通运输厅关于公布2020年宁夏公路建设市场从业单位信用等级评价结果的通知》（宁夏回族自治区交通运输厅官网2021年4月15日发布）文件中的信用评价等级（施工企业）为准；</w:t>
            </w:r>
          </w:p>
          <w:p>
            <w:pPr>
              <w:numPr>
                <w:ilvl w:val="0"/>
                <w:numId w:val="3"/>
              </w:numPr>
              <w:autoSpaceDE w:val="0"/>
              <w:autoSpaceDN w:val="0"/>
              <w:ind w:firstLine="420" w:firstLineChars="200"/>
              <w:rPr>
                <w:rFonts w:hint="eastAsia" w:ascii="宋体" w:hAnsi="宋体" w:cs="宋体"/>
                <w:b/>
                <w:bCs/>
                <w:color w:val="auto"/>
                <w:highlight w:val="none"/>
              </w:rPr>
            </w:pPr>
            <w:r>
              <w:rPr>
                <w:rFonts w:hint="eastAsia" w:ascii="宋体" w:hAnsi="宋体" w:cs="宋体"/>
                <w:b/>
                <w:bCs/>
                <w:color w:val="auto"/>
                <w:kern w:val="0"/>
                <w:szCs w:val="21"/>
                <w:highlight w:val="none"/>
              </w:rPr>
              <w:t>商务和技术</w:t>
            </w:r>
            <w:r>
              <w:rPr>
                <w:rFonts w:hint="eastAsia" w:ascii="宋体" w:hAnsi="宋体" w:cs="宋体"/>
                <w:b/>
                <w:bCs/>
                <w:color w:val="auto"/>
                <w:highlight w:val="none"/>
              </w:rPr>
              <w:t>得分较高的投标人优先；</w:t>
            </w:r>
          </w:p>
          <w:p>
            <w:pPr>
              <w:numPr>
                <w:ilvl w:val="0"/>
                <w:numId w:val="3"/>
              </w:numPr>
              <w:autoSpaceDE w:val="0"/>
              <w:autoSpaceDN w:val="0"/>
              <w:ind w:firstLine="420" w:firstLineChars="200"/>
              <w:rPr>
                <w:rFonts w:hint="eastAsia" w:ascii="宋体" w:hAnsi="宋体" w:cs="宋体"/>
                <w:color w:val="auto"/>
                <w:kern w:val="0"/>
                <w:szCs w:val="21"/>
                <w:highlight w:val="none"/>
              </w:rPr>
            </w:pPr>
            <w:r>
              <w:rPr>
                <w:rFonts w:hint="eastAsia" w:ascii="宋体" w:hAnsi="宋体" w:cs="宋体"/>
                <w:b/>
                <w:bCs/>
                <w:color w:val="auto"/>
                <w:highlight w:val="none"/>
              </w:rPr>
              <w:t>评标委员会投票确定中标候选人。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pStyle w:val="20"/>
              <w:jc w:val="center"/>
              <w:rPr>
                <w:rFonts w:hint="eastAsia" w:ascii="宋体" w:hAnsi="宋体" w:eastAsia="宋体" w:cs="宋体"/>
                <w:sz w:val="21"/>
              </w:rPr>
            </w:pPr>
            <w:bookmarkStart w:id="7" w:name="EB9c72802fc116425186c0586e89968f58"/>
            <w:r>
              <w:rPr>
                <w:rFonts w:hint="eastAsia" w:ascii="宋体" w:hAnsi="宋体" w:eastAsia="宋体" w:cs="宋体"/>
                <w:spacing w:val="39"/>
                <w:sz w:val="21"/>
              </w:rPr>
              <w:t>2</w:t>
            </w:r>
            <w:r>
              <w:rPr>
                <w:rFonts w:hint="eastAsia" w:ascii="宋体" w:hAnsi="宋体" w:eastAsia="宋体" w:cs="宋体"/>
                <w:spacing w:val="39"/>
                <w:sz w:val="21"/>
                <w:lang w:eastAsia="zh-CN"/>
              </w:rPr>
              <w:t>.</w:t>
            </w:r>
            <w:r>
              <w:rPr>
                <w:rFonts w:hint="eastAsia" w:ascii="宋体" w:hAnsi="宋体" w:eastAsia="宋体" w:cs="宋体"/>
                <w:spacing w:val="39"/>
                <w:sz w:val="21"/>
              </w:rPr>
              <w:t>1</w:t>
            </w:r>
            <w:r>
              <w:rPr>
                <w:rFonts w:hint="eastAsia" w:ascii="宋体" w:hAnsi="宋体" w:eastAsia="宋体" w:cs="宋体"/>
                <w:spacing w:val="39"/>
                <w:sz w:val="21"/>
                <w:lang w:eastAsia="zh-CN"/>
              </w:rPr>
              <w:t>.</w:t>
            </w:r>
            <w:r>
              <w:rPr>
                <w:rFonts w:hint="eastAsia" w:ascii="宋体" w:hAnsi="宋体" w:eastAsia="宋体" w:cs="宋体"/>
                <w:sz w:val="21"/>
              </w:rPr>
              <w:t>1</w:t>
            </w:r>
          </w:p>
        </w:tc>
        <w:tc>
          <w:tcPr>
            <w:tcW w:w="1463"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jc w:val="center"/>
              <w:rPr>
                <w:rFonts w:hint="eastAsia"/>
              </w:rPr>
            </w:pPr>
            <w:r>
              <w:rPr>
                <w:rFonts w:hint="eastAsia"/>
                <w:spacing w:val="83"/>
              </w:rPr>
              <w:t>形式评</w:t>
            </w:r>
            <w:r>
              <w:rPr>
                <w:rFonts w:hint="eastAsia"/>
              </w:rPr>
              <w:t>审</w:t>
            </w:r>
          </w:p>
          <w:p>
            <w:pPr>
              <w:jc w:val="center"/>
              <w:rPr>
                <w:rFonts w:hint="eastAsia"/>
              </w:rPr>
            </w:pPr>
            <w:r>
              <w:rPr>
                <w:rFonts w:hint="eastAsia"/>
              </w:rPr>
              <w:t>与</w:t>
            </w:r>
          </w:p>
          <w:p>
            <w:pPr>
              <w:jc w:val="center"/>
              <w:rPr>
                <w:rFonts w:hint="eastAsia"/>
              </w:rPr>
            </w:pPr>
            <w:r>
              <w:rPr>
                <w:rFonts w:hint="eastAsia"/>
              </w:rPr>
              <w:t>响应性评审</w:t>
            </w:r>
          </w:p>
          <w:p>
            <w:pPr>
              <w:jc w:val="center"/>
              <w:rPr>
                <w:rFonts w:hint="eastAsia" w:ascii="宋体" w:hAnsi="宋体" w:cs="宋体"/>
                <w:kern w:val="0"/>
                <w:szCs w:val="24"/>
              </w:rPr>
            </w:pPr>
            <w:r>
              <w:rPr>
                <w:rFonts w:hint="eastAsia"/>
              </w:rPr>
              <w:t>标准</w:t>
            </w:r>
          </w:p>
        </w:tc>
        <w:tc>
          <w:tcPr>
            <w:tcW w:w="6914" w:type="dxa"/>
            <w:gridSpan w:val="2"/>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tabs>
                <w:tab w:val="left" w:pos="246"/>
              </w:tabs>
              <w:autoSpaceDE w:val="0"/>
              <w:autoSpaceDN w:val="0"/>
              <w:spacing w:line="360" w:lineRule="exact"/>
              <w:rPr>
                <w:rFonts w:hint="eastAsia" w:ascii="宋体" w:hAnsi="宋体" w:cs="宋体"/>
                <w:b/>
                <w:bCs/>
                <w:highlight w:val="none"/>
              </w:rPr>
            </w:pPr>
            <w:r>
              <w:rPr>
                <w:rFonts w:hint="eastAsia" w:ascii="宋体" w:hAnsi="宋体" w:cs="宋体"/>
                <w:b/>
                <w:bCs/>
                <w:highlight w:val="none"/>
              </w:rPr>
              <w:t>第一个信封（商务及技术文件）评审标准：</w:t>
            </w:r>
          </w:p>
          <w:p>
            <w:pPr>
              <w:tabs>
                <w:tab w:val="left" w:pos="246"/>
              </w:tabs>
              <w:autoSpaceDE w:val="0"/>
              <w:autoSpaceDN w:val="0"/>
              <w:spacing w:line="360" w:lineRule="exact"/>
              <w:rPr>
                <w:rFonts w:hint="eastAsia" w:ascii="宋体" w:hAnsi="宋体" w:cs="宋体"/>
                <w:highlight w:val="none"/>
              </w:rPr>
            </w:pPr>
            <w:r>
              <w:rPr>
                <w:rFonts w:hint="eastAsia" w:ascii="宋体" w:hAnsi="宋体" w:cs="宋体"/>
                <w:highlight w:val="none"/>
              </w:rPr>
              <w:t>(1)投标文件按照招标文件规定的格式、内容填写，字迹清晰可辨：</w:t>
            </w:r>
          </w:p>
          <w:p>
            <w:pPr>
              <w:tabs>
                <w:tab w:val="left" w:pos="246"/>
              </w:tabs>
              <w:autoSpaceDE w:val="0"/>
              <w:autoSpaceDN w:val="0"/>
              <w:spacing w:line="360" w:lineRule="exact"/>
              <w:rPr>
                <w:rFonts w:hint="eastAsia" w:ascii="宋体" w:hAnsi="宋体" w:cs="宋体"/>
                <w:highlight w:val="none"/>
              </w:rPr>
            </w:pPr>
            <w:r>
              <w:rPr>
                <w:rFonts w:hint="eastAsia" w:ascii="宋体" w:hAnsi="宋体" w:cs="宋体"/>
                <w:highlight w:val="none"/>
              </w:rPr>
              <w:t>a.投标函按招标文件规定填报了项目名称、标段号、补遗书编号（如有）、工期、工程质量要求、安全目标等；</w:t>
            </w:r>
          </w:p>
          <w:p>
            <w:pPr>
              <w:tabs>
                <w:tab w:val="left" w:pos="246"/>
              </w:tabs>
              <w:autoSpaceDE w:val="0"/>
              <w:autoSpaceDN w:val="0"/>
              <w:spacing w:line="360" w:lineRule="exact"/>
              <w:rPr>
                <w:rFonts w:hint="eastAsia" w:ascii="宋体" w:hAnsi="宋体" w:cs="宋体"/>
                <w:highlight w:val="none"/>
              </w:rPr>
            </w:pPr>
            <w:r>
              <w:rPr>
                <w:rFonts w:hint="eastAsia" w:ascii="宋体" w:hAnsi="宋体" w:cs="宋体"/>
                <w:highlight w:val="none"/>
              </w:rPr>
              <w:t>b.投标函附录的所有内容和数据均符合招标文件规定；</w:t>
            </w:r>
          </w:p>
          <w:p>
            <w:pPr>
              <w:tabs>
                <w:tab w:val="left" w:pos="246"/>
              </w:tabs>
              <w:autoSpaceDE w:val="0"/>
              <w:autoSpaceDN w:val="0"/>
              <w:spacing w:line="360" w:lineRule="exact"/>
              <w:rPr>
                <w:rFonts w:hint="eastAsia" w:ascii="宋体" w:hAnsi="宋体" w:cs="宋体"/>
                <w:highlight w:val="none"/>
              </w:rPr>
            </w:pPr>
            <w:r>
              <w:rPr>
                <w:rFonts w:hint="eastAsia" w:ascii="宋体" w:hAnsi="宋体" w:cs="宋体"/>
                <w:highlight w:val="none"/>
              </w:rPr>
              <w:t>c.投标文件中有承诺函、规范投标行为承诺函、使用农民工承诺书等内容，其内容文字与招标文件规定一致，未进行修改和删减且签字盖章齐全；</w:t>
            </w:r>
          </w:p>
          <w:p>
            <w:pPr>
              <w:tabs>
                <w:tab w:val="left" w:pos="246"/>
              </w:tabs>
              <w:autoSpaceDE w:val="0"/>
              <w:autoSpaceDN w:val="0"/>
              <w:spacing w:line="360" w:lineRule="exact"/>
              <w:rPr>
                <w:rFonts w:hint="eastAsia" w:ascii="宋体" w:hAnsi="宋体" w:cs="宋体"/>
                <w:highlight w:val="none"/>
              </w:rPr>
            </w:pPr>
            <w:r>
              <w:rPr>
                <w:rFonts w:hint="eastAsia" w:ascii="宋体" w:hAnsi="宋体" w:cs="宋体"/>
                <w:highlight w:val="none"/>
              </w:rPr>
              <w:t xml:space="preserve">d.投标文件组成齐全完整，内容均按规定填写。 </w:t>
            </w:r>
          </w:p>
          <w:p>
            <w:pPr>
              <w:tabs>
                <w:tab w:val="left" w:pos="246"/>
              </w:tabs>
              <w:autoSpaceDE w:val="0"/>
              <w:autoSpaceDN w:val="0"/>
              <w:spacing w:line="360" w:lineRule="exact"/>
              <w:rPr>
                <w:rFonts w:hint="eastAsia" w:ascii="宋体" w:hAnsi="宋体" w:cs="宋体"/>
                <w:highlight w:val="none"/>
              </w:rPr>
            </w:pPr>
            <w:r>
              <w:rPr>
                <w:rFonts w:hint="eastAsia" w:ascii="宋体" w:hAnsi="宋体" w:cs="宋体"/>
                <w:highlight w:val="none"/>
              </w:rPr>
              <w:t>(2)</w:t>
            </w:r>
            <w:r>
              <w:rPr>
                <w:rFonts w:hint="eastAsia" w:ascii="宋体" w:hAnsi="宋体" w:cs="宋体"/>
                <w:kern w:val="0"/>
                <w:szCs w:val="21"/>
                <w:highlight w:val="none"/>
              </w:rPr>
              <w:t>投标文件上法定代表人或其授权代理人的签字、投标人的单位章盖章齐全，符合招标文件规定，符合投标人须知 3.7.3 条要求（除授权书、法人身份证明需亲笔签名）。</w:t>
            </w:r>
          </w:p>
          <w:p>
            <w:pPr>
              <w:tabs>
                <w:tab w:val="left" w:pos="246"/>
                <w:tab w:val="left" w:pos="456"/>
              </w:tabs>
              <w:autoSpaceDE w:val="0"/>
              <w:autoSpaceDN w:val="0"/>
              <w:spacing w:line="360" w:lineRule="exact"/>
              <w:rPr>
                <w:rFonts w:hint="eastAsia" w:ascii="宋体" w:hAnsi="宋体" w:cs="宋体"/>
                <w:highlight w:val="none"/>
              </w:rPr>
            </w:pPr>
            <w:r>
              <w:rPr>
                <w:rFonts w:hint="eastAsia" w:ascii="宋体" w:hAnsi="宋体" w:cs="宋体"/>
                <w:highlight w:val="none"/>
              </w:rPr>
              <w:t>(3)投标人按照招标文件的规定提供了投标保证金：</w:t>
            </w:r>
          </w:p>
          <w:p>
            <w:pPr>
              <w:tabs>
                <w:tab w:val="left" w:pos="246"/>
              </w:tabs>
              <w:autoSpaceDE w:val="0"/>
              <w:autoSpaceDN w:val="0"/>
              <w:spacing w:line="360" w:lineRule="exact"/>
              <w:rPr>
                <w:rFonts w:hint="eastAsia" w:ascii="宋体" w:hAnsi="宋体" w:cs="宋体"/>
                <w:color w:val="auto"/>
                <w:highlight w:val="none"/>
              </w:rPr>
            </w:pPr>
            <w:r>
              <w:rPr>
                <w:rFonts w:hint="eastAsia" w:ascii="宋体" w:hAnsi="宋体" w:cs="宋体"/>
                <w:highlight w:val="none"/>
              </w:rPr>
              <w:t>a.投标保证金金额符合招标文件规定的金额，且投标保证金有效期不少于投标有效期；</w:t>
            </w:r>
          </w:p>
          <w:p>
            <w:pPr>
              <w:tabs>
                <w:tab w:val="left" w:pos="246"/>
              </w:tabs>
              <w:autoSpaceDE w:val="0"/>
              <w:autoSpaceDN w:val="0"/>
              <w:spacing w:line="360" w:lineRule="exact"/>
              <w:rPr>
                <w:rFonts w:hint="eastAsia" w:ascii="宋体" w:hAnsi="宋体" w:cs="宋体"/>
                <w:highlight w:val="none"/>
              </w:rPr>
            </w:pPr>
            <w:r>
              <w:rPr>
                <w:rFonts w:hint="eastAsia" w:ascii="宋体" w:hAnsi="宋体" w:cs="宋体"/>
                <w:color w:val="auto"/>
                <w:highlight w:val="none"/>
              </w:rPr>
              <w:t>b.若投标保证金</w:t>
            </w:r>
            <w:r>
              <w:rPr>
                <w:rFonts w:hint="eastAsia" w:ascii="宋体" w:hAnsi="宋体" w:cs="宋体"/>
                <w:b/>
                <w:color w:val="auto"/>
                <w:szCs w:val="21"/>
                <w:highlight w:val="none"/>
              </w:rPr>
              <w:t>采用</w:t>
            </w:r>
            <w:r>
              <w:rPr>
                <w:rFonts w:hint="eastAsia" w:ascii="宋体" w:hAnsi="宋体" w:cs="宋体"/>
                <w:b/>
                <w:bCs/>
                <w:color w:val="auto"/>
                <w:szCs w:val="21"/>
                <w:highlight w:val="none"/>
              </w:rPr>
              <w:t>现金、支票</w:t>
            </w:r>
            <w:r>
              <w:rPr>
                <w:rFonts w:hint="eastAsia" w:ascii="宋体" w:hAnsi="宋体" w:cs="宋体"/>
                <w:color w:val="auto"/>
                <w:highlight w:val="none"/>
              </w:rPr>
              <w:t>形式提交，投标人应在递交投标文件截止时间之前，将投标保证金由投标人的基</w:t>
            </w:r>
            <w:r>
              <w:rPr>
                <w:rFonts w:hint="eastAsia" w:ascii="宋体" w:hAnsi="宋体" w:cs="宋体"/>
                <w:highlight w:val="none"/>
              </w:rPr>
              <w:t>本账户转入招标人指定账户；</w:t>
            </w:r>
          </w:p>
          <w:p>
            <w:pPr>
              <w:tabs>
                <w:tab w:val="left" w:pos="246"/>
                <w:tab w:val="left" w:pos="338"/>
                <w:tab w:val="left" w:pos="456"/>
              </w:tabs>
              <w:autoSpaceDE w:val="0"/>
              <w:autoSpaceDN w:val="0"/>
              <w:spacing w:line="360" w:lineRule="exact"/>
              <w:rPr>
                <w:rFonts w:hint="eastAsia" w:ascii="宋体" w:hAnsi="宋体" w:cs="宋体"/>
                <w:highlight w:val="none"/>
              </w:rPr>
            </w:pPr>
            <w:r>
              <w:rPr>
                <w:rFonts w:hint="eastAsia" w:ascii="宋体" w:hAnsi="宋体" w:cs="宋体"/>
                <w:highlight w:val="none"/>
              </w:rPr>
              <w:t>c.若投标保证金采用保函形式提交，保函的格式、开具保函的银行、保函的有效期均满足招标文件要求，且递交投标文件截止时间之前向招标人单独密封提交了保函原件；</w:t>
            </w:r>
          </w:p>
          <w:p>
            <w:pPr>
              <w:tabs>
                <w:tab w:val="left" w:pos="246"/>
                <w:tab w:val="left" w:pos="338"/>
                <w:tab w:val="left" w:pos="456"/>
              </w:tabs>
              <w:autoSpaceDE w:val="0"/>
              <w:autoSpaceDN w:val="0"/>
              <w:spacing w:line="360" w:lineRule="exact"/>
              <w:rPr>
                <w:rFonts w:hint="eastAsia" w:ascii="宋体" w:hAnsi="宋体" w:cs="宋体"/>
                <w:highlight w:val="none"/>
              </w:rPr>
            </w:pPr>
            <w:r>
              <w:rPr>
                <w:rFonts w:hint="eastAsia" w:ascii="宋体" w:hAnsi="宋体" w:cs="宋体"/>
                <w:highlight w:val="none"/>
              </w:rPr>
              <w:t>d.若采用其他形式，满足招标文件的规定。</w:t>
            </w:r>
          </w:p>
          <w:p>
            <w:pPr>
              <w:tabs>
                <w:tab w:val="left" w:pos="246"/>
                <w:tab w:val="left" w:pos="338"/>
                <w:tab w:val="left" w:pos="456"/>
              </w:tabs>
              <w:autoSpaceDE w:val="0"/>
              <w:autoSpaceDN w:val="0"/>
              <w:spacing w:line="360" w:lineRule="exact"/>
              <w:rPr>
                <w:rFonts w:hint="eastAsia" w:ascii="宋体" w:hAnsi="宋体" w:cs="宋体"/>
                <w:highlight w:val="none"/>
              </w:rPr>
            </w:pPr>
            <w:r>
              <w:rPr>
                <w:rFonts w:hint="eastAsia" w:ascii="宋体" w:hAnsi="宋体" w:cs="宋体"/>
                <w:highlight w:val="none"/>
              </w:rPr>
              <w:t>(4)投标人法定代表人授权代理人签署投标文件的，需提交授权委托书，且授权人和被授权人均在授权委托书上亲笔签名，未使用印章、签名章或其他电子制版签名代替。</w:t>
            </w:r>
          </w:p>
          <w:p>
            <w:pPr>
              <w:tabs>
                <w:tab w:val="left" w:pos="246"/>
                <w:tab w:val="left" w:pos="338"/>
                <w:tab w:val="left" w:pos="456"/>
              </w:tabs>
              <w:autoSpaceDE w:val="0"/>
              <w:autoSpaceDN w:val="0"/>
              <w:spacing w:line="360" w:lineRule="exact"/>
              <w:rPr>
                <w:rFonts w:hint="eastAsia" w:ascii="宋体" w:hAnsi="宋体" w:cs="宋体"/>
                <w:highlight w:val="none"/>
              </w:rPr>
            </w:pPr>
            <w:r>
              <w:rPr>
                <w:rFonts w:hint="eastAsia" w:ascii="宋体" w:hAnsi="宋体" w:cs="宋体"/>
                <w:highlight w:val="none"/>
              </w:rPr>
              <w:t>（5）投标人法定代表人若亲自签署投标文件的，提供了法定代表人身份证明，且法定代表人在法定代表人身份证明上亲笔签名，未使用印章、签名章或其他电子制版签名代替。</w:t>
            </w:r>
          </w:p>
          <w:p>
            <w:pPr>
              <w:tabs>
                <w:tab w:val="left" w:pos="246"/>
                <w:tab w:val="left" w:pos="338"/>
                <w:tab w:val="left" w:pos="456"/>
              </w:tabs>
              <w:autoSpaceDE w:val="0"/>
              <w:autoSpaceDN w:val="0"/>
              <w:spacing w:line="360" w:lineRule="exact"/>
              <w:rPr>
                <w:rFonts w:hint="eastAsia" w:ascii="宋体" w:hAnsi="宋体" w:cs="宋体"/>
                <w:highlight w:val="none"/>
              </w:rPr>
            </w:pPr>
            <w:r>
              <w:rPr>
                <w:rFonts w:hint="eastAsia" w:ascii="宋体" w:hAnsi="宋体" w:cs="宋体"/>
                <w:highlight w:val="none"/>
              </w:rPr>
              <w:t xml:space="preserve">（6）投标人未以联合体形式投标。 </w:t>
            </w:r>
          </w:p>
          <w:p>
            <w:pPr>
              <w:tabs>
                <w:tab w:val="left" w:pos="246"/>
                <w:tab w:val="left" w:pos="338"/>
                <w:tab w:val="left" w:pos="456"/>
              </w:tabs>
              <w:autoSpaceDE w:val="0"/>
              <w:autoSpaceDN w:val="0"/>
              <w:spacing w:line="360" w:lineRule="exact"/>
              <w:rPr>
                <w:rFonts w:hint="eastAsia" w:ascii="宋体" w:hAnsi="宋体" w:cs="宋体"/>
                <w:highlight w:val="none"/>
              </w:rPr>
            </w:pPr>
            <w:r>
              <w:rPr>
                <w:rFonts w:hint="eastAsia" w:ascii="宋体" w:hAnsi="宋体" w:cs="宋体"/>
                <w:highlight w:val="none"/>
              </w:rPr>
              <w:t>（7）</w:t>
            </w:r>
            <w:r>
              <w:rPr>
                <w:rFonts w:hint="eastAsia" w:ascii="宋体" w:hAnsi="宋体" w:cs="宋体"/>
                <w:highlight w:val="none"/>
                <w:lang w:eastAsia="zh-CN"/>
              </w:rPr>
              <w:t>投标人如有</w:t>
            </w:r>
            <w:r>
              <w:rPr>
                <w:rFonts w:hint="eastAsia" w:ascii="宋体" w:hAnsi="宋体" w:cs="宋体"/>
                <w:highlight w:val="none"/>
              </w:rPr>
              <w:t>分包</w:t>
            </w:r>
            <w:r>
              <w:rPr>
                <w:rFonts w:hint="eastAsia" w:ascii="宋体" w:hAnsi="宋体" w:cs="宋体"/>
                <w:highlight w:val="none"/>
                <w:lang w:eastAsia="zh-CN"/>
              </w:rPr>
              <w:t>计划，符合招标文件“投标人须知”第</w:t>
            </w:r>
            <w:r>
              <w:rPr>
                <w:rFonts w:hint="eastAsia" w:ascii="宋体" w:hAnsi="宋体" w:cs="宋体"/>
                <w:highlight w:val="none"/>
                <w:lang w:val="en-US" w:eastAsia="zh-CN"/>
              </w:rPr>
              <w:t>1.11款规定，且按照招标文件“投标文件格式”的要求填写了“拟分包项目情况表”</w:t>
            </w:r>
            <w:r>
              <w:rPr>
                <w:rFonts w:hint="eastAsia" w:ascii="宋体" w:hAnsi="宋体" w:cs="宋体"/>
                <w:highlight w:val="none"/>
              </w:rPr>
              <w:t>。</w:t>
            </w:r>
          </w:p>
          <w:p>
            <w:pPr>
              <w:tabs>
                <w:tab w:val="left" w:pos="246"/>
                <w:tab w:val="left" w:pos="338"/>
                <w:tab w:val="left" w:pos="456"/>
              </w:tabs>
              <w:autoSpaceDE w:val="0"/>
              <w:autoSpaceDN w:val="0"/>
              <w:spacing w:line="360" w:lineRule="exact"/>
              <w:rPr>
                <w:rFonts w:hint="eastAsia" w:ascii="宋体" w:hAnsi="宋体" w:cs="宋体"/>
                <w:highlight w:val="none"/>
              </w:rPr>
            </w:pPr>
            <w:r>
              <w:rPr>
                <w:rFonts w:hint="eastAsia" w:ascii="宋体" w:hAnsi="宋体" w:cs="宋体"/>
                <w:highlight w:val="none"/>
              </w:rPr>
              <w:t>（8）价格指数和权重表填写满足招标文件要求。</w:t>
            </w:r>
          </w:p>
          <w:p>
            <w:pPr>
              <w:tabs>
                <w:tab w:val="left" w:pos="246"/>
                <w:tab w:val="left" w:pos="338"/>
                <w:tab w:val="left" w:pos="456"/>
              </w:tabs>
              <w:autoSpaceDE w:val="0"/>
              <w:autoSpaceDN w:val="0"/>
              <w:spacing w:line="360" w:lineRule="exact"/>
              <w:rPr>
                <w:rFonts w:hint="eastAsia" w:ascii="宋体" w:hAnsi="宋体" w:cs="宋体"/>
                <w:highlight w:val="none"/>
              </w:rPr>
            </w:pPr>
            <w:r>
              <w:rPr>
                <w:rFonts w:hint="eastAsia" w:ascii="宋体" w:hAnsi="宋体" w:cs="宋体"/>
                <w:highlight w:val="none"/>
              </w:rPr>
              <w:t>（9）同一投标人未提交两个以上不同的投标文件，但招标文件要求提交备选投标的除外。</w:t>
            </w:r>
          </w:p>
          <w:p>
            <w:pPr>
              <w:tabs>
                <w:tab w:val="left" w:pos="246"/>
                <w:tab w:val="left" w:pos="338"/>
                <w:tab w:val="left" w:pos="456"/>
              </w:tabs>
              <w:autoSpaceDE w:val="0"/>
              <w:autoSpaceDN w:val="0"/>
              <w:spacing w:line="360" w:lineRule="exact"/>
              <w:rPr>
                <w:rFonts w:hint="eastAsia" w:ascii="宋体" w:hAnsi="宋体" w:cs="宋体"/>
                <w:highlight w:val="none"/>
              </w:rPr>
            </w:pPr>
            <w:r>
              <w:rPr>
                <w:rFonts w:hint="eastAsia" w:ascii="宋体" w:hAnsi="宋体" w:cs="宋体"/>
                <w:highlight w:val="none"/>
              </w:rPr>
              <w:t>（10）投标文件中未出现有关投标报价的内容。</w:t>
            </w:r>
          </w:p>
          <w:p>
            <w:pPr>
              <w:tabs>
                <w:tab w:val="left" w:pos="246"/>
                <w:tab w:val="left" w:pos="338"/>
                <w:tab w:val="left" w:pos="456"/>
              </w:tabs>
              <w:autoSpaceDE w:val="0"/>
              <w:autoSpaceDN w:val="0"/>
              <w:spacing w:line="360" w:lineRule="exact"/>
              <w:rPr>
                <w:rFonts w:hint="eastAsia" w:ascii="宋体" w:hAnsi="宋体" w:cs="宋体"/>
                <w:highlight w:val="none"/>
              </w:rPr>
            </w:pPr>
            <w:r>
              <w:rPr>
                <w:rFonts w:hint="eastAsia" w:ascii="宋体" w:hAnsi="宋体" w:cs="宋体"/>
                <w:highlight w:val="none"/>
              </w:rPr>
              <w:t>（11）投标文件载明的招标项目完成期限未超过招标文件规定的时限。</w:t>
            </w:r>
          </w:p>
          <w:p>
            <w:pPr>
              <w:tabs>
                <w:tab w:val="left" w:pos="246"/>
              </w:tabs>
              <w:autoSpaceDE w:val="0"/>
              <w:autoSpaceDN w:val="0"/>
              <w:spacing w:line="360" w:lineRule="exact"/>
              <w:rPr>
                <w:rFonts w:hint="eastAsia" w:ascii="宋体" w:hAnsi="宋体" w:cs="宋体"/>
                <w:highlight w:val="none"/>
              </w:rPr>
            </w:pPr>
            <w:r>
              <w:rPr>
                <w:rFonts w:hint="eastAsia" w:ascii="宋体" w:hAnsi="宋体" w:cs="宋体"/>
                <w:highlight w:val="none"/>
              </w:rPr>
              <w:t>（12）投标文件对招标文件的实质性要求和条件作出了响应。</w:t>
            </w:r>
          </w:p>
          <w:p>
            <w:pPr>
              <w:tabs>
                <w:tab w:val="left" w:pos="246"/>
              </w:tabs>
              <w:autoSpaceDE w:val="0"/>
              <w:autoSpaceDN w:val="0"/>
              <w:spacing w:line="360" w:lineRule="exact"/>
              <w:rPr>
                <w:rFonts w:hint="eastAsia" w:ascii="宋体" w:hAnsi="宋体" w:cs="宋体"/>
                <w:highlight w:val="none"/>
              </w:rPr>
            </w:pPr>
            <w:r>
              <w:rPr>
                <w:rFonts w:hint="eastAsia" w:ascii="宋体" w:hAnsi="宋体" w:cs="宋体"/>
                <w:highlight w:val="none"/>
              </w:rPr>
              <w:t>（13）权利义务符合招标文件规定：</w:t>
            </w:r>
          </w:p>
          <w:p>
            <w:pPr>
              <w:tabs>
                <w:tab w:val="left" w:pos="246"/>
              </w:tabs>
              <w:autoSpaceDE w:val="0"/>
              <w:autoSpaceDN w:val="0"/>
              <w:spacing w:line="360" w:lineRule="exact"/>
              <w:rPr>
                <w:rFonts w:hint="eastAsia" w:ascii="宋体" w:hAnsi="宋体" w:cs="宋体"/>
                <w:highlight w:val="none"/>
              </w:rPr>
            </w:pPr>
            <w:r>
              <w:rPr>
                <w:rFonts w:hint="eastAsia" w:ascii="宋体" w:hAnsi="宋体" w:cs="宋体"/>
                <w:highlight w:val="none"/>
              </w:rPr>
              <w:t>a.投标人应接受招标文件规定的风险划分原则，未提出新的风险划分办法；</w:t>
            </w:r>
          </w:p>
          <w:p>
            <w:pPr>
              <w:tabs>
                <w:tab w:val="left" w:pos="246"/>
              </w:tabs>
              <w:autoSpaceDE w:val="0"/>
              <w:autoSpaceDN w:val="0"/>
              <w:spacing w:line="360" w:lineRule="exact"/>
              <w:rPr>
                <w:rFonts w:hint="eastAsia" w:ascii="宋体" w:hAnsi="宋体" w:cs="宋体"/>
                <w:highlight w:val="none"/>
              </w:rPr>
            </w:pPr>
            <w:r>
              <w:rPr>
                <w:rFonts w:hint="eastAsia" w:ascii="宋体" w:hAnsi="宋体" w:cs="宋体"/>
                <w:highlight w:val="none"/>
              </w:rPr>
              <w:t>b.投标人未增加发包人的责任范围，或减少投标人义务；</w:t>
            </w:r>
          </w:p>
          <w:p>
            <w:pPr>
              <w:tabs>
                <w:tab w:val="left" w:pos="246"/>
              </w:tabs>
              <w:autoSpaceDE w:val="0"/>
              <w:autoSpaceDN w:val="0"/>
              <w:spacing w:line="360" w:lineRule="exact"/>
              <w:rPr>
                <w:rFonts w:hint="eastAsia" w:ascii="宋体" w:hAnsi="宋体" w:cs="宋体"/>
                <w:highlight w:val="none"/>
              </w:rPr>
            </w:pPr>
            <w:r>
              <w:rPr>
                <w:rFonts w:hint="eastAsia" w:ascii="宋体" w:hAnsi="宋体" w:cs="宋体"/>
                <w:highlight w:val="none"/>
              </w:rPr>
              <w:t>c.投标人未提出不同的工程验收、计量、支付办法；</w:t>
            </w:r>
          </w:p>
          <w:p>
            <w:pPr>
              <w:tabs>
                <w:tab w:val="left" w:pos="246"/>
              </w:tabs>
              <w:autoSpaceDE w:val="0"/>
              <w:autoSpaceDN w:val="0"/>
              <w:spacing w:line="360" w:lineRule="exact"/>
              <w:rPr>
                <w:rFonts w:hint="eastAsia" w:ascii="宋体" w:hAnsi="宋体" w:cs="宋体"/>
                <w:highlight w:val="none"/>
              </w:rPr>
            </w:pPr>
            <w:r>
              <w:rPr>
                <w:rFonts w:hint="eastAsia" w:ascii="宋体" w:hAnsi="宋体" w:cs="宋体"/>
                <w:highlight w:val="none"/>
              </w:rPr>
              <w:t>d.投标人对合同纠纷、事故处理办法未提出异议；</w:t>
            </w:r>
          </w:p>
          <w:p>
            <w:pPr>
              <w:tabs>
                <w:tab w:val="left" w:pos="246"/>
              </w:tabs>
              <w:autoSpaceDE w:val="0"/>
              <w:autoSpaceDN w:val="0"/>
              <w:spacing w:line="360" w:lineRule="exact"/>
              <w:rPr>
                <w:rFonts w:hint="eastAsia" w:ascii="宋体" w:hAnsi="宋体" w:cs="宋体"/>
                <w:highlight w:val="none"/>
              </w:rPr>
            </w:pPr>
            <w:r>
              <w:rPr>
                <w:rFonts w:hint="eastAsia" w:ascii="宋体" w:hAnsi="宋体" w:cs="宋体"/>
                <w:highlight w:val="none"/>
              </w:rPr>
              <w:t>e.投标人在投标活动中无欺诈行为；</w:t>
            </w:r>
          </w:p>
          <w:p>
            <w:pPr>
              <w:tabs>
                <w:tab w:val="left" w:pos="246"/>
              </w:tabs>
              <w:autoSpaceDE w:val="0"/>
              <w:autoSpaceDN w:val="0"/>
              <w:spacing w:line="360" w:lineRule="exact"/>
              <w:rPr>
                <w:rFonts w:hint="eastAsia" w:ascii="宋体" w:hAnsi="宋体" w:cs="宋体"/>
                <w:highlight w:val="none"/>
              </w:rPr>
            </w:pPr>
            <w:r>
              <w:rPr>
                <w:rFonts w:hint="eastAsia" w:ascii="宋体" w:hAnsi="宋体" w:cs="宋体"/>
                <w:highlight w:val="none"/>
              </w:rPr>
              <w:t>f.投标人未对合同条款有重要保留。</w:t>
            </w:r>
          </w:p>
          <w:p>
            <w:pPr>
              <w:tabs>
                <w:tab w:val="left" w:pos="246"/>
              </w:tabs>
              <w:autoSpaceDE w:val="0"/>
              <w:autoSpaceDN w:val="0"/>
              <w:spacing w:line="360" w:lineRule="exact"/>
              <w:rPr>
                <w:rFonts w:hint="eastAsia" w:ascii="宋体" w:hAnsi="宋体" w:cs="宋体"/>
                <w:highlight w:val="none"/>
              </w:rPr>
            </w:pPr>
            <w:r>
              <w:rPr>
                <w:rFonts w:hint="eastAsia" w:ascii="宋体" w:hAnsi="宋体" w:cs="宋体"/>
                <w:highlight w:val="none"/>
              </w:rPr>
              <w:t>（14）围标、串标审查：如果有证据显示投标人以他人名义投标、与他人串通投标、以行贿手段谋取中标，以及投标弄虚作假的，评标委员会应对该投标文件作无效投标处理。</w:t>
            </w:r>
          </w:p>
          <w:p>
            <w:pPr>
              <w:tabs>
                <w:tab w:val="left" w:pos="246"/>
              </w:tabs>
              <w:autoSpaceDE w:val="0"/>
              <w:autoSpaceDN w:val="0"/>
              <w:spacing w:line="360" w:lineRule="exact"/>
              <w:rPr>
                <w:rFonts w:hint="eastAsia" w:ascii="宋体" w:hAnsi="宋体" w:cs="宋体"/>
                <w:highlight w:val="none"/>
              </w:rPr>
            </w:pPr>
            <w:r>
              <w:rPr>
                <w:rFonts w:hint="eastAsia" w:ascii="宋体" w:hAnsi="宋体" w:cs="宋体"/>
                <w:highlight w:val="none"/>
              </w:rPr>
              <w:t>（15）评标委员会要对投标人的财务能力、管理水平和以往施工业绩及履约信誉进行详细评审。如发现投标文件有以下情况之一的，评标委员会将对其作无效投标处理：</w:t>
            </w:r>
          </w:p>
          <w:p>
            <w:pPr>
              <w:tabs>
                <w:tab w:val="left" w:pos="246"/>
              </w:tabs>
              <w:autoSpaceDE w:val="0"/>
              <w:autoSpaceDN w:val="0"/>
              <w:spacing w:line="360" w:lineRule="exact"/>
              <w:rPr>
                <w:rFonts w:hint="eastAsia" w:ascii="宋体" w:hAnsi="宋体" w:cs="宋体"/>
                <w:highlight w:val="none"/>
              </w:rPr>
            </w:pPr>
            <w:r>
              <w:rPr>
                <w:rFonts w:hint="eastAsia" w:ascii="宋体" w:hAnsi="宋体" w:cs="宋体"/>
                <w:highlight w:val="none"/>
              </w:rPr>
              <w:t>a.承诺的质量标准低于招标文件或国家强制性标准要求；</w:t>
            </w:r>
          </w:p>
          <w:p>
            <w:pPr>
              <w:tabs>
                <w:tab w:val="left" w:pos="246"/>
              </w:tabs>
              <w:autoSpaceDE w:val="0"/>
              <w:autoSpaceDN w:val="0"/>
              <w:spacing w:line="360" w:lineRule="exact"/>
              <w:rPr>
                <w:rFonts w:hint="eastAsia" w:ascii="宋体" w:hAnsi="宋体" w:cs="宋体"/>
                <w:highlight w:val="none"/>
              </w:rPr>
            </w:pPr>
            <w:r>
              <w:rPr>
                <w:rFonts w:hint="eastAsia" w:ascii="宋体" w:hAnsi="宋体" w:cs="宋体"/>
                <w:highlight w:val="none"/>
              </w:rPr>
              <w:t>b.提供虚假施工业绩及履约信誉证明材料。</w:t>
            </w:r>
          </w:p>
          <w:p>
            <w:pPr>
              <w:tabs>
                <w:tab w:val="left" w:pos="246"/>
              </w:tabs>
              <w:autoSpaceDE w:val="0"/>
              <w:autoSpaceDN w:val="0"/>
              <w:spacing w:line="360" w:lineRule="exact"/>
              <w:rPr>
                <w:rFonts w:hint="eastAsia" w:ascii="宋体" w:hAnsi="宋体" w:cs="宋体"/>
                <w:highlight w:val="none"/>
              </w:rPr>
            </w:pPr>
            <w:r>
              <w:rPr>
                <w:rFonts w:hint="eastAsia" w:ascii="宋体" w:hAnsi="宋体" w:cs="宋体"/>
                <w:highlight w:val="none"/>
              </w:rPr>
              <w:t>（16）投标文件提交方式：满足投标人须知3.7.4项规定。</w:t>
            </w:r>
          </w:p>
          <w:p>
            <w:pPr>
              <w:tabs>
                <w:tab w:val="left" w:pos="246"/>
              </w:tabs>
              <w:autoSpaceDE w:val="0"/>
              <w:autoSpaceDN w:val="0"/>
              <w:spacing w:line="360" w:lineRule="exact"/>
              <w:rPr>
                <w:rFonts w:hint="eastAsia" w:ascii="宋体" w:hAnsi="宋体" w:cs="宋体"/>
                <w:highlight w:val="none"/>
              </w:rPr>
            </w:pPr>
            <w:r>
              <w:rPr>
                <w:rFonts w:hint="eastAsia" w:ascii="宋体" w:hAnsi="宋体" w:cs="宋体"/>
                <w:highlight w:val="none"/>
              </w:rPr>
              <w:t>（17）按照评标委员会的要求进行了澄清、说明或补正。</w:t>
            </w:r>
          </w:p>
          <w:p>
            <w:pPr>
              <w:tabs>
                <w:tab w:val="left" w:pos="246"/>
              </w:tabs>
              <w:autoSpaceDE w:val="0"/>
              <w:autoSpaceDN w:val="0"/>
              <w:spacing w:line="360" w:lineRule="exact"/>
              <w:rPr>
                <w:rFonts w:hint="eastAsia" w:ascii="宋体" w:hAnsi="宋体" w:cs="宋体"/>
                <w:highlight w:val="none"/>
              </w:rPr>
            </w:pPr>
            <w:r>
              <w:rPr>
                <w:rFonts w:hint="eastAsia" w:ascii="宋体" w:hAnsi="宋体" w:cs="宋体"/>
                <w:highlight w:val="none"/>
              </w:rPr>
              <w:t>（18）未附有招标人不能接受的其他条件。</w:t>
            </w:r>
          </w:p>
          <w:p>
            <w:pPr>
              <w:pStyle w:val="2"/>
              <w:rPr>
                <w:rFonts w:hint="eastAsia" w:ascii="Calibri" w:hAnsi="Calibri"/>
                <w:szCs w:val="22"/>
                <w:highlight w:val="none"/>
                <w:lang w:val="en-US" w:eastAsia="zh-CN"/>
              </w:rPr>
            </w:pPr>
          </w:p>
          <w:p>
            <w:pPr>
              <w:tabs>
                <w:tab w:val="left" w:pos="246"/>
              </w:tabs>
              <w:autoSpaceDE w:val="0"/>
              <w:autoSpaceDN w:val="0"/>
              <w:spacing w:line="360" w:lineRule="exact"/>
              <w:rPr>
                <w:rFonts w:hint="eastAsia" w:ascii="宋体" w:hAnsi="宋体" w:cs="宋体"/>
                <w:b/>
                <w:bCs/>
                <w:highlight w:val="none"/>
              </w:rPr>
            </w:pPr>
            <w:r>
              <w:rPr>
                <w:rFonts w:hint="eastAsia" w:ascii="宋体" w:hAnsi="宋体" w:cs="宋体"/>
                <w:b/>
                <w:bCs/>
                <w:highlight w:val="none"/>
              </w:rPr>
              <w:t>第二个信封（报价文件）评审标准：</w:t>
            </w:r>
          </w:p>
          <w:p>
            <w:pPr>
              <w:tabs>
                <w:tab w:val="left" w:pos="246"/>
                <w:tab w:val="left" w:pos="318"/>
                <w:tab w:val="left" w:pos="459"/>
              </w:tabs>
              <w:autoSpaceDE w:val="0"/>
              <w:autoSpaceDN w:val="0"/>
              <w:spacing w:line="360" w:lineRule="exact"/>
              <w:rPr>
                <w:rFonts w:hint="eastAsia" w:ascii="宋体" w:hAnsi="宋体" w:cs="宋体"/>
                <w:highlight w:val="none"/>
              </w:rPr>
            </w:pPr>
            <w:r>
              <w:rPr>
                <w:rFonts w:hint="eastAsia" w:ascii="宋体" w:hAnsi="宋体" w:cs="宋体"/>
                <w:highlight w:val="none"/>
              </w:rPr>
              <w:t>（1）投标文件按照招标文件规定的格式、内容填写，字迹清晰可辨：</w:t>
            </w:r>
          </w:p>
          <w:p>
            <w:pPr>
              <w:tabs>
                <w:tab w:val="left" w:pos="246"/>
                <w:tab w:val="left" w:pos="318"/>
                <w:tab w:val="left" w:pos="459"/>
              </w:tabs>
              <w:autoSpaceDE w:val="0"/>
              <w:autoSpaceDN w:val="0"/>
              <w:spacing w:line="360" w:lineRule="exact"/>
              <w:rPr>
                <w:rFonts w:hint="eastAsia" w:ascii="宋体" w:hAnsi="宋体" w:cs="宋体"/>
                <w:highlight w:val="none"/>
              </w:rPr>
            </w:pPr>
            <w:r>
              <w:rPr>
                <w:rFonts w:hint="eastAsia" w:ascii="宋体" w:hAnsi="宋体" w:cs="宋体"/>
                <w:highlight w:val="none"/>
              </w:rPr>
              <w:t>a.投标函按招标文件规定填报了项目名称、标段号、补遗书编号（如有）、投标价（包括大写金额和小写金额）；</w:t>
            </w:r>
          </w:p>
          <w:p>
            <w:pPr>
              <w:tabs>
                <w:tab w:val="left" w:pos="246"/>
                <w:tab w:val="left" w:pos="318"/>
                <w:tab w:val="left" w:pos="459"/>
              </w:tabs>
              <w:autoSpaceDE w:val="0"/>
              <w:autoSpaceDN w:val="0"/>
              <w:spacing w:line="360" w:lineRule="exact"/>
              <w:rPr>
                <w:rFonts w:hint="eastAsia" w:ascii="宋体" w:hAnsi="宋体" w:cs="宋体"/>
                <w:highlight w:val="none"/>
              </w:rPr>
            </w:pPr>
            <w:r>
              <w:rPr>
                <w:rFonts w:hint="eastAsia" w:ascii="宋体" w:hAnsi="宋体" w:cs="宋体"/>
                <w:highlight w:val="none"/>
              </w:rPr>
              <w:t>b.已标价工程量清单说明文字与招标文件规定一致，未进行实质性修改和删减；</w:t>
            </w:r>
          </w:p>
          <w:p>
            <w:pPr>
              <w:tabs>
                <w:tab w:val="left" w:pos="246"/>
                <w:tab w:val="left" w:pos="318"/>
                <w:tab w:val="left" w:pos="459"/>
              </w:tabs>
              <w:autoSpaceDE w:val="0"/>
              <w:autoSpaceDN w:val="0"/>
              <w:spacing w:line="360" w:lineRule="exact"/>
              <w:rPr>
                <w:rFonts w:hint="eastAsia" w:ascii="宋体" w:hAnsi="宋体" w:cs="宋体"/>
                <w:highlight w:val="none"/>
              </w:rPr>
            </w:pPr>
            <w:r>
              <w:rPr>
                <w:rFonts w:hint="eastAsia" w:ascii="宋体" w:hAnsi="宋体" w:cs="宋体"/>
                <w:highlight w:val="none"/>
              </w:rPr>
              <w:t>c.投标文件组成齐全完整，内容均按规定填写。</w:t>
            </w:r>
          </w:p>
          <w:p>
            <w:pPr>
              <w:tabs>
                <w:tab w:val="left" w:pos="246"/>
              </w:tabs>
              <w:autoSpaceDE w:val="0"/>
              <w:autoSpaceDN w:val="0"/>
              <w:spacing w:line="360" w:lineRule="exact"/>
              <w:rPr>
                <w:rFonts w:hint="eastAsia" w:ascii="宋体" w:hAnsi="宋体" w:cs="宋体"/>
                <w:highlight w:val="none"/>
              </w:rPr>
            </w:pPr>
            <w:r>
              <w:rPr>
                <w:rFonts w:hint="eastAsia" w:ascii="宋体" w:hAnsi="宋体" w:cs="宋体"/>
                <w:highlight w:val="none"/>
              </w:rPr>
              <w:t>（2）投标文件格式中（包括但不限于投标函、已标价工程量清单等）中明确要求投标人法定代表人或其委托代理人的签字，明确要求投标人加盖单位章的，符合招标文件规定</w:t>
            </w:r>
            <w:r>
              <w:rPr>
                <w:rFonts w:hint="eastAsia" w:ascii="宋体" w:hAnsi="宋体" w:cs="宋体"/>
                <w:kern w:val="0"/>
                <w:szCs w:val="21"/>
                <w:highlight w:val="none"/>
              </w:rPr>
              <w:t>，符合投标人须知 3.7.3 条要求；</w:t>
            </w:r>
          </w:p>
          <w:p>
            <w:pPr>
              <w:tabs>
                <w:tab w:val="left" w:pos="246"/>
                <w:tab w:val="left" w:pos="318"/>
                <w:tab w:val="left" w:pos="459"/>
              </w:tabs>
              <w:autoSpaceDE w:val="0"/>
              <w:autoSpaceDN w:val="0"/>
              <w:spacing w:line="360" w:lineRule="exact"/>
              <w:rPr>
                <w:rFonts w:hint="eastAsia" w:ascii="宋体" w:hAnsi="宋体" w:cs="宋体"/>
                <w:highlight w:val="none"/>
              </w:rPr>
            </w:pPr>
            <w:r>
              <w:rPr>
                <w:rFonts w:hint="eastAsia" w:ascii="宋体" w:hAnsi="宋体" w:cs="宋体"/>
                <w:highlight w:val="none"/>
              </w:rPr>
              <w:t>（3）投标报价中报价满足投标人须知的要求及满足以下要求：</w:t>
            </w:r>
          </w:p>
          <w:p>
            <w:pPr>
              <w:tabs>
                <w:tab w:val="left" w:pos="246"/>
                <w:tab w:val="left" w:pos="318"/>
                <w:tab w:val="left" w:pos="459"/>
              </w:tabs>
              <w:autoSpaceDE w:val="0"/>
              <w:autoSpaceDN w:val="0"/>
              <w:spacing w:line="360" w:lineRule="exact"/>
              <w:rPr>
                <w:rFonts w:hint="eastAsia" w:ascii="宋体" w:hAnsi="宋体" w:cs="宋体"/>
                <w:highlight w:val="none"/>
              </w:rPr>
            </w:pPr>
            <w:r>
              <w:rPr>
                <w:rFonts w:hint="eastAsia" w:ascii="宋体" w:hAnsi="宋体" w:cs="宋体"/>
                <w:highlight w:val="none"/>
              </w:rPr>
              <w:t>a.投标报价的大写金额能确定具体数值；</w:t>
            </w:r>
          </w:p>
          <w:p>
            <w:pPr>
              <w:tabs>
                <w:tab w:val="left" w:pos="246"/>
                <w:tab w:val="left" w:pos="318"/>
                <w:tab w:val="left" w:pos="459"/>
              </w:tabs>
              <w:autoSpaceDE w:val="0"/>
              <w:autoSpaceDN w:val="0"/>
              <w:spacing w:line="360" w:lineRule="exact"/>
              <w:rPr>
                <w:rFonts w:hint="eastAsia" w:ascii="宋体" w:hAnsi="宋体" w:cs="宋体"/>
                <w:highlight w:val="none"/>
              </w:rPr>
            </w:pPr>
            <w:r>
              <w:rPr>
                <w:rFonts w:hint="eastAsia" w:ascii="宋体" w:hAnsi="宋体" w:cs="宋体"/>
                <w:highlight w:val="none"/>
              </w:rPr>
              <w:t>b.投标报价未超过招标文件设定的最高投标限价；</w:t>
            </w:r>
          </w:p>
          <w:p>
            <w:pPr>
              <w:tabs>
                <w:tab w:val="left" w:pos="246"/>
                <w:tab w:val="left" w:pos="318"/>
                <w:tab w:val="left" w:pos="459"/>
              </w:tabs>
              <w:autoSpaceDE w:val="0"/>
              <w:autoSpaceDN w:val="0"/>
              <w:spacing w:line="360" w:lineRule="exact"/>
              <w:rPr>
                <w:rFonts w:hint="eastAsia" w:ascii="宋体" w:hAnsi="宋体" w:cs="宋体"/>
                <w:highlight w:val="none"/>
              </w:rPr>
            </w:pPr>
            <w:r>
              <w:rPr>
                <w:rFonts w:hint="eastAsia" w:ascii="宋体" w:hAnsi="宋体" w:cs="宋体"/>
                <w:highlight w:val="none"/>
              </w:rPr>
              <w:t>c.投标报价大写金额无错误且可唱出；</w:t>
            </w:r>
          </w:p>
          <w:p>
            <w:pPr>
              <w:tabs>
                <w:tab w:val="left" w:pos="246"/>
                <w:tab w:val="left" w:pos="318"/>
                <w:tab w:val="left" w:pos="459"/>
              </w:tabs>
              <w:autoSpaceDE w:val="0"/>
              <w:autoSpaceDN w:val="0"/>
              <w:spacing w:line="360" w:lineRule="exact"/>
              <w:rPr>
                <w:rFonts w:hint="eastAsia" w:ascii="宋体" w:hAnsi="宋体" w:cs="宋体"/>
                <w:highlight w:val="none"/>
              </w:rPr>
            </w:pPr>
            <w:r>
              <w:rPr>
                <w:rFonts w:hint="eastAsia" w:ascii="宋体" w:hAnsi="宋体" w:cs="宋体"/>
                <w:highlight w:val="none"/>
              </w:rPr>
              <w:t>d.未提交调价函；</w:t>
            </w:r>
          </w:p>
          <w:p>
            <w:pPr>
              <w:tabs>
                <w:tab w:val="left" w:pos="246"/>
                <w:tab w:val="left" w:pos="318"/>
                <w:tab w:val="left" w:pos="459"/>
              </w:tabs>
              <w:autoSpaceDE w:val="0"/>
              <w:autoSpaceDN w:val="0"/>
              <w:spacing w:line="360" w:lineRule="exact"/>
              <w:rPr>
                <w:rFonts w:hint="eastAsia" w:ascii="宋体" w:hAnsi="宋体" w:cs="宋体"/>
                <w:highlight w:val="none"/>
              </w:rPr>
            </w:pPr>
            <w:r>
              <w:rPr>
                <w:rFonts w:hint="eastAsia" w:ascii="宋体" w:hAnsi="宋体" w:cs="宋体"/>
                <w:highlight w:val="none"/>
              </w:rPr>
              <w:t>e.同一投标人未提交两个以上不同的投标报价。</w:t>
            </w:r>
          </w:p>
          <w:p>
            <w:pPr>
              <w:pStyle w:val="2"/>
              <w:rPr>
                <w:rFonts w:hint="eastAsia" w:ascii="宋体" w:hAnsi="宋体" w:cs="宋体"/>
                <w:szCs w:val="22"/>
                <w:highlight w:val="none"/>
                <w:lang w:val="en-US" w:eastAsia="zh-CN"/>
              </w:rPr>
            </w:pPr>
            <w:r>
              <w:rPr>
                <w:rFonts w:hint="eastAsia" w:ascii="宋体" w:hAnsi="宋体" w:cs="宋体"/>
                <w:szCs w:val="22"/>
                <w:highlight w:val="none"/>
                <w:lang w:val="en-US" w:eastAsia="zh-CN"/>
              </w:rPr>
              <w:t>（4）投标报价编制及填写满足投标人须知正文及前附表第3.2款的要求；</w:t>
            </w:r>
          </w:p>
          <w:p>
            <w:pPr>
              <w:pStyle w:val="2"/>
              <w:rPr>
                <w:rFonts w:hint="eastAsia" w:ascii="宋体" w:hAnsi="宋体" w:cs="宋体"/>
                <w:szCs w:val="22"/>
                <w:highlight w:val="none"/>
              </w:rPr>
            </w:pPr>
            <w:r>
              <w:rPr>
                <w:rFonts w:hint="eastAsia" w:ascii="宋体" w:hAnsi="宋体" w:cs="宋体"/>
                <w:szCs w:val="22"/>
                <w:highlight w:val="none"/>
                <w:lang w:val="en-US" w:eastAsia="zh-CN"/>
              </w:rPr>
              <w:t>（5）投标文件未附有招标人不能接受的其他条件。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Merge w:val="restart"/>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pStyle w:val="20"/>
              <w:jc w:val="center"/>
              <w:rPr>
                <w:rFonts w:hint="eastAsia" w:ascii="宋体" w:hAnsi="宋体" w:eastAsia="宋体" w:cs="宋体"/>
                <w:sz w:val="21"/>
              </w:rPr>
            </w:pPr>
            <w:r>
              <w:rPr>
                <w:rFonts w:hint="eastAsia" w:ascii="宋体" w:hAnsi="宋体" w:eastAsia="宋体" w:cs="宋体"/>
                <w:spacing w:val="39"/>
                <w:sz w:val="21"/>
              </w:rPr>
              <w:t>2</w:t>
            </w:r>
            <w:r>
              <w:rPr>
                <w:rFonts w:hint="eastAsia" w:ascii="宋体" w:hAnsi="宋体" w:eastAsia="宋体" w:cs="宋体"/>
                <w:spacing w:val="39"/>
                <w:sz w:val="21"/>
                <w:lang w:eastAsia="zh-CN"/>
              </w:rPr>
              <w:t>.</w:t>
            </w:r>
            <w:r>
              <w:rPr>
                <w:rFonts w:hint="eastAsia" w:ascii="宋体" w:hAnsi="宋体" w:eastAsia="宋体" w:cs="宋体"/>
                <w:spacing w:val="39"/>
                <w:sz w:val="21"/>
              </w:rPr>
              <w:t>1</w:t>
            </w:r>
            <w:r>
              <w:rPr>
                <w:rFonts w:hint="eastAsia" w:ascii="宋体" w:hAnsi="宋体" w:eastAsia="宋体" w:cs="宋体"/>
                <w:spacing w:val="39"/>
                <w:sz w:val="21"/>
                <w:lang w:eastAsia="zh-CN"/>
              </w:rPr>
              <w:t>.</w:t>
            </w:r>
            <w:r>
              <w:rPr>
                <w:rFonts w:hint="eastAsia" w:ascii="宋体" w:hAnsi="宋体" w:eastAsia="宋体" w:cs="宋体"/>
                <w:sz w:val="21"/>
              </w:rPr>
              <w:t>2</w:t>
            </w:r>
          </w:p>
        </w:tc>
        <w:tc>
          <w:tcPr>
            <w:tcW w:w="1463" w:type="dxa"/>
            <w:vMerge w:val="restart"/>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pStyle w:val="20"/>
              <w:jc w:val="center"/>
              <w:rPr>
                <w:rFonts w:hint="eastAsia" w:ascii="宋体" w:hAnsi="宋体" w:eastAsia="宋体" w:cs="宋体"/>
                <w:sz w:val="21"/>
              </w:rPr>
            </w:pPr>
            <w:r>
              <w:rPr>
                <w:rFonts w:hint="eastAsia" w:ascii="宋体" w:hAnsi="宋体" w:eastAsia="宋体" w:cs="宋体"/>
                <w:spacing w:val="7"/>
                <w:sz w:val="21"/>
              </w:rPr>
              <w:t>资格评审标</w:t>
            </w:r>
            <w:r>
              <w:rPr>
                <w:rFonts w:hint="eastAsia" w:ascii="宋体" w:hAnsi="宋体" w:eastAsia="宋体" w:cs="宋体"/>
                <w:sz w:val="21"/>
              </w:rPr>
              <w:t>准</w:t>
            </w:r>
          </w:p>
        </w:tc>
        <w:tc>
          <w:tcPr>
            <w:tcW w:w="2601"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jc w:val="center"/>
              <w:rPr>
                <w:rFonts w:hint="eastAsia" w:ascii="宋体" w:hAnsi="宋体" w:cs="宋体"/>
                <w:szCs w:val="21"/>
                <w:highlight w:val="none"/>
              </w:rPr>
            </w:pPr>
            <w:r>
              <w:rPr>
                <w:rFonts w:hint="eastAsia" w:ascii="宋体" w:hAnsi="宋体" w:cs="宋体"/>
                <w:szCs w:val="21"/>
                <w:highlight w:val="none"/>
              </w:rPr>
              <w:t>投标人具备有效的营业执照等证件</w:t>
            </w:r>
          </w:p>
        </w:tc>
        <w:tc>
          <w:tcPr>
            <w:tcW w:w="4313"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tabs>
                <w:tab w:val="left" w:pos="246"/>
                <w:tab w:val="left" w:pos="318"/>
                <w:tab w:val="left" w:pos="459"/>
              </w:tabs>
              <w:autoSpaceDE w:val="0"/>
              <w:autoSpaceDN w:val="0"/>
              <w:rPr>
                <w:rFonts w:hint="eastAsia" w:ascii="宋体" w:hAnsi="宋体" w:cs="宋体"/>
                <w:kern w:val="0"/>
                <w:szCs w:val="21"/>
                <w:highlight w:val="none"/>
              </w:rPr>
            </w:pPr>
            <w:r>
              <w:rPr>
                <w:rFonts w:hint="eastAsia" w:ascii="宋体" w:hAnsi="宋体" w:cs="宋体"/>
                <w:kern w:val="0"/>
                <w:szCs w:val="21"/>
                <w:highlight w:val="none"/>
              </w:rPr>
              <w:t>投标人具备有效的营业执照、组织机构代码证、税务登记证（或三证合一的营业执照）、资质证书、安全生产许可证、基本账户开户银行提供的开户或账户信息证明等招标文件要求提交的证照，且所有证照在正本中均为彩色扫描件或彩色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07" w:type="dxa"/>
            <w:vMerge w:val="continue"/>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pStyle w:val="20"/>
              <w:jc w:val="center"/>
              <w:rPr>
                <w:rFonts w:hint="eastAsia" w:ascii="宋体" w:hAnsi="宋体" w:eastAsia="宋体" w:cs="宋体"/>
                <w:sz w:val="21"/>
              </w:rPr>
            </w:pPr>
          </w:p>
        </w:tc>
        <w:tc>
          <w:tcPr>
            <w:tcW w:w="1463" w:type="dxa"/>
            <w:vMerge w:val="continue"/>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pStyle w:val="20"/>
              <w:jc w:val="center"/>
              <w:rPr>
                <w:rFonts w:hint="eastAsia" w:ascii="宋体" w:hAnsi="宋体" w:eastAsia="宋体" w:cs="宋体"/>
                <w:sz w:val="21"/>
              </w:rPr>
            </w:pPr>
          </w:p>
        </w:tc>
        <w:tc>
          <w:tcPr>
            <w:tcW w:w="2601"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jc w:val="center"/>
              <w:rPr>
                <w:rFonts w:hint="eastAsia" w:ascii="宋体" w:hAnsi="宋体" w:cs="宋体"/>
                <w:szCs w:val="21"/>
              </w:rPr>
            </w:pPr>
            <w:r>
              <w:rPr>
                <w:rFonts w:hint="eastAsia" w:ascii="宋体" w:hAnsi="宋体" w:cs="宋体"/>
                <w:szCs w:val="21"/>
              </w:rPr>
              <w:t>投标人的资质等级符合招标文件规定</w:t>
            </w:r>
          </w:p>
        </w:tc>
        <w:tc>
          <w:tcPr>
            <w:tcW w:w="4313"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widowControl/>
              <w:jc w:val="left"/>
              <w:rPr>
                <w:rFonts w:hint="eastAsia" w:ascii="宋体" w:hAnsi="宋体" w:cs="宋体"/>
                <w:b/>
                <w:bCs/>
                <w:kern w:val="0"/>
                <w:szCs w:val="21"/>
              </w:rPr>
            </w:pPr>
            <w:r>
              <w:rPr>
                <w:rFonts w:hint="eastAsia" w:ascii="宋体" w:hAnsi="宋体" w:cs="宋体"/>
                <w:b/>
                <w:bCs/>
                <w:kern w:val="0"/>
                <w:szCs w:val="21"/>
              </w:rPr>
              <w:t>详见投标人须知附录1</w:t>
            </w:r>
            <w:r>
              <w:rPr>
                <w:rFonts w:hint="eastAsia" w:ascii="宋体" w:hAnsi="宋体" w:cs="宋体"/>
                <w:b/>
                <w:bCs/>
                <w:szCs w:val="21"/>
              </w:rPr>
              <w:t>（包括小注）</w:t>
            </w:r>
            <w:r>
              <w:rPr>
                <w:rFonts w:hint="eastAsia" w:ascii="宋体" w:hAnsi="宋体" w:cs="宋体"/>
                <w:b/>
                <w:bCs/>
                <w:kern w:val="0"/>
                <w:szCs w:val="21"/>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Merge w:val="continue"/>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pStyle w:val="20"/>
              <w:jc w:val="center"/>
              <w:rPr>
                <w:rFonts w:hint="eastAsia" w:ascii="宋体" w:hAnsi="宋体" w:eastAsia="宋体" w:cs="宋体"/>
                <w:sz w:val="21"/>
              </w:rPr>
            </w:pPr>
          </w:p>
        </w:tc>
        <w:tc>
          <w:tcPr>
            <w:tcW w:w="1463" w:type="dxa"/>
            <w:vMerge w:val="continue"/>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pStyle w:val="20"/>
              <w:jc w:val="center"/>
              <w:rPr>
                <w:rFonts w:hint="eastAsia" w:ascii="宋体" w:hAnsi="宋体" w:eastAsia="宋体" w:cs="宋体"/>
                <w:sz w:val="21"/>
              </w:rPr>
            </w:pPr>
          </w:p>
        </w:tc>
        <w:tc>
          <w:tcPr>
            <w:tcW w:w="2601"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jc w:val="center"/>
              <w:rPr>
                <w:rFonts w:hint="eastAsia" w:ascii="宋体" w:hAnsi="宋体" w:cs="宋体"/>
                <w:szCs w:val="21"/>
              </w:rPr>
            </w:pPr>
            <w:r>
              <w:rPr>
                <w:rFonts w:hint="eastAsia" w:ascii="宋体" w:hAnsi="宋体" w:cs="宋体"/>
                <w:szCs w:val="21"/>
              </w:rPr>
              <w:t>投标人的财务状况符合招标文件规定</w:t>
            </w:r>
          </w:p>
        </w:tc>
        <w:tc>
          <w:tcPr>
            <w:tcW w:w="4313"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tabs>
                <w:tab w:val="left" w:pos="246"/>
                <w:tab w:val="left" w:pos="318"/>
                <w:tab w:val="left" w:pos="459"/>
              </w:tabs>
              <w:autoSpaceDE w:val="0"/>
              <w:autoSpaceDN w:val="0"/>
              <w:rPr>
                <w:rFonts w:hint="eastAsia" w:ascii="宋体" w:hAnsi="宋体" w:cs="宋体"/>
                <w:b/>
                <w:bCs/>
                <w:kern w:val="0"/>
                <w:szCs w:val="21"/>
              </w:rPr>
            </w:pPr>
            <w:r>
              <w:rPr>
                <w:rFonts w:hint="eastAsia" w:ascii="宋体" w:hAnsi="宋体" w:cs="宋体"/>
                <w:b/>
                <w:bCs/>
                <w:kern w:val="0"/>
                <w:szCs w:val="21"/>
              </w:rPr>
              <w:t>详见投标人须知附录2</w:t>
            </w:r>
            <w:r>
              <w:rPr>
                <w:rFonts w:hint="eastAsia" w:ascii="宋体" w:hAnsi="宋体" w:cs="宋体"/>
                <w:b/>
                <w:bCs/>
                <w:szCs w:val="21"/>
              </w:rPr>
              <w:t>（包括小注）</w:t>
            </w:r>
            <w:r>
              <w:rPr>
                <w:rFonts w:hint="eastAsia" w:ascii="宋体" w:hAnsi="宋体" w:cs="宋体"/>
                <w:b/>
                <w:bCs/>
                <w:kern w:val="0"/>
                <w:szCs w:val="21"/>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Merge w:val="continue"/>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pStyle w:val="20"/>
              <w:jc w:val="center"/>
              <w:rPr>
                <w:rFonts w:hint="eastAsia" w:ascii="宋体" w:hAnsi="宋体" w:eastAsia="宋体" w:cs="宋体"/>
                <w:sz w:val="21"/>
              </w:rPr>
            </w:pPr>
          </w:p>
        </w:tc>
        <w:tc>
          <w:tcPr>
            <w:tcW w:w="1463" w:type="dxa"/>
            <w:vMerge w:val="continue"/>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pStyle w:val="20"/>
              <w:jc w:val="center"/>
              <w:rPr>
                <w:rFonts w:hint="eastAsia" w:ascii="宋体" w:hAnsi="宋体" w:eastAsia="宋体" w:cs="宋体"/>
                <w:sz w:val="21"/>
              </w:rPr>
            </w:pPr>
          </w:p>
        </w:tc>
        <w:tc>
          <w:tcPr>
            <w:tcW w:w="2601"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jc w:val="center"/>
              <w:rPr>
                <w:rFonts w:hint="eastAsia" w:ascii="宋体" w:hAnsi="宋体" w:cs="宋体"/>
                <w:szCs w:val="21"/>
              </w:rPr>
            </w:pPr>
            <w:r>
              <w:rPr>
                <w:rFonts w:hint="eastAsia" w:ascii="宋体" w:hAnsi="宋体" w:cs="宋体"/>
                <w:szCs w:val="21"/>
              </w:rPr>
              <w:t>投标人的业绩符合招标文件规定</w:t>
            </w:r>
          </w:p>
        </w:tc>
        <w:tc>
          <w:tcPr>
            <w:tcW w:w="4313"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tabs>
                <w:tab w:val="left" w:pos="246"/>
                <w:tab w:val="left" w:pos="318"/>
                <w:tab w:val="left" w:pos="459"/>
              </w:tabs>
              <w:autoSpaceDE w:val="0"/>
              <w:autoSpaceDN w:val="0"/>
              <w:rPr>
                <w:rFonts w:hint="eastAsia" w:ascii="宋体" w:hAnsi="宋体" w:cs="宋体"/>
                <w:b/>
                <w:bCs/>
                <w:kern w:val="0"/>
                <w:szCs w:val="21"/>
              </w:rPr>
            </w:pPr>
            <w:r>
              <w:rPr>
                <w:rFonts w:hint="eastAsia" w:ascii="宋体" w:hAnsi="宋体" w:cs="宋体"/>
                <w:b/>
                <w:bCs/>
                <w:kern w:val="0"/>
                <w:szCs w:val="21"/>
              </w:rPr>
              <w:t>详见投标人须知附录3</w:t>
            </w:r>
            <w:r>
              <w:rPr>
                <w:rFonts w:hint="eastAsia" w:ascii="宋体" w:hAnsi="宋体" w:cs="宋体"/>
                <w:b/>
                <w:bCs/>
                <w:szCs w:val="21"/>
              </w:rPr>
              <w:t>（包括小注）</w:t>
            </w:r>
            <w:r>
              <w:rPr>
                <w:rFonts w:hint="eastAsia" w:ascii="宋体" w:hAnsi="宋体" w:cs="宋体"/>
                <w:b/>
                <w:bCs/>
                <w:kern w:val="0"/>
                <w:szCs w:val="21"/>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Merge w:val="continue"/>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pStyle w:val="20"/>
              <w:jc w:val="center"/>
              <w:rPr>
                <w:rFonts w:hint="eastAsia" w:ascii="宋体" w:hAnsi="宋体" w:eastAsia="宋体" w:cs="宋体"/>
                <w:sz w:val="21"/>
              </w:rPr>
            </w:pPr>
          </w:p>
        </w:tc>
        <w:tc>
          <w:tcPr>
            <w:tcW w:w="1463" w:type="dxa"/>
            <w:vMerge w:val="continue"/>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pStyle w:val="20"/>
              <w:jc w:val="center"/>
              <w:rPr>
                <w:rFonts w:hint="eastAsia" w:ascii="宋体" w:hAnsi="宋体" w:eastAsia="宋体" w:cs="宋体"/>
                <w:sz w:val="21"/>
              </w:rPr>
            </w:pPr>
          </w:p>
        </w:tc>
        <w:tc>
          <w:tcPr>
            <w:tcW w:w="2601"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jc w:val="center"/>
              <w:rPr>
                <w:rFonts w:hint="eastAsia" w:ascii="宋体" w:hAnsi="宋体" w:cs="宋体"/>
                <w:szCs w:val="21"/>
              </w:rPr>
            </w:pPr>
            <w:r>
              <w:rPr>
                <w:rFonts w:hint="eastAsia" w:ascii="宋体" w:hAnsi="宋体" w:cs="宋体"/>
                <w:szCs w:val="21"/>
              </w:rPr>
              <w:t>投标人的信誉符合招标文件规定</w:t>
            </w:r>
          </w:p>
        </w:tc>
        <w:tc>
          <w:tcPr>
            <w:tcW w:w="4313"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tabs>
                <w:tab w:val="left" w:pos="246"/>
                <w:tab w:val="left" w:pos="318"/>
                <w:tab w:val="left" w:pos="459"/>
              </w:tabs>
              <w:autoSpaceDE w:val="0"/>
              <w:autoSpaceDN w:val="0"/>
              <w:rPr>
                <w:rFonts w:hint="eastAsia" w:ascii="宋体" w:hAnsi="宋体" w:cs="宋体"/>
                <w:b/>
                <w:bCs/>
                <w:kern w:val="0"/>
                <w:szCs w:val="21"/>
                <w:highlight w:val="none"/>
              </w:rPr>
            </w:pPr>
            <w:r>
              <w:rPr>
                <w:rFonts w:hint="eastAsia" w:ascii="宋体" w:hAnsi="宋体" w:cs="宋体"/>
                <w:b/>
                <w:bCs/>
                <w:kern w:val="0"/>
                <w:szCs w:val="21"/>
                <w:highlight w:val="none"/>
              </w:rPr>
              <w:t>详见投标人须知附录4（包括小注）的规定。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Merge w:val="continue"/>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pStyle w:val="20"/>
              <w:jc w:val="center"/>
              <w:rPr>
                <w:rFonts w:hint="eastAsia" w:ascii="宋体" w:hAnsi="宋体" w:eastAsia="宋体" w:cs="宋体"/>
                <w:sz w:val="21"/>
              </w:rPr>
            </w:pPr>
          </w:p>
        </w:tc>
        <w:tc>
          <w:tcPr>
            <w:tcW w:w="1463" w:type="dxa"/>
            <w:vMerge w:val="continue"/>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pStyle w:val="20"/>
              <w:jc w:val="center"/>
              <w:rPr>
                <w:rFonts w:hint="eastAsia" w:ascii="宋体" w:hAnsi="宋体" w:eastAsia="宋体" w:cs="宋体"/>
                <w:sz w:val="21"/>
              </w:rPr>
            </w:pPr>
          </w:p>
        </w:tc>
        <w:tc>
          <w:tcPr>
            <w:tcW w:w="2601"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jc w:val="center"/>
              <w:rPr>
                <w:rFonts w:hint="eastAsia" w:ascii="宋体" w:hAnsi="宋体" w:cs="宋体"/>
                <w:szCs w:val="21"/>
              </w:rPr>
            </w:pPr>
            <w:r>
              <w:rPr>
                <w:rFonts w:hint="eastAsia" w:ascii="宋体" w:hAnsi="宋体" w:cs="宋体"/>
                <w:szCs w:val="21"/>
              </w:rPr>
              <w:t>投标人的项目经理和项目总工符合招标文件规定</w:t>
            </w:r>
          </w:p>
        </w:tc>
        <w:tc>
          <w:tcPr>
            <w:tcW w:w="4313"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tabs>
                <w:tab w:val="left" w:pos="246"/>
                <w:tab w:val="left" w:pos="318"/>
                <w:tab w:val="left" w:pos="459"/>
              </w:tabs>
              <w:autoSpaceDE w:val="0"/>
              <w:autoSpaceDN w:val="0"/>
              <w:rPr>
                <w:rFonts w:hint="eastAsia" w:ascii="宋体" w:hAnsi="宋体" w:cs="宋体"/>
                <w:b/>
                <w:bCs/>
                <w:kern w:val="0"/>
                <w:szCs w:val="21"/>
              </w:rPr>
            </w:pPr>
            <w:r>
              <w:rPr>
                <w:rFonts w:hint="eastAsia" w:ascii="宋体" w:hAnsi="宋体" w:cs="宋体"/>
                <w:b/>
                <w:bCs/>
                <w:kern w:val="0"/>
                <w:szCs w:val="21"/>
              </w:rPr>
              <w:t>详见投标人须知附录5</w:t>
            </w:r>
            <w:r>
              <w:rPr>
                <w:rFonts w:hint="eastAsia" w:ascii="宋体" w:hAnsi="宋体" w:cs="宋体"/>
                <w:b/>
                <w:bCs/>
                <w:szCs w:val="21"/>
              </w:rPr>
              <w:t>（包括小注）</w:t>
            </w:r>
            <w:r>
              <w:rPr>
                <w:rFonts w:hint="eastAsia" w:ascii="宋体" w:hAnsi="宋体" w:cs="宋体"/>
                <w:b/>
                <w:bCs/>
                <w:kern w:val="0"/>
                <w:szCs w:val="21"/>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Merge w:val="continue"/>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pStyle w:val="20"/>
              <w:jc w:val="center"/>
              <w:rPr>
                <w:rFonts w:hint="eastAsia" w:ascii="宋体" w:hAnsi="宋体" w:eastAsia="宋体" w:cs="宋体"/>
                <w:sz w:val="21"/>
              </w:rPr>
            </w:pPr>
          </w:p>
        </w:tc>
        <w:tc>
          <w:tcPr>
            <w:tcW w:w="1463" w:type="dxa"/>
            <w:vMerge w:val="continue"/>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pStyle w:val="20"/>
              <w:jc w:val="center"/>
              <w:rPr>
                <w:rFonts w:hint="eastAsia" w:ascii="宋体" w:hAnsi="宋体" w:eastAsia="宋体" w:cs="宋体"/>
                <w:sz w:val="21"/>
              </w:rPr>
            </w:pPr>
          </w:p>
        </w:tc>
        <w:tc>
          <w:tcPr>
            <w:tcW w:w="2601"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jc w:val="center"/>
              <w:rPr>
                <w:rFonts w:hint="eastAsia" w:ascii="宋体" w:hAnsi="宋体" w:cs="宋体"/>
                <w:kern w:val="0"/>
                <w:szCs w:val="21"/>
              </w:rPr>
            </w:pPr>
            <w:r>
              <w:rPr>
                <w:rFonts w:hint="eastAsia" w:ascii="宋体" w:hAnsi="宋体" w:cs="宋体"/>
                <w:kern w:val="0"/>
                <w:szCs w:val="21"/>
              </w:rPr>
              <w:t>投标人不存在第二章“投标人须知”第1.4.3项规定的任何一种情形</w:t>
            </w:r>
          </w:p>
        </w:tc>
        <w:tc>
          <w:tcPr>
            <w:tcW w:w="4313"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tabs>
                <w:tab w:val="left" w:pos="246"/>
                <w:tab w:val="left" w:pos="318"/>
                <w:tab w:val="left" w:pos="459"/>
              </w:tabs>
              <w:autoSpaceDE w:val="0"/>
              <w:autoSpaceDN w:val="0"/>
              <w:rPr>
                <w:rFonts w:hint="eastAsia" w:ascii="宋体" w:hAnsi="宋体" w:cs="宋体"/>
                <w:kern w:val="0"/>
                <w:szCs w:val="21"/>
              </w:rPr>
            </w:pPr>
            <w:r>
              <w:rPr>
                <w:rFonts w:hint="eastAsia" w:ascii="宋体" w:hAnsi="宋体" w:cs="宋体"/>
                <w:kern w:val="0"/>
                <w:szCs w:val="21"/>
              </w:rPr>
              <w:t>详见“投标人须知”第1.4.3项。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Merge w:val="continue"/>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pStyle w:val="20"/>
              <w:jc w:val="center"/>
              <w:rPr>
                <w:rFonts w:hint="eastAsia" w:ascii="宋体" w:hAnsi="宋体" w:eastAsia="宋体" w:cs="宋体"/>
                <w:sz w:val="21"/>
              </w:rPr>
            </w:pPr>
          </w:p>
        </w:tc>
        <w:tc>
          <w:tcPr>
            <w:tcW w:w="1463" w:type="dxa"/>
            <w:vMerge w:val="continue"/>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pStyle w:val="20"/>
              <w:jc w:val="center"/>
              <w:rPr>
                <w:rFonts w:hint="eastAsia" w:ascii="宋体" w:hAnsi="宋体" w:eastAsia="宋体" w:cs="宋体"/>
                <w:sz w:val="21"/>
              </w:rPr>
            </w:pPr>
          </w:p>
        </w:tc>
        <w:tc>
          <w:tcPr>
            <w:tcW w:w="2601"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jc w:val="center"/>
              <w:rPr>
                <w:rFonts w:hint="eastAsia" w:ascii="宋体" w:hAnsi="宋体" w:cs="宋体"/>
                <w:kern w:val="0"/>
                <w:szCs w:val="21"/>
              </w:rPr>
            </w:pPr>
            <w:r>
              <w:rPr>
                <w:rFonts w:hint="eastAsia" w:ascii="宋体" w:hAnsi="宋体" w:cs="宋体"/>
                <w:szCs w:val="21"/>
              </w:rPr>
              <w:t>投标人符合第二章“投标人须知”第1.4.5项规定</w:t>
            </w:r>
          </w:p>
        </w:tc>
        <w:tc>
          <w:tcPr>
            <w:tcW w:w="4313"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tabs>
                <w:tab w:val="left" w:pos="246"/>
                <w:tab w:val="left" w:pos="318"/>
                <w:tab w:val="left" w:pos="459"/>
              </w:tabs>
              <w:autoSpaceDE w:val="0"/>
              <w:autoSpaceDN w:val="0"/>
              <w:rPr>
                <w:rFonts w:hint="eastAsia" w:ascii="宋体" w:hAnsi="宋体" w:cs="宋体"/>
                <w:kern w:val="0"/>
                <w:szCs w:val="21"/>
              </w:rPr>
            </w:pPr>
            <w:r>
              <w:rPr>
                <w:rFonts w:hint="eastAsia" w:ascii="宋体" w:hAnsi="宋体" w:cs="宋体"/>
                <w:kern w:val="0"/>
                <w:szCs w:val="21"/>
              </w:rPr>
              <w:t>详见“投标人须知”第1.4.5项。</w:t>
            </w:r>
          </w:p>
        </w:tc>
      </w:tr>
      <w:bookmarkEnd w:id="7"/>
    </w:tbl>
    <w:p>
      <w:pPr>
        <w:pStyle w:val="21"/>
        <w:spacing w:line="360" w:lineRule="auto"/>
        <w:ind w:firstLine="315" w:firstLineChars="150"/>
        <w:rPr>
          <w:rFonts w:hint="eastAsia" w:ascii="Calibri" w:hAnsi="Calibri" w:eastAsia="宋体"/>
          <w:sz w:val="21"/>
        </w:rPr>
      </w:pPr>
      <w:r>
        <w:rPr>
          <w:rFonts w:hint="eastAsia" w:ascii="Calibri" w:hAnsi="Calibri" w:eastAsia="宋体"/>
          <w:sz w:val="21"/>
        </w:rPr>
        <w:br w:type="page"/>
      </w:r>
    </w:p>
    <w:tbl>
      <w:tblPr>
        <w:tblStyle w:val="7"/>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517"/>
        <w:gridCol w:w="7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36"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pStyle w:val="17"/>
              <w:jc w:val="center"/>
              <w:rPr>
                <w:rFonts w:hint="eastAsia" w:ascii="宋体" w:hAnsi="宋体" w:cs="宋体"/>
                <w:b/>
                <w:kern w:val="0"/>
              </w:rPr>
            </w:pPr>
            <w:r>
              <w:rPr>
                <w:rFonts w:hint="eastAsia" w:ascii="宋体" w:hAnsi="宋体" w:cs="宋体"/>
                <w:b/>
                <w:spacing w:val="19"/>
                <w:kern w:val="0"/>
              </w:rPr>
              <w:t>条款</w:t>
            </w:r>
            <w:r>
              <w:rPr>
                <w:rFonts w:hint="eastAsia" w:ascii="宋体" w:hAnsi="宋体" w:cs="宋体"/>
                <w:b/>
                <w:kern w:val="0"/>
              </w:rPr>
              <w:t>号</w:t>
            </w:r>
          </w:p>
        </w:tc>
        <w:tc>
          <w:tcPr>
            <w:tcW w:w="1517"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pStyle w:val="17"/>
              <w:jc w:val="center"/>
              <w:rPr>
                <w:rFonts w:hint="eastAsia" w:ascii="宋体" w:hAnsi="宋体" w:cs="宋体"/>
                <w:b/>
                <w:kern w:val="0"/>
              </w:rPr>
            </w:pPr>
            <w:r>
              <w:rPr>
                <w:rFonts w:hint="eastAsia" w:ascii="宋体" w:hAnsi="宋体" w:cs="宋体"/>
                <w:b/>
                <w:kern w:val="0"/>
              </w:rPr>
              <w:t>条款内容</w:t>
            </w:r>
          </w:p>
        </w:tc>
        <w:tc>
          <w:tcPr>
            <w:tcW w:w="7325" w:type="dxa"/>
            <w:tcBorders>
              <w:top w:val="single" w:color="000000" w:sz="2" w:space="0"/>
              <w:left w:val="single" w:color="000000" w:sz="2" w:space="0"/>
              <w:bottom w:val="single" w:color="000000" w:sz="2" w:space="0"/>
              <w:right w:val="single" w:color="000000" w:sz="2" w:space="0"/>
            </w:tcBorders>
            <w:noWrap w:val="0"/>
            <w:tcMar>
              <w:top w:w="57" w:type="dxa"/>
              <w:left w:w="57" w:type="dxa"/>
              <w:bottom w:w="57" w:type="dxa"/>
              <w:right w:w="57" w:type="dxa"/>
            </w:tcMar>
            <w:vAlign w:val="center"/>
          </w:tcPr>
          <w:p>
            <w:pPr>
              <w:pStyle w:val="17"/>
              <w:jc w:val="center"/>
              <w:rPr>
                <w:rFonts w:hint="eastAsia" w:ascii="宋体" w:hAnsi="宋体" w:cs="宋体"/>
                <w:b/>
                <w:kern w:val="0"/>
              </w:rPr>
            </w:pPr>
            <w:r>
              <w:rPr>
                <w:rFonts w:hint="eastAsia" w:ascii="宋体" w:hAnsi="宋体" w:cs="宋体"/>
                <w:b/>
                <w:kern w:val="0"/>
              </w:rPr>
              <w:t>编列内容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14" w:hRule="atLeast"/>
          <w:jc w:val="center"/>
        </w:trPr>
        <w:tc>
          <w:tcPr>
            <w:tcW w:w="836" w:type="dxa"/>
            <w:noWrap w:val="0"/>
            <w:tcMar>
              <w:top w:w="57" w:type="dxa"/>
              <w:left w:w="57" w:type="dxa"/>
              <w:bottom w:w="57" w:type="dxa"/>
              <w:right w:w="57" w:type="dxa"/>
            </w:tcMar>
            <w:vAlign w:val="center"/>
          </w:tcPr>
          <w:p>
            <w:pPr>
              <w:pStyle w:val="21"/>
              <w:jc w:val="center"/>
              <w:rPr>
                <w:rFonts w:hint="eastAsia" w:ascii="宋体" w:hAnsi="宋体" w:eastAsia="宋体" w:cs="宋体"/>
                <w:kern w:val="0"/>
                <w:sz w:val="21"/>
                <w:szCs w:val="21"/>
              </w:rPr>
            </w:pPr>
            <w:r>
              <w:rPr>
                <w:rFonts w:hint="eastAsia" w:ascii="宋体" w:hAnsi="宋体" w:eastAsia="宋体" w:cs="宋体"/>
                <w:kern w:val="0"/>
                <w:sz w:val="21"/>
                <w:szCs w:val="21"/>
              </w:rPr>
              <w:t>2.2.1</w:t>
            </w:r>
          </w:p>
        </w:tc>
        <w:tc>
          <w:tcPr>
            <w:tcW w:w="1517" w:type="dxa"/>
            <w:noWrap w:val="0"/>
            <w:tcMar>
              <w:top w:w="57" w:type="dxa"/>
              <w:left w:w="57" w:type="dxa"/>
              <w:bottom w:w="57" w:type="dxa"/>
              <w:right w:w="57" w:type="dxa"/>
            </w:tcMar>
            <w:vAlign w:val="center"/>
          </w:tcPr>
          <w:p>
            <w:pPr>
              <w:pStyle w:val="21"/>
              <w:jc w:val="center"/>
              <w:rPr>
                <w:rFonts w:hint="eastAsia" w:ascii="宋体" w:hAnsi="宋体" w:eastAsia="宋体" w:cs="宋体"/>
                <w:kern w:val="0"/>
                <w:sz w:val="21"/>
                <w:szCs w:val="21"/>
              </w:rPr>
            </w:pPr>
            <w:r>
              <w:rPr>
                <w:rFonts w:hint="eastAsia" w:ascii="宋体" w:hAnsi="宋体" w:eastAsia="宋体" w:cs="宋体"/>
                <w:kern w:val="0"/>
                <w:sz w:val="21"/>
                <w:szCs w:val="21"/>
              </w:rPr>
              <w:t>第一个信封评分分值</w:t>
            </w:r>
          </w:p>
          <w:p>
            <w:pPr>
              <w:pStyle w:val="21"/>
              <w:jc w:val="center"/>
              <w:rPr>
                <w:rFonts w:hint="eastAsia" w:ascii="宋体" w:hAnsi="宋体" w:eastAsia="宋体" w:cs="宋体"/>
                <w:kern w:val="0"/>
                <w:sz w:val="21"/>
                <w:szCs w:val="21"/>
              </w:rPr>
            </w:pPr>
            <w:r>
              <w:rPr>
                <w:rFonts w:hint="eastAsia" w:ascii="宋体" w:hAnsi="宋体" w:eastAsia="宋体" w:cs="宋体"/>
                <w:kern w:val="0"/>
                <w:sz w:val="21"/>
                <w:szCs w:val="21"/>
              </w:rPr>
              <w:t>构成</w:t>
            </w:r>
          </w:p>
          <w:p>
            <w:pPr>
              <w:pStyle w:val="21"/>
              <w:jc w:val="center"/>
              <w:rPr>
                <w:rFonts w:hint="eastAsia" w:ascii="宋体" w:hAnsi="宋体" w:eastAsia="宋体" w:cs="宋体"/>
                <w:kern w:val="0"/>
                <w:sz w:val="21"/>
              </w:rPr>
            </w:pPr>
          </w:p>
          <w:p>
            <w:pPr>
              <w:pStyle w:val="21"/>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总分</w:t>
            </w:r>
          </w:p>
          <w:p>
            <w:pPr>
              <w:pStyle w:val="21"/>
              <w:jc w:val="center"/>
              <w:rPr>
                <w:rFonts w:hint="eastAsia" w:ascii="宋体" w:hAnsi="宋体" w:eastAsia="宋体" w:cs="宋体"/>
                <w:kern w:val="0"/>
                <w:sz w:val="21"/>
                <w:szCs w:val="21"/>
              </w:rPr>
            </w:pPr>
            <w:r>
              <w:rPr>
                <w:rFonts w:hint="eastAsia" w:ascii="宋体" w:hAnsi="宋体" w:eastAsia="宋体" w:cs="宋体"/>
                <w:b/>
                <w:bCs/>
                <w:kern w:val="0"/>
                <w:sz w:val="21"/>
                <w:szCs w:val="21"/>
              </w:rPr>
              <w:t>100分</w:t>
            </w:r>
          </w:p>
        </w:tc>
        <w:tc>
          <w:tcPr>
            <w:tcW w:w="7325" w:type="dxa"/>
            <w:noWrap w:val="0"/>
            <w:tcMar>
              <w:top w:w="57" w:type="dxa"/>
              <w:left w:w="57" w:type="dxa"/>
              <w:bottom w:w="57" w:type="dxa"/>
              <w:right w:w="57" w:type="dxa"/>
            </w:tcMar>
            <w:vAlign w:val="center"/>
          </w:tcPr>
          <w:p>
            <w:pPr>
              <w:pStyle w:val="21"/>
              <w:numPr>
                <w:ilvl w:val="0"/>
                <w:numId w:val="4"/>
              </w:numPr>
              <w:autoSpaceDE w:val="0"/>
              <w:autoSpaceDN w:val="0"/>
              <w:ind w:left="0" w:firstLine="0"/>
              <w:rPr>
                <w:rFonts w:hint="eastAsia" w:ascii="宋体" w:hAnsi="宋体" w:eastAsia="宋体" w:cs="宋体"/>
                <w:b/>
                <w:bCs/>
                <w:kern w:val="0"/>
                <w:sz w:val="21"/>
                <w:szCs w:val="21"/>
                <w:highlight w:val="none"/>
              </w:rPr>
            </w:pPr>
            <w:r>
              <w:rPr>
                <w:rFonts w:hint="eastAsia" w:ascii="宋体" w:hAnsi="宋体" w:eastAsia="宋体" w:cs="宋体"/>
                <w:b/>
                <w:bCs/>
                <w:sz w:val="21"/>
                <w:szCs w:val="21"/>
              </w:rPr>
              <w:t xml:space="preserve">施工组织设计   </w:t>
            </w:r>
            <w:r>
              <w:rPr>
                <w:rFonts w:hint="eastAsia" w:ascii="宋体" w:hAnsi="宋体" w:eastAsia="宋体" w:cs="宋体"/>
                <w:b/>
                <w:bCs/>
                <w:sz w:val="21"/>
                <w:szCs w:val="21"/>
                <w:highlight w:val="none"/>
              </w:rPr>
              <w:t xml:space="preserve">  35分</w:t>
            </w:r>
          </w:p>
          <w:p>
            <w:pPr>
              <w:pStyle w:val="21"/>
              <w:numPr>
                <w:ilvl w:val="0"/>
                <w:numId w:val="4"/>
              </w:numPr>
              <w:autoSpaceDE w:val="0"/>
              <w:autoSpaceDN w:val="0"/>
              <w:ind w:left="0" w:firstLine="0"/>
              <w:rPr>
                <w:rFonts w:hint="eastAsia" w:ascii="宋体" w:hAnsi="宋体" w:eastAsia="宋体" w:cs="宋体"/>
                <w:b/>
                <w:bCs/>
                <w:kern w:val="0"/>
                <w:sz w:val="21"/>
                <w:szCs w:val="21"/>
                <w:highlight w:val="none"/>
              </w:rPr>
            </w:pPr>
            <w:r>
              <w:rPr>
                <w:rFonts w:hint="eastAsia" w:ascii="宋体" w:hAnsi="宋体" w:eastAsia="宋体" w:cs="宋体"/>
                <w:b/>
                <w:bCs/>
                <w:sz w:val="21"/>
                <w:szCs w:val="21"/>
                <w:highlight w:val="none"/>
              </w:rPr>
              <w:t>技术能力         10分</w:t>
            </w:r>
          </w:p>
          <w:p>
            <w:pPr>
              <w:pStyle w:val="21"/>
              <w:numPr>
                <w:ilvl w:val="0"/>
                <w:numId w:val="4"/>
              </w:numPr>
              <w:autoSpaceDE w:val="0"/>
              <w:autoSpaceDN w:val="0"/>
              <w:ind w:left="0" w:firstLine="0"/>
              <w:rPr>
                <w:rFonts w:hint="eastAsia" w:ascii="宋体" w:hAnsi="宋体" w:eastAsia="宋体" w:cs="宋体"/>
                <w:b/>
                <w:bCs/>
                <w:kern w:val="0"/>
                <w:sz w:val="21"/>
                <w:szCs w:val="21"/>
                <w:highlight w:val="none"/>
              </w:rPr>
            </w:pPr>
            <w:r>
              <w:rPr>
                <w:rFonts w:hint="eastAsia" w:ascii="宋体" w:hAnsi="宋体" w:eastAsia="宋体" w:cs="宋体"/>
                <w:b/>
                <w:bCs/>
                <w:sz w:val="21"/>
                <w:szCs w:val="21"/>
                <w:highlight w:val="none"/>
              </w:rPr>
              <w:t>主要人员         25分</w:t>
            </w:r>
          </w:p>
          <w:p>
            <w:pPr>
              <w:pStyle w:val="21"/>
              <w:numPr>
                <w:ilvl w:val="0"/>
                <w:numId w:val="4"/>
              </w:numPr>
              <w:autoSpaceDE w:val="0"/>
              <w:autoSpaceDN w:val="0"/>
              <w:ind w:left="0" w:firstLine="0"/>
              <w:rPr>
                <w:rFonts w:hint="eastAsia" w:ascii="宋体" w:hAnsi="宋体" w:eastAsia="宋体" w:cs="宋体"/>
                <w:b/>
                <w:bCs/>
                <w:kern w:val="0"/>
                <w:sz w:val="21"/>
                <w:szCs w:val="21"/>
                <w:highlight w:val="none"/>
              </w:rPr>
            </w:pPr>
            <w:r>
              <w:rPr>
                <w:rFonts w:hint="eastAsia" w:ascii="宋体" w:hAnsi="宋体" w:eastAsia="宋体" w:cs="宋体"/>
                <w:b/>
                <w:bCs/>
                <w:sz w:val="21"/>
                <w:szCs w:val="21"/>
                <w:highlight w:val="none"/>
              </w:rPr>
              <w:t>履约信誉         15分</w:t>
            </w:r>
          </w:p>
          <w:p>
            <w:pPr>
              <w:pStyle w:val="21"/>
              <w:numPr>
                <w:ilvl w:val="0"/>
                <w:numId w:val="4"/>
              </w:numPr>
              <w:autoSpaceDE w:val="0"/>
              <w:autoSpaceDN w:val="0"/>
              <w:ind w:left="0" w:leftChars="0" w:firstLine="0" w:firstLineChars="0"/>
              <w:rPr>
                <w:rFonts w:hint="eastAsia" w:ascii="宋体" w:hAnsi="宋体" w:eastAsia="宋体" w:cs="宋体"/>
                <w:b/>
                <w:bCs/>
                <w:sz w:val="21"/>
                <w:szCs w:val="21"/>
              </w:rPr>
            </w:pPr>
            <w:bookmarkStart w:id="20" w:name="_GoBack"/>
            <w:bookmarkEnd w:id="20"/>
            <w:r>
              <w:rPr>
                <w:rFonts w:hint="eastAsia" w:ascii="宋体" w:hAnsi="宋体" w:eastAsia="宋体" w:cs="宋体"/>
                <w:b/>
                <w:bCs/>
                <w:sz w:val="21"/>
                <w:szCs w:val="21"/>
                <w:highlight w:val="none"/>
              </w:rPr>
              <w:t>施工业绩         15分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4" w:hRule="atLeast"/>
          <w:jc w:val="center"/>
        </w:trPr>
        <w:tc>
          <w:tcPr>
            <w:tcW w:w="836" w:type="dxa"/>
            <w:noWrap w:val="0"/>
            <w:tcMar>
              <w:top w:w="57" w:type="dxa"/>
              <w:left w:w="57" w:type="dxa"/>
              <w:bottom w:w="57" w:type="dxa"/>
              <w:right w:w="57" w:type="dxa"/>
            </w:tcMar>
            <w:vAlign w:val="center"/>
          </w:tcPr>
          <w:p>
            <w:pPr>
              <w:pStyle w:val="21"/>
              <w:jc w:val="center"/>
              <w:rPr>
                <w:rFonts w:hint="eastAsia" w:ascii="宋体" w:hAnsi="宋体" w:eastAsia="宋体" w:cs="宋体"/>
                <w:kern w:val="0"/>
                <w:sz w:val="21"/>
                <w:szCs w:val="21"/>
              </w:rPr>
            </w:pPr>
            <w:r>
              <w:rPr>
                <w:rFonts w:hint="eastAsia" w:ascii="宋体" w:hAnsi="宋体" w:eastAsia="宋体" w:cs="宋体"/>
                <w:kern w:val="0"/>
                <w:sz w:val="21"/>
                <w:szCs w:val="21"/>
              </w:rPr>
              <w:t>2.2.3</w:t>
            </w:r>
          </w:p>
        </w:tc>
        <w:tc>
          <w:tcPr>
            <w:tcW w:w="1517" w:type="dxa"/>
            <w:noWrap w:val="0"/>
            <w:tcMar>
              <w:top w:w="57" w:type="dxa"/>
              <w:left w:w="57" w:type="dxa"/>
              <w:bottom w:w="57" w:type="dxa"/>
              <w:right w:w="57" w:type="dxa"/>
            </w:tcMar>
            <w:vAlign w:val="center"/>
          </w:tcPr>
          <w:p>
            <w:pPr>
              <w:pStyle w:val="21"/>
              <w:widowControl/>
              <w:jc w:val="center"/>
              <w:rPr>
                <w:rFonts w:hint="eastAsia" w:ascii="宋体" w:hAnsi="宋体" w:eastAsia="宋体" w:cs="宋体"/>
                <w:kern w:val="0"/>
                <w:sz w:val="21"/>
              </w:rPr>
            </w:pPr>
            <w:r>
              <w:rPr>
                <w:rFonts w:hint="eastAsia" w:ascii="宋体" w:hAnsi="宋体" w:eastAsia="宋体" w:cs="宋体"/>
                <w:kern w:val="0"/>
                <w:sz w:val="21"/>
              </w:rPr>
              <w:t>第二个信封详细评审标准</w:t>
            </w:r>
          </w:p>
        </w:tc>
        <w:tc>
          <w:tcPr>
            <w:tcW w:w="7325" w:type="dxa"/>
            <w:noWrap w:val="0"/>
            <w:tcMar>
              <w:top w:w="57" w:type="dxa"/>
              <w:left w:w="57" w:type="dxa"/>
              <w:bottom w:w="57" w:type="dxa"/>
              <w:right w:w="57" w:type="dxa"/>
            </w:tcMar>
            <w:vAlign w:val="center"/>
          </w:tcPr>
          <w:p>
            <w:pPr>
              <w:pStyle w:val="21"/>
              <w:widowControl/>
              <w:rPr>
                <w:rFonts w:hint="eastAsia" w:ascii="宋体" w:hAnsi="宋体" w:eastAsia="宋体" w:cs="宋体"/>
                <w:sz w:val="21"/>
              </w:rPr>
            </w:pPr>
            <w:r>
              <w:rPr>
                <w:rFonts w:hint="eastAsia" w:ascii="宋体" w:hAnsi="宋体" w:eastAsia="宋体" w:cs="宋体"/>
                <w:sz w:val="21"/>
              </w:rPr>
              <w:t>评标价计算公式：</w:t>
            </w:r>
          </w:p>
          <w:p>
            <w:pPr>
              <w:pStyle w:val="21"/>
              <w:rPr>
                <w:rFonts w:hint="eastAsia" w:ascii="宋体" w:hAnsi="宋体" w:eastAsia="宋体" w:cs="宋体"/>
                <w:sz w:val="21"/>
              </w:rPr>
            </w:pPr>
            <w:r>
              <w:rPr>
                <w:rFonts w:hint="eastAsia" w:ascii="宋体" w:hAnsi="宋体" w:eastAsia="宋体" w:cs="宋体"/>
                <w:sz w:val="21"/>
              </w:rPr>
              <w:t>评标价=投标函文字报价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5" w:hRule="atLeast"/>
          <w:jc w:val="center"/>
        </w:trPr>
        <w:tc>
          <w:tcPr>
            <w:tcW w:w="836" w:type="dxa"/>
            <w:noWrap w:val="0"/>
            <w:tcMar>
              <w:top w:w="57" w:type="dxa"/>
              <w:left w:w="57" w:type="dxa"/>
              <w:bottom w:w="57" w:type="dxa"/>
              <w:right w:w="57" w:type="dxa"/>
            </w:tcMar>
            <w:vAlign w:val="center"/>
          </w:tcPr>
          <w:p>
            <w:pPr>
              <w:pStyle w:val="20"/>
              <w:jc w:val="center"/>
              <w:rPr>
                <w:rFonts w:hint="eastAsia" w:ascii="宋体" w:hAnsi="宋体" w:eastAsia="宋体" w:cs="宋体"/>
                <w:sz w:val="21"/>
                <w:szCs w:val="21"/>
              </w:rPr>
            </w:pPr>
            <w:r>
              <w:rPr>
                <w:rFonts w:hint="eastAsia" w:ascii="宋体" w:hAnsi="宋体" w:eastAsia="宋体" w:cs="宋体"/>
                <w:sz w:val="21"/>
              </w:rPr>
              <w:t>3</w:t>
            </w:r>
            <w:r>
              <w:rPr>
                <w:rFonts w:hint="eastAsia" w:ascii="宋体" w:hAnsi="宋体" w:eastAsia="宋体" w:cs="宋体"/>
                <w:sz w:val="21"/>
                <w:lang w:eastAsia="zh-CN"/>
              </w:rPr>
              <w:t>.</w:t>
            </w:r>
            <w:r>
              <w:rPr>
                <w:rFonts w:hint="eastAsia" w:ascii="宋体" w:hAnsi="宋体" w:eastAsia="宋体" w:cs="宋体"/>
                <w:sz w:val="21"/>
              </w:rPr>
              <w:t>2</w:t>
            </w:r>
            <w:r>
              <w:rPr>
                <w:rFonts w:hint="eastAsia" w:ascii="宋体" w:hAnsi="宋体" w:eastAsia="宋体" w:cs="宋体"/>
                <w:sz w:val="21"/>
                <w:lang w:eastAsia="zh-CN"/>
              </w:rPr>
              <w:t>.</w:t>
            </w:r>
            <w:r>
              <w:rPr>
                <w:rFonts w:hint="eastAsia" w:ascii="宋体" w:hAnsi="宋体" w:eastAsia="宋体" w:cs="宋体"/>
                <w:sz w:val="21"/>
              </w:rPr>
              <w:t>4</w:t>
            </w:r>
          </w:p>
        </w:tc>
        <w:tc>
          <w:tcPr>
            <w:tcW w:w="1517" w:type="dxa"/>
            <w:noWrap w:val="0"/>
            <w:tcMar>
              <w:top w:w="57" w:type="dxa"/>
              <w:left w:w="57" w:type="dxa"/>
              <w:bottom w:w="57" w:type="dxa"/>
              <w:right w:w="57" w:type="dxa"/>
            </w:tcMar>
            <w:vAlign w:val="center"/>
          </w:tcPr>
          <w:p>
            <w:pPr>
              <w:pStyle w:val="20"/>
              <w:jc w:val="center"/>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通过第一个信封详细评审的投标人数量</w:t>
            </w:r>
          </w:p>
        </w:tc>
        <w:tc>
          <w:tcPr>
            <w:tcW w:w="7325" w:type="dxa"/>
            <w:noWrap w:val="0"/>
            <w:tcMar>
              <w:top w:w="57" w:type="dxa"/>
              <w:left w:w="57" w:type="dxa"/>
              <w:bottom w:w="57" w:type="dxa"/>
              <w:right w:w="57" w:type="dxa"/>
            </w:tcMar>
            <w:vAlign w:val="center"/>
          </w:tcPr>
          <w:p>
            <w:pPr>
              <w:pStyle w:val="20"/>
              <w:jc w:val="both"/>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按照投标人的商务和技术得分由高到低排序，选择前5名通过详细评审。</w:t>
            </w:r>
          </w:p>
        </w:tc>
      </w:tr>
    </w:tbl>
    <w:p>
      <w:pPr>
        <w:pStyle w:val="21"/>
        <w:spacing w:line="360" w:lineRule="auto"/>
        <w:ind w:firstLine="315" w:firstLineChars="150"/>
        <w:rPr>
          <w:rFonts w:hint="eastAsia" w:ascii="Calibri" w:hAnsi="Calibri" w:eastAsia="宋体"/>
          <w:sz w:val="21"/>
        </w:rPr>
      </w:pPr>
    </w:p>
    <w:tbl>
      <w:tblPr>
        <w:tblStyle w:val="7"/>
        <w:tblW w:w="997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881"/>
        <w:gridCol w:w="447"/>
        <w:gridCol w:w="511"/>
        <w:gridCol w:w="1081"/>
        <w:gridCol w:w="1605"/>
        <w:gridCol w:w="822"/>
        <w:gridCol w:w="46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74" w:hRule="atLeast"/>
          <w:tblHeader/>
          <w:jc w:val="center"/>
        </w:trPr>
        <w:tc>
          <w:tcPr>
            <w:tcW w:w="5347" w:type="dxa"/>
            <w:gridSpan w:val="6"/>
            <w:noWrap w:val="0"/>
            <w:tcMar>
              <w:top w:w="113" w:type="dxa"/>
              <w:left w:w="113" w:type="dxa"/>
              <w:bottom w:w="113" w:type="dxa"/>
              <w:right w:w="113" w:type="dxa"/>
            </w:tcMar>
            <w:vAlign w:val="center"/>
          </w:tcPr>
          <w:p>
            <w:pPr>
              <w:pStyle w:val="21"/>
              <w:spacing w:line="300" w:lineRule="auto"/>
              <w:jc w:val="center"/>
              <w:rPr>
                <w:rFonts w:hint="eastAsia" w:ascii="宋体" w:hAnsi="宋体" w:eastAsia="宋体" w:cs="宋体"/>
                <w:b/>
                <w:bCs/>
                <w:sz w:val="21"/>
                <w:szCs w:val="21"/>
              </w:rPr>
            </w:pPr>
            <w:r>
              <w:rPr>
                <w:rFonts w:hint="eastAsia" w:ascii="宋体" w:hAnsi="宋体" w:eastAsia="宋体" w:cs="宋体"/>
                <w:b/>
                <w:bCs/>
                <w:sz w:val="21"/>
                <w:szCs w:val="21"/>
              </w:rPr>
              <w:t>评分因素与权重分值</w:t>
            </w:r>
          </w:p>
        </w:tc>
        <w:tc>
          <w:tcPr>
            <w:tcW w:w="4626" w:type="dxa"/>
            <w:vMerge w:val="restart"/>
            <w:noWrap w:val="0"/>
            <w:tcMar>
              <w:top w:w="113" w:type="dxa"/>
              <w:left w:w="113" w:type="dxa"/>
              <w:bottom w:w="113" w:type="dxa"/>
              <w:right w:w="113" w:type="dxa"/>
            </w:tcMar>
            <w:vAlign w:val="center"/>
          </w:tcPr>
          <w:p>
            <w:pPr>
              <w:pStyle w:val="21"/>
              <w:spacing w:line="300" w:lineRule="auto"/>
              <w:jc w:val="center"/>
              <w:rPr>
                <w:rFonts w:hint="eastAsia" w:ascii="宋体" w:hAnsi="宋体" w:eastAsia="宋体" w:cs="宋体"/>
                <w:b/>
                <w:bCs/>
                <w:sz w:val="21"/>
                <w:szCs w:val="21"/>
              </w:rPr>
            </w:pPr>
            <w:r>
              <w:rPr>
                <w:rFonts w:hint="eastAsia" w:ascii="宋体" w:hAnsi="宋体" w:eastAsia="宋体" w:cs="宋体"/>
                <w:b/>
                <w:bCs/>
                <w:sz w:val="21"/>
                <w:szCs w:val="21"/>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11" w:hRule="atLeast"/>
          <w:tblHeader/>
          <w:jc w:val="center"/>
        </w:trPr>
        <w:tc>
          <w:tcPr>
            <w:tcW w:w="881" w:type="dxa"/>
            <w:noWrap w:val="0"/>
            <w:tcMar>
              <w:top w:w="113" w:type="dxa"/>
              <w:left w:w="113" w:type="dxa"/>
              <w:bottom w:w="113" w:type="dxa"/>
              <w:right w:w="113" w:type="dxa"/>
            </w:tcMar>
            <w:vAlign w:val="center"/>
          </w:tcPr>
          <w:p>
            <w:pPr>
              <w:pStyle w:val="21"/>
              <w:spacing w:line="300" w:lineRule="auto"/>
              <w:jc w:val="center"/>
              <w:rPr>
                <w:rFonts w:hint="eastAsia" w:ascii="宋体" w:hAnsi="宋体" w:eastAsia="宋体" w:cs="宋体"/>
                <w:b/>
                <w:bCs/>
                <w:sz w:val="21"/>
                <w:szCs w:val="21"/>
              </w:rPr>
            </w:pPr>
            <w:r>
              <w:rPr>
                <w:rFonts w:hint="eastAsia" w:ascii="宋体" w:hAnsi="宋体" w:eastAsia="宋体" w:cs="宋体"/>
                <w:b/>
                <w:bCs/>
                <w:sz w:val="21"/>
                <w:szCs w:val="21"/>
              </w:rPr>
              <w:t>条款号</w:t>
            </w:r>
          </w:p>
        </w:tc>
        <w:tc>
          <w:tcPr>
            <w:tcW w:w="958" w:type="dxa"/>
            <w:gridSpan w:val="2"/>
            <w:noWrap w:val="0"/>
            <w:tcMar>
              <w:top w:w="113" w:type="dxa"/>
              <w:left w:w="113" w:type="dxa"/>
              <w:bottom w:w="113" w:type="dxa"/>
              <w:right w:w="113" w:type="dxa"/>
            </w:tcMar>
            <w:vAlign w:val="center"/>
          </w:tcPr>
          <w:p>
            <w:pPr>
              <w:pStyle w:val="21"/>
              <w:spacing w:line="300" w:lineRule="auto"/>
              <w:jc w:val="center"/>
              <w:rPr>
                <w:rFonts w:hint="eastAsia" w:ascii="宋体" w:hAnsi="宋体" w:eastAsia="宋体" w:cs="宋体"/>
                <w:b/>
                <w:bCs/>
                <w:sz w:val="21"/>
                <w:szCs w:val="21"/>
              </w:rPr>
            </w:pPr>
            <w:r>
              <w:rPr>
                <w:rFonts w:hint="eastAsia" w:ascii="宋体" w:hAnsi="宋体" w:eastAsia="宋体" w:cs="宋体"/>
                <w:b/>
                <w:bCs/>
                <w:sz w:val="21"/>
                <w:szCs w:val="21"/>
              </w:rPr>
              <w:t>评分</w:t>
            </w:r>
          </w:p>
          <w:p>
            <w:pPr>
              <w:pStyle w:val="21"/>
              <w:spacing w:line="300" w:lineRule="auto"/>
              <w:jc w:val="center"/>
              <w:rPr>
                <w:rFonts w:hint="eastAsia" w:ascii="宋体" w:hAnsi="宋体" w:eastAsia="宋体" w:cs="宋体"/>
                <w:b/>
                <w:bCs/>
                <w:sz w:val="21"/>
                <w:szCs w:val="21"/>
              </w:rPr>
            </w:pPr>
            <w:r>
              <w:rPr>
                <w:rFonts w:hint="eastAsia" w:ascii="宋体" w:hAnsi="宋体" w:eastAsia="宋体" w:cs="宋体"/>
                <w:b/>
                <w:bCs/>
                <w:sz w:val="21"/>
                <w:szCs w:val="21"/>
              </w:rPr>
              <w:t>因素</w:t>
            </w:r>
          </w:p>
        </w:tc>
        <w:tc>
          <w:tcPr>
            <w:tcW w:w="1081" w:type="dxa"/>
            <w:noWrap w:val="0"/>
            <w:tcMar>
              <w:top w:w="113" w:type="dxa"/>
              <w:left w:w="113" w:type="dxa"/>
              <w:bottom w:w="113" w:type="dxa"/>
              <w:right w:w="113" w:type="dxa"/>
            </w:tcMar>
            <w:vAlign w:val="center"/>
          </w:tcPr>
          <w:p>
            <w:pPr>
              <w:pStyle w:val="21"/>
              <w:spacing w:line="300" w:lineRule="auto"/>
              <w:jc w:val="center"/>
              <w:rPr>
                <w:rFonts w:hint="eastAsia" w:ascii="宋体" w:hAnsi="宋体" w:eastAsia="宋体" w:cs="宋体"/>
                <w:b/>
                <w:bCs/>
                <w:sz w:val="21"/>
                <w:szCs w:val="21"/>
              </w:rPr>
            </w:pPr>
            <w:r>
              <w:rPr>
                <w:rFonts w:hint="eastAsia" w:ascii="宋体" w:hAnsi="宋体" w:eastAsia="宋体" w:cs="宋体"/>
                <w:b/>
                <w:bCs/>
                <w:sz w:val="21"/>
                <w:szCs w:val="21"/>
              </w:rPr>
              <w:t>评分因素</w:t>
            </w:r>
          </w:p>
          <w:p>
            <w:pPr>
              <w:pStyle w:val="21"/>
              <w:spacing w:line="300" w:lineRule="auto"/>
              <w:jc w:val="center"/>
              <w:rPr>
                <w:rFonts w:hint="eastAsia" w:ascii="宋体" w:hAnsi="宋体" w:eastAsia="宋体" w:cs="宋体"/>
                <w:b/>
                <w:bCs/>
                <w:sz w:val="21"/>
                <w:szCs w:val="21"/>
              </w:rPr>
            </w:pPr>
            <w:r>
              <w:rPr>
                <w:rFonts w:hint="eastAsia" w:ascii="宋体" w:hAnsi="宋体" w:eastAsia="宋体" w:cs="宋体"/>
                <w:b/>
                <w:bCs/>
                <w:sz w:val="21"/>
                <w:szCs w:val="21"/>
              </w:rPr>
              <w:t>权重分值</w:t>
            </w:r>
          </w:p>
        </w:tc>
        <w:tc>
          <w:tcPr>
            <w:tcW w:w="1605" w:type="dxa"/>
            <w:noWrap w:val="0"/>
            <w:tcMar>
              <w:top w:w="113" w:type="dxa"/>
              <w:left w:w="113" w:type="dxa"/>
              <w:bottom w:w="113" w:type="dxa"/>
              <w:right w:w="113" w:type="dxa"/>
            </w:tcMar>
            <w:vAlign w:val="center"/>
          </w:tcPr>
          <w:p>
            <w:pPr>
              <w:pStyle w:val="21"/>
              <w:spacing w:line="300" w:lineRule="auto"/>
              <w:jc w:val="center"/>
              <w:rPr>
                <w:rFonts w:hint="eastAsia" w:ascii="宋体" w:hAnsi="宋体" w:eastAsia="宋体" w:cs="宋体"/>
                <w:b/>
                <w:bCs/>
                <w:sz w:val="21"/>
                <w:szCs w:val="21"/>
              </w:rPr>
            </w:pPr>
            <w:r>
              <w:rPr>
                <w:rFonts w:hint="eastAsia" w:ascii="宋体" w:hAnsi="宋体" w:eastAsia="宋体" w:cs="宋体"/>
                <w:b/>
                <w:bCs/>
                <w:sz w:val="21"/>
                <w:szCs w:val="21"/>
              </w:rPr>
              <w:t>各评分因素</w:t>
            </w:r>
          </w:p>
          <w:p>
            <w:pPr>
              <w:pStyle w:val="21"/>
              <w:spacing w:line="300" w:lineRule="auto"/>
              <w:jc w:val="center"/>
              <w:rPr>
                <w:rFonts w:hint="eastAsia" w:ascii="宋体" w:hAnsi="宋体" w:eastAsia="宋体" w:cs="宋体"/>
                <w:b/>
                <w:bCs/>
                <w:sz w:val="21"/>
                <w:szCs w:val="21"/>
              </w:rPr>
            </w:pPr>
            <w:r>
              <w:rPr>
                <w:rFonts w:hint="eastAsia" w:ascii="宋体" w:hAnsi="宋体" w:eastAsia="宋体" w:cs="宋体"/>
                <w:b/>
                <w:bCs/>
                <w:sz w:val="21"/>
                <w:szCs w:val="21"/>
              </w:rPr>
              <w:t>细分项</w:t>
            </w:r>
          </w:p>
        </w:tc>
        <w:tc>
          <w:tcPr>
            <w:tcW w:w="822" w:type="dxa"/>
            <w:noWrap w:val="0"/>
            <w:tcMar>
              <w:top w:w="113" w:type="dxa"/>
              <w:left w:w="113" w:type="dxa"/>
              <w:bottom w:w="113" w:type="dxa"/>
              <w:right w:w="113" w:type="dxa"/>
            </w:tcMar>
            <w:vAlign w:val="center"/>
          </w:tcPr>
          <w:p>
            <w:pPr>
              <w:pStyle w:val="21"/>
              <w:spacing w:line="300" w:lineRule="auto"/>
              <w:jc w:val="center"/>
              <w:rPr>
                <w:rFonts w:hint="eastAsia" w:ascii="宋体" w:hAnsi="宋体" w:eastAsia="宋体" w:cs="宋体"/>
                <w:b/>
                <w:bCs/>
                <w:sz w:val="21"/>
                <w:szCs w:val="21"/>
              </w:rPr>
            </w:pPr>
            <w:r>
              <w:rPr>
                <w:rFonts w:hint="eastAsia" w:ascii="宋体" w:hAnsi="宋体" w:eastAsia="宋体" w:cs="宋体"/>
                <w:b/>
                <w:bCs/>
                <w:sz w:val="21"/>
                <w:szCs w:val="21"/>
              </w:rPr>
              <w:t>分值</w:t>
            </w:r>
          </w:p>
        </w:tc>
        <w:tc>
          <w:tcPr>
            <w:tcW w:w="4626" w:type="dxa"/>
            <w:vMerge w:val="continue"/>
            <w:noWrap w:val="0"/>
            <w:tcMar>
              <w:top w:w="113" w:type="dxa"/>
              <w:left w:w="113" w:type="dxa"/>
              <w:bottom w:w="113" w:type="dxa"/>
              <w:right w:w="113" w:type="dxa"/>
            </w:tcMar>
            <w:vAlign w:val="center"/>
          </w:tcPr>
          <w:p>
            <w:pPr>
              <w:pStyle w:val="21"/>
              <w:spacing w:line="300" w:lineRule="auto"/>
              <w:jc w:val="center"/>
              <w:rPr>
                <w:rFonts w:hint="eastAsia" w:ascii="宋体" w:hAnsi="宋体" w:eastAsia="宋体" w:cs="宋体"/>
                <w:b/>
                <w:bCs/>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52" w:hRule="atLeast"/>
          <w:jc w:val="center"/>
        </w:trPr>
        <w:tc>
          <w:tcPr>
            <w:tcW w:w="881" w:type="dxa"/>
            <w:vMerge w:val="restart"/>
            <w:noWrap w:val="0"/>
            <w:tcMar>
              <w:top w:w="113" w:type="dxa"/>
              <w:left w:w="113" w:type="dxa"/>
              <w:bottom w:w="113" w:type="dxa"/>
              <w:right w:w="113" w:type="dxa"/>
            </w:tcMar>
            <w:vAlign w:val="center"/>
          </w:tcPr>
          <w:p>
            <w:pPr>
              <w:pStyle w:val="21"/>
              <w:spacing w:line="300" w:lineRule="auto"/>
              <w:jc w:val="center"/>
              <w:rPr>
                <w:rFonts w:hint="eastAsia" w:ascii="宋体" w:hAnsi="宋体" w:eastAsia="宋体" w:cs="宋体"/>
                <w:sz w:val="21"/>
                <w:szCs w:val="21"/>
              </w:rPr>
            </w:pPr>
            <w:r>
              <w:rPr>
                <w:rFonts w:hint="eastAsia" w:ascii="宋体" w:hAnsi="宋体" w:eastAsia="宋体" w:cs="宋体"/>
                <w:sz w:val="21"/>
                <w:szCs w:val="21"/>
              </w:rPr>
              <w:t>2.2.2（1）</w:t>
            </w:r>
          </w:p>
        </w:tc>
        <w:tc>
          <w:tcPr>
            <w:tcW w:w="958" w:type="dxa"/>
            <w:gridSpan w:val="2"/>
            <w:vMerge w:val="restart"/>
            <w:noWrap w:val="0"/>
            <w:tcMar>
              <w:top w:w="113" w:type="dxa"/>
              <w:left w:w="113" w:type="dxa"/>
              <w:bottom w:w="113" w:type="dxa"/>
              <w:right w:w="113" w:type="dxa"/>
            </w:tcMar>
            <w:vAlign w:val="center"/>
          </w:tcPr>
          <w:p>
            <w:pPr>
              <w:pStyle w:val="21"/>
              <w:spacing w:line="300" w:lineRule="auto"/>
              <w:jc w:val="center"/>
              <w:rPr>
                <w:rFonts w:hint="eastAsia" w:ascii="宋体" w:hAnsi="宋体" w:eastAsia="宋体" w:cs="宋体"/>
                <w:b/>
                <w:bCs/>
                <w:sz w:val="21"/>
                <w:szCs w:val="21"/>
              </w:rPr>
            </w:pPr>
            <w:r>
              <w:rPr>
                <w:rFonts w:hint="eastAsia" w:ascii="宋体" w:hAnsi="宋体" w:eastAsia="宋体" w:cs="宋体"/>
                <w:b/>
                <w:bCs/>
                <w:sz w:val="21"/>
                <w:szCs w:val="21"/>
              </w:rPr>
              <w:t>施工组织设计</w:t>
            </w:r>
          </w:p>
        </w:tc>
        <w:tc>
          <w:tcPr>
            <w:tcW w:w="1081" w:type="dxa"/>
            <w:vMerge w:val="restart"/>
            <w:noWrap w:val="0"/>
            <w:tcMar>
              <w:top w:w="113" w:type="dxa"/>
              <w:left w:w="113" w:type="dxa"/>
              <w:bottom w:w="113" w:type="dxa"/>
              <w:right w:w="113" w:type="dxa"/>
            </w:tcMar>
            <w:vAlign w:val="center"/>
          </w:tcPr>
          <w:p>
            <w:pPr>
              <w:pStyle w:val="21"/>
              <w:spacing w:line="300" w:lineRule="auto"/>
              <w:jc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35</w:t>
            </w:r>
            <w:r>
              <w:rPr>
                <w:rFonts w:hint="eastAsia" w:ascii="宋体" w:hAnsi="宋体" w:eastAsia="宋体" w:cs="宋体"/>
                <w:b/>
                <w:bCs/>
                <w:sz w:val="21"/>
                <w:szCs w:val="21"/>
              </w:rPr>
              <w:t>分</w:t>
            </w:r>
          </w:p>
        </w:tc>
        <w:tc>
          <w:tcPr>
            <w:tcW w:w="1605" w:type="dxa"/>
            <w:noWrap w:val="0"/>
            <w:tcMar>
              <w:top w:w="113" w:type="dxa"/>
              <w:left w:w="113" w:type="dxa"/>
              <w:bottom w:w="113" w:type="dxa"/>
              <w:right w:w="113" w:type="dxa"/>
            </w:tcMar>
            <w:vAlign w:val="center"/>
          </w:tcPr>
          <w:p>
            <w:pPr>
              <w:pStyle w:val="21"/>
              <w:spacing w:line="300" w:lineRule="auto"/>
              <w:jc w:val="center"/>
              <w:rPr>
                <w:rFonts w:hint="eastAsia" w:ascii="宋体" w:hAnsi="宋体" w:eastAsia="宋体" w:cs="宋体"/>
                <w:sz w:val="21"/>
                <w:szCs w:val="21"/>
              </w:rPr>
            </w:pPr>
            <w:r>
              <w:rPr>
                <w:rFonts w:hint="eastAsia" w:ascii="宋体" w:hAnsi="宋体" w:eastAsia="宋体" w:cs="宋体"/>
                <w:sz w:val="21"/>
                <w:szCs w:val="21"/>
              </w:rPr>
              <w:t>总体施工组织布置及规划</w:t>
            </w:r>
          </w:p>
        </w:tc>
        <w:tc>
          <w:tcPr>
            <w:tcW w:w="822" w:type="dxa"/>
            <w:noWrap w:val="0"/>
            <w:tcMar>
              <w:top w:w="113" w:type="dxa"/>
              <w:left w:w="113" w:type="dxa"/>
              <w:bottom w:w="113" w:type="dxa"/>
              <w:right w:w="113" w:type="dxa"/>
            </w:tcMar>
            <w:vAlign w:val="center"/>
          </w:tcPr>
          <w:p>
            <w:pPr>
              <w:pStyle w:val="21"/>
              <w:spacing w:line="300" w:lineRule="auto"/>
              <w:jc w:val="center"/>
              <w:rPr>
                <w:rFonts w:hint="eastAsia" w:ascii="宋体" w:hAnsi="宋体" w:eastAsia="宋体" w:cs="宋体"/>
                <w:snapToGrid w:val="0"/>
                <w:sz w:val="21"/>
                <w:szCs w:val="21"/>
              </w:rPr>
            </w:pPr>
            <w:r>
              <w:rPr>
                <w:rFonts w:hint="eastAsia" w:ascii="宋体" w:hAnsi="宋体" w:eastAsia="宋体" w:cs="宋体"/>
                <w:sz w:val="21"/>
                <w:szCs w:val="21"/>
              </w:rPr>
              <w:t>10分</w:t>
            </w:r>
          </w:p>
        </w:tc>
        <w:tc>
          <w:tcPr>
            <w:tcW w:w="4626" w:type="dxa"/>
            <w:noWrap w:val="0"/>
            <w:tcMar>
              <w:top w:w="113" w:type="dxa"/>
              <w:left w:w="113" w:type="dxa"/>
              <w:bottom w:w="113" w:type="dxa"/>
              <w:right w:w="113" w:type="dxa"/>
            </w:tcMar>
            <w:vAlign w:val="center"/>
          </w:tcPr>
          <w:p>
            <w:pPr>
              <w:pStyle w:val="21"/>
              <w:adjustRightInd w:val="0"/>
              <w:snapToGrid w:val="0"/>
              <w:spacing w:line="300" w:lineRule="auto"/>
              <w:jc w:val="left"/>
              <w:rPr>
                <w:rFonts w:hint="eastAsia" w:ascii="宋体" w:hAnsi="宋体" w:eastAsia="宋体" w:cs="宋体"/>
                <w:sz w:val="21"/>
                <w:szCs w:val="21"/>
              </w:rPr>
            </w:pPr>
            <w:r>
              <w:rPr>
                <w:rFonts w:hint="eastAsia" w:ascii="宋体" w:hAnsi="宋体" w:eastAsia="宋体" w:cs="宋体"/>
                <w:sz w:val="21"/>
                <w:szCs w:val="21"/>
              </w:rPr>
              <w:t>根据标段工程内容进行编制，布置及规划内容是否透彻、合理、切实可行：</w:t>
            </w:r>
          </w:p>
          <w:p>
            <w:pPr>
              <w:pStyle w:val="21"/>
              <w:adjustRightInd w:val="0"/>
              <w:snapToGrid w:val="0"/>
              <w:spacing w:line="300" w:lineRule="auto"/>
              <w:jc w:val="left"/>
              <w:rPr>
                <w:rFonts w:hint="eastAsia" w:eastAsia="宋体"/>
                <w:snapToGrid w:val="0"/>
                <w:sz w:val="21"/>
                <w:szCs w:val="21"/>
              </w:rPr>
            </w:pPr>
            <w:r>
              <w:rPr>
                <w:rFonts w:hint="eastAsia" w:ascii="宋体" w:hAnsi="宋体" w:eastAsia="宋体" w:cs="宋体"/>
                <w:sz w:val="21"/>
                <w:szCs w:val="21"/>
              </w:rPr>
              <w:t>合格得基本分6分；基本合理得6-8分；合理得8-10分。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881" w:type="dxa"/>
            <w:vMerge w:val="continue"/>
            <w:noWrap w:val="0"/>
            <w:tcMar>
              <w:top w:w="113" w:type="dxa"/>
              <w:left w:w="113" w:type="dxa"/>
              <w:bottom w:w="113" w:type="dxa"/>
              <w:right w:w="113" w:type="dxa"/>
            </w:tcMar>
            <w:vAlign w:val="center"/>
          </w:tcPr>
          <w:p>
            <w:pPr>
              <w:pStyle w:val="21"/>
              <w:spacing w:line="300" w:lineRule="auto"/>
              <w:jc w:val="center"/>
              <w:rPr>
                <w:rFonts w:hint="eastAsia" w:ascii="宋体" w:hAnsi="宋体" w:eastAsia="宋体" w:cs="宋体"/>
                <w:sz w:val="21"/>
                <w:szCs w:val="21"/>
              </w:rPr>
            </w:pPr>
          </w:p>
        </w:tc>
        <w:tc>
          <w:tcPr>
            <w:tcW w:w="958" w:type="dxa"/>
            <w:gridSpan w:val="2"/>
            <w:vMerge w:val="continue"/>
            <w:noWrap w:val="0"/>
            <w:tcMar>
              <w:top w:w="113" w:type="dxa"/>
              <w:left w:w="113" w:type="dxa"/>
              <w:bottom w:w="113" w:type="dxa"/>
              <w:right w:w="113" w:type="dxa"/>
            </w:tcMar>
            <w:vAlign w:val="center"/>
          </w:tcPr>
          <w:p>
            <w:pPr>
              <w:pStyle w:val="21"/>
              <w:spacing w:line="300" w:lineRule="auto"/>
              <w:jc w:val="center"/>
              <w:rPr>
                <w:rFonts w:hint="eastAsia" w:ascii="宋体" w:hAnsi="宋体" w:eastAsia="宋体" w:cs="宋体"/>
                <w:b/>
                <w:bCs/>
                <w:sz w:val="21"/>
                <w:szCs w:val="21"/>
              </w:rPr>
            </w:pPr>
          </w:p>
        </w:tc>
        <w:tc>
          <w:tcPr>
            <w:tcW w:w="1081" w:type="dxa"/>
            <w:vMerge w:val="continue"/>
            <w:noWrap w:val="0"/>
            <w:tcMar>
              <w:top w:w="113" w:type="dxa"/>
              <w:left w:w="113" w:type="dxa"/>
              <w:bottom w:w="113" w:type="dxa"/>
              <w:right w:w="113" w:type="dxa"/>
            </w:tcMar>
            <w:vAlign w:val="center"/>
          </w:tcPr>
          <w:p>
            <w:pPr>
              <w:pStyle w:val="21"/>
              <w:spacing w:line="300" w:lineRule="auto"/>
              <w:jc w:val="center"/>
              <w:rPr>
                <w:rFonts w:hint="eastAsia" w:ascii="宋体" w:hAnsi="宋体" w:eastAsia="宋体" w:cs="宋体"/>
                <w:b/>
                <w:bCs/>
                <w:sz w:val="21"/>
                <w:szCs w:val="21"/>
              </w:rPr>
            </w:pPr>
          </w:p>
        </w:tc>
        <w:tc>
          <w:tcPr>
            <w:tcW w:w="1605" w:type="dxa"/>
            <w:noWrap w:val="0"/>
            <w:tcMar>
              <w:top w:w="113" w:type="dxa"/>
              <w:left w:w="113" w:type="dxa"/>
              <w:bottom w:w="113" w:type="dxa"/>
              <w:right w:w="113" w:type="dxa"/>
            </w:tcMar>
            <w:vAlign w:val="center"/>
          </w:tcPr>
          <w:p>
            <w:pPr>
              <w:pStyle w:val="21"/>
              <w:spacing w:line="300" w:lineRule="auto"/>
              <w:jc w:val="center"/>
              <w:rPr>
                <w:rFonts w:hint="eastAsia" w:ascii="宋体" w:hAnsi="宋体" w:eastAsia="宋体" w:cs="宋体"/>
                <w:sz w:val="21"/>
                <w:szCs w:val="21"/>
              </w:rPr>
            </w:pPr>
            <w:r>
              <w:rPr>
                <w:rFonts w:hint="eastAsia" w:ascii="宋体" w:hAnsi="宋体" w:eastAsia="宋体" w:cs="宋体"/>
                <w:sz w:val="21"/>
                <w:szCs w:val="21"/>
              </w:rPr>
              <w:t>主要工程项目的施工方案、方法与技术措施、关键和难点工程的分析</w:t>
            </w:r>
          </w:p>
        </w:tc>
        <w:tc>
          <w:tcPr>
            <w:tcW w:w="822" w:type="dxa"/>
            <w:noWrap w:val="0"/>
            <w:tcMar>
              <w:top w:w="113" w:type="dxa"/>
              <w:left w:w="113" w:type="dxa"/>
              <w:bottom w:w="113" w:type="dxa"/>
              <w:right w:w="113" w:type="dxa"/>
            </w:tcMar>
            <w:vAlign w:val="center"/>
          </w:tcPr>
          <w:p>
            <w:pPr>
              <w:pStyle w:val="21"/>
              <w:spacing w:line="300" w:lineRule="auto"/>
              <w:jc w:val="center"/>
              <w:rPr>
                <w:rFonts w:hint="eastAsia" w:ascii="宋体" w:hAnsi="宋体" w:eastAsia="宋体" w:cs="宋体"/>
                <w:snapToGrid w:val="0"/>
                <w:sz w:val="21"/>
                <w:szCs w:val="21"/>
                <w:highlight w:val="none"/>
              </w:rPr>
            </w:pPr>
            <w:r>
              <w:rPr>
                <w:rFonts w:hint="eastAsia" w:ascii="宋体" w:hAnsi="宋体" w:eastAsia="宋体" w:cs="宋体"/>
                <w:sz w:val="21"/>
                <w:szCs w:val="21"/>
                <w:highlight w:val="none"/>
              </w:rPr>
              <w:t>10分</w:t>
            </w:r>
          </w:p>
        </w:tc>
        <w:tc>
          <w:tcPr>
            <w:tcW w:w="4626" w:type="dxa"/>
            <w:noWrap w:val="0"/>
            <w:tcMar>
              <w:top w:w="113" w:type="dxa"/>
              <w:left w:w="113" w:type="dxa"/>
              <w:bottom w:w="113" w:type="dxa"/>
              <w:right w:w="113" w:type="dxa"/>
            </w:tcMar>
            <w:vAlign w:val="center"/>
          </w:tcPr>
          <w:p>
            <w:pPr>
              <w:pStyle w:val="21"/>
              <w:spacing w:line="30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主要工程项目的施工方案方法是否完全满足工程要求，对本项目关键和难点工程的把握是否准确、认识深刻、措施具有针对性：</w:t>
            </w:r>
          </w:p>
          <w:p>
            <w:pPr>
              <w:pStyle w:val="21"/>
              <w:spacing w:line="300" w:lineRule="auto"/>
              <w:jc w:val="left"/>
              <w:rPr>
                <w:rFonts w:hint="eastAsia" w:eastAsia="宋体"/>
                <w:snapToGrid w:val="0"/>
                <w:sz w:val="21"/>
                <w:szCs w:val="21"/>
                <w:highlight w:val="none"/>
              </w:rPr>
            </w:pPr>
            <w:r>
              <w:rPr>
                <w:rFonts w:hint="eastAsia" w:ascii="宋体" w:hAnsi="宋体" w:eastAsia="宋体" w:cs="宋体"/>
                <w:sz w:val="21"/>
                <w:szCs w:val="21"/>
                <w:highlight w:val="none"/>
              </w:rPr>
              <w:t>合格得基本分6分，基本合理得6-8分，合理得8-10分。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47" w:hRule="atLeast"/>
          <w:jc w:val="center"/>
        </w:trPr>
        <w:tc>
          <w:tcPr>
            <w:tcW w:w="881" w:type="dxa"/>
            <w:vMerge w:val="continue"/>
            <w:noWrap w:val="0"/>
            <w:tcMar>
              <w:top w:w="113" w:type="dxa"/>
              <w:left w:w="113" w:type="dxa"/>
              <w:bottom w:w="113" w:type="dxa"/>
              <w:right w:w="113" w:type="dxa"/>
            </w:tcMar>
            <w:vAlign w:val="center"/>
          </w:tcPr>
          <w:p>
            <w:pPr>
              <w:pStyle w:val="21"/>
              <w:spacing w:line="300" w:lineRule="auto"/>
              <w:jc w:val="center"/>
              <w:rPr>
                <w:rFonts w:hint="eastAsia" w:ascii="宋体" w:hAnsi="宋体" w:eastAsia="宋体" w:cs="宋体"/>
                <w:sz w:val="21"/>
                <w:szCs w:val="21"/>
              </w:rPr>
            </w:pPr>
          </w:p>
        </w:tc>
        <w:tc>
          <w:tcPr>
            <w:tcW w:w="958" w:type="dxa"/>
            <w:gridSpan w:val="2"/>
            <w:vMerge w:val="continue"/>
            <w:noWrap w:val="0"/>
            <w:tcMar>
              <w:top w:w="113" w:type="dxa"/>
              <w:left w:w="113" w:type="dxa"/>
              <w:bottom w:w="113" w:type="dxa"/>
              <w:right w:w="113" w:type="dxa"/>
            </w:tcMar>
            <w:vAlign w:val="center"/>
          </w:tcPr>
          <w:p>
            <w:pPr>
              <w:pStyle w:val="21"/>
              <w:spacing w:line="300" w:lineRule="auto"/>
              <w:jc w:val="center"/>
              <w:rPr>
                <w:rFonts w:hint="eastAsia" w:ascii="宋体" w:hAnsi="宋体" w:eastAsia="宋体" w:cs="宋体"/>
                <w:b/>
                <w:bCs/>
                <w:sz w:val="21"/>
                <w:szCs w:val="21"/>
              </w:rPr>
            </w:pPr>
          </w:p>
        </w:tc>
        <w:tc>
          <w:tcPr>
            <w:tcW w:w="1081" w:type="dxa"/>
            <w:vMerge w:val="continue"/>
            <w:noWrap w:val="0"/>
            <w:tcMar>
              <w:top w:w="113" w:type="dxa"/>
              <w:left w:w="113" w:type="dxa"/>
              <w:bottom w:w="113" w:type="dxa"/>
              <w:right w:w="113" w:type="dxa"/>
            </w:tcMar>
            <w:vAlign w:val="center"/>
          </w:tcPr>
          <w:p>
            <w:pPr>
              <w:pStyle w:val="21"/>
              <w:spacing w:line="300" w:lineRule="auto"/>
              <w:jc w:val="center"/>
              <w:rPr>
                <w:rFonts w:hint="eastAsia" w:ascii="宋体" w:hAnsi="宋体" w:eastAsia="宋体" w:cs="宋体"/>
                <w:b/>
                <w:bCs/>
                <w:sz w:val="21"/>
                <w:szCs w:val="21"/>
              </w:rPr>
            </w:pPr>
          </w:p>
        </w:tc>
        <w:tc>
          <w:tcPr>
            <w:tcW w:w="1605" w:type="dxa"/>
            <w:noWrap w:val="0"/>
            <w:tcMar>
              <w:top w:w="113" w:type="dxa"/>
              <w:left w:w="113" w:type="dxa"/>
              <w:bottom w:w="113" w:type="dxa"/>
              <w:right w:w="113" w:type="dxa"/>
            </w:tcMar>
            <w:vAlign w:val="center"/>
          </w:tcPr>
          <w:p>
            <w:pPr>
              <w:pStyle w:val="21"/>
              <w:spacing w:line="300" w:lineRule="auto"/>
              <w:jc w:val="center"/>
              <w:rPr>
                <w:rFonts w:hint="eastAsia" w:ascii="宋体" w:hAnsi="宋体" w:eastAsia="宋体" w:cs="宋体"/>
                <w:sz w:val="21"/>
                <w:szCs w:val="21"/>
              </w:rPr>
            </w:pPr>
            <w:r>
              <w:rPr>
                <w:rFonts w:hint="eastAsia" w:ascii="宋体" w:hAnsi="宋体" w:eastAsia="宋体" w:cs="宋体"/>
                <w:sz w:val="21"/>
                <w:szCs w:val="21"/>
              </w:rPr>
              <w:t>项目工期、质量、安全生产、环境保护、水土保持、文明施工、文物保护等保证体系及保证措施</w:t>
            </w:r>
          </w:p>
        </w:tc>
        <w:tc>
          <w:tcPr>
            <w:tcW w:w="822" w:type="dxa"/>
            <w:noWrap w:val="0"/>
            <w:tcMar>
              <w:top w:w="113" w:type="dxa"/>
              <w:left w:w="113" w:type="dxa"/>
              <w:bottom w:w="113" w:type="dxa"/>
              <w:right w:w="113" w:type="dxa"/>
            </w:tcMar>
            <w:vAlign w:val="center"/>
          </w:tcPr>
          <w:p>
            <w:pPr>
              <w:pStyle w:val="21"/>
              <w:jc w:val="center"/>
              <w:rPr>
                <w:rFonts w:ascii="Calibri" w:hAnsi="Calibri" w:eastAsia="宋体"/>
                <w:sz w:val="21"/>
                <w:szCs w:val="22"/>
              </w:rPr>
            </w:pPr>
            <w:r>
              <w:rPr>
                <w:rFonts w:hint="eastAsia" w:ascii="宋体" w:hAnsi="宋体" w:eastAsia="宋体" w:cs="宋体"/>
                <w:sz w:val="21"/>
                <w:szCs w:val="21"/>
              </w:rPr>
              <w:t>10分</w:t>
            </w:r>
          </w:p>
        </w:tc>
        <w:tc>
          <w:tcPr>
            <w:tcW w:w="4626" w:type="dxa"/>
            <w:noWrap w:val="0"/>
            <w:tcMar>
              <w:top w:w="113" w:type="dxa"/>
              <w:left w:w="113" w:type="dxa"/>
              <w:bottom w:w="113" w:type="dxa"/>
              <w:right w:w="113" w:type="dxa"/>
            </w:tcMar>
            <w:vAlign w:val="center"/>
          </w:tcPr>
          <w:p>
            <w:pPr>
              <w:pStyle w:val="21"/>
              <w:spacing w:line="300" w:lineRule="auto"/>
              <w:jc w:val="left"/>
              <w:rPr>
                <w:rFonts w:hint="eastAsia" w:ascii="宋体" w:hAnsi="宋体" w:eastAsia="宋体" w:cs="宋体"/>
                <w:sz w:val="21"/>
                <w:szCs w:val="21"/>
              </w:rPr>
            </w:pPr>
            <w:r>
              <w:rPr>
                <w:rFonts w:hint="eastAsia" w:ascii="宋体" w:hAnsi="宋体" w:eastAsia="宋体" w:cs="宋体"/>
                <w:sz w:val="21"/>
                <w:szCs w:val="21"/>
              </w:rPr>
              <w:t>针对不同的内容具有不同的保证体系及保证措施，合理的推进项目进展，各项措施切实可行，计划详细、得当：</w:t>
            </w:r>
          </w:p>
          <w:p>
            <w:pPr>
              <w:pStyle w:val="21"/>
              <w:spacing w:line="300" w:lineRule="auto"/>
              <w:jc w:val="left"/>
              <w:rPr>
                <w:rFonts w:hint="eastAsia" w:eastAsia="宋体"/>
                <w:snapToGrid w:val="0"/>
                <w:sz w:val="21"/>
                <w:szCs w:val="21"/>
              </w:rPr>
            </w:pPr>
            <w:r>
              <w:rPr>
                <w:rFonts w:hint="eastAsia" w:ascii="宋体" w:hAnsi="宋体" w:eastAsia="宋体" w:cs="宋体"/>
                <w:sz w:val="21"/>
                <w:szCs w:val="21"/>
              </w:rPr>
              <w:t>合格得基本分6分，基本合理得6-8分，合理得8-10分。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898" w:hRule="atLeast"/>
          <w:jc w:val="center"/>
        </w:trPr>
        <w:tc>
          <w:tcPr>
            <w:tcW w:w="881" w:type="dxa"/>
            <w:vMerge w:val="continue"/>
            <w:noWrap w:val="0"/>
            <w:tcMar>
              <w:top w:w="113" w:type="dxa"/>
              <w:left w:w="113" w:type="dxa"/>
              <w:bottom w:w="113" w:type="dxa"/>
              <w:right w:w="113" w:type="dxa"/>
            </w:tcMar>
            <w:vAlign w:val="center"/>
          </w:tcPr>
          <w:p>
            <w:pPr>
              <w:pStyle w:val="21"/>
              <w:spacing w:line="300" w:lineRule="auto"/>
              <w:jc w:val="center"/>
              <w:rPr>
                <w:rFonts w:hint="eastAsia" w:ascii="宋体" w:hAnsi="宋体" w:eastAsia="宋体" w:cs="宋体"/>
                <w:sz w:val="21"/>
                <w:szCs w:val="21"/>
              </w:rPr>
            </w:pPr>
          </w:p>
        </w:tc>
        <w:tc>
          <w:tcPr>
            <w:tcW w:w="958" w:type="dxa"/>
            <w:gridSpan w:val="2"/>
            <w:vMerge w:val="continue"/>
            <w:noWrap w:val="0"/>
            <w:tcMar>
              <w:top w:w="113" w:type="dxa"/>
              <w:left w:w="113" w:type="dxa"/>
              <w:bottom w:w="113" w:type="dxa"/>
              <w:right w:w="113" w:type="dxa"/>
            </w:tcMar>
            <w:vAlign w:val="center"/>
          </w:tcPr>
          <w:p>
            <w:pPr>
              <w:pStyle w:val="21"/>
              <w:spacing w:line="300" w:lineRule="auto"/>
              <w:jc w:val="center"/>
              <w:rPr>
                <w:rFonts w:hint="eastAsia" w:ascii="宋体" w:hAnsi="宋体" w:eastAsia="宋体" w:cs="宋体"/>
                <w:b/>
                <w:bCs/>
                <w:sz w:val="21"/>
                <w:szCs w:val="21"/>
              </w:rPr>
            </w:pPr>
          </w:p>
        </w:tc>
        <w:tc>
          <w:tcPr>
            <w:tcW w:w="1081" w:type="dxa"/>
            <w:vMerge w:val="continue"/>
            <w:noWrap w:val="0"/>
            <w:tcMar>
              <w:top w:w="113" w:type="dxa"/>
              <w:left w:w="113" w:type="dxa"/>
              <w:bottom w:w="113" w:type="dxa"/>
              <w:right w:w="113" w:type="dxa"/>
            </w:tcMar>
            <w:vAlign w:val="center"/>
          </w:tcPr>
          <w:p>
            <w:pPr>
              <w:pStyle w:val="21"/>
              <w:spacing w:line="300" w:lineRule="auto"/>
              <w:jc w:val="center"/>
              <w:rPr>
                <w:rFonts w:hint="eastAsia" w:ascii="宋体" w:hAnsi="宋体" w:eastAsia="宋体" w:cs="宋体"/>
                <w:b/>
                <w:bCs/>
                <w:sz w:val="21"/>
                <w:szCs w:val="21"/>
              </w:rPr>
            </w:pPr>
          </w:p>
        </w:tc>
        <w:tc>
          <w:tcPr>
            <w:tcW w:w="1605" w:type="dxa"/>
            <w:noWrap w:val="0"/>
            <w:tcMar>
              <w:top w:w="113" w:type="dxa"/>
              <w:left w:w="113" w:type="dxa"/>
              <w:bottom w:w="113" w:type="dxa"/>
              <w:right w:w="113" w:type="dxa"/>
            </w:tcMar>
            <w:vAlign w:val="center"/>
          </w:tcPr>
          <w:p>
            <w:pPr>
              <w:pStyle w:val="21"/>
              <w:spacing w:line="300" w:lineRule="auto"/>
              <w:jc w:val="center"/>
              <w:rPr>
                <w:rFonts w:hint="eastAsia" w:ascii="宋体" w:hAnsi="宋体" w:eastAsia="宋体" w:cs="宋体"/>
                <w:sz w:val="21"/>
                <w:szCs w:val="21"/>
              </w:rPr>
            </w:pPr>
            <w:r>
              <w:rPr>
                <w:rFonts w:hint="eastAsia" w:ascii="宋体" w:hAnsi="宋体" w:eastAsia="宋体" w:cs="宋体"/>
                <w:sz w:val="21"/>
                <w:szCs w:val="21"/>
              </w:rPr>
              <w:t>项目风险预测与防范、事故应急预案、支付保障措施、施工标准化技术方案</w:t>
            </w:r>
          </w:p>
        </w:tc>
        <w:tc>
          <w:tcPr>
            <w:tcW w:w="822" w:type="dxa"/>
            <w:noWrap w:val="0"/>
            <w:tcMar>
              <w:top w:w="113" w:type="dxa"/>
              <w:left w:w="113" w:type="dxa"/>
              <w:bottom w:w="113" w:type="dxa"/>
              <w:right w:w="113" w:type="dxa"/>
            </w:tcMar>
            <w:vAlign w:val="center"/>
          </w:tcPr>
          <w:p>
            <w:pPr>
              <w:pStyle w:val="21"/>
              <w:spacing w:line="300" w:lineRule="auto"/>
              <w:jc w:val="center"/>
              <w:rPr>
                <w:rFonts w:hint="eastAsia" w:ascii="宋体" w:hAnsi="宋体" w:eastAsia="宋体" w:cs="宋体"/>
                <w:sz w:val="21"/>
                <w:szCs w:val="21"/>
              </w:rPr>
            </w:pPr>
            <w:r>
              <w:rPr>
                <w:rFonts w:hint="eastAsia" w:ascii="宋体" w:hAnsi="宋体" w:eastAsia="宋体" w:cs="宋体"/>
                <w:sz w:val="21"/>
                <w:szCs w:val="21"/>
              </w:rPr>
              <w:t>5分</w:t>
            </w:r>
          </w:p>
        </w:tc>
        <w:tc>
          <w:tcPr>
            <w:tcW w:w="4626" w:type="dxa"/>
            <w:noWrap w:val="0"/>
            <w:tcMar>
              <w:top w:w="113" w:type="dxa"/>
              <w:left w:w="113" w:type="dxa"/>
              <w:bottom w:w="113" w:type="dxa"/>
              <w:right w:w="113" w:type="dxa"/>
            </w:tcMar>
            <w:vAlign w:val="center"/>
          </w:tcPr>
          <w:p>
            <w:pPr>
              <w:pStyle w:val="21"/>
              <w:spacing w:line="300" w:lineRule="auto"/>
              <w:jc w:val="left"/>
              <w:rPr>
                <w:rFonts w:hint="eastAsia" w:ascii="宋体" w:hAnsi="宋体" w:eastAsia="宋体" w:cs="宋体"/>
                <w:sz w:val="21"/>
                <w:szCs w:val="21"/>
              </w:rPr>
            </w:pPr>
            <w:r>
              <w:rPr>
                <w:rFonts w:hint="eastAsia" w:ascii="宋体" w:hAnsi="宋体" w:eastAsia="宋体" w:cs="宋体"/>
                <w:sz w:val="21"/>
                <w:szCs w:val="21"/>
              </w:rPr>
              <w:t>从农民工工资、劳务分包、材料采购、设备租赁、工程分包等多方面的分析编制按期支付保证措施，措施是否合理、详细、得当：</w:t>
            </w:r>
          </w:p>
          <w:p>
            <w:pPr>
              <w:pStyle w:val="21"/>
              <w:spacing w:line="300" w:lineRule="auto"/>
              <w:jc w:val="left"/>
              <w:rPr>
                <w:rFonts w:hint="eastAsia" w:ascii="Calibri" w:hAnsi="Calibri" w:eastAsia="宋体"/>
                <w:snapToGrid w:val="0"/>
                <w:sz w:val="21"/>
                <w:szCs w:val="21"/>
              </w:rPr>
            </w:pPr>
            <w:r>
              <w:rPr>
                <w:rFonts w:hint="eastAsia" w:ascii="宋体" w:hAnsi="宋体" w:eastAsia="宋体" w:cs="宋体"/>
                <w:sz w:val="21"/>
                <w:szCs w:val="21"/>
              </w:rPr>
              <w:t>合格得基本分3分，基本合理得3-4分，合理得4-5分。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47" w:hRule="atLeast"/>
          <w:jc w:val="center"/>
        </w:trPr>
        <w:tc>
          <w:tcPr>
            <w:tcW w:w="881" w:type="dxa"/>
            <w:noWrap w:val="0"/>
            <w:tcMar>
              <w:top w:w="113" w:type="dxa"/>
              <w:left w:w="113" w:type="dxa"/>
              <w:bottom w:w="113" w:type="dxa"/>
              <w:right w:w="113" w:type="dxa"/>
            </w:tcMar>
            <w:vAlign w:val="center"/>
          </w:tcPr>
          <w:p>
            <w:pPr>
              <w:pStyle w:val="21"/>
              <w:spacing w:line="300" w:lineRule="auto"/>
              <w:jc w:val="center"/>
              <w:rPr>
                <w:rFonts w:hint="eastAsia" w:ascii="宋体" w:hAnsi="宋体" w:eastAsia="宋体" w:cs="宋体"/>
                <w:sz w:val="21"/>
                <w:szCs w:val="21"/>
              </w:rPr>
            </w:pPr>
            <w:r>
              <w:rPr>
                <w:rFonts w:hint="eastAsia" w:ascii="宋体" w:hAnsi="宋体" w:eastAsia="宋体" w:cs="宋体"/>
                <w:sz w:val="21"/>
                <w:szCs w:val="21"/>
              </w:rPr>
              <w:t>2.2.2（2）</w:t>
            </w:r>
          </w:p>
        </w:tc>
        <w:tc>
          <w:tcPr>
            <w:tcW w:w="958" w:type="dxa"/>
            <w:gridSpan w:val="2"/>
            <w:noWrap w:val="0"/>
            <w:tcMar>
              <w:top w:w="113" w:type="dxa"/>
              <w:left w:w="113" w:type="dxa"/>
              <w:bottom w:w="113" w:type="dxa"/>
              <w:right w:w="113" w:type="dxa"/>
            </w:tcMar>
            <w:vAlign w:val="center"/>
          </w:tcPr>
          <w:p>
            <w:pPr>
              <w:pStyle w:val="21"/>
              <w:spacing w:line="300" w:lineRule="auto"/>
              <w:jc w:val="center"/>
              <w:rPr>
                <w:rFonts w:hint="eastAsia" w:ascii="宋体" w:hAnsi="宋体" w:eastAsia="宋体" w:cs="宋体"/>
                <w:b/>
                <w:bCs/>
                <w:sz w:val="21"/>
                <w:szCs w:val="21"/>
              </w:rPr>
            </w:pPr>
            <w:r>
              <w:rPr>
                <w:rFonts w:hint="eastAsia" w:ascii="宋体" w:hAnsi="宋体" w:eastAsia="宋体" w:cs="宋体"/>
                <w:b/>
                <w:bCs/>
                <w:sz w:val="21"/>
                <w:szCs w:val="21"/>
              </w:rPr>
              <w:t>技术</w:t>
            </w:r>
          </w:p>
          <w:p>
            <w:pPr>
              <w:pStyle w:val="21"/>
              <w:spacing w:line="300" w:lineRule="auto"/>
              <w:jc w:val="center"/>
              <w:rPr>
                <w:rFonts w:hint="eastAsia" w:ascii="宋体" w:hAnsi="宋体" w:eastAsia="宋体" w:cs="宋体"/>
                <w:b/>
                <w:bCs/>
                <w:sz w:val="21"/>
                <w:szCs w:val="21"/>
              </w:rPr>
            </w:pPr>
            <w:r>
              <w:rPr>
                <w:rFonts w:hint="eastAsia" w:ascii="宋体" w:hAnsi="宋体" w:eastAsia="宋体" w:cs="宋体"/>
                <w:b/>
                <w:bCs/>
                <w:sz w:val="21"/>
                <w:szCs w:val="21"/>
              </w:rPr>
              <w:t>能力</w:t>
            </w:r>
          </w:p>
        </w:tc>
        <w:tc>
          <w:tcPr>
            <w:tcW w:w="1081" w:type="dxa"/>
            <w:noWrap w:val="0"/>
            <w:tcMar>
              <w:top w:w="113" w:type="dxa"/>
              <w:left w:w="113" w:type="dxa"/>
              <w:bottom w:w="113" w:type="dxa"/>
              <w:right w:w="113" w:type="dxa"/>
            </w:tcMar>
            <w:vAlign w:val="center"/>
          </w:tcPr>
          <w:p>
            <w:pPr>
              <w:pStyle w:val="21"/>
              <w:spacing w:line="300" w:lineRule="auto"/>
              <w:jc w:val="center"/>
              <w:rPr>
                <w:rFonts w:hint="eastAsia" w:ascii="宋体" w:hAnsi="宋体" w:eastAsia="宋体" w:cs="宋体"/>
                <w:b/>
                <w:bCs/>
                <w:sz w:val="21"/>
                <w:szCs w:val="21"/>
              </w:rPr>
            </w:pPr>
            <w:r>
              <w:rPr>
                <w:rFonts w:hint="eastAsia" w:ascii="宋体" w:hAnsi="宋体" w:eastAsia="宋体" w:cs="宋体"/>
                <w:b/>
                <w:bCs/>
                <w:sz w:val="21"/>
                <w:szCs w:val="21"/>
              </w:rPr>
              <w:t>10分</w:t>
            </w:r>
          </w:p>
        </w:tc>
        <w:tc>
          <w:tcPr>
            <w:tcW w:w="7053" w:type="dxa"/>
            <w:gridSpan w:val="3"/>
            <w:noWrap w:val="0"/>
            <w:tcMar>
              <w:top w:w="113" w:type="dxa"/>
              <w:left w:w="113" w:type="dxa"/>
              <w:bottom w:w="113" w:type="dxa"/>
              <w:right w:w="113" w:type="dxa"/>
            </w:tcMar>
            <w:vAlign w:val="center"/>
          </w:tcPr>
          <w:p>
            <w:pPr>
              <w:pStyle w:val="21"/>
              <w:spacing w:line="300" w:lineRule="auto"/>
              <w:jc w:val="left"/>
              <w:rPr>
                <w:rFonts w:hint="eastAsia" w:ascii="宋体" w:hAnsi="宋体" w:eastAsia="宋体" w:cs="宋体"/>
                <w:sz w:val="21"/>
                <w:szCs w:val="21"/>
              </w:rPr>
            </w:pPr>
            <w:r>
              <w:rPr>
                <w:rFonts w:hint="eastAsia" w:ascii="宋体" w:hAnsi="宋体" w:eastAsia="宋体" w:cs="宋体"/>
                <w:sz w:val="21"/>
                <w:szCs w:val="21"/>
              </w:rPr>
              <w:t>（1）满足资格审查最低要求的得基本分6分；</w:t>
            </w:r>
          </w:p>
          <w:p>
            <w:pPr>
              <w:pStyle w:val="21"/>
              <w:spacing w:line="300" w:lineRule="auto"/>
              <w:jc w:val="left"/>
              <w:rPr>
                <w:rFonts w:hint="eastAsia" w:ascii="宋体" w:hAnsi="宋体" w:eastAsia="宋体" w:cs="宋体"/>
                <w:sz w:val="21"/>
                <w:szCs w:val="21"/>
                <w:highlight w:val="none"/>
              </w:rPr>
            </w:pPr>
            <w:r>
              <w:rPr>
                <w:rFonts w:hint="eastAsia" w:ascii="宋体" w:hAnsi="宋体" w:eastAsia="宋体" w:cs="宋体"/>
                <w:sz w:val="21"/>
                <w:szCs w:val="21"/>
              </w:rPr>
              <w:t>（2）投标人自2013</w:t>
            </w:r>
            <w:r>
              <w:rPr>
                <w:rFonts w:hint="eastAsia" w:ascii="宋体" w:hAnsi="宋体" w:eastAsia="宋体" w:cs="宋体"/>
                <w:sz w:val="21"/>
                <w:szCs w:val="21"/>
                <w:highlight w:val="none"/>
              </w:rPr>
              <w:t>年</w:t>
            </w: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rPr>
              <w:t>月1日以来获得过与项目施工有关的鲁班奖、詹天佑奖、国家优质工程金奖、国家级工法、国家级科学技术进步奖的，每增加1项加1分；</w:t>
            </w:r>
          </w:p>
          <w:p>
            <w:pPr>
              <w:pStyle w:val="21"/>
              <w:spacing w:line="30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（3）投标人自2013年</w:t>
            </w: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rPr>
              <w:t>月</w:t>
            </w:r>
            <w:r>
              <w:rPr>
                <w:rFonts w:hint="eastAsia" w:ascii="宋体" w:hAnsi="宋体" w:eastAsia="宋体" w:cs="宋体"/>
                <w:sz w:val="21"/>
                <w:szCs w:val="21"/>
              </w:rPr>
              <w:t>1日以来获得过与项目施工有关的交通运输部公路交通优质工程奖（李春奖）、交通运</w:t>
            </w:r>
            <w:r>
              <w:rPr>
                <w:rFonts w:hint="eastAsia" w:ascii="宋体" w:hAnsi="宋体" w:eastAsia="宋体" w:cs="宋体"/>
                <w:sz w:val="21"/>
                <w:szCs w:val="21"/>
                <w:highlight w:val="none"/>
              </w:rPr>
              <w:t>输部平安工程奖、专利（发明专利或实用新型专利）、省部级优质工程奖、省部级科技进步奖、省级工法、行业工法的，每增加1项加0.5分；</w:t>
            </w:r>
          </w:p>
          <w:p>
            <w:pPr>
              <w:pStyle w:val="21"/>
              <w:spacing w:line="300" w:lineRule="auto"/>
              <w:jc w:val="left"/>
              <w:rPr>
                <w:rFonts w:hint="eastAsia" w:ascii="宋体" w:hAnsi="宋体" w:eastAsia="宋体" w:cs="宋体"/>
                <w:sz w:val="21"/>
                <w:szCs w:val="21"/>
              </w:rPr>
            </w:pPr>
            <w:r>
              <w:rPr>
                <w:rFonts w:hint="eastAsia" w:ascii="宋体" w:hAnsi="宋体" w:eastAsia="宋体" w:cs="宋体"/>
                <w:sz w:val="21"/>
                <w:szCs w:val="21"/>
              </w:rPr>
              <w:t>（4）以上（2）（3）项累计最多加4分。</w:t>
            </w:r>
            <w:r>
              <w:rPr>
                <w:rFonts w:hint="eastAsia" w:ascii="宋体" w:hAnsi="宋体" w:eastAsia="宋体" w:cs="宋体"/>
                <w:b/>
                <w:bCs/>
                <w:sz w:val="21"/>
                <w:szCs w:val="21"/>
              </w:rPr>
              <w:t>（注：以提供的获奖证书为准。）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19" w:hRule="atLeast"/>
          <w:jc w:val="center"/>
        </w:trPr>
        <w:tc>
          <w:tcPr>
            <w:tcW w:w="881" w:type="dxa"/>
            <w:vMerge w:val="restart"/>
            <w:noWrap w:val="0"/>
            <w:tcMar>
              <w:top w:w="113" w:type="dxa"/>
              <w:left w:w="113" w:type="dxa"/>
              <w:bottom w:w="113" w:type="dxa"/>
              <w:right w:w="113" w:type="dxa"/>
            </w:tcMar>
            <w:vAlign w:val="center"/>
          </w:tcPr>
          <w:p>
            <w:pPr>
              <w:pStyle w:val="21"/>
              <w:spacing w:line="300" w:lineRule="auto"/>
              <w:jc w:val="center"/>
              <w:rPr>
                <w:rFonts w:hint="eastAsia" w:ascii="宋体" w:hAnsi="宋体" w:eastAsia="宋体" w:cs="宋体"/>
                <w:sz w:val="21"/>
                <w:szCs w:val="21"/>
              </w:rPr>
            </w:pPr>
            <w:r>
              <w:rPr>
                <w:rFonts w:hint="eastAsia" w:ascii="宋体" w:hAnsi="宋体" w:eastAsia="宋体" w:cs="宋体"/>
                <w:sz w:val="21"/>
                <w:szCs w:val="21"/>
              </w:rPr>
              <w:t>2.2.2（3）</w:t>
            </w:r>
          </w:p>
        </w:tc>
        <w:tc>
          <w:tcPr>
            <w:tcW w:w="958" w:type="dxa"/>
            <w:gridSpan w:val="2"/>
            <w:vMerge w:val="restart"/>
            <w:noWrap w:val="0"/>
            <w:tcMar>
              <w:top w:w="113" w:type="dxa"/>
              <w:left w:w="113" w:type="dxa"/>
              <w:bottom w:w="113" w:type="dxa"/>
              <w:right w:w="113" w:type="dxa"/>
            </w:tcMar>
            <w:vAlign w:val="center"/>
          </w:tcPr>
          <w:p>
            <w:pPr>
              <w:pStyle w:val="21"/>
              <w:spacing w:line="300" w:lineRule="auto"/>
              <w:jc w:val="center"/>
              <w:rPr>
                <w:rFonts w:hint="eastAsia" w:ascii="宋体" w:hAnsi="宋体" w:eastAsia="宋体" w:cs="宋体"/>
                <w:b/>
                <w:bCs/>
                <w:sz w:val="21"/>
                <w:szCs w:val="21"/>
              </w:rPr>
            </w:pPr>
            <w:r>
              <w:rPr>
                <w:rFonts w:hint="eastAsia" w:ascii="宋体" w:hAnsi="宋体" w:eastAsia="宋体" w:cs="宋体"/>
                <w:b/>
                <w:bCs/>
                <w:sz w:val="21"/>
                <w:szCs w:val="21"/>
              </w:rPr>
              <w:t>主要</w:t>
            </w:r>
          </w:p>
          <w:p>
            <w:pPr>
              <w:pStyle w:val="21"/>
              <w:spacing w:line="300" w:lineRule="auto"/>
              <w:jc w:val="center"/>
              <w:rPr>
                <w:rFonts w:hint="eastAsia" w:ascii="宋体" w:hAnsi="宋体" w:eastAsia="宋体" w:cs="宋体"/>
                <w:b/>
                <w:bCs/>
                <w:sz w:val="21"/>
                <w:szCs w:val="21"/>
              </w:rPr>
            </w:pPr>
            <w:r>
              <w:rPr>
                <w:rFonts w:hint="eastAsia" w:ascii="宋体" w:hAnsi="宋体" w:eastAsia="宋体" w:cs="宋体"/>
                <w:b/>
                <w:bCs/>
                <w:sz w:val="21"/>
                <w:szCs w:val="21"/>
              </w:rPr>
              <w:t>人员</w:t>
            </w:r>
          </w:p>
        </w:tc>
        <w:tc>
          <w:tcPr>
            <w:tcW w:w="1081" w:type="dxa"/>
            <w:vMerge w:val="restart"/>
            <w:noWrap w:val="0"/>
            <w:tcMar>
              <w:top w:w="113" w:type="dxa"/>
              <w:left w:w="113" w:type="dxa"/>
              <w:bottom w:w="113" w:type="dxa"/>
              <w:right w:w="113" w:type="dxa"/>
            </w:tcMar>
            <w:vAlign w:val="center"/>
          </w:tcPr>
          <w:p>
            <w:pPr>
              <w:pStyle w:val="21"/>
              <w:spacing w:line="300" w:lineRule="auto"/>
              <w:jc w:val="center"/>
              <w:rPr>
                <w:rFonts w:hint="eastAsia" w:ascii="宋体" w:hAnsi="宋体" w:eastAsia="宋体" w:cs="宋体"/>
                <w:b/>
                <w:bCs/>
                <w:sz w:val="21"/>
                <w:szCs w:val="21"/>
              </w:rPr>
            </w:pPr>
            <w:r>
              <w:rPr>
                <w:rFonts w:hint="eastAsia" w:ascii="宋体" w:hAnsi="宋体" w:eastAsia="宋体" w:cs="宋体"/>
                <w:b/>
                <w:bCs/>
                <w:sz w:val="21"/>
                <w:szCs w:val="21"/>
              </w:rPr>
              <w:t>25分</w:t>
            </w:r>
          </w:p>
        </w:tc>
        <w:tc>
          <w:tcPr>
            <w:tcW w:w="1605" w:type="dxa"/>
            <w:noWrap w:val="0"/>
            <w:tcMar>
              <w:top w:w="113" w:type="dxa"/>
              <w:left w:w="113" w:type="dxa"/>
              <w:bottom w:w="113" w:type="dxa"/>
              <w:right w:w="113" w:type="dxa"/>
            </w:tcMar>
            <w:vAlign w:val="center"/>
          </w:tcPr>
          <w:p>
            <w:pPr>
              <w:pStyle w:val="21"/>
              <w:spacing w:line="300" w:lineRule="auto"/>
              <w:jc w:val="center"/>
              <w:rPr>
                <w:rFonts w:hint="eastAsia" w:eastAsia="宋体"/>
                <w:sz w:val="21"/>
              </w:rPr>
            </w:pPr>
            <w:r>
              <w:rPr>
                <w:rFonts w:hint="eastAsia" w:ascii="宋体" w:hAnsi="宋体" w:eastAsia="宋体" w:cs="宋体"/>
                <w:sz w:val="21"/>
                <w:szCs w:val="21"/>
              </w:rPr>
              <w:t>投标人</w:t>
            </w:r>
            <w:r>
              <w:rPr>
                <w:rFonts w:hint="eastAsia" w:eastAsia="宋体"/>
                <w:sz w:val="21"/>
              </w:rPr>
              <w:t>项目经理任职资格与业绩</w:t>
            </w:r>
          </w:p>
        </w:tc>
        <w:tc>
          <w:tcPr>
            <w:tcW w:w="822" w:type="dxa"/>
            <w:noWrap w:val="0"/>
            <w:tcMar>
              <w:top w:w="113" w:type="dxa"/>
              <w:left w:w="113" w:type="dxa"/>
              <w:bottom w:w="113" w:type="dxa"/>
              <w:right w:w="113" w:type="dxa"/>
            </w:tcMar>
            <w:vAlign w:val="center"/>
          </w:tcPr>
          <w:p>
            <w:pPr>
              <w:pStyle w:val="21"/>
              <w:spacing w:line="300" w:lineRule="auto"/>
              <w:jc w:val="center"/>
              <w:rPr>
                <w:rFonts w:hint="eastAsia" w:ascii="宋体" w:hAnsi="宋体" w:eastAsia="宋体" w:cs="宋体"/>
                <w:sz w:val="21"/>
                <w:szCs w:val="21"/>
              </w:rPr>
            </w:pPr>
            <w:r>
              <w:rPr>
                <w:rFonts w:hint="eastAsia" w:ascii="宋体" w:hAnsi="宋体" w:eastAsia="宋体" w:cs="宋体"/>
                <w:snapToGrid w:val="0"/>
                <w:sz w:val="21"/>
                <w:szCs w:val="21"/>
              </w:rPr>
              <w:t>15分</w:t>
            </w:r>
          </w:p>
        </w:tc>
        <w:tc>
          <w:tcPr>
            <w:tcW w:w="4626" w:type="dxa"/>
            <w:noWrap w:val="0"/>
            <w:tcMar>
              <w:top w:w="113" w:type="dxa"/>
              <w:left w:w="113" w:type="dxa"/>
              <w:bottom w:w="113" w:type="dxa"/>
              <w:right w:w="113" w:type="dxa"/>
            </w:tcMar>
            <w:vAlign w:val="center"/>
          </w:tcPr>
          <w:p>
            <w:pPr>
              <w:pStyle w:val="21"/>
              <w:spacing w:line="300" w:lineRule="auto"/>
              <w:jc w:val="left"/>
              <w:rPr>
                <w:rFonts w:hint="eastAsia" w:ascii="宋体" w:hAnsi="宋体" w:eastAsia="宋体" w:cs="宋体"/>
                <w:b/>
                <w:bCs/>
                <w:sz w:val="21"/>
                <w:szCs w:val="21"/>
              </w:rPr>
            </w:pPr>
            <w:r>
              <w:rPr>
                <w:rFonts w:hint="eastAsia" w:ascii="宋体" w:hAnsi="宋体" w:eastAsia="宋体" w:cs="宋体"/>
                <w:b/>
                <w:bCs/>
                <w:sz w:val="21"/>
                <w:szCs w:val="21"/>
              </w:rPr>
              <w:t>第1标段：</w:t>
            </w:r>
          </w:p>
          <w:p>
            <w:pPr>
              <w:pStyle w:val="21"/>
              <w:spacing w:line="300" w:lineRule="auto"/>
              <w:jc w:val="left"/>
              <w:rPr>
                <w:rFonts w:hint="eastAsia" w:ascii="宋体" w:hAnsi="宋体" w:eastAsia="宋体" w:cs="宋体"/>
                <w:sz w:val="21"/>
                <w:szCs w:val="21"/>
                <w:highlight w:val="none"/>
              </w:rPr>
            </w:pPr>
            <w:r>
              <w:rPr>
                <w:rFonts w:hint="eastAsia" w:ascii="宋体" w:hAnsi="宋体" w:eastAsia="宋体" w:cs="宋体"/>
                <w:sz w:val="21"/>
                <w:szCs w:val="21"/>
              </w:rPr>
              <w:t>1）满足资格审查项目经理最低要求的得基本分9分。</w:t>
            </w:r>
          </w:p>
          <w:p>
            <w:pPr>
              <w:pStyle w:val="21"/>
              <w:spacing w:line="30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2）提供的项目经理业绩（自2016年</w:t>
            </w: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rPr>
              <w:t>月1日</w:t>
            </w:r>
            <w:r>
              <w:rPr>
                <w:rFonts w:ascii="宋体" w:hAnsi="宋体" w:eastAsia="宋体" w:cs="宋体"/>
                <w:sz w:val="21"/>
                <w:szCs w:val="21"/>
                <w:highlight w:val="none"/>
              </w:rPr>
              <w:t>至投标截止之日止</w:t>
            </w:r>
            <w:r>
              <w:rPr>
                <w:rFonts w:hint="eastAsia" w:ascii="宋体" w:hAnsi="宋体" w:eastAsia="宋体" w:cs="宋体"/>
                <w:sz w:val="21"/>
                <w:szCs w:val="21"/>
                <w:highlight w:val="none"/>
              </w:rPr>
              <w:t>，以交工日期为准）中包含主跨跨径≥100米桥梁的一级及以上等级新建或改扩建公路工程施工项目的加6分，最多加6分。</w:t>
            </w:r>
          </w:p>
          <w:p>
            <w:pPr>
              <w:pStyle w:val="21"/>
              <w:spacing w:line="300" w:lineRule="auto"/>
              <w:jc w:val="left"/>
              <w:rPr>
                <w:rFonts w:hint="eastAsia" w:ascii="宋体" w:hAnsi="宋体" w:eastAsia="宋体" w:cs="宋体"/>
                <w:sz w:val="21"/>
                <w:szCs w:val="21"/>
                <w:highlight w:val="none"/>
              </w:rPr>
            </w:pPr>
            <w:r>
              <w:rPr>
                <w:rFonts w:hint="eastAsia" w:ascii="宋体" w:hAnsi="宋体" w:eastAsia="宋体" w:cs="宋体"/>
                <w:b/>
                <w:bCs/>
                <w:sz w:val="21"/>
                <w:szCs w:val="21"/>
                <w:highlight w:val="none"/>
              </w:rPr>
              <w:t>第2标段：</w:t>
            </w:r>
          </w:p>
          <w:p>
            <w:pPr>
              <w:pStyle w:val="21"/>
              <w:spacing w:line="30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1）满足资格审查项目经理最低要求的得基本分9分。</w:t>
            </w:r>
          </w:p>
          <w:p>
            <w:pPr>
              <w:pStyle w:val="21"/>
              <w:spacing w:line="300" w:lineRule="auto"/>
              <w:jc w:val="left"/>
              <w:rPr>
                <w:rFonts w:ascii="宋体" w:hAnsi="宋体" w:eastAsia="宋体" w:cs="宋体"/>
                <w:sz w:val="21"/>
                <w:szCs w:val="21"/>
              </w:rPr>
            </w:pPr>
            <w:r>
              <w:rPr>
                <w:rFonts w:hint="eastAsia" w:ascii="宋体" w:hAnsi="宋体" w:eastAsia="宋体" w:cs="宋体"/>
                <w:sz w:val="21"/>
                <w:szCs w:val="21"/>
                <w:highlight w:val="none"/>
              </w:rPr>
              <w:t>2）提供的项目经理业绩（自2013年</w:t>
            </w: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rPr>
              <w:t>月1日</w:t>
            </w:r>
            <w:r>
              <w:rPr>
                <w:rFonts w:ascii="宋体" w:hAnsi="宋体" w:eastAsia="宋体" w:cs="宋体"/>
                <w:sz w:val="21"/>
                <w:szCs w:val="21"/>
                <w:highlight w:val="none"/>
              </w:rPr>
              <w:t>至投标截止之日止</w:t>
            </w:r>
            <w:r>
              <w:rPr>
                <w:rFonts w:hint="eastAsia" w:ascii="宋体" w:hAnsi="宋体" w:eastAsia="宋体" w:cs="宋体"/>
                <w:sz w:val="21"/>
                <w:szCs w:val="21"/>
                <w:highlight w:val="none"/>
              </w:rPr>
              <w:t>，以交工日期为准）中包含主跨跨径≥240米斜拉桥的一级及以上等级新建或改扩建公路工程施工项目的加6分，</w:t>
            </w:r>
            <w:r>
              <w:rPr>
                <w:rFonts w:hint="eastAsia" w:ascii="宋体" w:hAnsi="宋体" w:eastAsia="宋体" w:cs="宋体"/>
                <w:sz w:val="21"/>
                <w:szCs w:val="21"/>
              </w:rPr>
              <w:t xml:space="preserve">最多加6分。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32" w:hRule="atLeast"/>
          <w:jc w:val="center"/>
        </w:trPr>
        <w:tc>
          <w:tcPr>
            <w:tcW w:w="881" w:type="dxa"/>
            <w:vMerge w:val="continue"/>
            <w:noWrap w:val="0"/>
            <w:tcMar>
              <w:top w:w="113" w:type="dxa"/>
              <w:left w:w="113" w:type="dxa"/>
              <w:bottom w:w="113" w:type="dxa"/>
              <w:right w:w="113" w:type="dxa"/>
            </w:tcMar>
            <w:vAlign w:val="center"/>
          </w:tcPr>
          <w:p>
            <w:pPr>
              <w:pStyle w:val="21"/>
              <w:spacing w:line="300" w:lineRule="auto"/>
              <w:jc w:val="center"/>
              <w:rPr>
                <w:rFonts w:hint="eastAsia" w:ascii="宋体" w:hAnsi="宋体" w:eastAsia="宋体" w:cs="宋体"/>
                <w:sz w:val="21"/>
                <w:szCs w:val="21"/>
              </w:rPr>
            </w:pPr>
          </w:p>
        </w:tc>
        <w:tc>
          <w:tcPr>
            <w:tcW w:w="958" w:type="dxa"/>
            <w:gridSpan w:val="2"/>
            <w:vMerge w:val="continue"/>
            <w:noWrap w:val="0"/>
            <w:tcMar>
              <w:top w:w="113" w:type="dxa"/>
              <w:left w:w="113" w:type="dxa"/>
              <w:bottom w:w="113" w:type="dxa"/>
              <w:right w:w="113" w:type="dxa"/>
            </w:tcMar>
            <w:vAlign w:val="center"/>
          </w:tcPr>
          <w:p>
            <w:pPr>
              <w:pStyle w:val="21"/>
              <w:spacing w:line="300" w:lineRule="auto"/>
              <w:rPr>
                <w:rFonts w:hint="eastAsia" w:ascii="宋体" w:hAnsi="宋体" w:eastAsia="宋体" w:cs="宋体"/>
                <w:b/>
                <w:bCs/>
                <w:sz w:val="21"/>
                <w:szCs w:val="21"/>
              </w:rPr>
            </w:pPr>
          </w:p>
        </w:tc>
        <w:tc>
          <w:tcPr>
            <w:tcW w:w="1081" w:type="dxa"/>
            <w:vMerge w:val="continue"/>
            <w:noWrap w:val="0"/>
            <w:tcMar>
              <w:top w:w="113" w:type="dxa"/>
              <w:left w:w="113" w:type="dxa"/>
              <w:bottom w:w="113" w:type="dxa"/>
              <w:right w:w="113" w:type="dxa"/>
            </w:tcMar>
            <w:vAlign w:val="center"/>
          </w:tcPr>
          <w:p>
            <w:pPr>
              <w:pStyle w:val="21"/>
              <w:spacing w:line="300" w:lineRule="auto"/>
              <w:rPr>
                <w:rFonts w:hint="eastAsia" w:ascii="宋体" w:hAnsi="宋体" w:eastAsia="宋体" w:cs="宋体"/>
                <w:b/>
                <w:bCs/>
                <w:sz w:val="21"/>
                <w:szCs w:val="21"/>
              </w:rPr>
            </w:pPr>
          </w:p>
        </w:tc>
        <w:tc>
          <w:tcPr>
            <w:tcW w:w="1605" w:type="dxa"/>
            <w:noWrap w:val="0"/>
            <w:tcMar>
              <w:top w:w="113" w:type="dxa"/>
              <w:left w:w="113" w:type="dxa"/>
              <w:bottom w:w="113" w:type="dxa"/>
              <w:right w:w="113" w:type="dxa"/>
            </w:tcMar>
            <w:vAlign w:val="center"/>
          </w:tcPr>
          <w:p>
            <w:pPr>
              <w:pStyle w:val="21"/>
              <w:spacing w:line="300" w:lineRule="auto"/>
              <w:jc w:val="center"/>
              <w:rPr>
                <w:rFonts w:hint="eastAsia" w:eastAsia="宋体"/>
                <w:sz w:val="21"/>
              </w:rPr>
            </w:pPr>
            <w:r>
              <w:rPr>
                <w:rFonts w:hint="eastAsia" w:ascii="宋体" w:hAnsi="宋体" w:eastAsia="宋体" w:cs="宋体"/>
                <w:sz w:val="21"/>
                <w:szCs w:val="21"/>
              </w:rPr>
              <w:t>投标人</w:t>
            </w:r>
            <w:r>
              <w:rPr>
                <w:rFonts w:hint="eastAsia" w:eastAsia="宋体"/>
                <w:sz w:val="21"/>
              </w:rPr>
              <w:t>项目总工任职资格与业绩</w:t>
            </w:r>
          </w:p>
        </w:tc>
        <w:tc>
          <w:tcPr>
            <w:tcW w:w="822" w:type="dxa"/>
            <w:noWrap w:val="0"/>
            <w:tcMar>
              <w:top w:w="113" w:type="dxa"/>
              <w:left w:w="113" w:type="dxa"/>
              <w:bottom w:w="113" w:type="dxa"/>
              <w:right w:w="113" w:type="dxa"/>
            </w:tcMar>
            <w:vAlign w:val="center"/>
          </w:tcPr>
          <w:p>
            <w:pPr>
              <w:pStyle w:val="21"/>
              <w:spacing w:line="300" w:lineRule="auto"/>
              <w:jc w:val="center"/>
              <w:rPr>
                <w:rFonts w:hint="eastAsia" w:ascii="宋体" w:hAnsi="宋体" w:eastAsia="宋体" w:cs="宋体"/>
                <w:snapToGrid w:val="0"/>
                <w:sz w:val="21"/>
                <w:szCs w:val="21"/>
              </w:rPr>
            </w:pPr>
            <w:r>
              <w:rPr>
                <w:rFonts w:hint="eastAsia" w:ascii="宋体" w:hAnsi="宋体" w:eastAsia="宋体" w:cs="宋体"/>
                <w:snapToGrid w:val="0"/>
                <w:sz w:val="21"/>
                <w:szCs w:val="21"/>
              </w:rPr>
              <w:t>10分</w:t>
            </w:r>
          </w:p>
        </w:tc>
        <w:tc>
          <w:tcPr>
            <w:tcW w:w="4626" w:type="dxa"/>
            <w:noWrap w:val="0"/>
            <w:tcMar>
              <w:top w:w="113" w:type="dxa"/>
              <w:left w:w="113" w:type="dxa"/>
              <w:bottom w:w="113" w:type="dxa"/>
              <w:right w:w="113" w:type="dxa"/>
            </w:tcMar>
            <w:vAlign w:val="center"/>
          </w:tcPr>
          <w:p>
            <w:pPr>
              <w:pStyle w:val="21"/>
              <w:spacing w:line="300" w:lineRule="auto"/>
              <w:jc w:val="left"/>
              <w:rPr>
                <w:rFonts w:hint="eastAsia" w:ascii="宋体" w:hAnsi="宋体" w:eastAsia="宋体" w:cs="宋体"/>
                <w:b/>
                <w:bCs/>
                <w:sz w:val="21"/>
                <w:szCs w:val="21"/>
              </w:rPr>
            </w:pPr>
            <w:r>
              <w:rPr>
                <w:rFonts w:hint="eastAsia" w:ascii="宋体" w:hAnsi="宋体" w:eastAsia="宋体" w:cs="宋体"/>
                <w:b/>
                <w:bCs/>
                <w:sz w:val="21"/>
                <w:szCs w:val="21"/>
              </w:rPr>
              <w:t>第1标段：</w:t>
            </w:r>
          </w:p>
          <w:p>
            <w:pPr>
              <w:pStyle w:val="21"/>
              <w:wordWrap w:val="0"/>
              <w:spacing w:line="300" w:lineRule="auto"/>
              <w:jc w:val="left"/>
              <w:rPr>
                <w:rFonts w:hint="eastAsia" w:eastAsia="宋体"/>
                <w:sz w:val="21"/>
                <w:highlight w:val="none"/>
              </w:rPr>
            </w:pPr>
            <w:r>
              <w:rPr>
                <w:rFonts w:hint="eastAsia" w:eastAsia="宋体"/>
                <w:sz w:val="21"/>
              </w:rPr>
              <w:t>1）满足资格审查项目总工最低要求的得基本分6分。</w:t>
            </w:r>
          </w:p>
          <w:p>
            <w:pPr>
              <w:pStyle w:val="21"/>
              <w:wordWrap w:val="0"/>
              <w:spacing w:line="300" w:lineRule="auto"/>
              <w:jc w:val="left"/>
              <w:rPr>
                <w:rFonts w:hint="eastAsia" w:eastAsia="宋体"/>
                <w:sz w:val="21"/>
                <w:highlight w:val="none"/>
              </w:rPr>
            </w:pPr>
            <w:r>
              <w:rPr>
                <w:rFonts w:hint="eastAsia" w:eastAsia="宋体"/>
                <w:sz w:val="21"/>
                <w:highlight w:val="none"/>
              </w:rPr>
              <w:t>2）提供的项目总工业绩（自2016年</w:t>
            </w:r>
            <w:r>
              <w:rPr>
                <w:rFonts w:hint="eastAsia" w:eastAsia="宋体"/>
                <w:sz w:val="21"/>
                <w:highlight w:val="none"/>
                <w:lang w:val="en-US" w:eastAsia="zh-CN"/>
              </w:rPr>
              <w:t>11</w:t>
            </w:r>
            <w:r>
              <w:rPr>
                <w:rFonts w:hint="eastAsia" w:eastAsia="宋体"/>
                <w:sz w:val="21"/>
                <w:highlight w:val="none"/>
              </w:rPr>
              <w:t>月1日</w:t>
            </w:r>
            <w:r>
              <w:rPr>
                <w:rFonts w:eastAsia="宋体"/>
                <w:sz w:val="21"/>
                <w:highlight w:val="none"/>
              </w:rPr>
              <w:t>至投标截止之日止</w:t>
            </w:r>
            <w:r>
              <w:rPr>
                <w:rFonts w:hint="eastAsia" w:eastAsia="宋体"/>
                <w:sz w:val="21"/>
                <w:highlight w:val="none"/>
              </w:rPr>
              <w:t>，以交工日期为准）中包含主跨跨径≥100米桥梁的一级</w:t>
            </w:r>
            <w:r>
              <w:rPr>
                <w:rFonts w:hint="eastAsia" w:ascii="宋体" w:hAnsi="宋体" w:eastAsia="宋体" w:cs="宋体"/>
                <w:sz w:val="21"/>
                <w:szCs w:val="21"/>
                <w:highlight w:val="none"/>
              </w:rPr>
              <w:t>及</w:t>
            </w:r>
            <w:r>
              <w:rPr>
                <w:rFonts w:hint="eastAsia" w:eastAsia="宋体"/>
                <w:sz w:val="21"/>
                <w:highlight w:val="none"/>
              </w:rPr>
              <w:t>以上等级新建或改扩建公路工程施工项目的加4分，最多加4分。</w:t>
            </w:r>
          </w:p>
          <w:p>
            <w:pPr>
              <w:pStyle w:val="21"/>
              <w:spacing w:line="300" w:lineRule="auto"/>
              <w:jc w:val="left"/>
              <w:rPr>
                <w:rFonts w:hint="eastAsia" w:ascii="宋体" w:hAnsi="宋体" w:eastAsia="宋体" w:cs="宋体"/>
                <w:sz w:val="21"/>
                <w:szCs w:val="21"/>
                <w:highlight w:val="none"/>
              </w:rPr>
            </w:pPr>
            <w:r>
              <w:rPr>
                <w:rFonts w:hint="eastAsia" w:ascii="宋体" w:hAnsi="宋体" w:eastAsia="宋体" w:cs="宋体"/>
                <w:b/>
                <w:bCs/>
                <w:sz w:val="21"/>
                <w:szCs w:val="21"/>
                <w:highlight w:val="none"/>
              </w:rPr>
              <w:t>第2标段：</w:t>
            </w:r>
          </w:p>
          <w:p>
            <w:pPr>
              <w:pStyle w:val="21"/>
              <w:wordWrap w:val="0"/>
              <w:spacing w:line="300" w:lineRule="auto"/>
              <w:jc w:val="left"/>
              <w:rPr>
                <w:rFonts w:hint="eastAsia" w:eastAsia="宋体"/>
                <w:sz w:val="21"/>
                <w:highlight w:val="none"/>
              </w:rPr>
            </w:pPr>
            <w:r>
              <w:rPr>
                <w:rFonts w:hint="eastAsia" w:eastAsia="宋体"/>
                <w:sz w:val="21"/>
                <w:highlight w:val="none"/>
              </w:rPr>
              <w:t>1）满足资格审查项目总工最低要求的得基本分6分。</w:t>
            </w:r>
          </w:p>
          <w:p>
            <w:pPr>
              <w:pStyle w:val="21"/>
              <w:wordWrap w:val="0"/>
              <w:spacing w:line="300" w:lineRule="auto"/>
              <w:jc w:val="left"/>
              <w:rPr>
                <w:rFonts w:hint="eastAsia" w:ascii="宋体" w:hAnsi="宋体" w:eastAsia="宋体" w:cs="宋体"/>
                <w:snapToGrid w:val="0"/>
                <w:color w:val="00B050"/>
                <w:sz w:val="21"/>
                <w:szCs w:val="21"/>
              </w:rPr>
            </w:pPr>
            <w:r>
              <w:rPr>
                <w:rFonts w:hint="eastAsia" w:eastAsia="宋体"/>
                <w:sz w:val="21"/>
                <w:highlight w:val="none"/>
              </w:rPr>
              <w:t>2）提供的项目总工业绩（自2013年</w:t>
            </w:r>
            <w:r>
              <w:rPr>
                <w:rFonts w:hint="eastAsia" w:eastAsia="宋体"/>
                <w:sz w:val="21"/>
                <w:highlight w:val="none"/>
                <w:lang w:val="en-US" w:eastAsia="zh-CN"/>
              </w:rPr>
              <w:t>11</w:t>
            </w:r>
            <w:r>
              <w:rPr>
                <w:rFonts w:hint="eastAsia" w:eastAsia="宋体"/>
                <w:sz w:val="21"/>
                <w:highlight w:val="none"/>
              </w:rPr>
              <w:t>月1日</w:t>
            </w:r>
            <w:r>
              <w:rPr>
                <w:rFonts w:eastAsia="宋体"/>
                <w:sz w:val="21"/>
                <w:highlight w:val="none"/>
              </w:rPr>
              <w:t>至投标截止之日止</w:t>
            </w:r>
            <w:r>
              <w:rPr>
                <w:rFonts w:hint="eastAsia" w:eastAsia="宋体"/>
                <w:sz w:val="21"/>
                <w:highlight w:val="none"/>
              </w:rPr>
              <w:t>，以交工日期为准）中包含主跨跨径≥240米斜拉桥的一级</w:t>
            </w:r>
            <w:r>
              <w:rPr>
                <w:rFonts w:hint="eastAsia" w:ascii="宋体" w:hAnsi="宋体" w:eastAsia="宋体" w:cs="宋体"/>
                <w:sz w:val="21"/>
                <w:szCs w:val="21"/>
                <w:highlight w:val="none"/>
              </w:rPr>
              <w:t>及</w:t>
            </w:r>
            <w:r>
              <w:rPr>
                <w:rFonts w:hint="eastAsia" w:eastAsia="宋体"/>
                <w:sz w:val="21"/>
                <w:highlight w:val="none"/>
              </w:rPr>
              <w:t>以上等级新建或改扩建公路工程施工项目的加4分，最多加4分。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740" w:hRule="atLeast"/>
          <w:jc w:val="center"/>
        </w:trPr>
        <w:tc>
          <w:tcPr>
            <w:tcW w:w="881" w:type="dxa"/>
            <w:vMerge w:val="restart"/>
            <w:noWrap w:val="0"/>
            <w:tcMar>
              <w:top w:w="113" w:type="dxa"/>
              <w:left w:w="113" w:type="dxa"/>
              <w:bottom w:w="113" w:type="dxa"/>
              <w:right w:w="113" w:type="dxa"/>
            </w:tcMar>
            <w:vAlign w:val="center"/>
          </w:tcPr>
          <w:p>
            <w:pPr>
              <w:pStyle w:val="21"/>
              <w:spacing w:line="300" w:lineRule="auto"/>
              <w:jc w:val="center"/>
              <w:rPr>
                <w:rFonts w:hint="eastAsia" w:ascii="宋体" w:hAnsi="宋体" w:eastAsia="宋体" w:cs="宋体"/>
                <w:sz w:val="21"/>
                <w:szCs w:val="21"/>
              </w:rPr>
            </w:pPr>
            <w:r>
              <w:rPr>
                <w:rFonts w:hint="eastAsia" w:ascii="宋体" w:hAnsi="宋体" w:eastAsia="宋体" w:cs="宋体"/>
                <w:sz w:val="21"/>
                <w:szCs w:val="21"/>
              </w:rPr>
              <w:t>2.2.2（4）</w:t>
            </w:r>
          </w:p>
        </w:tc>
        <w:tc>
          <w:tcPr>
            <w:tcW w:w="447" w:type="dxa"/>
            <w:vMerge w:val="restart"/>
            <w:noWrap w:val="0"/>
            <w:tcMar>
              <w:top w:w="113" w:type="dxa"/>
              <w:left w:w="113" w:type="dxa"/>
              <w:bottom w:w="113" w:type="dxa"/>
              <w:right w:w="113" w:type="dxa"/>
            </w:tcMar>
            <w:vAlign w:val="center"/>
          </w:tcPr>
          <w:p>
            <w:pPr>
              <w:pStyle w:val="21"/>
              <w:spacing w:line="300" w:lineRule="auto"/>
              <w:rPr>
                <w:rFonts w:hint="eastAsia" w:ascii="宋体" w:hAnsi="宋体" w:eastAsia="宋体" w:cs="宋体"/>
                <w:sz w:val="21"/>
                <w:szCs w:val="21"/>
              </w:rPr>
            </w:pPr>
            <w:r>
              <w:rPr>
                <w:rFonts w:hint="eastAsia" w:ascii="宋体" w:hAnsi="宋体" w:eastAsia="宋体" w:cs="宋体"/>
                <w:sz w:val="21"/>
                <w:szCs w:val="21"/>
              </w:rPr>
              <w:t>其他因素</w:t>
            </w:r>
          </w:p>
        </w:tc>
        <w:tc>
          <w:tcPr>
            <w:tcW w:w="511" w:type="dxa"/>
            <w:noWrap w:val="0"/>
            <w:tcMar>
              <w:top w:w="113" w:type="dxa"/>
              <w:left w:w="113" w:type="dxa"/>
              <w:bottom w:w="113" w:type="dxa"/>
              <w:right w:w="113" w:type="dxa"/>
            </w:tcMar>
            <w:vAlign w:val="center"/>
          </w:tcPr>
          <w:p>
            <w:pPr>
              <w:pStyle w:val="21"/>
              <w:spacing w:line="300" w:lineRule="auto"/>
              <w:jc w:val="center"/>
              <w:rPr>
                <w:rFonts w:hint="eastAsia" w:ascii="宋体" w:hAnsi="宋体" w:eastAsia="宋体" w:cs="宋体"/>
                <w:b/>
                <w:bCs/>
                <w:sz w:val="21"/>
                <w:szCs w:val="21"/>
              </w:rPr>
            </w:pPr>
            <w:r>
              <w:rPr>
                <w:rFonts w:hint="eastAsia" w:ascii="宋体" w:hAnsi="宋体" w:eastAsia="宋体" w:cs="宋体"/>
                <w:b/>
                <w:bCs/>
                <w:sz w:val="21"/>
                <w:szCs w:val="21"/>
              </w:rPr>
              <w:t>履约信誉</w:t>
            </w:r>
          </w:p>
        </w:tc>
        <w:tc>
          <w:tcPr>
            <w:tcW w:w="1081" w:type="dxa"/>
            <w:noWrap w:val="0"/>
            <w:tcMar>
              <w:top w:w="113" w:type="dxa"/>
              <w:left w:w="113" w:type="dxa"/>
              <w:bottom w:w="113" w:type="dxa"/>
              <w:right w:w="113" w:type="dxa"/>
            </w:tcMar>
            <w:vAlign w:val="center"/>
          </w:tcPr>
          <w:p>
            <w:pPr>
              <w:pStyle w:val="21"/>
              <w:spacing w:line="300" w:lineRule="auto"/>
              <w:jc w:val="center"/>
              <w:rPr>
                <w:rFonts w:hint="eastAsia" w:ascii="宋体" w:hAnsi="宋体" w:eastAsia="宋体" w:cs="宋体"/>
                <w:b/>
                <w:bCs/>
                <w:sz w:val="21"/>
                <w:szCs w:val="21"/>
              </w:rPr>
            </w:pPr>
            <w:r>
              <w:rPr>
                <w:rFonts w:hint="eastAsia" w:ascii="宋体" w:hAnsi="宋体" w:eastAsia="宋体" w:cs="宋体"/>
                <w:b/>
                <w:bCs/>
                <w:sz w:val="21"/>
                <w:szCs w:val="21"/>
              </w:rPr>
              <w:t>15分</w:t>
            </w:r>
          </w:p>
        </w:tc>
        <w:tc>
          <w:tcPr>
            <w:tcW w:w="1605" w:type="dxa"/>
            <w:noWrap w:val="0"/>
            <w:tcMar>
              <w:top w:w="113" w:type="dxa"/>
              <w:left w:w="113" w:type="dxa"/>
              <w:bottom w:w="113" w:type="dxa"/>
              <w:right w:w="113" w:type="dxa"/>
            </w:tcMar>
            <w:vAlign w:val="center"/>
          </w:tcPr>
          <w:p>
            <w:pPr>
              <w:pStyle w:val="21"/>
              <w:spacing w:line="300" w:lineRule="auto"/>
              <w:jc w:val="center"/>
              <w:rPr>
                <w:rFonts w:hint="eastAsia" w:ascii="宋体" w:hAnsi="宋体" w:eastAsia="宋体" w:cs="宋体"/>
                <w:sz w:val="21"/>
                <w:szCs w:val="21"/>
              </w:rPr>
            </w:pPr>
            <w:r>
              <w:rPr>
                <w:rFonts w:hint="eastAsia" w:ascii="宋体" w:hAnsi="宋体" w:eastAsia="宋体" w:cs="宋体"/>
                <w:sz w:val="21"/>
                <w:szCs w:val="21"/>
              </w:rPr>
              <w:t>投标人</w:t>
            </w:r>
          </w:p>
          <w:p>
            <w:pPr>
              <w:pStyle w:val="21"/>
              <w:spacing w:line="300" w:lineRule="auto"/>
              <w:jc w:val="center"/>
              <w:rPr>
                <w:rFonts w:hint="eastAsia" w:ascii="宋体" w:hAnsi="宋体" w:eastAsia="宋体" w:cs="宋体"/>
                <w:sz w:val="21"/>
                <w:szCs w:val="21"/>
              </w:rPr>
            </w:pPr>
            <w:r>
              <w:rPr>
                <w:rFonts w:hint="eastAsia" w:ascii="宋体" w:hAnsi="宋体" w:eastAsia="宋体" w:cs="宋体"/>
                <w:sz w:val="21"/>
                <w:szCs w:val="21"/>
              </w:rPr>
              <w:t>履约信誉</w:t>
            </w:r>
          </w:p>
        </w:tc>
        <w:tc>
          <w:tcPr>
            <w:tcW w:w="822" w:type="dxa"/>
            <w:noWrap w:val="0"/>
            <w:tcMar>
              <w:top w:w="113" w:type="dxa"/>
              <w:left w:w="113" w:type="dxa"/>
              <w:bottom w:w="113" w:type="dxa"/>
              <w:right w:w="113" w:type="dxa"/>
            </w:tcMar>
            <w:vAlign w:val="center"/>
          </w:tcPr>
          <w:p>
            <w:pPr>
              <w:pStyle w:val="21"/>
              <w:spacing w:line="300" w:lineRule="auto"/>
              <w:jc w:val="center"/>
              <w:rPr>
                <w:rFonts w:hint="eastAsia" w:ascii="宋体" w:hAnsi="宋体" w:eastAsia="宋体" w:cs="宋体"/>
                <w:sz w:val="21"/>
                <w:szCs w:val="21"/>
              </w:rPr>
            </w:pPr>
            <w:r>
              <w:rPr>
                <w:rFonts w:hint="eastAsia" w:ascii="宋体" w:hAnsi="宋体" w:eastAsia="宋体" w:cs="宋体"/>
                <w:sz w:val="21"/>
                <w:szCs w:val="21"/>
              </w:rPr>
              <w:t>15分</w:t>
            </w:r>
          </w:p>
        </w:tc>
        <w:tc>
          <w:tcPr>
            <w:tcW w:w="4626" w:type="dxa"/>
            <w:noWrap w:val="0"/>
            <w:tcMar>
              <w:top w:w="113" w:type="dxa"/>
              <w:left w:w="113" w:type="dxa"/>
              <w:bottom w:w="113" w:type="dxa"/>
              <w:right w:w="113" w:type="dxa"/>
            </w:tcMar>
            <w:vAlign w:val="center"/>
          </w:tcPr>
          <w:p>
            <w:pPr>
              <w:pStyle w:val="21"/>
              <w:wordWrap w:val="0"/>
              <w:spacing w:line="300" w:lineRule="auto"/>
              <w:jc w:val="left"/>
              <w:rPr>
                <w:rFonts w:hint="eastAsia" w:eastAsia="宋体"/>
                <w:sz w:val="21"/>
                <w:highlight w:val="none"/>
              </w:rPr>
            </w:pPr>
            <w:r>
              <w:rPr>
                <w:rFonts w:hint="eastAsia" w:eastAsia="宋体"/>
                <w:sz w:val="21"/>
                <w:highlight w:val="none"/>
              </w:rPr>
              <w:t>（1）满足资格审查最低要求的得基本分10分；</w:t>
            </w:r>
          </w:p>
          <w:p>
            <w:pPr>
              <w:pStyle w:val="21"/>
              <w:wordWrap w:val="0"/>
              <w:spacing w:line="300" w:lineRule="auto"/>
              <w:jc w:val="left"/>
              <w:rPr>
                <w:rFonts w:eastAsia="宋体"/>
                <w:sz w:val="21"/>
              </w:rPr>
            </w:pPr>
            <w:r>
              <w:rPr>
                <w:rFonts w:hint="eastAsia" w:eastAsia="宋体"/>
                <w:sz w:val="21"/>
                <w:highlight w:val="none"/>
              </w:rPr>
              <w:t>（2）无投标人须知1.4.4以外的不良行为记录</w:t>
            </w:r>
            <w:r>
              <w:rPr>
                <w:rFonts w:hint="eastAsia" w:eastAsia="宋体"/>
                <w:sz w:val="21"/>
                <w:highlight w:val="none"/>
                <w:lang w:eastAsia="zh-CN"/>
              </w:rPr>
              <w:t>（附录4资格审查条件信誉最低要求</w:t>
            </w:r>
            <w:r>
              <w:rPr>
                <w:rFonts w:hint="eastAsia" w:eastAsia="宋体"/>
                <w:sz w:val="21"/>
                <w:highlight w:val="none"/>
                <w:lang w:val="en-US" w:eastAsia="zh-CN"/>
              </w:rPr>
              <w:t>中列明的1.4.4以外的</w:t>
            </w:r>
            <w:r>
              <w:rPr>
                <w:rFonts w:hint="eastAsia" w:eastAsia="宋体"/>
                <w:sz w:val="21"/>
                <w:highlight w:val="none"/>
              </w:rPr>
              <w:t>不良行为记录</w:t>
            </w:r>
            <w:r>
              <w:rPr>
                <w:rFonts w:hint="eastAsia" w:eastAsia="宋体"/>
                <w:sz w:val="21"/>
                <w:highlight w:val="none"/>
                <w:lang w:eastAsia="zh-CN"/>
              </w:rPr>
              <w:t>）</w:t>
            </w:r>
            <w:r>
              <w:rPr>
                <w:rFonts w:hint="eastAsia" w:eastAsia="宋体"/>
                <w:sz w:val="21"/>
                <w:highlight w:val="none"/>
              </w:rPr>
              <w:t>的得5分。每有一次不良记录的扣1分，最多扣5分。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18" w:hRule="atLeast"/>
          <w:jc w:val="center"/>
        </w:trPr>
        <w:tc>
          <w:tcPr>
            <w:tcW w:w="881" w:type="dxa"/>
            <w:vMerge w:val="continue"/>
            <w:noWrap w:val="0"/>
            <w:tcMar>
              <w:top w:w="113" w:type="dxa"/>
              <w:left w:w="113" w:type="dxa"/>
              <w:bottom w:w="113" w:type="dxa"/>
              <w:right w:w="113" w:type="dxa"/>
            </w:tcMar>
            <w:vAlign w:val="center"/>
          </w:tcPr>
          <w:p>
            <w:pPr>
              <w:pStyle w:val="21"/>
              <w:spacing w:line="300" w:lineRule="auto"/>
              <w:jc w:val="center"/>
              <w:rPr>
                <w:rFonts w:hint="eastAsia" w:ascii="宋体" w:hAnsi="宋体" w:eastAsia="宋体" w:cs="宋体"/>
                <w:sz w:val="21"/>
                <w:szCs w:val="21"/>
              </w:rPr>
            </w:pPr>
          </w:p>
        </w:tc>
        <w:tc>
          <w:tcPr>
            <w:tcW w:w="447" w:type="dxa"/>
            <w:vMerge w:val="continue"/>
            <w:noWrap w:val="0"/>
            <w:tcMar>
              <w:top w:w="113" w:type="dxa"/>
              <w:left w:w="113" w:type="dxa"/>
              <w:bottom w:w="113" w:type="dxa"/>
              <w:right w:w="113" w:type="dxa"/>
            </w:tcMar>
            <w:vAlign w:val="center"/>
          </w:tcPr>
          <w:p>
            <w:pPr>
              <w:pStyle w:val="21"/>
              <w:spacing w:line="300" w:lineRule="auto"/>
              <w:jc w:val="center"/>
              <w:rPr>
                <w:rFonts w:hint="eastAsia" w:ascii="宋体" w:hAnsi="宋体" w:eastAsia="宋体" w:cs="宋体"/>
                <w:sz w:val="21"/>
                <w:szCs w:val="21"/>
              </w:rPr>
            </w:pPr>
          </w:p>
        </w:tc>
        <w:tc>
          <w:tcPr>
            <w:tcW w:w="511" w:type="dxa"/>
            <w:noWrap w:val="0"/>
            <w:tcMar>
              <w:top w:w="113" w:type="dxa"/>
              <w:left w:w="113" w:type="dxa"/>
              <w:bottom w:w="113" w:type="dxa"/>
              <w:right w:w="113" w:type="dxa"/>
            </w:tcMar>
            <w:vAlign w:val="center"/>
          </w:tcPr>
          <w:p>
            <w:pPr>
              <w:pStyle w:val="21"/>
              <w:spacing w:line="300" w:lineRule="auto"/>
              <w:jc w:val="center"/>
              <w:rPr>
                <w:rFonts w:hint="eastAsia" w:ascii="宋体" w:hAnsi="宋体" w:eastAsia="宋体" w:cs="宋体"/>
                <w:b/>
                <w:bCs/>
                <w:sz w:val="21"/>
                <w:szCs w:val="21"/>
              </w:rPr>
            </w:pPr>
            <w:r>
              <w:rPr>
                <w:rFonts w:hint="eastAsia" w:ascii="宋体" w:hAnsi="宋体" w:eastAsia="宋体" w:cs="宋体"/>
                <w:b/>
                <w:bCs/>
                <w:sz w:val="21"/>
                <w:szCs w:val="21"/>
              </w:rPr>
              <w:t>施工业绩</w:t>
            </w:r>
          </w:p>
        </w:tc>
        <w:tc>
          <w:tcPr>
            <w:tcW w:w="1081" w:type="dxa"/>
            <w:noWrap w:val="0"/>
            <w:tcMar>
              <w:top w:w="113" w:type="dxa"/>
              <w:left w:w="113" w:type="dxa"/>
              <w:bottom w:w="113" w:type="dxa"/>
              <w:right w:w="113" w:type="dxa"/>
            </w:tcMar>
            <w:vAlign w:val="center"/>
          </w:tcPr>
          <w:p>
            <w:pPr>
              <w:pStyle w:val="21"/>
              <w:spacing w:line="300" w:lineRule="auto"/>
              <w:ind w:firstLine="211" w:firstLineChars="100"/>
              <w:jc w:val="left"/>
              <w:rPr>
                <w:rFonts w:hint="eastAsia" w:ascii="宋体" w:hAnsi="宋体" w:eastAsia="宋体" w:cs="宋体"/>
                <w:b/>
                <w:bCs/>
                <w:sz w:val="21"/>
                <w:szCs w:val="21"/>
              </w:rPr>
            </w:pPr>
            <w:r>
              <w:rPr>
                <w:rFonts w:hint="eastAsia" w:ascii="宋体" w:hAnsi="宋体" w:eastAsia="宋体" w:cs="宋体"/>
                <w:b/>
                <w:bCs/>
                <w:sz w:val="21"/>
                <w:szCs w:val="21"/>
              </w:rPr>
              <w:t>1</w:t>
            </w: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分</w:t>
            </w:r>
          </w:p>
        </w:tc>
        <w:tc>
          <w:tcPr>
            <w:tcW w:w="1605" w:type="dxa"/>
            <w:noWrap w:val="0"/>
            <w:tcMar>
              <w:top w:w="113" w:type="dxa"/>
              <w:left w:w="113" w:type="dxa"/>
              <w:bottom w:w="113" w:type="dxa"/>
              <w:right w:w="113" w:type="dxa"/>
            </w:tcMar>
            <w:vAlign w:val="center"/>
          </w:tcPr>
          <w:p>
            <w:pPr>
              <w:pStyle w:val="21"/>
              <w:spacing w:line="300" w:lineRule="auto"/>
              <w:jc w:val="center"/>
              <w:rPr>
                <w:rFonts w:hint="eastAsia" w:ascii="宋体" w:hAnsi="宋体" w:eastAsia="宋体" w:cs="宋体"/>
                <w:sz w:val="21"/>
                <w:szCs w:val="21"/>
              </w:rPr>
            </w:pPr>
            <w:r>
              <w:rPr>
                <w:rFonts w:hint="eastAsia" w:ascii="宋体" w:hAnsi="宋体" w:eastAsia="宋体" w:cs="宋体"/>
                <w:sz w:val="21"/>
                <w:szCs w:val="21"/>
              </w:rPr>
              <w:t>施工业绩</w:t>
            </w:r>
          </w:p>
        </w:tc>
        <w:tc>
          <w:tcPr>
            <w:tcW w:w="822" w:type="dxa"/>
            <w:noWrap w:val="0"/>
            <w:tcMar>
              <w:top w:w="113" w:type="dxa"/>
              <w:left w:w="113" w:type="dxa"/>
              <w:bottom w:w="113" w:type="dxa"/>
              <w:right w:w="113" w:type="dxa"/>
            </w:tcMar>
            <w:vAlign w:val="center"/>
          </w:tcPr>
          <w:p>
            <w:pPr>
              <w:pStyle w:val="21"/>
              <w:spacing w:line="300" w:lineRule="auto"/>
              <w:jc w:val="left"/>
              <w:rPr>
                <w:rFonts w:hint="eastAsia" w:ascii="宋体" w:hAnsi="宋体" w:eastAsia="宋体" w:cs="宋体"/>
                <w:sz w:val="21"/>
                <w:szCs w:val="21"/>
                <w:highlight w:val="none"/>
              </w:rPr>
            </w:pPr>
            <w:r>
              <w:rPr>
                <w:rFonts w:hint="eastAsia" w:ascii="宋体" w:hAnsi="宋体" w:eastAsia="宋体" w:cs="宋体"/>
                <w:b/>
                <w:bCs/>
                <w:sz w:val="21"/>
                <w:szCs w:val="21"/>
                <w:highlight w:val="none"/>
              </w:rPr>
              <w:t>15分</w:t>
            </w:r>
          </w:p>
        </w:tc>
        <w:tc>
          <w:tcPr>
            <w:tcW w:w="4626" w:type="dxa"/>
            <w:noWrap w:val="0"/>
            <w:tcMar>
              <w:top w:w="113" w:type="dxa"/>
              <w:left w:w="113" w:type="dxa"/>
              <w:bottom w:w="113" w:type="dxa"/>
              <w:right w:w="113" w:type="dxa"/>
            </w:tcMar>
            <w:vAlign w:val="center"/>
          </w:tcPr>
          <w:p>
            <w:pPr>
              <w:pStyle w:val="21"/>
              <w:spacing w:line="300"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第1标段：</w:t>
            </w:r>
          </w:p>
          <w:p>
            <w:pPr>
              <w:pStyle w:val="21"/>
              <w:wordWrap w:val="0"/>
              <w:spacing w:line="300" w:lineRule="auto"/>
              <w:ind w:firstLine="210" w:firstLineChars="100"/>
              <w:jc w:val="left"/>
              <w:rPr>
                <w:rFonts w:hint="eastAsia" w:eastAsia="宋体"/>
                <w:sz w:val="21"/>
                <w:highlight w:val="none"/>
              </w:rPr>
            </w:pPr>
            <w:r>
              <w:rPr>
                <w:rFonts w:hint="eastAsia" w:eastAsia="宋体"/>
                <w:sz w:val="21"/>
                <w:highlight w:val="none"/>
              </w:rPr>
              <w:t>1）满足资格审查企业业绩最低要求的得基本分9分。</w:t>
            </w:r>
          </w:p>
          <w:p>
            <w:pPr>
              <w:pStyle w:val="21"/>
              <w:wordWrap w:val="0"/>
              <w:spacing w:line="300" w:lineRule="auto"/>
              <w:ind w:firstLine="210" w:firstLineChars="100"/>
              <w:jc w:val="left"/>
              <w:rPr>
                <w:rFonts w:hint="eastAsia" w:eastAsia="宋体"/>
                <w:sz w:val="21"/>
                <w:highlight w:val="none"/>
              </w:rPr>
            </w:pPr>
            <w:r>
              <w:rPr>
                <w:rFonts w:hint="eastAsia" w:eastAsia="宋体"/>
                <w:sz w:val="21"/>
                <w:highlight w:val="none"/>
              </w:rPr>
              <w:t>2）提供的企业业绩（自2018年</w:t>
            </w:r>
            <w:r>
              <w:rPr>
                <w:rFonts w:hint="eastAsia" w:eastAsia="宋体"/>
                <w:sz w:val="21"/>
                <w:highlight w:val="none"/>
                <w:lang w:val="en-US" w:eastAsia="zh-CN"/>
              </w:rPr>
              <w:t>11</w:t>
            </w:r>
            <w:r>
              <w:rPr>
                <w:rFonts w:hint="eastAsia" w:eastAsia="宋体"/>
                <w:sz w:val="21"/>
                <w:highlight w:val="none"/>
              </w:rPr>
              <w:t>月1日</w:t>
            </w:r>
            <w:r>
              <w:rPr>
                <w:rFonts w:eastAsia="宋体"/>
                <w:sz w:val="21"/>
                <w:highlight w:val="none"/>
              </w:rPr>
              <w:t>至投标截止之日止</w:t>
            </w:r>
            <w:r>
              <w:rPr>
                <w:rFonts w:hint="eastAsia" w:eastAsia="宋体"/>
                <w:sz w:val="21"/>
                <w:highlight w:val="none"/>
              </w:rPr>
              <w:t>，以交工日期为准）中包含主跨跨径≥100米桥梁的一级及以上等级新建或改扩建公路工程施工项目的加6分，最多加6分。</w:t>
            </w:r>
          </w:p>
          <w:p>
            <w:pPr>
              <w:pStyle w:val="21"/>
              <w:wordWrap w:val="0"/>
              <w:spacing w:line="300" w:lineRule="auto"/>
              <w:ind w:firstLine="211" w:firstLineChars="100"/>
              <w:jc w:val="left"/>
              <w:rPr>
                <w:rFonts w:hint="eastAsia" w:ascii="宋体" w:hAnsi="宋体" w:eastAsia="宋体" w:cs="宋体"/>
                <w:sz w:val="21"/>
                <w:szCs w:val="21"/>
                <w:highlight w:val="none"/>
              </w:rPr>
            </w:pPr>
            <w:r>
              <w:rPr>
                <w:rFonts w:hint="eastAsia" w:ascii="宋体" w:hAnsi="宋体" w:eastAsia="宋体" w:cs="宋体"/>
                <w:b/>
                <w:bCs/>
                <w:sz w:val="21"/>
                <w:szCs w:val="21"/>
                <w:highlight w:val="none"/>
              </w:rPr>
              <w:t>第2标段：</w:t>
            </w:r>
          </w:p>
          <w:p>
            <w:pPr>
              <w:pStyle w:val="21"/>
              <w:wordWrap w:val="0"/>
              <w:spacing w:line="300" w:lineRule="auto"/>
              <w:ind w:firstLine="210" w:firstLineChars="100"/>
              <w:jc w:val="left"/>
              <w:rPr>
                <w:rFonts w:hint="eastAsia" w:eastAsia="宋体"/>
                <w:sz w:val="21"/>
                <w:highlight w:val="none"/>
              </w:rPr>
            </w:pPr>
            <w:r>
              <w:rPr>
                <w:rFonts w:hint="eastAsia" w:eastAsia="宋体"/>
                <w:sz w:val="21"/>
                <w:highlight w:val="none"/>
              </w:rPr>
              <w:t>1）满足资格审查企业业绩最低要求的得基本分9分。</w:t>
            </w:r>
          </w:p>
          <w:p>
            <w:pPr>
              <w:pStyle w:val="21"/>
              <w:wordWrap w:val="0"/>
              <w:spacing w:line="300" w:lineRule="auto"/>
              <w:ind w:firstLine="210" w:firstLineChars="100"/>
              <w:jc w:val="left"/>
              <w:rPr>
                <w:rFonts w:eastAsia="宋体"/>
                <w:sz w:val="21"/>
                <w:highlight w:val="none"/>
              </w:rPr>
            </w:pPr>
            <w:r>
              <w:rPr>
                <w:rFonts w:hint="eastAsia" w:eastAsia="宋体"/>
                <w:sz w:val="21"/>
                <w:highlight w:val="none"/>
              </w:rPr>
              <w:t>2）提供的企业业绩（自2013年</w:t>
            </w:r>
            <w:r>
              <w:rPr>
                <w:rFonts w:hint="eastAsia" w:eastAsia="宋体"/>
                <w:sz w:val="21"/>
                <w:highlight w:val="none"/>
                <w:lang w:val="en-US" w:eastAsia="zh-CN"/>
              </w:rPr>
              <w:t>11</w:t>
            </w:r>
            <w:r>
              <w:rPr>
                <w:rFonts w:hint="eastAsia" w:eastAsia="宋体"/>
                <w:sz w:val="21"/>
                <w:highlight w:val="none"/>
              </w:rPr>
              <w:t>月1日</w:t>
            </w:r>
            <w:r>
              <w:rPr>
                <w:rFonts w:eastAsia="宋体"/>
                <w:sz w:val="21"/>
                <w:highlight w:val="none"/>
              </w:rPr>
              <w:t>至投标截止之日止</w:t>
            </w:r>
            <w:r>
              <w:rPr>
                <w:rFonts w:hint="eastAsia" w:eastAsia="宋体"/>
                <w:sz w:val="21"/>
                <w:highlight w:val="none"/>
              </w:rPr>
              <w:t>，以交工日期为准）中包含主跨跨径≥240米斜拉桥的一级及以上等级新建或改扩建公路工程施工项目的加6分，最多加6分。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75" w:hRule="atLeast"/>
          <w:jc w:val="center"/>
        </w:trPr>
        <w:tc>
          <w:tcPr>
            <w:tcW w:w="881" w:type="dxa"/>
            <w:noWrap w:val="0"/>
            <w:tcMar>
              <w:top w:w="113" w:type="dxa"/>
              <w:left w:w="113" w:type="dxa"/>
              <w:bottom w:w="113" w:type="dxa"/>
              <w:right w:w="113" w:type="dxa"/>
            </w:tcMar>
            <w:vAlign w:val="center"/>
          </w:tcPr>
          <w:p>
            <w:pPr>
              <w:pStyle w:val="21"/>
              <w:jc w:val="center"/>
              <w:rPr>
                <w:rFonts w:ascii="宋体" w:hAnsi="宋体" w:eastAsia="宋体" w:cs="宋体"/>
                <w:b/>
                <w:bCs/>
                <w:sz w:val="21"/>
                <w:szCs w:val="21"/>
              </w:rPr>
            </w:pPr>
            <w:r>
              <w:rPr>
                <w:rFonts w:hint="eastAsia" w:ascii="宋体" w:hAnsi="宋体" w:eastAsia="宋体" w:cs="宋体"/>
                <w:b/>
                <w:bCs/>
                <w:sz w:val="21"/>
                <w:szCs w:val="21"/>
              </w:rPr>
              <w:t>3.2.4</w:t>
            </w:r>
          </w:p>
        </w:tc>
        <w:tc>
          <w:tcPr>
            <w:tcW w:w="9092" w:type="dxa"/>
            <w:gridSpan w:val="6"/>
            <w:noWrap w:val="0"/>
            <w:tcMar>
              <w:top w:w="113" w:type="dxa"/>
              <w:left w:w="113" w:type="dxa"/>
              <w:bottom w:w="113" w:type="dxa"/>
              <w:right w:w="113" w:type="dxa"/>
            </w:tcMar>
            <w:vAlign w:val="center"/>
          </w:tcPr>
          <w:p>
            <w:pPr>
              <w:pStyle w:val="21"/>
              <w:spacing w:line="300" w:lineRule="auto"/>
              <w:jc w:val="left"/>
              <w:rPr>
                <w:rFonts w:hint="eastAsia" w:eastAsia="宋体"/>
                <w:b/>
                <w:bCs/>
                <w:sz w:val="21"/>
              </w:rPr>
            </w:pPr>
            <w:r>
              <w:rPr>
                <w:rFonts w:hint="eastAsia" w:eastAsia="宋体"/>
                <w:b/>
                <w:bCs/>
                <w:sz w:val="21"/>
              </w:rPr>
              <w:t>通过第一个信封详细评审的投标人数量规定如下：</w:t>
            </w:r>
          </w:p>
          <w:p>
            <w:pPr>
              <w:pStyle w:val="21"/>
              <w:numPr>
                <w:ilvl w:val="0"/>
                <w:numId w:val="5"/>
              </w:numPr>
              <w:spacing w:line="300" w:lineRule="auto"/>
              <w:ind w:firstLine="422" w:firstLineChars="200"/>
              <w:jc w:val="left"/>
              <w:rPr>
                <w:rFonts w:hint="eastAsia" w:eastAsia="宋体"/>
                <w:b/>
                <w:bCs/>
                <w:color w:val="0000FF"/>
                <w:sz w:val="21"/>
              </w:rPr>
            </w:pPr>
            <w:r>
              <w:rPr>
                <w:rFonts w:hint="eastAsia" w:eastAsia="宋体"/>
                <w:b/>
                <w:bCs/>
                <w:color w:val="0000FF"/>
                <w:sz w:val="21"/>
              </w:rPr>
              <w:t>按照投标人的商务和技术得分由高到低进行排序，</w:t>
            </w:r>
            <w:r>
              <w:rPr>
                <w:rFonts w:hint="eastAsia" w:eastAsia="宋体"/>
                <w:b/>
                <w:bCs/>
                <w:color w:val="0000FF"/>
                <w:sz w:val="21"/>
              </w:rPr>
              <w:tab/>
            </w:r>
            <w:r>
              <w:rPr>
                <w:rFonts w:hint="eastAsia" w:eastAsia="宋体"/>
                <w:b/>
                <w:bCs/>
                <w:color w:val="0000FF"/>
                <w:sz w:val="21"/>
              </w:rPr>
              <w:t>选择排序前5名的投标人通过详细评审，进入第二个信封（投标报价）开评标环节。</w:t>
            </w:r>
          </w:p>
          <w:p>
            <w:pPr>
              <w:pStyle w:val="21"/>
              <w:numPr>
                <w:ilvl w:val="0"/>
                <w:numId w:val="5"/>
              </w:numPr>
              <w:spacing w:line="300" w:lineRule="auto"/>
              <w:ind w:firstLine="422" w:firstLineChars="200"/>
              <w:jc w:val="left"/>
              <w:rPr>
                <w:rFonts w:hint="eastAsia" w:eastAsia="宋体"/>
                <w:b/>
                <w:bCs/>
                <w:color w:val="0000FF"/>
                <w:sz w:val="21"/>
              </w:rPr>
            </w:pPr>
            <w:r>
              <w:rPr>
                <w:rFonts w:hint="eastAsia" w:eastAsia="宋体"/>
                <w:b/>
                <w:bCs/>
                <w:color w:val="0000FF"/>
                <w:sz w:val="21"/>
              </w:rPr>
              <w:t>如第一个信封商务和技术得分相同时，按照以下规则确定投标人排名优先顺序：</w:t>
            </w:r>
          </w:p>
          <w:p>
            <w:pPr>
              <w:pStyle w:val="21"/>
              <w:numPr>
                <w:ilvl w:val="0"/>
                <w:numId w:val="6"/>
              </w:numPr>
              <w:spacing w:line="300" w:lineRule="auto"/>
              <w:ind w:firstLine="422" w:firstLineChars="200"/>
              <w:jc w:val="left"/>
              <w:rPr>
                <w:rFonts w:hint="eastAsia" w:eastAsia="宋体"/>
                <w:b/>
                <w:bCs/>
                <w:sz w:val="21"/>
              </w:rPr>
            </w:pPr>
            <w:r>
              <w:rPr>
                <w:rFonts w:hint="eastAsia" w:eastAsia="宋体"/>
                <w:b/>
                <w:bCs/>
                <w:sz w:val="21"/>
              </w:rPr>
              <w:t>2020年度被宁夏交通运输厅评为较高信用等级的投标人优先：以《自治区交通运输厅关于公布2020年宁夏公路建设市场从业单位信用等级评价结果的通知》（宁夏回族自治区交通运输厅官网2021年4月15日发布）文件中的信用评价等级（施工企业）为准；</w:t>
            </w:r>
          </w:p>
          <w:p>
            <w:pPr>
              <w:pStyle w:val="21"/>
              <w:spacing w:line="300" w:lineRule="auto"/>
              <w:ind w:firstLine="422" w:firstLineChars="200"/>
              <w:jc w:val="left"/>
              <w:rPr>
                <w:rFonts w:hint="eastAsia" w:eastAsia="宋体"/>
                <w:b/>
                <w:bCs/>
                <w:sz w:val="21"/>
              </w:rPr>
            </w:pPr>
            <w:r>
              <w:rPr>
                <w:rFonts w:hint="eastAsia" w:eastAsia="宋体"/>
                <w:b/>
                <w:bCs/>
                <w:sz w:val="21"/>
              </w:rPr>
              <w:t>(2)</w:t>
            </w:r>
            <w:r>
              <w:rPr>
                <w:rFonts w:hint="eastAsia" w:eastAsia="宋体"/>
                <w:b/>
                <w:bCs/>
                <w:sz w:val="21"/>
              </w:rPr>
              <w:tab/>
            </w:r>
            <w:r>
              <w:rPr>
                <w:rFonts w:hint="eastAsia" w:eastAsia="宋体"/>
                <w:b/>
                <w:bCs/>
                <w:sz w:val="21"/>
              </w:rPr>
              <w:t>施工组织计划得分高的投标人优先；</w:t>
            </w:r>
          </w:p>
          <w:p>
            <w:pPr>
              <w:pStyle w:val="21"/>
              <w:spacing w:line="300" w:lineRule="auto"/>
              <w:ind w:firstLine="422" w:firstLineChars="200"/>
              <w:jc w:val="left"/>
              <w:rPr>
                <w:rFonts w:ascii="宋体" w:hAnsi="宋体" w:eastAsia="宋体" w:cs="宋体"/>
                <w:b/>
                <w:bCs/>
                <w:sz w:val="21"/>
              </w:rPr>
            </w:pPr>
            <w:r>
              <w:rPr>
                <w:rFonts w:hint="eastAsia" w:eastAsia="宋体"/>
                <w:b/>
                <w:bCs/>
                <w:sz w:val="21"/>
              </w:rPr>
              <w:t>(3)</w:t>
            </w:r>
            <w:r>
              <w:rPr>
                <w:rFonts w:hint="eastAsia" w:eastAsia="宋体"/>
                <w:b/>
                <w:bCs/>
                <w:sz w:val="21"/>
              </w:rPr>
              <w:tab/>
            </w:r>
            <w:r>
              <w:rPr>
                <w:rFonts w:hint="eastAsia" w:eastAsia="宋体"/>
                <w:b/>
                <w:bCs/>
                <w:sz w:val="21"/>
              </w:rPr>
              <w:t>由评标委员会根据投标文件的编制情况投票确定其推荐排序。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18" w:hRule="atLeast"/>
          <w:jc w:val="center"/>
        </w:trPr>
        <w:tc>
          <w:tcPr>
            <w:tcW w:w="9973" w:type="dxa"/>
            <w:gridSpan w:val="7"/>
            <w:noWrap w:val="0"/>
            <w:tcMar>
              <w:top w:w="113" w:type="dxa"/>
              <w:left w:w="113" w:type="dxa"/>
              <w:bottom w:w="113" w:type="dxa"/>
              <w:right w:w="113" w:type="dxa"/>
            </w:tcMar>
            <w:vAlign w:val="center"/>
          </w:tcPr>
          <w:p>
            <w:pPr>
              <w:pStyle w:val="21"/>
              <w:spacing w:line="300" w:lineRule="auto"/>
              <w:ind w:firstLine="434" w:firstLineChars="200"/>
              <w:jc w:val="left"/>
              <w:rPr>
                <w:rFonts w:hint="eastAsia" w:ascii="宋体" w:hAnsi="宋体" w:eastAsia="宋体" w:cs="宋体"/>
                <w:b/>
                <w:bCs/>
                <w:spacing w:val="3"/>
                <w:kern w:val="0"/>
                <w:sz w:val="21"/>
                <w:szCs w:val="21"/>
              </w:rPr>
            </w:pPr>
            <w:r>
              <w:rPr>
                <w:rFonts w:hint="eastAsia" w:ascii="宋体" w:hAnsi="宋体" w:eastAsia="宋体" w:cs="宋体"/>
                <w:b/>
                <w:bCs/>
                <w:spacing w:val="3"/>
                <w:kern w:val="0"/>
                <w:sz w:val="21"/>
                <w:szCs w:val="21"/>
              </w:rPr>
              <w:t>需要补充的其他内容：</w:t>
            </w:r>
          </w:p>
          <w:p>
            <w:pPr>
              <w:pStyle w:val="21"/>
              <w:spacing w:line="300" w:lineRule="auto"/>
              <w:ind w:firstLine="434" w:firstLineChars="200"/>
              <w:jc w:val="left"/>
              <w:rPr>
                <w:rFonts w:hint="eastAsia" w:ascii="宋体" w:hAnsi="宋体" w:eastAsia="宋体" w:cs="宋体"/>
                <w:b/>
                <w:bCs/>
                <w:spacing w:val="3"/>
                <w:kern w:val="0"/>
                <w:sz w:val="21"/>
                <w:szCs w:val="21"/>
              </w:rPr>
            </w:pPr>
            <w:r>
              <w:rPr>
                <w:rFonts w:hint="eastAsia" w:ascii="宋体" w:hAnsi="宋体" w:eastAsia="宋体" w:cs="宋体"/>
                <w:b/>
                <w:bCs/>
                <w:spacing w:val="3"/>
                <w:kern w:val="0"/>
                <w:sz w:val="21"/>
                <w:szCs w:val="21"/>
              </w:rPr>
              <w:t>招标人设有投标控制价上限，目的是防止哄抬标价，投标价超出此投标控制价上限的，招标人将视为超出招标人的支付能力，评标委员会应拒绝其投标。</w:t>
            </w:r>
          </w:p>
          <w:p>
            <w:pPr>
              <w:pStyle w:val="21"/>
              <w:spacing w:line="300" w:lineRule="auto"/>
              <w:ind w:firstLine="434" w:firstLineChars="200"/>
              <w:jc w:val="left"/>
              <w:rPr>
                <w:rFonts w:hint="eastAsia" w:ascii="宋体" w:hAnsi="宋体" w:eastAsia="宋体" w:cs="宋体"/>
                <w:b/>
                <w:bCs/>
                <w:spacing w:val="3"/>
                <w:kern w:val="0"/>
                <w:sz w:val="21"/>
                <w:szCs w:val="21"/>
              </w:rPr>
            </w:pPr>
            <w:r>
              <w:rPr>
                <w:rFonts w:hint="eastAsia" w:ascii="宋体" w:hAnsi="宋体" w:eastAsia="宋体" w:cs="宋体"/>
                <w:b/>
                <w:bCs/>
                <w:spacing w:val="3"/>
                <w:kern w:val="0"/>
                <w:sz w:val="21"/>
                <w:szCs w:val="21"/>
              </w:rPr>
              <w:t>本次评标采用技术评分最低标价法，评标委员会对通过初步评审的投标人的施工组织设计、主要人员、其他等因素进行评分，按照得分由高到低排序，对排名在招标文件规定数量以内的投标人的报价文件进行评审，按照评标价由低到高的顺序推荐中标候选人的评标方法。投标报价低于其成本的除外。</w:t>
            </w:r>
          </w:p>
          <w:p>
            <w:pPr>
              <w:pStyle w:val="21"/>
              <w:spacing w:line="300" w:lineRule="auto"/>
              <w:ind w:firstLine="434" w:firstLineChars="200"/>
              <w:jc w:val="left"/>
              <w:rPr>
                <w:rFonts w:hint="eastAsia" w:ascii="宋体" w:hAnsi="宋体" w:eastAsia="宋体" w:cs="宋体"/>
                <w:b/>
                <w:bCs/>
                <w:spacing w:val="3"/>
                <w:kern w:val="0"/>
                <w:sz w:val="21"/>
                <w:szCs w:val="21"/>
              </w:rPr>
            </w:pPr>
            <w:r>
              <w:rPr>
                <w:rFonts w:hint="eastAsia" w:ascii="宋体" w:hAnsi="宋体" w:eastAsia="宋体" w:cs="宋体"/>
                <w:b/>
                <w:bCs/>
                <w:spacing w:val="3"/>
                <w:kern w:val="0"/>
                <w:sz w:val="21"/>
                <w:szCs w:val="21"/>
              </w:rPr>
              <w:t>除评标价和履约信誉评分项外，评标委员会成员对投标人商务和技术各项因素的评分一般不得低于招标文件规定该因素满分值的60%；评分低于满分值60%的，评标委员会成员应当在评标报告中作出说明。投标文件各项评分因素得分应以评标委员会各成员的打分平均值确定，评标委员会成员总数为七人及以上时，该平均值以去掉一个最高分和一个最低分后计算。</w:t>
            </w:r>
          </w:p>
        </w:tc>
      </w:tr>
    </w:tbl>
    <w:p>
      <w:pPr>
        <w:rPr>
          <w:rFonts w:hint="eastAsia"/>
          <w:color w:val="auto"/>
          <w:highlight w:val="none"/>
        </w:rPr>
      </w:pPr>
      <w:r>
        <w:rPr>
          <w:rFonts w:hint="eastAsia"/>
          <w:color w:val="auto"/>
          <w:sz w:val="20"/>
          <w:highlight w:val="none"/>
        </w:rPr>
        <w:t xml:space="preserve"> </w:t>
      </w:r>
      <w:bookmarkEnd w:id="5"/>
    </w:p>
    <w:p>
      <w:pPr>
        <w:spacing w:line="360" w:lineRule="auto"/>
        <w:ind w:firstLine="315" w:firstLineChars="150"/>
        <w:rPr>
          <w:rFonts w:hint="eastAsia"/>
          <w:color w:val="auto"/>
          <w:highlight w:val="none"/>
        </w:rPr>
      </w:pPr>
      <w:r>
        <w:rPr>
          <w:b/>
          <w:color w:val="auto"/>
          <w:szCs w:val="21"/>
          <w:highlight w:val="none"/>
        </w:rPr>
        <w:br w:type="page"/>
      </w:r>
      <w:r>
        <w:rPr>
          <w:b/>
          <w:color w:val="auto"/>
          <w:szCs w:val="21"/>
          <w:highlight w:val="none"/>
        </w:rPr>
        <w:t>“</w:t>
      </w:r>
      <w:r>
        <w:rPr>
          <w:rFonts w:hint="eastAsia"/>
          <w:b/>
          <w:color w:val="auto"/>
          <w:szCs w:val="21"/>
          <w:highlight w:val="none"/>
        </w:rPr>
        <w:t>评标办法前附表</w:t>
      </w:r>
      <w:r>
        <w:rPr>
          <w:b/>
          <w:color w:val="auto"/>
          <w:szCs w:val="21"/>
          <w:highlight w:val="none"/>
        </w:rPr>
        <w:t>”</w:t>
      </w:r>
      <w:r>
        <w:rPr>
          <w:rFonts w:hint="eastAsia"/>
          <w:b/>
          <w:color w:val="auto"/>
          <w:szCs w:val="21"/>
          <w:highlight w:val="none"/>
        </w:rPr>
        <w:t>用于进一步明确正文中的未尽事宜，由招标人根据招标项目具体特点和实际需要编制和填写。评标办法前附表是对评标办法正文的补充和细化，应对照评标办法正文中同一编号的条款一起阅读和理解。如前附表与正文表述不一致时，以前附表的规定为准。</w:t>
      </w:r>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1.评标方法</w:t>
      </w:r>
    </w:p>
    <w:p>
      <w:pPr>
        <w:tabs>
          <w:tab w:val="left" w:pos="845"/>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次评标采用技术评分最低标价法。评标委员会对满足招标文件实质性要求的投标文件的施工组织设计、主要人员、技术能力等因素进行评分，按照得分由高到低排序，对排名在招标文件规定数量以内的投标人的报价文件进行评审，按照评标价由低到高的顺序推荐中标候选人，或根据招标人授权直接确定中标人，但投标报价低于其成本的除外。评标价相等时，评标委员会应按照评标办法前附表规定的优先次序推荐中标候选人或确定中标人。</w:t>
      </w:r>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2.评审标准</w:t>
      </w:r>
    </w:p>
    <w:p>
      <w:pPr>
        <w:pStyle w:val="15"/>
        <w:tabs>
          <w:tab w:val="left" w:pos="905"/>
        </w:tabs>
        <w:spacing w:line="360" w:lineRule="auto"/>
        <w:ind w:left="-480" w:firstLine="480"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2.1初步评审标准</w:t>
      </w:r>
    </w:p>
    <w:p>
      <w:pPr>
        <w:pStyle w:val="2"/>
        <w:spacing w:after="0"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2.1.1 形式评审标准：见评标办法前附表。</w:t>
      </w:r>
    </w:p>
    <w:p>
      <w:pPr>
        <w:pStyle w:val="2"/>
        <w:spacing w:after="0"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2.1.2 资格评审标准：见评标办法前附表。（适用于未进行资格预审的</w:t>
      </w:r>
      <w:r>
        <w:rPr>
          <w:rFonts w:hint="eastAsia" w:ascii="宋体" w:hAnsi="宋体" w:cs="宋体"/>
          <w:color w:val="auto"/>
          <w:spacing w:val="-120"/>
          <w:szCs w:val="21"/>
          <w:highlight w:val="none"/>
        </w:rPr>
        <w:t>）</w:t>
      </w:r>
      <w:r>
        <w:rPr>
          <w:rFonts w:hint="eastAsia" w:ascii="宋体" w:hAnsi="宋体" w:cs="宋体"/>
          <w:color w:val="auto"/>
          <w:szCs w:val="21"/>
          <w:highlight w:val="none"/>
        </w:rPr>
        <w:t>。</w:t>
      </w:r>
    </w:p>
    <w:p>
      <w:pPr>
        <w:pStyle w:val="2"/>
        <w:spacing w:after="0"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2.1.2 </w:t>
      </w:r>
      <w:r>
        <w:rPr>
          <w:rFonts w:hint="eastAsia" w:ascii="宋体" w:hAnsi="宋体" w:cs="宋体"/>
          <w:color w:val="auto"/>
          <w:spacing w:val="-5"/>
          <w:szCs w:val="21"/>
          <w:highlight w:val="none"/>
        </w:rPr>
        <w:t>资格评审标准：见资格预审文件第三章</w:t>
      </w:r>
      <w:r>
        <w:rPr>
          <w:rFonts w:hint="eastAsia" w:ascii="宋体" w:hAnsi="宋体" w:cs="宋体"/>
          <w:color w:val="auto"/>
          <w:szCs w:val="21"/>
          <w:highlight w:val="none"/>
        </w:rPr>
        <w:t>“资格审查办法”</w:t>
      </w:r>
      <w:r>
        <w:rPr>
          <w:rFonts w:hint="eastAsia" w:ascii="宋体" w:hAnsi="宋体" w:cs="宋体"/>
          <w:color w:val="auto"/>
          <w:spacing w:val="-5"/>
          <w:szCs w:val="21"/>
          <w:highlight w:val="none"/>
        </w:rPr>
        <w:t>详细审查标准</w:t>
      </w:r>
      <w:r>
        <w:rPr>
          <w:rFonts w:hint="eastAsia" w:ascii="宋体" w:hAnsi="宋体" w:cs="宋体"/>
          <w:color w:val="auto"/>
          <w:szCs w:val="21"/>
          <w:highlight w:val="none"/>
        </w:rPr>
        <w:t>（适用于已进行资格预审的</w:t>
      </w:r>
      <w:r>
        <w:rPr>
          <w:rFonts w:hint="eastAsia" w:ascii="宋体" w:hAnsi="宋体" w:cs="宋体"/>
          <w:color w:val="auto"/>
          <w:spacing w:val="-120"/>
          <w:szCs w:val="21"/>
          <w:highlight w:val="none"/>
        </w:rPr>
        <w:t>）</w:t>
      </w:r>
      <w:r>
        <w:rPr>
          <w:rFonts w:hint="eastAsia" w:ascii="宋体" w:hAnsi="宋体" w:cs="宋体"/>
          <w:color w:val="auto"/>
          <w:szCs w:val="21"/>
          <w:highlight w:val="none"/>
        </w:rPr>
        <w:t>。</w:t>
      </w:r>
    </w:p>
    <w:p>
      <w:pPr>
        <w:pStyle w:val="2"/>
        <w:spacing w:after="0"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2.1.3 响应性评审标准：见评标办法前附表。</w:t>
      </w:r>
    </w:p>
    <w:p>
      <w:pPr>
        <w:pStyle w:val="15"/>
        <w:tabs>
          <w:tab w:val="left" w:pos="905"/>
        </w:tabs>
        <w:spacing w:line="360" w:lineRule="auto"/>
        <w:ind w:left="-480" w:firstLine="480" w:firstLineChars="200"/>
        <w:jc w:val="left"/>
        <w:rPr>
          <w:rFonts w:hint="eastAsia" w:ascii="宋体" w:hAnsi="宋体" w:cs="宋体"/>
          <w:b/>
          <w:bCs/>
          <w:color w:val="auto"/>
          <w:sz w:val="24"/>
          <w:highlight w:val="none"/>
        </w:rPr>
      </w:pPr>
      <w:r>
        <w:rPr>
          <w:rFonts w:hint="eastAsia" w:ascii="宋体" w:hAnsi="宋体" w:cs="宋体"/>
          <w:b/>
          <w:bCs/>
          <w:color w:val="auto"/>
          <w:sz w:val="24"/>
          <w:highlight w:val="none"/>
        </w:rPr>
        <w:t>2.2分值构成与评分标准</w:t>
      </w:r>
    </w:p>
    <w:p>
      <w:pPr>
        <w:pStyle w:val="15"/>
        <w:tabs>
          <w:tab w:val="left" w:pos="1505"/>
        </w:tabs>
        <w:spacing w:line="360" w:lineRule="auto"/>
        <w:ind w:left="0" w:firstLine="0"/>
        <w:jc w:val="left"/>
        <w:rPr>
          <w:rFonts w:hint="eastAsia" w:ascii="宋体" w:hAnsi="宋体" w:cs="宋体"/>
          <w:b/>
          <w:bCs/>
          <w:color w:val="auto"/>
          <w:szCs w:val="21"/>
          <w:highlight w:val="none"/>
        </w:rPr>
      </w:pPr>
      <w:r>
        <w:rPr>
          <w:rFonts w:hint="eastAsia" w:ascii="宋体" w:hAnsi="宋体" w:cs="宋体"/>
          <w:b/>
          <w:bCs/>
          <w:color w:val="auto"/>
          <w:szCs w:val="21"/>
          <w:highlight w:val="none"/>
        </w:rPr>
        <w:t>2.2.1第一个信封评分分值构成</w:t>
      </w:r>
    </w:p>
    <w:p>
      <w:pPr>
        <w:pStyle w:val="2"/>
        <w:spacing w:after="0"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（1）施工组织设计：见评标办法前附表；</w:t>
      </w:r>
    </w:p>
    <w:p>
      <w:pPr>
        <w:pStyle w:val="2"/>
        <w:spacing w:after="0"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（2）主要人员：见评标办法前附表；</w:t>
      </w:r>
    </w:p>
    <w:p>
      <w:pPr>
        <w:pStyle w:val="2"/>
        <w:spacing w:after="0"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（3）其他评分因素：见评标办法前附表。</w:t>
      </w:r>
    </w:p>
    <w:p>
      <w:pPr>
        <w:pStyle w:val="15"/>
        <w:tabs>
          <w:tab w:val="left" w:pos="1505"/>
        </w:tabs>
        <w:spacing w:line="360" w:lineRule="auto"/>
        <w:ind w:left="-600" w:firstLine="630" w:firstLineChars="300"/>
        <w:jc w:val="left"/>
        <w:rPr>
          <w:rFonts w:hint="eastAsia" w:ascii="宋体" w:hAnsi="宋体" w:cs="宋体"/>
          <w:b/>
          <w:bCs/>
          <w:color w:val="auto"/>
          <w:szCs w:val="21"/>
          <w:highlight w:val="none"/>
        </w:rPr>
      </w:pPr>
      <w:r>
        <w:rPr>
          <w:rFonts w:hint="eastAsia" w:ascii="宋体" w:hAnsi="宋体" w:cs="宋体"/>
          <w:b/>
          <w:bCs/>
          <w:color w:val="auto"/>
          <w:szCs w:val="21"/>
          <w:highlight w:val="none"/>
        </w:rPr>
        <w:t>2.2.2第一个信封评分评分标准</w:t>
      </w:r>
    </w:p>
    <w:p>
      <w:pPr>
        <w:pStyle w:val="2"/>
        <w:spacing w:after="0"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（1）施工组织设计评分标准：见评标办法前附表；</w:t>
      </w:r>
    </w:p>
    <w:p>
      <w:pPr>
        <w:pStyle w:val="2"/>
        <w:spacing w:after="0"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（2）主要人员评分标准：见评标办法前附表；</w:t>
      </w:r>
    </w:p>
    <w:p>
      <w:pPr>
        <w:pStyle w:val="2"/>
        <w:spacing w:after="0"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（3）其他因素评分标准：见评标办法前附表。</w:t>
      </w:r>
    </w:p>
    <w:p>
      <w:pPr>
        <w:pStyle w:val="15"/>
        <w:tabs>
          <w:tab w:val="left" w:pos="1505"/>
        </w:tabs>
        <w:spacing w:line="360" w:lineRule="auto"/>
        <w:ind w:left="-600" w:firstLine="630" w:firstLineChars="300"/>
        <w:jc w:val="left"/>
        <w:rPr>
          <w:rFonts w:hint="eastAsia" w:ascii="宋体" w:hAnsi="宋体" w:cs="宋体"/>
          <w:b/>
          <w:bCs/>
          <w:color w:val="auto"/>
          <w:szCs w:val="21"/>
          <w:highlight w:val="none"/>
        </w:rPr>
      </w:pPr>
      <w:r>
        <w:rPr>
          <w:rFonts w:hint="eastAsia" w:ascii="宋体" w:hAnsi="宋体" w:cs="宋体"/>
          <w:b/>
          <w:bCs/>
          <w:color w:val="auto"/>
          <w:szCs w:val="21"/>
          <w:highlight w:val="none"/>
        </w:rPr>
        <w:t>2.2.3第二个信封详细评审标准：见评标办法前附表。</w:t>
      </w:r>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3.评标程序</w:t>
      </w:r>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3.1第一个信封初步评审</w:t>
      </w:r>
    </w:p>
    <w:p>
      <w:pPr>
        <w:pStyle w:val="15"/>
        <w:tabs>
          <w:tab w:val="left" w:pos="845"/>
        </w:tabs>
        <w:spacing w:line="360" w:lineRule="auto"/>
        <w:ind w:left="-42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3.1.1评标委员会可以要求投标人提交第二章“投标人须知”</w:t>
      </w:r>
      <w:r>
        <w:rPr>
          <w:rFonts w:hint="eastAsia" w:ascii="宋体" w:hAnsi="宋体" w:cs="宋体"/>
          <w:color w:val="auto"/>
          <w:spacing w:val="-31"/>
          <w:szCs w:val="21"/>
          <w:highlight w:val="none"/>
        </w:rPr>
        <w:t xml:space="preserve">第 </w:t>
      </w:r>
      <w:r>
        <w:rPr>
          <w:rFonts w:hint="eastAsia" w:ascii="宋体" w:hAnsi="宋体" w:cs="宋体"/>
          <w:color w:val="auto"/>
          <w:szCs w:val="21"/>
          <w:highlight w:val="none"/>
        </w:rPr>
        <w:t>3.5.1</w:t>
      </w:r>
      <w:r>
        <w:rPr>
          <w:rFonts w:hint="eastAsia" w:ascii="宋体" w:hAnsi="宋体" w:cs="宋体"/>
          <w:color w:val="auto"/>
          <w:spacing w:val="1"/>
          <w:szCs w:val="21"/>
          <w:highlight w:val="none"/>
        </w:rPr>
        <w:t xml:space="preserve"> </w:t>
      </w:r>
      <w:r>
        <w:rPr>
          <w:rFonts w:hint="eastAsia" w:ascii="宋体" w:hAnsi="宋体" w:cs="宋体"/>
          <w:color w:val="auto"/>
          <w:spacing w:val="-16"/>
          <w:szCs w:val="21"/>
          <w:highlight w:val="none"/>
        </w:rPr>
        <w:t xml:space="preserve">项至第 </w:t>
      </w:r>
      <w:r>
        <w:rPr>
          <w:rFonts w:hint="eastAsia" w:ascii="宋体" w:hAnsi="宋体" w:cs="宋体"/>
          <w:color w:val="auto"/>
          <w:szCs w:val="21"/>
          <w:highlight w:val="none"/>
        </w:rPr>
        <w:t>3.5.6项规定的有关证明和证件的原件，以便核验。评标委员会依据本章第 2.1 款规定的标准对投标文件第一个信封（商务及技术文件）进行初步评审。有一项不符合评审标准的，评标委员会应否决其投标。（适用于未进行资格预审的）</w:t>
      </w:r>
    </w:p>
    <w:p>
      <w:pPr>
        <w:pStyle w:val="15"/>
        <w:tabs>
          <w:tab w:val="left" w:pos="845"/>
        </w:tabs>
        <w:spacing w:line="360" w:lineRule="auto"/>
        <w:ind w:left="-42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3.1.1 </w:t>
      </w:r>
      <w:r>
        <w:rPr>
          <w:rFonts w:hint="eastAsia" w:ascii="宋体" w:hAnsi="宋体" w:cs="宋体"/>
          <w:color w:val="auto"/>
          <w:spacing w:val="-6"/>
          <w:szCs w:val="21"/>
          <w:highlight w:val="none"/>
        </w:rPr>
        <w:t xml:space="preserve">评标委员会依据本章第 </w:t>
      </w:r>
      <w:r>
        <w:rPr>
          <w:rFonts w:hint="eastAsia" w:ascii="宋体" w:hAnsi="宋体" w:cs="宋体"/>
          <w:color w:val="auto"/>
          <w:szCs w:val="21"/>
          <w:highlight w:val="none"/>
        </w:rPr>
        <w:t xml:space="preserve">2.1.1 </w:t>
      </w:r>
      <w:r>
        <w:rPr>
          <w:rFonts w:hint="eastAsia" w:ascii="宋体" w:hAnsi="宋体" w:cs="宋体"/>
          <w:color w:val="auto"/>
          <w:spacing w:val="-36"/>
          <w:szCs w:val="21"/>
          <w:highlight w:val="none"/>
        </w:rPr>
        <w:t xml:space="preserve">项、第 </w:t>
      </w:r>
      <w:r>
        <w:rPr>
          <w:rFonts w:hint="eastAsia" w:ascii="宋体" w:hAnsi="宋体" w:cs="宋体"/>
          <w:color w:val="auto"/>
          <w:szCs w:val="21"/>
          <w:highlight w:val="none"/>
        </w:rPr>
        <w:t>2.1.3 项规定的评审标准对投标文件第一个信封（商务及技术文件）进行初步评审。有一项不符合评审标准的，评标委员会应否决其投标。当投标人资格预审申请文件的内容发生重大变化时，评标委员会</w:t>
      </w:r>
      <w:r>
        <w:rPr>
          <w:rFonts w:hint="eastAsia" w:ascii="宋体" w:hAnsi="宋体" w:cs="宋体"/>
          <w:color w:val="auto"/>
          <w:spacing w:val="-11"/>
          <w:szCs w:val="21"/>
          <w:highlight w:val="none"/>
        </w:rPr>
        <w:t xml:space="preserve">依据本章第 </w:t>
      </w:r>
      <w:r>
        <w:rPr>
          <w:rFonts w:hint="eastAsia" w:ascii="宋体" w:hAnsi="宋体" w:cs="宋体"/>
          <w:color w:val="auto"/>
          <w:szCs w:val="21"/>
          <w:highlight w:val="none"/>
        </w:rPr>
        <w:t>2.1.2 项规定的标准对其更新资料进行评审</w:t>
      </w:r>
      <w:r>
        <w:rPr>
          <w:rFonts w:hint="eastAsia" w:ascii="宋体" w:hAnsi="宋体" w:cs="宋体"/>
          <w:color w:val="auto"/>
          <w:spacing w:val="-203"/>
          <w:szCs w:val="21"/>
          <w:highlight w:val="none"/>
        </w:rPr>
        <w:t>。</w:t>
      </w:r>
      <w:r>
        <w:rPr>
          <w:rFonts w:hint="eastAsia" w:ascii="宋体" w:hAnsi="宋体" w:cs="宋体"/>
          <w:color w:val="auto"/>
          <w:szCs w:val="21"/>
          <w:highlight w:val="none"/>
        </w:rPr>
        <w:t>（适用于已进行资格预审的）</w:t>
      </w:r>
    </w:p>
    <w:p>
      <w:pPr>
        <w:pStyle w:val="15"/>
        <w:tabs>
          <w:tab w:val="left" w:pos="905"/>
        </w:tabs>
        <w:spacing w:line="360" w:lineRule="auto"/>
        <w:ind w:left="-480" w:firstLine="0"/>
        <w:jc w:val="left"/>
        <w:rPr>
          <w:rFonts w:hint="eastAsia" w:ascii="宋体" w:hAnsi="宋体" w:cs="宋体"/>
          <w:b/>
          <w:bCs/>
          <w:color w:val="auto"/>
          <w:sz w:val="24"/>
          <w:highlight w:val="none"/>
        </w:rPr>
      </w:pPr>
      <w:r>
        <w:rPr>
          <w:rFonts w:hint="eastAsia" w:ascii="宋体" w:hAnsi="宋体" w:cs="宋体"/>
          <w:b/>
          <w:bCs/>
          <w:color w:val="auto"/>
          <w:sz w:val="24"/>
          <w:highlight w:val="none"/>
        </w:rPr>
        <w:t>3.2第一个信封详细评审</w:t>
      </w:r>
    </w:p>
    <w:p>
      <w:pPr>
        <w:pStyle w:val="15"/>
        <w:tabs>
          <w:tab w:val="left" w:pos="1510"/>
        </w:tabs>
        <w:spacing w:line="360" w:lineRule="auto"/>
        <w:ind w:left="-183" w:leftChars="-87"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3.2.1评标委员会按本章第 2.2 款规定的量化因素和分值进行打分，并计算出各投标人的商务和技术得分。</w:t>
      </w:r>
    </w:p>
    <w:p>
      <w:pPr>
        <w:pStyle w:val="15"/>
        <w:numPr>
          <w:ilvl w:val="0"/>
          <w:numId w:val="7"/>
        </w:numPr>
        <w:tabs>
          <w:tab w:val="left" w:pos="905"/>
        </w:tabs>
        <w:spacing w:line="360" w:lineRule="auto"/>
        <w:ind w:left="-482" w:firstLine="372" w:firstLineChars="200"/>
        <w:jc w:val="left"/>
        <w:rPr>
          <w:rFonts w:hint="eastAsia" w:ascii="宋体" w:hAnsi="宋体" w:cs="宋体"/>
          <w:color w:val="auto"/>
          <w:szCs w:val="21"/>
          <w:highlight w:val="none"/>
        </w:rPr>
      </w:pPr>
      <w:r>
        <w:rPr>
          <w:rFonts w:hint="eastAsia" w:ascii="宋体" w:hAnsi="宋体" w:cs="宋体"/>
          <w:color w:val="auto"/>
          <w:spacing w:val="-12"/>
          <w:szCs w:val="21"/>
          <w:highlight w:val="none"/>
        </w:rPr>
        <w:t xml:space="preserve">按本章第 </w:t>
      </w:r>
      <w:r>
        <w:rPr>
          <w:rFonts w:hint="eastAsia" w:ascii="宋体" w:hAnsi="宋体" w:cs="宋体"/>
          <w:color w:val="auto"/>
          <w:szCs w:val="21"/>
          <w:highlight w:val="none"/>
        </w:rPr>
        <w:t xml:space="preserve">2.2.2 </w:t>
      </w:r>
      <w:r>
        <w:rPr>
          <w:rFonts w:hint="eastAsia" w:ascii="宋体" w:hAnsi="宋体" w:cs="宋体"/>
          <w:color w:val="auto"/>
          <w:spacing w:val="-29"/>
          <w:szCs w:val="21"/>
          <w:highlight w:val="none"/>
        </w:rPr>
        <w:t>项</w:t>
      </w:r>
      <w:r>
        <w:rPr>
          <w:rFonts w:hint="eastAsia" w:ascii="宋体" w:hAnsi="宋体" w:cs="宋体"/>
          <w:color w:val="auto"/>
          <w:spacing w:val="-10"/>
          <w:szCs w:val="21"/>
          <w:highlight w:val="none"/>
        </w:rPr>
        <w:t>（1）</w:t>
      </w:r>
      <w:r>
        <w:rPr>
          <w:rFonts w:hint="eastAsia" w:ascii="宋体" w:hAnsi="宋体" w:cs="宋体"/>
          <w:color w:val="auto"/>
          <w:szCs w:val="21"/>
          <w:highlight w:val="none"/>
        </w:rPr>
        <w:t>目规定的评审因素和分值对施工组织设计部分计算</w:t>
      </w:r>
      <w:r>
        <w:rPr>
          <w:rFonts w:hint="eastAsia" w:ascii="宋体" w:hAnsi="宋体" w:cs="宋体"/>
          <w:color w:val="auto"/>
          <w:spacing w:val="-16"/>
          <w:szCs w:val="21"/>
          <w:highlight w:val="none"/>
        </w:rPr>
        <w:t xml:space="preserve">出得分 </w:t>
      </w:r>
      <w:r>
        <w:rPr>
          <w:rFonts w:hint="eastAsia" w:ascii="宋体" w:hAnsi="宋体" w:cs="宋体"/>
          <w:color w:val="auto"/>
          <w:szCs w:val="21"/>
          <w:highlight w:val="none"/>
        </w:rPr>
        <w:t>A；</w:t>
      </w:r>
    </w:p>
    <w:p>
      <w:pPr>
        <w:pStyle w:val="15"/>
        <w:numPr>
          <w:ilvl w:val="0"/>
          <w:numId w:val="7"/>
        </w:numPr>
        <w:tabs>
          <w:tab w:val="left" w:pos="905"/>
        </w:tabs>
        <w:spacing w:line="360" w:lineRule="auto"/>
        <w:ind w:left="-482" w:firstLine="372" w:firstLineChars="200"/>
        <w:jc w:val="left"/>
        <w:rPr>
          <w:rFonts w:hint="eastAsia" w:ascii="宋体" w:hAnsi="宋体" w:cs="宋体"/>
          <w:color w:val="auto"/>
          <w:szCs w:val="21"/>
          <w:highlight w:val="none"/>
        </w:rPr>
      </w:pPr>
      <w:r>
        <w:rPr>
          <w:rFonts w:hint="eastAsia" w:ascii="宋体" w:hAnsi="宋体" w:cs="宋体"/>
          <w:color w:val="auto"/>
          <w:spacing w:val="-12"/>
          <w:szCs w:val="21"/>
          <w:highlight w:val="none"/>
        </w:rPr>
        <w:t xml:space="preserve">按本章第 </w:t>
      </w:r>
      <w:r>
        <w:rPr>
          <w:rFonts w:hint="eastAsia" w:ascii="宋体" w:hAnsi="宋体" w:cs="宋体"/>
          <w:color w:val="auto"/>
          <w:szCs w:val="21"/>
          <w:highlight w:val="none"/>
        </w:rPr>
        <w:t xml:space="preserve">2.2.2 </w:t>
      </w:r>
      <w:r>
        <w:rPr>
          <w:rFonts w:hint="eastAsia" w:ascii="宋体" w:hAnsi="宋体" w:cs="宋体"/>
          <w:color w:val="auto"/>
          <w:spacing w:val="-29"/>
          <w:szCs w:val="21"/>
          <w:highlight w:val="none"/>
        </w:rPr>
        <w:t>项</w:t>
      </w:r>
      <w:r>
        <w:rPr>
          <w:rFonts w:hint="eastAsia" w:ascii="宋体" w:hAnsi="宋体" w:cs="宋体"/>
          <w:color w:val="auto"/>
          <w:spacing w:val="-10"/>
          <w:szCs w:val="21"/>
          <w:highlight w:val="none"/>
        </w:rPr>
        <w:t>（2）</w:t>
      </w:r>
      <w:r>
        <w:rPr>
          <w:rFonts w:hint="eastAsia" w:ascii="宋体" w:hAnsi="宋体" w:cs="宋体"/>
          <w:color w:val="auto"/>
          <w:szCs w:val="21"/>
          <w:highlight w:val="none"/>
        </w:rPr>
        <w:t>目规定的评审因素和分值对主要人员部分计算出得</w:t>
      </w:r>
      <w:r>
        <w:rPr>
          <w:rFonts w:hint="eastAsia" w:ascii="宋体" w:hAnsi="宋体" w:cs="宋体"/>
          <w:color w:val="auto"/>
          <w:spacing w:val="-31"/>
          <w:szCs w:val="21"/>
          <w:highlight w:val="none"/>
        </w:rPr>
        <w:t xml:space="preserve">分 </w:t>
      </w:r>
      <w:r>
        <w:rPr>
          <w:rFonts w:hint="eastAsia" w:ascii="宋体" w:hAnsi="宋体" w:cs="宋体"/>
          <w:color w:val="auto"/>
          <w:szCs w:val="21"/>
          <w:highlight w:val="none"/>
        </w:rPr>
        <w:t>B；</w:t>
      </w:r>
    </w:p>
    <w:p>
      <w:pPr>
        <w:pStyle w:val="15"/>
        <w:numPr>
          <w:ilvl w:val="0"/>
          <w:numId w:val="7"/>
        </w:numPr>
        <w:tabs>
          <w:tab w:val="left" w:pos="905"/>
        </w:tabs>
        <w:spacing w:line="360" w:lineRule="auto"/>
        <w:ind w:left="-482" w:firstLine="372" w:firstLineChars="200"/>
        <w:jc w:val="left"/>
        <w:rPr>
          <w:rFonts w:hint="eastAsia" w:ascii="宋体" w:hAnsi="宋体" w:cs="宋体"/>
          <w:color w:val="auto"/>
          <w:szCs w:val="21"/>
          <w:highlight w:val="none"/>
        </w:rPr>
      </w:pPr>
      <w:r>
        <w:rPr>
          <w:rFonts w:hint="eastAsia" w:ascii="宋体" w:hAnsi="宋体" w:cs="宋体"/>
          <w:color w:val="auto"/>
          <w:spacing w:val="-12"/>
          <w:szCs w:val="21"/>
          <w:highlight w:val="none"/>
        </w:rPr>
        <w:t xml:space="preserve">按本章第 </w:t>
      </w:r>
      <w:r>
        <w:rPr>
          <w:rFonts w:hint="eastAsia" w:ascii="宋体" w:hAnsi="宋体" w:cs="宋体"/>
          <w:color w:val="auto"/>
          <w:szCs w:val="21"/>
          <w:highlight w:val="none"/>
        </w:rPr>
        <w:t xml:space="preserve">2.2.2 </w:t>
      </w:r>
      <w:r>
        <w:rPr>
          <w:rFonts w:hint="eastAsia" w:ascii="宋体" w:hAnsi="宋体" w:cs="宋体"/>
          <w:color w:val="auto"/>
          <w:spacing w:val="-63"/>
          <w:szCs w:val="21"/>
          <w:highlight w:val="none"/>
        </w:rPr>
        <w:t>项</w:t>
      </w:r>
      <w:r>
        <w:rPr>
          <w:rFonts w:hint="eastAsia" w:ascii="宋体" w:hAnsi="宋体" w:cs="宋体"/>
          <w:color w:val="auto"/>
          <w:spacing w:val="-21"/>
          <w:szCs w:val="21"/>
          <w:highlight w:val="none"/>
        </w:rPr>
        <w:t>（3）</w:t>
      </w:r>
      <w:r>
        <w:rPr>
          <w:rFonts w:hint="eastAsia" w:ascii="宋体" w:hAnsi="宋体" w:cs="宋体"/>
          <w:color w:val="auto"/>
          <w:spacing w:val="-3"/>
          <w:szCs w:val="21"/>
          <w:highlight w:val="none"/>
        </w:rPr>
        <w:t xml:space="preserve">目规定的评审因素和分值对其他部分计算出得分 </w:t>
      </w:r>
      <w:r>
        <w:rPr>
          <w:rFonts w:hint="eastAsia" w:ascii="宋体" w:hAnsi="宋体" w:cs="宋体"/>
          <w:color w:val="auto"/>
          <w:szCs w:val="21"/>
          <w:highlight w:val="none"/>
        </w:rPr>
        <w:t>C。</w:t>
      </w:r>
    </w:p>
    <w:p>
      <w:pPr>
        <w:pStyle w:val="15"/>
        <w:tabs>
          <w:tab w:val="left" w:pos="1510"/>
        </w:tabs>
        <w:spacing w:line="360" w:lineRule="auto"/>
        <w:ind w:left="235" w:leftChars="112" w:firstLine="0"/>
        <w:jc w:val="left"/>
        <w:rPr>
          <w:rFonts w:hint="eastAsia" w:ascii="宋体" w:hAnsi="宋体" w:cs="宋体"/>
          <w:color w:val="auto"/>
          <w:szCs w:val="21"/>
          <w:highlight w:val="none"/>
        </w:rPr>
      </w:pPr>
      <w:r>
        <w:rPr>
          <w:rFonts w:hint="eastAsia" w:ascii="宋体" w:hAnsi="宋体" w:cs="宋体"/>
          <w:color w:val="auto"/>
          <w:spacing w:val="1"/>
          <w:szCs w:val="21"/>
          <w:highlight w:val="none"/>
        </w:rPr>
        <w:t>3.2.2投标人的商务和技术得分分值计算保留小数点后两位，小数点后第三位</w:t>
      </w:r>
      <w:r>
        <w:rPr>
          <w:rFonts w:hint="eastAsia" w:ascii="宋体" w:hAnsi="宋体" w:cs="宋体"/>
          <w:color w:val="auto"/>
          <w:szCs w:val="21"/>
          <w:highlight w:val="none"/>
        </w:rPr>
        <w:t>“四舍五入”。 3.2.3投标人的商务和技术得分=A+B+C。</w:t>
      </w:r>
    </w:p>
    <w:p>
      <w:pPr>
        <w:pStyle w:val="15"/>
        <w:tabs>
          <w:tab w:val="left" w:pos="1510"/>
        </w:tabs>
        <w:spacing w:line="360" w:lineRule="auto"/>
        <w:ind w:left="-183" w:leftChars="-87" w:firstLine="420" w:firstLineChars="200"/>
        <w:jc w:val="left"/>
        <w:rPr>
          <w:rFonts w:hint="eastAsia" w:ascii="宋体" w:hAnsi="宋体" w:cs="宋体"/>
          <w:color w:val="auto"/>
          <w:spacing w:val="-4"/>
          <w:szCs w:val="21"/>
          <w:highlight w:val="none"/>
        </w:rPr>
      </w:pPr>
      <w:r>
        <w:rPr>
          <w:rFonts w:hint="eastAsia" w:ascii="宋体" w:hAnsi="宋体" w:cs="宋体"/>
          <w:color w:val="auto"/>
          <w:szCs w:val="21"/>
          <w:highlight w:val="none"/>
        </w:rPr>
        <w:t>3.2.4</w:t>
      </w:r>
      <w:r>
        <w:rPr>
          <w:rFonts w:hint="eastAsia" w:ascii="宋体" w:hAnsi="宋体" w:cs="宋体"/>
          <w:color w:val="auto"/>
          <w:spacing w:val="-4"/>
          <w:szCs w:val="21"/>
          <w:highlight w:val="none"/>
        </w:rPr>
        <w:t>评标委员会按照投标人的商务和技术得分由高到低排序，排名在评标办法前附表规定数量以内的投标人，其投标文件第一个信封（商务及技术文件）通过详细评审。</w:t>
      </w:r>
    </w:p>
    <w:p>
      <w:pPr>
        <w:pStyle w:val="15"/>
        <w:tabs>
          <w:tab w:val="left" w:pos="1510"/>
        </w:tabs>
        <w:spacing w:line="360" w:lineRule="auto"/>
        <w:ind w:left="-183" w:leftChars="-87" w:firstLine="404" w:firstLineChars="200"/>
        <w:jc w:val="left"/>
        <w:rPr>
          <w:rFonts w:hint="eastAsia" w:ascii="宋体" w:hAnsi="宋体" w:cs="宋体"/>
          <w:color w:val="auto"/>
          <w:szCs w:val="21"/>
          <w:highlight w:val="none"/>
        </w:rPr>
      </w:pPr>
      <w:r>
        <w:rPr>
          <w:rFonts w:hint="eastAsia" w:ascii="宋体" w:hAnsi="宋体" w:cs="宋体"/>
          <w:color w:val="auto"/>
          <w:spacing w:val="-4"/>
          <w:szCs w:val="21"/>
          <w:highlight w:val="none"/>
        </w:rPr>
        <w:t>3.2.5</w:t>
      </w:r>
      <w:r>
        <w:rPr>
          <w:rFonts w:hint="eastAsia" w:ascii="宋体" w:hAnsi="宋体" w:cs="宋体"/>
          <w:color w:val="auto"/>
          <w:spacing w:val="-2"/>
          <w:szCs w:val="21"/>
          <w:highlight w:val="none"/>
        </w:rPr>
        <w:t>通过投标文件第一个信封</w:t>
      </w:r>
      <w:r>
        <w:rPr>
          <w:rFonts w:hint="eastAsia" w:ascii="宋体" w:hAnsi="宋体" w:cs="宋体"/>
          <w:color w:val="auto"/>
          <w:szCs w:val="21"/>
          <w:highlight w:val="none"/>
        </w:rPr>
        <w:t>（商务及技术文件</w:t>
      </w:r>
      <w:r>
        <w:rPr>
          <w:rFonts w:hint="eastAsia" w:ascii="宋体" w:hAnsi="宋体" w:cs="宋体"/>
          <w:color w:val="auto"/>
          <w:spacing w:val="-12"/>
          <w:szCs w:val="21"/>
          <w:highlight w:val="none"/>
        </w:rPr>
        <w:t>）</w:t>
      </w:r>
      <w:r>
        <w:rPr>
          <w:rFonts w:hint="eastAsia" w:ascii="宋体" w:hAnsi="宋体" w:cs="宋体"/>
          <w:color w:val="auto"/>
          <w:spacing w:val="-5"/>
          <w:szCs w:val="21"/>
          <w:highlight w:val="none"/>
        </w:rPr>
        <w:t xml:space="preserve">初步评审的投标人不少于 </w:t>
      </w:r>
      <w:r>
        <w:rPr>
          <w:rFonts w:hint="eastAsia" w:ascii="宋体" w:hAnsi="宋体" w:cs="宋体"/>
          <w:color w:val="auto"/>
          <w:szCs w:val="21"/>
          <w:highlight w:val="none"/>
        </w:rPr>
        <w:t xml:space="preserve">3 </w:t>
      </w:r>
      <w:r>
        <w:rPr>
          <w:rFonts w:hint="eastAsia" w:ascii="宋体" w:hAnsi="宋体" w:cs="宋体"/>
          <w:color w:val="auto"/>
          <w:spacing w:val="-5"/>
          <w:szCs w:val="21"/>
          <w:highlight w:val="none"/>
        </w:rPr>
        <w:t xml:space="preserve">个且未超过评标办法前附表第 </w:t>
      </w:r>
      <w:r>
        <w:rPr>
          <w:rFonts w:hint="eastAsia" w:ascii="宋体" w:hAnsi="宋体" w:cs="宋体"/>
          <w:color w:val="auto"/>
          <w:szCs w:val="21"/>
          <w:highlight w:val="none"/>
        </w:rPr>
        <w:t>3.2.4</w:t>
      </w:r>
      <w:r>
        <w:rPr>
          <w:rFonts w:hint="eastAsia" w:ascii="宋体" w:hAnsi="宋体" w:cs="宋体"/>
          <w:color w:val="auto"/>
          <w:spacing w:val="-1"/>
          <w:szCs w:val="21"/>
          <w:highlight w:val="none"/>
        </w:rPr>
        <w:t xml:space="preserve"> </w:t>
      </w:r>
      <w:r>
        <w:rPr>
          <w:rFonts w:hint="eastAsia" w:ascii="宋体" w:hAnsi="宋体" w:cs="宋体"/>
          <w:color w:val="auto"/>
          <w:spacing w:val="-9"/>
          <w:szCs w:val="21"/>
          <w:highlight w:val="none"/>
        </w:rPr>
        <w:t>项规定数量的，均通过投标文件第一个信封</w:t>
      </w:r>
      <w:r>
        <w:rPr>
          <w:rFonts w:hint="eastAsia" w:ascii="宋体" w:hAnsi="宋体" w:cs="宋体"/>
          <w:color w:val="auto"/>
          <w:szCs w:val="21"/>
          <w:highlight w:val="none"/>
        </w:rPr>
        <w:t>（商务及技术文件）详细评审，不再对投标人的商务和技术文件进行评分。</w:t>
      </w:r>
    </w:p>
    <w:p>
      <w:pPr>
        <w:pStyle w:val="15"/>
        <w:tabs>
          <w:tab w:val="left" w:pos="905"/>
        </w:tabs>
        <w:spacing w:line="360" w:lineRule="auto"/>
        <w:ind w:left="-480" w:firstLine="0"/>
        <w:jc w:val="left"/>
        <w:rPr>
          <w:rFonts w:hint="eastAsia" w:ascii="宋体" w:hAnsi="宋体" w:cs="宋体"/>
          <w:b/>
          <w:bCs/>
          <w:color w:val="auto"/>
          <w:sz w:val="24"/>
          <w:highlight w:val="none"/>
        </w:rPr>
      </w:pPr>
      <w:r>
        <w:rPr>
          <w:rFonts w:hint="eastAsia" w:ascii="宋体" w:hAnsi="宋体" w:cs="宋体"/>
          <w:b/>
          <w:bCs/>
          <w:color w:val="auto"/>
          <w:sz w:val="24"/>
          <w:highlight w:val="none"/>
        </w:rPr>
        <w:t>3.3第二个信封开标</w:t>
      </w:r>
    </w:p>
    <w:p>
      <w:pPr>
        <w:pStyle w:val="2"/>
        <w:spacing w:after="0" w:line="360" w:lineRule="auto"/>
        <w:ind w:firstLine="479"/>
        <w:jc w:val="left"/>
        <w:rPr>
          <w:rFonts w:hint="eastAsia" w:ascii="宋体" w:hAnsi="宋体" w:cs="宋体"/>
          <w:color w:val="auto"/>
          <w:szCs w:val="21"/>
          <w:highlight w:val="none"/>
        </w:rPr>
      </w:pPr>
      <w:r>
        <w:rPr>
          <w:rFonts w:hint="eastAsia" w:ascii="宋体" w:hAnsi="宋体" w:cs="宋体"/>
          <w:color w:val="auto"/>
          <w:spacing w:val="-12"/>
          <w:szCs w:val="21"/>
          <w:highlight w:val="none"/>
        </w:rPr>
        <w:t>第一个信封</w:t>
      </w:r>
      <w:r>
        <w:rPr>
          <w:rFonts w:hint="eastAsia" w:ascii="宋体" w:hAnsi="宋体" w:cs="宋体"/>
          <w:color w:val="auto"/>
          <w:szCs w:val="21"/>
          <w:highlight w:val="none"/>
        </w:rPr>
        <w:t>（商务及技术文件</w:t>
      </w:r>
      <w:r>
        <w:rPr>
          <w:rFonts w:hint="eastAsia" w:ascii="宋体" w:hAnsi="宋体" w:cs="宋体"/>
          <w:color w:val="auto"/>
          <w:spacing w:val="-60"/>
          <w:szCs w:val="21"/>
          <w:highlight w:val="none"/>
        </w:rPr>
        <w:t>）</w:t>
      </w:r>
      <w:r>
        <w:rPr>
          <w:rFonts w:hint="eastAsia" w:ascii="宋体" w:hAnsi="宋体" w:cs="宋体"/>
          <w:color w:val="auto"/>
          <w:spacing w:val="-8"/>
          <w:szCs w:val="21"/>
          <w:highlight w:val="none"/>
        </w:rPr>
        <w:t>评审结束后，招标人将按照第二章</w:t>
      </w:r>
      <w:r>
        <w:rPr>
          <w:rFonts w:hint="eastAsia" w:ascii="宋体" w:hAnsi="宋体" w:cs="宋体"/>
          <w:color w:val="auto"/>
          <w:szCs w:val="21"/>
          <w:highlight w:val="none"/>
        </w:rPr>
        <w:t xml:space="preserve">“投标人须知” </w:t>
      </w:r>
      <w:r>
        <w:rPr>
          <w:rFonts w:hint="eastAsia" w:ascii="宋体" w:hAnsi="宋体" w:cs="宋体"/>
          <w:color w:val="auto"/>
          <w:spacing w:val="-6"/>
          <w:szCs w:val="21"/>
          <w:highlight w:val="none"/>
        </w:rPr>
        <w:t xml:space="preserve">第 </w:t>
      </w:r>
      <w:r>
        <w:rPr>
          <w:rFonts w:hint="eastAsia" w:ascii="宋体" w:hAnsi="宋体" w:cs="宋体"/>
          <w:color w:val="auto"/>
          <w:szCs w:val="21"/>
          <w:highlight w:val="none"/>
        </w:rPr>
        <w:t>5.1 款规定的时间和地点对通过投标文件第一个信封（商务及技术文件）评审的投标文件第二个信封（报价文件）进行开标。</w:t>
      </w:r>
    </w:p>
    <w:p>
      <w:pPr>
        <w:pStyle w:val="15"/>
        <w:tabs>
          <w:tab w:val="left" w:pos="905"/>
        </w:tabs>
        <w:spacing w:line="360" w:lineRule="auto"/>
        <w:ind w:left="-480" w:firstLine="0"/>
        <w:jc w:val="left"/>
        <w:rPr>
          <w:rFonts w:hint="eastAsia" w:ascii="宋体" w:hAnsi="宋体" w:cs="宋体"/>
          <w:b/>
          <w:bCs/>
          <w:color w:val="auto"/>
          <w:sz w:val="24"/>
          <w:highlight w:val="none"/>
        </w:rPr>
      </w:pPr>
      <w:r>
        <w:rPr>
          <w:rFonts w:hint="eastAsia" w:ascii="宋体" w:hAnsi="宋体" w:cs="宋体"/>
          <w:b/>
          <w:bCs/>
          <w:color w:val="auto"/>
          <w:sz w:val="24"/>
          <w:highlight w:val="none"/>
        </w:rPr>
        <w:t>3.4第二个信封初步评审</w:t>
      </w:r>
    </w:p>
    <w:p>
      <w:pPr>
        <w:pStyle w:val="15"/>
        <w:tabs>
          <w:tab w:val="left" w:pos="1510"/>
        </w:tabs>
        <w:spacing w:line="360" w:lineRule="auto"/>
        <w:ind w:left="-183" w:leftChars="-87" w:firstLine="404" w:firstLineChars="200"/>
        <w:jc w:val="left"/>
        <w:rPr>
          <w:rFonts w:hint="eastAsia" w:ascii="宋体" w:hAnsi="宋体" w:cs="宋体"/>
          <w:color w:val="auto"/>
          <w:spacing w:val="-4"/>
          <w:szCs w:val="21"/>
          <w:highlight w:val="none"/>
        </w:rPr>
      </w:pPr>
      <w:r>
        <w:rPr>
          <w:rFonts w:hint="eastAsia" w:ascii="宋体" w:hAnsi="宋体" w:cs="宋体"/>
          <w:color w:val="auto"/>
          <w:spacing w:val="-4"/>
          <w:szCs w:val="21"/>
          <w:highlight w:val="none"/>
        </w:rPr>
        <w:t>3.4.1评标委员会依据本章第 2.1.1 项、第 2.1.3 项规定的评审标准对投标文件第二个信封（报价文件）进行初步评审。有一项不符合评审标准的，评标委员会应否决其投标。</w:t>
      </w:r>
    </w:p>
    <w:p>
      <w:pPr>
        <w:pStyle w:val="15"/>
        <w:tabs>
          <w:tab w:val="left" w:pos="1510"/>
        </w:tabs>
        <w:spacing w:line="360" w:lineRule="auto"/>
        <w:ind w:left="-183" w:leftChars="-87" w:firstLine="404" w:firstLineChars="200"/>
        <w:jc w:val="left"/>
        <w:rPr>
          <w:rFonts w:hint="eastAsia" w:ascii="宋体" w:hAnsi="宋体" w:cs="宋体"/>
          <w:color w:val="auto"/>
          <w:szCs w:val="21"/>
          <w:highlight w:val="none"/>
        </w:rPr>
      </w:pPr>
      <w:r>
        <w:rPr>
          <w:rFonts w:hint="eastAsia" w:ascii="宋体" w:hAnsi="宋体" w:cs="宋体"/>
          <w:color w:val="auto"/>
          <w:spacing w:val="-4"/>
          <w:szCs w:val="21"/>
          <w:highlight w:val="none"/>
        </w:rPr>
        <w:t>3.4.2投标报价有算术错误的，评标委员会按以下原则对投标报价进行修正， 修正的价格经投标人书面确认后具</w:t>
      </w:r>
      <w:r>
        <w:rPr>
          <w:rFonts w:hint="eastAsia" w:ascii="宋体" w:hAnsi="宋体" w:cs="宋体"/>
          <w:color w:val="auto"/>
          <w:szCs w:val="21"/>
          <w:highlight w:val="none"/>
        </w:rPr>
        <w:t>有约束力。投标人不接受修正价格的，评标委员会应否决其投标。</w:t>
      </w:r>
    </w:p>
    <w:p>
      <w:pPr>
        <w:pStyle w:val="2"/>
        <w:spacing w:after="0"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（1）投标文件中的大写金额与小写金额不一致的，以大写金额为准；</w:t>
      </w:r>
    </w:p>
    <w:p>
      <w:pPr>
        <w:pStyle w:val="2"/>
        <w:spacing w:after="0"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（2）总价金额与依据单价计算出的结果不一致的，以单价金额为准修正总价， 但单价金额小数点有明显错误的除外;</w:t>
      </w:r>
    </w:p>
    <w:p>
      <w:pPr>
        <w:pStyle w:val="2"/>
        <w:spacing w:after="0"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（3）当单价与数量相乘不等于合价时，以单价计算为准，如果单价有明显的小数点位置差错，应以标出的合价为准，同时对单价予以修正；</w:t>
      </w:r>
    </w:p>
    <w:p>
      <w:pPr>
        <w:pStyle w:val="2"/>
        <w:spacing w:after="0"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（4）当各子目的合价累计不等于总价时，应以各子目合价累计数为准，修正总价。</w:t>
      </w:r>
    </w:p>
    <w:p>
      <w:pPr>
        <w:pStyle w:val="15"/>
        <w:tabs>
          <w:tab w:val="left" w:pos="1505"/>
        </w:tabs>
        <w:spacing w:line="360" w:lineRule="auto"/>
        <w:ind w:left="0" w:firstLine="404" w:firstLineChars="200"/>
        <w:jc w:val="left"/>
        <w:rPr>
          <w:rFonts w:hint="eastAsia" w:ascii="宋体" w:hAnsi="宋体" w:cs="宋体"/>
          <w:color w:val="auto"/>
          <w:szCs w:val="21"/>
          <w:highlight w:val="none"/>
        </w:rPr>
      </w:pPr>
      <w:r>
        <w:rPr>
          <w:rFonts w:hint="eastAsia" w:ascii="宋体" w:hAnsi="宋体" w:cs="宋体"/>
          <w:color w:val="auto"/>
          <w:spacing w:val="-4"/>
          <w:szCs w:val="21"/>
          <w:highlight w:val="none"/>
        </w:rPr>
        <w:t>3.4.3工程量清单中的投标报价有其他错误的，评标委员会按以下原则对投标报价进行修正，修正的价格经投标人书面确认后具</w:t>
      </w:r>
      <w:r>
        <w:rPr>
          <w:rFonts w:hint="eastAsia" w:ascii="宋体" w:hAnsi="宋体" w:cs="宋体"/>
          <w:color w:val="auto"/>
          <w:spacing w:val="-5"/>
          <w:szCs w:val="21"/>
          <w:highlight w:val="none"/>
        </w:rPr>
        <w:t>有约束力。投标人不接受修正价格的，评标委员会应否决其投标。</w:t>
      </w:r>
    </w:p>
    <w:p>
      <w:pPr>
        <w:pStyle w:val="2"/>
        <w:spacing w:after="0" w:line="360" w:lineRule="auto"/>
        <w:ind w:firstLine="479"/>
        <w:jc w:val="left"/>
        <w:rPr>
          <w:rFonts w:hint="eastAsia" w:ascii="宋体" w:hAnsi="宋体" w:cs="宋体"/>
          <w:color w:val="auto"/>
          <w:szCs w:val="21"/>
          <w:highlight w:val="none"/>
        </w:rPr>
      </w:pPr>
      <w:r>
        <w:rPr>
          <w:rFonts w:hint="eastAsia" w:ascii="宋体" w:hAnsi="宋体" w:cs="宋体"/>
          <w:color w:val="auto"/>
          <w:szCs w:val="21"/>
          <w:highlight w:val="none"/>
        </w:rPr>
        <w:t>（1）在</w:t>
      </w:r>
      <w:r>
        <w:rPr>
          <w:rFonts w:hint="eastAsia" w:ascii="宋体" w:hAnsi="宋体" w:cs="宋体"/>
          <w:color w:val="auto"/>
          <w:spacing w:val="-4"/>
          <w:szCs w:val="21"/>
          <w:highlight w:val="none"/>
        </w:rPr>
        <w:t>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pStyle w:val="2"/>
        <w:spacing w:after="0" w:line="360" w:lineRule="auto"/>
        <w:ind w:firstLine="479"/>
        <w:jc w:val="left"/>
        <w:rPr>
          <w:rFonts w:hint="eastAsia" w:ascii="宋体" w:hAnsi="宋体" w:cs="宋体"/>
          <w:color w:val="auto"/>
          <w:szCs w:val="21"/>
          <w:highlight w:val="none"/>
        </w:rPr>
      </w:pPr>
      <w:r>
        <w:rPr>
          <w:rFonts w:hint="eastAsia" w:ascii="宋体" w:hAnsi="宋体" w:cs="宋体"/>
          <w:color w:val="auto"/>
          <w:szCs w:val="21"/>
          <w:highlight w:val="none"/>
        </w:rPr>
        <w:t>（2）在</w:t>
      </w:r>
      <w:r>
        <w:rPr>
          <w:rFonts w:hint="eastAsia" w:ascii="宋体" w:hAnsi="宋体" w:cs="宋体"/>
          <w:color w:val="auto"/>
          <w:spacing w:val="-4"/>
          <w:szCs w:val="21"/>
          <w:highlight w:val="none"/>
        </w:rPr>
        <w:t>招标人给定的工程量清单中多报了某个工程子目的单价、合价或总额价，或所报单价、合价或总额价增加了报价范围，则从投标报价中扣除多报的工程子目报价或工程子目报价中增加了报价范围的部分报价。</w:t>
      </w:r>
    </w:p>
    <w:p>
      <w:pPr>
        <w:pStyle w:val="2"/>
        <w:spacing w:after="0" w:line="360" w:lineRule="auto"/>
        <w:ind w:firstLine="479"/>
        <w:jc w:val="left"/>
        <w:rPr>
          <w:rFonts w:hint="eastAsia" w:ascii="宋体" w:hAnsi="宋体" w:cs="宋体"/>
          <w:color w:val="auto"/>
          <w:szCs w:val="21"/>
          <w:highlight w:val="none"/>
        </w:rPr>
      </w:pPr>
      <w:r>
        <w:rPr>
          <w:rFonts w:hint="eastAsia" w:ascii="宋体" w:hAnsi="宋体" w:cs="宋体"/>
          <w:color w:val="auto"/>
          <w:szCs w:val="21"/>
          <w:highlight w:val="none"/>
        </w:rPr>
        <w:t>（3）当单价与数量的乘积与合价（金额）虽然一致，但投标人修改了该子目的工程数量，则其合价按招标人给定的工程数量乘以投标人所报单价予以修正。</w:t>
      </w:r>
    </w:p>
    <w:p>
      <w:pPr>
        <w:pStyle w:val="15"/>
        <w:tabs>
          <w:tab w:val="left" w:pos="1505"/>
        </w:tabs>
        <w:spacing w:line="360" w:lineRule="auto"/>
        <w:ind w:left="480" w:firstLine="0"/>
        <w:jc w:val="left"/>
        <w:rPr>
          <w:rFonts w:hint="eastAsia" w:ascii="宋体" w:hAnsi="宋体" w:cs="宋体"/>
          <w:color w:val="auto"/>
          <w:szCs w:val="21"/>
          <w:highlight w:val="none"/>
        </w:rPr>
      </w:pPr>
      <w:r>
        <w:rPr>
          <w:rFonts w:hint="eastAsia" w:ascii="宋体" w:hAnsi="宋体" w:cs="宋体"/>
          <w:color w:val="auto"/>
          <w:szCs w:val="21"/>
          <w:highlight w:val="none"/>
        </w:rPr>
        <w:t>3.4.4修正后的最终投标报价若超过最高投标限价</w:t>
      </w:r>
      <w:r>
        <w:rPr>
          <w:rFonts w:hint="eastAsia" w:ascii="宋体" w:hAnsi="宋体" w:cs="宋体"/>
          <w:color w:val="auto"/>
          <w:spacing w:val="1"/>
          <w:szCs w:val="21"/>
          <w:highlight w:val="none"/>
        </w:rPr>
        <w:t>（</w:t>
      </w:r>
      <w:r>
        <w:rPr>
          <w:rFonts w:hint="eastAsia" w:ascii="宋体" w:hAnsi="宋体" w:cs="宋体"/>
          <w:color w:val="auto"/>
          <w:szCs w:val="21"/>
          <w:highlight w:val="none"/>
        </w:rPr>
        <w:t>如有</w:t>
      </w:r>
      <w:r>
        <w:rPr>
          <w:rFonts w:hint="eastAsia" w:ascii="宋体" w:hAnsi="宋体" w:cs="宋体"/>
          <w:color w:val="auto"/>
          <w:spacing w:val="-120"/>
          <w:szCs w:val="21"/>
          <w:highlight w:val="none"/>
        </w:rPr>
        <w:t>）</w:t>
      </w:r>
      <w:r>
        <w:rPr>
          <w:rFonts w:hint="eastAsia" w:ascii="宋体" w:hAnsi="宋体" w:cs="宋体"/>
          <w:color w:val="auto"/>
          <w:szCs w:val="21"/>
          <w:highlight w:val="none"/>
        </w:rPr>
        <w:t>，评标委员会应否决其投标。</w:t>
      </w:r>
    </w:p>
    <w:p>
      <w:pPr>
        <w:pStyle w:val="15"/>
        <w:tabs>
          <w:tab w:val="left" w:pos="905"/>
        </w:tabs>
        <w:spacing w:line="360" w:lineRule="auto"/>
        <w:ind w:left="0" w:firstLine="0"/>
        <w:jc w:val="left"/>
        <w:rPr>
          <w:rFonts w:hint="eastAsia" w:ascii="宋体" w:hAnsi="宋体" w:cs="宋体"/>
          <w:b/>
          <w:bCs/>
          <w:color w:val="auto"/>
          <w:sz w:val="24"/>
          <w:highlight w:val="none"/>
        </w:rPr>
      </w:pPr>
      <w:r>
        <w:rPr>
          <w:rFonts w:hint="eastAsia" w:ascii="宋体" w:hAnsi="宋体" w:cs="宋体"/>
          <w:b/>
          <w:bCs/>
          <w:color w:val="auto"/>
          <w:sz w:val="24"/>
          <w:highlight w:val="none"/>
        </w:rPr>
        <w:t>3.5第二个信封详细评审</w:t>
      </w:r>
    </w:p>
    <w:p>
      <w:pPr>
        <w:pStyle w:val="2"/>
        <w:spacing w:after="0" w:line="360" w:lineRule="auto"/>
        <w:ind w:firstLine="479"/>
        <w:jc w:val="left"/>
        <w:rPr>
          <w:rFonts w:hint="eastAsia" w:ascii="宋体" w:hAnsi="宋体" w:cs="宋体"/>
          <w:color w:val="auto"/>
          <w:szCs w:val="21"/>
          <w:highlight w:val="none"/>
        </w:rPr>
      </w:pPr>
      <w:r>
        <w:rPr>
          <w:rFonts w:hint="eastAsia" w:ascii="宋体" w:hAnsi="宋体" w:cs="宋体"/>
          <w:color w:val="auto"/>
          <w:szCs w:val="21"/>
          <w:highlight w:val="none"/>
        </w:rPr>
        <w:t>评标委员会按本章第 2.2 款规定的量化因素和标准进行价格折算，计算出评标价，并编制价格比较一览表。</w:t>
      </w:r>
    </w:p>
    <w:p>
      <w:pPr>
        <w:pStyle w:val="2"/>
        <w:spacing w:after="0" w:line="360" w:lineRule="auto"/>
        <w:ind w:firstLine="479"/>
        <w:jc w:val="left"/>
        <w:rPr>
          <w:rFonts w:hint="eastAsia" w:ascii="宋体" w:hAnsi="宋体" w:cs="宋体"/>
          <w:color w:val="auto"/>
          <w:szCs w:val="21"/>
          <w:highlight w:val="none"/>
        </w:rPr>
      </w:pPr>
      <w:r>
        <w:rPr>
          <w:rFonts w:hint="eastAsia" w:ascii="宋体" w:hAnsi="宋体" w:cs="宋体"/>
          <w:color w:val="auto"/>
          <w:szCs w:val="21"/>
          <w:highlight w:val="none"/>
        </w:rPr>
        <w:t>评标委员会发现投标人的报价明显低于其他投标报价，使得其投标报价可能低于其个别成本的，应要求该投标人作出书面说明并提供相应的证明材料。投标人不能合理说明或不能提供相应证明材料的，由评标委员会认定该投标人以低于成本报价竞标，并否决其投标。</w:t>
      </w:r>
    </w:p>
    <w:p>
      <w:pPr>
        <w:pStyle w:val="15"/>
        <w:tabs>
          <w:tab w:val="left" w:pos="905"/>
        </w:tabs>
        <w:spacing w:line="360" w:lineRule="auto"/>
        <w:ind w:left="0" w:firstLine="0"/>
        <w:jc w:val="left"/>
        <w:rPr>
          <w:rFonts w:hint="eastAsia" w:ascii="宋体" w:hAnsi="宋体" w:cs="宋体"/>
          <w:b/>
          <w:bCs/>
          <w:color w:val="auto"/>
          <w:sz w:val="24"/>
          <w:highlight w:val="none"/>
        </w:rPr>
      </w:pPr>
      <w:r>
        <w:rPr>
          <w:rFonts w:hint="eastAsia" w:ascii="宋体" w:hAnsi="宋体" w:cs="宋体"/>
          <w:b/>
          <w:bCs/>
          <w:color w:val="auto"/>
          <w:sz w:val="24"/>
          <w:highlight w:val="none"/>
        </w:rPr>
        <w:t>3.6投标文件相关信息的核查</w:t>
      </w:r>
    </w:p>
    <w:p>
      <w:pPr>
        <w:pStyle w:val="15"/>
        <w:tabs>
          <w:tab w:val="left" w:pos="1505"/>
        </w:tabs>
        <w:spacing w:line="360" w:lineRule="auto"/>
        <w:ind w:left="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3.6.1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 评标委员会应否决其投标。</w:t>
      </w:r>
    </w:p>
    <w:p>
      <w:pPr>
        <w:pStyle w:val="15"/>
        <w:tabs>
          <w:tab w:val="left" w:pos="1505"/>
        </w:tabs>
        <w:spacing w:line="360" w:lineRule="auto"/>
        <w:ind w:left="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3.6.2评标委员会应对在评标过程中发现的投标人与投标人之间、投标人与招标人之间存在的串通投标的情形进行评审和认定。投标人存在串通投标、弄虚作假、行贿等违法行为的，评标委员会应否决其投标。</w:t>
      </w:r>
    </w:p>
    <w:p>
      <w:pPr>
        <w:pStyle w:val="2"/>
        <w:spacing w:after="0"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（1）有下列情形之一的，属于投标人相互串通投标：</w:t>
      </w:r>
    </w:p>
    <w:p>
      <w:pPr>
        <w:pStyle w:val="2"/>
        <w:spacing w:after="0"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a.投标人之间协商投标报价等投标文件的实质性内容；</w:t>
      </w:r>
    </w:p>
    <w:p>
      <w:pPr>
        <w:pStyle w:val="2"/>
        <w:spacing w:after="0"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b.投标人之间约定中标人；</w:t>
      </w:r>
    </w:p>
    <w:p>
      <w:pPr>
        <w:pStyle w:val="2"/>
        <w:spacing w:after="0"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c.投标人之间约定部分投标人放弃投标或中标；</w:t>
      </w:r>
    </w:p>
    <w:p>
      <w:pPr>
        <w:pStyle w:val="2"/>
        <w:spacing w:after="0"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d.属于同一集团、协会、商会等组织成员的投标人按照该组织要求协同投标；</w:t>
      </w:r>
    </w:p>
    <w:p>
      <w:pPr>
        <w:pStyle w:val="2"/>
        <w:spacing w:after="0"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e.投标人之间为谋取中标或排斥特定投标人而采取的其他联合行动。</w:t>
      </w:r>
    </w:p>
    <w:p>
      <w:pPr>
        <w:pStyle w:val="2"/>
        <w:spacing w:after="0"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（2）有下列情形之一的，视为投标人相互串通投标：</w:t>
      </w:r>
    </w:p>
    <w:p>
      <w:pPr>
        <w:pStyle w:val="2"/>
        <w:spacing w:after="0"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a.不同投标人的投标文件由同一单位或个人编制；</w:t>
      </w:r>
    </w:p>
    <w:p>
      <w:pPr>
        <w:pStyle w:val="2"/>
        <w:spacing w:after="0"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b.不同投标人委托同一单位或个人办理投标事宜；</w:t>
      </w:r>
    </w:p>
    <w:p>
      <w:pPr>
        <w:pStyle w:val="2"/>
        <w:spacing w:after="0"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c.不同投标人的投标文件载明的项目管理成员为同一人；</w:t>
      </w:r>
    </w:p>
    <w:p>
      <w:pPr>
        <w:pStyle w:val="2"/>
        <w:spacing w:after="0"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d.不同投标人的投标文件异常一致或投标报价呈规律性差异；</w:t>
      </w:r>
    </w:p>
    <w:p>
      <w:pPr>
        <w:pStyle w:val="2"/>
        <w:spacing w:after="0"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e.不同投标人的投标文件相互混装；</w:t>
      </w:r>
    </w:p>
    <w:p>
      <w:pPr>
        <w:pStyle w:val="2"/>
        <w:spacing w:after="0"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f.不同投标人的投标保证金从同一单位或个人的账户转出。</w:t>
      </w:r>
    </w:p>
    <w:p>
      <w:pPr>
        <w:pStyle w:val="2"/>
        <w:spacing w:after="0"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（3）有下列情形之一的，属于招标人与投标人串通投标：</w:t>
      </w:r>
    </w:p>
    <w:p>
      <w:pPr>
        <w:pStyle w:val="2"/>
        <w:spacing w:after="0"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a.招标人在开标前开启投标文件并将有关信息泄露给其他投标人; b.招标人直接或间接向投标人泄露标底、评标委员会成员等信息；</w:t>
      </w:r>
    </w:p>
    <w:p>
      <w:pPr>
        <w:pStyle w:val="2"/>
        <w:spacing w:after="0"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c.招标人明示或暗示投标人压低或抬高投标报价；</w:t>
      </w:r>
    </w:p>
    <w:p>
      <w:pPr>
        <w:pStyle w:val="2"/>
        <w:spacing w:after="0"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d.招标人授意投标人撤换、修改投标文件；</w:t>
      </w:r>
    </w:p>
    <w:p>
      <w:pPr>
        <w:pStyle w:val="2"/>
        <w:spacing w:after="0"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e.招标人明示或暗示投标人为特定投标人中标提供方便；</w:t>
      </w:r>
    </w:p>
    <w:p>
      <w:pPr>
        <w:pStyle w:val="2"/>
        <w:spacing w:after="0"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f.招标人与投标人为谋求特定投标人中标而采取的其他串通行为。</w:t>
      </w:r>
    </w:p>
    <w:p>
      <w:pPr>
        <w:pStyle w:val="2"/>
        <w:spacing w:after="0"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（4）投标人有下列情形之一的，属于弄虚作假的行为：</w:t>
      </w:r>
    </w:p>
    <w:p>
      <w:pPr>
        <w:pStyle w:val="2"/>
        <w:spacing w:after="0"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a.使用通过受让或租借等方式获取的资格、资质证书投标；</w:t>
      </w:r>
    </w:p>
    <w:p>
      <w:pPr>
        <w:pStyle w:val="2"/>
        <w:spacing w:after="0"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b.使用伪造、变造的许可证件；</w:t>
      </w:r>
    </w:p>
    <w:p>
      <w:pPr>
        <w:pStyle w:val="2"/>
        <w:spacing w:after="0"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c.提供虚假的财务状况或业绩；</w:t>
      </w:r>
    </w:p>
    <w:p>
      <w:pPr>
        <w:pStyle w:val="2"/>
        <w:spacing w:after="0"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d.提供虚假的项目负责人或主要技术人员简历、劳动关系证明；</w:t>
      </w:r>
    </w:p>
    <w:p>
      <w:pPr>
        <w:pStyle w:val="2"/>
        <w:spacing w:after="0"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e.提供虚假的信用状况；</w:t>
      </w:r>
    </w:p>
    <w:p>
      <w:pPr>
        <w:pStyle w:val="2"/>
        <w:spacing w:after="0"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f.其他弄虚作假的行为。</w:t>
      </w:r>
    </w:p>
    <w:p>
      <w:pPr>
        <w:pStyle w:val="15"/>
        <w:tabs>
          <w:tab w:val="left" w:pos="905"/>
        </w:tabs>
        <w:spacing w:line="360" w:lineRule="auto"/>
        <w:ind w:left="0" w:firstLine="0"/>
        <w:jc w:val="left"/>
        <w:rPr>
          <w:rFonts w:hint="eastAsia" w:ascii="宋体" w:hAnsi="宋体" w:cs="宋体"/>
          <w:b/>
          <w:bCs/>
          <w:color w:val="auto"/>
          <w:sz w:val="24"/>
          <w:highlight w:val="none"/>
        </w:rPr>
      </w:pPr>
      <w:r>
        <w:rPr>
          <w:rFonts w:hint="eastAsia" w:ascii="宋体" w:hAnsi="宋体" w:cs="宋体"/>
          <w:b/>
          <w:bCs/>
          <w:color w:val="auto"/>
          <w:sz w:val="24"/>
          <w:highlight w:val="none"/>
        </w:rPr>
        <w:t>3.7投标文件的澄清和说明</w:t>
      </w:r>
    </w:p>
    <w:p>
      <w:pPr>
        <w:pStyle w:val="15"/>
        <w:tabs>
          <w:tab w:val="left" w:pos="1505"/>
        </w:tabs>
        <w:spacing w:line="360" w:lineRule="auto"/>
        <w:ind w:left="0" w:firstLine="404" w:firstLineChars="200"/>
        <w:jc w:val="left"/>
        <w:rPr>
          <w:rFonts w:hint="eastAsia" w:ascii="宋体" w:hAnsi="宋体" w:cs="宋体"/>
          <w:color w:val="auto"/>
          <w:spacing w:val="-4"/>
          <w:szCs w:val="21"/>
          <w:highlight w:val="none"/>
        </w:rPr>
      </w:pPr>
      <w:r>
        <w:rPr>
          <w:rFonts w:hint="eastAsia" w:ascii="宋体" w:hAnsi="宋体" w:cs="宋体"/>
          <w:color w:val="auto"/>
          <w:spacing w:val="-4"/>
          <w:szCs w:val="21"/>
          <w:highlight w:val="none"/>
        </w:rPr>
        <w:t>3.7.1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pStyle w:val="15"/>
        <w:tabs>
          <w:tab w:val="left" w:pos="1505"/>
        </w:tabs>
        <w:spacing w:line="360" w:lineRule="auto"/>
        <w:ind w:left="0" w:firstLine="404" w:firstLineChars="200"/>
        <w:jc w:val="left"/>
        <w:rPr>
          <w:rFonts w:hint="eastAsia" w:ascii="宋体" w:hAnsi="宋体" w:cs="宋体"/>
          <w:color w:val="auto"/>
          <w:spacing w:val="-4"/>
          <w:szCs w:val="21"/>
          <w:highlight w:val="none"/>
        </w:rPr>
      </w:pPr>
      <w:r>
        <w:rPr>
          <w:rFonts w:hint="eastAsia" w:ascii="宋体" w:hAnsi="宋体" w:cs="宋体"/>
          <w:color w:val="auto"/>
          <w:spacing w:val="-4"/>
          <w:szCs w:val="21"/>
          <w:highlight w:val="none"/>
        </w:rPr>
        <w:t>3.7.2澄清和说明不得超出投标文件的范围或改变投标文件的实质性内容（算术性错误的修正除外）。投标人的书面澄清、说明属于投标文件的组成部分。</w:t>
      </w:r>
    </w:p>
    <w:p>
      <w:pPr>
        <w:pStyle w:val="15"/>
        <w:tabs>
          <w:tab w:val="left" w:pos="1505"/>
        </w:tabs>
        <w:spacing w:line="360" w:lineRule="auto"/>
        <w:ind w:left="0" w:firstLine="404" w:firstLineChars="200"/>
        <w:jc w:val="left"/>
        <w:rPr>
          <w:rFonts w:hint="eastAsia" w:ascii="宋体" w:hAnsi="宋体" w:cs="宋体"/>
          <w:color w:val="auto"/>
          <w:spacing w:val="-4"/>
          <w:szCs w:val="21"/>
          <w:highlight w:val="none"/>
        </w:rPr>
      </w:pPr>
      <w:r>
        <w:rPr>
          <w:rFonts w:hint="eastAsia" w:ascii="宋体" w:hAnsi="宋体" w:cs="宋体"/>
          <w:color w:val="auto"/>
          <w:spacing w:val="-4"/>
          <w:szCs w:val="21"/>
          <w:highlight w:val="none"/>
        </w:rPr>
        <w:t>3.7.3评标委员会不得暗示或诱导投标人作出澄清、说明，对投标人提交的澄清、说明有疑问的，可以要求投标人进一步澄清或说明，直至满足评标委员会的要求。</w:t>
      </w:r>
    </w:p>
    <w:p>
      <w:pPr>
        <w:pStyle w:val="15"/>
        <w:tabs>
          <w:tab w:val="left" w:pos="1505"/>
        </w:tabs>
        <w:spacing w:line="360" w:lineRule="auto"/>
        <w:ind w:left="0" w:firstLine="404" w:firstLineChars="200"/>
        <w:jc w:val="left"/>
        <w:rPr>
          <w:rFonts w:hint="eastAsia" w:ascii="宋体" w:hAnsi="宋体" w:cs="宋体"/>
          <w:color w:val="auto"/>
          <w:szCs w:val="21"/>
          <w:highlight w:val="none"/>
        </w:rPr>
      </w:pPr>
      <w:r>
        <w:rPr>
          <w:rFonts w:hint="eastAsia" w:ascii="宋体" w:hAnsi="宋体" w:cs="宋体"/>
          <w:color w:val="auto"/>
          <w:spacing w:val="-4"/>
          <w:szCs w:val="21"/>
          <w:highlight w:val="none"/>
        </w:rPr>
        <w:t>3.7.4凡超出招标文件规定的或给发包人带来未曾要求的利益的变化、偏差或其他因素在评标时不予考虑。</w:t>
      </w:r>
    </w:p>
    <w:p>
      <w:pPr>
        <w:pStyle w:val="15"/>
        <w:tabs>
          <w:tab w:val="left" w:pos="905"/>
        </w:tabs>
        <w:spacing w:line="360" w:lineRule="auto"/>
        <w:ind w:left="0" w:firstLine="0"/>
        <w:jc w:val="left"/>
        <w:rPr>
          <w:rFonts w:hint="eastAsia" w:ascii="宋体" w:hAnsi="宋体" w:cs="宋体"/>
          <w:b/>
          <w:bCs/>
          <w:color w:val="auto"/>
          <w:sz w:val="24"/>
          <w:highlight w:val="none"/>
        </w:rPr>
      </w:pPr>
      <w:r>
        <w:rPr>
          <w:rFonts w:hint="eastAsia" w:ascii="宋体" w:hAnsi="宋体" w:cs="宋体"/>
          <w:b/>
          <w:bCs/>
          <w:color w:val="auto"/>
          <w:sz w:val="24"/>
          <w:highlight w:val="none"/>
        </w:rPr>
        <w:t>3.8不得否决投标的情形</w:t>
      </w:r>
    </w:p>
    <w:p>
      <w:pPr>
        <w:pStyle w:val="2"/>
        <w:spacing w:after="0"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投标文件存在第二章“投标人须知”第 1.12.3 项所列情形的，均视为细微偏差，评标委员会不得否决投标人的投标，应按照第二章“投标人须知”第 1.12.4 项规定的原则处理。</w:t>
      </w:r>
    </w:p>
    <w:p>
      <w:pPr>
        <w:pStyle w:val="15"/>
        <w:tabs>
          <w:tab w:val="left" w:pos="905"/>
        </w:tabs>
        <w:spacing w:line="360" w:lineRule="auto"/>
        <w:ind w:left="0" w:firstLine="0"/>
        <w:jc w:val="left"/>
        <w:rPr>
          <w:rFonts w:hint="eastAsia" w:ascii="宋体" w:hAnsi="宋体" w:cs="宋体"/>
          <w:b/>
          <w:bCs/>
          <w:color w:val="auto"/>
          <w:sz w:val="24"/>
          <w:highlight w:val="none"/>
        </w:rPr>
      </w:pPr>
      <w:r>
        <w:rPr>
          <w:rFonts w:hint="eastAsia" w:ascii="宋体" w:hAnsi="宋体" w:cs="宋体"/>
          <w:b/>
          <w:bCs/>
          <w:color w:val="auto"/>
          <w:sz w:val="24"/>
          <w:highlight w:val="none"/>
        </w:rPr>
        <w:t>3.9评标结果</w:t>
      </w:r>
    </w:p>
    <w:p>
      <w:pPr>
        <w:pStyle w:val="15"/>
        <w:tabs>
          <w:tab w:val="left" w:pos="1505"/>
        </w:tabs>
        <w:spacing w:line="360" w:lineRule="auto"/>
        <w:ind w:left="0" w:firstLine="404" w:firstLineChars="200"/>
        <w:jc w:val="left"/>
        <w:rPr>
          <w:rFonts w:hint="eastAsia" w:ascii="宋体" w:hAnsi="宋体" w:cs="宋体"/>
          <w:color w:val="auto"/>
          <w:spacing w:val="-4"/>
          <w:szCs w:val="21"/>
          <w:highlight w:val="none"/>
        </w:rPr>
      </w:pPr>
      <w:r>
        <w:rPr>
          <w:rFonts w:hint="eastAsia" w:ascii="宋体" w:hAnsi="宋体" w:cs="宋体"/>
          <w:color w:val="auto"/>
          <w:spacing w:val="-4"/>
          <w:szCs w:val="21"/>
          <w:highlight w:val="none"/>
        </w:rPr>
        <w:t>3.9.1除第二章“投标人须知”前附表授权直接确定中标人外，评标委员会按照评标价由低到高的顺序推荐中标候选人，并标明排序。</w:t>
      </w:r>
    </w:p>
    <w:p>
      <w:pPr>
        <w:spacing w:line="360" w:lineRule="auto"/>
        <w:ind w:firstLine="404" w:firstLineChars="200"/>
        <w:jc w:val="left"/>
        <w:rPr>
          <w:rFonts w:hint="eastAsia" w:ascii="宋体" w:hAnsi="宋体" w:cs="宋体"/>
          <w:color w:val="auto"/>
          <w:highlight w:val="none"/>
        </w:rPr>
      </w:pPr>
      <w:r>
        <w:rPr>
          <w:rFonts w:hint="eastAsia" w:ascii="宋体" w:hAnsi="宋体" w:cs="宋体"/>
          <w:color w:val="auto"/>
          <w:spacing w:val="-4"/>
          <w:szCs w:val="21"/>
          <w:highlight w:val="none"/>
        </w:rPr>
        <w:t>3.9.2评标委员会</w:t>
      </w:r>
      <w:r>
        <w:rPr>
          <w:rFonts w:hint="eastAsia" w:ascii="宋体" w:hAnsi="宋体" w:cs="宋体"/>
          <w:color w:val="auto"/>
          <w:szCs w:val="21"/>
          <w:highlight w:val="none"/>
        </w:rPr>
        <w:t>完成评标后，应向招标人提交书面评标报告。</w:t>
      </w:r>
      <w:bookmarkStart w:id="8" w:name="EB33d07ae736ca4206a4f89a3636cfaa64"/>
      <w:r>
        <w:rPr>
          <w:rFonts w:hint="eastAsia" w:ascii="宋体" w:hAnsi="宋体" w:cs="宋体"/>
          <w:color w:val="auto"/>
          <w:szCs w:val="21"/>
          <w:highlight w:val="none"/>
        </w:rPr>
        <w:t xml:space="preserve"> </w:t>
      </w:r>
      <w:bookmarkEnd w:id="8"/>
    </w:p>
    <w:p>
      <w:pPr>
        <w:pStyle w:val="5"/>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0" w:firstLineChars="0"/>
        <w:jc w:val="left"/>
        <w:textAlignment w:val="auto"/>
        <w:rPr>
          <w:rFonts w:hint="eastAsia" w:ascii="Calibri" w:hAnsi="Calibri" w:eastAsia="Calibri" w:cs="Times New Roman"/>
          <w:b/>
          <w:bCs/>
          <w:color w:val="auto"/>
          <w:kern w:val="2"/>
          <w:sz w:val="28"/>
          <w:szCs w:val="28"/>
          <w:highlight w:val="none"/>
          <w:lang w:val="en-US" w:eastAsia="zh-CN" w:bidi="ar-SA"/>
        </w:rPr>
      </w:pPr>
      <w:r>
        <w:rPr>
          <w:rFonts w:hint="eastAsia" w:ascii="Calibri" w:hAnsi="Calibri" w:eastAsia="Calibri" w:cs="Times New Roman"/>
          <w:b/>
          <w:bCs/>
          <w:color w:val="auto"/>
          <w:kern w:val="2"/>
          <w:sz w:val="28"/>
          <w:szCs w:val="28"/>
          <w:highlight w:val="none"/>
          <w:lang w:val="en-US" w:eastAsia="zh-CN" w:bidi="ar-SA"/>
        </w:rPr>
        <w:t>联系方式</w:t>
      </w:r>
    </w:p>
    <w:tbl>
      <w:tblPr>
        <w:tblStyle w:val="7"/>
        <w:tblW w:w="0" w:type="auto"/>
        <w:tblInd w:w="0" w:type="dxa"/>
        <w:tblLayout w:type="autofit"/>
        <w:tblCellMar>
          <w:top w:w="0" w:type="dxa"/>
          <w:left w:w="108" w:type="dxa"/>
          <w:bottom w:w="0" w:type="dxa"/>
          <w:right w:w="108" w:type="dxa"/>
        </w:tblCellMar>
      </w:tblPr>
      <w:tblGrid>
        <w:gridCol w:w="4210"/>
        <w:gridCol w:w="4312"/>
      </w:tblGrid>
      <w:tr>
        <w:tblPrEx>
          <w:tblCellMar>
            <w:top w:w="0" w:type="dxa"/>
            <w:left w:w="108" w:type="dxa"/>
            <w:bottom w:w="0" w:type="dxa"/>
            <w:right w:w="108" w:type="dxa"/>
          </w:tblCellMar>
        </w:tblPrEx>
        <w:tc>
          <w:tcPr>
            <w:tcW w:w="4616" w:type="dxa"/>
            <w:noWrap w:val="0"/>
            <w:vAlign w:val="top"/>
          </w:tcPr>
          <w:p>
            <w:pPr>
              <w:topLinePunct/>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招标人：</w:t>
            </w:r>
            <w:r>
              <w:rPr>
                <w:rFonts w:hint="eastAsia" w:ascii="宋体" w:hAnsi="宋体" w:eastAsia="宋体" w:cs="宋体"/>
                <w:color w:val="auto"/>
                <w:sz w:val="21"/>
                <w:szCs w:val="21"/>
                <w:highlight w:val="none"/>
                <w:lang w:eastAsia="zh-CN"/>
              </w:rPr>
              <w:t>宁夏公路管理中心</w:t>
            </w:r>
          </w:p>
        </w:tc>
        <w:tc>
          <w:tcPr>
            <w:tcW w:w="4671" w:type="dxa"/>
            <w:noWrap w:val="0"/>
            <w:vAlign w:val="top"/>
          </w:tcPr>
          <w:p>
            <w:pPr>
              <w:topLinePunct/>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w:t>
            </w:r>
            <w:bookmarkStart w:id="9" w:name="EB115ffb9a5ee44e7ebb80b310df7aba66"/>
            <w:r>
              <w:rPr>
                <w:rFonts w:hint="eastAsia" w:ascii="宋体" w:hAnsi="宋体" w:eastAsia="宋体" w:cs="宋体"/>
                <w:color w:val="auto"/>
                <w:sz w:val="21"/>
                <w:szCs w:val="21"/>
                <w:highlight w:val="none"/>
              </w:rPr>
              <w:t>宁夏众帮天成工程有限公司</w:t>
            </w:r>
            <w:bookmarkEnd w:id="9"/>
          </w:p>
        </w:tc>
      </w:tr>
      <w:tr>
        <w:tblPrEx>
          <w:tblCellMar>
            <w:top w:w="0" w:type="dxa"/>
            <w:left w:w="108" w:type="dxa"/>
            <w:bottom w:w="0" w:type="dxa"/>
            <w:right w:w="108" w:type="dxa"/>
          </w:tblCellMar>
        </w:tblPrEx>
        <w:tc>
          <w:tcPr>
            <w:tcW w:w="4616" w:type="dxa"/>
            <w:noWrap w:val="0"/>
            <w:vAlign w:val="top"/>
          </w:tcPr>
          <w:p>
            <w:pPr>
              <w:topLinePunct/>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地址：</w:t>
            </w:r>
            <w:bookmarkStart w:id="10" w:name="EBb16c44dba10b4ce4b872f1519b8f32a9"/>
            <w:bookmarkEnd w:id="10"/>
            <w:r>
              <w:rPr>
                <w:rFonts w:hint="eastAsia" w:ascii="宋体" w:hAnsi="宋体" w:eastAsia="宋体" w:cs="宋体"/>
                <w:color w:val="auto"/>
                <w:sz w:val="21"/>
                <w:szCs w:val="21"/>
                <w:highlight w:val="none"/>
                <w:lang w:eastAsia="zh-CN"/>
              </w:rPr>
              <w:t>宁夏银川市北京中路175号</w:t>
            </w:r>
          </w:p>
        </w:tc>
        <w:tc>
          <w:tcPr>
            <w:tcW w:w="4671" w:type="dxa"/>
            <w:noWrap w:val="0"/>
            <w:vAlign w:val="top"/>
          </w:tcPr>
          <w:p>
            <w:pPr>
              <w:topLinePunct/>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bookmarkStart w:id="11" w:name="EBec7cfa1baadb4076aac156a21d81fa44"/>
            <w:bookmarkEnd w:id="11"/>
            <w:r>
              <w:rPr>
                <w:rFonts w:hint="eastAsia" w:ascii="宋体" w:hAnsi="宋体" w:eastAsia="宋体" w:cs="宋体"/>
                <w:color w:val="auto"/>
                <w:sz w:val="21"/>
                <w:szCs w:val="21"/>
                <w:highlight w:val="none"/>
              </w:rPr>
              <w:t>银川市金凤区亲水商务中心三楼</w:t>
            </w:r>
          </w:p>
        </w:tc>
      </w:tr>
      <w:tr>
        <w:tblPrEx>
          <w:tblCellMar>
            <w:top w:w="0" w:type="dxa"/>
            <w:left w:w="108" w:type="dxa"/>
            <w:bottom w:w="0" w:type="dxa"/>
            <w:right w:w="108" w:type="dxa"/>
          </w:tblCellMar>
        </w:tblPrEx>
        <w:tc>
          <w:tcPr>
            <w:tcW w:w="4616" w:type="dxa"/>
            <w:noWrap w:val="0"/>
            <w:vAlign w:val="top"/>
          </w:tcPr>
          <w:p>
            <w:pPr>
              <w:topLinePunct/>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邮政编码：</w:t>
            </w:r>
            <w:bookmarkStart w:id="12" w:name="EB70e5838557dc47b488df4f5acf91bc1a"/>
            <w:bookmarkEnd w:id="12"/>
            <w:bookmarkStart w:id="13" w:name="EB9044a0055a56427993b0a720754af836"/>
            <w:r>
              <w:rPr>
                <w:rFonts w:hint="eastAsia" w:ascii="宋体" w:hAnsi="宋体" w:cs="宋体"/>
                <w:color w:val="auto"/>
                <w:szCs w:val="21"/>
                <w:highlight w:val="none"/>
              </w:rPr>
              <w:t>7500</w:t>
            </w:r>
            <w:bookmarkEnd w:id="13"/>
            <w:r>
              <w:rPr>
                <w:rFonts w:hint="eastAsia" w:ascii="宋体" w:hAnsi="宋体" w:cs="宋体"/>
                <w:color w:val="auto"/>
                <w:szCs w:val="21"/>
                <w:highlight w:val="none"/>
                <w:lang w:val="en-US" w:eastAsia="zh-CN"/>
              </w:rPr>
              <w:t>11</w:t>
            </w:r>
          </w:p>
        </w:tc>
        <w:tc>
          <w:tcPr>
            <w:tcW w:w="4671" w:type="dxa"/>
            <w:noWrap w:val="0"/>
            <w:vAlign w:val="top"/>
          </w:tcPr>
          <w:p>
            <w:pPr>
              <w:topLinePunct/>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邮政编码：</w:t>
            </w:r>
            <w:bookmarkStart w:id="14" w:name="EB85826f06f6d64a24af3ce8e7897ccb24"/>
            <w:bookmarkEnd w:id="14"/>
            <w:r>
              <w:rPr>
                <w:rFonts w:hint="eastAsia" w:ascii="宋体" w:hAnsi="宋体" w:eastAsia="宋体" w:cs="宋体"/>
                <w:color w:val="auto"/>
                <w:sz w:val="21"/>
                <w:szCs w:val="21"/>
                <w:highlight w:val="none"/>
              </w:rPr>
              <w:t>750011</w:t>
            </w:r>
          </w:p>
        </w:tc>
      </w:tr>
      <w:tr>
        <w:tblPrEx>
          <w:tblCellMar>
            <w:top w:w="0" w:type="dxa"/>
            <w:left w:w="108" w:type="dxa"/>
            <w:bottom w:w="0" w:type="dxa"/>
            <w:right w:w="108" w:type="dxa"/>
          </w:tblCellMar>
        </w:tblPrEx>
        <w:tc>
          <w:tcPr>
            <w:tcW w:w="4616" w:type="dxa"/>
            <w:noWrap w:val="0"/>
            <w:vAlign w:val="top"/>
          </w:tcPr>
          <w:p>
            <w:pPr>
              <w:topLinePunct/>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bookmarkStart w:id="15" w:name="EB7356f215989d4ecf9f137bd974682470"/>
            <w:bookmarkEnd w:id="15"/>
            <w:r>
              <w:rPr>
                <w:rFonts w:hint="eastAsia" w:ascii="宋体" w:hAnsi="宋体" w:eastAsia="宋体" w:cs="宋体"/>
                <w:color w:val="auto"/>
                <w:sz w:val="21"/>
                <w:szCs w:val="21"/>
                <w:highlight w:val="none"/>
                <w:lang w:val="en-US" w:eastAsia="zh-CN"/>
              </w:rPr>
              <w:t>马先生</w:t>
            </w:r>
          </w:p>
        </w:tc>
        <w:tc>
          <w:tcPr>
            <w:tcW w:w="4671" w:type="dxa"/>
            <w:noWrap w:val="0"/>
            <w:vAlign w:val="top"/>
          </w:tcPr>
          <w:p>
            <w:pPr>
              <w:topLinePunct/>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bookmarkStart w:id="16" w:name="EB65a56f58e3054264b7a1a393152d1622"/>
            <w:bookmarkEnd w:id="16"/>
            <w:r>
              <w:rPr>
                <w:rFonts w:hint="eastAsia" w:ascii="宋体" w:hAnsi="宋体" w:cs="宋体"/>
                <w:color w:val="auto"/>
                <w:szCs w:val="21"/>
                <w:highlight w:val="none"/>
              </w:rPr>
              <w:t>董女士</w:t>
            </w:r>
          </w:p>
        </w:tc>
      </w:tr>
      <w:tr>
        <w:tblPrEx>
          <w:tblCellMar>
            <w:top w:w="0" w:type="dxa"/>
            <w:left w:w="108" w:type="dxa"/>
            <w:bottom w:w="0" w:type="dxa"/>
            <w:right w:w="108" w:type="dxa"/>
          </w:tblCellMar>
        </w:tblPrEx>
        <w:tc>
          <w:tcPr>
            <w:tcW w:w="4616" w:type="dxa"/>
            <w:noWrap w:val="0"/>
            <w:vAlign w:val="top"/>
          </w:tcPr>
          <w:p>
            <w:pPr>
              <w:topLinePunct/>
              <w:spacing w:line="360" w:lineRule="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电话：</w:t>
            </w:r>
            <w:bookmarkStart w:id="17" w:name="EB97ee725fe34b44a989d19199011e080c"/>
            <w:bookmarkEnd w:id="17"/>
            <w:r>
              <w:rPr>
                <w:rFonts w:hint="eastAsia" w:ascii="宋体" w:hAnsi="宋体" w:eastAsia="宋体" w:cs="宋体"/>
                <w:color w:val="auto"/>
                <w:sz w:val="21"/>
                <w:szCs w:val="21"/>
                <w:highlight w:val="none"/>
              </w:rPr>
              <w:t>0951-6076538</w:t>
            </w:r>
          </w:p>
        </w:tc>
        <w:tc>
          <w:tcPr>
            <w:tcW w:w="4671" w:type="dxa"/>
            <w:noWrap w:val="0"/>
            <w:vAlign w:val="top"/>
          </w:tcPr>
          <w:p>
            <w:pPr>
              <w:topLinePunct/>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电话：</w:t>
            </w:r>
            <w:bookmarkStart w:id="18" w:name="EB0f5cfef3d88e4ff882ad10db08af0068"/>
            <w:bookmarkEnd w:id="18"/>
            <w:r>
              <w:rPr>
                <w:rFonts w:hint="eastAsia" w:ascii="宋体" w:hAnsi="宋体" w:eastAsia="宋体" w:cs="宋体"/>
                <w:color w:val="auto"/>
                <w:sz w:val="21"/>
                <w:szCs w:val="21"/>
                <w:highlight w:val="none"/>
                <w:lang w:val="en-US" w:eastAsia="zh-CN"/>
              </w:rPr>
              <w:t>15378918404</w:t>
            </w:r>
          </w:p>
        </w:tc>
      </w:tr>
      <w:tr>
        <w:tblPrEx>
          <w:tblCellMar>
            <w:top w:w="0" w:type="dxa"/>
            <w:left w:w="108" w:type="dxa"/>
            <w:bottom w:w="0" w:type="dxa"/>
            <w:right w:w="108" w:type="dxa"/>
          </w:tblCellMar>
        </w:tblPrEx>
        <w:tc>
          <w:tcPr>
            <w:tcW w:w="4616" w:type="dxa"/>
            <w:noWrap w:val="0"/>
            <w:vAlign w:val="top"/>
          </w:tcPr>
          <w:p>
            <w:pPr>
              <w:topLinePunct/>
              <w:spacing w:line="360" w:lineRule="auto"/>
              <w:rPr>
                <w:rFonts w:hint="eastAsia" w:ascii="宋体" w:hAnsi="宋体" w:eastAsia="宋体" w:cs="宋体"/>
                <w:color w:val="auto"/>
                <w:sz w:val="21"/>
                <w:szCs w:val="21"/>
                <w:highlight w:val="none"/>
              </w:rPr>
            </w:pPr>
          </w:p>
        </w:tc>
        <w:tc>
          <w:tcPr>
            <w:tcW w:w="4671" w:type="dxa"/>
            <w:noWrap w:val="0"/>
            <w:vAlign w:val="top"/>
          </w:tcPr>
          <w:p>
            <w:pPr>
              <w:topLinePunct/>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邮箱：</w:t>
            </w:r>
            <w:bookmarkStart w:id="19" w:name="EBe5798a3207c04d138c322694ea9b4a36"/>
            <w:bookmarkEnd w:id="19"/>
            <w:r>
              <w:rPr>
                <w:rFonts w:hint="eastAsia" w:ascii="宋体" w:hAnsi="宋体" w:cs="宋体"/>
                <w:color w:val="auto"/>
                <w:szCs w:val="21"/>
                <w:highlight w:val="none"/>
              </w:rPr>
              <w:t>848531392@qq.com</w:t>
            </w:r>
          </w:p>
        </w:tc>
      </w:tr>
    </w:tbl>
    <w:p>
      <w:pPr>
        <w:pStyle w:val="18"/>
        <w:spacing w:line="360" w:lineRule="auto"/>
        <w:ind w:firstLine="371" w:firstLineChars="177"/>
        <w:rPr>
          <w:rFonts w:hint="eastAsia" w:ascii="宋体" w:hAnsi="宋体" w:eastAsia="Calibri" w:cs="宋体"/>
          <w:color w:val="auto"/>
          <w:sz w:val="21"/>
          <w:szCs w:val="21"/>
          <w:highlight w:val="none"/>
        </w:rPr>
      </w:pPr>
    </w:p>
    <w:p>
      <w:pPr>
        <w:pStyle w:val="2"/>
        <w:rPr>
          <w:color w:val="auto"/>
          <w:highlight w:val="none"/>
        </w:rPr>
      </w:pP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tabs>
          <w:tab w:val="left" w:pos="180"/>
        </w:tabs>
        <w:spacing w:line="239" w:lineRule="auto"/>
      </w:pPr>
      <w:r>
        <w:rPr>
          <w:rStyle w:val="10"/>
        </w:rPr>
        <w:footnoteRef/>
      </w:r>
      <w:r>
        <w:rPr>
          <w:sz w:val="16"/>
          <w:szCs w:val="16"/>
        </w:rPr>
        <w:t xml:space="preserve"> </w:t>
      </w:r>
      <w:r>
        <w:rPr>
          <w:rFonts w:ascii="宋体" w:hAnsi="宋体" w:eastAsia="宋体"/>
          <w:sz w:val="16"/>
          <w:szCs w:val="16"/>
        </w:rPr>
        <w:t>招标文件中要求投标人提供的各类证照复印件均指彩色扫描件或彩色复印件，其他资料的复印件可为黑白扫描件或黑白复印</w:t>
      </w:r>
      <w:r>
        <w:rPr>
          <w:rFonts w:hint="eastAsia" w:ascii="宋体" w:hAnsi="宋体" w:eastAsia="宋体"/>
          <w:sz w:val="16"/>
          <w:szCs w:val="16"/>
          <w:lang w:eastAsia="zh-C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F7FBE"/>
    <w:multiLevelType w:val="singleLevel"/>
    <w:tmpl w:val="BC9F7FBE"/>
    <w:lvl w:ilvl="0" w:tentative="0">
      <w:start w:val="1"/>
      <w:numFmt w:val="chineseCounting"/>
      <w:suff w:val="nothing"/>
      <w:lvlText w:val="%1、"/>
      <w:lvlJc w:val="left"/>
      <w:rPr>
        <w:rFonts w:hint="eastAsia"/>
      </w:rPr>
    </w:lvl>
  </w:abstractNum>
  <w:abstractNum w:abstractNumId="1">
    <w:nsid w:val="C7068E44"/>
    <w:multiLevelType w:val="singleLevel"/>
    <w:tmpl w:val="C7068E44"/>
    <w:lvl w:ilvl="0" w:tentative="0">
      <w:start w:val="1"/>
      <w:numFmt w:val="decimal"/>
      <w:suff w:val="nothing"/>
      <w:lvlText w:val="%1．"/>
      <w:lvlJc w:val="left"/>
      <w:pPr>
        <w:ind w:left="0" w:firstLine="400"/>
      </w:pPr>
      <w:rPr>
        <w:rFonts w:hint="default"/>
      </w:rPr>
    </w:lvl>
  </w:abstractNum>
  <w:abstractNum w:abstractNumId="2">
    <w:nsid w:val="E327BEEA"/>
    <w:multiLevelType w:val="singleLevel"/>
    <w:tmpl w:val="E327BEEA"/>
    <w:lvl w:ilvl="0" w:tentative="0">
      <w:start w:val="1"/>
      <w:numFmt w:val="decimal"/>
      <w:suff w:val="nothing"/>
      <w:lvlText w:val="（%1）"/>
      <w:lvlJc w:val="left"/>
    </w:lvl>
  </w:abstractNum>
  <w:abstractNum w:abstractNumId="3">
    <w:nsid w:val="06137C98"/>
    <w:multiLevelType w:val="singleLevel"/>
    <w:tmpl w:val="06137C98"/>
    <w:lvl w:ilvl="0" w:tentative="0">
      <w:start w:val="1"/>
      <w:numFmt w:val="decimal"/>
      <w:suff w:val="nothing"/>
      <w:lvlText w:val="（%1）"/>
      <w:lvlJc w:val="left"/>
      <w:pPr>
        <w:ind w:left="0" w:firstLine="0"/>
      </w:pPr>
    </w:lvl>
  </w:abstractNum>
  <w:abstractNum w:abstractNumId="4">
    <w:nsid w:val="4DAFC0EB"/>
    <w:multiLevelType w:val="singleLevel"/>
    <w:tmpl w:val="4DAFC0EB"/>
    <w:lvl w:ilvl="0" w:tentative="0">
      <w:start w:val="1"/>
      <w:numFmt w:val="decimal"/>
      <w:suff w:val="nothing"/>
      <w:lvlText w:val="（%1）"/>
      <w:lvlJc w:val="left"/>
    </w:lvl>
  </w:abstractNum>
  <w:abstractNum w:abstractNumId="5">
    <w:nsid w:val="56BBDCE7"/>
    <w:multiLevelType w:val="singleLevel"/>
    <w:tmpl w:val="56BBDCE7"/>
    <w:lvl w:ilvl="0" w:tentative="0">
      <w:start w:val="1"/>
      <w:numFmt w:val="decimal"/>
      <w:lvlText w:val="(%1)"/>
      <w:lvlJc w:val="left"/>
    </w:lvl>
  </w:abstractNum>
  <w:abstractNum w:abstractNumId="6">
    <w:nsid w:val="7FA833AF"/>
    <w:multiLevelType w:val="multilevel"/>
    <w:tmpl w:val="7FA833A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3"/>
    <w:lvlOverride w:ilvl="0">
      <w:startOverride w:val="1"/>
    </w:lvlOverride>
  </w:num>
  <w:num w:numId="4">
    <w:abstractNumId w:val="6"/>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A71FAB"/>
    <w:rsid w:val="006848DF"/>
    <w:rsid w:val="021B3277"/>
    <w:rsid w:val="048029EF"/>
    <w:rsid w:val="18F37DF1"/>
    <w:rsid w:val="19D73963"/>
    <w:rsid w:val="1AD7734D"/>
    <w:rsid w:val="21D53437"/>
    <w:rsid w:val="25FC695B"/>
    <w:rsid w:val="26E67013"/>
    <w:rsid w:val="2A473421"/>
    <w:rsid w:val="2AEC400C"/>
    <w:rsid w:val="2E6F3840"/>
    <w:rsid w:val="2EEF5CFF"/>
    <w:rsid w:val="327D692E"/>
    <w:rsid w:val="329A4156"/>
    <w:rsid w:val="32A71FAB"/>
    <w:rsid w:val="3C836A97"/>
    <w:rsid w:val="46FC7B21"/>
    <w:rsid w:val="49E26525"/>
    <w:rsid w:val="4CCB6C1A"/>
    <w:rsid w:val="584820CF"/>
    <w:rsid w:val="5F4B42EE"/>
    <w:rsid w:val="626311AB"/>
    <w:rsid w:val="6A9A0F8C"/>
    <w:rsid w:val="73027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39"/>
    <w:pPr>
      <w:tabs>
        <w:tab w:val="right" w:leader="dot" w:pos="9515"/>
      </w:tabs>
      <w:spacing w:line="360" w:lineRule="auto"/>
    </w:pPr>
  </w:style>
  <w:style w:type="paragraph" w:styleId="6">
    <w:name w:val="footnote text"/>
    <w:basedOn w:val="1"/>
    <w:qFormat/>
    <w:uiPriority w:val="0"/>
    <w:pPr>
      <w:snapToGrid w:val="0"/>
      <w:jc w:val="left"/>
    </w:pPr>
    <w:rPr>
      <w:sz w:val="18"/>
      <w:szCs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otnote reference"/>
    <w:qFormat/>
    <w:uiPriority w:val="0"/>
    <w:rPr>
      <w:vertAlign w:val="superscript"/>
    </w:rPr>
  </w:style>
  <w:style w:type="paragraph" w:customStyle="1" w:styleId="11">
    <w:name w:val="A居中标题"/>
    <w:basedOn w:val="1"/>
    <w:qFormat/>
    <w:uiPriority w:val="0"/>
    <w:pPr>
      <w:spacing w:before="100" w:beforeLines="100" w:after="100" w:afterLines="100" w:line="360" w:lineRule="auto"/>
      <w:jc w:val="center"/>
    </w:pPr>
    <w:rPr>
      <w:rFonts w:ascii="宋体" w:hAnsi="宋体" w:eastAsia="宋体"/>
      <w:b/>
      <w:bCs/>
      <w:kern w:val="0"/>
      <w:sz w:val="32"/>
      <w:szCs w:val="32"/>
    </w:rPr>
  </w:style>
  <w:style w:type="paragraph" w:customStyle="1" w:styleId="12">
    <w:name w:val="样式 样式 行距: 1.5 倍行距 + 首行缩进:  2 字符"/>
    <w:basedOn w:val="1"/>
    <w:qFormat/>
    <w:uiPriority w:val="0"/>
    <w:pPr>
      <w:ind w:firstLine="422"/>
    </w:pPr>
    <w:rPr>
      <w:rFonts w:cs="宋体"/>
      <w:sz w:val="24"/>
    </w:rPr>
  </w:style>
  <w:style w:type="paragraph" w:customStyle="1" w:styleId="13">
    <w:name w:val="最 章"/>
    <w:basedOn w:val="1"/>
    <w:qFormat/>
    <w:uiPriority w:val="0"/>
    <w:pPr>
      <w:spacing w:before="50" w:beforeLines="50" w:after="50" w:afterLines="50" w:line="240" w:lineRule="auto"/>
      <w:jc w:val="center"/>
    </w:pPr>
    <w:rPr>
      <w:rFonts w:ascii="宋体" w:hAnsi="宋体"/>
      <w:b/>
      <w:bCs/>
      <w:kern w:val="0"/>
      <w:sz w:val="48"/>
      <w:szCs w:val="48"/>
    </w:rPr>
  </w:style>
  <w:style w:type="paragraph" w:customStyle="1" w:styleId="14">
    <w:name w:val="Normal_0"/>
    <w:qFormat/>
    <w:uiPriority w:val="0"/>
    <w:rPr>
      <w:rFonts w:ascii="Times New Roman" w:hAnsi="Times New Roman" w:eastAsia="Times New Roman" w:cs="Times New Roman"/>
      <w:sz w:val="24"/>
      <w:szCs w:val="24"/>
      <w:lang w:bidi="ar-SA"/>
    </w:rPr>
  </w:style>
  <w:style w:type="paragraph" w:styleId="15">
    <w:name w:val="List Paragraph"/>
    <w:basedOn w:val="1"/>
    <w:qFormat/>
    <w:uiPriority w:val="1"/>
    <w:pPr>
      <w:ind w:left="424" w:firstLine="439"/>
    </w:pPr>
  </w:style>
  <w:style w:type="paragraph" w:customStyle="1" w:styleId="16">
    <w:name w:val="最 中间标题"/>
    <w:basedOn w:val="1"/>
    <w:qFormat/>
    <w:uiPriority w:val="0"/>
    <w:pPr>
      <w:spacing w:before="100" w:beforeLines="100" w:after="100" w:afterLines="100"/>
      <w:jc w:val="center"/>
    </w:pPr>
    <w:rPr>
      <w:rFonts w:ascii="宋体" w:hAnsi="宋体"/>
      <w:b/>
      <w:bCs/>
      <w:kern w:val="0"/>
      <w:sz w:val="30"/>
      <w:szCs w:val="30"/>
    </w:rPr>
  </w:style>
  <w:style w:type="paragraph" w:customStyle="1" w:styleId="17">
    <w:name w:val="Table Paragraph"/>
    <w:basedOn w:val="1"/>
    <w:qFormat/>
    <w:uiPriority w:val="1"/>
    <w:rPr>
      <w:rFonts w:ascii="Times New Roman" w:hAnsi="Times New Roman" w:eastAsia="宋体" w:cs="Times New Roman"/>
      <w:szCs w:val="24"/>
    </w:rPr>
  </w:style>
  <w:style w:type="paragraph" w:customStyle="1" w:styleId="18">
    <w:name w:val="Default"/>
    <w:qFormat/>
    <w:uiPriority w:val="0"/>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customStyle="1" w:styleId="19">
    <w:name w:val="表中文字"/>
    <w:basedOn w:val="1"/>
    <w:qFormat/>
    <w:uiPriority w:val="0"/>
    <w:pPr>
      <w:adjustRightInd w:val="0"/>
      <w:jc w:val="center"/>
    </w:pPr>
    <w:rPr>
      <w:kern w:val="0"/>
      <w:sz w:val="24"/>
    </w:rPr>
  </w:style>
  <w:style w:type="paragraph" w:customStyle="1" w:styleId="20">
    <w:name w:val="Normal_2"/>
    <w:qFormat/>
    <w:uiPriority w:val="0"/>
    <w:rPr>
      <w:rFonts w:ascii="Times New Roman" w:hAnsi="Times New Roman" w:eastAsia="Times New Roman" w:cs="Times New Roman"/>
      <w:sz w:val="24"/>
      <w:szCs w:val="24"/>
      <w:lang w:bidi="ar-SA"/>
    </w:rPr>
  </w:style>
  <w:style w:type="paragraph" w:customStyle="1" w:styleId="21">
    <w:name w:val="正文_2"/>
    <w:next w:val="22"/>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22">
    <w:name w:val="正文缩进_1"/>
    <w:basedOn w:val="2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2021-08-03T03:32:00Z</dcterms:created>
  <dc:creator>愛_妃</dc:creator>
  <cp:lastModifiedBy>愛_妃</cp:lastModifiedBy>
  <dcterms:modified xsi:type="dcterms:W3CDTF">2021-11-05T04:18:39Z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10679EB9F889495592E5AB3781BEAFB1</vt:lpwstr>
  </property>
</Properties>
</file>