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bCs/>
          <w:sz w:val="32"/>
          <w:szCs w:val="32"/>
          <w:highlight w:val="none"/>
          <w:lang w:eastAsia="zh-CN"/>
        </w:rPr>
      </w:pPr>
      <w:r>
        <w:rPr>
          <w:rFonts w:hint="eastAsia" w:ascii="黑体" w:eastAsia="黑体"/>
          <w:b/>
          <w:bCs/>
          <w:sz w:val="32"/>
          <w:szCs w:val="32"/>
          <w:highlight w:val="none"/>
          <w:lang w:eastAsia="zh-CN"/>
        </w:rPr>
        <w:t>G1816乌玛高速惠农(蒙宁界）至石嘴山段环境监测及环境保护验收、水土保持监理、监测及水土保持设施验收项目关键内容</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一、项目概况</w:t>
      </w:r>
    </w:p>
    <w:p>
      <w:pPr>
        <w:keepNext w:val="0"/>
        <w:keepLines w:val="0"/>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建设地点：宁夏回族自治区石嘴山市境内</w:t>
      </w:r>
    </w:p>
    <w:p>
      <w:pPr>
        <w:spacing w:line="336" w:lineRule="auto"/>
        <w:ind w:firstLine="420" w:firstLineChars="200"/>
        <w:jc w:val="left"/>
        <w:rPr>
          <w:rFonts w:ascii="宋体" w:hAnsi="宋体" w:cs="宋体"/>
          <w:color w:val="auto"/>
          <w:szCs w:val="21"/>
        </w:rPr>
      </w:pPr>
      <w:r>
        <w:rPr>
          <w:rFonts w:hint="eastAsia" w:ascii="宋体" w:hAnsi="宋体" w:cs="宋体"/>
          <w:color w:val="auto"/>
          <w:szCs w:val="21"/>
        </w:rPr>
        <w:t>项目规模及主要内容：G1816乌玛高速宁夏惠农（蒙宁界）至石嘴山段起自惠农区和平村东侧，接内蒙古自治区拟建乌玛高速乌海至石嘴山段，止于大武口区隆湖二站新村西侧，接已建乌玛高速石嘴山至银川段，全长57.089公里。全线设置惠农南、红果子南、红果子（枢纽）、石嘴山北、石嘴山（大武口）、石嘴山南6处互通式立交。同步建设惠农南、石嘴山北2条互通连接线共3.600公里。</w:t>
      </w:r>
    </w:p>
    <w:p>
      <w:pPr>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主线采用双向选择四车道高速公路标准建设，设计速度100公里/小时，路基宽度26米。桥涵设计汽车荷载等级采用公路-</w:t>
      </w:r>
      <w:r>
        <w:rPr>
          <w:rFonts w:hint="eastAsia" w:ascii="微软雅黑" w:hAnsi="微软雅黑" w:eastAsia="微软雅黑" w:cs="微软雅黑"/>
          <w:color w:val="auto"/>
          <w:szCs w:val="21"/>
        </w:rPr>
        <w:t>Ⅰ</w:t>
      </w:r>
      <w:r>
        <w:rPr>
          <w:rFonts w:hint="eastAsia" w:ascii="宋体" w:hAnsi="宋体" w:cs="宋体"/>
          <w:color w:val="auto"/>
          <w:szCs w:val="21"/>
        </w:rPr>
        <w:t>级，其他技术指标按《公路工程技术标准》（JTGB01-2014）执行。     惠农南互通连接线采用二级公路标准建设，石嘴山北互通连接线采用一级公路标准改扩建。</w:t>
      </w:r>
    </w:p>
    <w:p>
      <w:pPr>
        <w:spacing w:line="336" w:lineRule="auto"/>
        <w:ind w:firstLine="210" w:firstLineChars="100"/>
        <w:rPr>
          <w:rFonts w:ascii="宋体" w:hAnsi="宋体" w:cs="宋体"/>
          <w:color w:val="auto"/>
          <w:kern w:val="20"/>
          <w:szCs w:val="21"/>
        </w:rPr>
      </w:pPr>
      <w:r>
        <w:rPr>
          <w:rFonts w:hint="eastAsia" w:ascii="宋体" w:hAnsi="宋体" w:cs="宋体"/>
          <w:color w:val="auto"/>
          <w:kern w:val="20"/>
          <w:szCs w:val="21"/>
        </w:rPr>
        <w:t xml:space="preserve"> 标段划分、主要服务内容及服务期详见下表：</w:t>
      </w:r>
    </w:p>
    <w:tbl>
      <w:tblPr>
        <w:tblStyle w:val="15"/>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56"/>
        <w:gridCol w:w="439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4" w:type="dxa"/>
            <w:vAlign w:val="center"/>
          </w:tcPr>
          <w:p>
            <w:pPr>
              <w:spacing w:line="336" w:lineRule="auto"/>
              <w:jc w:val="center"/>
              <w:rPr>
                <w:rFonts w:ascii="宋体" w:hAnsi="宋体" w:cs="宋体"/>
                <w:b/>
                <w:bCs/>
                <w:color w:val="auto"/>
                <w:kern w:val="20"/>
                <w:szCs w:val="21"/>
              </w:rPr>
            </w:pPr>
            <w:r>
              <w:rPr>
                <w:rFonts w:hint="eastAsia" w:ascii="宋体" w:hAnsi="宋体" w:cs="宋体"/>
                <w:b/>
                <w:bCs/>
                <w:color w:val="auto"/>
                <w:kern w:val="20"/>
                <w:szCs w:val="21"/>
              </w:rPr>
              <w:t>标段</w:t>
            </w:r>
          </w:p>
        </w:tc>
        <w:tc>
          <w:tcPr>
            <w:tcW w:w="2056" w:type="dxa"/>
            <w:vAlign w:val="center"/>
          </w:tcPr>
          <w:p>
            <w:pPr>
              <w:spacing w:line="336" w:lineRule="auto"/>
              <w:jc w:val="center"/>
              <w:rPr>
                <w:rFonts w:ascii="宋体" w:hAnsi="宋体" w:cs="宋体"/>
                <w:b/>
                <w:bCs/>
                <w:color w:val="auto"/>
                <w:kern w:val="20"/>
                <w:szCs w:val="21"/>
              </w:rPr>
            </w:pPr>
            <w:r>
              <w:rPr>
                <w:rFonts w:hint="eastAsia" w:ascii="宋体" w:hAnsi="宋体" w:cs="宋体"/>
                <w:b/>
                <w:bCs/>
                <w:color w:val="auto"/>
                <w:kern w:val="20"/>
                <w:szCs w:val="21"/>
              </w:rPr>
              <w:t>项目</w:t>
            </w:r>
          </w:p>
        </w:tc>
        <w:tc>
          <w:tcPr>
            <w:tcW w:w="4393" w:type="dxa"/>
            <w:vAlign w:val="center"/>
          </w:tcPr>
          <w:p>
            <w:pPr>
              <w:spacing w:line="336" w:lineRule="auto"/>
              <w:jc w:val="center"/>
              <w:rPr>
                <w:rFonts w:ascii="宋体" w:hAnsi="宋体" w:cs="宋体"/>
                <w:b/>
                <w:bCs/>
                <w:color w:val="auto"/>
                <w:kern w:val="20"/>
                <w:szCs w:val="21"/>
              </w:rPr>
            </w:pPr>
            <w:r>
              <w:rPr>
                <w:rFonts w:hint="eastAsia" w:ascii="宋体" w:hAnsi="宋体" w:cs="宋体"/>
                <w:b/>
                <w:bCs/>
                <w:color w:val="auto"/>
                <w:kern w:val="20"/>
                <w:szCs w:val="21"/>
              </w:rPr>
              <w:t>主要工作内容</w:t>
            </w:r>
          </w:p>
        </w:tc>
        <w:tc>
          <w:tcPr>
            <w:tcW w:w="1744" w:type="dxa"/>
            <w:vAlign w:val="center"/>
          </w:tcPr>
          <w:p>
            <w:pPr>
              <w:spacing w:line="336" w:lineRule="auto"/>
              <w:jc w:val="center"/>
              <w:rPr>
                <w:rFonts w:ascii="宋体" w:hAnsi="宋体" w:cs="宋体"/>
                <w:b/>
                <w:bCs/>
                <w:color w:val="auto"/>
                <w:kern w:val="20"/>
                <w:szCs w:val="21"/>
              </w:rPr>
            </w:pPr>
            <w:r>
              <w:rPr>
                <w:rFonts w:ascii="宋体" w:hAnsi="宋体" w:cs="宋体"/>
                <w:b/>
                <w:bCs/>
                <w:color w:val="auto"/>
                <w:kern w:val="2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4" w:type="dxa"/>
            <w:vAlign w:val="center"/>
          </w:tcPr>
          <w:p>
            <w:pPr>
              <w:spacing w:line="336" w:lineRule="auto"/>
              <w:jc w:val="center"/>
              <w:rPr>
                <w:rFonts w:ascii="宋体" w:hAnsi="宋体" w:cs="宋体"/>
                <w:color w:val="auto"/>
                <w:kern w:val="20"/>
                <w:szCs w:val="21"/>
              </w:rPr>
            </w:pPr>
            <w:r>
              <w:rPr>
                <w:rFonts w:hint="eastAsia" w:ascii="宋体" w:hAnsi="宋体" w:cs="宋体"/>
                <w:color w:val="auto"/>
                <w:kern w:val="20"/>
                <w:szCs w:val="21"/>
              </w:rPr>
              <w:t>第1标段</w:t>
            </w:r>
          </w:p>
        </w:tc>
        <w:tc>
          <w:tcPr>
            <w:tcW w:w="2056" w:type="dxa"/>
            <w:vAlign w:val="center"/>
          </w:tcPr>
          <w:p>
            <w:pPr>
              <w:spacing w:line="336" w:lineRule="auto"/>
              <w:jc w:val="left"/>
              <w:rPr>
                <w:rFonts w:ascii="宋体" w:hAnsi="宋体" w:cs="宋体"/>
                <w:color w:val="auto"/>
                <w:kern w:val="20"/>
                <w:szCs w:val="21"/>
              </w:rPr>
            </w:pPr>
            <w:r>
              <w:rPr>
                <w:rFonts w:hint="eastAsia" w:ascii="宋体" w:hAnsi="宋体" w:cs="宋体"/>
                <w:color w:val="auto"/>
                <w:kern w:val="20"/>
                <w:szCs w:val="21"/>
              </w:rPr>
              <w:t>水土保持方案编制、监理、监测及水土保持设施验收</w:t>
            </w:r>
          </w:p>
        </w:tc>
        <w:tc>
          <w:tcPr>
            <w:tcW w:w="4393" w:type="dxa"/>
            <w:vAlign w:val="center"/>
          </w:tcPr>
          <w:p>
            <w:pPr>
              <w:spacing w:line="336" w:lineRule="auto"/>
              <w:jc w:val="left"/>
              <w:rPr>
                <w:rFonts w:ascii="宋体" w:hAnsi="宋体" w:cs="宋体"/>
                <w:color w:val="auto"/>
                <w:kern w:val="20"/>
                <w:szCs w:val="21"/>
              </w:rPr>
            </w:pPr>
            <w:r>
              <w:rPr>
                <w:rFonts w:hint="eastAsia" w:ascii="宋体" w:hAnsi="宋体" w:cs="宋体"/>
                <w:color w:val="auto"/>
                <w:kern w:val="20"/>
                <w:szCs w:val="21"/>
              </w:rPr>
              <w:t>编制方案：完成现场踏勘、水土流失预测、水土保持措施建议等工作，编制水土保持方案变更报告（取弃土场等变更补充）。</w:t>
            </w:r>
          </w:p>
          <w:p>
            <w:pPr>
              <w:spacing w:line="336" w:lineRule="auto"/>
              <w:jc w:val="left"/>
              <w:rPr>
                <w:rFonts w:ascii="宋体" w:hAnsi="宋体" w:cs="宋体"/>
                <w:color w:val="auto"/>
                <w:kern w:val="20"/>
                <w:szCs w:val="21"/>
                <w:highlight w:val="red"/>
              </w:rPr>
            </w:pPr>
            <w:r>
              <w:rPr>
                <w:rFonts w:hint="eastAsia" w:ascii="宋体" w:hAnsi="宋体" w:cs="宋体"/>
                <w:color w:val="auto"/>
                <w:kern w:val="20"/>
                <w:szCs w:val="21"/>
                <w:highlight w:val="none"/>
              </w:rPr>
              <w:t xml:space="preserve">监理：按已批复的水保方案及批复的要求开展水土保持监理工作，提交季度、年度监理报告以及监理总结报告；开展现场评估与核查、收集和分析相关资料，编制水土保持设施验收自验报告，并协助完成水土保持设施验收所需的其他报告；协助完成水土保持督查单位对本项目日常水土保持督查工作。 </w:t>
            </w:r>
          </w:p>
          <w:p>
            <w:pPr>
              <w:spacing w:line="336" w:lineRule="auto"/>
              <w:jc w:val="left"/>
              <w:rPr>
                <w:rFonts w:ascii="宋体" w:hAnsi="宋体" w:cs="宋体"/>
                <w:color w:val="auto"/>
                <w:kern w:val="20"/>
                <w:szCs w:val="21"/>
              </w:rPr>
            </w:pPr>
            <w:r>
              <w:rPr>
                <w:rFonts w:hint="eastAsia" w:ascii="宋体" w:hAnsi="宋体" w:cs="宋体"/>
                <w:color w:val="auto"/>
                <w:kern w:val="20"/>
                <w:szCs w:val="21"/>
              </w:rPr>
              <w:t>监测：全过程水土保持监测、提交季度、年度水土保持监测分析报告；编制水土保持监测总结报告；协助完成水土保持设施验收工作。</w:t>
            </w:r>
          </w:p>
          <w:p>
            <w:pPr>
              <w:spacing w:line="336" w:lineRule="auto"/>
              <w:jc w:val="left"/>
              <w:rPr>
                <w:rFonts w:ascii="宋体" w:hAnsi="宋体" w:cs="宋体"/>
                <w:color w:val="auto"/>
                <w:kern w:val="20"/>
                <w:szCs w:val="21"/>
              </w:rPr>
            </w:pPr>
            <w:r>
              <w:rPr>
                <w:rFonts w:hint="eastAsia" w:ascii="宋体" w:hAnsi="宋体" w:cs="宋体"/>
                <w:color w:val="auto"/>
                <w:kern w:val="20"/>
                <w:szCs w:val="21"/>
              </w:rPr>
              <w:t>验收：完成重大变更核查工作，并提出相关核查意见；完成设计水保措施核查工作，并提出相关完善意见；编制完成水保设施竣工验收报告，配合甲方成立验收工作组协助完成水保验收工作，并起草水保设施竣工验收鉴定书；配合甲方向水行政主管部门完成水土保持设施验收材料的报备工作。</w:t>
            </w:r>
          </w:p>
        </w:tc>
        <w:tc>
          <w:tcPr>
            <w:tcW w:w="1744" w:type="dxa"/>
            <w:vAlign w:val="center"/>
          </w:tcPr>
          <w:p>
            <w:pPr>
              <w:spacing w:line="336" w:lineRule="auto"/>
              <w:jc w:val="left"/>
              <w:rPr>
                <w:rFonts w:ascii="宋体" w:hAnsi="宋体" w:cs="宋体"/>
                <w:color w:val="auto"/>
                <w:kern w:val="20"/>
                <w:szCs w:val="21"/>
              </w:rPr>
            </w:pPr>
            <w:r>
              <w:rPr>
                <w:rFonts w:hint="eastAsia" w:ascii="宋体" w:hAnsi="宋体" w:cs="宋体"/>
                <w:color w:val="auto"/>
                <w:szCs w:val="21"/>
              </w:rPr>
              <w:t>合同签订之日起至水土保持监理、监测及水土保持设施验收完成之日止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4" w:hRule="atLeast"/>
        </w:trPr>
        <w:tc>
          <w:tcPr>
            <w:tcW w:w="1084" w:type="dxa"/>
            <w:vAlign w:val="center"/>
          </w:tcPr>
          <w:p>
            <w:pPr>
              <w:spacing w:line="336" w:lineRule="auto"/>
              <w:jc w:val="center"/>
              <w:rPr>
                <w:rFonts w:ascii="宋体" w:hAnsi="宋体" w:cs="宋体"/>
                <w:color w:val="auto"/>
                <w:kern w:val="20"/>
                <w:szCs w:val="21"/>
              </w:rPr>
            </w:pPr>
            <w:r>
              <w:rPr>
                <w:rFonts w:hint="eastAsia" w:ascii="宋体" w:hAnsi="宋体" w:cs="宋体"/>
                <w:color w:val="auto"/>
                <w:kern w:val="20"/>
                <w:szCs w:val="21"/>
              </w:rPr>
              <w:t>第2标段</w:t>
            </w:r>
          </w:p>
        </w:tc>
        <w:tc>
          <w:tcPr>
            <w:tcW w:w="2056" w:type="dxa"/>
            <w:vAlign w:val="center"/>
          </w:tcPr>
          <w:p>
            <w:pPr>
              <w:spacing w:line="336" w:lineRule="auto"/>
              <w:jc w:val="left"/>
              <w:rPr>
                <w:rFonts w:ascii="宋体" w:hAnsi="宋体" w:cs="宋体"/>
                <w:color w:val="auto"/>
                <w:kern w:val="20"/>
                <w:szCs w:val="21"/>
              </w:rPr>
            </w:pPr>
            <w:r>
              <w:rPr>
                <w:rFonts w:hint="eastAsia" w:ascii="宋体" w:hAnsi="宋体" w:cs="宋体"/>
                <w:color w:val="auto"/>
                <w:kern w:val="20"/>
                <w:szCs w:val="21"/>
              </w:rPr>
              <w:t>环境监测及环境保护验收</w:t>
            </w:r>
            <w:r>
              <w:rPr>
                <w:rFonts w:hint="eastAsia" w:ascii="宋体" w:hAnsi="宋体" w:cs="宋体"/>
                <w:color w:val="auto"/>
                <w:szCs w:val="21"/>
              </w:rPr>
              <w:t>工作；</w:t>
            </w:r>
          </w:p>
        </w:tc>
        <w:tc>
          <w:tcPr>
            <w:tcW w:w="4393" w:type="dxa"/>
            <w:vAlign w:val="center"/>
          </w:tcPr>
          <w:p>
            <w:pPr>
              <w:spacing w:line="336" w:lineRule="auto"/>
              <w:jc w:val="left"/>
              <w:rPr>
                <w:color w:val="auto"/>
                <w:highlight w:val="none"/>
              </w:rPr>
            </w:pPr>
            <w:r>
              <w:rPr>
                <w:rFonts w:hint="eastAsia"/>
                <w:color w:val="auto"/>
                <w:highlight w:val="none"/>
              </w:rPr>
              <w:t>编制报告：根据国家、自治区环保法规及环评技术导则和规范等要求，完成现场踏勘、环境现状评价、环境影响预测、环境保护措施建议、公众参与等工作，编制环境影响变更报告。</w:t>
            </w:r>
          </w:p>
          <w:p>
            <w:pPr>
              <w:spacing w:line="336" w:lineRule="auto"/>
              <w:jc w:val="left"/>
              <w:rPr>
                <w:color w:val="auto"/>
                <w:highlight w:val="none"/>
              </w:rPr>
            </w:pPr>
            <w:r>
              <w:rPr>
                <w:rFonts w:hint="eastAsia"/>
                <w:color w:val="auto"/>
                <w:highlight w:val="none"/>
              </w:rPr>
              <w:t>监测：全过程环境监测工作；提交环境监测季度环境监测分析报告及年度监测分析报告；编制环境监测总结报告；</w:t>
            </w:r>
          </w:p>
          <w:p>
            <w:pPr>
              <w:spacing w:line="336" w:lineRule="auto"/>
              <w:jc w:val="left"/>
              <w:rPr>
                <w:color w:val="auto"/>
                <w:highlight w:val="none"/>
              </w:rPr>
            </w:pPr>
            <w:r>
              <w:rPr>
                <w:rFonts w:hint="eastAsia"/>
                <w:color w:val="auto"/>
                <w:highlight w:val="none"/>
              </w:rPr>
              <w:t>验收：完成重大变动核查工作，并提出相关核查意见；完成设计环保措施核查工作，并提出相关完善意见；编制完成环保验收调查报告并配合甲方成立验收工作组协助完成环保验收工作；填报环境保护设施竣工验收相关信息并完成归档；配合甲方完成环境主管部门的噪声、固体废物污染防治设施验收工作。</w:t>
            </w:r>
          </w:p>
          <w:p>
            <w:pPr>
              <w:spacing w:line="336" w:lineRule="auto"/>
              <w:jc w:val="left"/>
              <w:rPr>
                <w:color w:val="auto"/>
                <w:highlight w:val="none"/>
              </w:rPr>
            </w:pPr>
            <w:r>
              <w:rPr>
                <w:rFonts w:hint="eastAsia"/>
                <w:color w:val="auto"/>
                <w:highlight w:val="none"/>
              </w:rPr>
              <w:t>其他工作：编制突发环境事件应急预案及备案；本项目管线迁改水保报告验收备案；协助配合环保主管部门对开展本项目的环境保护督查、检查工作。</w:t>
            </w:r>
          </w:p>
          <w:p>
            <w:pPr>
              <w:pStyle w:val="14"/>
              <w:rPr>
                <w:color w:val="auto"/>
              </w:rPr>
            </w:pPr>
          </w:p>
        </w:tc>
        <w:tc>
          <w:tcPr>
            <w:tcW w:w="1744" w:type="dxa"/>
            <w:vAlign w:val="center"/>
          </w:tcPr>
          <w:p>
            <w:pPr>
              <w:spacing w:line="336" w:lineRule="auto"/>
              <w:jc w:val="left"/>
              <w:rPr>
                <w:rFonts w:ascii="宋体" w:hAnsi="宋体" w:cs="宋体"/>
                <w:color w:val="auto"/>
                <w:kern w:val="20"/>
                <w:szCs w:val="21"/>
              </w:rPr>
            </w:pPr>
            <w:r>
              <w:rPr>
                <w:rFonts w:hint="eastAsia" w:ascii="宋体" w:hAnsi="宋体" w:cs="宋体"/>
                <w:color w:val="auto"/>
                <w:szCs w:val="21"/>
              </w:rPr>
              <w:t>合同签订之日起至环境监测及环境保护验收完成之日止</w:t>
            </w:r>
          </w:p>
        </w:tc>
      </w:tr>
    </w:tbl>
    <w:p>
      <w:pPr>
        <w:pStyle w:val="2"/>
      </w:pPr>
    </w:p>
    <w:p/>
    <w:p>
      <w:pPr>
        <w:pStyle w:val="2"/>
      </w:pPr>
    </w:p>
    <w:p/>
    <w:p>
      <w:pPr>
        <w:pStyle w:val="2"/>
      </w:pPr>
    </w:p>
    <w:p/>
    <w:p>
      <w:pPr>
        <w:pStyle w:val="2"/>
      </w:pP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snapToGrid w:val="0"/>
          <w:color w:val="auto"/>
          <w:spacing w:val="-11"/>
          <w:sz w:val="28"/>
          <w:szCs w:val="28"/>
        </w:rPr>
      </w:pPr>
      <w:r>
        <w:rPr>
          <w:rFonts w:hint="eastAsia" w:ascii="宋体" w:hAnsi="宋体" w:eastAsia="宋体" w:cs="宋体"/>
          <w:b/>
          <w:snapToGrid w:val="0"/>
          <w:color w:val="auto"/>
          <w:kern w:val="0"/>
          <w:sz w:val="28"/>
          <w:szCs w:val="28"/>
        </w:rPr>
        <w:t>二、对投标人的全部资格要求</w:t>
      </w:r>
    </w:p>
    <w:p>
      <w:pPr>
        <w:pStyle w:val="28"/>
        <w:spacing w:before="240" w:after="240"/>
        <w:rPr>
          <w:rFonts w:cs="宋体"/>
          <w:color w:val="auto"/>
        </w:rPr>
      </w:pPr>
      <w:bookmarkStart w:id="0" w:name="_Toc24448"/>
      <w:bookmarkStart w:id="1" w:name="_Toc26466"/>
      <w:r>
        <w:rPr>
          <w:rFonts w:hint="eastAsia" w:cs="宋体"/>
          <w:color w:val="auto"/>
        </w:rPr>
        <w:t>附录1  资格审查条件(资质最低条件)</w:t>
      </w:r>
      <w:bookmarkEnd w:id="0"/>
    </w:p>
    <w:tbl>
      <w:tblPr>
        <w:tblStyle w:val="15"/>
        <w:tblW w:w="92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81" w:type="dxa"/>
            <w:tcMar>
              <w:top w:w="113" w:type="dxa"/>
              <w:left w:w="108" w:type="dxa"/>
              <w:bottom w:w="113" w:type="dxa"/>
              <w:right w:w="108" w:type="dxa"/>
            </w:tcMar>
            <w:vAlign w:val="center"/>
          </w:tcPr>
          <w:p>
            <w:pPr>
              <w:jc w:val="center"/>
              <w:rPr>
                <w:rFonts w:ascii="宋体" w:hAnsi="宋体" w:cs="宋体"/>
                <w:color w:val="auto"/>
                <w:sz w:val="24"/>
              </w:rPr>
            </w:pPr>
            <w:r>
              <w:rPr>
                <w:rFonts w:hint="eastAsia" w:ascii="宋体" w:hAnsi="宋体" w:cs="宋体"/>
                <w:color w:val="auto"/>
                <w:sz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81" w:type="dxa"/>
            <w:tcMar>
              <w:top w:w="113" w:type="dxa"/>
              <w:left w:w="108" w:type="dxa"/>
              <w:bottom w:w="113" w:type="dxa"/>
              <w:right w:w="108" w:type="dxa"/>
            </w:tcMar>
            <w:vAlign w:val="center"/>
          </w:tcPr>
          <w:p>
            <w:pPr>
              <w:widowControl/>
              <w:spacing w:line="360" w:lineRule="auto"/>
              <w:jc w:val="left"/>
              <w:rPr>
                <w:rFonts w:hint="eastAsia" w:ascii="宋体" w:hAnsi="宋体" w:cs="宋体"/>
                <w:b w:val="0"/>
                <w:bCs w:val="0"/>
                <w:color w:val="auto"/>
                <w:kern w:val="20"/>
                <w:szCs w:val="21"/>
              </w:rPr>
            </w:pPr>
            <w:r>
              <w:rPr>
                <w:rFonts w:hint="eastAsia"/>
                <w:color w:val="auto"/>
              </w:rPr>
              <w:t>第1标段：</w:t>
            </w:r>
            <w:r>
              <w:rPr>
                <w:rFonts w:hint="eastAsia" w:ascii="宋体" w:hAnsi="宋体" w:cs="宋体"/>
                <w:color w:val="auto"/>
                <w:kern w:val="20"/>
                <w:szCs w:val="21"/>
              </w:rPr>
              <w:t>具有工商行政管理部门核发的有效企业法人营业执照或事业单位法人证书、同时具有</w:t>
            </w:r>
            <w:r>
              <w:rPr>
                <w:rFonts w:hint="eastAsia" w:ascii="宋体" w:hAnsi="宋体" w:cs="宋体"/>
                <w:b w:val="0"/>
                <w:bCs w:val="0"/>
                <w:color w:val="auto"/>
                <w:kern w:val="20"/>
                <w:szCs w:val="21"/>
              </w:rPr>
              <w:t>生产建设项目水土保持监测单位水平评价证书（1星或以上）、水土保持工程施工监理甲级资质以及生产建设项目水土保持方案编制单位水平评价证书（1星或以上）。</w:t>
            </w:r>
          </w:p>
          <w:p>
            <w:pPr>
              <w:pStyle w:val="2"/>
              <w:spacing w:line="360" w:lineRule="auto"/>
              <w:rPr>
                <w:b w:val="0"/>
                <w:bCs w:val="0"/>
                <w:color w:val="auto"/>
              </w:rPr>
            </w:pPr>
            <w:r>
              <w:rPr>
                <w:rFonts w:hint="eastAsia"/>
                <w:color w:val="auto"/>
              </w:rPr>
              <w:t>第2标段：</w:t>
            </w:r>
            <w:r>
              <w:rPr>
                <w:rFonts w:hint="eastAsia" w:ascii="宋体" w:hAnsi="宋体" w:cs="宋体"/>
                <w:color w:val="auto"/>
                <w:kern w:val="20"/>
                <w:szCs w:val="21"/>
              </w:rPr>
              <w:t>投标人应具有工商行政管理部门核发的有效企业法人营业执照或事业单位法人证书（经营范围中应有环境保护相关技术服务内容）、省级以上机构颁发的有效的</w:t>
            </w:r>
            <w:r>
              <w:rPr>
                <w:rFonts w:hint="eastAsia" w:ascii="宋体" w:hAnsi="宋体" w:cs="宋体"/>
                <w:b w:val="0"/>
                <w:bCs w:val="0"/>
                <w:color w:val="auto"/>
                <w:kern w:val="20"/>
                <w:szCs w:val="21"/>
              </w:rPr>
              <w:t>CMA 计量认证证书，</w:t>
            </w:r>
          </w:p>
          <w:p>
            <w:pPr>
              <w:pStyle w:val="2"/>
              <w:rPr>
                <w:color w:val="auto"/>
              </w:rPr>
            </w:pPr>
            <w:r>
              <w:rPr>
                <w:rFonts w:hint="eastAsia"/>
                <w:b/>
                <w:bCs/>
                <w:color w:val="auto"/>
              </w:rPr>
              <w:t>注：其他要求详见投标人须知正文第3.5.1项。</w:t>
            </w:r>
          </w:p>
        </w:tc>
      </w:tr>
    </w:tbl>
    <w:p>
      <w:pPr>
        <w:spacing w:before="120" w:after="120"/>
        <w:rPr>
          <w:rFonts w:ascii="宋体" w:hAnsi="宋体" w:cs="宋体"/>
          <w:b/>
          <w:bCs/>
          <w:color w:val="auto"/>
          <w:kern w:val="44"/>
          <w:sz w:val="18"/>
          <w:szCs w:val="18"/>
        </w:rPr>
      </w:pPr>
    </w:p>
    <w:p>
      <w:pPr>
        <w:pStyle w:val="28"/>
        <w:spacing w:before="240" w:after="240"/>
        <w:rPr>
          <w:rFonts w:cs="宋体"/>
          <w:color w:val="auto"/>
        </w:rPr>
      </w:pPr>
      <w:bookmarkStart w:id="2" w:name="_Toc10814"/>
      <w:bookmarkStart w:id="3" w:name="_Toc28517"/>
      <w:r>
        <w:rPr>
          <w:rFonts w:hint="eastAsia" w:cs="宋体"/>
          <w:color w:val="auto"/>
        </w:rPr>
        <w:t>附录2  资格审查条件(业绩最低要求)</w:t>
      </w:r>
      <w:bookmarkEnd w:id="2"/>
      <w:bookmarkEnd w:id="3"/>
    </w:p>
    <w:tbl>
      <w:tblPr>
        <w:tblStyle w:val="15"/>
        <w:tblW w:w="92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81" w:type="dxa"/>
            <w:tcMar>
              <w:top w:w="113" w:type="dxa"/>
              <w:left w:w="108" w:type="dxa"/>
              <w:bottom w:w="113" w:type="dxa"/>
              <w:right w:w="108" w:type="dxa"/>
            </w:tcMar>
            <w:vAlign w:val="center"/>
          </w:tcPr>
          <w:p>
            <w:pPr>
              <w:spacing w:before="120" w:after="120"/>
              <w:jc w:val="center"/>
              <w:rPr>
                <w:rFonts w:ascii="宋体" w:hAnsi="宋体" w:cs="宋体"/>
                <w:color w:val="auto"/>
                <w:sz w:val="24"/>
              </w:rPr>
            </w:pPr>
            <w:r>
              <w:rPr>
                <w:rFonts w:hint="eastAsia" w:ascii="宋体" w:hAnsi="宋体" w:cs="宋体"/>
                <w:color w:val="auto"/>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81" w:type="dxa"/>
            <w:tcMar>
              <w:top w:w="113" w:type="dxa"/>
              <w:left w:w="108" w:type="dxa"/>
              <w:bottom w:w="113" w:type="dxa"/>
              <w:right w:w="108" w:type="dxa"/>
            </w:tcMar>
            <w:vAlign w:val="center"/>
          </w:tcPr>
          <w:p>
            <w:pPr>
              <w:widowControl/>
              <w:spacing w:line="360" w:lineRule="auto"/>
              <w:jc w:val="left"/>
              <w:rPr>
                <w:color w:val="auto"/>
                <w:highlight w:val="none"/>
              </w:rPr>
            </w:pPr>
            <w:r>
              <w:rPr>
                <w:rFonts w:hint="eastAsia"/>
                <w:color w:val="auto"/>
              </w:rPr>
              <w:t>第1标段：</w:t>
            </w:r>
            <w:r>
              <w:rPr>
                <w:rFonts w:hint="eastAsia" w:ascii="宋体" w:hAnsi="宋体" w:cs="宋体"/>
                <w:color w:val="auto"/>
                <w:kern w:val="20"/>
                <w:szCs w:val="21"/>
              </w:rPr>
              <w:t>近三年内（2018年1月1日起至投标截止时间）至少承接过 1 个高速公路建设项目水土保持监测业绩</w:t>
            </w:r>
            <w:r>
              <w:rPr>
                <w:rFonts w:ascii="宋体" w:hAnsi="宋体" w:cs="宋体"/>
                <w:color w:val="auto"/>
                <w:kern w:val="20"/>
                <w:szCs w:val="21"/>
              </w:rPr>
              <w:t>、</w:t>
            </w:r>
            <w:r>
              <w:rPr>
                <w:rFonts w:hint="eastAsia" w:ascii="宋体" w:hAnsi="宋体" w:cs="宋体"/>
                <w:color w:val="auto"/>
                <w:kern w:val="20"/>
                <w:szCs w:val="21"/>
              </w:rPr>
              <w:t>1个高速公路建设项目水土保持监理业绩和1个高速公路建设项目水保设施验收报告编制业绩</w:t>
            </w:r>
            <w:r>
              <w:rPr>
                <w:rFonts w:ascii="宋体" w:hAnsi="宋体" w:cs="宋体"/>
                <w:color w:val="auto"/>
                <w:kern w:val="20"/>
                <w:szCs w:val="21"/>
                <w:highlight w:val="none"/>
              </w:rPr>
              <w:t>（上述三个业绩必须同时满足）</w:t>
            </w:r>
            <w:r>
              <w:rPr>
                <w:rFonts w:hint="eastAsia" w:ascii="宋体" w:hAnsi="宋体" w:cs="宋体"/>
                <w:color w:val="auto"/>
                <w:kern w:val="20"/>
                <w:szCs w:val="21"/>
                <w:highlight w:val="none"/>
              </w:rPr>
              <w:t>，并在人员、设备、资金等方面具有相应的能力。</w:t>
            </w:r>
          </w:p>
          <w:p>
            <w:pPr>
              <w:pStyle w:val="2"/>
              <w:spacing w:line="360" w:lineRule="auto"/>
              <w:rPr>
                <w:color w:val="auto"/>
              </w:rPr>
            </w:pPr>
            <w:r>
              <w:rPr>
                <w:rFonts w:hint="eastAsia"/>
                <w:color w:val="auto"/>
                <w:highlight w:val="none"/>
              </w:rPr>
              <w:t>第2标段：</w:t>
            </w:r>
            <w:r>
              <w:rPr>
                <w:rFonts w:hint="eastAsia" w:ascii="宋体" w:hAnsi="宋体" w:cs="宋体"/>
                <w:color w:val="auto"/>
                <w:kern w:val="20"/>
                <w:szCs w:val="21"/>
                <w:highlight w:val="none"/>
              </w:rPr>
              <w:t>投标人近三年内（2018年1月1日起至投标截止时间）至少承接过1个高速公路建设项目环境监测业绩</w:t>
            </w:r>
            <w:r>
              <w:rPr>
                <w:rFonts w:ascii="宋体" w:hAnsi="宋体" w:cs="宋体"/>
                <w:color w:val="auto"/>
                <w:kern w:val="20"/>
                <w:szCs w:val="21"/>
                <w:highlight w:val="none"/>
              </w:rPr>
              <w:t>、</w:t>
            </w:r>
            <w:r>
              <w:rPr>
                <w:rFonts w:hint="eastAsia" w:ascii="宋体" w:hAnsi="宋体" w:cs="宋体"/>
                <w:color w:val="auto"/>
                <w:kern w:val="20"/>
                <w:szCs w:val="21"/>
                <w:highlight w:val="none"/>
              </w:rPr>
              <w:t>1个高速公路建设项目环保竣工验收调查报告编制业绩</w:t>
            </w:r>
            <w:r>
              <w:rPr>
                <w:rFonts w:ascii="宋体" w:hAnsi="宋体" w:cs="宋体"/>
                <w:color w:val="auto"/>
                <w:kern w:val="20"/>
                <w:szCs w:val="21"/>
                <w:highlight w:val="none"/>
              </w:rPr>
              <w:t>（</w:t>
            </w:r>
            <w:r>
              <w:rPr>
                <w:rFonts w:hint="eastAsia" w:ascii="宋体" w:hAnsi="宋体" w:cs="宋体"/>
                <w:color w:val="auto"/>
                <w:kern w:val="20"/>
                <w:szCs w:val="21"/>
                <w:highlight w:val="none"/>
              </w:rPr>
              <w:t>上述</w:t>
            </w:r>
            <w:r>
              <w:rPr>
                <w:rFonts w:ascii="宋体" w:hAnsi="宋体" w:cs="宋体"/>
                <w:color w:val="auto"/>
                <w:kern w:val="20"/>
                <w:szCs w:val="21"/>
                <w:highlight w:val="none"/>
              </w:rPr>
              <w:t>二</w:t>
            </w:r>
            <w:r>
              <w:rPr>
                <w:rFonts w:hint="eastAsia" w:ascii="宋体" w:hAnsi="宋体" w:cs="宋体"/>
                <w:color w:val="auto"/>
                <w:kern w:val="20"/>
                <w:szCs w:val="21"/>
                <w:highlight w:val="none"/>
              </w:rPr>
              <w:t>个业绩必须同时满足</w:t>
            </w:r>
            <w:r>
              <w:rPr>
                <w:rFonts w:ascii="宋体" w:hAnsi="宋体" w:cs="宋体"/>
                <w:color w:val="auto"/>
                <w:kern w:val="20"/>
                <w:szCs w:val="21"/>
                <w:highlight w:val="none"/>
              </w:rPr>
              <w:t>）</w:t>
            </w:r>
            <w:r>
              <w:rPr>
                <w:rFonts w:hint="eastAsia" w:ascii="宋体" w:hAnsi="宋体" w:cs="宋体"/>
                <w:color w:val="auto"/>
                <w:kern w:val="20"/>
                <w:szCs w:val="21"/>
                <w:highlight w:val="none"/>
              </w:rPr>
              <w:t>，并在人员、设备、资金等方面具有相应的能力。</w:t>
            </w:r>
          </w:p>
          <w:p>
            <w:pPr>
              <w:widowControl/>
              <w:spacing w:line="336" w:lineRule="auto"/>
              <w:jc w:val="left"/>
              <w:rPr>
                <w:b/>
                <w:bCs/>
                <w:color w:val="auto"/>
              </w:rPr>
            </w:pPr>
            <w:r>
              <w:rPr>
                <w:rFonts w:hint="eastAsia"/>
                <w:b/>
                <w:bCs/>
                <w:color w:val="auto"/>
              </w:rPr>
              <w:t>注：1.业绩证明材料：详见“投标人须知”正文3.5.2项要求。</w:t>
            </w:r>
          </w:p>
          <w:p>
            <w:pPr>
              <w:widowControl/>
              <w:spacing w:line="336" w:lineRule="auto"/>
              <w:ind w:firstLine="422" w:firstLineChars="200"/>
              <w:jc w:val="left"/>
              <w:rPr>
                <w:color w:val="auto"/>
              </w:rPr>
            </w:pPr>
            <w:r>
              <w:rPr>
                <w:rFonts w:hint="eastAsia"/>
                <w:b/>
                <w:bCs/>
                <w:color w:val="auto"/>
              </w:rPr>
              <w:t>2.如近年来，投标人法人机构发生合法变更或重组或法人名称变更时，应提供相关部门的合法批件或其他相关证明材料来证明其所附业绩的继承性。</w:t>
            </w:r>
          </w:p>
        </w:tc>
      </w:tr>
    </w:tbl>
    <w:p>
      <w:pPr>
        <w:pStyle w:val="28"/>
        <w:spacing w:before="240" w:after="240"/>
        <w:jc w:val="both"/>
        <w:rPr>
          <w:rFonts w:cs="宋体"/>
          <w:color w:val="auto"/>
        </w:rPr>
      </w:pPr>
      <w:bookmarkStart w:id="4" w:name="_Toc22062"/>
      <w:bookmarkStart w:id="5" w:name="_Toc3352"/>
      <w:r>
        <w:rPr>
          <w:rFonts w:hint="eastAsia" w:cs="宋体"/>
          <w:color w:val="auto"/>
        </w:rPr>
        <w:t>附录3  资格审查条件(信誉最低要求)</w:t>
      </w:r>
      <w:bookmarkEnd w:id="4"/>
      <w:bookmarkEnd w:id="5"/>
    </w:p>
    <w:tbl>
      <w:tblPr>
        <w:tblStyle w:val="15"/>
        <w:tblW w:w="92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281" w:type="dxa"/>
            <w:tcMar>
              <w:top w:w="113" w:type="dxa"/>
              <w:left w:w="108" w:type="dxa"/>
              <w:bottom w:w="113" w:type="dxa"/>
              <w:right w:w="108" w:type="dxa"/>
            </w:tcMar>
            <w:vAlign w:val="center"/>
          </w:tcPr>
          <w:p>
            <w:pPr>
              <w:jc w:val="center"/>
              <w:rPr>
                <w:rFonts w:ascii="宋体" w:hAnsi="宋体" w:cs="宋体"/>
                <w:color w:val="auto"/>
                <w:sz w:val="24"/>
              </w:rPr>
            </w:pPr>
            <w:r>
              <w:rPr>
                <w:rFonts w:hint="eastAsia" w:ascii="宋体" w:hAnsi="宋体" w:cs="宋体"/>
                <w:b/>
                <w:bCs/>
                <w:color w:val="auto"/>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281" w:type="dxa"/>
            <w:tcMar>
              <w:top w:w="113" w:type="dxa"/>
              <w:left w:w="108" w:type="dxa"/>
              <w:bottom w:w="113" w:type="dxa"/>
              <w:right w:w="108" w:type="dxa"/>
            </w:tcMar>
            <w:vAlign w:val="center"/>
          </w:tcPr>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投标人不得存在下列不良状况或不良信用记录：</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投标人不得存在下列不良状况或不良信用记录：</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（1）被省级及以上交通运输主管部门取消招标项目所在地的投标资格且处于有效期内；</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（2）被责令停业，暂扣或吊销执照，或吊销资质证书；</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（3）进入清算程序，或被宣告破产，或其他丧失履约能力的情形；</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（4）在国家企业信用信息公示系统（http：//www.gsxt.gov.cn/）中被列入严重违法失信企业名单；</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（5）在“信用中国”网站（http：//www.creditchina.gov.cn/）中被列入失信被执行人名单；</w:t>
            </w:r>
          </w:p>
          <w:p>
            <w:pPr>
              <w:widowControl/>
              <w:spacing w:line="336" w:lineRule="auto"/>
              <w:jc w:val="left"/>
              <w:rPr>
                <w:rFonts w:ascii="宋体" w:hAnsi="宋体" w:cs="宋体"/>
                <w:color w:val="auto"/>
                <w:kern w:val="20"/>
                <w:szCs w:val="21"/>
              </w:rPr>
            </w:pPr>
            <w:r>
              <w:rPr>
                <w:rFonts w:hint="eastAsia" w:ascii="宋体" w:hAnsi="宋体" w:cs="宋体"/>
                <w:color w:val="auto"/>
                <w:kern w:val="20"/>
                <w:szCs w:val="21"/>
              </w:rPr>
              <w:t>（6）根据交通运输部关于取消一批证明事项的决定（交法规〔2020〕1号）文第25条规定，投标人或其法定代表人、拟委任的项目负责人在近三年内（2018年1月1日起至今）有行贿犯罪行为的</w:t>
            </w:r>
            <w:r>
              <w:rPr>
                <w:rFonts w:hint="eastAsia" w:ascii="宋体" w:hAnsi="宋体" w:cs="宋体"/>
                <w:color w:val="auto"/>
                <w:kern w:val="20"/>
                <w:szCs w:val="21"/>
                <w:highlight w:val="none"/>
              </w:rPr>
              <w:t>（</w:t>
            </w:r>
            <w:r>
              <w:rPr>
                <w:rFonts w:ascii="宋体" w:hAnsi="宋体" w:cs="宋体"/>
                <w:color w:val="auto"/>
                <w:kern w:val="20"/>
                <w:szCs w:val="21"/>
                <w:highlight w:val="none"/>
              </w:rPr>
              <w:t>以中国裁判文书网网查截图为准</w:t>
            </w:r>
            <w:r>
              <w:rPr>
                <w:rFonts w:hint="eastAsia" w:ascii="宋体" w:hAnsi="宋体" w:cs="宋体"/>
                <w:color w:val="auto"/>
                <w:kern w:val="20"/>
                <w:szCs w:val="21"/>
                <w:highlight w:val="none"/>
              </w:rPr>
              <w:t>）；</w:t>
            </w:r>
          </w:p>
          <w:p>
            <w:pPr>
              <w:wordWrap w:val="0"/>
              <w:spacing w:line="360" w:lineRule="auto"/>
              <w:rPr>
                <w:rFonts w:hint="eastAsia" w:ascii="宋体" w:hAnsi="宋体" w:cs="宋体"/>
                <w:color w:val="auto"/>
                <w:kern w:val="20"/>
                <w:szCs w:val="21"/>
              </w:rPr>
            </w:pPr>
            <w:r>
              <w:rPr>
                <w:rFonts w:hint="eastAsia" w:ascii="宋体" w:hAnsi="宋体" w:cs="宋体"/>
                <w:color w:val="auto"/>
                <w:kern w:val="20"/>
                <w:szCs w:val="21"/>
              </w:rPr>
              <w:t>（7）法律法规或投标人须知前附表规定的其他情形。</w:t>
            </w:r>
          </w:p>
          <w:p>
            <w:pPr>
              <w:wordWrap w:val="0"/>
              <w:spacing w:line="360" w:lineRule="auto"/>
              <w:rPr>
                <w:rFonts w:ascii="宋体" w:hAnsi="宋体" w:cs="宋体"/>
                <w:bCs/>
                <w:color w:val="auto"/>
                <w:szCs w:val="21"/>
              </w:rPr>
            </w:pPr>
            <w:r>
              <w:rPr>
                <w:rFonts w:hint="eastAsia" w:ascii="宋体" w:hAnsi="宋体" w:cs="宋体"/>
                <w:b/>
                <w:bCs/>
                <w:color w:val="auto"/>
              </w:rPr>
              <w:t>注：投标人如未如实填报，一经查实，立即取消其投标资格。</w:t>
            </w:r>
          </w:p>
        </w:tc>
      </w:tr>
    </w:tbl>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spacing w:before="120" w:after="120" w:line="360" w:lineRule="auto"/>
        <w:jc w:val="center"/>
        <w:rPr>
          <w:rFonts w:ascii="宋体" w:hAnsi="宋体" w:cs="宋体"/>
          <w:b/>
          <w:color w:val="auto"/>
          <w:sz w:val="28"/>
          <w:szCs w:val="28"/>
        </w:rPr>
      </w:pPr>
      <w:bookmarkStart w:id="6" w:name="_Toc24137"/>
      <w:bookmarkStart w:id="7" w:name="_Toc9406"/>
      <w:r>
        <w:rPr>
          <w:rStyle w:val="29"/>
          <w:rFonts w:hint="eastAsia"/>
          <w:color w:val="auto"/>
        </w:rPr>
        <w:t>附录4  资格审查条件(项目负责人最低要求)</w:t>
      </w:r>
      <w:bookmarkEnd w:id="6"/>
      <w:bookmarkEnd w:id="7"/>
    </w:p>
    <w:tbl>
      <w:tblPr>
        <w:tblStyle w:val="15"/>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7"/>
        <w:gridCol w:w="722"/>
        <w:gridCol w:w="4528"/>
        <w:gridCol w:w="1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tl2br w:val="nil"/>
              <w:tr2bl w:val="nil"/>
            </w:tcBorders>
            <w:vAlign w:val="center"/>
          </w:tcPr>
          <w:p>
            <w:pPr>
              <w:pStyle w:val="21"/>
              <w:wordWrap w:val="0"/>
              <w:spacing w:line="240" w:lineRule="auto"/>
              <w:rPr>
                <w:rFonts w:ascii="宋体" w:hAnsi="宋体" w:cs="宋体"/>
                <w:b/>
                <w:color w:val="auto"/>
                <w:sz w:val="24"/>
                <w:szCs w:val="24"/>
              </w:rPr>
            </w:pPr>
            <w:r>
              <w:rPr>
                <w:rFonts w:hint="eastAsia" w:ascii="宋体" w:hAnsi="宋体" w:cs="宋体"/>
                <w:b/>
                <w:color w:val="auto"/>
                <w:sz w:val="24"/>
                <w:szCs w:val="24"/>
              </w:rPr>
              <w:t>标段</w:t>
            </w:r>
          </w:p>
        </w:tc>
        <w:tc>
          <w:tcPr>
            <w:tcW w:w="1267" w:type="dxa"/>
            <w:tcBorders>
              <w:tl2br w:val="nil"/>
              <w:tr2bl w:val="nil"/>
            </w:tcBorders>
            <w:vAlign w:val="center"/>
          </w:tcPr>
          <w:p>
            <w:pPr>
              <w:pStyle w:val="21"/>
              <w:wordWrap w:val="0"/>
              <w:spacing w:line="240" w:lineRule="auto"/>
              <w:rPr>
                <w:rFonts w:ascii="宋体" w:hAnsi="宋体" w:cs="宋体"/>
                <w:b/>
                <w:color w:val="auto"/>
                <w:sz w:val="24"/>
                <w:szCs w:val="24"/>
              </w:rPr>
            </w:pPr>
            <w:r>
              <w:rPr>
                <w:rFonts w:hint="eastAsia" w:ascii="宋体" w:hAnsi="宋体" w:cs="宋体"/>
                <w:b/>
                <w:color w:val="auto"/>
                <w:sz w:val="24"/>
                <w:szCs w:val="24"/>
              </w:rPr>
              <w:t>人员</w:t>
            </w:r>
          </w:p>
        </w:tc>
        <w:tc>
          <w:tcPr>
            <w:tcW w:w="722" w:type="dxa"/>
            <w:tcBorders>
              <w:tl2br w:val="nil"/>
              <w:tr2bl w:val="nil"/>
            </w:tcBorders>
            <w:vAlign w:val="center"/>
          </w:tcPr>
          <w:p>
            <w:pPr>
              <w:pStyle w:val="21"/>
              <w:wordWrap w:val="0"/>
              <w:spacing w:line="240" w:lineRule="auto"/>
              <w:rPr>
                <w:rFonts w:ascii="宋体" w:hAnsi="宋体" w:cs="宋体"/>
                <w:b/>
                <w:color w:val="auto"/>
                <w:sz w:val="24"/>
                <w:szCs w:val="24"/>
              </w:rPr>
            </w:pPr>
            <w:r>
              <w:rPr>
                <w:rFonts w:hint="eastAsia" w:ascii="宋体" w:hAnsi="宋体" w:cs="宋体"/>
                <w:b/>
                <w:color w:val="auto"/>
                <w:sz w:val="24"/>
                <w:szCs w:val="24"/>
              </w:rPr>
              <w:t>数量</w:t>
            </w:r>
          </w:p>
        </w:tc>
        <w:tc>
          <w:tcPr>
            <w:tcW w:w="4528" w:type="dxa"/>
            <w:tcBorders>
              <w:tl2br w:val="nil"/>
              <w:tr2bl w:val="nil"/>
            </w:tcBorders>
            <w:vAlign w:val="center"/>
          </w:tcPr>
          <w:p>
            <w:pPr>
              <w:pStyle w:val="21"/>
              <w:wordWrap w:val="0"/>
              <w:spacing w:line="240" w:lineRule="auto"/>
              <w:rPr>
                <w:rFonts w:ascii="宋体" w:hAnsi="宋体" w:cs="宋体"/>
                <w:b/>
                <w:color w:val="auto"/>
                <w:sz w:val="24"/>
                <w:szCs w:val="24"/>
              </w:rPr>
            </w:pPr>
            <w:r>
              <w:rPr>
                <w:rFonts w:hint="eastAsia" w:ascii="宋体" w:hAnsi="宋体" w:cs="宋体"/>
                <w:b/>
                <w:color w:val="auto"/>
                <w:sz w:val="24"/>
                <w:szCs w:val="24"/>
              </w:rPr>
              <w:t>资格要求</w:t>
            </w:r>
          </w:p>
        </w:tc>
        <w:tc>
          <w:tcPr>
            <w:tcW w:w="1660" w:type="dxa"/>
            <w:tcBorders>
              <w:tl2br w:val="nil"/>
              <w:tr2bl w:val="nil"/>
            </w:tcBorders>
            <w:vAlign w:val="center"/>
          </w:tcPr>
          <w:p>
            <w:pPr>
              <w:pStyle w:val="21"/>
              <w:wordWrap w:val="0"/>
              <w:spacing w:line="240" w:lineRule="auto"/>
              <w:rPr>
                <w:rFonts w:ascii="宋体" w:hAnsi="宋体" w:cs="宋体"/>
                <w:b/>
                <w:color w:val="auto"/>
                <w:sz w:val="24"/>
                <w:szCs w:val="24"/>
              </w:rPr>
            </w:pPr>
            <w:r>
              <w:rPr>
                <w:rFonts w:hint="eastAsia" w:ascii="宋体" w:hAnsi="宋体" w:cs="宋体"/>
                <w:b/>
                <w:color w:val="auto"/>
                <w:sz w:val="24"/>
                <w:szCs w:val="24"/>
              </w:rPr>
              <w:t>在岗要求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第1标段</w:t>
            </w:r>
          </w:p>
        </w:tc>
        <w:tc>
          <w:tcPr>
            <w:tcW w:w="1267"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项目负责人</w:t>
            </w:r>
          </w:p>
        </w:tc>
        <w:tc>
          <w:tcPr>
            <w:tcW w:w="722"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1</w:t>
            </w:r>
          </w:p>
        </w:tc>
        <w:tc>
          <w:tcPr>
            <w:tcW w:w="4528" w:type="dxa"/>
            <w:tcBorders>
              <w:tl2br w:val="nil"/>
              <w:tr2bl w:val="nil"/>
            </w:tcBorders>
            <w:vAlign w:val="center"/>
          </w:tcPr>
          <w:p>
            <w:pPr>
              <w:widowControl/>
              <w:spacing w:line="336" w:lineRule="auto"/>
              <w:jc w:val="left"/>
              <w:rPr>
                <w:rFonts w:ascii="宋体" w:hAnsi="宋体" w:cs="宋体"/>
                <w:color w:val="auto"/>
                <w:szCs w:val="21"/>
              </w:rPr>
            </w:pPr>
            <w:r>
              <w:rPr>
                <w:rFonts w:hint="eastAsia" w:ascii="宋体" w:hAnsi="宋体" w:cs="宋体"/>
                <w:color w:val="auto"/>
                <w:kern w:val="20"/>
                <w:szCs w:val="21"/>
              </w:rPr>
              <w:t>具有相关专业中级或以上技术职称，近三年内（2018年1月1日起至投标截止时间）担任过1项公路建设项目水土保持监测或1项公路建设项目水土保持设施验收的项目负责人。（如果是联合体投标项目负责人必须为牵头人的在职员工）</w:t>
            </w:r>
          </w:p>
        </w:tc>
        <w:tc>
          <w:tcPr>
            <w:tcW w:w="1660" w:type="dxa"/>
            <w:vMerge w:val="restart"/>
            <w:tcBorders>
              <w:tl2br w:val="nil"/>
              <w:tr2bl w:val="nil"/>
            </w:tcBorders>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第2标段</w:t>
            </w:r>
          </w:p>
        </w:tc>
        <w:tc>
          <w:tcPr>
            <w:tcW w:w="1267"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项目负责人</w:t>
            </w:r>
          </w:p>
        </w:tc>
        <w:tc>
          <w:tcPr>
            <w:tcW w:w="722" w:type="dxa"/>
            <w:tcBorders>
              <w:tl2br w:val="nil"/>
              <w:tr2bl w:val="nil"/>
            </w:tcBorders>
            <w:vAlign w:val="center"/>
          </w:tcPr>
          <w:p>
            <w:pPr>
              <w:pStyle w:val="8"/>
              <w:wordWrap w:val="0"/>
              <w:ind w:firstLine="0" w:firstLineChars="0"/>
              <w:jc w:val="center"/>
              <w:rPr>
                <w:rFonts w:ascii="宋体" w:hAnsi="宋体" w:cs="宋体"/>
                <w:color w:val="auto"/>
                <w:szCs w:val="21"/>
              </w:rPr>
            </w:pPr>
            <w:r>
              <w:rPr>
                <w:rFonts w:hint="eastAsia" w:ascii="宋体" w:hAnsi="宋体" w:cs="宋体"/>
                <w:color w:val="auto"/>
                <w:szCs w:val="21"/>
              </w:rPr>
              <w:t>1</w:t>
            </w:r>
          </w:p>
        </w:tc>
        <w:tc>
          <w:tcPr>
            <w:tcW w:w="4528" w:type="dxa"/>
            <w:tcBorders>
              <w:tl2br w:val="nil"/>
              <w:tr2bl w:val="nil"/>
            </w:tcBorders>
            <w:vAlign w:val="center"/>
          </w:tcPr>
          <w:p>
            <w:pPr>
              <w:widowControl/>
              <w:spacing w:line="336" w:lineRule="auto"/>
              <w:jc w:val="left"/>
              <w:rPr>
                <w:rFonts w:ascii="宋体" w:hAnsi="宋体" w:cs="宋体"/>
                <w:color w:val="auto"/>
                <w:szCs w:val="21"/>
              </w:rPr>
            </w:pPr>
            <w:r>
              <w:rPr>
                <w:rFonts w:hint="eastAsia" w:ascii="宋体" w:hAnsi="宋体" w:cs="宋体"/>
                <w:color w:val="auto"/>
                <w:kern w:val="20"/>
                <w:szCs w:val="21"/>
              </w:rPr>
              <w:t>具有相关专业中级或以上技术职称，近三年内（2018年1月1日起至投标截止时间）担任过1项公路建设项目环境监测或1项公路建设项目环保验收的项目负责人。</w:t>
            </w:r>
          </w:p>
        </w:tc>
        <w:tc>
          <w:tcPr>
            <w:tcW w:w="1660" w:type="dxa"/>
            <w:vMerge w:val="continue"/>
            <w:tcBorders>
              <w:tl2br w:val="nil"/>
              <w:tr2bl w:val="nil"/>
            </w:tcBorders>
            <w:vAlign w:val="center"/>
          </w:tcPr>
          <w:p>
            <w:pPr>
              <w:wordWrap w:val="0"/>
              <w:spacing w:line="360" w:lineRule="auto"/>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74" w:type="dxa"/>
            <w:gridSpan w:val="5"/>
            <w:tcBorders>
              <w:tl2br w:val="nil"/>
              <w:tr2bl w:val="nil"/>
            </w:tcBorders>
            <w:vAlign w:val="center"/>
          </w:tcPr>
          <w:p>
            <w:pPr>
              <w:wordWrap w:val="0"/>
              <w:spacing w:line="360" w:lineRule="auto"/>
              <w:rPr>
                <w:rFonts w:ascii="宋体" w:hAnsi="宋体" w:cs="宋体"/>
                <w:b/>
                <w:bCs/>
                <w:color w:val="auto"/>
              </w:rPr>
            </w:pPr>
            <w:r>
              <w:rPr>
                <w:rFonts w:hint="eastAsia" w:ascii="宋体" w:hAnsi="宋体" w:cs="宋体"/>
                <w:b/>
                <w:bCs/>
                <w:color w:val="auto"/>
              </w:rPr>
              <w:t>备注：1.每张简历表后须附有相应人员的身份证、最高学历毕业证、职称证书、2021年至今任意连续3个月有效社保缴费证明的复印件。</w:t>
            </w:r>
          </w:p>
          <w:p>
            <w:pPr>
              <w:wordWrap w:val="0"/>
              <w:spacing w:line="360" w:lineRule="auto"/>
              <w:ind w:firstLine="632" w:firstLineChars="300"/>
              <w:rPr>
                <w:rFonts w:ascii="宋体" w:hAnsi="宋体" w:cs="宋体"/>
                <w:color w:val="auto"/>
                <w:szCs w:val="21"/>
              </w:rPr>
            </w:pPr>
            <w:r>
              <w:rPr>
                <w:rFonts w:hint="eastAsia" w:ascii="宋体" w:hAnsi="宋体" w:cs="宋体"/>
                <w:b/>
                <w:bCs/>
                <w:color w:val="auto"/>
              </w:rPr>
              <w:t>2.担任类似项目的相关业绩证明材料详见“投标人须知”正文3.5.4项要求。</w:t>
            </w:r>
          </w:p>
        </w:tc>
      </w:tr>
    </w:tbl>
    <w:p>
      <w:pPr>
        <w:pStyle w:val="10"/>
        <w:widowControl/>
        <w:tabs>
          <w:tab w:val="left" w:pos="360"/>
          <w:tab w:val="clear" w:pos="4153"/>
          <w:tab w:val="clear" w:pos="8306"/>
        </w:tabs>
        <w:adjustRightInd w:val="0"/>
        <w:jc w:val="both"/>
        <w:rPr>
          <w:rFonts w:ascii="宋体" w:hAnsi="宋体" w:cs="宋体"/>
          <w:b/>
          <w:bCs/>
          <w:color w:val="auto"/>
          <w:sz w:val="21"/>
          <w:szCs w:val="21"/>
          <w:highlight w:val="none"/>
        </w:rPr>
      </w:pPr>
    </w:p>
    <w:p>
      <w:pPr>
        <w:pageBreakBefore w:val="0"/>
        <w:kinsoku/>
        <w:wordWrap/>
        <w:overflowPunct/>
        <w:topLinePunct w:val="0"/>
        <w:bidi w:val="0"/>
        <w:adjustRightInd/>
        <w:snapToGrid/>
        <w:spacing w:line="360" w:lineRule="auto"/>
        <w:jc w:val="left"/>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三、资格审查办法全文</w:t>
      </w:r>
    </w:p>
    <w:p>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按照上述条款中“投标人须知附录要求进行审查”</w:t>
      </w:r>
      <w:r>
        <w:rPr>
          <w:rFonts w:hint="eastAsia" w:ascii="宋体" w:hAnsi="宋体" w:eastAsia="宋体" w:cs="宋体"/>
          <w:color w:val="auto"/>
          <w:szCs w:val="21"/>
          <w:lang w:eastAsia="zh-CN"/>
        </w:rPr>
        <w:t>。</w:t>
      </w:r>
      <w:bookmarkStart w:id="61" w:name="_GoBack"/>
      <w:bookmarkEnd w:id="61"/>
    </w:p>
    <w:p>
      <w:pPr>
        <w:pageBreakBefore w:val="0"/>
        <w:kinsoku/>
        <w:wordWrap/>
        <w:overflowPunct/>
        <w:topLinePunct w:val="0"/>
        <w:bidi w:val="0"/>
        <w:adjustRightInd/>
        <w:snapToGrid/>
        <w:spacing w:line="360" w:lineRule="auto"/>
        <w:jc w:val="left"/>
        <w:rPr>
          <w:rFonts w:hint="eastAsia"/>
        </w:rPr>
      </w:pPr>
      <w:r>
        <w:rPr>
          <w:rFonts w:hint="eastAsia" w:ascii="宋体" w:hAnsi="宋体" w:eastAsia="宋体" w:cs="宋体"/>
          <w:b/>
          <w:snapToGrid w:val="0"/>
          <w:color w:val="auto"/>
          <w:kern w:val="0"/>
          <w:sz w:val="28"/>
          <w:szCs w:val="28"/>
        </w:rPr>
        <w:t>四、评标办法全文</w:t>
      </w:r>
    </w:p>
    <w:bookmarkEnd w:id="1"/>
    <w:p>
      <w:pPr>
        <w:pStyle w:val="36"/>
        <w:spacing w:before="120" w:after="120"/>
        <w:rPr>
          <w:rFonts w:cs="宋体"/>
          <w:color w:val="auto"/>
        </w:rPr>
      </w:pPr>
      <w:bookmarkStart w:id="8" w:name="_Toc11229"/>
      <w:r>
        <w:rPr>
          <w:rFonts w:hint="eastAsia" w:cs="宋体"/>
          <w:color w:val="auto"/>
          <w:sz w:val="32"/>
          <w:szCs w:val="32"/>
        </w:rPr>
        <w:t>第三章  评标办法（综合评估法）</w:t>
      </w:r>
      <w:bookmarkEnd w:id="8"/>
    </w:p>
    <w:p>
      <w:pPr>
        <w:pStyle w:val="28"/>
        <w:spacing w:before="240" w:after="240"/>
        <w:rPr>
          <w:rFonts w:cs="宋体"/>
          <w:color w:val="auto"/>
        </w:rPr>
      </w:pPr>
      <w:bookmarkStart w:id="9" w:name="_Toc17625"/>
      <w:bookmarkStart w:id="10" w:name="_Toc24742"/>
      <w:r>
        <w:rPr>
          <w:rFonts w:hint="eastAsia" w:cs="宋体"/>
          <w:color w:val="auto"/>
        </w:rPr>
        <w:t>评标办法前附表</w:t>
      </w:r>
      <w:bookmarkEnd w:id="9"/>
      <w:bookmarkEnd w:id="10"/>
    </w:p>
    <w:tbl>
      <w:tblPr>
        <w:tblStyle w:val="15"/>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936"/>
        <w:gridCol w:w="1255"/>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792" w:type="dxa"/>
            <w:gridSpan w:val="2"/>
            <w:tcMar>
              <w:top w:w="113" w:type="dxa"/>
              <w:left w:w="113" w:type="dxa"/>
              <w:bottom w:w="113" w:type="dxa"/>
              <w:right w:w="113" w:type="dxa"/>
            </w:tcMar>
            <w:vAlign w:val="center"/>
          </w:tcPr>
          <w:p>
            <w:pPr>
              <w:autoSpaceDE w:val="0"/>
              <w:autoSpaceDN w:val="0"/>
              <w:spacing w:line="360" w:lineRule="auto"/>
              <w:jc w:val="center"/>
              <w:rPr>
                <w:rFonts w:ascii="宋体" w:hAnsi="宋体" w:cs="宋体"/>
                <w:b/>
                <w:color w:val="auto"/>
                <w:kern w:val="0"/>
                <w:szCs w:val="18"/>
              </w:rPr>
            </w:pPr>
            <w:r>
              <w:rPr>
                <w:rFonts w:hint="eastAsia" w:ascii="宋体" w:hAnsi="宋体" w:cs="宋体"/>
                <w:b/>
                <w:color w:val="auto"/>
                <w:kern w:val="0"/>
                <w:szCs w:val="18"/>
              </w:rPr>
              <w:t>条款号</w:t>
            </w:r>
          </w:p>
        </w:tc>
        <w:tc>
          <w:tcPr>
            <w:tcW w:w="7490" w:type="dxa"/>
            <w:gridSpan w:val="2"/>
            <w:tcMar>
              <w:top w:w="113" w:type="dxa"/>
              <w:left w:w="113" w:type="dxa"/>
              <w:bottom w:w="113" w:type="dxa"/>
              <w:right w:w="113" w:type="dxa"/>
            </w:tcMar>
            <w:vAlign w:val="center"/>
          </w:tcPr>
          <w:p>
            <w:pPr>
              <w:autoSpaceDE w:val="0"/>
              <w:autoSpaceDN w:val="0"/>
              <w:spacing w:line="360" w:lineRule="auto"/>
              <w:jc w:val="center"/>
              <w:rPr>
                <w:rFonts w:ascii="宋体" w:hAnsi="宋体" w:cs="宋体"/>
                <w:b/>
                <w:color w:val="auto"/>
                <w:kern w:val="0"/>
                <w:szCs w:val="18"/>
              </w:rPr>
            </w:pPr>
            <w:r>
              <w:rPr>
                <w:rFonts w:hint="eastAsia" w:ascii="宋体" w:hAnsi="宋体" w:cs="宋体"/>
                <w:b/>
                <w:color w:val="auto"/>
                <w:kern w:val="0"/>
                <w:szCs w:val="18"/>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18"/>
              </w:rPr>
            </w:pPr>
            <w:r>
              <w:rPr>
                <w:rFonts w:hint="eastAsia" w:ascii="宋体" w:hAnsi="宋体" w:cs="宋体"/>
                <w:color w:val="auto"/>
                <w:kern w:val="0"/>
                <w:szCs w:val="18"/>
              </w:rPr>
              <w:t>1</w:t>
            </w:r>
          </w:p>
        </w:tc>
        <w:tc>
          <w:tcPr>
            <w:tcW w:w="93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18"/>
              </w:rPr>
            </w:pPr>
            <w:r>
              <w:rPr>
                <w:rFonts w:hint="eastAsia" w:ascii="宋体" w:hAnsi="宋体" w:cs="宋体"/>
                <w:color w:val="auto"/>
                <w:kern w:val="0"/>
                <w:szCs w:val="18"/>
              </w:rPr>
              <w:t>评标办法</w:t>
            </w:r>
          </w:p>
        </w:tc>
        <w:tc>
          <w:tcPr>
            <w:tcW w:w="7490" w:type="dxa"/>
            <w:gridSpan w:val="2"/>
            <w:tcMar>
              <w:top w:w="113" w:type="dxa"/>
              <w:left w:w="113" w:type="dxa"/>
              <w:bottom w:w="113" w:type="dxa"/>
              <w:right w:w="113" w:type="dxa"/>
            </w:tcMar>
            <w:vAlign w:val="center"/>
          </w:tcPr>
          <w:p>
            <w:pPr>
              <w:autoSpaceDE w:val="0"/>
              <w:autoSpaceDN w:val="0"/>
              <w:spacing w:line="360" w:lineRule="auto"/>
              <w:rPr>
                <w:rFonts w:ascii="宋体" w:hAnsi="宋体" w:cs="宋体"/>
                <w:color w:val="auto"/>
                <w:szCs w:val="18"/>
              </w:rPr>
            </w:pPr>
            <w:r>
              <w:rPr>
                <w:rFonts w:hint="eastAsia" w:ascii="宋体" w:hAnsi="宋体" w:cs="宋体"/>
                <w:color w:val="auto"/>
                <w:szCs w:val="18"/>
              </w:rPr>
              <w:t>综合评分相等时，评标委员会依次按照以下优先顺序推荐中标候选人：</w:t>
            </w:r>
          </w:p>
          <w:p>
            <w:pPr>
              <w:tabs>
                <w:tab w:val="left" w:pos="24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（1）评标价低的投标人优先；</w:t>
            </w:r>
          </w:p>
          <w:p>
            <w:pPr>
              <w:tabs>
                <w:tab w:val="left" w:pos="24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（2）技术建议书得分较高的优先；</w:t>
            </w:r>
          </w:p>
          <w:p>
            <w:pPr>
              <w:tabs>
                <w:tab w:val="left" w:pos="24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kern w:val="0"/>
                <w:szCs w:val="18"/>
              </w:rPr>
              <w:t>（3）技术建议书得分相等时，则由评标委员会根据投标文件的编制情况投票确定其推荐排序。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18"/>
              </w:rPr>
            </w:pPr>
            <w:r>
              <w:rPr>
                <w:rFonts w:hint="eastAsia" w:ascii="宋体" w:hAnsi="宋体" w:cs="宋体"/>
                <w:color w:val="auto"/>
                <w:kern w:val="0"/>
                <w:szCs w:val="18"/>
              </w:rPr>
              <w:t>2.1.1</w:t>
            </w:r>
          </w:p>
          <w:p>
            <w:pPr>
              <w:autoSpaceDE w:val="0"/>
              <w:autoSpaceDN w:val="0"/>
              <w:spacing w:line="360" w:lineRule="auto"/>
              <w:jc w:val="center"/>
              <w:rPr>
                <w:rFonts w:ascii="宋体" w:hAnsi="宋体" w:cs="宋体"/>
                <w:color w:val="auto"/>
                <w:kern w:val="0"/>
                <w:szCs w:val="18"/>
              </w:rPr>
            </w:pPr>
            <w:r>
              <w:rPr>
                <w:rFonts w:hint="eastAsia" w:ascii="宋体" w:hAnsi="宋体" w:cs="宋体"/>
                <w:color w:val="auto"/>
                <w:kern w:val="0"/>
                <w:szCs w:val="18"/>
              </w:rPr>
              <w:t>2.1.3</w:t>
            </w:r>
          </w:p>
        </w:tc>
        <w:tc>
          <w:tcPr>
            <w:tcW w:w="93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18"/>
              </w:rPr>
            </w:pPr>
            <w:r>
              <w:rPr>
                <w:rFonts w:hint="eastAsia" w:ascii="宋体" w:hAnsi="宋体" w:cs="宋体"/>
                <w:color w:val="auto"/>
                <w:kern w:val="0"/>
                <w:szCs w:val="18"/>
              </w:rPr>
              <w:t>形式评审与响应性评审标准</w:t>
            </w:r>
          </w:p>
        </w:tc>
        <w:tc>
          <w:tcPr>
            <w:tcW w:w="7490" w:type="dxa"/>
            <w:gridSpan w:val="2"/>
            <w:tcMar>
              <w:top w:w="113" w:type="dxa"/>
              <w:left w:w="113" w:type="dxa"/>
              <w:bottom w:w="113" w:type="dxa"/>
              <w:right w:w="113" w:type="dxa"/>
            </w:tcMar>
            <w:vAlign w:val="center"/>
          </w:tcPr>
          <w:p>
            <w:pPr>
              <w:tabs>
                <w:tab w:val="left" w:pos="246"/>
                <w:tab w:val="clear" w:pos="8400"/>
                <w:tab w:val="clear" w:pos="10500"/>
              </w:tabs>
              <w:autoSpaceDE w:val="0"/>
              <w:autoSpaceDN w:val="0"/>
              <w:spacing w:line="360" w:lineRule="auto"/>
              <w:rPr>
                <w:rFonts w:ascii="宋体" w:hAnsi="宋体" w:cs="宋体"/>
                <w:b/>
                <w:bCs/>
                <w:color w:val="auto"/>
                <w:kern w:val="0"/>
                <w:szCs w:val="18"/>
              </w:rPr>
            </w:pPr>
            <w:r>
              <w:rPr>
                <w:rFonts w:hint="eastAsia" w:ascii="宋体" w:hAnsi="宋体" w:cs="宋体"/>
                <w:b/>
                <w:bCs/>
                <w:color w:val="auto"/>
                <w:kern w:val="0"/>
                <w:szCs w:val="18"/>
              </w:rPr>
              <w:t>第一个信封（商务及技术文件）评审标准：</w:t>
            </w:r>
          </w:p>
          <w:p>
            <w:pPr>
              <w:tabs>
                <w:tab w:val="left" w:pos="24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(1)投标文件按照招标文件规定的格式、内容填写，字迹清晰可辨：</w:t>
            </w:r>
          </w:p>
          <w:p>
            <w:pPr>
              <w:tabs>
                <w:tab w:val="left" w:pos="24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kern w:val="0"/>
                <w:szCs w:val="18"/>
              </w:rPr>
              <w:t>投标函按招标文件规定填报了项目名称、标段、补遗书编号（如</w:t>
            </w:r>
            <w:r>
              <w:rPr>
                <w:rFonts w:hint="eastAsia" w:ascii="宋体" w:hAnsi="宋体" w:cs="宋体"/>
                <w:color w:val="auto"/>
                <w:szCs w:val="18"/>
              </w:rPr>
              <w:t>有）、服务期限、服务质量要求及安全目标；投标文件组成齐全完整，内容均按规定填写。</w:t>
            </w:r>
          </w:p>
          <w:p>
            <w:pPr>
              <w:tabs>
                <w:tab w:val="left" w:pos="24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（2）投标文件上法定代表人或其委托代理人的签字、投标人的单位章盖章齐全，符合招标文件规定。</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（3）投标人按照招标文件的规定提供了投标保证金：</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a.投标保证金金额符合招标文件规定的金额，且投标保证金有效期不少于投标有效期；</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b.若投标保证金采用现金或支票形式提交，投标人应在递交投标文件截止时间之前，将投标保证金由投标人的基本账户转入招标人指定账户；</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c.若采用电汇，在投标截止时间前，将投标保证金由投标人的基本账户汇入招标人指定账户，在投标文件中应提供电汇回单的彩色扫描件；</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d.若采用保函形式提交，保函的格式、开具保函的单位、保函的有效期、递交保函原件时间均满足招标文件要求；</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e.不得由分公司缴纳投标保证金，投标人出具保证金的基本帐户应与投标人开户许可证（或开户证明）上的基本帐户一致。</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（4）投标人法定代表人授权代理人签署投标文件的，须提交授权委托书，且授权人和被授权人均在授权委托书上亲笔签名，不得使用印章、CA数字证书签名章或其他电子制版签名代替：</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（5）投标人法定代表人亲自签署投标文件的，提供了法定代表人身份证明，且法定代表人在法定代表人身份证明上亲笔签名，不得使用印章、CA数字证书签名章或其他电子制版签名代替：</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（6）投标人未以联合体形式投标：</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（7）同一投标人未提交两个以上不同的投标文件：</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（8）投标文件第一个信封中未出现有关投标报价的内容：</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（9）投标文件载明的招标项目完成期限未超过招标文件规定的时限：</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（10）投标文件对招标文件的实质性要求和条件作出响应：</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（11）权利义务符合招标文件规定：</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a.投标人应接受招标文件规定的风险划分原则，未提出新的风险划分办法；</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b.投标人未增加发包人的责任范围，或减少投标人义务；</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c.投标人未提出不同的支付办法；</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d.投标人对合同纠纷、事故处理办法未提出异议；</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e.投标人在投标活动中无欺诈行为；</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f.投标人未对合同条款有重要保留。</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（12）投标文件编制符合电子投标文件编制规定：</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（13）投标文件提交方式满足“投标人须知”规定：</w:t>
            </w:r>
          </w:p>
          <w:p>
            <w:pPr>
              <w:tabs>
                <w:tab w:val="left" w:pos="246"/>
                <w:tab w:val="left" w:pos="338"/>
                <w:tab w:val="left" w:pos="456"/>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szCs w:val="18"/>
              </w:rPr>
              <w:t>（14）投标人按评标委员会的要求做出了澄清、说明或补正：</w:t>
            </w:r>
          </w:p>
          <w:p>
            <w:pPr>
              <w:tabs>
                <w:tab w:val="left" w:pos="246"/>
                <w:tab w:val="clear" w:pos="8400"/>
                <w:tab w:val="clear" w:pos="10500"/>
              </w:tabs>
              <w:autoSpaceDE w:val="0"/>
              <w:autoSpaceDN w:val="0"/>
              <w:spacing w:line="360" w:lineRule="auto"/>
              <w:rPr>
                <w:rFonts w:ascii="宋体" w:hAnsi="宋体" w:cs="宋体"/>
                <w:b/>
                <w:bCs/>
                <w:color w:val="auto"/>
                <w:kern w:val="0"/>
                <w:szCs w:val="18"/>
              </w:rPr>
            </w:pPr>
            <w:r>
              <w:rPr>
                <w:rFonts w:hint="eastAsia" w:ascii="宋体" w:hAnsi="宋体" w:cs="宋体"/>
                <w:b/>
                <w:bCs/>
                <w:color w:val="auto"/>
                <w:kern w:val="0"/>
                <w:szCs w:val="18"/>
              </w:rPr>
              <w:t>第二个信封（报价文件）评审标准：</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（1）投标文件按照招标文件规定的格式、内容填写，字迹清晰可辨，内容齐全完整：</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a、投标函按招标文件规定填报了项目名称、补遗书编号（如有）、投标价（包括大写金额和小写金额）；</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b、投标文件组成齐全完整，内容均按规定填写。</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（2）投标文件上法定代表人或其授权代理人的签字、投标人的单位章盖章齐全，符合投标人须知前附表第3.7.3项要求。</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（3）投标报价未超过招标文件设定的最高投标限价（如有）。</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（4）投标人按评标委员会的要求做出了澄清、说明或补正。</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（5）同一投标人未提交两个以上不同的投标报价。</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szCs w:val="18"/>
              </w:rPr>
            </w:pPr>
            <w:r>
              <w:rPr>
                <w:rFonts w:hint="eastAsia" w:ascii="宋体" w:hAnsi="宋体" w:cs="宋体"/>
                <w:color w:val="auto"/>
                <w:kern w:val="0"/>
                <w:szCs w:val="18"/>
              </w:rPr>
              <w:t>（6）</w:t>
            </w:r>
            <w:r>
              <w:rPr>
                <w:rFonts w:hint="eastAsia" w:ascii="宋体" w:hAnsi="宋体" w:cs="宋体"/>
                <w:color w:val="auto"/>
                <w:szCs w:val="18"/>
              </w:rPr>
              <w:t>投标文件编制符合电子投标文件编制规定。</w:t>
            </w:r>
          </w:p>
          <w:p>
            <w:pPr>
              <w:tabs>
                <w:tab w:val="left" w:pos="246"/>
                <w:tab w:val="left" w:pos="318"/>
                <w:tab w:val="left" w:pos="459"/>
                <w:tab w:val="clear" w:pos="8400"/>
                <w:tab w:val="clear" w:pos="10500"/>
              </w:tabs>
              <w:autoSpaceDE w:val="0"/>
              <w:autoSpaceDN w:val="0"/>
              <w:spacing w:line="360" w:lineRule="auto"/>
              <w:rPr>
                <w:rFonts w:ascii="宋体" w:hAnsi="宋体" w:cs="宋体"/>
                <w:color w:val="auto"/>
                <w:kern w:val="0"/>
                <w:szCs w:val="18"/>
              </w:rPr>
            </w:pPr>
            <w:r>
              <w:rPr>
                <w:rFonts w:hint="eastAsia" w:ascii="宋体" w:hAnsi="宋体" w:cs="宋体"/>
                <w:color w:val="auto"/>
                <w:kern w:val="0"/>
                <w:szCs w:val="18"/>
              </w:rPr>
              <w:t>（7）投标文件未附有招标人不能接受的条件。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Mar>
              <w:top w:w="113" w:type="dxa"/>
              <w:left w:w="113" w:type="dxa"/>
              <w:bottom w:w="113" w:type="dxa"/>
              <w:right w:w="113" w:type="dxa"/>
            </w:tcMar>
            <w:vAlign w:val="center"/>
          </w:tcPr>
          <w:p>
            <w:pPr>
              <w:spacing w:line="360" w:lineRule="auto"/>
              <w:rPr>
                <w:rFonts w:ascii="宋体" w:hAnsi="宋体" w:cs="宋体"/>
                <w:color w:val="auto"/>
                <w:szCs w:val="18"/>
              </w:rPr>
            </w:pPr>
            <w:r>
              <w:rPr>
                <w:rFonts w:hint="eastAsia" w:ascii="宋体" w:hAnsi="宋体" w:cs="宋体"/>
                <w:color w:val="auto"/>
                <w:szCs w:val="18"/>
              </w:rPr>
              <w:t>2.1.2</w:t>
            </w:r>
          </w:p>
        </w:tc>
        <w:tc>
          <w:tcPr>
            <w:tcW w:w="936" w:type="dxa"/>
            <w:tcMar>
              <w:top w:w="113" w:type="dxa"/>
              <w:left w:w="113" w:type="dxa"/>
              <w:bottom w:w="113" w:type="dxa"/>
              <w:right w:w="113" w:type="dxa"/>
            </w:tcMar>
            <w:vAlign w:val="center"/>
          </w:tcPr>
          <w:p>
            <w:pPr>
              <w:spacing w:line="360" w:lineRule="auto"/>
              <w:jc w:val="center"/>
              <w:rPr>
                <w:rFonts w:ascii="宋体" w:hAnsi="宋体" w:cs="宋体"/>
                <w:color w:val="auto"/>
                <w:szCs w:val="18"/>
              </w:rPr>
            </w:pPr>
            <w:r>
              <w:rPr>
                <w:rFonts w:hint="eastAsia" w:ascii="宋体" w:hAnsi="宋体" w:cs="宋体"/>
                <w:color w:val="auto"/>
                <w:szCs w:val="18"/>
              </w:rPr>
              <w:t>资格评审标准</w:t>
            </w:r>
          </w:p>
        </w:tc>
        <w:tc>
          <w:tcPr>
            <w:tcW w:w="7490" w:type="dxa"/>
            <w:gridSpan w:val="2"/>
            <w:tcMar>
              <w:top w:w="113" w:type="dxa"/>
              <w:left w:w="113" w:type="dxa"/>
              <w:bottom w:w="113" w:type="dxa"/>
              <w:right w:w="113" w:type="dxa"/>
            </w:tcMar>
            <w:vAlign w:val="center"/>
          </w:tcPr>
          <w:p>
            <w:pPr>
              <w:numPr>
                <w:ilvl w:val="0"/>
                <w:numId w:val="1"/>
              </w:numPr>
              <w:spacing w:line="360" w:lineRule="auto"/>
              <w:rPr>
                <w:rFonts w:ascii="宋体" w:hAnsi="宋体" w:cs="宋体"/>
                <w:color w:val="auto"/>
                <w:szCs w:val="18"/>
              </w:rPr>
            </w:pPr>
            <w:r>
              <w:rPr>
                <w:rFonts w:hint="eastAsia" w:ascii="宋体" w:hAnsi="宋体" w:cs="宋体"/>
                <w:color w:val="auto"/>
                <w:szCs w:val="18"/>
              </w:rPr>
              <w:t>投标人具备有效的营业执照、组织机构代码证、税务登记证（或三证合一的营业执照或事业单位证书原件）、资质证书和基本账户开户许可证或基本户证明材料。</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投标人的资质等级符合招标文件规定。</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投标人的类似项目业绩符合招标文件规定。</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投标人的信誉符合招标文件规定。</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投标人的人员资格、在岗情况符合招标文件规定。</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投标人的其他要求符合招标文件规定。</w:t>
            </w:r>
          </w:p>
          <w:p>
            <w:pPr>
              <w:numPr>
                <w:ilvl w:val="0"/>
                <w:numId w:val="1"/>
              </w:numPr>
              <w:spacing w:line="360" w:lineRule="auto"/>
              <w:rPr>
                <w:rFonts w:ascii="宋体" w:hAnsi="宋体" w:cs="宋体"/>
                <w:color w:val="auto"/>
                <w:szCs w:val="18"/>
              </w:rPr>
            </w:pPr>
            <w:r>
              <w:rPr>
                <w:rFonts w:hint="eastAsia" w:ascii="宋体" w:hAnsi="宋体" w:cs="宋体"/>
                <w:color w:val="auto"/>
                <w:szCs w:val="18"/>
              </w:rPr>
              <w:t>投标人不存在第二章“投标人须知”第 1.4.3 项或第 1.4.4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条款号</w:t>
            </w:r>
          </w:p>
        </w:tc>
        <w:tc>
          <w:tcPr>
            <w:tcW w:w="2191" w:type="dxa"/>
            <w:gridSpan w:val="2"/>
            <w:tcMar>
              <w:top w:w="113" w:type="dxa"/>
              <w:left w:w="113" w:type="dxa"/>
              <w:bottom w:w="113" w:type="dxa"/>
              <w:right w:w="113" w:type="dxa"/>
            </w:tcMar>
            <w:vAlign w:val="center"/>
          </w:tcPr>
          <w:p>
            <w:pPr>
              <w:autoSpaceDE w:val="0"/>
              <w:autoSpaceDN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条款内容</w:t>
            </w:r>
          </w:p>
        </w:tc>
        <w:tc>
          <w:tcPr>
            <w:tcW w:w="6235" w:type="dxa"/>
            <w:tcMar>
              <w:top w:w="113" w:type="dxa"/>
              <w:left w:w="113" w:type="dxa"/>
              <w:bottom w:w="113" w:type="dxa"/>
              <w:right w:w="113" w:type="dxa"/>
            </w:tcMar>
            <w:vAlign w:val="center"/>
          </w:tcPr>
          <w:p>
            <w:pPr>
              <w:autoSpaceDE w:val="0"/>
              <w:autoSpaceDN w:val="0"/>
              <w:spacing w:line="360" w:lineRule="auto"/>
              <w:jc w:val="center"/>
              <w:rPr>
                <w:rFonts w:ascii="宋体" w:hAnsi="宋体" w:cs="宋体"/>
                <w:b/>
                <w:color w:val="auto"/>
                <w:kern w:val="0"/>
                <w:szCs w:val="21"/>
              </w:rPr>
            </w:pPr>
            <w:r>
              <w:rPr>
                <w:rFonts w:hint="eastAsia" w:ascii="宋体" w:hAnsi="宋体" w:cs="宋体"/>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2191" w:type="dxa"/>
            <w:gridSpan w:val="2"/>
            <w:tcMar>
              <w:top w:w="113" w:type="dxa"/>
              <w:left w:w="113" w:type="dxa"/>
              <w:bottom w:w="113" w:type="dxa"/>
              <w:right w:w="113" w:type="dxa"/>
            </w:tcMar>
            <w:vAlign w:val="center"/>
          </w:tcPr>
          <w:p>
            <w:pPr>
              <w:spacing w:line="360" w:lineRule="auto"/>
              <w:jc w:val="center"/>
              <w:rPr>
                <w:rFonts w:ascii="宋体" w:hAnsi="宋体" w:cs="宋体"/>
                <w:color w:val="auto"/>
                <w:szCs w:val="21"/>
              </w:rPr>
            </w:pPr>
            <w:r>
              <w:rPr>
                <w:rFonts w:hint="eastAsia" w:ascii="宋体" w:hAnsi="宋体" w:cs="宋体"/>
                <w:color w:val="auto"/>
                <w:szCs w:val="21"/>
              </w:rPr>
              <w:t>分值构成</w:t>
            </w:r>
          </w:p>
          <w:p>
            <w:pPr>
              <w:spacing w:line="360" w:lineRule="auto"/>
              <w:jc w:val="center"/>
              <w:rPr>
                <w:rFonts w:ascii="宋体" w:hAnsi="宋体" w:cs="宋体"/>
                <w:color w:val="auto"/>
                <w:szCs w:val="21"/>
              </w:rPr>
            </w:pPr>
            <w:r>
              <w:rPr>
                <w:rFonts w:hint="eastAsia" w:ascii="宋体" w:hAnsi="宋体" w:cs="宋体"/>
                <w:color w:val="auto"/>
                <w:szCs w:val="21"/>
              </w:rPr>
              <w:t>（总分100分）</w:t>
            </w:r>
          </w:p>
        </w:tc>
        <w:tc>
          <w:tcPr>
            <w:tcW w:w="6235" w:type="dxa"/>
            <w:tcMar>
              <w:top w:w="113" w:type="dxa"/>
              <w:left w:w="113" w:type="dxa"/>
              <w:bottom w:w="113" w:type="dxa"/>
              <w:right w:w="113" w:type="dxa"/>
            </w:tcMar>
            <w:vAlign w:val="center"/>
          </w:tcPr>
          <w:p>
            <w:pPr>
              <w:autoSpaceDE w:val="0"/>
              <w:autoSpaceDN w:val="0"/>
              <w:spacing w:line="360" w:lineRule="auto"/>
              <w:rPr>
                <w:color w:val="auto"/>
              </w:rPr>
            </w:pPr>
            <w:r>
              <w:rPr>
                <w:rFonts w:hint="eastAsia"/>
                <w:color w:val="auto"/>
              </w:rPr>
              <w:t>评分分值构成：</w:t>
            </w:r>
          </w:p>
          <w:p>
            <w:pPr>
              <w:autoSpaceDE w:val="0"/>
              <w:autoSpaceDN w:val="0"/>
              <w:spacing w:line="360" w:lineRule="auto"/>
              <w:rPr>
                <w:color w:val="auto"/>
              </w:rPr>
            </w:pPr>
            <w:r>
              <w:rPr>
                <w:rFonts w:hint="eastAsia"/>
                <w:color w:val="auto"/>
              </w:rPr>
              <w:t>技术建议书                                      30分</w:t>
            </w:r>
          </w:p>
          <w:p>
            <w:pPr>
              <w:autoSpaceDE w:val="0"/>
              <w:autoSpaceDN w:val="0"/>
              <w:spacing w:line="360" w:lineRule="auto"/>
              <w:rPr>
                <w:color w:val="auto"/>
              </w:rPr>
            </w:pPr>
            <w:r>
              <w:rPr>
                <w:rFonts w:hint="eastAsia"/>
                <w:color w:val="auto"/>
              </w:rPr>
              <w:t>主要人员                                        30分</w:t>
            </w:r>
          </w:p>
          <w:p>
            <w:pPr>
              <w:autoSpaceDE w:val="0"/>
              <w:autoSpaceDN w:val="0"/>
              <w:spacing w:line="360" w:lineRule="auto"/>
              <w:rPr>
                <w:color w:val="auto"/>
              </w:rPr>
            </w:pPr>
            <w:r>
              <w:rPr>
                <w:rFonts w:hint="eastAsia"/>
                <w:color w:val="auto"/>
              </w:rPr>
              <w:t>业绩                                            25分</w:t>
            </w:r>
          </w:p>
          <w:p>
            <w:pPr>
              <w:autoSpaceDE w:val="0"/>
              <w:autoSpaceDN w:val="0"/>
              <w:spacing w:line="360" w:lineRule="auto"/>
              <w:rPr>
                <w:color w:val="auto"/>
              </w:rPr>
            </w:pPr>
            <w:r>
              <w:rPr>
                <w:rFonts w:hint="eastAsia"/>
                <w:color w:val="auto"/>
              </w:rPr>
              <w:t>履约信誉                                        5分</w:t>
            </w:r>
          </w:p>
          <w:p>
            <w:pPr>
              <w:autoSpaceDE w:val="0"/>
              <w:autoSpaceDN w:val="0"/>
              <w:spacing w:line="360" w:lineRule="auto"/>
              <w:rPr>
                <w:color w:val="auto"/>
              </w:rPr>
            </w:pPr>
            <w:r>
              <w:rPr>
                <w:rFonts w:hint="eastAsia"/>
                <w:color w:val="auto"/>
              </w:rPr>
              <w:t>评标价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2191" w:type="dxa"/>
            <w:gridSpan w:val="2"/>
            <w:tcMar>
              <w:top w:w="113" w:type="dxa"/>
              <w:left w:w="113" w:type="dxa"/>
              <w:bottom w:w="113" w:type="dxa"/>
              <w:right w:w="113" w:type="dxa"/>
            </w:tcMar>
            <w:vAlign w:val="center"/>
          </w:tcPr>
          <w:p>
            <w:pPr>
              <w:spacing w:line="360" w:lineRule="auto"/>
              <w:jc w:val="center"/>
              <w:rPr>
                <w:rFonts w:ascii="宋体" w:hAnsi="宋体" w:cs="宋体"/>
                <w:color w:val="auto"/>
                <w:szCs w:val="21"/>
              </w:rPr>
            </w:pPr>
            <w:r>
              <w:rPr>
                <w:rFonts w:hint="eastAsia" w:ascii="宋体" w:hAnsi="宋体" w:cs="宋体"/>
                <w:color w:val="auto"/>
                <w:szCs w:val="21"/>
              </w:rPr>
              <w:t>评标基准价</w:t>
            </w:r>
          </w:p>
          <w:p>
            <w:pPr>
              <w:spacing w:line="360" w:lineRule="auto"/>
              <w:jc w:val="center"/>
              <w:rPr>
                <w:rFonts w:ascii="宋体" w:hAnsi="宋体" w:cs="宋体"/>
                <w:color w:val="auto"/>
                <w:szCs w:val="21"/>
              </w:rPr>
            </w:pPr>
            <w:r>
              <w:rPr>
                <w:rFonts w:hint="eastAsia" w:ascii="宋体" w:hAnsi="宋体" w:cs="宋体"/>
                <w:color w:val="auto"/>
                <w:szCs w:val="21"/>
              </w:rPr>
              <w:t>计算方法</w:t>
            </w:r>
          </w:p>
        </w:tc>
        <w:tc>
          <w:tcPr>
            <w:tcW w:w="6235" w:type="dxa"/>
            <w:tcMar>
              <w:top w:w="113" w:type="dxa"/>
              <w:left w:w="113" w:type="dxa"/>
              <w:bottom w:w="113" w:type="dxa"/>
              <w:right w:w="113" w:type="dxa"/>
            </w:tcMar>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评标基准价的计算：</w:t>
            </w:r>
          </w:p>
          <w:p>
            <w:pPr>
              <w:spacing w:line="360" w:lineRule="auto"/>
              <w:jc w:val="left"/>
              <w:rPr>
                <w:rFonts w:ascii="宋体" w:hAnsi="宋体" w:cs="宋体"/>
                <w:color w:val="auto"/>
                <w:kern w:val="0"/>
                <w:szCs w:val="21"/>
              </w:rPr>
            </w:pPr>
            <w:r>
              <w:rPr>
                <w:rFonts w:hint="eastAsia" w:ascii="宋体" w:hAnsi="宋体" w:cs="宋体"/>
                <w:color w:val="auto"/>
                <w:kern w:val="0"/>
                <w:szCs w:val="21"/>
              </w:rPr>
              <w:t>在开标现场，招标人将当场计算并宣布评标基准价。</w:t>
            </w:r>
          </w:p>
          <w:p>
            <w:pPr>
              <w:spacing w:line="360" w:lineRule="auto"/>
              <w:jc w:val="left"/>
              <w:rPr>
                <w:rFonts w:ascii="宋体" w:hAnsi="宋体" w:cs="宋体"/>
                <w:color w:val="auto"/>
                <w:kern w:val="0"/>
                <w:szCs w:val="21"/>
              </w:rPr>
            </w:pPr>
            <w:r>
              <w:rPr>
                <w:rFonts w:hint="eastAsia" w:ascii="宋体" w:hAnsi="宋体" w:cs="宋体"/>
                <w:color w:val="auto"/>
                <w:kern w:val="0"/>
                <w:szCs w:val="21"/>
              </w:rPr>
              <w:t>（1）评标价的确定：</w:t>
            </w:r>
          </w:p>
          <w:p>
            <w:pPr>
              <w:spacing w:line="360" w:lineRule="auto"/>
              <w:jc w:val="left"/>
              <w:rPr>
                <w:rFonts w:ascii="宋体" w:hAnsi="宋体" w:cs="宋体"/>
                <w:color w:val="auto"/>
                <w:kern w:val="0"/>
                <w:szCs w:val="21"/>
              </w:rPr>
            </w:pPr>
            <w:r>
              <w:rPr>
                <w:rFonts w:hint="eastAsia" w:ascii="宋体" w:hAnsi="宋体" w:cs="宋体"/>
                <w:color w:val="auto"/>
                <w:kern w:val="0"/>
                <w:szCs w:val="21"/>
              </w:rPr>
              <w:t>评标价＝投标函文字报价</w:t>
            </w:r>
          </w:p>
          <w:p>
            <w:pPr>
              <w:spacing w:line="360" w:lineRule="auto"/>
              <w:jc w:val="left"/>
              <w:rPr>
                <w:rFonts w:ascii="宋体" w:hAnsi="宋体" w:cs="宋体"/>
                <w:color w:val="auto"/>
                <w:kern w:val="0"/>
                <w:szCs w:val="21"/>
              </w:rPr>
            </w:pPr>
            <w:r>
              <w:rPr>
                <w:rFonts w:hint="eastAsia" w:ascii="宋体" w:hAnsi="宋体" w:cs="宋体"/>
                <w:color w:val="auto"/>
                <w:kern w:val="0"/>
                <w:szCs w:val="21"/>
              </w:rPr>
              <w:t>（2）评标价平均值的计算：</w:t>
            </w:r>
          </w:p>
          <w:p>
            <w:pPr>
              <w:spacing w:line="360" w:lineRule="auto"/>
              <w:jc w:val="left"/>
              <w:rPr>
                <w:rFonts w:ascii="宋体" w:hAnsi="宋体" w:cs="宋体"/>
                <w:color w:val="auto"/>
                <w:kern w:val="0"/>
                <w:szCs w:val="21"/>
              </w:rPr>
            </w:pPr>
            <w:r>
              <w:rPr>
                <w:rFonts w:hint="eastAsia" w:ascii="宋体" w:hAnsi="宋体" w:cs="宋体"/>
                <w:color w:val="auto"/>
                <w:kern w:val="0"/>
                <w:szCs w:val="21"/>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auto"/>
              <w:jc w:val="left"/>
              <w:rPr>
                <w:rFonts w:ascii="宋体" w:hAnsi="宋体" w:cs="宋体"/>
                <w:color w:val="auto"/>
                <w:kern w:val="0"/>
                <w:szCs w:val="21"/>
              </w:rPr>
            </w:pPr>
            <w:r>
              <w:rPr>
                <w:rFonts w:hint="eastAsia" w:ascii="宋体" w:hAnsi="宋体" w:cs="宋体"/>
                <w:color w:val="auto"/>
                <w:kern w:val="0"/>
                <w:szCs w:val="21"/>
              </w:rPr>
              <w:t>（3）评标基准价的确定：</w:t>
            </w:r>
          </w:p>
          <w:p>
            <w:pPr>
              <w:spacing w:line="360" w:lineRule="auto"/>
              <w:jc w:val="left"/>
              <w:rPr>
                <w:rFonts w:ascii="宋体" w:hAnsi="宋体" w:cs="宋体"/>
                <w:color w:val="auto"/>
                <w:kern w:val="0"/>
                <w:szCs w:val="21"/>
              </w:rPr>
            </w:pPr>
            <w:r>
              <w:rPr>
                <w:rFonts w:hint="eastAsia" w:ascii="宋体" w:hAnsi="宋体" w:cs="宋体"/>
                <w:color w:val="auto"/>
                <w:kern w:val="0"/>
                <w:szCs w:val="21"/>
              </w:rPr>
              <w:t>将评标价平均值直接作为评标基准价。</w:t>
            </w:r>
          </w:p>
          <w:p>
            <w:pPr>
              <w:spacing w:line="360" w:lineRule="auto"/>
              <w:jc w:val="left"/>
              <w:rPr>
                <w:rFonts w:ascii="宋体" w:hAnsi="宋体" w:cs="宋体"/>
                <w:color w:val="auto"/>
                <w:szCs w:val="21"/>
              </w:rPr>
            </w:pPr>
            <w:r>
              <w:rPr>
                <w:rFonts w:hint="eastAsia" w:ascii="宋体" w:hAnsi="宋体" w:cs="宋体"/>
                <w:color w:val="auto"/>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 w:type="dxa"/>
            <w:tcMar>
              <w:top w:w="113" w:type="dxa"/>
              <w:left w:w="113" w:type="dxa"/>
              <w:bottom w:w="113" w:type="dxa"/>
              <w:right w:w="113" w:type="dxa"/>
            </w:tcMar>
            <w:vAlign w:val="center"/>
          </w:tcPr>
          <w:p>
            <w:pPr>
              <w:autoSpaceDE w:val="0"/>
              <w:autoSpaceDN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2191" w:type="dxa"/>
            <w:gridSpan w:val="2"/>
            <w:tcMar>
              <w:top w:w="113" w:type="dxa"/>
              <w:left w:w="113" w:type="dxa"/>
              <w:bottom w:w="113" w:type="dxa"/>
              <w:right w:w="113" w:type="dxa"/>
            </w:tcMar>
            <w:vAlign w:val="center"/>
          </w:tcPr>
          <w:p>
            <w:pPr>
              <w:spacing w:line="360" w:lineRule="auto"/>
              <w:jc w:val="center"/>
              <w:rPr>
                <w:rFonts w:ascii="宋体" w:hAnsi="宋体" w:cs="宋体"/>
                <w:color w:val="auto"/>
                <w:szCs w:val="21"/>
              </w:rPr>
            </w:pPr>
            <w:r>
              <w:rPr>
                <w:rFonts w:hint="eastAsia" w:ascii="宋体" w:hAnsi="宋体" w:cs="宋体"/>
                <w:color w:val="auto"/>
                <w:szCs w:val="21"/>
              </w:rPr>
              <w:t>评标价的偏差率计算公式</w:t>
            </w:r>
          </w:p>
        </w:tc>
        <w:tc>
          <w:tcPr>
            <w:tcW w:w="6235" w:type="dxa"/>
            <w:tcMar>
              <w:top w:w="113" w:type="dxa"/>
              <w:left w:w="113" w:type="dxa"/>
              <w:bottom w:w="113" w:type="dxa"/>
              <w:right w:w="113" w:type="dxa"/>
            </w:tcMar>
            <w:vAlign w:val="center"/>
          </w:tcPr>
          <w:p>
            <w:pPr>
              <w:autoSpaceDE w:val="0"/>
              <w:autoSpaceDN w:val="0"/>
              <w:spacing w:line="360" w:lineRule="auto"/>
              <w:rPr>
                <w:rFonts w:ascii="宋体" w:hAnsi="宋体" w:cs="宋体"/>
                <w:color w:val="auto"/>
                <w:szCs w:val="21"/>
              </w:rPr>
            </w:pPr>
            <w:r>
              <w:rPr>
                <w:rFonts w:hint="eastAsia" w:ascii="宋体" w:hAnsi="宋体" w:cs="宋体"/>
                <w:color w:val="auto"/>
                <w:szCs w:val="21"/>
              </w:rPr>
              <w:t>偏差率=100%×（投标人评标价－评标基准价）/评标基准价</w:t>
            </w:r>
          </w:p>
          <w:p>
            <w:pPr>
              <w:autoSpaceDE w:val="0"/>
              <w:autoSpaceDN w:val="0"/>
              <w:spacing w:line="360" w:lineRule="auto"/>
              <w:rPr>
                <w:rFonts w:ascii="宋体" w:hAnsi="宋体" w:cs="宋体"/>
                <w:color w:val="auto"/>
                <w:szCs w:val="21"/>
              </w:rPr>
            </w:pPr>
            <w:r>
              <w:rPr>
                <w:rFonts w:hint="eastAsia" w:ascii="宋体" w:hAnsi="宋体" w:cs="宋体"/>
                <w:color w:val="auto"/>
                <w:szCs w:val="21"/>
              </w:rPr>
              <w:t>偏差率保留</w:t>
            </w:r>
            <w:r>
              <w:rPr>
                <w:rFonts w:hint="eastAsia" w:ascii="宋体" w:hAnsi="宋体" w:cs="宋体"/>
                <w:color w:val="auto"/>
                <w:szCs w:val="21"/>
                <w:u w:val="single"/>
              </w:rPr>
              <w:t>两</w:t>
            </w:r>
            <w:r>
              <w:rPr>
                <w:rFonts w:hint="eastAsia" w:ascii="宋体" w:hAnsi="宋体" w:cs="宋体"/>
                <w:color w:val="auto"/>
                <w:szCs w:val="21"/>
              </w:rPr>
              <w:t>位小数</w:t>
            </w:r>
          </w:p>
        </w:tc>
      </w:tr>
    </w:tbl>
    <w:p>
      <w:pPr>
        <w:rPr>
          <w:color w:val="auto"/>
        </w:rPr>
      </w:pPr>
    </w:p>
    <w:tbl>
      <w:tblPr>
        <w:tblStyle w:val="1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79"/>
        <w:gridCol w:w="1052"/>
        <w:gridCol w:w="2036"/>
        <w:gridCol w:w="1093"/>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2" w:type="dxa"/>
            <w:gridSpan w:val="5"/>
            <w:vAlign w:val="center"/>
          </w:tcPr>
          <w:p>
            <w:pPr>
              <w:autoSpaceDE w:val="0"/>
              <w:autoSpaceDN w:val="0"/>
              <w:spacing w:line="348" w:lineRule="auto"/>
              <w:jc w:val="center"/>
              <w:rPr>
                <w:rFonts w:ascii="宋体" w:cs="宋体"/>
                <w:b/>
                <w:color w:val="auto"/>
                <w:kern w:val="0"/>
                <w:szCs w:val="21"/>
              </w:rPr>
            </w:pPr>
            <w:r>
              <w:rPr>
                <w:rFonts w:hint="eastAsia" w:ascii="宋体" w:cs="宋体"/>
                <w:b/>
                <w:color w:val="auto"/>
                <w:kern w:val="0"/>
                <w:szCs w:val="21"/>
              </w:rPr>
              <w:t>评分因素与权重分值</w:t>
            </w:r>
          </w:p>
        </w:tc>
        <w:tc>
          <w:tcPr>
            <w:tcW w:w="3547" w:type="dxa"/>
            <w:vMerge w:val="restart"/>
            <w:vAlign w:val="center"/>
          </w:tcPr>
          <w:p>
            <w:pPr>
              <w:spacing w:line="348" w:lineRule="auto"/>
              <w:jc w:val="center"/>
              <w:rPr>
                <w:rFonts w:ascii="黑体" w:eastAsia="黑体"/>
                <w:b/>
                <w:color w:val="auto"/>
                <w:szCs w:val="21"/>
              </w:rPr>
            </w:pPr>
            <w:r>
              <w:rPr>
                <w:rFonts w:hint="eastAsia" w:ascii="黑体" w:eastAsia="黑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autoSpaceDE w:val="0"/>
              <w:autoSpaceDN w:val="0"/>
              <w:spacing w:line="348" w:lineRule="auto"/>
              <w:jc w:val="center"/>
              <w:rPr>
                <w:rFonts w:ascii="宋体" w:cs="宋体"/>
                <w:b/>
                <w:color w:val="auto"/>
                <w:kern w:val="0"/>
                <w:szCs w:val="21"/>
              </w:rPr>
            </w:pPr>
            <w:r>
              <w:rPr>
                <w:rFonts w:hint="eastAsia" w:ascii="宋体" w:cs="宋体"/>
                <w:b/>
                <w:color w:val="auto"/>
                <w:kern w:val="0"/>
                <w:szCs w:val="21"/>
              </w:rPr>
              <w:t>条款号</w:t>
            </w:r>
          </w:p>
        </w:tc>
        <w:tc>
          <w:tcPr>
            <w:tcW w:w="3767" w:type="dxa"/>
            <w:gridSpan w:val="3"/>
            <w:vAlign w:val="center"/>
          </w:tcPr>
          <w:p>
            <w:pPr>
              <w:autoSpaceDE w:val="0"/>
              <w:autoSpaceDN w:val="0"/>
              <w:spacing w:line="348" w:lineRule="auto"/>
              <w:jc w:val="center"/>
              <w:rPr>
                <w:rFonts w:ascii="宋体" w:cs="宋体"/>
                <w:b/>
                <w:color w:val="auto"/>
                <w:kern w:val="0"/>
                <w:szCs w:val="21"/>
              </w:rPr>
            </w:pPr>
            <w:r>
              <w:rPr>
                <w:rFonts w:hint="eastAsia" w:ascii="宋体" w:cs="宋体"/>
                <w:b/>
                <w:color w:val="auto"/>
                <w:kern w:val="0"/>
                <w:szCs w:val="21"/>
              </w:rPr>
              <w:t>评审因素</w:t>
            </w:r>
          </w:p>
        </w:tc>
        <w:tc>
          <w:tcPr>
            <w:tcW w:w="1093" w:type="dxa"/>
            <w:vAlign w:val="center"/>
          </w:tcPr>
          <w:p>
            <w:pPr>
              <w:spacing w:line="348" w:lineRule="auto"/>
              <w:jc w:val="center"/>
              <w:rPr>
                <w:rFonts w:ascii="黑体" w:eastAsia="黑体"/>
                <w:b/>
                <w:color w:val="auto"/>
                <w:szCs w:val="21"/>
              </w:rPr>
            </w:pPr>
            <w:r>
              <w:rPr>
                <w:rFonts w:hint="eastAsia" w:ascii="宋体" w:cs="宋体"/>
                <w:b/>
                <w:color w:val="auto"/>
                <w:kern w:val="0"/>
                <w:szCs w:val="21"/>
              </w:rPr>
              <w:t>评审因素评分值</w:t>
            </w:r>
          </w:p>
        </w:tc>
        <w:tc>
          <w:tcPr>
            <w:tcW w:w="3547" w:type="dxa"/>
            <w:vMerge w:val="continue"/>
            <w:vAlign w:val="center"/>
          </w:tcPr>
          <w:p>
            <w:pPr>
              <w:spacing w:line="348" w:lineRule="auto"/>
              <w:jc w:val="center"/>
              <w:rPr>
                <w:rFonts w:ascii="黑体" w:eastAsia="黑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Merge w:val="restart"/>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2.2.4（1）</w:t>
            </w:r>
          </w:p>
        </w:tc>
        <w:tc>
          <w:tcPr>
            <w:tcW w:w="1731" w:type="dxa"/>
            <w:gridSpan w:val="2"/>
            <w:vMerge w:val="restart"/>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技术建议书30分</w:t>
            </w:r>
          </w:p>
        </w:tc>
        <w:tc>
          <w:tcPr>
            <w:tcW w:w="2036"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计划（或方案）和措施</w:t>
            </w:r>
          </w:p>
        </w:tc>
        <w:tc>
          <w:tcPr>
            <w:tcW w:w="1093" w:type="dxa"/>
            <w:vAlign w:val="center"/>
          </w:tcPr>
          <w:p>
            <w:pPr>
              <w:spacing w:line="348" w:lineRule="auto"/>
              <w:jc w:val="center"/>
              <w:rPr>
                <w:rFonts w:ascii="宋体" w:hAnsi="宋体"/>
                <w:color w:val="auto"/>
                <w:szCs w:val="21"/>
              </w:rPr>
            </w:pPr>
            <w:r>
              <w:rPr>
                <w:rFonts w:hint="eastAsia" w:ascii="宋体" w:hAnsi="宋体" w:cs="宋体"/>
                <w:color w:val="auto"/>
                <w:kern w:val="0"/>
                <w:szCs w:val="21"/>
              </w:rPr>
              <w:t>15分</w:t>
            </w:r>
          </w:p>
        </w:tc>
        <w:tc>
          <w:tcPr>
            <w:tcW w:w="3547" w:type="dxa"/>
            <w:vAlign w:val="center"/>
          </w:tcPr>
          <w:p>
            <w:pPr>
              <w:autoSpaceDE w:val="0"/>
              <w:autoSpaceDN w:val="0"/>
              <w:spacing w:line="348" w:lineRule="auto"/>
              <w:rPr>
                <w:rFonts w:ascii="宋体" w:hAnsi="宋体" w:cs="宋体"/>
                <w:color w:val="auto"/>
                <w:szCs w:val="21"/>
              </w:rPr>
            </w:pPr>
            <w:r>
              <w:rPr>
                <w:rFonts w:hint="eastAsia" w:ascii="宋体" w:hAnsi="宋体" w:cs="宋体"/>
                <w:color w:val="auto"/>
                <w:szCs w:val="21"/>
              </w:rPr>
              <w:t>根据投标人技术建议书内容阐述思路清晰、措施得力，13-15分。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根据投标人技术建议书内容阐述思路较清晰、措施较好11-13分。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根据投标人技术建议书内容阐述思路一般、措施合理9-11分。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Merge w:val="continue"/>
            <w:vAlign w:val="center"/>
          </w:tcPr>
          <w:p>
            <w:pPr>
              <w:autoSpaceDE w:val="0"/>
              <w:autoSpaceDN w:val="0"/>
              <w:spacing w:line="348" w:lineRule="auto"/>
              <w:jc w:val="center"/>
              <w:rPr>
                <w:rFonts w:ascii="宋体" w:hAnsi="宋体" w:cs="宋体"/>
                <w:color w:val="auto"/>
                <w:kern w:val="0"/>
                <w:szCs w:val="21"/>
              </w:rPr>
            </w:pPr>
          </w:p>
        </w:tc>
        <w:tc>
          <w:tcPr>
            <w:tcW w:w="1731" w:type="dxa"/>
            <w:gridSpan w:val="2"/>
            <w:vMerge w:val="continue"/>
            <w:vAlign w:val="center"/>
          </w:tcPr>
          <w:p>
            <w:pPr>
              <w:autoSpaceDE w:val="0"/>
              <w:autoSpaceDN w:val="0"/>
              <w:spacing w:line="348" w:lineRule="auto"/>
              <w:jc w:val="center"/>
              <w:rPr>
                <w:rFonts w:ascii="宋体" w:hAnsi="宋体" w:cs="宋体"/>
                <w:color w:val="auto"/>
                <w:kern w:val="0"/>
                <w:szCs w:val="21"/>
              </w:rPr>
            </w:pPr>
          </w:p>
        </w:tc>
        <w:tc>
          <w:tcPr>
            <w:tcW w:w="2036" w:type="dxa"/>
            <w:vAlign w:val="center"/>
          </w:tcPr>
          <w:p>
            <w:pPr>
              <w:autoSpaceDE w:val="0"/>
              <w:autoSpaceDN w:val="0"/>
              <w:spacing w:line="348" w:lineRule="auto"/>
              <w:jc w:val="center"/>
              <w:rPr>
                <w:rFonts w:ascii="宋体" w:hAnsi="宋体" w:cs="宋体"/>
                <w:color w:val="auto"/>
                <w:kern w:val="0"/>
                <w:szCs w:val="21"/>
              </w:rPr>
            </w:pPr>
            <w:r>
              <w:rPr>
                <w:rFonts w:ascii="宋体" w:hAnsi="宋体" w:cs="宋体"/>
                <w:color w:val="auto"/>
                <w:kern w:val="0"/>
                <w:szCs w:val="21"/>
              </w:rPr>
              <w:t>重点、难点分析</w:t>
            </w:r>
          </w:p>
        </w:tc>
        <w:tc>
          <w:tcPr>
            <w:tcW w:w="1093" w:type="dxa"/>
            <w:vAlign w:val="center"/>
          </w:tcPr>
          <w:p>
            <w:pPr>
              <w:spacing w:line="348" w:lineRule="auto"/>
              <w:jc w:val="center"/>
              <w:rPr>
                <w:rFonts w:ascii="宋体" w:hAnsi="宋体"/>
                <w:color w:val="auto"/>
                <w:szCs w:val="21"/>
              </w:rPr>
            </w:pPr>
            <w:r>
              <w:rPr>
                <w:rFonts w:hint="eastAsia" w:ascii="宋体" w:hAnsi="宋体"/>
                <w:color w:val="auto"/>
                <w:szCs w:val="21"/>
              </w:rPr>
              <w:t>5分</w:t>
            </w:r>
          </w:p>
        </w:tc>
        <w:tc>
          <w:tcPr>
            <w:tcW w:w="3547" w:type="dxa"/>
            <w:vAlign w:val="center"/>
          </w:tcPr>
          <w:p>
            <w:pPr>
              <w:autoSpaceDE w:val="0"/>
              <w:autoSpaceDN w:val="0"/>
              <w:spacing w:line="348" w:lineRule="auto"/>
              <w:rPr>
                <w:rFonts w:ascii="宋体" w:hAnsi="宋体" w:cs="宋体"/>
                <w:color w:val="auto"/>
                <w:szCs w:val="21"/>
              </w:rPr>
            </w:pPr>
            <w:r>
              <w:rPr>
                <w:rFonts w:hint="eastAsia" w:ascii="宋体" w:hAnsi="宋体" w:cs="宋体"/>
                <w:color w:val="auto"/>
                <w:szCs w:val="21"/>
              </w:rPr>
              <w:t>对所投标段难点分析透彻，工作重点把握准确的得4-5分；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对所投合同工程难点分析较透彻，工作重点把握较准确的得3-4分；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对所投合同工程难点分析一般，工作重点把握一般的得3分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Merge w:val="continue"/>
            <w:vAlign w:val="center"/>
          </w:tcPr>
          <w:p>
            <w:pPr>
              <w:autoSpaceDE w:val="0"/>
              <w:autoSpaceDN w:val="0"/>
              <w:spacing w:line="348" w:lineRule="auto"/>
              <w:jc w:val="center"/>
              <w:rPr>
                <w:rFonts w:ascii="宋体" w:hAnsi="宋体" w:cs="宋体"/>
                <w:color w:val="auto"/>
                <w:kern w:val="0"/>
                <w:szCs w:val="21"/>
              </w:rPr>
            </w:pPr>
          </w:p>
        </w:tc>
        <w:tc>
          <w:tcPr>
            <w:tcW w:w="1731" w:type="dxa"/>
            <w:gridSpan w:val="2"/>
            <w:vMerge w:val="continue"/>
            <w:vAlign w:val="center"/>
          </w:tcPr>
          <w:p>
            <w:pPr>
              <w:autoSpaceDE w:val="0"/>
              <w:autoSpaceDN w:val="0"/>
              <w:spacing w:line="348" w:lineRule="auto"/>
              <w:jc w:val="center"/>
              <w:rPr>
                <w:rFonts w:ascii="宋体" w:hAnsi="宋体" w:cs="宋体"/>
                <w:color w:val="auto"/>
                <w:kern w:val="0"/>
                <w:szCs w:val="21"/>
              </w:rPr>
            </w:pPr>
          </w:p>
        </w:tc>
        <w:tc>
          <w:tcPr>
            <w:tcW w:w="2036" w:type="dxa"/>
            <w:vAlign w:val="center"/>
          </w:tcPr>
          <w:p>
            <w:pPr>
              <w:autoSpaceDE w:val="0"/>
              <w:autoSpaceDN w:val="0"/>
              <w:spacing w:line="348" w:lineRule="auto"/>
              <w:jc w:val="center"/>
              <w:rPr>
                <w:rFonts w:ascii="宋体" w:hAnsi="宋体" w:cs="宋体"/>
                <w:color w:val="auto"/>
                <w:kern w:val="0"/>
                <w:szCs w:val="21"/>
              </w:rPr>
            </w:pPr>
            <w:r>
              <w:rPr>
                <w:rFonts w:ascii="宋体" w:hAnsi="宋体" w:cs="宋体"/>
                <w:color w:val="auto"/>
                <w:kern w:val="0"/>
                <w:szCs w:val="21"/>
              </w:rPr>
              <w:t>服务质量保证措施、进度保证措施</w:t>
            </w:r>
          </w:p>
        </w:tc>
        <w:tc>
          <w:tcPr>
            <w:tcW w:w="1093" w:type="dxa"/>
            <w:vAlign w:val="center"/>
          </w:tcPr>
          <w:p>
            <w:pPr>
              <w:autoSpaceDE w:val="0"/>
              <w:autoSpaceDN w:val="0"/>
              <w:spacing w:line="348" w:lineRule="auto"/>
              <w:jc w:val="center"/>
              <w:rPr>
                <w:rFonts w:ascii="宋体" w:hAnsi="宋体"/>
                <w:color w:val="auto"/>
                <w:szCs w:val="21"/>
              </w:rPr>
            </w:pPr>
            <w:r>
              <w:rPr>
                <w:rFonts w:hint="eastAsia" w:ascii="宋体" w:hAnsi="宋体" w:cs="宋体"/>
                <w:color w:val="auto"/>
                <w:kern w:val="0"/>
                <w:szCs w:val="21"/>
              </w:rPr>
              <w:t>10分</w:t>
            </w:r>
          </w:p>
        </w:tc>
        <w:tc>
          <w:tcPr>
            <w:tcW w:w="3547" w:type="dxa"/>
            <w:vAlign w:val="center"/>
          </w:tcPr>
          <w:p>
            <w:pPr>
              <w:autoSpaceDE w:val="0"/>
              <w:autoSpaceDN w:val="0"/>
              <w:spacing w:line="348" w:lineRule="auto"/>
              <w:rPr>
                <w:rFonts w:ascii="宋体" w:hAnsi="宋体" w:cs="宋体"/>
                <w:color w:val="auto"/>
                <w:szCs w:val="21"/>
              </w:rPr>
            </w:pPr>
            <w:r>
              <w:rPr>
                <w:rFonts w:hint="eastAsia" w:ascii="宋体" w:hAnsi="宋体" w:cs="宋体"/>
                <w:color w:val="auto"/>
                <w:szCs w:val="21"/>
              </w:rPr>
              <w:t>对所投合同工程质量及进度保障措施合理、可行的得9-10分；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对所投合同工程质量及进度保障措施较合理、基本准确的得8-9分；</w:t>
            </w:r>
          </w:p>
          <w:p>
            <w:pPr>
              <w:autoSpaceDE w:val="0"/>
              <w:autoSpaceDN w:val="0"/>
              <w:spacing w:line="348" w:lineRule="auto"/>
              <w:rPr>
                <w:rFonts w:ascii="宋体" w:hAnsi="宋体" w:cs="宋体"/>
                <w:color w:val="auto"/>
                <w:szCs w:val="21"/>
              </w:rPr>
            </w:pPr>
            <w:r>
              <w:rPr>
                <w:rFonts w:hint="eastAsia" w:ascii="宋体" w:hAnsi="宋体" w:cs="宋体"/>
                <w:color w:val="auto"/>
                <w:szCs w:val="21"/>
              </w:rPr>
              <w:t>对所投合同工程质量及进度保障措施一般的得6-8分。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2.2.4（2）</w:t>
            </w:r>
          </w:p>
        </w:tc>
        <w:tc>
          <w:tcPr>
            <w:tcW w:w="1731" w:type="dxa"/>
            <w:gridSpan w:val="2"/>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主要人员30分</w:t>
            </w:r>
          </w:p>
        </w:tc>
        <w:tc>
          <w:tcPr>
            <w:tcW w:w="2036"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项目负责人任职资格与业绩</w:t>
            </w:r>
          </w:p>
        </w:tc>
        <w:tc>
          <w:tcPr>
            <w:tcW w:w="1093"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olor w:val="auto"/>
                <w:szCs w:val="21"/>
              </w:rPr>
              <w:t>30分</w:t>
            </w:r>
          </w:p>
        </w:tc>
        <w:tc>
          <w:tcPr>
            <w:tcW w:w="3547" w:type="dxa"/>
            <w:vAlign w:val="center"/>
          </w:tcPr>
          <w:p>
            <w:pPr>
              <w:autoSpaceDE w:val="0"/>
              <w:autoSpaceDN w:val="0"/>
              <w:spacing w:line="348" w:lineRule="auto"/>
              <w:rPr>
                <w:rFonts w:ascii="宋体" w:hAnsi="宋体" w:cs="宋体"/>
                <w:b/>
                <w:bCs/>
                <w:color w:val="auto"/>
                <w:szCs w:val="21"/>
              </w:rPr>
            </w:pPr>
            <w:r>
              <w:rPr>
                <w:rFonts w:hint="eastAsia" w:ascii="宋体" w:hAnsi="宋体" w:cs="宋体"/>
                <w:b/>
                <w:bCs/>
                <w:color w:val="auto"/>
                <w:szCs w:val="21"/>
              </w:rPr>
              <w:t>第1标段：</w:t>
            </w:r>
          </w:p>
          <w:p>
            <w:pPr>
              <w:autoSpaceDE w:val="0"/>
              <w:autoSpaceDN w:val="0"/>
              <w:spacing w:line="348" w:lineRule="auto"/>
              <w:rPr>
                <w:rFonts w:ascii="宋体" w:hAnsi="宋体" w:cs="宋体"/>
                <w:b/>
                <w:bCs/>
                <w:color w:val="auto"/>
                <w:szCs w:val="21"/>
              </w:rPr>
            </w:pPr>
            <w:r>
              <w:rPr>
                <w:rFonts w:hint="eastAsia" w:ascii="宋体" w:hAnsi="宋体" w:cs="宋体"/>
                <w:color w:val="auto"/>
                <w:szCs w:val="21"/>
              </w:rPr>
              <w:t>满足附录4业绩要求的得20分；在此基础上，近三年内（2018年1月1日起至投标截止时间）每担任过1项公路建设项目水土保持监理、监测或1项公路建设项目水土保持设施验收的项目负责人加5分，最多增加10分。</w:t>
            </w:r>
          </w:p>
          <w:p>
            <w:pPr>
              <w:autoSpaceDE w:val="0"/>
              <w:autoSpaceDN w:val="0"/>
              <w:spacing w:line="348" w:lineRule="auto"/>
              <w:rPr>
                <w:rFonts w:ascii="宋体" w:hAnsi="宋体" w:cs="宋体"/>
                <w:b/>
                <w:bCs/>
                <w:color w:val="auto"/>
                <w:szCs w:val="21"/>
              </w:rPr>
            </w:pPr>
            <w:r>
              <w:rPr>
                <w:rFonts w:hint="eastAsia" w:ascii="宋体" w:hAnsi="宋体" w:cs="宋体"/>
                <w:b/>
                <w:bCs/>
                <w:color w:val="auto"/>
                <w:szCs w:val="21"/>
              </w:rPr>
              <w:t>第2标段：</w:t>
            </w:r>
          </w:p>
          <w:p>
            <w:pPr>
              <w:autoSpaceDE w:val="0"/>
              <w:autoSpaceDN w:val="0"/>
              <w:spacing w:line="348" w:lineRule="auto"/>
              <w:rPr>
                <w:rFonts w:ascii="宋体" w:hAnsi="宋体" w:cs="宋体"/>
                <w:color w:val="auto"/>
                <w:szCs w:val="21"/>
              </w:rPr>
            </w:pPr>
            <w:r>
              <w:rPr>
                <w:rFonts w:hint="eastAsia" w:ascii="宋体" w:hAnsi="宋体" w:cs="宋体"/>
                <w:color w:val="auto"/>
                <w:szCs w:val="21"/>
              </w:rPr>
              <w:t>满足附录4业绩要求的得20分；在此基础上，近三年内（2018年1月1日起至投标截止时间）每担任过1项公路建设项目环境监测或1项公路建设项目环保验收的项目负责人加5分，最多增加10分。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Merge w:val="restart"/>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2.2.4（4）</w:t>
            </w:r>
          </w:p>
        </w:tc>
        <w:tc>
          <w:tcPr>
            <w:tcW w:w="679" w:type="dxa"/>
            <w:vMerge w:val="restart"/>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其他因素</w:t>
            </w:r>
          </w:p>
        </w:tc>
        <w:tc>
          <w:tcPr>
            <w:tcW w:w="1052"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业绩25分</w:t>
            </w:r>
          </w:p>
        </w:tc>
        <w:tc>
          <w:tcPr>
            <w:tcW w:w="2036"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投标人业绩</w:t>
            </w:r>
          </w:p>
        </w:tc>
        <w:tc>
          <w:tcPr>
            <w:tcW w:w="1093" w:type="dxa"/>
            <w:vAlign w:val="center"/>
          </w:tcPr>
          <w:p>
            <w:pPr>
              <w:autoSpaceDE w:val="0"/>
              <w:autoSpaceDN w:val="0"/>
              <w:spacing w:line="348" w:lineRule="auto"/>
              <w:jc w:val="center"/>
              <w:rPr>
                <w:rFonts w:ascii="宋体" w:hAnsi="宋体"/>
                <w:color w:val="auto"/>
                <w:szCs w:val="21"/>
              </w:rPr>
            </w:pPr>
            <w:r>
              <w:rPr>
                <w:rFonts w:hint="eastAsia" w:ascii="宋体" w:hAnsi="宋体"/>
                <w:color w:val="auto"/>
                <w:szCs w:val="21"/>
              </w:rPr>
              <w:t>25分</w:t>
            </w:r>
          </w:p>
        </w:tc>
        <w:tc>
          <w:tcPr>
            <w:tcW w:w="3547" w:type="dxa"/>
            <w:vAlign w:val="center"/>
          </w:tcPr>
          <w:p>
            <w:pPr>
              <w:autoSpaceDE w:val="0"/>
              <w:autoSpaceDN w:val="0"/>
              <w:spacing w:line="348" w:lineRule="auto"/>
              <w:rPr>
                <w:rFonts w:ascii="宋体" w:hAnsi="宋体" w:cs="宋体"/>
                <w:b/>
                <w:bCs/>
                <w:color w:val="auto"/>
                <w:szCs w:val="21"/>
              </w:rPr>
            </w:pPr>
            <w:r>
              <w:rPr>
                <w:rFonts w:hint="eastAsia" w:ascii="宋体" w:hAnsi="宋体" w:cs="宋体"/>
                <w:b/>
                <w:bCs/>
                <w:color w:val="auto"/>
                <w:szCs w:val="21"/>
              </w:rPr>
              <w:t>第1标段：</w:t>
            </w:r>
          </w:p>
          <w:p>
            <w:pPr>
              <w:autoSpaceDE w:val="0"/>
              <w:autoSpaceDN w:val="0"/>
              <w:spacing w:line="348" w:lineRule="auto"/>
              <w:rPr>
                <w:color w:val="auto"/>
              </w:rPr>
            </w:pPr>
            <w:r>
              <w:rPr>
                <w:rFonts w:hint="eastAsia"/>
                <w:color w:val="auto"/>
              </w:rPr>
              <w:t>满足附录2业绩要求的得15分；</w:t>
            </w:r>
            <w:r>
              <w:rPr>
                <w:rFonts w:hint="eastAsia" w:ascii="宋体" w:hAnsi="宋体" w:cs="宋体"/>
                <w:color w:val="auto"/>
                <w:szCs w:val="21"/>
              </w:rPr>
              <w:t>在此基础上，</w:t>
            </w:r>
            <w:r>
              <w:rPr>
                <w:rFonts w:hint="eastAsia"/>
                <w:color w:val="auto"/>
              </w:rPr>
              <w:t>近三年内（2018年1月1日起至投标截止时间，以合同签订时间为准）每增加1个公路建设项目水土保持监理、监测业绩或1个公路建设项目水土保持设施验收业绩加5分，最多增加10分。</w:t>
            </w:r>
          </w:p>
          <w:p>
            <w:pPr>
              <w:autoSpaceDE w:val="0"/>
              <w:autoSpaceDN w:val="0"/>
              <w:spacing w:line="348" w:lineRule="auto"/>
              <w:rPr>
                <w:rFonts w:ascii="宋体" w:hAnsi="宋体" w:cs="宋体"/>
                <w:b/>
                <w:bCs/>
                <w:color w:val="auto"/>
                <w:szCs w:val="21"/>
              </w:rPr>
            </w:pPr>
            <w:r>
              <w:rPr>
                <w:rFonts w:hint="eastAsia" w:ascii="宋体" w:hAnsi="宋体" w:cs="宋体"/>
                <w:b/>
                <w:bCs/>
                <w:color w:val="auto"/>
                <w:szCs w:val="21"/>
              </w:rPr>
              <w:t>第2标段：</w:t>
            </w:r>
          </w:p>
          <w:p>
            <w:pPr>
              <w:autoSpaceDE w:val="0"/>
              <w:autoSpaceDN w:val="0"/>
              <w:spacing w:line="348" w:lineRule="auto"/>
              <w:rPr>
                <w:color w:val="auto"/>
              </w:rPr>
            </w:pPr>
            <w:r>
              <w:rPr>
                <w:rFonts w:hint="eastAsia"/>
                <w:color w:val="auto"/>
              </w:rPr>
              <w:t>满足附录2业绩要求的得15分；</w:t>
            </w:r>
            <w:r>
              <w:rPr>
                <w:rFonts w:hint="eastAsia" w:ascii="宋体" w:hAnsi="宋体" w:cs="宋体"/>
                <w:color w:val="auto"/>
                <w:szCs w:val="21"/>
              </w:rPr>
              <w:t>在此基础上，</w:t>
            </w:r>
            <w:r>
              <w:rPr>
                <w:rFonts w:hint="eastAsia"/>
                <w:color w:val="auto"/>
              </w:rPr>
              <w:t>近三年内（2018年1月1日起至投标截止时间，以合同签订时间为准）每增加1个公路建设项目环境监测业绩或1个公路建设项目环保验收业绩加5分，最多增加10分。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Merge w:val="continue"/>
            <w:vAlign w:val="center"/>
          </w:tcPr>
          <w:p>
            <w:pPr>
              <w:autoSpaceDE w:val="0"/>
              <w:autoSpaceDN w:val="0"/>
              <w:spacing w:line="348" w:lineRule="auto"/>
              <w:jc w:val="center"/>
              <w:rPr>
                <w:rFonts w:ascii="宋体" w:hAnsi="宋体" w:cs="宋体"/>
                <w:color w:val="auto"/>
                <w:kern w:val="0"/>
                <w:szCs w:val="21"/>
              </w:rPr>
            </w:pPr>
          </w:p>
        </w:tc>
        <w:tc>
          <w:tcPr>
            <w:tcW w:w="679" w:type="dxa"/>
            <w:vMerge w:val="continue"/>
            <w:vAlign w:val="center"/>
          </w:tcPr>
          <w:p>
            <w:pPr>
              <w:autoSpaceDE w:val="0"/>
              <w:autoSpaceDN w:val="0"/>
              <w:spacing w:line="348" w:lineRule="auto"/>
              <w:jc w:val="center"/>
              <w:rPr>
                <w:rFonts w:ascii="宋体" w:hAnsi="宋体" w:cs="宋体"/>
                <w:color w:val="auto"/>
                <w:kern w:val="0"/>
                <w:szCs w:val="21"/>
              </w:rPr>
            </w:pPr>
          </w:p>
        </w:tc>
        <w:tc>
          <w:tcPr>
            <w:tcW w:w="1052"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履约信誉5分</w:t>
            </w:r>
          </w:p>
        </w:tc>
        <w:tc>
          <w:tcPr>
            <w:tcW w:w="2036"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投标人信誉</w:t>
            </w:r>
          </w:p>
        </w:tc>
        <w:tc>
          <w:tcPr>
            <w:tcW w:w="1093" w:type="dxa"/>
            <w:vAlign w:val="center"/>
          </w:tcPr>
          <w:p>
            <w:pPr>
              <w:autoSpaceDE w:val="0"/>
              <w:autoSpaceDN w:val="0"/>
              <w:spacing w:line="348" w:lineRule="auto"/>
              <w:jc w:val="center"/>
              <w:rPr>
                <w:rFonts w:ascii="宋体" w:hAnsi="宋体"/>
                <w:color w:val="auto"/>
                <w:szCs w:val="21"/>
              </w:rPr>
            </w:pPr>
            <w:r>
              <w:rPr>
                <w:rFonts w:hint="eastAsia" w:ascii="宋体" w:hAnsi="宋体"/>
                <w:color w:val="auto"/>
                <w:szCs w:val="21"/>
              </w:rPr>
              <w:t>5分</w:t>
            </w:r>
          </w:p>
        </w:tc>
        <w:tc>
          <w:tcPr>
            <w:tcW w:w="3547" w:type="dxa"/>
            <w:vAlign w:val="center"/>
          </w:tcPr>
          <w:p>
            <w:pPr>
              <w:autoSpaceDE w:val="0"/>
              <w:autoSpaceDN w:val="0"/>
              <w:spacing w:line="348" w:lineRule="auto"/>
              <w:rPr>
                <w:rFonts w:ascii="宋体" w:hAnsi="宋体" w:cs="宋体"/>
                <w:color w:val="auto"/>
                <w:szCs w:val="21"/>
              </w:rPr>
            </w:pPr>
            <w:r>
              <w:rPr>
                <w:rFonts w:hint="eastAsia" w:ascii="宋体" w:hAnsi="宋体" w:cs="宋体"/>
                <w:color w:val="auto"/>
                <w:szCs w:val="21"/>
              </w:rPr>
              <w:t>满足资格审查条件信誉最低要求的得5分。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2.2.4（3）</w:t>
            </w:r>
          </w:p>
        </w:tc>
        <w:tc>
          <w:tcPr>
            <w:tcW w:w="1731" w:type="dxa"/>
            <w:gridSpan w:val="2"/>
            <w:vAlign w:val="center"/>
          </w:tcPr>
          <w:p>
            <w:pPr>
              <w:autoSpaceDE w:val="0"/>
              <w:autoSpaceDN w:val="0"/>
              <w:spacing w:line="348" w:lineRule="auto"/>
              <w:jc w:val="center"/>
              <w:rPr>
                <w:rFonts w:ascii="宋体" w:hAnsi="宋体" w:cs="宋体"/>
                <w:color w:val="auto"/>
                <w:kern w:val="0"/>
                <w:szCs w:val="21"/>
              </w:rPr>
            </w:pPr>
            <w:r>
              <w:rPr>
                <w:rFonts w:hint="eastAsia" w:ascii="宋体" w:hAnsi="宋体" w:cs="宋体"/>
                <w:color w:val="auto"/>
                <w:kern w:val="0"/>
                <w:szCs w:val="21"/>
              </w:rPr>
              <w:t>评标价10分</w:t>
            </w:r>
          </w:p>
        </w:tc>
        <w:tc>
          <w:tcPr>
            <w:tcW w:w="6676" w:type="dxa"/>
            <w:gridSpan w:val="3"/>
            <w:vAlign w:val="center"/>
          </w:tcPr>
          <w:p>
            <w:pPr>
              <w:pStyle w:val="20"/>
              <w:spacing w:line="348" w:lineRule="auto"/>
              <w:ind w:left="108" w:right="95"/>
              <w:rPr>
                <w:color w:val="auto"/>
                <w:lang w:val="en-US"/>
              </w:rPr>
            </w:pPr>
            <w:r>
              <w:rPr>
                <w:rFonts w:hint="eastAsia"/>
                <w:color w:val="auto"/>
                <w:lang w:val="en-US"/>
              </w:rPr>
              <w:t>评标价得分计算公式示例：</w:t>
            </w:r>
          </w:p>
          <w:p>
            <w:pPr>
              <w:pStyle w:val="20"/>
              <w:spacing w:line="348" w:lineRule="auto"/>
              <w:ind w:left="108" w:right="95"/>
              <w:rPr>
                <w:color w:val="auto"/>
                <w:lang w:val="en-US"/>
              </w:rPr>
            </w:pPr>
            <w:r>
              <w:rPr>
                <w:rFonts w:hint="eastAsia"/>
                <w:color w:val="auto"/>
                <w:lang w:val="en-US"/>
              </w:rPr>
              <w:t>（1）如果投标人的评标价＞评标基准价，则评标价得分＝F－偏差率×100×E1；</w:t>
            </w:r>
          </w:p>
          <w:p>
            <w:pPr>
              <w:pStyle w:val="20"/>
              <w:spacing w:line="348" w:lineRule="auto"/>
              <w:ind w:left="108" w:right="95"/>
              <w:rPr>
                <w:color w:val="auto"/>
                <w:lang w:val="en-US"/>
              </w:rPr>
            </w:pPr>
            <w:r>
              <w:rPr>
                <w:rFonts w:hint="eastAsia"/>
                <w:color w:val="auto"/>
                <w:lang w:val="en-US"/>
              </w:rPr>
              <w:t>（2）如果投标人的评标价≤评标基准价，则评标价得分＝F＋偏差率×100×E2。</w:t>
            </w:r>
          </w:p>
          <w:p>
            <w:pPr>
              <w:pStyle w:val="20"/>
              <w:spacing w:line="348" w:lineRule="auto"/>
              <w:ind w:left="108" w:right="95"/>
              <w:rPr>
                <w:color w:val="auto"/>
                <w:lang w:val="en-US"/>
              </w:rPr>
            </w:pPr>
            <w:r>
              <w:rPr>
                <w:rFonts w:hint="eastAsia"/>
                <w:color w:val="auto"/>
                <w:lang w:val="en-US"/>
              </w:rPr>
              <w:t>其中：F是评标价所占的权重分值，E1是评标价每高于评标基准价一个百分点的扣分值，E2是评标价每低于评标基准价一个百分点的扣分值；E1=0.2、E2=0.1；</w:t>
            </w:r>
          </w:p>
          <w:p>
            <w:pPr>
              <w:pStyle w:val="20"/>
              <w:spacing w:line="348" w:lineRule="auto"/>
              <w:ind w:left="108" w:right="95"/>
              <w:rPr>
                <w:color w:val="auto"/>
                <w:szCs w:val="21"/>
                <w:lang w:val="en-US"/>
              </w:rPr>
            </w:pPr>
            <w:r>
              <w:rPr>
                <w:rFonts w:hint="eastAsia"/>
                <w:color w:val="auto"/>
                <w:lang w:val="en-US"/>
              </w:rPr>
              <w:t>投标价最低得分为0分。</w:t>
            </w:r>
          </w:p>
        </w:tc>
      </w:tr>
    </w:tbl>
    <w:p>
      <w:pPr>
        <w:spacing w:line="360" w:lineRule="auto"/>
        <w:jc w:val="left"/>
        <w:rPr>
          <w:rFonts w:ascii="宋体" w:hAnsi="宋体" w:cs="宋体"/>
          <w:b/>
          <w:bCs/>
          <w:color w:val="auto"/>
          <w:sz w:val="24"/>
        </w:rPr>
      </w:pPr>
      <w:bookmarkStart w:id="11" w:name="_Toc15519"/>
      <w:bookmarkStart w:id="12" w:name="_Toc10026"/>
      <w:r>
        <w:rPr>
          <w:rStyle w:val="30"/>
          <w:rFonts w:hint="eastAsia"/>
          <w:color w:val="auto"/>
        </w:rPr>
        <w:t>1．评标方法</w:t>
      </w:r>
      <w:bookmarkEnd w:id="11"/>
      <w:bookmarkEnd w:id="1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31"/>
        <w:spacing w:beforeLines="0" w:afterLines="0" w:line="360" w:lineRule="auto"/>
        <w:rPr>
          <w:rFonts w:cs="宋体"/>
          <w:color w:val="auto"/>
        </w:rPr>
      </w:pPr>
      <w:bookmarkStart w:id="13" w:name="_Toc8858"/>
      <w:bookmarkStart w:id="14" w:name="_Toc24118"/>
      <w:r>
        <w:rPr>
          <w:rFonts w:hint="eastAsia" w:cs="宋体"/>
          <w:color w:val="auto"/>
        </w:rPr>
        <w:t>2．评审标准</w:t>
      </w:r>
      <w:bookmarkEnd w:id="13"/>
      <w:bookmarkEnd w:id="14"/>
    </w:p>
    <w:p>
      <w:pPr>
        <w:pStyle w:val="31"/>
        <w:spacing w:beforeLines="0" w:afterLines="0" w:line="360" w:lineRule="auto"/>
        <w:rPr>
          <w:rFonts w:cs="宋体"/>
          <w:color w:val="auto"/>
        </w:rPr>
      </w:pPr>
      <w:bookmarkStart w:id="15" w:name="_Toc25727"/>
      <w:bookmarkStart w:id="16" w:name="_Toc19273"/>
      <w:bookmarkStart w:id="17" w:name="_Toc2709"/>
      <w:bookmarkStart w:id="18" w:name="_Toc33"/>
      <w:r>
        <w:rPr>
          <w:rFonts w:hint="eastAsia" w:cs="宋体"/>
          <w:color w:val="auto"/>
        </w:rPr>
        <w:t>2.1初步评审标准</w:t>
      </w:r>
      <w:bookmarkEnd w:id="15"/>
      <w:bookmarkEnd w:id="16"/>
      <w:bookmarkEnd w:id="17"/>
      <w:bookmarkEnd w:id="1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2.1.1形式评审标准：见评标办法前附表。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2.1.2资格评审标准：见评标办法前附表。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2.1.3响应性评审标准：见评标办法前附表。</w:t>
      </w:r>
    </w:p>
    <w:p>
      <w:pPr>
        <w:pStyle w:val="31"/>
        <w:spacing w:beforeLines="0" w:afterLines="0" w:line="360" w:lineRule="auto"/>
        <w:rPr>
          <w:rFonts w:cs="宋体"/>
          <w:color w:val="auto"/>
        </w:rPr>
      </w:pPr>
      <w:bookmarkStart w:id="19" w:name="_Toc15158"/>
      <w:bookmarkStart w:id="20" w:name="_Toc23083"/>
      <w:bookmarkStart w:id="21" w:name="_Toc20671"/>
      <w:bookmarkStart w:id="22" w:name="_Toc16241"/>
      <w:r>
        <w:rPr>
          <w:rFonts w:hint="eastAsia" w:cs="宋体"/>
          <w:color w:val="auto"/>
        </w:rPr>
        <w:t>2.2分值构成与评分标准</w:t>
      </w:r>
      <w:bookmarkEnd w:id="19"/>
      <w:bookmarkEnd w:id="20"/>
      <w:bookmarkEnd w:id="21"/>
      <w:bookmarkEnd w:id="2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2.2.1分值构成</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(1)技术建议书：见评标办法前附表；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(2)主要人员：见评标办法前附表；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(3)评标价：见评标办法前刚表：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(4)其他评分因素：见评标办法前附表。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2.2.2评标基准价计算</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评标基准价计算方法：见评标办法前附表。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2.2.3评标价的偏差率计算</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评标价的偏差率计算公式：见评标办法前附表。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2.2.4评分标准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(1)技术建议书评分标准；见评标办法前附表；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(2)主要人员评分标准：见评标办法前附表：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(3)评标价评分标准：见评标办法前附表：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(4)其他因素评分标准：见评标办法前附表。</w:t>
      </w:r>
    </w:p>
    <w:p>
      <w:pPr>
        <w:pStyle w:val="31"/>
        <w:spacing w:beforeLines="0" w:afterLines="0" w:line="360" w:lineRule="auto"/>
        <w:rPr>
          <w:rFonts w:cs="宋体"/>
          <w:color w:val="auto"/>
        </w:rPr>
      </w:pPr>
      <w:bookmarkStart w:id="23" w:name="_Toc10082"/>
      <w:bookmarkStart w:id="24" w:name="_Toc7283"/>
      <w:r>
        <w:rPr>
          <w:rFonts w:hint="eastAsia" w:cs="宋体"/>
          <w:color w:val="auto"/>
        </w:rPr>
        <w:t>3．评标程序</w:t>
      </w:r>
      <w:bookmarkEnd w:id="23"/>
      <w:bookmarkEnd w:id="24"/>
    </w:p>
    <w:p>
      <w:pPr>
        <w:pStyle w:val="31"/>
        <w:spacing w:beforeLines="0" w:afterLines="0" w:line="360" w:lineRule="auto"/>
        <w:rPr>
          <w:rFonts w:cs="宋体"/>
          <w:color w:val="auto"/>
        </w:rPr>
      </w:pPr>
      <w:bookmarkStart w:id="25" w:name="_Toc10042"/>
      <w:bookmarkStart w:id="26" w:name="_Toc23121"/>
      <w:bookmarkStart w:id="27" w:name="_Toc13618"/>
      <w:bookmarkStart w:id="28" w:name="_Toc7835"/>
      <w:r>
        <w:rPr>
          <w:rFonts w:hint="eastAsia" w:cs="宋体"/>
          <w:color w:val="auto"/>
        </w:rPr>
        <w:t>3.1第一个信封初步评审</w:t>
      </w:r>
      <w:bookmarkEnd w:id="25"/>
      <w:bookmarkEnd w:id="26"/>
      <w:bookmarkEnd w:id="27"/>
      <w:bookmarkEnd w:id="2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pStyle w:val="31"/>
        <w:spacing w:beforeLines="0" w:afterLines="0" w:line="360" w:lineRule="auto"/>
        <w:rPr>
          <w:rFonts w:cs="宋体"/>
          <w:color w:val="auto"/>
        </w:rPr>
      </w:pPr>
      <w:bookmarkStart w:id="29" w:name="_Toc28492"/>
      <w:bookmarkStart w:id="30" w:name="_Toc9461"/>
      <w:bookmarkStart w:id="31" w:name="_Toc22870"/>
      <w:bookmarkStart w:id="32" w:name="_Toc20104"/>
      <w:r>
        <w:rPr>
          <w:rFonts w:hint="eastAsia" w:cs="宋体"/>
          <w:color w:val="auto"/>
        </w:rPr>
        <w:t>3.2第一个信封详细评审</w:t>
      </w:r>
      <w:bookmarkEnd w:id="29"/>
      <w:bookmarkEnd w:id="30"/>
      <w:bookmarkEnd w:id="31"/>
      <w:bookmarkEnd w:id="3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3.2.1评标委员会按本章第2.2款规定的量化因素和分值进行打分，并计算出各投标人的商务和技术得分。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(1)按本章第2.2.4项(l)日规定的评审因素和分值刘技术建议书部分计算出得分A：</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(2)按本章第2.2.4项(2)目规定的评审因素和分值对主要人员部分计算出得分B；</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(3)按本章第2.2.4项(4)目规定的评审因素和分值对其他部分计算出得分D。</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3.2.2投标人的商务和技术得分分值计算保留小数点后两位，小数点后第三位“四舍五入”。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3.2.3投标人的商务和技术得分=A+B+D。</w:t>
      </w:r>
    </w:p>
    <w:p>
      <w:pPr>
        <w:pStyle w:val="31"/>
        <w:spacing w:beforeLines="0" w:afterLines="0" w:line="360" w:lineRule="auto"/>
        <w:rPr>
          <w:rFonts w:cs="宋体"/>
          <w:color w:val="auto"/>
        </w:rPr>
      </w:pPr>
      <w:bookmarkStart w:id="33" w:name="_Toc14610"/>
      <w:bookmarkStart w:id="34" w:name="_Toc10498"/>
      <w:bookmarkStart w:id="35" w:name="_Toc13747"/>
      <w:bookmarkStart w:id="36" w:name="_Toc32077"/>
      <w:r>
        <w:rPr>
          <w:rFonts w:hint="eastAsia" w:cs="宋体"/>
          <w:color w:val="auto"/>
        </w:rPr>
        <w:t>3.3第二个信封开标</w:t>
      </w:r>
      <w:bookmarkEnd w:id="33"/>
      <w:bookmarkEnd w:id="34"/>
      <w:bookmarkEnd w:id="35"/>
      <w:bookmarkEnd w:id="36"/>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Style w:val="31"/>
        <w:spacing w:beforeLines="0" w:afterLines="0" w:line="360" w:lineRule="auto"/>
        <w:rPr>
          <w:rFonts w:cs="宋体"/>
          <w:color w:val="auto"/>
        </w:rPr>
      </w:pPr>
      <w:bookmarkStart w:id="37" w:name="_Toc19311"/>
      <w:bookmarkStart w:id="38" w:name="_Toc4656"/>
      <w:bookmarkStart w:id="39" w:name="_Toc29625"/>
      <w:bookmarkStart w:id="40" w:name="_Toc29310"/>
      <w:r>
        <w:rPr>
          <w:rFonts w:hint="eastAsia" w:cs="宋体"/>
          <w:color w:val="auto"/>
        </w:rPr>
        <w:t>3.4第二个信封初步评审</w:t>
      </w:r>
      <w:bookmarkEnd w:id="37"/>
      <w:bookmarkEnd w:id="38"/>
      <w:bookmarkEnd w:id="39"/>
      <w:bookmarkEnd w:id="40"/>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3.4.1评标委员会依据本章第2.1.1项、第2.1.3项规定的评审标准对投标文件第二个信封（报价文件）进行初步评审。有一项不符合评审标准的，评标委员会应否决其投标。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3.4.2投标报价有算术错误的，评标委员会按以下原则对投标报价进行修正，修正的价格经投标人书面确认后具有约束力。投标人不接受修正价格的；评标委员会应否决其投标。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(2)总价金额与依据单价计算出的结果不一致的，以单价金额为准修正总价，但单价金额小数点有明显错误的除外；</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(3)当单价与数量相乘不等于合价时，以单价计算为准，如果单价有明显的小数点位置差错，应以标出的合价为准，同时对单价予以修正；</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(4)当各子目的合价累计不等于总价时，应以各子目合价累计数为准，修正总价。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3.4.3修正后的最终投标报价若超过最高投标限价（如有），评标委员会应否决其投标。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3.4.4修正后的最终投标报价仅作为签订合同的一个依据，不参与评标价得分的计算。</w:t>
      </w:r>
    </w:p>
    <w:p>
      <w:pPr>
        <w:pStyle w:val="31"/>
        <w:spacing w:beforeLines="0" w:afterLines="0" w:line="360" w:lineRule="auto"/>
        <w:rPr>
          <w:rFonts w:cs="宋体"/>
          <w:color w:val="auto"/>
        </w:rPr>
      </w:pPr>
      <w:bookmarkStart w:id="41" w:name="_Toc32449"/>
      <w:bookmarkStart w:id="42" w:name="_Toc26039"/>
      <w:bookmarkStart w:id="43" w:name="_Toc1086"/>
      <w:bookmarkStart w:id="44" w:name="_Toc32121"/>
      <w:r>
        <w:rPr>
          <w:rFonts w:hint="eastAsia" w:cs="宋体"/>
          <w:color w:val="auto"/>
        </w:rPr>
        <w:t>3.5第二个信封详细评审</w:t>
      </w:r>
      <w:bookmarkEnd w:id="41"/>
      <w:bookmarkEnd w:id="42"/>
      <w:bookmarkEnd w:id="43"/>
      <w:bookmarkEnd w:id="44"/>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3.5.1评标委员会按本章第2.2.4项(3)目规定的评审因素和分值对评标价计算出得分C。评标价得分分值计算保留小数点后两位，小数点后第三位“四舍五入”。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3.5.2投标人综合得分=投标人的商务和技术得分+C。</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31"/>
        <w:spacing w:beforeLines="0" w:afterLines="0" w:line="360" w:lineRule="auto"/>
        <w:rPr>
          <w:rFonts w:cs="宋体"/>
          <w:color w:val="auto"/>
        </w:rPr>
      </w:pPr>
      <w:bookmarkStart w:id="45" w:name="_Toc22932"/>
      <w:bookmarkStart w:id="46" w:name="_Toc17260"/>
      <w:bookmarkStart w:id="47" w:name="_Toc12478"/>
      <w:bookmarkStart w:id="48" w:name="_Toc4877"/>
      <w:r>
        <w:rPr>
          <w:rFonts w:hint="eastAsia" w:cs="宋体"/>
          <w:color w:val="auto"/>
        </w:rPr>
        <w:t>3.6投标文件相关信息的核查</w:t>
      </w:r>
      <w:bookmarkEnd w:id="45"/>
      <w:bookmarkEnd w:id="46"/>
      <w:bookmarkEnd w:id="47"/>
      <w:bookmarkEnd w:id="4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3.6.1评标委员会应对在评标过程中发现的投标人与投标人之间、投标人与招标人之间存在的串通投标的情形进行评审和认定。投标人存在串通投标、弄虚作假、行贿等违法行为的，评标委员会应否决其投标。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(1)有下列情形之一的，属于投标人相互串通投标：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a．投标人之间协商投标报价等投标文件的实质性内容；</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b．投标人之间约定中标人：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c．投标人之间约定部分投标人放弃投标或中标；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d．属于同一集团、协会、商会等组织成员的投标人按照该组织要求协同投标；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e．投标人之间为谋取中标或排斥特定投标人而采取的其他联合行动。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(2)有下列情形之一的，视为投标人相互串通投标：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a．不同投标人的投标文件由同一单位或个人编制；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b．不同投标人委托同一单位或个人办理投标事宜；</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c．不同投标人的投标文件载明的项目管理成员为同一人；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d．不同投标人的投标文件异常一致或投标报价呈规律性差异；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e．不同投标人的投标文件相互混装；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F．不同投标人的投标保证金从同一单位或个人的账户转出。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(3)有下列情形之一的，属于招标人与投标人串通投标：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a．招标人在开标前开启投标文件并将有关信息泄露给其他投标人；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b．招标人直接或间接向投标人泄露标底、评标委员会成员等信息；</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c．招标人明示或暗示投标人压低或抬高投标报价；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d．招标人授意投标人撤换、修改投标文件；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e．招标人明示或暗示投标人为特定投标人中标提供方便；</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f．招标人与投标人为谋求特定投标人中标而采取的其他串通行为。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(4)投标人有下列情形之一的，属于弄虚作假的行为：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a．使用通过受让或租借等方式获取的资格、资质证书投标；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b．使用伪造、变造的许可证件；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c．提供虚假的业绩；</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d．提供虚假的项目负责人或主要技术人员简历、劳动关系证明；</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e．提供虚假的信用状况；</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f．其他弄虚作假的行为。</w:t>
      </w:r>
    </w:p>
    <w:p>
      <w:pPr>
        <w:pStyle w:val="31"/>
        <w:spacing w:beforeLines="0" w:afterLines="0" w:line="360" w:lineRule="auto"/>
        <w:rPr>
          <w:rFonts w:cs="宋体"/>
          <w:color w:val="auto"/>
        </w:rPr>
      </w:pPr>
      <w:bookmarkStart w:id="49" w:name="_Toc26608"/>
      <w:bookmarkStart w:id="50" w:name="_Toc19013"/>
      <w:bookmarkStart w:id="51" w:name="_Toc22284"/>
      <w:bookmarkStart w:id="52" w:name="_Toc31296"/>
      <w:r>
        <w:rPr>
          <w:rFonts w:hint="eastAsia" w:cs="宋体"/>
          <w:color w:val="auto"/>
        </w:rPr>
        <w:t>3.7投标文件的澄清和说明</w:t>
      </w:r>
      <w:bookmarkEnd w:id="49"/>
      <w:bookmarkEnd w:id="50"/>
      <w:bookmarkEnd w:id="51"/>
      <w:bookmarkEnd w:id="5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3.7.2澄清和说明不得超出投标文件的范围或改变投标文件的实质性内容（算术性错误的修正除外）。投标人的书面澄清、说明属于投标文件的组成部分。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3.7.3评标委员会不得暗示或诱导投标人作出澄清、说明，对投标人提交的澄清、说明有疑问的，可以要求投标人进一步澄清或说明，直至满足评标委员会的要求。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3.7.4凡超出招标文件规定的或给委托人带来未曾要求的利益的变化、偏差或其他因素在评标时不予考虑。</w:t>
      </w:r>
    </w:p>
    <w:p>
      <w:pPr>
        <w:pStyle w:val="31"/>
        <w:spacing w:beforeLines="0" w:afterLines="0" w:line="360" w:lineRule="auto"/>
        <w:rPr>
          <w:rFonts w:cs="宋体"/>
          <w:color w:val="auto"/>
        </w:rPr>
      </w:pPr>
      <w:bookmarkStart w:id="53" w:name="_Toc16052"/>
      <w:bookmarkStart w:id="54" w:name="_Toc27532"/>
      <w:bookmarkStart w:id="55" w:name="_Toc13533"/>
      <w:bookmarkStart w:id="56" w:name="_Toc24104"/>
      <w:r>
        <w:rPr>
          <w:rFonts w:hint="eastAsia" w:cs="宋体"/>
          <w:color w:val="auto"/>
        </w:rPr>
        <w:t>3.8不得否决投标的情形</w:t>
      </w:r>
      <w:bookmarkEnd w:id="53"/>
      <w:bookmarkEnd w:id="54"/>
      <w:bookmarkEnd w:id="55"/>
      <w:bookmarkEnd w:id="56"/>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投标文件存在第二章“投标人须知”第1.12.3项所列情形的，均视为细微偏差，评标委员会不得否决投标人的投标，应按照第二章“投标人须知”第1.12.4项规定的原则处理。</w:t>
      </w:r>
    </w:p>
    <w:p>
      <w:pPr>
        <w:pStyle w:val="31"/>
        <w:spacing w:beforeLines="0" w:afterLines="0" w:line="360" w:lineRule="auto"/>
        <w:rPr>
          <w:rFonts w:cs="宋体"/>
          <w:color w:val="auto"/>
        </w:rPr>
      </w:pPr>
      <w:bookmarkStart w:id="57" w:name="_Toc24139"/>
      <w:bookmarkStart w:id="58" w:name="_Toc25873"/>
      <w:bookmarkStart w:id="59" w:name="_Toc26452"/>
      <w:bookmarkStart w:id="60" w:name="_Toc29462"/>
      <w:r>
        <w:rPr>
          <w:rFonts w:hint="eastAsia" w:cs="宋体"/>
          <w:color w:val="auto"/>
        </w:rPr>
        <w:t>3.9评标结果</w:t>
      </w:r>
      <w:bookmarkEnd w:id="57"/>
      <w:bookmarkEnd w:id="58"/>
      <w:bookmarkEnd w:id="59"/>
      <w:bookmarkEnd w:id="60"/>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3.9.1除第二章“投标人须知”前附表授权直接确定中标人外，评标委员会按照综合得分由高到低的顺序推荐中标候选人，并标明排序。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3.9.2评标委员会完成评标后，应向招标人提交书面评标报告。</w:t>
      </w:r>
    </w:p>
    <w:p>
      <w:pPr>
        <w:pStyle w:val="36"/>
        <w:spacing w:before="120" w:after="120"/>
        <w:rPr>
          <w:rFonts w:cs="宋体"/>
          <w:color w:val="auto"/>
          <w:szCs w:val="21"/>
        </w:rPr>
      </w:pPr>
    </w:p>
    <w:p>
      <w:pPr>
        <w:pStyle w:val="14"/>
        <w:rPr>
          <w:rFonts w:hint="eastAsia" w:ascii="宋体" w:hAnsi="宋体" w:eastAsia="宋体" w:cs="宋体"/>
          <w:sz w:val="22"/>
          <w:szCs w:val="22"/>
          <w:lang w:val="en-US" w:eastAsia="zh-CN"/>
        </w:rPr>
      </w:pPr>
      <w:r>
        <w:rPr>
          <w:rFonts w:hint="eastAsia" w:ascii="宋体" w:hAnsi="宋体" w:cs="宋体"/>
          <w:b/>
          <w:bCs/>
          <w:color w:val="auto"/>
          <w:sz w:val="24"/>
        </w:rPr>
        <w:br w:type="page"/>
      </w:r>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falt">
    <w:altName w:val="PMingLiU"/>
    <w:panose1 w:val="00000000000000000000"/>
    <w:charset w:val="88"/>
    <w:family w:val="modern"/>
    <w:pitch w:val="default"/>
    <w:sig w:usb0="00000000" w:usb1="00000000" w:usb2="00000010" w:usb3="00000000" w:csb0="001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9C72"/>
    <w:multiLevelType w:val="singleLevel"/>
    <w:tmpl w:val="5AA89C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82EF7"/>
    <w:rsid w:val="02B414E6"/>
    <w:rsid w:val="2500339B"/>
    <w:rsid w:val="25636C6C"/>
    <w:rsid w:val="27E82EF7"/>
    <w:rsid w:val="2BA64367"/>
    <w:rsid w:val="6ABB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leader="middleDot" w:pos="8400"/>
        <w:tab w:val="left" w:leader="middleDot" w:pos="10500"/>
      </w:tabs>
      <w:spacing w:line="480" w:lineRule="auto"/>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968" w:lineRule="exact"/>
      <w:ind w:left="2663"/>
      <w:jc w:val="center"/>
      <w:outlineLvl w:val="0"/>
    </w:pPr>
    <w:rPr>
      <w:rFonts w:ascii="黑体" w:hAnsi="黑体" w:eastAsia="宋体" w:cs="黑体"/>
      <w:b/>
      <w:sz w:val="52"/>
      <w:szCs w:val="76"/>
    </w:rPr>
  </w:style>
  <w:style w:type="paragraph" w:styleId="4">
    <w:name w:val="heading 2"/>
    <w:basedOn w:val="1"/>
    <w:next w:val="1"/>
    <w:qFormat/>
    <w:uiPriority w:val="1"/>
    <w:pPr>
      <w:ind w:right="61"/>
      <w:jc w:val="center"/>
      <w:outlineLvl w:val="1"/>
    </w:pPr>
    <w:rPr>
      <w:rFonts w:ascii="黑体" w:hAnsi="黑体" w:eastAsia="宋体" w:cs="黑体"/>
      <w:b/>
      <w:sz w:val="40"/>
      <w:szCs w:val="72"/>
    </w:rPr>
  </w:style>
  <w:style w:type="paragraph" w:styleId="5">
    <w:name w:val="heading 3"/>
    <w:basedOn w:val="1"/>
    <w:next w:val="1"/>
    <w:qFormat/>
    <w:uiPriority w:val="1"/>
    <w:pPr>
      <w:spacing w:before="169"/>
      <w:jc w:val="center"/>
      <w:outlineLvl w:val="2"/>
    </w:pPr>
    <w:rPr>
      <w:rFonts w:ascii="黑体" w:hAnsi="黑体" w:eastAsia="宋体" w:cs="黑体"/>
      <w:b/>
      <w:sz w:val="32"/>
      <w:szCs w:val="56"/>
    </w:rPr>
  </w:style>
  <w:style w:type="paragraph" w:styleId="6">
    <w:name w:val="heading 4"/>
    <w:basedOn w:val="1"/>
    <w:next w:val="1"/>
    <w:qFormat/>
    <w:uiPriority w:val="99"/>
    <w:pPr>
      <w:spacing w:before="21"/>
      <w:outlineLvl w:val="3"/>
    </w:pPr>
    <w:rPr>
      <w:rFonts w:ascii="黑体" w:hAnsi="黑体" w:cs="黑体"/>
      <w:b/>
      <w:sz w:val="28"/>
      <w:szCs w:val="44"/>
    </w:rPr>
  </w:style>
  <w:style w:type="paragraph" w:styleId="7">
    <w:name w:val="heading 5"/>
    <w:basedOn w:val="1"/>
    <w:next w:val="1"/>
    <w:qFormat/>
    <w:uiPriority w:val="1"/>
    <w:pPr>
      <w:spacing w:before="41"/>
      <w:ind w:left="441"/>
      <w:outlineLvl w:val="4"/>
    </w:pPr>
    <w:rPr>
      <w:rFonts w:ascii="黑体" w:hAnsi="黑体" w:eastAsia="宋体" w:cs="黑体"/>
      <w:b/>
      <w:bCs/>
      <w:sz w:val="28"/>
      <w:szCs w:val="4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8">
    <w:name w:val="Normal Indent"/>
    <w:basedOn w:val="1"/>
    <w:qFormat/>
    <w:uiPriority w:val="0"/>
    <w:pPr>
      <w:ind w:firstLine="420" w:firstLineChars="200"/>
    </w:pPr>
  </w:style>
  <w:style w:type="paragraph" w:styleId="9">
    <w:name w:val="Body Text Indent"/>
    <w:basedOn w:val="1"/>
    <w:qFormat/>
    <w:uiPriority w:val="0"/>
    <w:pPr>
      <w:spacing w:after="120" w:afterLines="0"/>
      <w:ind w:left="420" w:leftChars="200"/>
    </w:pPr>
  </w:style>
  <w:style w:type="paragraph" w:styleId="10">
    <w:name w:val="footer"/>
    <w:basedOn w:val="1"/>
    <w:next w:val="1"/>
    <w:qFormat/>
    <w:uiPriority w:val="0"/>
    <w:pPr>
      <w:tabs>
        <w:tab w:val="center" w:pos="4153"/>
        <w:tab w:val="right" w:pos="8306"/>
        <w:tab w:val="clear" w:pos="8400"/>
        <w:tab w:val="clear" w:pos="10500"/>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 w:val="clear" w:pos="8400"/>
        <w:tab w:val="clear" w:pos="10500"/>
      </w:tabs>
      <w:snapToGrid w:val="0"/>
      <w:jc w:val="center"/>
    </w:pPr>
    <w:rPr>
      <w:sz w:val="18"/>
      <w:szCs w:val="18"/>
    </w:rPr>
  </w:style>
  <w:style w:type="paragraph" w:styleId="12">
    <w:name w:val="footnote text"/>
    <w:basedOn w:val="1"/>
    <w:semiHidden/>
    <w:qFormat/>
    <w:uiPriority w:val="0"/>
    <w:pPr>
      <w:tabs>
        <w:tab w:val="clear" w:pos="8400"/>
        <w:tab w:val="clear" w:pos="10500"/>
      </w:tabs>
      <w:snapToGrid w:val="0"/>
      <w:spacing w:line="240" w:lineRule="auto"/>
      <w:jc w:val="left"/>
      <w:textAlignment w:val="auto"/>
    </w:pPr>
    <w:rPr>
      <w:sz w:val="18"/>
      <w:szCs w:val="18"/>
    </w:rPr>
  </w:style>
  <w:style w:type="paragraph" w:styleId="13">
    <w:name w:val="Normal (Web)"/>
    <w:basedOn w:val="1"/>
    <w:qFormat/>
    <w:uiPriority w:val="99"/>
    <w:pPr>
      <w:spacing w:beforeAutospacing="1" w:afterAutospacing="1"/>
    </w:pPr>
    <w:rPr>
      <w:rFonts w:cs="Times New Roman"/>
      <w:sz w:val="24"/>
      <w:lang w:val="en-US"/>
    </w:rPr>
  </w:style>
  <w:style w:type="paragraph" w:styleId="14">
    <w:name w:val="Body Text First Indent 2"/>
    <w:basedOn w:val="1"/>
    <w:qFormat/>
    <w:uiPriority w:val="0"/>
    <w:pPr>
      <w:ind w:firstLine="420" w:firstLineChars="200"/>
    </w:pPr>
  </w:style>
  <w:style w:type="character" w:styleId="17">
    <w:name w:val="Hyperlink"/>
    <w:basedOn w:val="16"/>
    <w:qFormat/>
    <w:uiPriority w:val="99"/>
    <w:rPr>
      <w:color w:val="000000"/>
      <w:sz w:val="18"/>
      <w:szCs w:val="18"/>
      <w:u w:val="none"/>
    </w:rPr>
  </w:style>
  <w:style w:type="character" w:styleId="18">
    <w:name w:val="footnote reference"/>
    <w:basedOn w:val="16"/>
    <w:semiHidden/>
    <w:qFormat/>
    <w:uiPriority w:val="0"/>
    <w:rPr>
      <w:vertAlign w:val="superscript"/>
    </w:rPr>
  </w:style>
  <w:style w:type="paragraph" w:customStyle="1" w:styleId="19">
    <w:name w:val="Normal_0"/>
    <w:qFormat/>
    <w:uiPriority w:val="0"/>
    <w:rPr>
      <w:rFonts w:ascii="Times New Roman" w:hAnsi="Times New Roman" w:eastAsia="Times New Roman" w:cs="Times New Roman"/>
      <w:sz w:val="24"/>
      <w:szCs w:val="24"/>
    </w:rPr>
  </w:style>
  <w:style w:type="paragraph" w:customStyle="1" w:styleId="20">
    <w:name w:val="Table Paragraph"/>
    <w:basedOn w:val="1"/>
    <w:qFormat/>
    <w:uiPriority w:val="0"/>
    <w:pPr>
      <w:tabs>
        <w:tab w:val="clear" w:pos="8400"/>
        <w:tab w:val="clear" w:pos="10500"/>
      </w:tabs>
      <w:spacing w:line="240" w:lineRule="auto"/>
      <w:textAlignment w:val="auto"/>
    </w:pPr>
  </w:style>
  <w:style w:type="paragraph" w:customStyle="1" w:styleId="21">
    <w:name w:val="表中"/>
    <w:basedOn w:val="1"/>
    <w:qFormat/>
    <w:uiPriority w:val="0"/>
    <w:pPr>
      <w:adjustRightInd w:val="0"/>
      <w:snapToGrid w:val="0"/>
      <w:spacing w:line="420" w:lineRule="atLeast"/>
      <w:jc w:val="center"/>
    </w:pPr>
    <w:rPr>
      <w:snapToGrid w:val="0"/>
      <w:kern w:val="0"/>
      <w:szCs w:val="20"/>
    </w:rPr>
  </w:style>
  <w:style w:type="paragraph" w:customStyle="1" w:styleId="22">
    <w:name w:val="列表段落1"/>
    <w:basedOn w:val="1"/>
    <w:qFormat/>
    <w:uiPriority w:val="0"/>
    <w:pPr>
      <w:tabs>
        <w:tab w:val="clear" w:pos="8400"/>
        <w:tab w:val="clear" w:pos="10500"/>
      </w:tabs>
      <w:spacing w:line="240" w:lineRule="auto"/>
      <w:ind w:left="424" w:firstLine="480"/>
      <w:textAlignment w:val="auto"/>
    </w:pPr>
  </w:style>
  <w:style w:type="paragraph" w:customStyle="1" w:styleId="23">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24">
    <w:name w:val="CM42"/>
    <w:basedOn w:val="23"/>
    <w:next w:val="23"/>
    <w:qFormat/>
    <w:uiPriority w:val="99"/>
    <w:pPr>
      <w:spacing w:line="400" w:lineRule="atLeast"/>
    </w:pPr>
    <w:rPr>
      <w:rFonts w:ascii="黑体" w:hAnsi="Calibri" w:eastAsia="黑体" w:cs="Times New Roman"/>
      <w:color w:val="auto"/>
    </w:rPr>
  </w:style>
  <w:style w:type="paragraph" w:customStyle="1" w:styleId="25">
    <w:name w:val="List Paragraph1"/>
    <w:basedOn w:val="1"/>
    <w:qFormat/>
    <w:uiPriority w:val="99"/>
    <w:pPr>
      <w:ind w:left="424" w:firstLine="480"/>
    </w:pPr>
  </w:style>
  <w:style w:type="paragraph" w:customStyle="1" w:styleId="26">
    <w:name w:val="标准"/>
    <w:basedOn w:val="21"/>
    <w:qFormat/>
    <w:uiPriority w:val="0"/>
  </w:style>
  <w:style w:type="paragraph" w:customStyle="1" w:styleId="27">
    <w:name w:val="样式 样式 行距: 1.5 倍行距 + 首行缩进:  2 字符"/>
    <w:basedOn w:val="1"/>
    <w:qFormat/>
    <w:uiPriority w:val="0"/>
    <w:pPr>
      <w:ind w:firstLine="422"/>
    </w:pPr>
    <w:rPr>
      <w:rFonts w:cs="宋体"/>
      <w:sz w:val="24"/>
    </w:rPr>
  </w:style>
  <w:style w:type="paragraph" w:customStyle="1" w:styleId="28">
    <w:name w:val="最 中间标题"/>
    <w:basedOn w:val="1"/>
    <w:link w:val="29"/>
    <w:qFormat/>
    <w:uiPriority w:val="0"/>
    <w:pPr>
      <w:spacing w:before="100" w:beforeLines="100" w:after="100" w:afterLines="100"/>
      <w:jc w:val="center"/>
    </w:pPr>
    <w:rPr>
      <w:rFonts w:ascii="宋体" w:hAnsi="宋体"/>
      <w:b/>
      <w:bCs/>
      <w:kern w:val="0"/>
      <w:sz w:val="30"/>
      <w:szCs w:val="30"/>
    </w:rPr>
  </w:style>
  <w:style w:type="character" w:customStyle="1" w:styleId="29">
    <w:name w:val="最 中间标题 Char"/>
    <w:link w:val="28"/>
    <w:qFormat/>
    <w:uiPriority w:val="0"/>
    <w:rPr>
      <w:rFonts w:ascii="宋体" w:hAnsi="宋体"/>
      <w:b/>
      <w:bCs/>
      <w:kern w:val="0"/>
      <w:sz w:val="30"/>
      <w:szCs w:val="30"/>
    </w:rPr>
  </w:style>
  <w:style w:type="character" w:customStyle="1" w:styleId="30">
    <w:name w:val="左侧题目 Char"/>
    <w:link w:val="31"/>
    <w:qFormat/>
    <w:uiPriority w:val="0"/>
    <w:rPr>
      <w:rFonts w:ascii="宋体" w:hAnsi="宋体"/>
      <w:b/>
      <w:bCs/>
      <w:kern w:val="0"/>
      <w:sz w:val="28"/>
      <w:szCs w:val="28"/>
    </w:rPr>
  </w:style>
  <w:style w:type="paragraph" w:customStyle="1" w:styleId="31">
    <w:name w:val="左侧题目"/>
    <w:basedOn w:val="1"/>
    <w:link w:val="30"/>
    <w:qFormat/>
    <w:uiPriority w:val="0"/>
    <w:pPr>
      <w:spacing w:before="50" w:beforeLines="50" w:after="50" w:afterLines="50" w:line="240" w:lineRule="auto"/>
      <w:ind w:firstLine="0" w:firstLineChars="0"/>
      <w:jc w:val="left"/>
    </w:pPr>
    <w:rPr>
      <w:rFonts w:ascii="宋体" w:hAnsi="宋体"/>
      <w:b/>
      <w:bCs/>
      <w:kern w:val="0"/>
      <w:sz w:val="28"/>
      <w:szCs w:val="28"/>
    </w:rPr>
  </w:style>
  <w:style w:type="paragraph" w:customStyle="1" w:styleId="32">
    <w:name w:val="Body text|2"/>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33">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34">
    <w:name w:val="Other|1"/>
    <w:basedOn w:val="1"/>
    <w:qFormat/>
    <w:uiPriority w:val="0"/>
    <w:pPr>
      <w:widowControl w:val="0"/>
      <w:shd w:val="clear" w:color="auto" w:fill="auto"/>
      <w:spacing w:line="444" w:lineRule="auto"/>
      <w:ind w:firstLine="330"/>
    </w:pPr>
    <w:rPr>
      <w:rFonts w:ascii="宋体" w:hAnsi="宋体" w:eastAsia="宋体" w:cs="宋体"/>
      <w:sz w:val="19"/>
      <w:szCs w:val="19"/>
      <w:u w:val="none"/>
      <w:shd w:val="clear" w:color="auto" w:fill="auto"/>
      <w:lang w:val="zh-TW" w:eastAsia="zh-TW" w:bidi="zh-TW"/>
    </w:rPr>
  </w:style>
  <w:style w:type="paragraph" w:customStyle="1" w:styleId="35">
    <w:name w:val="正文文本 (2)6"/>
    <w:basedOn w:val="1"/>
    <w:qFormat/>
    <w:uiPriority w:val="99"/>
    <w:pPr>
      <w:shd w:val="clear" w:color="auto" w:fill="FFFFFF"/>
      <w:spacing w:before="120" w:after="240" w:line="240" w:lineRule="atLeast"/>
      <w:ind w:hanging="220"/>
      <w:jc w:val="center"/>
    </w:pPr>
    <w:rPr>
      <w:rFonts w:ascii="MingLiUfalt" w:hAnsi="MingLiUfalt" w:eastAsia="MingLiUfalt" w:cs="MingLiUfalt"/>
      <w:sz w:val="22"/>
      <w:szCs w:val="22"/>
    </w:rPr>
  </w:style>
  <w:style w:type="paragraph" w:customStyle="1" w:styleId="36">
    <w:name w:val="最 章"/>
    <w:basedOn w:val="1"/>
    <w:qFormat/>
    <w:uiPriority w:val="0"/>
    <w:pPr>
      <w:spacing w:beforeLines="50" w:afterLines="50"/>
      <w:jc w:val="center"/>
    </w:pPr>
    <w:rPr>
      <w:rFonts w:ascii="宋体" w:hAnsi="宋体"/>
      <w:b/>
      <w:bCs/>
      <w:kern w:val="0"/>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2020-09-01T01:58:00Z</dcterms:created>
  <dc:creator>Administrator</dc:creator>
  <cp:lastModifiedBy>独淚颩铃</cp:lastModifiedBy>
  <dcterms:modified xsi:type="dcterms:W3CDTF">2021-09-23T01:24:04Z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F65BBCEF7D874542931A34EE05ED3962</vt:lpwstr>
  </property>
</Properties>
</file>