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705" w:type="dxa"/>
        <w:tblInd w:w="93" w:type="dxa"/>
        <w:tblLayout w:type="autofit"/>
        <w:tblCellMar>
          <w:top w:w="0" w:type="dxa"/>
          <w:left w:w="108" w:type="dxa"/>
          <w:bottom w:w="0" w:type="dxa"/>
          <w:right w:w="108" w:type="dxa"/>
        </w:tblCellMar>
      </w:tblPr>
      <w:tblGrid>
        <w:gridCol w:w="9705"/>
      </w:tblGrid>
      <w:tr>
        <w:tblPrEx>
          <w:tblCellMar>
            <w:top w:w="0" w:type="dxa"/>
            <w:left w:w="108" w:type="dxa"/>
            <w:bottom w:w="0" w:type="dxa"/>
            <w:right w:w="108" w:type="dxa"/>
          </w:tblCellMar>
        </w:tblPrEx>
        <w:trPr>
          <w:trHeight w:val="520" w:hRule="atLeast"/>
        </w:trPr>
        <w:tc>
          <w:tcPr>
            <w:tcW w:w="9705"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附录 1 资格审查条件（资质最低要求）</w:t>
            </w:r>
          </w:p>
          <w:p>
            <w:pPr>
              <w:pStyle w:val="8"/>
              <w:rPr>
                <w:rFonts w:hint="eastAsia" w:ascii="宋体" w:hAnsi="宋体" w:eastAsia="宋体" w:cs="宋体"/>
                <w:b/>
                <w:bCs/>
                <w:i w:val="0"/>
                <w:iCs w:val="0"/>
                <w:color w:val="000000"/>
                <w:kern w:val="0"/>
                <w:sz w:val="28"/>
                <w:szCs w:val="28"/>
                <w:u w:val="none"/>
                <w:lang w:val="en-US" w:eastAsia="zh-CN" w:bidi="ar"/>
              </w:rPr>
            </w:pPr>
          </w:p>
          <w:p>
            <w:pPr>
              <w:pStyle w:val="8"/>
              <w:rPr>
                <w:rFonts w:hint="eastAsia" w:ascii="宋体" w:hAnsi="宋体" w:eastAsia="宋体" w:cs="宋体"/>
                <w:b/>
                <w:bCs/>
                <w:i w:val="0"/>
                <w:iCs w:val="0"/>
                <w:color w:val="000000"/>
                <w:kern w:val="0"/>
                <w:sz w:val="28"/>
                <w:szCs w:val="28"/>
                <w:u w:val="none"/>
                <w:lang w:val="en-US" w:eastAsia="zh-CN" w:bidi="ar"/>
              </w:rPr>
            </w:pPr>
          </w:p>
        </w:tc>
      </w:tr>
      <w:tr>
        <w:tblPrEx>
          <w:tblCellMar>
            <w:top w:w="0" w:type="dxa"/>
            <w:left w:w="108" w:type="dxa"/>
            <w:bottom w:w="0" w:type="dxa"/>
            <w:right w:w="108" w:type="dxa"/>
          </w:tblCellMar>
        </w:tblPrEx>
        <w:trPr>
          <w:trHeight w:val="2880" w:hRule="atLeast"/>
        </w:trPr>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val="0"/>
              <w:autoSpaceDN w:val="0"/>
              <w:bidi w:val="0"/>
              <w:adjustRightInd w:val="0"/>
              <w:spacing w:line="3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1、投标人必须具有独立法人资格，并持有工商行政主管部门核发的有效企业法人营业执照（或事业单位法人证书）；</w:t>
            </w:r>
          </w:p>
          <w:p>
            <w:pPr>
              <w:keepNext w:val="0"/>
              <w:keepLines w:val="0"/>
              <w:pageBreakBefore w:val="0"/>
              <w:kinsoku/>
              <w:wordWrap/>
              <w:overflowPunct/>
              <w:autoSpaceDE w:val="0"/>
              <w:autoSpaceDN w:val="0"/>
              <w:bidi w:val="0"/>
              <w:adjustRightInd w:val="0"/>
              <w:spacing w:line="380" w:lineRule="exact"/>
              <w:jc w:val="left"/>
              <w:textAlignment w:val="auto"/>
              <w:rPr>
                <w:rFonts w:hint="eastAsia" w:ascii="宋体" w:hAnsi="宋体" w:eastAsia="宋体" w:cs="宋体"/>
                <w:b/>
                <w:bCs/>
                <w:i w:val="0"/>
                <w:iCs w:val="0"/>
                <w:color w:val="000000"/>
                <w:sz w:val="24"/>
                <w:szCs w:val="24"/>
                <w:u w:val="none"/>
              </w:rPr>
            </w:pPr>
            <w:r>
              <w:rPr>
                <w:rFonts w:hint="eastAsia" w:ascii="宋体" w:hAnsi="宋体" w:eastAsia="宋体" w:cs="宋体"/>
                <w:sz w:val="24"/>
                <w:szCs w:val="24"/>
              </w:rPr>
              <w:t>2、投标人必须具有交通运输部颁发的公路工程试验检测综合甲级资质证书（独立法人单位下属的非独立法人具有检测资质的，视为该独立法人单位具有相应资质），</w:t>
            </w:r>
            <w:r>
              <w:rPr>
                <w:rFonts w:hint="eastAsia" w:ascii="宋体" w:hAnsi="宋体" w:eastAsia="宋体" w:cs="宋体"/>
                <w:sz w:val="24"/>
                <w:szCs w:val="24"/>
                <w:highlight w:val="none"/>
              </w:rPr>
              <w:t>同时具备省级质量技术监督部门或国家认证认可监督管理委员会颁发的 CMA 计量认证合格证书。上述</w:t>
            </w:r>
            <w:r>
              <w:rPr>
                <w:rFonts w:hint="eastAsia" w:ascii="宋体" w:hAnsi="宋体" w:eastAsia="宋体" w:cs="宋体"/>
                <w:sz w:val="24"/>
                <w:szCs w:val="24"/>
              </w:rPr>
              <w:t>证书均须在有效期内。</w:t>
            </w:r>
          </w:p>
        </w:tc>
      </w:tr>
      <w:tr>
        <w:tblPrEx>
          <w:tblCellMar>
            <w:top w:w="0" w:type="dxa"/>
            <w:left w:w="108" w:type="dxa"/>
            <w:bottom w:w="0" w:type="dxa"/>
            <w:right w:w="108" w:type="dxa"/>
          </w:tblCellMar>
        </w:tblPrEx>
        <w:trPr>
          <w:trHeight w:val="2240" w:hRule="atLeast"/>
        </w:trPr>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基本情况表”后应附企业法人营业执照（或事业单位法人证书）副本和组织机构代码证副本（按照“三证合一”或“五证合一”登记制度进行登记的，可仅提供营业执照副本，下同）、企业资质证书副本、CMA-计量认证证书、基本账户开户许可证的彩色影印件，以及投标人（除事业单位以外的投标人）在国家企业信用信息公示系统中基础信息（体现股东及出资详细信息的网页截图或由法定的社会验资机构出具的验资报告或注册地工商部门出具的股东出资情况证明彩色影印件，并逐页加盖投标人单位章。企业法人营业执照（或事业单位法人证书）副本和组织机构代码证副本、企业资质证书副本、CMA-计量认证证书、基本账户开户许可证的复印件应提供全本（证书封面、封底、空白页除外），应包括投标人名称、投标人其他相关信息、颁发机构名称、投标人信息变更情况等关键页在内。</w:t>
            </w: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10"/>
        <w:tblW w:w="9705" w:type="dxa"/>
        <w:tblInd w:w="93" w:type="dxa"/>
        <w:tblLayout w:type="autofit"/>
        <w:tblCellMar>
          <w:top w:w="0" w:type="dxa"/>
          <w:left w:w="108" w:type="dxa"/>
          <w:bottom w:w="0" w:type="dxa"/>
          <w:right w:w="108" w:type="dxa"/>
        </w:tblCellMar>
      </w:tblPr>
      <w:tblGrid>
        <w:gridCol w:w="9705"/>
      </w:tblGrid>
      <w:tr>
        <w:trPr>
          <w:trHeight w:val="600" w:hRule="atLeast"/>
        </w:trPr>
        <w:tc>
          <w:tcPr>
            <w:tcW w:w="9705"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附录 2 资格审查条件（业绩最低要求）</w:t>
            </w:r>
          </w:p>
          <w:p>
            <w:pPr>
              <w:pStyle w:val="8"/>
              <w:rPr>
                <w:rFonts w:hint="eastAsia" w:ascii="宋体" w:hAnsi="宋体" w:eastAsia="宋体" w:cs="宋体"/>
                <w:b/>
                <w:bCs/>
                <w:i w:val="0"/>
                <w:iCs w:val="0"/>
                <w:color w:val="000000"/>
                <w:kern w:val="0"/>
                <w:sz w:val="22"/>
                <w:szCs w:val="22"/>
                <w:u w:val="none"/>
                <w:lang w:val="en-US" w:eastAsia="zh-CN" w:bidi="ar"/>
              </w:rPr>
            </w:pPr>
          </w:p>
          <w:p>
            <w:pPr>
              <w:pStyle w:val="8"/>
              <w:rPr>
                <w:rFonts w:hint="eastAsia" w:ascii="宋体" w:hAnsi="宋体" w:eastAsia="宋体" w:cs="宋体"/>
                <w:b/>
                <w:bCs/>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1403" w:hRule="atLeast"/>
        </w:trPr>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val="0"/>
              <w:autoSpaceDN w:val="0"/>
              <w:bidi w:val="0"/>
              <w:adjustRightInd w:val="0"/>
              <w:spacing w:line="380" w:lineRule="exact"/>
              <w:jc w:val="left"/>
              <w:textAlignment w:val="auto"/>
              <w:rPr>
                <w:rFonts w:hint="eastAsia" w:ascii="宋体" w:hAnsi="宋体" w:eastAsia="宋体" w:cs="宋体"/>
                <w:b/>
                <w:bCs/>
                <w:i w:val="0"/>
                <w:iCs w:val="0"/>
                <w:color w:val="000000"/>
                <w:sz w:val="24"/>
                <w:szCs w:val="24"/>
                <w:u w:val="none"/>
              </w:rPr>
            </w:pPr>
            <w:r>
              <w:rPr>
                <w:rFonts w:hint="eastAsia" w:ascii="宋体" w:hAnsi="宋体" w:eastAsia="宋体" w:cs="宋体"/>
                <w:color w:val="000000"/>
                <w:sz w:val="24"/>
                <w:szCs w:val="24"/>
                <w:highlight w:val="none"/>
              </w:rPr>
              <w:t>投标人近3年（指合同签订时间为201</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年1月1日至投标文件递交截止日</w:t>
            </w:r>
            <w:r>
              <w:rPr>
                <w:rFonts w:hint="eastAsia" w:ascii="宋体" w:hAnsi="宋体" w:eastAsia="宋体" w:cs="宋体"/>
                <w:color w:val="000000"/>
                <w:sz w:val="24"/>
                <w:szCs w:val="24"/>
                <w:highlight w:val="none"/>
                <w:lang w:val="en-US" w:eastAsia="zh-CN"/>
              </w:rPr>
              <w:t>内</w:t>
            </w:r>
            <w:r>
              <w:rPr>
                <w:rFonts w:hint="eastAsia" w:ascii="宋体" w:hAnsi="宋体" w:eastAsia="宋体" w:cs="宋体"/>
                <w:color w:val="000000"/>
                <w:sz w:val="24"/>
                <w:szCs w:val="24"/>
                <w:highlight w:val="none"/>
              </w:rPr>
              <w:t>）完成高速公路路况检测、</w:t>
            </w:r>
            <w:r>
              <w:rPr>
                <w:rFonts w:hint="eastAsia" w:cs="宋体"/>
                <w:color w:val="000000"/>
                <w:sz w:val="24"/>
                <w:szCs w:val="24"/>
                <w:highlight w:val="none"/>
                <w:lang w:val="en-US" w:eastAsia="zh-CN"/>
              </w:rPr>
              <w:t>数据处理、</w:t>
            </w:r>
            <w:r>
              <w:rPr>
                <w:rFonts w:hint="eastAsia" w:ascii="宋体" w:hAnsi="宋体" w:eastAsia="宋体" w:cs="宋体"/>
                <w:color w:val="000000"/>
                <w:sz w:val="24"/>
                <w:szCs w:val="24"/>
                <w:highlight w:val="none"/>
              </w:rPr>
              <w:t>评定及养护分析里程累计不少于 3000 公里（含3000公里）。</w:t>
            </w:r>
          </w:p>
        </w:tc>
      </w:tr>
      <w:tr>
        <w:tblPrEx>
          <w:tblCellMar>
            <w:top w:w="0" w:type="dxa"/>
            <w:left w:w="108" w:type="dxa"/>
            <w:bottom w:w="0" w:type="dxa"/>
            <w:right w:w="108" w:type="dxa"/>
          </w:tblCellMar>
        </w:tblPrEx>
        <w:trPr>
          <w:trHeight w:val="2100" w:hRule="atLeast"/>
        </w:trPr>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每一个企业业绩均须在投标文件中提供证明材料的彩色影印件，证明材料是指：中标通知书、或合同协议书、或交竣工验收报告，或项目业主出具并加盖其单位印章的业绩证明。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证明材料应能反映企业业绩考核指标（检测时间、合同内容等），否则不予认定。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如近年来，投标人法人机构发生合法变更或重组或法人名称变更时，应提供相关部门的合法批件或其他相关证明材料来证明其所附业绩的继承性。</w:t>
            </w:r>
          </w:p>
        </w:tc>
      </w:tr>
    </w:tbl>
    <w:p>
      <w:pPr>
        <w:pStyle w:val="7"/>
        <w:rPr>
          <w:rFonts w:hint="eastAsia" w:ascii="宋体" w:hAnsi="宋体" w:eastAsia="宋体" w:cs="宋体"/>
          <w:b/>
          <w:sz w:val="16"/>
        </w:rPr>
      </w:pPr>
    </w:p>
    <w:p>
      <w:pPr>
        <w:tabs>
          <w:tab w:val="left" w:pos="1053"/>
        </w:tabs>
        <w:spacing w:before="61"/>
        <w:ind w:right="320"/>
        <w:jc w:val="center"/>
        <w:rPr>
          <w:rFonts w:hint="eastAsia" w:ascii="宋体" w:hAnsi="宋体" w:eastAsia="宋体" w:cs="宋体"/>
          <w:b/>
          <w:sz w:val="28"/>
        </w:rPr>
      </w:pPr>
      <w:bookmarkStart w:id="0" w:name="附录4__资格审查条件（主要人员最低要求）"/>
      <w:bookmarkEnd w:id="0"/>
      <w:bookmarkStart w:id="1" w:name="_bookmark12"/>
      <w:bookmarkEnd w:id="1"/>
    </w:p>
    <w:p>
      <w:pPr>
        <w:tabs>
          <w:tab w:val="left" w:pos="1053"/>
        </w:tabs>
        <w:spacing w:before="61"/>
        <w:ind w:right="320"/>
        <w:jc w:val="center"/>
        <w:rPr>
          <w:rFonts w:hint="eastAsia" w:ascii="宋体" w:hAnsi="宋体" w:eastAsia="宋体" w:cs="宋体"/>
          <w:b/>
          <w:sz w:val="28"/>
        </w:rPr>
      </w:pPr>
    </w:p>
    <w:p>
      <w:pPr>
        <w:tabs>
          <w:tab w:val="left" w:pos="1053"/>
        </w:tabs>
        <w:spacing w:before="61"/>
        <w:ind w:right="320"/>
        <w:jc w:val="center"/>
        <w:rPr>
          <w:rFonts w:hint="eastAsia" w:ascii="宋体" w:hAnsi="宋体" w:eastAsia="宋体" w:cs="宋体"/>
          <w:b/>
          <w:sz w:val="28"/>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10"/>
        <w:tblW w:w="9705" w:type="dxa"/>
        <w:tblInd w:w="93" w:type="dxa"/>
        <w:tblLayout w:type="autofit"/>
        <w:tblCellMar>
          <w:top w:w="0" w:type="dxa"/>
          <w:left w:w="108" w:type="dxa"/>
          <w:bottom w:w="0" w:type="dxa"/>
          <w:right w:w="108" w:type="dxa"/>
        </w:tblCellMar>
      </w:tblPr>
      <w:tblGrid>
        <w:gridCol w:w="9705"/>
      </w:tblGrid>
      <w:tr>
        <w:tblPrEx>
          <w:tblCellMar>
            <w:top w:w="0" w:type="dxa"/>
            <w:left w:w="108" w:type="dxa"/>
            <w:bottom w:w="0" w:type="dxa"/>
            <w:right w:w="108" w:type="dxa"/>
          </w:tblCellMar>
        </w:tblPrEx>
        <w:trPr>
          <w:trHeight w:val="500" w:hRule="atLeast"/>
        </w:trPr>
        <w:tc>
          <w:tcPr>
            <w:tcW w:w="9705"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附录 3 资格审查条件（信誉最低要求）</w:t>
            </w:r>
          </w:p>
          <w:p>
            <w:pPr>
              <w:pStyle w:val="8"/>
              <w:rPr>
                <w:rFonts w:hint="eastAsia" w:ascii="宋体" w:hAnsi="宋体" w:eastAsia="宋体" w:cs="宋体"/>
                <w:b w:val="0"/>
                <w:bCs w:val="0"/>
                <w:i w:val="0"/>
                <w:iCs w:val="0"/>
                <w:color w:val="000000"/>
                <w:kern w:val="0"/>
                <w:sz w:val="28"/>
                <w:szCs w:val="28"/>
                <w:u w:val="none"/>
                <w:lang w:val="en-US" w:eastAsia="zh-CN" w:bidi="ar"/>
              </w:rPr>
            </w:pPr>
          </w:p>
          <w:p>
            <w:pPr>
              <w:pStyle w:val="8"/>
              <w:rPr>
                <w:rFonts w:hint="eastAsia" w:ascii="宋体" w:hAnsi="宋体" w:eastAsia="宋体" w:cs="宋体"/>
                <w:b w:val="0"/>
                <w:bCs w:val="0"/>
                <w:i w:val="0"/>
                <w:iCs w:val="0"/>
                <w:color w:val="000000"/>
                <w:kern w:val="0"/>
                <w:sz w:val="28"/>
                <w:szCs w:val="28"/>
                <w:u w:val="none"/>
                <w:lang w:val="en-US" w:eastAsia="zh-CN" w:bidi="ar"/>
              </w:rPr>
            </w:pPr>
          </w:p>
        </w:tc>
      </w:tr>
      <w:tr>
        <w:tblPrEx>
          <w:tblCellMar>
            <w:top w:w="0" w:type="dxa"/>
            <w:left w:w="108" w:type="dxa"/>
            <w:bottom w:w="0" w:type="dxa"/>
            <w:right w:w="108" w:type="dxa"/>
          </w:tblCellMar>
        </w:tblPrEx>
        <w:trPr>
          <w:trHeight w:val="2640" w:hRule="atLeast"/>
        </w:trPr>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val="0"/>
              <w:autoSpaceDN w:val="0"/>
              <w:bidi w:val="0"/>
              <w:spacing w:line="380" w:lineRule="exact"/>
              <w:textAlignment w:val="auto"/>
              <w:rPr>
                <w:rFonts w:hint="eastAsia" w:ascii="宋体" w:hAnsi="宋体" w:eastAsia="宋体" w:cs="宋体"/>
                <w:szCs w:val="21"/>
              </w:rPr>
            </w:pPr>
            <w:r>
              <w:rPr>
                <w:rFonts w:hint="eastAsia" w:ascii="宋体" w:hAnsi="宋体" w:eastAsia="宋体" w:cs="宋体"/>
                <w:sz w:val="24"/>
                <w:szCs w:val="24"/>
              </w:rPr>
              <w:t>投标人不得存在不良状况或不良信用记录：</w:t>
            </w:r>
          </w:p>
          <w:p>
            <w:pPr>
              <w:keepNext w:val="0"/>
              <w:keepLines w:val="0"/>
              <w:pageBreakBefore w:val="0"/>
              <w:widowControl/>
              <w:kinsoku/>
              <w:wordWrap/>
              <w:overflowPunct/>
              <w:bidi w:val="0"/>
              <w:spacing w:line="380" w:lineRule="exact"/>
              <w:textAlignment w:val="auto"/>
              <w:rPr>
                <w:rFonts w:hint="eastAsia" w:ascii="宋体" w:hAnsi="宋体" w:eastAsia="宋体" w:cs="宋体"/>
                <w:sz w:val="24"/>
              </w:rPr>
            </w:pPr>
            <w:r>
              <w:rPr>
                <w:rFonts w:hint="eastAsia" w:ascii="宋体" w:hAnsi="宋体" w:eastAsia="宋体" w:cs="宋体"/>
                <w:sz w:val="24"/>
              </w:rPr>
              <w:t>1.没有被省级及以上交通运输主管部门取消招标项目所在地投标资格且处于有效期内；</w:t>
            </w:r>
          </w:p>
          <w:p>
            <w:pPr>
              <w:keepNext w:val="0"/>
              <w:keepLines w:val="0"/>
              <w:pageBreakBefore w:val="0"/>
              <w:widowControl/>
              <w:kinsoku/>
              <w:wordWrap/>
              <w:overflowPunct/>
              <w:bidi w:val="0"/>
              <w:spacing w:line="380" w:lineRule="exact"/>
              <w:textAlignment w:val="auto"/>
              <w:rPr>
                <w:rFonts w:hint="eastAsia" w:ascii="宋体" w:hAnsi="宋体" w:eastAsia="宋体" w:cs="宋体"/>
                <w:sz w:val="24"/>
              </w:rPr>
            </w:pPr>
            <w:r>
              <w:rPr>
                <w:rFonts w:hint="eastAsia" w:ascii="宋体" w:hAnsi="宋体" w:eastAsia="宋体" w:cs="宋体"/>
                <w:sz w:val="24"/>
              </w:rPr>
              <w:t>2.没有被责令停业、暂扣或吊销营业执照或吊销资质证书；</w:t>
            </w:r>
          </w:p>
          <w:p>
            <w:pPr>
              <w:keepNext w:val="0"/>
              <w:keepLines w:val="0"/>
              <w:pageBreakBefore w:val="0"/>
              <w:widowControl/>
              <w:kinsoku/>
              <w:wordWrap/>
              <w:overflowPunct/>
              <w:bidi w:val="0"/>
              <w:spacing w:line="380" w:lineRule="exact"/>
              <w:textAlignment w:val="auto"/>
              <w:rPr>
                <w:rFonts w:hint="eastAsia" w:ascii="宋体" w:hAnsi="宋体" w:eastAsia="宋体" w:cs="宋体"/>
                <w:sz w:val="24"/>
              </w:rPr>
            </w:pPr>
            <w:r>
              <w:rPr>
                <w:rFonts w:hint="eastAsia" w:ascii="宋体" w:hAnsi="宋体" w:eastAsia="宋体" w:cs="宋体"/>
                <w:sz w:val="24"/>
              </w:rPr>
              <w:t>3.未进入清算程序或被宣告破产或其他丧失履约能力的情形；</w:t>
            </w:r>
          </w:p>
          <w:p>
            <w:pPr>
              <w:keepNext w:val="0"/>
              <w:keepLines w:val="0"/>
              <w:pageBreakBefore w:val="0"/>
              <w:widowControl/>
              <w:kinsoku/>
              <w:wordWrap/>
              <w:overflowPunct/>
              <w:bidi w:val="0"/>
              <w:spacing w:line="380" w:lineRule="exact"/>
              <w:textAlignment w:val="auto"/>
              <w:rPr>
                <w:rFonts w:hint="eastAsia" w:ascii="宋体" w:hAnsi="宋体" w:eastAsia="宋体" w:cs="宋体"/>
                <w:sz w:val="24"/>
              </w:rPr>
            </w:pPr>
            <w:r>
              <w:rPr>
                <w:rFonts w:hint="eastAsia" w:ascii="宋体" w:hAnsi="宋体" w:eastAsia="宋体" w:cs="宋体"/>
                <w:sz w:val="24"/>
              </w:rPr>
              <w:t>4.没有在国家企业信用信息公示系统（</w:t>
            </w:r>
            <w:r>
              <w:rPr>
                <w:rFonts w:hint="eastAsia" w:ascii="宋体" w:hAnsi="宋体" w:eastAsia="宋体" w:cs="宋体"/>
                <w:sz w:val="24"/>
              </w:rPr>
              <w:fldChar w:fldCharType="begin"/>
            </w:r>
            <w:r>
              <w:rPr>
                <w:rFonts w:hint="eastAsia" w:ascii="宋体" w:hAnsi="宋体" w:eastAsia="宋体" w:cs="宋体"/>
                <w:sz w:val="24"/>
              </w:rPr>
              <w:instrText xml:space="preserve"> HYPERLINK "http://www.gsxt.gov.cn/" \h </w:instrText>
            </w:r>
            <w:r>
              <w:rPr>
                <w:rFonts w:hint="eastAsia" w:ascii="宋体" w:hAnsi="宋体" w:eastAsia="宋体" w:cs="宋体"/>
                <w:sz w:val="24"/>
              </w:rPr>
              <w:fldChar w:fldCharType="separate"/>
            </w:r>
            <w:r>
              <w:rPr>
                <w:rFonts w:hint="eastAsia" w:ascii="宋体" w:hAnsi="宋体" w:eastAsia="宋体" w:cs="宋体"/>
                <w:sz w:val="24"/>
              </w:rPr>
              <w:t>www.gsxt.gov.cn</w:t>
            </w:r>
            <w:r>
              <w:rPr>
                <w:rFonts w:hint="eastAsia" w:ascii="宋体" w:hAnsi="宋体" w:eastAsia="宋体" w:cs="宋体"/>
                <w:sz w:val="24"/>
              </w:rPr>
              <w:fldChar w:fldCharType="end"/>
            </w:r>
            <w:r>
              <w:rPr>
                <w:rFonts w:hint="eastAsia" w:ascii="宋体" w:hAnsi="宋体" w:eastAsia="宋体" w:cs="宋体"/>
                <w:sz w:val="24"/>
              </w:rPr>
              <w:t>）中被列入严重违法失信企业名单；</w:t>
            </w:r>
          </w:p>
          <w:p>
            <w:pPr>
              <w:keepNext w:val="0"/>
              <w:keepLines w:val="0"/>
              <w:pageBreakBefore w:val="0"/>
              <w:widowControl/>
              <w:kinsoku/>
              <w:wordWrap/>
              <w:overflowPunct/>
              <w:bidi w:val="0"/>
              <w:spacing w:line="380" w:lineRule="exact"/>
              <w:textAlignment w:val="auto"/>
              <w:rPr>
                <w:rFonts w:hint="eastAsia" w:ascii="宋体" w:hAnsi="宋体" w:eastAsia="宋体" w:cs="宋体"/>
                <w:sz w:val="24"/>
              </w:rPr>
            </w:pPr>
            <w:r>
              <w:rPr>
                <w:rFonts w:hint="eastAsia" w:ascii="宋体" w:hAnsi="宋体" w:eastAsia="宋体" w:cs="宋体"/>
                <w:sz w:val="24"/>
              </w:rPr>
              <w:t>5.没有在“信用中国”网站（</w:t>
            </w:r>
            <w:r>
              <w:rPr>
                <w:rFonts w:hint="eastAsia" w:ascii="宋体" w:hAnsi="宋体" w:eastAsia="宋体" w:cs="宋体"/>
                <w:sz w:val="24"/>
              </w:rPr>
              <w:fldChar w:fldCharType="begin"/>
            </w:r>
            <w:r>
              <w:rPr>
                <w:rFonts w:hint="eastAsia" w:ascii="宋体" w:hAnsi="宋体" w:eastAsia="宋体" w:cs="宋体"/>
                <w:sz w:val="24"/>
              </w:rPr>
              <w:instrText xml:space="preserve"> HYPERLINK "http://www.creditchina.gov.cn/" \h </w:instrText>
            </w:r>
            <w:r>
              <w:rPr>
                <w:rFonts w:hint="eastAsia" w:ascii="宋体" w:hAnsi="宋体" w:eastAsia="宋体" w:cs="宋体"/>
                <w:sz w:val="24"/>
              </w:rPr>
              <w:fldChar w:fldCharType="separate"/>
            </w:r>
            <w:r>
              <w:rPr>
                <w:rFonts w:hint="eastAsia" w:ascii="宋体" w:hAnsi="宋体" w:eastAsia="宋体" w:cs="宋体"/>
                <w:sz w:val="24"/>
              </w:rPr>
              <w:t>www.creditchina.gov.cn</w:t>
            </w:r>
            <w:r>
              <w:rPr>
                <w:rFonts w:hint="eastAsia" w:ascii="宋体" w:hAnsi="宋体" w:eastAsia="宋体" w:cs="宋体"/>
                <w:sz w:val="24"/>
              </w:rPr>
              <w:fldChar w:fldCharType="end"/>
            </w:r>
            <w:r>
              <w:rPr>
                <w:rFonts w:hint="eastAsia" w:ascii="宋体" w:hAnsi="宋体" w:eastAsia="宋体" w:cs="宋体"/>
                <w:sz w:val="24"/>
              </w:rPr>
              <w:t>）、“信用交通”网站（credit.mot.gov.cn）中被列入失信被执行人名单；</w:t>
            </w:r>
          </w:p>
          <w:p>
            <w:pPr>
              <w:keepNext w:val="0"/>
              <w:keepLines w:val="0"/>
              <w:pageBreakBefore w:val="0"/>
              <w:widowControl/>
              <w:kinsoku/>
              <w:wordWrap/>
              <w:overflowPunct/>
              <w:bidi w:val="0"/>
              <w:spacing w:line="380" w:lineRule="exact"/>
              <w:textAlignment w:val="auto"/>
              <w:rPr>
                <w:rFonts w:hint="eastAsia" w:ascii="宋体" w:hAnsi="宋体" w:eastAsia="宋体" w:cs="宋体"/>
                <w:sz w:val="24"/>
              </w:rPr>
            </w:pPr>
            <w:r>
              <w:rPr>
                <w:rFonts w:hint="eastAsia" w:ascii="宋体" w:hAnsi="宋体" w:eastAsia="宋体" w:cs="宋体"/>
                <w:sz w:val="24"/>
              </w:rPr>
              <w:t>6.投标人或其法定代表人、拟委任的试验检测负责人在近三年内没有行贿犯罪行为；</w:t>
            </w:r>
          </w:p>
          <w:p>
            <w:pPr>
              <w:keepNext w:val="0"/>
              <w:keepLines w:val="0"/>
              <w:pageBreakBefore w:val="0"/>
              <w:widowControl/>
              <w:kinsoku/>
              <w:wordWrap/>
              <w:overflowPunct/>
              <w:bidi w:val="0"/>
              <w:spacing w:line="380" w:lineRule="exact"/>
              <w:textAlignment w:val="auto"/>
              <w:rPr>
                <w:rFonts w:hint="eastAsia" w:ascii="宋体" w:hAnsi="宋体" w:eastAsia="宋体" w:cs="宋体"/>
                <w:sz w:val="24"/>
              </w:rPr>
            </w:pPr>
            <w:r>
              <w:rPr>
                <w:rFonts w:hint="eastAsia" w:ascii="宋体" w:hAnsi="宋体" w:eastAsia="宋体" w:cs="宋体"/>
                <w:sz w:val="24"/>
              </w:rPr>
              <w:t>7.近三年内（201</w:t>
            </w:r>
            <w:r>
              <w:rPr>
                <w:rFonts w:hint="eastAsia" w:ascii="宋体" w:hAnsi="宋体" w:eastAsia="宋体" w:cs="宋体"/>
                <w:sz w:val="24"/>
                <w:lang w:val="en-US" w:eastAsia="zh-CN"/>
              </w:rPr>
              <w:t>8</w:t>
            </w:r>
            <w:r>
              <w:rPr>
                <w:rFonts w:hint="eastAsia" w:ascii="宋体" w:hAnsi="宋体" w:eastAsia="宋体" w:cs="宋体"/>
                <w:sz w:val="24"/>
              </w:rPr>
              <w:t>年1月1日至投标文件递交截止日），没有被交通运输主管部门或其他相关行政职能部门处罚（以相关行业主管部门的行政处罚决定或司法机关出具的有关法律文书为准）；</w:t>
            </w:r>
          </w:p>
          <w:p>
            <w:pPr>
              <w:keepNext w:val="0"/>
              <w:keepLines w:val="0"/>
              <w:pageBreakBefore w:val="0"/>
              <w:widowControl/>
              <w:kinsoku/>
              <w:wordWrap/>
              <w:overflowPunct/>
              <w:bidi w:val="0"/>
              <w:spacing w:line="380" w:lineRule="exact"/>
              <w:textAlignment w:val="auto"/>
              <w:rPr>
                <w:rFonts w:hint="eastAsia" w:ascii="宋体" w:hAnsi="宋体" w:eastAsia="宋体" w:cs="宋体"/>
                <w:sz w:val="24"/>
              </w:rPr>
            </w:pPr>
            <w:r>
              <w:rPr>
                <w:rFonts w:hint="eastAsia" w:ascii="宋体" w:hAnsi="宋体" w:eastAsia="宋体" w:cs="宋体"/>
                <w:sz w:val="24"/>
              </w:rPr>
              <w:t>8.没有违反法律法规或投标人须知前附表规定的其他情形；</w:t>
            </w:r>
          </w:p>
          <w:p>
            <w:pPr>
              <w:keepNext w:val="0"/>
              <w:keepLines w:val="0"/>
              <w:pageBreakBefore w:val="0"/>
              <w:widowControl/>
              <w:kinsoku/>
              <w:wordWrap/>
              <w:overflowPunct/>
              <w:bidi w:val="0"/>
              <w:spacing w:line="380" w:lineRule="exact"/>
              <w:textAlignment w:val="auto"/>
              <w:rPr>
                <w:rFonts w:hint="eastAsia" w:ascii="宋体" w:hAnsi="宋体" w:eastAsia="宋体" w:cs="宋体"/>
                <w:sz w:val="24"/>
              </w:rPr>
            </w:pPr>
            <w:r>
              <w:rPr>
                <w:rFonts w:hint="eastAsia" w:ascii="宋体" w:hAnsi="宋体" w:eastAsia="宋体" w:cs="宋体"/>
                <w:sz w:val="24"/>
              </w:rPr>
              <w:t>注：投标人（联合体各方）如未如实填报，一经查实，立即取消其投标资格。</w:t>
            </w:r>
          </w:p>
          <w:p>
            <w:pPr>
              <w:keepNext w:val="0"/>
              <w:keepLines w:val="0"/>
              <w:pageBreakBefore w:val="0"/>
              <w:widowControl/>
              <w:kinsoku/>
              <w:wordWrap/>
              <w:overflowPunct/>
              <w:bidi w:val="0"/>
              <w:spacing w:line="380" w:lineRule="exact"/>
              <w:textAlignment w:val="auto"/>
              <w:rPr>
                <w:rFonts w:hint="eastAsia" w:ascii="宋体" w:hAnsi="宋体" w:eastAsia="宋体" w:cs="宋体"/>
                <w:b/>
                <w:bCs/>
                <w:i w:val="0"/>
                <w:iCs w:val="0"/>
                <w:color w:val="000000"/>
                <w:sz w:val="24"/>
                <w:szCs w:val="24"/>
                <w:u w:val="none"/>
              </w:rPr>
            </w:pPr>
            <w:r>
              <w:rPr>
                <w:rFonts w:hint="eastAsia" w:ascii="宋体" w:hAnsi="宋体" w:eastAsia="宋体" w:cs="宋体"/>
                <w:kern w:val="2"/>
                <w:sz w:val="24"/>
                <w:szCs w:val="24"/>
              </w:rPr>
              <w:t>（行贿犯罪行为的认定以投标人提供的承诺函为准）</w:t>
            </w:r>
            <w:r>
              <w:rPr>
                <w:rFonts w:hint="eastAsia" w:ascii="宋体" w:hAnsi="宋体" w:eastAsia="宋体" w:cs="宋体"/>
                <w:sz w:val="24"/>
              </w:rPr>
              <w:t>。</w:t>
            </w:r>
          </w:p>
        </w:tc>
      </w:tr>
      <w:tr>
        <w:tblPrEx>
          <w:tblCellMar>
            <w:top w:w="0" w:type="dxa"/>
            <w:left w:w="108" w:type="dxa"/>
            <w:bottom w:w="0" w:type="dxa"/>
            <w:right w:w="108" w:type="dxa"/>
          </w:tblCellMar>
        </w:tblPrEx>
        <w:trPr>
          <w:trHeight w:val="1140" w:hRule="atLeast"/>
        </w:trPr>
        <w:tc>
          <w:tcPr>
            <w:tcW w:w="9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投标人应附在国家企业信用信息公示系统中未被列入严重违法失信企业名单，在“信用中国”、“信用</w:t>
            </w:r>
            <w:r>
              <w:rPr>
                <w:rFonts w:hint="eastAsia" w:ascii="宋体" w:hAnsi="宋体" w:eastAsia="宋体" w:cs="宋体"/>
                <w:i w:val="0"/>
                <w:iCs w:val="0"/>
                <w:color w:val="000000"/>
                <w:sz w:val="24"/>
                <w:szCs w:val="24"/>
                <w:u w:val="none"/>
                <w:lang w:val="en-US" w:eastAsia="zh-CN"/>
              </w:rPr>
              <w:t>交通</w:t>
            </w:r>
            <w:r>
              <w:rPr>
                <w:rFonts w:hint="eastAsia" w:ascii="宋体" w:hAnsi="宋体" w:eastAsia="宋体" w:cs="宋体"/>
                <w:i w:val="0"/>
                <w:iCs w:val="0"/>
                <w:color w:val="000000"/>
                <w:sz w:val="24"/>
                <w:szCs w:val="24"/>
                <w:u w:val="none"/>
              </w:rPr>
              <w:t>”网站中未被列入失信被执行人名单的网页截图复印件，以及其法定代表人、拟委任的项目</w:t>
            </w:r>
            <w:r>
              <w:rPr>
                <w:rFonts w:hint="eastAsia" w:ascii="宋体" w:hAnsi="宋体" w:eastAsia="宋体" w:cs="宋体"/>
                <w:i w:val="0"/>
                <w:iCs w:val="0"/>
                <w:color w:val="000000"/>
                <w:sz w:val="24"/>
                <w:szCs w:val="24"/>
                <w:u w:val="none"/>
                <w:lang w:val="en-US" w:eastAsia="zh-CN"/>
              </w:rPr>
              <w:t>负责人</w:t>
            </w:r>
            <w:r>
              <w:rPr>
                <w:rFonts w:hint="eastAsia" w:ascii="宋体" w:hAnsi="宋体" w:eastAsia="宋体" w:cs="宋体"/>
                <w:i w:val="0"/>
                <w:iCs w:val="0"/>
                <w:color w:val="000000"/>
                <w:sz w:val="24"/>
                <w:szCs w:val="24"/>
                <w:u w:val="none"/>
              </w:rPr>
              <w:t>均无行贿犯罪行为的承诺函。</w:t>
            </w:r>
          </w:p>
        </w:tc>
      </w:tr>
    </w:tbl>
    <w:p>
      <w:pPr>
        <w:rPr>
          <w:rFonts w:hint="eastAsia" w:ascii="宋体" w:hAnsi="宋体" w:eastAsia="宋体" w:cs="宋体"/>
          <w:b/>
          <w:sz w:val="16"/>
        </w:rPr>
      </w:pPr>
      <w:r>
        <w:rPr>
          <w:rFonts w:hint="eastAsia" w:ascii="宋体" w:hAnsi="宋体" w:eastAsia="宋体" w:cs="宋体"/>
          <w:b/>
          <w:sz w:val="16"/>
        </w:rPr>
        <w:br w:type="page"/>
      </w:r>
    </w:p>
    <w:p>
      <w:pPr>
        <w:pStyle w:val="7"/>
        <w:rPr>
          <w:rFonts w:hint="eastAsia" w:ascii="宋体" w:hAnsi="宋体" w:eastAsia="宋体" w:cs="宋体"/>
          <w:b/>
          <w:sz w:val="16"/>
        </w:rPr>
      </w:pPr>
    </w:p>
    <w:tbl>
      <w:tblPr>
        <w:tblStyle w:val="10"/>
        <w:tblW w:w="9705" w:type="dxa"/>
        <w:tblInd w:w="93" w:type="dxa"/>
        <w:tblLayout w:type="autofit"/>
        <w:tblCellMar>
          <w:top w:w="0" w:type="dxa"/>
          <w:left w:w="108" w:type="dxa"/>
          <w:bottom w:w="0" w:type="dxa"/>
          <w:right w:w="108" w:type="dxa"/>
        </w:tblCellMar>
      </w:tblPr>
      <w:tblGrid>
        <w:gridCol w:w="8355"/>
        <w:gridCol w:w="1350"/>
      </w:tblGrid>
      <w:tr>
        <w:tblPrEx>
          <w:tblCellMar>
            <w:top w:w="0" w:type="dxa"/>
            <w:left w:w="108" w:type="dxa"/>
            <w:bottom w:w="0" w:type="dxa"/>
            <w:right w:w="108" w:type="dxa"/>
          </w:tblCellMar>
        </w:tblPrEx>
        <w:trPr>
          <w:trHeight w:val="440" w:hRule="atLeast"/>
        </w:trPr>
        <w:tc>
          <w:tcPr>
            <w:tcW w:w="9705" w:type="dxa"/>
            <w:gridSpan w:val="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sz w:val="28"/>
                <w:szCs w:val="28"/>
                <w:lang w:val="en-US" w:eastAsia="zh-CN"/>
              </w:rPr>
            </w:pPr>
            <w:bookmarkStart w:id="2" w:name="_bookmark13"/>
            <w:bookmarkEnd w:id="2"/>
            <w:r>
              <w:rPr>
                <w:rFonts w:hint="eastAsia" w:ascii="宋体" w:hAnsi="宋体" w:eastAsia="宋体" w:cs="宋体"/>
                <w:b/>
                <w:bCs/>
                <w:sz w:val="28"/>
                <w:szCs w:val="28"/>
                <w:lang w:val="en-US" w:eastAsia="zh-CN"/>
              </w:rPr>
              <w:t>附录</w:t>
            </w:r>
            <w:r>
              <w:rPr>
                <w:rFonts w:hint="eastAsia" w:cs="宋体"/>
                <w:b/>
                <w:bCs/>
                <w:sz w:val="28"/>
                <w:szCs w:val="28"/>
                <w:lang w:val="en-US" w:eastAsia="zh-CN"/>
              </w:rPr>
              <w:t>4</w:t>
            </w:r>
            <w:r>
              <w:rPr>
                <w:rFonts w:hint="eastAsia" w:ascii="宋体" w:hAnsi="宋体" w:eastAsia="宋体" w:cs="宋体"/>
                <w:b/>
                <w:bCs/>
                <w:sz w:val="28"/>
                <w:szCs w:val="28"/>
                <w:lang w:val="en-US" w:eastAsia="zh-CN"/>
              </w:rPr>
              <w:t xml:space="preserve"> 资格审查条件（主要人员最低要求）</w:t>
            </w:r>
          </w:p>
          <w:p>
            <w:pPr>
              <w:pStyle w:val="8"/>
              <w:rPr>
                <w:rStyle w:val="13"/>
                <w:rFonts w:hint="eastAsia" w:ascii="宋体" w:hAnsi="宋体" w:eastAsia="宋体" w:cs="宋体"/>
                <w:lang w:val="en-US" w:eastAsia="zh-CN" w:bidi="ar"/>
              </w:rPr>
            </w:pPr>
          </w:p>
        </w:tc>
      </w:tr>
      <w:tr>
        <w:tblPrEx>
          <w:tblCellMar>
            <w:top w:w="0" w:type="dxa"/>
            <w:left w:w="108" w:type="dxa"/>
            <w:bottom w:w="0" w:type="dxa"/>
            <w:right w:w="108" w:type="dxa"/>
          </w:tblCellMar>
        </w:tblPrEx>
        <w:trPr>
          <w:trHeight w:val="520" w:hRule="atLeast"/>
        </w:trPr>
        <w:tc>
          <w:tcPr>
            <w:tcW w:w="8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资格要求</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在岗要求</w:t>
            </w:r>
          </w:p>
        </w:tc>
      </w:tr>
      <w:tr>
        <w:tblPrEx>
          <w:tblCellMar>
            <w:top w:w="0" w:type="dxa"/>
            <w:left w:w="108" w:type="dxa"/>
            <w:bottom w:w="0" w:type="dxa"/>
            <w:right w:w="108" w:type="dxa"/>
          </w:tblCellMar>
        </w:tblPrEx>
        <w:trPr>
          <w:trHeight w:val="4531" w:hRule="atLeast"/>
        </w:trPr>
        <w:tc>
          <w:tcPr>
            <w:tcW w:w="8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val="0"/>
              <w:autoSpaceDN w:val="0"/>
              <w:bidi w:val="0"/>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一标段：</w:t>
            </w:r>
          </w:p>
          <w:p>
            <w:pPr>
              <w:keepNext w:val="0"/>
              <w:keepLines w:val="0"/>
              <w:pageBreakBefore w:val="0"/>
              <w:widowControl/>
              <w:suppressLineNumbers w:val="0"/>
              <w:kinsoku/>
              <w:wordWrap/>
              <w:overflowPunct/>
              <w:autoSpaceDE w:val="0"/>
              <w:autoSpaceDN w:val="0"/>
              <w:bidi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投标人拟投入的项目负责人（1名）：</w:t>
            </w:r>
            <w:r>
              <w:rPr>
                <w:rFonts w:hint="eastAsia" w:ascii="宋体" w:hAnsi="宋体" w:eastAsia="宋体" w:cs="宋体"/>
                <w:sz w:val="24"/>
                <w:szCs w:val="24"/>
                <w:lang w:val="en-US" w:eastAsia="zh-CN"/>
              </w:rPr>
              <w:t>取得公路工程相关专业高级及以上职称，</w:t>
            </w:r>
            <w:r>
              <w:rPr>
                <w:rFonts w:hint="eastAsia" w:ascii="宋体" w:hAnsi="宋体"/>
                <w:color w:val="000000"/>
                <w:sz w:val="24"/>
                <w:highlight w:val="none"/>
              </w:rPr>
              <w:t>近3年（指合同签订时间为201</w:t>
            </w:r>
            <w:r>
              <w:rPr>
                <w:rFonts w:hint="eastAsia" w:ascii="宋体" w:hAnsi="宋体"/>
                <w:color w:val="000000"/>
                <w:sz w:val="24"/>
                <w:highlight w:val="none"/>
                <w:lang w:val="en-US" w:eastAsia="zh-CN"/>
              </w:rPr>
              <w:t>8</w:t>
            </w:r>
            <w:r>
              <w:rPr>
                <w:rFonts w:hint="eastAsia" w:ascii="宋体" w:hAnsi="宋体"/>
                <w:color w:val="000000"/>
                <w:sz w:val="24"/>
                <w:highlight w:val="none"/>
              </w:rPr>
              <w:t>年1月1日至投标文件递交截止日</w:t>
            </w:r>
            <w:r>
              <w:rPr>
                <w:rFonts w:hint="eastAsia" w:ascii="宋体" w:hAnsi="宋体"/>
                <w:color w:val="000000"/>
                <w:sz w:val="24"/>
                <w:highlight w:val="none"/>
                <w:lang w:val="en-US" w:eastAsia="zh-CN"/>
              </w:rPr>
              <w:t>内</w:t>
            </w:r>
            <w:r>
              <w:rPr>
                <w:rFonts w:hint="eastAsia" w:ascii="宋体" w:hAnsi="宋体"/>
                <w:color w:val="000000"/>
                <w:sz w:val="24"/>
                <w:highlight w:val="none"/>
              </w:rPr>
              <w:t>）</w:t>
            </w:r>
            <w:r>
              <w:rPr>
                <w:rFonts w:hint="eastAsia" w:ascii="宋体" w:hAnsi="宋体" w:eastAsia="宋体" w:cs="宋体"/>
                <w:sz w:val="24"/>
                <w:szCs w:val="24"/>
                <w:lang w:val="en-US" w:eastAsia="zh-CN"/>
              </w:rPr>
              <w:t>担任过</w:t>
            </w:r>
            <w:r>
              <w:rPr>
                <w:rFonts w:hint="eastAsia" w:cs="宋体"/>
                <w:sz w:val="24"/>
                <w:szCs w:val="24"/>
                <w:lang w:val="en-US" w:eastAsia="zh-CN"/>
              </w:rPr>
              <w:t>1</w:t>
            </w:r>
            <w:r>
              <w:rPr>
                <w:rFonts w:hint="eastAsia" w:ascii="宋体" w:hAnsi="宋体" w:eastAsia="宋体" w:cs="宋体"/>
                <w:sz w:val="24"/>
                <w:szCs w:val="24"/>
                <w:lang w:val="en-US" w:eastAsia="zh-CN"/>
              </w:rPr>
              <w:t>个高速公路路况检测、数据处理、评定及养护分析项目负责人职务。</w:t>
            </w:r>
          </w:p>
          <w:p>
            <w:pPr>
              <w:keepNext w:val="0"/>
              <w:keepLines w:val="0"/>
              <w:pageBreakBefore w:val="0"/>
              <w:kinsoku/>
              <w:wordWrap/>
              <w:overflowPunct/>
              <w:autoSpaceDE w:val="0"/>
              <w:autoSpaceDN w:val="0"/>
              <w:bidi w:val="0"/>
              <w:adjustRightInd w:val="0"/>
              <w:spacing w:line="240" w:lineRule="auto"/>
              <w:ind w:right="-132" w:rightChars="-60"/>
              <w:jc w:val="left"/>
              <w:textAlignment w:val="auto"/>
              <w:rPr>
                <w:rFonts w:hint="eastAsia" w:ascii="宋体" w:hAnsi="宋体" w:eastAsia="宋体" w:cs="宋体"/>
                <w:i w:val="0"/>
                <w:iCs w:val="0"/>
                <w:color w:val="000000"/>
                <w:sz w:val="24"/>
                <w:szCs w:val="24"/>
                <w:u w:val="none"/>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投标人拟投入的技术负责人（1名）：</w:t>
            </w:r>
            <w:r>
              <w:rPr>
                <w:rFonts w:hint="eastAsia" w:ascii="宋体" w:hAnsi="宋体" w:eastAsia="宋体" w:cs="宋体"/>
                <w:sz w:val="24"/>
                <w:szCs w:val="24"/>
                <w:lang w:val="en-US" w:eastAsia="zh-CN"/>
              </w:rPr>
              <w:t>取得公路工程相关专业高级及以上职称，持有交通运输部主管部门核发的试验检测工程师（公路工程或道路工程）资格证书，</w:t>
            </w:r>
            <w:r>
              <w:rPr>
                <w:rFonts w:hint="eastAsia" w:ascii="宋体" w:hAnsi="宋体"/>
                <w:color w:val="000000"/>
                <w:sz w:val="24"/>
                <w:highlight w:val="none"/>
              </w:rPr>
              <w:t>近3年（指合同签订时间为201</w:t>
            </w:r>
            <w:r>
              <w:rPr>
                <w:rFonts w:hint="eastAsia" w:ascii="宋体" w:hAnsi="宋体"/>
                <w:color w:val="000000"/>
                <w:sz w:val="24"/>
                <w:highlight w:val="none"/>
                <w:lang w:val="en-US" w:eastAsia="zh-CN"/>
              </w:rPr>
              <w:t>8</w:t>
            </w:r>
            <w:r>
              <w:rPr>
                <w:rFonts w:hint="eastAsia" w:ascii="宋体" w:hAnsi="宋体"/>
                <w:color w:val="000000"/>
                <w:sz w:val="24"/>
                <w:highlight w:val="none"/>
              </w:rPr>
              <w:t>年1月1日至投标文件递交截止日</w:t>
            </w:r>
            <w:r>
              <w:rPr>
                <w:rFonts w:hint="eastAsia" w:ascii="宋体" w:hAnsi="宋体"/>
                <w:color w:val="000000"/>
                <w:sz w:val="24"/>
                <w:highlight w:val="none"/>
                <w:lang w:val="en-US" w:eastAsia="zh-CN"/>
              </w:rPr>
              <w:t>内</w:t>
            </w:r>
            <w:r>
              <w:rPr>
                <w:rFonts w:hint="eastAsia" w:ascii="宋体" w:hAnsi="宋体"/>
                <w:color w:val="000000"/>
                <w:sz w:val="24"/>
                <w:highlight w:val="none"/>
              </w:rPr>
              <w:t>）</w:t>
            </w:r>
            <w:r>
              <w:rPr>
                <w:rFonts w:hint="eastAsia" w:ascii="宋体" w:hAnsi="宋体" w:eastAsia="宋体" w:cs="宋体"/>
                <w:sz w:val="24"/>
                <w:szCs w:val="24"/>
                <w:lang w:val="en-US" w:eastAsia="zh-CN"/>
              </w:rPr>
              <w:t>担任过</w:t>
            </w:r>
            <w:r>
              <w:rPr>
                <w:rFonts w:hint="eastAsia" w:cs="宋体"/>
                <w:sz w:val="24"/>
                <w:szCs w:val="24"/>
                <w:lang w:val="en-US" w:eastAsia="zh-CN"/>
              </w:rPr>
              <w:t>1</w:t>
            </w:r>
            <w:r>
              <w:rPr>
                <w:rFonts w:hint="eastAsia" w:ascii="宋体" w:hAnsi="宋体" w:eastAsia="宋体" w:cs="宋体"/>
                <w:sz w:val="24"/>
                <w:szCs w:val="24"/>
                <w:lang w:val="en-US" w:eastAsia="zh-CN"/>
              </w:rPr>
              <w:t>个高速公路路况检测</w:t>
            </w:r>
            <w:r>
              <w:rPr>
                <w:rFonts w:hint="eastAsia" w:cs="宋体"/>
                <w:sz w:val="24"/>
                <w:szCs w:val="24"/>
                <w:lang w:val="en-US" w:eastAsia="zh-CN"/>
              </w:rPr>
              <w:t>、</w:t>
            </w:r>
            <w:r>
              <w:rPr>
                <w:rFonts w:hint="eastAsia" w:ascii="宋体" w:hAnsi="宋体" w:eastAsia="宋体" w:cs="宋体"/>
                <w:sz w:val="24"/>
                <w:szCs w:val="24"/>
                <w:lang w:val="en-US" w:eastAsia="zh-CN"/>
              </w:rPr>
              <w:t>数据处理、评定及养护分析项目技术负责人职务。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无在岗项目（指目前未在其他项目上任职，或虽在其他项目上任职但本项目中标后承诺能够从该项目撤离）</w:t>
            </w:r>
          </w:p>
        </w:tc>
      </w:tr>
      <w:tr>
        <w:tblPrEx>
          <w:tblCellMar>
            <w:top w:w="0" w:type="dxa"/>
            <w:left w:w="108" w:type="dxa"/>
            <w:bottom w:w="0" w:type="dxa"/>
            <w:right w:w="108" w:type="dxa"/>
          </w:tblCellMar>
        </w:tblPrEx>
        <w:trPr>
          <w:trHeight w:val="90" w:hRule="atLeast"/>
        </w:trPr>
        <w:tc>
          <w:tcPr>
            <w:tcW w:w="970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autoSpaceDE w:val="0"/>
              <w:autoSpaceDN w:val="0"/>
              <w:bidi w:val="0"/>
              <w:spacing w:line="380" w:lineRule="exact"/>
              <w:jc w:val="left"/>
              <w:textAlignment w:val="auto"/>
              <w:rPr>
                <w:rFonts w:hint="eastAsia"/>
                <w:b w:val="0"/>
                <w:bCs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注：</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b w:val="0"/>
                <w:bCs w:val="0"/>
                <w:i w:val="0"/>
                <w:iCs w:val="0"/>
                <w:color w:val="000000"/>
                <w:kern w:val="0"/>
                <w:sz w:val="24"/>
                <w:szCs w:val="24"/>
                <w:highlight w:val="none"/>
                <w:u w:val="none"/>
                <w:lang w:val="en-US" w:eastAsia="zh-CN" w:bidi="ar"/>
              </w:rPr>
              <w:t>1</w:t>
            </w:r>
            <w:r>
              <w:rPr>
                <w:rFonts w:hint="eastAsia" w:cs="宋体"/>
                <w:b w:val="0"/>
                <w:bCs w:val="0"/>
                <w:sz w:val="24"/>
                <w:szCs w:val="24"/>
                <w:highlight w:val="none"/>
                <w:lang w:val="en-US" w:eastAsia="zh-CN" w:bidi="zh-CN"/>
              </w:rPr>
              <w:t>.</w:t>
            </w:r>
            <w:r>
              <w:rPr>
                <w:rFonts w:hint="eastAsia"/>
                <w:b w:val="0"/>
                <w:bCs w:val="0"/>
                <w:sz w:val="24"/>
                <w:szCs w:val="24"/>
                <w:highlight w:val="none"/>
                <w:lang w:val="en-US" w:eastAsia="zh-CN"/>
              </w:rPr>
              <w:t>各标段项目负责人及技术负责人，均为投标人在职职工，由投标人依法为其缴纳社保，且社保缴费单位与注册单位必须一致。</w:t>
            </w:r>
          </w:p>
          <w:p>
            <w:pPr>
              <w:keepNext w:val="0"/>
              <w:keepLines w:val="0"/>
              <w:pageBreakBefore w:val="0"/>
              <w:widowControl/>
              <w:suppressLineNumbers w:val="0"/>
              <w:kinsoku/>
              <w:wordWrap/>
              <w:overflowPunct/>
              <w:autoSpaceDE w:val="0"/>
              <w:autoSpaceDN w:val="0"/>
              <w:bidi w:val="0"/>
              <w:spacing w:line="240" w:lineRule="auto"/>
              <w:jc w:val="left"/>
              <w:textAlignment w:val="auto"/>
              <w:rPr>
                <w:rFonts w:hint="eastAsia" w:ascii="宋体" w:hAnsi="宋体" w:eastAsia="宋体" w:cs="宋体"/>
                <w:b w:val="0"/>
                <w:bCs w:val="0"/>
                <w:sz w:val="24"/>
                <w:szCs w:val="24"/>
                <w:highlight w:val="none"/>
                <w:lang w:val="en-US" w:eastAsia="zh-CN"/>
              </w:rPr>
            </w:pPr>
            <w:r>
              <w:rPr>
                <w:rFonts w:hint="eastAsia"/>
                <w:b w:val="0"/>
                <w:bCs w:val="0"/>
                <w:highlight w:val="none"/>
                <w:lang w:val="en-US" w:eastAsia="zh-CN"/>
              </w:rPr>
              <w:t>2.公路工程专业相关职称包括：公路工程、桥梁工程、公路与桥梁工程、交通工程、路桥、桥梁、桥隧、公路与城市道路建设、土木工程（路桥方向）等。</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“拟委任主要人员资历表”应附项目负责人的身份证、职称资格证书、试验检测工程师证书等相关证书的彩色影印件。</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个人业绩证明材料要求：个人业绩指标（姓名、职务、任职时段、公路等级、项目类型、合同内容、合同金额等）的考核：个人业绩证明材料是指“中标通知书、或合同协议书、或交竣工验收报告，或项目业主出具并加盖其单位印章的业绩证明</w:t>
            </w:r>
            <w:r>
              <w:rPr>
                <w:rFonts w:hint="eastAsia" w:cs="宋体"/>
                <w:i w:val="0"/>
                <w:iCs w:val="0"/>
                <w:color w:val="000000"/>
                <w:kern w:val="0"/>
                <w:sz w:val="24"/>
                <w:szCs w:val="24"/>
                <w:u w:val="none"/>
                <w:lang w:val="en-US" w:eastAsia="zh-CN" w:bidi="ar"/>
              </w:rPr>
              <w:t>，或联合体协议书</w:t>
            </w:r>
            <w:r>
              <w:rPr>
                <w:rFonts w:hint="eastAsia" w:ascii="宋体" w:hAnsi="宋体" w:eastAsia="宋体" w:cs="宋体"/>
                <w:i w:val="0"/>
                <w:iCs w:val="0"/>
                <w:color w:val="000000"/>
                <w:kern w:val="0"/>
                <w:sz w:val="24"/>
                <w:szCs w:val="24"/>
                <w:u w:val="none"/>
                <w:lang w:val="en-US" w:eastAsia="zh-CN" w:bidi="ar"/>
              </w:rPr>
              <w:t>”的彩色影印件，证明材料应</w:t>
            </w:r>
            <w:r>
              <w:rPr>
                <w:rFonts w:hint="eastAsia" w:cs="宋体"/>
                <w:i w:val="0"/>
                <w:iCs w:val="0"/>
                <w:color w:val="000000"/>
                <w:kern w:val="0"/>
                <w:sz w:val="24"/>
                <w:szCs w:val="24"/>
                <w:u w:val="none"/>
                <w:lang w:val="en-US" w:eastAsia="zh-CN" w:bidi="ar"/>
              </w:rPr>
              <w:t>能单独或综合</w:t>
            </w:r>
            <w:r>
              <w:rPr>
                <w:rFonts w:hint="eastAsia" w:ascii="宋体" w:hAnsi="宋体" w:eastAsia="宋体" w:cs="宋体"/>
                <w:i w:val="0"/>
                <w:iCs w:val="0"/>
                <w:color w:val="000000"/>
                <w:kern w:val="0"/>
                <w:sz w:val="24"/>
                <w:szCs w:val="24"/>
                <w:u w:val="none"/>
                <w:lang w:val="en-US" w:eastAsia="zh-CN" w:bidi="ar"/>
              </w:rPr>
              <w:t>体现个人业绩指标，否则如影响了个人业绩的评判，则对应业绩在评标过程中将不予认定。</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如项目负责人目前仍在其他项目上任职，则投标人应提供由该项目委托人出具的、承诺上述人员能够从该项目撤离的书面证明材料原件，证明材料原件应加盖出具者单位公章并装订在投标文件正本之中。</w:t>
            </w:r>
          </w:p>
        </w:tc>
      </w:tr>
    </w:tbl>
    <w:p>
      <w:pPr>
        <w:spacing w:line="357" w:lineRule="auto"/>
        <w:rPr>
          <w:rFonts w:hint="eastAsia" w:ascii="宋体" w:hAnsi="宋体" w:eastAsia="宋体" w:cs="宋体"/>
          <w:sz w:val="24"/>
          <w:szCs w:val="24"/>
        </w:rPr>
        <w:sectPr>
          <w:footerReference r:id="rId4" w:type="default"/>
          <w:pgSz w:w="11910" w:h="16840"/>
          <w:pgMar w:top="1380" w:right="920" w:bottom="1020" w:left="1300" w:header="1116" w:footer="836" w:gutter="0"/>
          <w:pgBorders>
            <w:top w:val="none" w:sz="0" w:space="0"/>
            <w:left w:val="none" w:sz="0" w:space="0"/>
            <w:bottom w:val="none" w:sz="0" w:space="0"/>
            <w:right w:val="none" w:sz="0" w:space="0"/>
          </w:pgBorders>
          <w:cols w:space="720" w:num="1"/>
        </w:sectPr>
      </w:pPr>
    </w:p>
    <w:p>
      <w:pPr>
        <w:pStyle w:val="4"/>
        <w:tabs>
          <w:tab w:val="left" w:pos="1204"/>
        </w:tabs>
        <w:rPr>
          <w:rFonts w:hint="eastAsia" w:ascii="宋体" w:hAnsi="宋体" w:eastAsia="宋体" w:cs="宋体"/>
        </w:rPr>
      </w:pPr>
      <w:r>
        <w:rPr>
          <w:rFonts w:hint="eastAsia" w:ascii="宋体" w:hAnsi="宋体" w:eastAsia="宋体" w:cs="宋体"/>
        </w:rPr>
        <w:t>第三章</w:t>
      </w:r>
      <w:r>
        <w:rPr>
          <w:rFonts w:hint="eastAsia" w:ascii="宋体" w:hAnsi="宋体" w:eastAsia="宋体" w:cs="宋体"/>
        </w:rPr>
        <w:tab/>
      </w:r>
      <w:r>
        <w:rPr>
          <w:rFonts w:hint="eastAsia" w:ascii="宋体" w:hAnsi="宋体" w:eastAsia="宋体" w:cs="宋体"/>
        </w:rPr>
        <w:t>评标办法（双信封形式综合评估法）</w:t>
      </w:r>
    </w:p>
    <w:p>
      <w:pPr>
        <w:pStyle w:val="7"/>
        <w:spacing w:before="5"/>
        <w:ind w:right="323"/>
        <w:rPr>
          <w:rFonts w:hint="eastAsia" w:ascii="宋体" w:hAnsi="宋体" w:eastAsia="宋体" w:cs="宋体"/>
        </w:rPr>
      </w:pPr>
      <w:bookmarkStart w:id="3" w:name="_bookmark82"/>
      <w:bookmarkEnd w:id="3"/>
      <w:bookmarkStart w:id="4" w:name="评标办法前附表_"/>
      <w:bookmarkEnd w:id="4"/>
    </w:p>
    <w:p>
      <w:pPr>
        <w:pStyle w:val="7"/>
        <w:spacing w:before="5"/>
        <w:ind w:right="323"/>
        <w:jc w:val="center"/>
        <w:rPr>
          <w:rFonts w:hint="eastAsia" w:ascii="宋体" w:hAnsi="宋体" w:eastAsia="宋体" w:cs="宋体"/>
          <w:position w:val="12"/>
          <w:sz w:val="12"/>
        </w:rPr>
      </w:pPr>
      <w:r>
        <w:rPr>
          <w:rFonts w:hint="eastAsia" w:ascii="宋体" w:hAnsi="宋体" w:eastAsia="宋体" w:cs="宋体"/>
        </w:rPr>
        <w:t>评标办法前附表</w:t>
      </w:r>
      <w:r>
        <w:rPr>
          <w:rFonts w:hint="eastAsia" w:ascii="宋体" w:hAnsi="宋体" w:eastAsia="宋体" w:cs="宋体"/>
        </w:rPr>
        <w:fldChar w:fldCharType="begin"/>
      </w:r>
      <w:r>
        <w:rPr>
          <w:rFonts w:hint="eastAsia" w:ascii="宋体" w:hAnsi="宋体" w:eastAsia="宋体" w:cs="宋体"/>
        </w:rPr>
        <w:instrText xml:space="preserve"> HYPERLINK \l "_bookmark83" </w:instrText>
      </w:r>
      <w:r>
        <w:rPr>
          <w:rFonts w:hint="eastAsia" w:ascii="宋体" w:hAnsi="宋体" w:eastAsia="宋体" w:cs="宋体"/>
        </w:rPr>
        <w:fldChar w:fldCharType="separate"/>
      </w:r>
      <w:r>
        <w:rPr>
          <w:rFonts w:hint="eastAsia" w:ascii="宋体" w:hAnsi="宋体" w:eastAsia="宋体" w:cs="宋体"/>
          <w:position w:val="12"/>
          <w:sz w:val="12"/>
        </w:rPr>
        <w:t>①</w:t>
      </w:r>
      <w:r>
        <w:rPr>
          <w:rFonts w:hint="eastAsia" w:ascii="宋体" w:hAnsi="宋体" w:eastAsia="宋体" w:cs="宋体"/>
          <w:position w:val="12"/>
          <w:sz w:val="12"/>
        </w:rPr>
        <w:fldChar w:fldCharType="end"/>
      </w:r>
      <w:r>
        <w:rPr>
          <w:rStyle w:val="12"/>
          <w:rFonts w:hint="eastAsia" w:ascii="宋体" w:hAnsi="宋体" w:eastAsia="宋体" w:cs="宋体"/>
          <w:position w:val="12"/>
          <w:sz w:val="12"/>
        </w:rPr>
        <w:footnoteReference w:id="0"/>
      </w:r>
    </w:p>
    <w:p>
      <w:pPr>
        <w:pStyle w:val="7"/>
        <w:spacing w:before="5"/>
        <w:ind w:right="323"/>
        <w:rPr>
          <w:rFonts w:hint="eastAsia" w:ascii="宋体" w:hAnsi="宋体" w:eastAsia="宋体" w:cs="宋体"/>
          <w:sz w:val="12"/>
        </w:rPr>
      </w:pPr>
    </w:p>
    <w:tbl>
      <w:tblPr>
        <w:tblStyle w:val="10"/>
        <w:tblW w:w="4999"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70"/>
        <w:gridCol w:w="739"/>
        <w:gridCol w:w="829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 w:hRule="atLeast"/>
          <w:tblHeader/>
        </w:trPr>
        <w:tc>
          <w:tcPr>
            <w:tcW w:w="812" w:type="pct"/>
            <w:gridSpan w:val="2"/>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4187" w:type="pct"/>
            <w:noWrap w:val="0"/>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评审因素与标准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43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2.1.1</w:t>
            </w:r>
          </w:p>
          <w:p>
            <w:pPr>
              <w:spacing w:line="320" w:lineRule="exact"/>
              <w:jc w:val="center"/>
              <w:rPr>
                <w:rFonts w:hint="eastAsia" w:ascii="宋体" w:hAnsi="宋体" w:eastAsia="宋体" w:cs="宋体"/>
                <w:szCs w:val="21"/>
              </w:rPr>
            </w:pPr>
            <w:r>
              <w:rPr>
                <w:rFonts w:hint="eastAsia" w:ascii="宋体" w:hAnsi="宋体" w:eastAsia="宋体" w:cs="宋体"/>
                <w:szCs w:val="21"/>
              </w:rPr>
              <w:t>2.1.3</w:t>
            </w:r>
          </w:p>
        </w:tc>
        <w:tc>
          <w:tcPr>
            <w:tcW w:w="373"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形式</w:t>
            </w:r>
          </w:p>
          <w:p>
            <w:pPr>
              <w:spacing w:line="320" w:lineRule="exact"/>
              <w:jc w:val="center"/>
              <w:rPr>
                <w:rFonts w:hint="eastAsia" w:ascii="宋体" w:hAnsi="宋体" w:eastAsia="宋体" w:cs="宋体"/>
                <w:szCs w:val="21"/>
              </w:rPr>
            </w:pPr>
            <w:r>
              <w:rPr>
                <w:rFonts w:hint="eastAsia" w:ascii="宋体" w:hAnsi="宋体" w:eastAsia="宋体" w:cs="宋体"/>
                <w:szCs w:val="21"/>
              </w:rPr>
              <w:t>评审</w:t>
            </w:r>
          </w:p>
          <w:p>
            <w:pPr>
              <w:spacing w:line="320" w:lineRule="exact"/>
              <w:jc w:val="center"/>
              <w:rPr>
                <w:rFonts w:hint="eastAsia" w:ascii="宋体" w:hAnsi="宋体" w:eastAsia="宋体" w:cs="宋体"/>
                <w:szCs w:val="21"/>
              </w:rPr>
            </w:pPr>
            <w:r>
              <w:rPr>
                <w:rFonts w:hint="eastAsia" w:ascii="宋体" w:hAnsi="宋体" w:eastAsia="宋体" w:cs="宋体"/>
                <w:szCs w:val="21"/>
              </w:rPr>
              <w:t>与响</w:t>
            </w:r>
          </w:p>
          <w:p>
            <w:pPr>
              <w:spacing w:line="320" w:lineRule="exact"/>
              <w:jc w:val="center"/>
              <w:rPr>
                <w:rFonts w:hint="eastAsia" w:ascii="宋体" w:hAnsi="宋体" w:eastAsia="宋体" w:cs="宋体"/>
                <w:szCs w:val="21"/>
              </w:rPr>
            </w:pPr>
            <w:r>
              <w:rPr>
                <w:rFonts w:hint="eastAsia" w:ascii="宋体" w:hAnsi="宋体" w:eastAsia="宋体" w:cs="宋体"/>
                <w:szCs w:val="21"/>
              </w:rPr>
              <w:t>应性</w:t>
            </w:r>
          </w:p>
          <w:p>
            <w:pPr>
              <w:spacing w:line="320" w:lineRule="exact"/>
              <w:jc w:val="center"/>
              <w:rPr>
                <w:rFonts w:hint="eastAsia" w:ascii="宋体" w:hAnsi="宋体" w:eastAsia="宋体" w:cs="宋体"/>
                <w:szCs w:val="21"/>
              </w:rPr>
            </w:pPr>
            <w:r>
              <w:rPr>
                <w:rFonts w:hint="eastAsia" w:ascii="宋体" w:hAnsi="宋体" w:eastAsia="宋体" w:cs="宋体"/>
                <w:szCs w:val="21"/>
              </w:rPr>
              <w:t>评审</w:t>
            </w:r>
          </w:p>
          <w:p>
            <w:pPr>
              <w:spacing w:line="320" w:lineRule="exact"/>
              <w:jc w:val="center"/>
              <w:rPr>
                <w:rFonts w:hint="eastAsia" w:ascii="宋体" w:hAnsi="宋体" w:eastAsia="宋体" w:cs="宋体"/>
                <w:szCs w:val="21"/>
              </w:rPr>
            </w:pPr>
            <w:r>
              <w:rPr>
                <w:rFonts w:hint="eastAsia" w:ascii="宋体" w:hAnsi="宋体" w:eastAsia="宋体" w:cs="宋体"/>
                <w:szCs w:val="21"/>
              </w:rPr>
              <w:t>标准</w:t>
            </w:r>
          </w:p>
        </w:tc>
        <w:tc>
          <w:tcPr>
            <w:tcW w:w="4187" w:type="pct"/>
            <w:noWrap w:val="0"/>
            <w:vAlign w:val="center"/>
          </w:tcPr>
          <w:p>
            <w:pPr>
              <w:spacing w:line="320" w:lineRule="exact"/>
              <w:rPr>
                <w:rFonts w:hint="eastAsia" w:ascii="宋体" w:hAnsi="宋体" w:eastAsia="宋体" w:cs="宋体"/>
                <w:b/>
                <w:szCs w:val="21"/>
              </w:rPr>
            </w:pPr>
            <w:r>
              <w:rPr>
                <w:rFonts w:hint="eastAsia" w:ascii="宋体" w:hAnsi="宋体" w:eastAsia="宋体" w:cs="宋体"/>
                <w:b/>
                <w:szCs w:val="21"/>
              </w:rPr>
              <w:t>第一个信封（商务及技术文件）评审标准：</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（1）投标文件按照招标文件规定的格式、内容填写，字迹清晰可辨：</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a.投标函按招标文件规定填报了项目名称、标段号、补遗书编号（如有）、项目负责人姓名、质量要求及安全目标、投标保证金金额等；</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b.投标函文字与招标文件规定一致，未进行实质性的修改和删减；</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c.投标文件组成齐全完整，内容均按规定填写。</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(2)投标文件上法定代表人或其授权代理人的签字、投标人的单位章盖章齐全，符合招标文件规定：投标文件格式中明确要求投标人法定代表人或其委托代理人签字之处，可使用CA数字证书加盖印章或上传已签字文件的电子版；明确要求投标人加盖单位章的，可使用CA数字证书加盖印章或上传已盖章文件的电子版。</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(3)投标人按照招标文件的规定提供了投标保证金:</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a.投标保证金金额符合招标文件规定的金额，且投标保证金有效期不少于投标有效期；</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b.若投标保证金采用现金或支票形式提交，投标人应在递交投标文件截止时间之前，将投标保证金由投标人的基本账户转入招标人指定账户；</w:t>
            </w:r>
          </w:p>
          <w:p>
            <w:pPr>
              <w:spacing w:line="320" w:lineRule="exact"/>
              <w:ind w:firstLine="440" w:firstLineChars="200"/>
              <w:rPr>
                <w:rFonts w:hint="eastAsia" w:ascii="宋体" w:hAnsi="宋体" w:eastAsia="宋体" w:cs="宋体"/>
                <w:szCs w:val="21"/>
                <w:lang w:eastAsia="zh-CN"/>
              </w:rPr>
            </w:pPr>
            <w:r>
              <w:rPr>
                <w:rFonts w:hint="eastAsia" w:ascii="宋体" w:hAnsi="宋体" w:eastAsia="宋体" w:cs="宋体"/>
                <w:szCs w:val="21"/>
              </w:rPr>
              <w:t>c.若投标保证金采用保函形式提交，保函的格式、开具保函的银行、保函的有效期均满足招标文件要求，且递交投标文件截止时间之前向招标人单独密封提交了保函原件</w:t>
            </w:r>
            <w:r>
              <w:rPr>
                <w:rFonts w:hint="eastAsia" w:ascii="宋体" w:hAnsi="宋体" w:eastAsia="宋体" w:cs="宋体"/>
                <w:szCs w:val="21"/>
                <w:lang w:eastAsia="zh-CN"/>
              </w:rPr>
              <w:t>。</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(4)投标人法定代表人授权代理人签署投标文件的，需提交授权委托书，且授权人和被授权人均在授权委托书上签名，投标人均应使用CA数字证书加盖法定代表人或其委托代理人的个人电子印章或电子签名章。</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（5）投标人法定代表人亲自签署投标文件的，提供了法定代表人身份证明，且法定代表人在法定代表人身份证明上签名，投标人均应使用CA数字证书加盖法定代表人或其委托代理人的个人电子印章或电子签名章。</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(6)同一投标人未提交两个以上不同的投标文件。</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w:t>
            </w:r>
            <w:r>
              <w:rPr>
                <w:rFonts w:hint="eastAsia" w:cs="宋体"/>
                <w:szCs w:val="21"/>
                <w:lang w:val="en-US" w:eastAsia="zh-CN"/>
              </w:rPr>
              <w:t>7</w:t>
            </w:r>
            <w:r>
              <w:rPr>
                <w:rFonts w:hint="eastAsia" w:ascii="宋体" w:hAnsi="宋体" w:eastAsia="宋体" w:cs="宋体"/>
                <w:szCs w:val="21"/>
              </w:rPr>
              <w:t>)</w:t>
            </w:r>
            <w:r>
              <w:rPr>
                <w:rFonts w:hint="eastAsia" w:cs="宋体"/>
                <w:szCs w:val="21"/>
                <w:lang w:val="en-US" w:eastAsia="zh-CN"/>
              </w:rPr>
              <w:t>第一信封</w:t>
            </w:r>
            <w:r>
              <w:rPr>
                <w:rFonts w:hint="eastAsia" w:ascii="宋体" w:hAnsi="宋体" w:eastAsia="宋体" w:cs="宋体"/>
                <w:szCs w:val="21"/>
              </w:rPr>
              <w:t>投标文件中未出现有关投标报价的内容。</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w:t>
            </w:r>
            <w:r>
              <w:rPr>
                <w:rFonts w:hint="eastAsia" w:cs="宋体"/>
                <w:szCs w:val="21"/>
                <w:lang w:val="en-US" w:eastAsia="zh-CN"/>
              </w:rPr>
              <w:t>8</w:t>
            </w:r>
            <w:r>
              <w:rPr>
                <w:rFonts w:hint="eastAsia" w:ascii="宋体" w:hAnsi="宋体" w:eastAsia="宋体" w:cs="宋体"/>
                <w:szCs w:val="21"/>
              </w:rPr>
              <w:t>)投标文件载明的招标项目完成期限未超过招标文件规定的时限。</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w:t>
            </w:r>
            <w:r>
              <w:rPr>
                <w:rFonts w:hint="eastAsia" w:cs="宋体"/>
                <w:szCs w:val="21"/>
                <w:lang w:val="en-US" w:eastAsia="zh-CN"/>
              </w:rPr>
              <w:t>9</w:t>
            </w:r>
            <w:r>
              <w:rPr>
                <w:rFonts w:hint="eastAsia" w:ascii="宋体" w:hAnsi="宋体" w:eastAsia="宋体" w:cs="宋体"/>
                <w:szCs w:val="21"/>
              </w:rPr>
              <w:t>)投标文件对招标文件的实质性要求和条件作出了响应。</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(1</w:t>
            </w:r>
            <w:r>
              <w:rPr>
                <w:rFonts w:hint="eastAsia" w:cs="宋体"/>
                <w:szCs w:val="21"/>
                <w:lang w:val="en-US" w:eastAsia="zh-CN"/>
              </w:rPr>
              <w:t>0</w:t>
            </w:r>
            <w:r>
              <w:rPr>
                <w:rFonts w:hint="eastAsia" w:ascii="宋体" w:hAnsi="宋体" w:eastAsia="宋体" w:cs="宋体"/>
                <w:szCs w:val="21"/>
              </w:rPr>
              <w:t>)权利义务符合招标文件规定:</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a.投标人应接受招标文件规定的风险划分原则，未提出新的风险划分办法；</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b.投标人未增加发包人的责任范围，或减少投标人义务；</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c.投标人未提出不同的工程验收、计量、支付办法；</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d.投标人对合同纠纷、事故处理办法未提出异议；</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e.投标人在投标活动中无欺诈行为；</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f.投标人未对合同条款有重要保留</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（1</w:t>
            </w:r>
            <w:r>
              <w:rPr>
                <w:rFonts w:hint="eastAsia" w:cs="宋体"/>
                <w:szCs w:val="21"/>
                <w:lang w:val="en-US" w:eastAsia="zh-CN"/>
              </w:rPr>
              <w:t>1</w:t>
            </w:r>
            <w:r>
              <w:rPr>
                <w:rFonts w:hint="eastAsia" w:ascii="宋体" w:hAnsi="宋体" w:eastAsia="宋体" w:cs="宋体"/>
                <w:szCs w:val="21"/>
              </w:rPr>
              <w:t>）投标文件正、副本份数符合招标文件第二章“投标人须知”第3.7.4项规定。</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（1</w:t>
            </w:r>
            <w:r>
              <w:rPr>
                <w:rFonts w:hint="eastAsia" w:cs="宋体"/>
                <w:szCs w:val="21"/>
                <w:lang w:val="en-US" w:eastAsia="zh-CN"/>
              </w:rPr>
              <w:t>2</w:t>
            </w:r>
            <w:r>
              <w:rPr>
                <w:rFonts w:hint="eastAsia" w:ascii="宋体" w:hAnsi="宋体" w:eastAsia="宋体" w:cs="宋体"/>
                <w:szCs w:val="21"/>
              </w:rPr>
              <w:t>）投标函上填写的标段号与投标文件封套上标记的标段号一致。</w:t>
            </w:r>
          </w:p>
          <w:p>
            <w:pPr>
              <w:spacing w:line="320" w:lineRule="exact"/>
              <w:rPr>
                <w:rFonts w:hint="eastAsia" w:ascii="宋体" w:hAnsi="宋体" w:eastAsia="宋体" w:cs="宋体"/>
                <w:b/>
                <w:bCs/>
                <w:szCs w:val="21"/>
              </w:rPr>
            </w:pPr>
            <w:r>
              <w:rPr>
                <w:rFonts w:hint="eastAsia" w:ascii="宋体" w:hAnsi="宋体" w:eastAsia="宋体" w:cs="宋体"/>
                <w:b/>
                <w:bCs/>
                <w:szCs w:val="21"/>
              </w:rPr>
              <w:t>投标文件未满足以上任一条件的，其投标视为无效，评标委员会将否决其投标。</w:t>
            </w:r>
          </w:p>
          <w:p>
            <w:pPr>
              <w:spacing w:line="320" w:lineRule="exact"/>
              <w:rPr>
                <w:rFonts w:hint="eastAsia" w:ascii="宋体" w:hAnsi="宋体" w:eastAsia="宋体" w:cs="宋体"/>
                <w:b/>
                <w:szCs w:val="21"/>
              </w:rPr>
            </w:pPr>
            <w:r>
              <w:rPr>
                <w:rFonts w:hint="eastAsia" w:ascii="宋体" w:hAnsi="宋体" w:eastAsia="宋体" w:cs="宋体"/>
                <w:b/>
                <w:szCs w:val="21"/>
              </w:rPr>
              <w:t>第二个信封（报价文件）评审标准：</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（1）投标文件按照招标文件规定的格式、内容填写，字迹清晰可辨，内容齐全完整：</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a.投标函按招标文件规定填报了项目名称、标段号、补遗书编号（如有）、投标价（包括大写金额和小写金额）；</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b.投标函、检测服务费用清单说明文字与招标文件规定一致，未进行实质性修改和删减；</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c.投标文件组成齐全完整，内容均按规定填写。</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2）投标文件上法定代表人或其授权代理人的签字、投标人的单位章盖章齐全，符合招标文件规定：投标文件格式中（包括但不限于投标函、已标价工程量清单等）中明确要求投标人法定代表人或其委托代理人签字之处，可使用CA数字证书加盖印章或上传已签字文件的电子版；明确要求投标人加盖单位章的，可使用CA数字证书加盖印章或上传已盖章文件的电子版。</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（3）投标报价未超过招标文件设定的最高投标限价。</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（4）投标报价的大写金额能够确定具体数值。</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（5）同一投标人未提交两个以上不同的投标报价，但招标文件要求提交备选投标的除外。</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（6）投标文件正、副本份数符合招标文件第二章“投标人须知”第3.7.4项规定。</w:t>
            </w:r>
          </w:p>
          <w:p>
            <w:pPr>
              <w:spacing w:line="320" w:lineRule="exact"/>
              <w:ind w:firstLine="440" w:firstLineChars="200"/>
              <w:rPr>
                <w:rFonts w:hint="eastAsia" w:ascii="宋体" w:hAnsi="宋体" w:eastAsia="宋体" w:cs="宋体"/>
                <w:szCs w:val="21"/>
              </w:rPr>
            </w:pPr>
            <w:r>
              <w:rPr>
                <w:rFonts w:hint="eastAsia" w:ascii="宋体" w:hAnsi="宋体" w:eastAsia="宋体" w:cs="宋体"/>
                <w:szCs w:val="21"/>
              </w:rPr>
              <w:t>（7）投标函上填写的标段号与投标文件封套上标记的标段号一致。</w:t>
            </w:r>
          </w:p>
          <w:p>
            <w:pPr>
              <w:spacing w:line="320" w:lineRule="exact"/>
              <w:rPr>
                <w:rFonts w:hint="eastAsia" w:ascii="宋体" w:hAnsi="宋体" w:eastAsia="宋体" w:cs="宋体"/>
                <w:szCs w:val="21"/>
              </w:rPr>
            </w:pPr>
            <w:r>
              <w:rPr>
                <w:rFonts w:hint="eastAsia" w:ascii="宋体" w:hAnsi="宋体" w:eastAsia="宋体" w:cs="宋体"/>
                <w:b/>
                <w:bCs/>
                <w:szCs w:val="21"/>
              </w:rPr>
              <w:t>投标文件未满足以上任一条件的，其投标视为无效，评标委员会将否决其投标。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439"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2.1.2</w:t>
            </w:r>
          </w:p>
        </w:tc>
        <w:tc>
          <w:tcPr>
            <w:tcW w:w="373" w:type="pct"/>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资格评审标准</w:t>
            </w:r>
          </w:p>
        </w:tc>
        <w:tc>
          <w:tcPr>
            <w:tcW w:w="4187" w:type="pct"/>
            <w:noWrap w:val="0"/>
            <w:vAlign w:val="top"/>
          </w:tcPr>
          <w:p>
            <w:pPr>
              <w:topLinePunct/>
              <w:spacing w:line="320" w:lineRule="exact"/>
              <w:ind w:firstLine="440" w:firstLineChars="200"/>
              <w:rPr>
                <w:rFonts w:hint="eastAsia" w:ascii="宋体" w:hAnsi="宋体" w:eastAsia="宋体" w:cs="宋体"/>
                <w:szCs w:val="21"/>
                <w:lang w:eastAsia="zh-CN"/>
              </w:rPr>
            </w:pPr>
            <w:r>
              <w:rPr>
                <w:rFonts w:hint="eastAsia" w:ascii="宋体" w:hAnsi="宋体" w:eastAsia="宋体" w:cs="宋体"/>
                <w:szCs w:val="21"/>
              </w:rPr>
              <w:t>（1）投标人（或上级直接主管单位）具备有效的营业执照或事业单位法人资格证书</w:t>
            </w:r>
            <w:r>
              <w:rPr>
                <w:rFonts w:hint="eastAsia" w:cs="宋体"/>
                <w:szCs w:val="21"/>
                <w:lang w:eastAsia="zh-CN"/>
              </w:rPr>
              <w:t>。</w:t>
            </w:r>
          </w:p>
          <w:p>
            <w:pPr>
              <w:topLinePunct/>
              <w:spacing w:line="320" w:lineRule="exact"/>
              <w:ind w:firstLine="440" w:firstLineChars="200"/>
              <w:rPr>
                <w:rFonts w:hint="eastAsia" w:ascii="宋体" w:hAnsi="宋体" w:eastAsia="宋体" w:cs="宋体"/>
                <w:szCs w:val="21"/>
                <w:highlight w:val="yellow"/>
              </w:rPr>
            </w:pPr>
            <w:r>
              <w:rPr>
                <w:rFonts w:hint="eastAsia" w:ascii="宋体" w:hAnsi="宋体" w:eastAsia="宋体" w:cs="宋体"/>
                <w:szCs w:val="21"/>
              </w:rPr>
              <w:t>（2）投标人的资质等级符合招标文件投标人须知前附表附录1的规定。</w:t>
            </w:r>
          </w:p>
          <w:p>
            <w:pPr>
              <w:topLinePunct/>
              <w:spacing w:line="320" w:lineRule="exact"/>
              <w:ind w:firstLine="440" w:firstLineChars="200"/>
              <w:rPr>
                <w:rFonts w:hint="eastAsia" w:ascii="宋体" w:hAnsi="宋体" w:eastAsia="宋体" w:cs="宋体"/>
                <w:szCs w:val="21"/>
              </w:rPr>
            </w:pPr>
            <w:r>
              <w:rPr>
                <w:rFonts w:hint="eastAsia" w:ascii="宋体" w:hAnsi="宋体" w:eastAsia="宋体" w:cs="宋体"/>
                <w:szCs w:val="21"/>
              </w:rPr>
              <w:t>（</w:t>
            </w:r>
            <w:r>
              <w:rPr>
                <w:rFonts w:hint="eastAsia" w:cs="宋体"/>
                <w:szCs w:val="21"/>
                <w:lang w:val="en-US" w:eastAsia="zh-CN"/>
              </w:rPr>
              <w:t>3</w:t>
            </w:r>
            <w:r>
              <w:rPr>
                <w:rFonts w:hint="eastAsia" w:ascii="宋体" w:hAnsi="宋体" w:eastAsia="宋体" w:cs="宋体"/>
                <w:szCs w:val="21"/>
              </w:rPr>
              <w:t>）投标人的企业业绩符合招标文件投标人须知前附表附录</w:t>
            </w:r>
            <w:r>
              <w:rPr>
                <w:rFonts w:hint="eastAsia" w:cs="宋体"/>
                <w:szCs w:val="21"/>
                <w:lang w:val="en-US" w:eastAsia="zh-CN"/>
              </w:rPr>
              <w:t>2</w:t>
            </w:r>
            <w:r>
              <w:rPr>
                <w:rFonts w:hint="eastAsia" w:ascii="宋体" w:hAnsi="宋体" w:eastAsia="宋体" w:cs="宋体"/>
                <w:szCs w:val="21"/>
              </w:rPr>
              <w:t>的规定。</w:t>
            </w:r>
          </w:p>
          <w:p>
            <w:pPr>
              <w:topLinePunct/>
              <w:spacing w:line="320" w:lineRule="exact"/>
              <w:ind w:firstLine="440" w:firstLineChars="200"/>
              <w:rPr>
                <w:rFonts w:hint="eastAsia" w:ascii="宋体" w:hAnsi="宋体" w:eastAsia="宋体" w:cs="宋体"/>
                <w:szCs w:val="21"/>
              </w:rPr>
            </w:pPr>
            <w:r>
              <w:rPr>
                <w:rFonts w:hint="eastAsia" w:ascii="宋体" w:hAnsi="宋体" w:eastAsia="宋体" w:cs="宋体"/>
                <w:szCs w:val="21"/>
              </w:rPr>
              <w:t>（</w:t>
            </w:r>
            <w:r>
              <w:rPr>
                <w:rFonts w:hint="eastAsia" w:cs="宋体"/>
                <w:szCs w:val="21"/>
                <w:lang w:val="en-US" w:eastAsia="zh-CN"/>
              </w:rPr>
              <w:t>4</w:t>
            </w:r>
            <w:r>
              <w:rPr>
                <w:rFonts w:hint="eastAsia" w:ascii="宋体" w:hAnsi="宋体" w:eastAsia="宋体" w:cs="宋体"/>
                <w:szCs w:val="21"/>
              </w:rPr>
              <w:t>）投标人的企业信誉符合招标文件投标人须知前附表附录</w:t>
            </w:r>
            <w:r>
              <w:rPr>
                <w:rFonts w:hint="eastAsia" w:cs="宋体"/>
                <w:szCs w:val="21"/>
                <w:lang w:val="en-US" w:eastAsia="zh-CN"/>
              </w:rPr>
              <w:t>3</w:t>
            </w:r>
            <w:r>
              <w:rPr>
                <w:rFonts w:hint="eastAsia" w:ascii="宋体" w:hAnsi="宋体" w:eastAsia="宋体" w:cs="宋体"/>
                <w:szCs w:val="21"/>
              </w:rPr>
              <w:t>的规定。</w:t>
            </w:r>
          </w:p>
          <w:p>
            <w:pPr>
              <w:topLinePunct/>
              <w:spacing w:line="320" w:lineRule="exact"/>
              <w:ind w:firstLine="440" w:firstLineChars="200"/>
              <w:rPr>
                <w:rFonts w:hint="eastAsia" w:ascii="宋体" w:hAnsi="宋体" w:eastAsia="宋体" w:cs="宋体"/>
                <w:szCs w:val="21"/>
              </w:rPr>
            </w:pPr>
            <w:r>
              <w:rPr>
                <w:rFonts w:hint="eastAsia" w:ascii="宋体" w:hAnsi="宋体" w:eastAsia="宋体" w:cs="宋体"/>
                <w:szCs w:val="21"/>
              </w:rPr>
              <w:t>（</w:t>
            </w:r>
            <w:r>
              <w:rPr>
                <w:rFonts w:hint="eastAsia" w:cs="宋体"/>
                <w:szCs w:val="21"/>
                <w:lang w:val="en-US" w:eastAsia="zh-CN"/>
              </w:rPr>
              <w:t>5</w:t>
            </w:r>
            <w:r>
              <w:rPr>
                <w:rFonts w:hint="eastAsia" w:ascii="宋体" w:hAnsi="宋体" w:eastAsia="宋体" w:cs="宋体"/>
                <w:szCs w:val="21"/>
              </w:rPr>
              <w:t>）投标人的主要人员资格、在岗情况符合招标文件投标人须知前附表附录</w:t>
            </w:r>
            <w:r>
              <w:rPr>
                <w:rFonts w:hint="eastAsia" w:cs="宋体"/>
                <w:szCs w:val="21"/>
                <w:lang w:val="en-US" w:eastAsia="zh-CN"/>
              </w:rPr>
              <w:t>4</w:t>
            </w:r>
            <w:r>
              <w:rPr>
                <w:rFonts w:hint="eastAsia" w:ascii="宋体" w:hAnsi="宋体" w:eastAsia="宋体" w:cs="宋体"/>
                <w:szCs w:val="21"/>
              </w:rPr>
              <w:t>的规定。</w:t>
            </w:r>
          </w:p>
          <w:p>
            <w:pPr>
              <w:topLinePunct/>
              <w:spacing w:line="320" w:lineRule="exact"/>
              <w:ind w:firstLine="440" w:firstLineChars="200"/>
              <w:rPr>
                <w:rFonts w:hint="eastAsia" w:ascii="宋体" w:hAnsi="宋体" w:eastAsia="宋体" w:cs="宋体"/>
                <w:szCs w:val="21"/>
              </w:rPr>
            </w:pPr>
            <w:r>
              <w:rPr>
                <w:rFonts w:hint="eastAsia" w:ascii="宋体" w:hAnsi="宋体" w:eastAsia="宋体" w:cs="宋体"/>
                <w:szCs w:val="21"/>
              </w:rPr>
              <w:t>（</w:t>
            </w:r>
            <w:r>
              <w:rPr>
                <w:rFonts w:hint="eastAsia" w:cs="宋体"/>
                <w:szCs w:val="21"/>
                <w:lang w:val="en-US" w:eastAsia="zh-CN"/>
              </w:rPr>
              <w:t>6</w:t>
            </w:r>
            <w:r>
              <w:rPr>
                <w:rFonts w:hint="eastAsia" w:ascii="宋体" w:hAnsi="宋体" w:eastAsia="宋体" w:cs="宋体"/>
                <w:szCs w:val="21"/>
              </w:rPr>
              <w:t>）投标人不存在第二章“投标人须知”第1.4.3项或第1.4.4项规定的任何一种情形。</w:t>
            </w:r>
          </w:p>
          <w:p>
            <w:pPr>
              <w:topLinePunct/>
              <w:spacing w:line="320" w:lineRule="exact"/>
              <w:ind w:firstLine="440" w:firstLineChars="200"/>
              <w:rPr>
                <w:rFonts w:hint="eastAsia" w:ascii="宋体" w:hAnsi="宋体" w:eastAsia="宋体" w:cs="宋体"/>
                <w:szCs w:val="21"/>
              </w:rPr>
            </w:pPr>
            <w:r>
              <w:rPr>
                <w:rFonts w:hint="eastAsia" w:ascii="宋体" w:hAnsi="宋体" w:eastAsia="宋体" w:cs="宋体"/>
                <w:szCs w:val="21"/>
              </w:rPr>
              <w:t>（</w:t>
            </w:r>
            <w:r>
              <w:rPr>
                <w:rFonts w:hint="eastAsia" w:cs="宋体"/>
                <w:szCs w:val="21"/>
                <w:lang w:val="en-US" w:eastAsia="zh-CN"/>
              </w:rPr>
              <w:t>7</w:t>
            </w:r>
            <w:r>
              <w:rPr>
                <w:rFonts w:hint="eastAsia" w:ascii="宋体" w:hAnsi="宋体" w:eastAsia="宋体" w:cs="宋体"/>
                <w:szCs w:val="21"/>
              </w:rPr>
              <w:t>）投标人不存在第二章“投标人须知”第8.2项规定的任何一种情形。</w:t>
            </w:r>
          </w:p>
          <w:p>
            <w:pPr>
              <w:spacing w:line="320" w:lineRule="exact"/>
              <w:ind w:firstLine="442" w:firstLineChars="200"/>
              <w:rPr>
                <w:rFonts w:hint="eastAsia" w:ascii="宋体" w:hAnsi="宋体" w:eastAsia="宋体" w:cs="宋体"/>
                <w:szCs w:val="21"/>
              </w:rPr>
            </w:pPr>
            <w:r>
              <w:rPr>
                <w:rFonts w:hint="eastAsia" w:ascii="宋体" w:hAnsi="宋体" w:eastAsia="宋体" w:cs="宋体"/>
                <w:b/>
                <w:bCs/>
                <w:szCs w:val="21"/>
              </w:rPr>
              <w:t>投标文件未满足以上任一条件的，其投标视为无效，评标委员会将否决其投标。</w:t>
            </w:r>
          </w:p>
        </w:tc>
      </w:tr>
    </w:tbl>
    <w:p>
      <w:pPr>
        <w:spacing w:line="253" w:lineRule="exact"/>
        <w:rPr>
          <w:rFonts w:hint="eastAsia" w:ascii="宋体" w:hAnsi="宋体" w:eastAsia="宋体" w:cs="宋体"/>
          <w:sz w:val="21"/>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pPr>
    </w:p>
    <w:p>
      <w:pPr>
        <w:pStyle w:val="8"/>
        <w:jc w:val="center"/>
        <w:rPr>
          <w:rFonts w:hint="eastAsia" w:ascii="宋体" w:hAnsi="宋体" w:eastAsia="宋体" w:cs="宋体"/>
          <w:b/>
          <w:bCs/>
          <w:sz w:val="28"/>
          <w:szCs w:val="28"/>
          <w:lang w:val="en-US" w:eastAsia="zh-CN"/>
        </w:rPr>
        <w:sectPr>
          <w:pgSz w:w="11910" w:h="16840"/>
          <w:pgMar w:top="1340" w:right="920" w:bottom="850" w:left="1300" w:header="1116" w:footer="824" w:gutter="0"/>
          <w:pgBorders>
            <w:top w:val="none" w:sz="0" w:space="0"/>
            <w:left w:val="none" w:sz="0" w:space="0"/>
            <w:bottom w:val="none" w:sz="0" w:space="0"/>
            <w:right w:val="none" w:sz="0" w:space="0"/>
          </w:pgBorders>
          <w:cols w:space="720" w:num="1"/>
        </w:sectPr>
      </w:pPr>
      <w:r>
        <w:rPr>
          <w:rFonts w:hint="eastAsia" w:ascii="宋体" w:hAnsi="宋体" w:eastAsia="宋体" w:cs="宋体"/>
          <w:b/>
          <w:bCs/>
          <w:sz w:val="28"/>
          <w:szCs w:val="28"/>
          <w:lang w:val="en-US" w:eastAsia="zh-CN"/>
        </w:rPr>
        <w:t>评标细则</w:t>
      </w:r>
    </w:p>
    <w:tbl>
      <w:tblPr>
        <w:tblStyle w:val="10"/>
        <w:tblW w:w="8982" w:type="dxa"/>
        <w:jc w:val="center"/>
        <w:tblLayout w:type="fixed"/>
        <w:tblCellMar>
          <w:top w:w="0" w:type="dxa"/>
          <w:left w:w="108" w:type="dxa"/>
          <w:bottom w:w="0" w:type="dxa"/>
          <w:right w:w="108" w:type="dxa"/>
        </w:tblCellMar>
      </w:tblPr>
      <w:tblGrid>
        <w:gridCol w:w="776"/>
        <w:gridCol w:w="2339"/>
        <w:gridCol w:w="5867"/>
      </w:tblGrid>
      <w:tr>
        <w:tblPrEx>
          <w:tblCellMar>
            <w:top w:w="0" w:type="dxa"/>
            <w:left w:w="108" w:type="dxa"/>
            <w:bottom w:w="0" w:type="dxa"/>
            <w:right w:w="108" w:type="dxa"/>
          </w:tblCellMar>
        </w:tblPrEx>
        <w:trPr>
          <w:trHeight w:val="480" w:hRule="atLeast"/>
          <w:jc w:val="center"/>
        </w:trPr>
        <w:tc>
          <w:tcPr>
            <w:tcW w:w="31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条款号</w:t>
            </w:r>
          </w:p>
        </w:tc>
        <w:tc>
          <w:tcPr>
            <w:tcW w:w="5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评审因素与标准</w:t>
            </w:r>
          </w:p>
        </w:tc>
      </w:tr>
      <w:tr>
        <w:tblPrEx>
          <w:tblCellMar>
            <w:top w:w="0" w:type="dxa"/>
            <w:left w:w="108" w:type="dxa"/>
            <w:bottom w:w="0" w:type="dxa"/>
            <w:right w:w="108" w:type="dxa"/>
          </w:tblCellMar>
        </w:tblPrEx>
        <w:trPr>
          <w:trHeight w:val="90"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评标办法</w:t>
            </w:r>
          </w:p>
        </w:tc>
        <w:tc>
          <w:tcPr>
            <w:tcW w:w="5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综合评分相等时，评标委员会依次按照以下优先顺序推荐中标候选人或确定中标人：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（1）评标价低的投标人优先；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（2）商务和技术得分较高的投标人优先；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（3）因固定格式无法修改，修改此款内容为：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1、综合评分相等时，评标委员会依次按照以下优先顺序推荐中标候选人或确定中标人：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（1）评标价低的投标人优先；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（2）商务和技术得分较高的投标人优先。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个满足要求的投标人可投多个标段，但最终只能允许获得1个标段的第一中标人候选人资格。如某一投标人在多个标段的推荐次序均为第一时，则评标委员会按照其投标文件《推荐第一中标候选人优先顺序承诺函》进行第一中标人候选人标段的推荐。推荐开始标段为标段正顺序，既1-3标段逐次推荐。</w:t>
            </w:r>
          </w:p>
        </w:tc>
      </w:tr>
      <w:tr>
        <w:tblPrEx>
          <w:tblCellMar>
            <w:top w:w="0" w:type="dxa"/>
            <w:left w:w="108" w:type="dxa"/>
            <w:bottom w:w="0" w:type="dxa"/>
            <w:right w:w="108" w:type="dxa"/>
          </w:tblCellMar>
        </w:tblPrEx>
        <w:trPr>
          <w:trHeight w:val="215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tabs>
                <w:tab w:val="left" w:leader="middleDot" w:pos="8400"/>
                <w:tab w:val="left" w:leader="middleDot" w:pos="10500"/>
              </w:tabs>
              <w:autoSpaceDE w:val="0"/>
              <w:autoSpaceDN w:val="0"/>
              <w:spacing w:line="360" w:lineRule="auto"/>
              <w:jc w:val="center"/>
              <w:rPr>
                <w:rFonts w:hint="eastAsia" w:ascii="宋体" w:hAnsi="宋体" w:eastAsia="宋体" w:cs="宋体"/>
                <w:b w:val="0"/>
                <w:bCs/>
                <w:color w:val="000000"/>
                <w:kern w:val="0"/>
                <w:sz w:val="20"/>
                <w:szCs w:val="20"/>
                <w:lang w:val="zh-CN" w:eastAsia="zh-CN" w:bidi="zh-CN"/>
              </w:rPr>
            </w:pPr>
            <w:r>
              <w:rPr>
                <w:rFonts w:hint="eastAsia" w:ascii="宋体" w:hAnsi="宋体" w:eastAsia="宋体" w:cs="宋体"/>
                <w:b w:val="0"/>
                <w:bCs/>
                <w:color w:val="000000"/>
                <w:kern w:val="0"/>
                <w:sz w:val="20"/>
                <w:szCs w:val="20"/>
              </w:rPr>
              <w:t>2.2.1</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tabs>
                <w:tab w:val="left" w:leader="middleDot" w:pos="8400"/>
                <w:tab w:val="left" w:leader="middleDot" w:pos="10500"/>
              </w:tabs>
              <w:autoSpaceDE w:val="0"/>
              <w:autoSpaceDN w:val="0"/>
              <w:spacing w:line="360" w:lineRule="auto"/>
              <w:jc w:val="center"/>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分值构成</w:t>
            </w:r>
          </w:p>
          <w:p>
            <w:pPr>
              <w:tabs>
                <w:tab w:val="left" w:leader="middleDot" w:pos="8400"/>
                <w:tab w:val="left" w:leader="middleDot" w:pos="10500"/>
              </w:tabs>
              <w:autoSpaceDE w:val="0"/>
              <w:autoSpaceDN w:val="0"/>
              <w:spacing w:line="360" w:lineRule="auto"/>
              <w:jc w:val="center"/>
              <w:rPr>
                <w:rFonts w:hint="eastAsia" w:ascii="宋体" w:hAnsi="宋体" w:eastAsia="宋体" w:cs="宋体"/>
                <w:bCs/>
                <w:color w:val="000000"/>
                <w:kern w:val="0"/>
                <w:sz w:val="20"/>
                <w:szCs w:val="20"/>
                <w:lang w:val="zh-CN" w:eastAsia="zh-CN" w:bidi="zh-CN"/>
              </w:rPr>
            </w:pPr>
            <w:r>
              <w:rPr>
                <w:rFonts w:hint="eastAsia" w:ascii="宋体" w:hAnsi="宋体" w:eastAsia="宋体" w:cs="宋体"/>
                <w:bCs/>
                <w:color w:val="000000"/>
                <w:kern w:val="0"/>
                <w:sz w:val="20"/>
                <w:szCs w:val="20"/>
              </w:rPr>
              <w:t>（总分100分）</w:t>
            </w:r>
          </w:p>
        </w:tc>
        <w:tc>
          <w:tcPr>
            <w:tcW w:w="5867" w:type="dxa"/>
            <w:tcBorders>
              <w:top w:val="single" w:color="000000" w:sz="4" w:space="0"/>
              <w:left w:val="single" w:color="000000" w:sz="4" w:space="0"/>
              <w:bottom w:val="single" w:color="000000" w:sz="4" w:space="0"/>
              <w:right w:val="single" w:color="000000" w:sz="4" w:space="0"/>
            </w:tcBorders>
            <w:noWrap w:val="0"/>
            <w:vAlign w:val="center"/>
          </w:tcPr>
          <w:p>
            <w:pPr>
              <w:pStyle w:val="14"/>
              <w:spacing w:before="1"/>
              <w:ind w:left="0" w:leftChars="0"/>
              <w:rPr>
                <w:rFonts w:hint="eastAsia" w:ascii="宋体" w:hAnsi="宋体" w:eastAsia="宋体" w:cs="宋体"/>
                <w:bCs/>
                <w:color w:val="000000"/>
                <w:kern w:val="0"/>
                <w:sz w:val="20"/>
                <w:szCs w:val="20"/>
                <w:lang w:val="zh-CN" w:eastAsia="zh-CN"/>
              </w:rPr>
            </w:pPr>
            <w:r>
              <w:rPr>
                <w:rFonts w:hint="eastAsia" w:ascii="宋体" w:hAnsi="宋体" w:eastAsia="宋体" w:cs="宋体"/>
                <w:bCs/>
                <w:color w:val="000000"/>
                <w:kern w:val="0"/>
                <w:sz w:val="20"/>
                <w:szCs w:val="20"/>
                <w:lang w:val="zh-CN" w:eastAsia="zh-CN"/>
              </w:rPr>
              <w:t>第一个信封（商务及技术文件）评分分值构成：</w:t>
            </w:r>
          </w:p>
          <w:p>
            <w:pPr>
              <w:pStyle w:val="14"/>
              <w:spacing w:before="1"/>
              <w:ind w:left="0" w:leftChars="0"/>
              <w:rPr>
                <w:rFonts w:hint="eastAsia" w:ascii="宋体" w:hAnsi="宋体" w:eastAsia="宋体" w:cs="宋体"/>
                <w:bCs/>
                <w:color w:val="000000"/>
                <w:kern w:val="0"/>
                <w:sz w:val="20"/>
                <w:szCs w:val="20"/>
                <w:lang w:val="zh-CN" w:eastAsia="zh-CN"/>
              </w:rPr>
            </w:pPr>
            <w:r>
              <w:rPr>
                <w:rFonts w:hint="eastAsia" w:ascii="宋体" w:hAnsi="宋体" w:eastAsia="宋体" w:cs="宋体"/>
                <w:bCs/>
                <w:color w:val="000000"/>
                <w:kern w:val="0"/>
                <w:sz w:val="20"/>
                <w:szCs w:val="20"/>
                <w:lang w:val="zh-CN" w:eastAsia="zh-CN"/>
              </w:rPr>
              <w:t>技术建议书： 35分</w:t>
            </w:r>
          </w:p>
          <w:p>
            <w:pPr>
              <w:pStyle w:val="14"/>
              <w:spacing w:before="1"/>
              <w:ind w:left="0" w:leftChars="0"/>
              <w:rPr>
                <w:rFonts w:hint="eastAsia" w:ascii="宋体" w:hAnsi="宋体" w:eastAsia="宋体" w:cs="宋体"/>
                <w:bCs/>
                <w:color w:val="000000"/>
                <w:kern w:val="0"/>
                <w:sz w:val="20"/>
                <w:szCs w:val="20"/>
                <w:lang w:val="zh-CN" w:eastAsia="zh-CN"/>
              </w:rPr>
            </w:pPr>
            <w:r>
              <w:rPr>
                <w:rFonts w:hint="eastAsia" w:ascii="宋体" w:hAnsi="宋体" w:eastAsia="宋体" w:cs="宋体"/>
                <w:bCs/>
                <w:color w:val="000000"/>
                <w:kern w:val="0"/>
                <w:sz w:val="20"/>
                <w:szCs w:val="20"/>
                <w:lang w:val="zh-CN" w:eastAsia="zh-CN"/>
              </w:rPr>
              <w:t>主要人员： 30分</w:t>
            </w:r>
          </w:p>
          <w:p>
            <w:pPr>
              <w:pStyle w:val="14"/>
              <w:spacing w:before="1"/>
              <w:ind w:left="0" w:leftChars="0"/>
              <w:rPr>
                <w:rFonts w:hint="eastAsia" w:ascii="宋体" w:hAnsi="宋体" w:eastAsia="宋体" w:cs="宋体"/>
                <w:bCs/>
                <w:color w:val="000000"/>
                <w:kern w:val="0"/>
                <w:sz w:val="20"/>
                <w:szCs w:val="20"/>
                <w:lang w:val="zh-CN" w:eastAsia="zh-CN"/>
              </w:rPr>
            </w:pPr>
            <w:r>
              <w:rPr>
                <w:rFonts w:hint="eastAsia" w:ascii="宋体" w:hAnsi="宋体" w:eastAsia="宋体" w:cs="宋体"/>
                <w:bCs/>
                <w:color w:val="000000"/>
                <w:kern w:val="0"/>
                <w:sz w:val="20"/>
                <w:szCs w:val="20"/>
                <w:lang w:val="zh-CN" w:eastAsia="zh-CN"/>
              </w:rPr>
              <w:t xml:space="preserve">业绩： </w:t>
            </w:r>
            <w:r>
              <w:rPr>
                <w:rFonts w:hint="eastAsia" w:ascii="宋体" w:hAnsi="宋体" w:eastAsia="宋体" w:cs="宋体"/>
                <w:bCs/>
                <w:color w:val="000000"/>
                <w:kern w:val="0"/>
                <w:sz w:val="20"/>
                <w:szCs w:val="20"/>
                <w:lang w:val="en-US" w:eastAsia="zh-CN"/>
              </w:rPr>
              <w:t>15</w:t>
            </w:r>
            <w:r>
              <w:rPr>
                <w:rFonts w:hint="eastAsia" w:ascii="宋体" w:hAnsi="宋体" w:eastAsia="宋体" w:cs="宋体"/>
                <w:bCs/>
                <w:color w:val="000000"/>
                <w:kern w:val="0"/>
                <w:sz w:val="20"/>
                <w:szCs w:val="20"/>
                <w:lang w:val="zh-CN" w:eastAsia="zh-CN"/>
              </w:rPr>
              <w:t>分</w:t>
            </w:r>
          </w:p>
          <w:p>
            <w:pPr>
              <w:pStyle w:val="14"/>
              <w:spacing w:before="1"/>
              <w:ind w:left="0" w:leftChars="0"/>
              <w:rPr>
                <w:rFonts w:hint="eastAsia" w:ascii="宋体" w:hAnsi="宋体" w:eastAsia="宋体" w:cs="宋体"/>
                <w:bCs/>
                <w:color w:val="000000"/>
                <w:kern w:val="0"/>
                <w:sz w:val="20"/>
                <w:szCs w:val="20"/>
                <w:lang w:val="en-US" w:eastAsia="zh-CN"/>
              </w:rPr>
            </w:pPr>
            <w:r>
              <w:rPr>
                <w:rFonts w:hint="eastAsia" w:ascii="宋体" w:hAnsi="宋体" w:eastAsia="宋体" w:cs="宋体"/>
                <w:bCs/>
                <w:color w:val="000000"/>
                <w:kern w:val="0"/>
                <w:sz w:val="20"/>
                <w:szCs w:val="20"/>
                <w:lang w:val="en-US" w:eastAsia="zh-CN"/>
              </w:rPr>
              <w:t>设备工具：5分</w:t>
            </w:r>
          </w:p>
          <w:p>
            <w:pPr>
              <w:pStyle w:val="14"/>
              <w:spacing w:before="1"/>
              <w:ind w:left="0" w:leftChars="0"/>
              <w:rPr>
                <w:rFonts w:hint="eastAsia" w:ascii="宋体" w:hAnsi="宋体" w:eastAsia="宋体" w:cs="宋体"/>
                <w:bCs/>
                <w:color w:val="000000"/>
                <w:kern w:val="0"/>
                <w:sz w:val="20"/>
                <w:szCs w:val="20"/>
                <w:lang w:val="zh-CN" w:eastAsia="zh-CN"/>
              </w:rPr>
            </w:pPr>
            <w:r>
              <w:rPr>
                <w:rFonts w:hint="eastAsia" w:ascii="宋体" w:hAnsi="宋体" w:eastAsia="宋体" w:cs="宋体"/>
                <w:bCs/>
                <w:color w:val="000000"/>
                <w:kern w:val="0"/>
                <w:sz w:val="20"/>
                <w:szCs w:val="20"/>
                <w:lang w:val="zh-CN" w:eastAsia="zh-CN"/>
              </w:rPr>
              <w:t>履约信誉：</w:t>
            </w:r>
            <w:r>
              <w:rPr>
                <w:rFonts w:hint="eastAsia" w:ascii="宋体" w:hAnsi="宋体" w:eastAsia="宋体" w:cs="宋体"/>
                <w:bCs/>
                <w:color w:val="000000"/>
                <w:kern w:val="0"/>
                <w:sz w:val="20"/>
                <w:szCs w:val="20"/>
                <w:lang w:val="en-US" w:eastAsia="zh-CN"/>
              </w:rPr>
              <w:t>5</w:t>
            </w:r>
            <w:r>
              <w:rPr>
                <w:rFonts w:hint="eastAsia" w:ascii="宋体" w:hAnsi="宋体" w:eastAsia="宋体" w:cs="宋体"/>
                <w:bCs/>
                <w:color w:val="000000"/>
                <w:kern w:val="0"/>
                <w:sz w:val="20"/>
                <w:szCs w:val="20"/>
                <w:lang w:val="zh-CN" w:eastAsia="zh-CN"/>
              </w:rPr>
              <w:t>分</w:t>
            </w:r>
          </w:p>
          <w:p>
            <w:pPr>
              <w:pStyle w:val="14"/>
              <w:spacing w:before="1"/>
              <w:ind w:left="0" w:leftChars="0"/>
              <w:rPr>
                <w:rFonts w:hint="eastAsia" w:ascii="宋体" w:hAnsi="宋体" w:eastAsia="宋体" w:cs="宋体"/>
                <w:bCs/>
                <w:color w:val="000000"/>
                <w:kern w:val="0"/>
                <w:sz w:val="20"/>
                <w:szCs w:val="20"/>
                <w:lang w:val="zh-CN" w:eastAsia="zh-CN"/>
              </w:rPr>
            </w:pPr>
            <w:r>
              <w:rPr>
                <w:rFonts w:hint="eastAsia" w:ascii="宋体" w:hAnsi="宋体" w:eastAsia="宋体" w:cs="宋体"/>
                <w:bCs/>
                <w:color w:val="000000"/>
                <w:kern w:val="0"/>
                <w:sz w:val="20"/>
                <w:szCs w:val="20"/>
                <w:lang w:val="zh-CN" w:eastAsia="zh-CN"/>
              </w:rPr>
              <w:t>第二个信封（报价文件）评分分值构成：</w:t>
            </w:r>
          </w:p>
          <w:p>
            <w:pPr>
              <w:pStyle w:val="14"/>
              <w:spacing w:before="1"/>
              <w:ind w:left="0" w:leftChars="0"/>
              <w:rPr>
                <w:rFonts w:hint="eastAsia" w:ascii="宋体" w:hAnsi="宋体" w:eastAsia="宋体" w:cs="宋体"/>
                <w:bCs/>
                <w:color w:val="000000"/>
                <w:kern w:val="0"/>
                <w:sz w:val="20"/>
                <w:szCs w:val="20"/>
                <w:lang w:val="zh-CN" w:eastAsia="zh-CN"/>
              </w:rPr>
            </w:pPr>
            <w:r>
              <w:rPr>
                <w:rFonts w:hint="eastAsia" w:ascii="宋体" w:hAnsi="宋体" w:eastAsia="宋体" w:cs="宋体"/>
                <w:bCs/>
                <w:color w:val="000000"/>
                <w:kern w:val="0"/>
                <w:sz w:val="20"/>
                <w:szCs w:val="20"/>
                <w:lang w:val="zh-CN" w:eastAsia="zh-CN"/>
              </w:rPr>
              <w:t>评标价： 10 分</w:t>
            </w:r>
          </w:p>
        </w:tc>
      </w:tr>
      <w:tr>
        <w:tblPrEx>
          <w:tblCellMar>
            <w:top w:w="0" w:type="dxa"/>
            <w:left w:w="108" w:type="dxa"/>
            <w:bottom w:w="0" w:type="dxa"/>
            <w:right w:w="108" w:type="dxa"/>
          </w:tblCellMar>
        </w:tblPrEx>
        <w:trPr>
          <w:trHeight w:val="90"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tabs>
                <w:tab w:val="left" w:leader="middleDot" w:pos="8400"/>
                <w:tab w:val="left" w:leader="middleDot" w:pos="10500"/>
              </w:tabs>
              <w:autoSpaceDE w:val="0"/>
              <w:autoSpaceDN w:val="0"/>
              <w:spacing w:line="360" w:lineRule="auto"/>
              <w:jc w:val="center"/>
              <w:rPr>
                <w:rFonts w:hint="eastAsia" w:ascii="宋体" w:hAnsi="宋体" w:eastAsia="宋体" w:cs="宋体"/>
                <w:b w:val="0"/>
                <w:bCs/>
                <w:color w:val="000000"/>
                <w:kern w:val="0"/>
                <w:sz w:val="20"/>
                <w:szCs w:val="20"/>
                <w:lang w:val="zh-CN" w:eastAsia="zh-CN" w:bidi="zh-CN"/>
              </w:rPr>
            </w:pPr>
            <w:r>
              <w:rPr>
                <w:rFonts w:hint="eastAsia" w:ascii="宋体" w:hAnsi="宋体" w:eastAsia="宋体" w:cs="宋体"/>
                <w:b w:val="0"/>
                <w:bCs/>
                <w:color w:val="000000"/>
                <w:kern w:val="0"/>
                <w:sz w:val="20"/>
                <w:szCs w:val="20"/>
              </w:rPr>
              <w:t>2.2.2</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tabs>
                <w:tab w:val="left" w:leader="middleDot" w:pos="8400"/>
                <w:tab w:val="left" w:leader="middleDot" w:pos="10500"/>
              </w:tabs>
              <w:autoSpaceDE w:val="0"/>
              <w:autoSpaceDN w:val="0"/>
              <w:spacing w:line="360" w:lineRule="auto"/>
              <w:jc w:val="center"/>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评标基准价</w:t>
            </w:r>
          </w:p>
          <w:p>
            <w:pPr>
              <w:tabs>
                <w:tab w:val="left" w:leader="middleDot" w:pos="8400"/>
                <w:tab w:val="left" w:leader="middleDot" w:pos="10500"/>
              </w:tabs>
              <w:autoSpaceDE w:val="0"/>
              <w:autoSpaceDN w:val="0"/>
              <w:spacing w:line="360" w:lineRule="auto"/>
              <w:jc w:val="center"/>
              <w:rPr>
                <w:rFonts w:hint="eastAsia" w:ascii="宋体" w:hAnsi="宋体" w:eastAsia="宋体" w:cs="宋体"/>
                <w:bCs/>
                <w:color w:val="000000"/>
                <w:kern w:val="0"/>
                <w:sz w:val="20"/>
                <w:szCs w:val="20"/>
                <w:lang w:val="zh-CN" w:eastAsia="zh-CN" w:bidi="zh-CN"/>
              </w:rPr>
            </w:pPr>
            <w:r>
              <w:rPr>
                <w:rFonts w:hint="eastAsia" w:ascii="宋体" w:hAnsi="宋体" w:eastAsia="宋体" w:cs="宋体"/>
                <w:bCs/>
                <w:color w:val="000000"/>
                <w:kern w:val="0"/>
                <w:sz w:val="20"/>
                <w:szCs w:val="20"/>
              </w:rPr>
              <w:t>计算方法</w:t>
            </w:r>
          </w:p>
        </w:tc>
        <w:tc>
          <w:tcPr>
            <w:tcW w:w="5867" w:type="dxa"/>
            <w:tcBorders>
              <w:top w:val="single" w:color="000000" w:sz="4" w:space="0"/>
              <w:left w:val="single" w:color="000000" w:sz="4" w:space="0"/>
              <w:bottom w:val="single" w:color="000000" w:sz="4" w:space="0"/>
              <w:right w:val="single" w:color="000000" w:sz="4" w:space="0"/>
            </w:tcBorders>
            <w:noWrap w:val="0"/>
            <w:vAlign w:val="center"/>
          </w:tcPr>
          <w:p>
            <w:pPr>
              <w:pStyle w:val="14"/>
              <w:spacing w:before="25" w:line="360" w:lineRule="exact"/>
              <w:ind w:right="-28" w:firstLine="400" w:firstLineChars="200"/>
              <w:rPr>
                <w:rFonts w:hint="eastAsia" w:ascii="宋体" w:hAnsi="宋体" w:eastAsia="宋体" w:cs="宋体"/>
                <w:sz w:val="20"/>
                <w:szCs w:val="20"/>
              </w:rPr>
            </w:pPr>
            <w:r>
              <w:rPr>
                <w:rFonts w:hint="eastAsia" w:ascii="宋体" w:hAnsi="宋体" w:eastAsia="宋体" w:cs="宋体"/>
                <w:sz w:val="20"/>
                <w:szCs w:val="20"/>
              </w:rPr>
              <w:t>评标基准价计算方法采用自治区交通运输厅关于印发《宁夏回族自治区公路工程建设项目招标投标管理实施细则（暂行）》的通知（宁交规发〔2019〕1 号）中的附件2，具体如下：</w:t>
            </w:r>
          </w:p>
          <w:p>
            <w:pPr>
              <w:pStyle w:val="14"/>
              <w:spacing w:before="47" w:line="3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对所有通过第一个信封（商务和技术文件）评审的投标人第二个信封（报价文件）的评标价去掉一个最高值和一个最低值后作算术平均，如果参与评标价平均值计算的有效投标人少于 5 家时，则计算评标价平均值时不去掉最高值和最低值（在开标现场被宣布为不符合规定而不进入评标基准价计算的投标报价除外）。</w:t>
            </w:r>
          </w:p>
          <w:p>
            <w:pPr>
              <w:pStyle w:val="14"/>
              <w:spacing w:before="66" w:line="360" w:lineRule="exact"/>
              <w:ind w:left="990"/>
              <w:rPr>
                <w:rFonts w:ascii="Times New Roman"/>
                <w:i/>
                <w:sz w:val="20"/>
                <w:szCs w:val="20"/>
              </w:rPr>
            </w:pPr>
            <w:r>
              <w:rPr>
                <w:rFonts w:ascii="Times New Roman"/>
                <w:i/>
                <w:sz w:val="20"/>
                <w:szCs w:val="20"/>
              </w:rPr>
              <w:t>Nj</w:t>
            </w:r>
          </w:p>
          <w:p>
            <w:pPr>
              <w:pStyle w:val="14"/>
              <w:spacing w:line="360" w:lineRule="exact"/>
              <w:ind w:left="594"/>
              <w:rPr>
                <w:rFonts w:ascii="Times New Roman" w:hAnsi="Times New Roman"/>
                <w:sz w:val="20"/>
                <w:szCs w:val="20"/>
              </w:rPr>
            </w:pPr>
            <w:r>
              <w:rPr>
                <w:rFonts w:ascii="Times New Roman" w:hAnsi="Times New Roman"/>
                <w:i/>
                <w:sz w:val="20"/>
                <w:szCs w:val="20"/>
              </w:rPr>
              <w:t xml:space="preserve">p </w:t>
            </w:r>
            <w:r>
              <w:rPr>
                <w:rFonts w:ascii="Symbol" w:hAnsi="Symbol"/>
                <w:sz w:val="20"/>
                <w:szCs w:val="20"/>
              </w:rPr>
              <w:t></w:t>
            </w:r>
            <w:r>
              <w:rPr>
                <w:rFonts w:ascii="Times New Roman" w:hAnsi="Times New Roman"/>
                <w:sz w:val="20"/>
                <w:szCs w:val="20"/>
              </w:rPr>
              <w:t xml:space="preserve"> </w:t>
            </w:r>
            <w:r>
              <w:rPr>
                <w:rFonts w:ascii="Symbol" w:hAnsi="Symbol"/>
                <w:position w:val="-5"/>
                <w:sz w:val="20"/>
                <w:szCs w:val="20"/>
              </w:rPr>
              <w:t></w:t>
            </w:r>
            <w:r>
              <w:rPr>
                <w:rFonts w:ascii="Times New Roman" w:hAnsi="Times New Roman"/>
                <w:position w:val="-5"/>
                <w:sz w:val="20"/>
                <w:szCs w:val="20"/>
              </w:rPr>
              <w:t xml:space="preserve"> </w:t>
            </w:r>
            <w:r>
              <w:rPr>
                <w:rFonts w:ascii="Times New Roman" w:hAnsi="Times New Roman"/>
                <w:i/>
                <w:sz w:val="20"/>
                <w:szCs w:val="20"/>
              </w:rPr>
              <w:t xml:space="preserve">Di </w:t>
            </w:r>
            <w:r>
              <w:rPr>
                <w:rFonts w:ascii="Times New Roman" w:hAnsi="Times New Roman"/>
                <w:sz w:val="20"/>
                <w:szCs w:val="20"/>
              </w:rPr>
              <w:t xml:space="preserve">/ </w:t>
            </w:r>
            <w:r>
              <w:rPr>
                <w:rFonts w:ascii="Times New Roman" w:hAnsi="Times New Roman"/>
                <w:i/>
                <w:sz w:val="20"/>
                <w:szCs w:val="20"/>
              </w:rPr>
              <w:t xml:space="preserve">Nj </w:t>
            </w:r>
            <w:r>
              <w:rPr>
                <w:rFonts w:ascii="Symbol" w:hAnsi="Symbol"/>
                <w:sz w:val="20"/>
                <w:szCs w:val="20"/>
              </w:rPr>
              <w:t></w:t>
            </w:r>
            <w:r>
              <w:rPr>
                <w:rFonts w:ascii="Times New Roman" w:hAnsi="Times New Roman"/>
                <w:sz w:val="20"/>
                <w:szCs w:val="20"/>
              </w:rPr>
              <w:t xml:space="preserve"> K</w:t>
            </w:r>
          </w:p>
          <w:p>
            <w:pPr>
              <w:pStyle w:val="14"/>
              <w:spacing w:line="360" w:lineRule="exact"/>
              <w:ind w:left="997"/>
              <w:rPr>
                <w:rFonts w:ascii="Times New Roman" w:hAnsi="Times New Roman"/>
                <w:sz w:val="20"/>
                <w:szCs w:val="20"/>
              </w:rPr>
            </w:pPr>
            <w:r>
              <w:rPr>
                <w:rFonts w:ascii="Times New Roman" w:hAnsi="Times New Roman"/>
                <w:i/>
                <w:sz w:val="20"/>
                <w:szCs w:val="20"/>
              </w:rPr>
              <w:t>i</w:t>
            </w:r>
            <w:r>
              <w:rPr>
                <w:rFonts w:ascii="Symbol" w:hAnsi="Symbol"/>
                <w:sz w:val="20"/>
                <w:szCs w:val="20"/>
              </w:rPr>
              <w:t></w:t>
            </w:r>
            <w:r>
              <w:rPr>
                <w:rFonts w:ascii="Times New Roman" w:hAnsi="Times New Roman"/>
                <w:sz w:val="20"/>
                <w:szCs w:val="20"/>
              </w:rPr>
              <w:t>1</w:t>
            </w:r>
          </w:p>
          <w:p>
            <w:pPr>
              <w:pStyle w:val="14"/>
              <w:spacing w:line="360" w:lineRule="exact"/>
              <w:rPr>
                <w:rFonts w:hint="eastAsia" w:ascii="宋体" w:hAnsi="宋体" w:eastAsia="宋体" w:cs="宋体"/>
                <w:sz w:val="20"/>
                <w:szCs w:val="20"/>
              </w:rPr>
            </w:pPr>
            <w:r>
              <w:rPr>
                <w:rFonts w:hint="eastAsia" w:ascii="宋体" w:hAnsi="宋体" w:eastAsia="宋体" w:cs="宋体"/>
                <w:sz w:val="20"/>
                <w:szCs w:val="20"/>
              </w:rPr>
              <w:t>式中：Nj 为去掉一个最高值和一个最低值后的有效评标价数量，当 N＜5 时，Nj=N,当 N≥5 时，Nj=N-2。</w:t>
            </w:r>
          </w:p>
          <w:p>
            <w:pPr>
              <w:pStyle w:val="14"/>
              <w:spacing w:before="1" w:line="240" w:lineRule="auto"/>
              <w:ind w:left="0" w:leftChars="0"/>
              <w:rPr>
                <w:rFonts w:hint="eastAsia" w:ascii="宋体" w:hAnsi="宋体" w:eastAsia="宋体" w:cs="宋体"/>
                <w:bCs/>
                <w:color w:val="000000"/>
                <w:kern w:val="0"/>
                <w:sz w:val="20"/>
                <w:szCs w:val="20"/>
                <w:lang w:val="zh-CN" w:eastAsia="zh-CN"/>
              </w:rPr>
            </w:pPr>
            <w:r>
              <w:rPr>
                <w:rFonts w:hint="eastAsia" w:ascii="宋体" w:hAnsi="宋体" w:eastAsia="宋体" w:cs="宋体"/>
                <w:sz w:val="20"/>
                <w:szCs w:val="20"/>
              </w:rPr>
              <w:t>评标基准价的确定：将算术平均值直接作为评标基准价，K＝1。</w:t>
            </w:r>
          </w:p>
        </w:tc>
      </w:tr>
      <w:tr>
        <w:tblPrEx>
          <w:tblCellMar>
            <w:top w:w="0" w:type="dxa"/>
            <w:left w:w="108" w:type="dxa"/>
            <w:bottom w:w="0" w:type="dxa"/>
            <w:right w:w="108" w:type="dxa"/>
          </w:tblCellMar>
        </w:tblPrEx>
        <w:trPr>
          <w:trHeight w:val="90"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tabs>
                <w:tab w:val="left" w:leader="middleDot" w:pos="8400"/>
                <w:tab w:val="left" w:leader="middleDot" w:pos="10500"/>
              </w:tabs>
              <w:autoSpaceDE w:val="0"/>
              <w:autoSpaceDN w:val="0"/>
              <w:spacing w:line="360" w:lineRule="auto"/>
              <w:jc w:val="center"/>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rPr>
              <w:t>2.2.3</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pPr>
              <w:tabs>
                <w:tab w:val="left" w:leader="middleDot" w:pos="8400"/>
                <w:tab w:val="left" w:leader="middleDot" w:pos="10500"/>
              </w:tabs>
              <w:autoSpaceDE w:val="0"/>
              <w:autoSpaceDN w:val="0"/>
              <w:spacing w:line="360" w:lineRule="auto"/>
              <w:jc w:val="center"/>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评标价的偏差率</w:t>
            </w:r>
          </w:p>
          <w:p>
            <w:pPr>
              <w:tabs>
                <w:tab w:val="left" w:leader="middleDot" w:pos="8400"/>
                <w:tab w:val="left" w:leader="middleDot" w:pos="10500"/>
              </w:tabs>
              <w:autoSpaceDE w:val="0"/>
              <w:autoSpaceDN w:val="0"/>
              <w:spacing w:line="360" w:lineRule="auto"/>
              <w:jc w:val="center"/>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计算公式</w:t>
            </w:r>
          </w:p>
        </w:tc>
        <w:tc>
          <w:tcPr>
            <w:tcW w:w="586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60" w:lineRule="auto"/>
              <w:jc w:val="left"/>
              <w:textAlignment w:val="auto"/>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偏差率=100%×（投标人评标价－评标基准价）/评标基准价</w:t>
            </w:r>
          </w:p>
          <w:p>
            <w:pPr>
              <w:autoSpaceDE w:val="0"/>
              <w:autoSpaceDN w:val="0"/>
              <w:spacing w:line="360" w:lineRule="auto"/>
              <w:jc w:val="left"/>
              <w:textAlignment w:val="auto"/>
              <w:rPr>
                <w:rFonts w:hint="eastAsia" w:ascii="宋体" w:hAnsi="宋体" w:eastAsia="宋体" w:cs="宋体"/>
                <w:bCs/>
                <w:color w:val="000000"/>
                <w:kern w:val="0"/>
                <w:sz w:val="20"/>
                <w:szCs w:val="20"/>
              </w:rPr>
            </w:pPr>
            <w:r>
              <w:rPr>
                <w:rFonts w:hint="eastAsia" w:ascii="宋体" w:hAnsi="宋体" w:eastAsia="宋体" w:cs="宋体"/>
                <w:bCs/>
                <w:color w:val="000000"/>
                <w:kern w:val="0"/>
                <w:sz w:val="20"/>
                <w:szCs w:val="20"/>
              </w:rPr>
              <w:t>偏差率保留</w:t>
            </w:r>
            <w:r>
              <w:rPr>
                <w:rFonts w:hint="eastAsia" w:ascii="宋体" w:hAnsi="宋体" w:eastAsia="宋体" w:cs="宋体"/>
                <w:bCs/>
                <w:color w:val="000000"/>
                <w:kern w:val="0"/>
                <w:sz w:val="20"/>
                <w:szCs w:val="20"/>
                <w:u w:val="single"/>
              </w:rPr>
              <w:t xml:space="preserve"> 2 </w:t>
            </w:r>
            <w:r>
              <w:rPr>
                <w:rFonts w:hint="eastAsia" w:ascii="宋体" w:hAnsi="宋体" w:eastAsia="宋体" w:cs="宋体"/>
                <w:bCs/>
                <w:color w:val="000000"/>
                <w:kern w:val="0"/>
                <w:sz w:val="20"/>
                <w:szCs w:val="20"/>
              </w:rPr>
              <w:t>位小数</w:t>
            </w:r>
          </w:p>
        </w:tc>
      </w:tr>
    </w:tbl>
    <w:p>
      <w:pPr>
        <w:autoSpaceDE w:val="0"/>
        <w:autoSpaceDN w:val="0"/>
        <w:spacing w:line="360" w:lineRule="auto"/>
        <w:jc w:val="center"/>
        <w:textAlignment w:val="auto"/>
        <w:rPr>
          <w:rFonts w:hint="eastAsia" w:ascii="宋体" w:hAnsi="宋体" w:eastAsia="宋体" w:cs="宋体"/>
          <w:b w:val="0"/>
          <w:bCs/>
          <w:color w:val="000000"/>
          <w:sz w:val="20"/>
          <w:szCs w:val="20"/>
          <w:shd w:val="clear" w:color="auto" w:fill="FFFFFF"/>
        </w:rPr>
      </w:pPr>
      <w:r>
        <w:rPr>
          <w:rFonts w:hint="eastAsia" w:ascii="宋体" w:hAnsi="宋体" w:eastAsia="宋体" w:cs="宋体"/>
          <w:b w:val="0"/>
          <w:bCs/>
          <w:color w:val="000000"/>
          <w:sz w:val="20"/>
          <w:szCs w:val="20"/>
          <w:shd w:val="clear" w:color="auto" w:fill="FFFFFF"/>
        </w:rPr>
        <w:br w:type="page"/>
      </w:r>
    </w:p>
    <w:tbl>
      <w:tblPr>
        <w:tblStyle w:val="10"/>
        <w:tblW w:w="8982" w:type="dxa"/>
        <w:jc w:val="center"/>
        <w:tblLayout w:type="fixed"/>
        <w:tblCellMar>
          <w:top w:w="0" w:type="dxa"/>
          <w:left w:w="108" w:type="dxa"/>
          <w:bottom w:w="0" w:type="dxa"/>
          <w:right w:w="108" w:type="dxa"/>
        </w:tblCellMar>
      </w:tblPr>
      <w:tblGrid>
        <w:gridCol w:w="775"/>
        <w:gridCol w:w="1"/>
        <w:gridCol w:w="637"/>
        <w:gridCol w:w="12"/>
        <w:gridCol w:w="1690"/>
        <w:gridCol w:w="781"/>
        <w:gridCol w:w="5086"/>
      </w:tblGrid>
      <w:tr>
        <w:tblPrEx>
          <w:tblCellMar>
            <w:top w:w="0" w:type="dxa"/>
            <w:left w:w="108" w:type="dxa"/>
            <w:bottom w:w="0" w:type="dxa"/>
            <w:right w:w="108" w:type="dxa"/>
          </w:tblCellMar>
        </w:tblPrEx>
        <w:trPr>
          <w:trHeight w:val="1232" w:hRule="atLeast"/>
          <w:jc w:val="center"/>
        </w:trPr>
        <w:tc>
          <w:tcPr>
            <w:tcW w:w="77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5"/>
              <w:adjustRightInd/>
              <w:spacing w:line="360" w:lineRule="auto"/>
              <w:ind w:firstLine="0" w:firstLineChars="0"/>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shd w:val="clear" w:color="auto" w:fill="FFFFFF"/>
              </w:rPr>
              <w:t>条款号</w:t>
            </w:r>
          </w:p>
        </w:tc>
        <w:tc>
          <w:tcPr>
            <w:tcW w:w="233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adjustRightInd/>
              <w:spacing w:line="360" w:lineRule="auto"/>
              <w:ind w:firstLine="0" w:firstLineChars="0"/>
              <w:rPr>
                <w:rFonts w:hint="eastAsia" w:ascii="宋体" w:hAnsi="宋体" w:eastAsia="宋体" w:cs="宋体"/>
                <w:bCs/>
                <w:color w:val="000000"/>
                <w:kern w:val="0"/>
                <w:sz w:val="20"/>
                <w:szCs w:val="20"/>
              </w:rPr>
            </w:pPr>
            <w:r>
              <w:rPr>
                <w:rFonts w:hint="eastAsia" w:ascii="宋体" w:hAnsi="宋体" w:eastAsia="宋体" w:cs="宋体"/>
                <w:b w:val="0"/>
                <w:bCs/>
                <w:color w:val="000000"/>
                <w:sz w:val="20"/>
                <w:szCs w:val="20"/>
                <w:shd w:val="clear" w:color="auto" w:fill="FFFFFF"/>
              </w:rPr>
              <w:t>评分因素</w:t>
            </w:r>
          </w:p>
        </w:tc>
        <w:tc>
          <w:tcPr>
            <w:tcW w:w="78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评分因素权重分值</w:t>
            </w:r>
          </w:p>
        </w:tc>
        <w:tc>
          <w:tcPr>
            <w:tcW w:w="5086" w:type="dxa"/>
            <w:tcBorders>
              <w:top w:val="single" w:color="000000" w:sz="4" w:space="0"/>
              <w:left w:val="single" w:color="auto" w:sz="4" w:space="0"/>
              <w:bottom w:val="single" w:color="000000" w:sz="4" w:space="0"/>
              <w:right w:val="single" w:color="000000" w:sz="4" w:space="0"/>
            </w:tcBorders>
            <w:noWrap w:val="0"/>
            <w:vAlign w:val="center"/>
          </w:tcPr>
          <w:p>
            <w:pPr>
              <w:pStyle w:val="15"/>
              <w:adjustRightInd/>
              <w:spacing w:line="360" w:lineRule="auto"/>
              <w:ind w:firstLine="0" w:firstLineChars="0"/>
              <w:rPr>
                <w:rFonts w:hint="eastAsia" w:ascii="宋体" w:hAnsi="宋体" w:eastAsia="宋体" w:cs="宋体"/>
                <w:b w:val="0"/>
                <w:bCs/>
                <w:color w:val="000000"/>
                <w:sz w:val="20"/>
                <w:szCs w:val="20"/>
                <w:shd w:val="clear" w:color="auto" w:fill="FFFFFF"/>
              </w:rPr>
            </w:pPr>
            <w:r>
              <w:rPr>
                <w:rFonts w:hint="eastAsia" w:ascii="宋体" w:hAnsi="宋体" w:eastAsia="宋体" w:cs="宋体"/>
                <w:b w:val="0"/>
                <w:bCs/>
                <w:color w:val="000000"/>
                <w:sz w:val="20"/>
                <w:szCs w:val="20"/>
                <w:shd w:val="clear" w:color="auto" w:fill="FFFFFF"/>
              </w:rPr>
              <w:t>各评分因素细分项</w:t>
            </w:r>
          </w:p>
        </w:tc>
      </w:tr>
      <w:tr>
        <w:tblPrEx>
          <w:tblCellMar>
            <w:top w:w="0" w:type="dxa"/>
            <w:left w:w="108" w:type="dxa"/>
            <w:bottom w:w="0" w:type="dxa"/>
            <w:right w:w="108" w:type="dxa"/>
          </w:tblCellMar>
        </w:tblPrEx>
        <w:trPr>
          <w:trHeight w:val="1182" w:hRule="atLeast"/>
          <w:jc w:val="center"/>
        </w:trPr>
        <w:tc>
          <w:tcPr>
            <w:tcW w:w="776" w:type="dxa"/>
            <w:gridSpan w:val="2"/>
            <w:vMerge w:val="restart"/>
            <w:tcBorders>
              <w:top w:val="single" w:color="000000" w:sz="4" w:space="0"/>
              <w:left w:val="single" w:color="000000" w:sz="4" w:space="0"/>
              <w:right w:val="single" w:color="000000" w:sz="4" w:space="0"/>
            </w:tcBorders>
            <w:noWrap w:val="0"/>
            <w:vAlign w:val="center"/>
          </w:tcPr>
          <w:p>
            <w:pPr>
              <w:pStyle w:val="15"/>
              <w:adjustRightInd/>
              <w:spacing w:line="360" w:lineRule="auto"/>
              <w:ind w:firstLine="0" w:firstLineChars="0"/>
              <w:rPr>
                <w:rFonts w:hint="eastAsia" w:ascii="宋体" w:hAnsi="宋体" w:eastAsia="宋体" w:cs="宋体"/>
                <w:b w:val="0"/>
                <w:bCs/>
                <w:color w:val="000000"/>
                <w:sz w:val="20"/>
                <w:szCs w:val="20"/>
                <w:shd w:val="clear" w:color="auto" w:fill="FFFFFF"/>
              </w:rPr>
            </w:pPr>
            <w:r>
              <w:rPr>
                <w:rFonts w:hint="eastAsia" w:ascii="宋体" w:hAnsi="宋体" w:eastAsia="宋体" w:cs="宋体"/>
                <w:bCs/>
                <w:color w:val="000000"/>
                <w:sz w:val="20"/>
                <w:szCs w:val="20"/>
                <w:shd w:val="clear" w:color="auto" w:fill="FFFFFF"/>
              </w:rPr>
              <w:t>2.2.4（1）</w:t>
            </w:r>
          </w:p>
        </w:tc>
        <w:tc>
          <w:tcPr>
            <w:tcW w:w="649" w:type="dxa"/>
            <w:gridSpan w:val="2"/>
            <w:vMerge w:val="restart"/>
            <w:tcBorders>
              <w:top w:val="single" w:color="000000" w:sz="4" w:space="0"/>
              <w:left w:val="single" w:color="000000" w:sz="4" w:space="0"/>
              <w:right w:val="single" w:color="auto" w:sz="4" w:space="0"/>
            </w:tcBorders>
            <w:noWrap w:val="0"/>
            <w:vAlign w:val="center"/>
          </w:tcPr>
          <w:p>
            <w:pPr>
              <w:pStyle w:val="15"/>
              <w:adjustRightInd/>
              <w:spacing w:line="360" w:lineRule="auto"/>
              <w:ind w:firstLine="0"/>
              <w:rPr>
                <w:rFonts w:hint="eastAsia" w:ascii="宋体" w:hAnsi="宋体" w:eastAsia="宋体" w:cs="宋体"/>
                <w:bCs/>
                <w:color w:val="000000"/>
                <w:sz w:val="20"/>
                <w:szCs w:val="20"/>
                <w:shd w:val="clear" w:color="auto" w:fill="FFFFFF"/>
              </w:rPr>
            </w:pPr>
            <w:r>
              <w:rPr>
                <w:rFonts w:hint="eastAsia" w:ascii="宋体" w:hAnsi="宋体" w:eastAsia="宋体" w:cs="宋体"/>
                <w:bCs/>
                <w:color w:val="000000"/>
                <w:sz w:val="20"/>
                <w:szCs w:val="20"/>
                <w:shd w:val="clear" w:color="auto" w:fill="FFFFFF"/>
              </w:rPr>
              <w:t>技术建议书</w:t>
            </w:r>
          </w:p>
          <w:p>
            <w:pPr>
              <w:pStyle w:val="15"/>
              <w:adjustRightInd/>
              <w:spacing w:line="360" w:lineRule="auto"/>
              <w:ind w:firstLine="0" w:firstLineChars="0"/>
              <w:rPr>
                <w:rFonts w:hint="eastAsia" w:ascii="宋体" w:hAnsi="宋体" w:eastAsia="宋体" w:cs="宋体"/>
                <w:b w:val="0"/>
                <w:bCs/>
                <w:color w:val="000000"/>
                <w:sz w:val="20"/>
                <w:szCs w:val="20"/>
                <w:shd w:val="clear" w:color="auto" w:fill="FFFFFF"/>
              </w:rPr>
            </w:pPr>
            <w:r>
              <w:rPr>
                <w:rFonts w:hint="eastAsia" w:ascii="宋体" w:hAnsi="宋体" w:eastAsia="宋体" w:cs="宋体"/>
                <w:bCs/>
                <w:color w:val="000000"/>
                <w:sz w:val="20"/>
                <w:szCs w:val="20"/>
                <w:shd w:val="clear" w:color="auto" w:fill="FFFFFF"/>
              </w:rPr>
              <w:t>35分</w:t>
            </w:r>
          </w:p>
        </w:tc>
        <w:tc>
          <w:tcPr>
            <w:tcW w:w="16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对招标项目的理解和总体思路</w:t>
            </w:r>
          </w:p>
        </w:tc>
        <w:tc>
          <w:tcPr>
            <w:tcW w:w="78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7分</w:t>
            </w:r>
          </w:p>
        </w:tc>
        <w:tc>
          <w:tcPr>
            <w:tcW w:w="50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根据投标人对招标项目的特点、难点、重点针对性、技术建议有效可行的先进性、合理性进行评分，优秀得5.7-7分，良好得4.3-5.6分，一般得4.2分。</w:t>
            </w:r>
          </w:p>
        </w:tc>
      </w:tr>
      <w:tr>
        <w:tblPrEx>
          <w:tblCellMar>
            <w:top w:w="0" w:type="dxa"/>
            <w:left w:w="108" w:type="dxa"/>
            <w:bottom w:w="0" w:type="dxa"/>
            <w:right w:w="108" w:type="dxa"/>
          </w:tblCellMar>
        </w:tblPrEx>
        <w:trPr>
          <w:trHeight w:val="1232" w:hRule="atLeast"/>
          <w:jc w:val="center"/>
        </w:trPr>
        <w:tc>
          <w:tcPr>
            <w:tcW w:w="776" w:type="dxa"/>
            <w:gridSpan w:val="2"/>
            <w:vMerge w:val="continue"/>
            <w:tcBorders>
              <w:left w:val="single" w:color="000000" w:sz="4" w:space="0"/>
              <w:right w:val="single" w:color="000000"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shd w:val="clear" w:color="auto" w:fill="FFFFFF"/>
              </w:rPr>
            </w:pPr>
          </w:p>
        </w:tc>
        <w:tc>
          <w:tcPr>
            <w:tcW w:w="649" w:type="dxa"/>
            <w:gridSpan w:val="2"/>
            <w:vMerge w:val="continue"/>
            <w:tcBorders>
              <w:left w:val="single" w:color="000000"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shd w:val="clear" w:color="auto" w:fill="FFFFFF"/>
              </w:rPr>
            </w:pPr>
          </w:p>
        </w:tc>
        <w:tc>
          <w:tcPr>
            <w:tcW w:w="16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招标项目的特点、关键技术问题的认识及其对策措施</w:t>
            </w:r>
          </w:p>
        </w:tc>
        <w:tc>
          <w:tcPr>
            <w:tcW w:w="78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7分</w:t>
            </w:r>
          </w:p>
        </w:tc>
        <w:tc>
          <w:tcPr>
            <w:tcW w:w="50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根据投标人对招标项目特点的理解程度、对关键技术问题的把握情况以及对策措施的有效可行性进行评分，优秀得5.7-7</w:t>
            </w:r>
            <w:r>
              <w:rPr>
                <w:rFonts w:hint="eastAsia" w:ascii="宋体" w:hAnsi="宋体" w:eastAsia="宋体" w:cs="宋体"/>
                <w:bCs/>
                <w:color w:val="000000"/>
                <w:sz w:val="20"/>
                <w:szCs w:val="20"/>
                <w:shd w:val="clear" w:color="auto" w:fill="FFFFFF"/>
                <w:lang w:val="en-US" w:eastAsia="zh-CN"/>
              </w:rPr>
              <w:t>分</w:t>
            </w:r>
            <w:r>
              <w:rPr>
                <w:rFonts w:hint="eastAsia" w:ascii="宋体" w:hAnsi="宋体" w:eastAsia="宋体" w:cs="宋体"/>
                <w:bCs/>
                <w:color w:val="000000"/>
                <w:sz w:val="20"/>
                <w:szCs w:val="20"/>
                <w:shd w:val="clear" w:color="auto" w:fill="FFFFFF"/>
                <w:lang w:val="zh-CN" w:eastAsia="zh-CN"/>
              </w:rPr>
              <w:t>，良好得4.3-5.6分，一般得4.2分。</w:t>
            </w:r>
          </w:p>
        </w:tc>
      </w:tr>
      <w:tr>
        <w:tblPrEx>
          <w:tblCellMar>
            <w:top w:w="0" w:type="dxa"/>
            <w:left w:w="108" w:type="dxa"/>
            <w:bottom w:w="0" w:type="dxa"/>
            <w:right w:w="108" w:type="dxa"/>
          </w:tblCellMar>
        </w:tblPrEx>
        <w:trPr>
          <w:trHeight w:val="1345" w:hRule="atLeast"/>
          <w:jc w:val="center"/>
        </w:trPr>
        <w:tc>
          <w:tcPr>
            <w:tcW w:w="776" w:type="dxa"/>
            <w:gridSpan w:val="2"/>
            <w:vMerge w:val="continue"/>
            <w:tcBorders>
              <w:left w:val="single" w:color="000000" w:sz="4" w:space="0"/>
              <w:right w:val="single" w:color="000000"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shd w:val="clear" w:color="auto" w:fill="FFFFFF"/>
              </w:rPr>
            </w:pPr>
          </w:p>
        </w:tc>
        <w:tc>
          <w:tcPr>
            <w:tcW w:w="649" w:type="dxa"/>
            <w:gridSpan w:val="2"/>
            <w:vMerge w:val="continue"/>
            <w:tcBorders>
              <w:left w:val="single" w:color="000000"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shd w:val="clear" w:color="auto" w:fill="FFFFFF"/>
              </w:rPr>
            </w:pPr>
          </w:p>
        </w:tc>
        <w:tc>
          <w:tcPr>
            <w:tcW w:w="16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en-US" w:eastAsia="zh-CN"/>
              </w:rPr>
              <w:t>项目人员、</w:t>
            </w:r>
            <w:r>
              <w:rPr>
                <w:rFonts w:hint="eastAsia" w:ascii="宋体" w:hAnsi="宋体" w:eastAsia="宋体" w:cs="宋体"/>
                <w:bCs/>
                <w:color w:val="000000"/>
                <w:sz w:val="20"/>
                <w:szCs w:val="20"/>
                <w:shd w:val="clear" w:color="auto" w:fill="FFFFFF"/>
                <w:lang w:val="zh-CN" w:eastAsia="zh-CN"/>
              </w:rPr>
              <w:t>工作量及计划安排</w:t>
            </w:r>
          </w:p>
        </w:tc>
        <w:tc>
          <w:tcPr>
            <w:tcW w:w="78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7分</w:t>
            </w:r>
          </w:p>
        </w:tc>
        <w:tc>
          <w:tcPr>
            <w:tcW w:w="50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根据</w:t>
            </w:r>
            <w:r>
              <w:rPr>
                <w:rFonts w:hint="eastAsia" w:ascii="宋体" w:hAnsi="宋体" w:eastAsia="宋体" w:cs="宋体"/>
                <w:bCs/>
                <w:color w:val="000000"/>
                <w:sz w:val="20"/>
                <w:szCs w:val="20"/>
                <w:shd w:val="clear" w:color="auto" w:fill="FFFFFF"/>
                <w:lang w:val="en-US" w:eastAsia="zh-CN"/>
              </w:rPr>
              <w:t>人员安排、检测</w:t>
            </w:r>
            <w:r>
              <w:rPr>
                <w:rFonts w:hint="eastAsia" w:ascii="宋体" w:hAnsi="宋体" w:eastAsia="宋体" w:cs="宋体"/>
                <w:bCs/>
                <w:color w:val="000000"/>
                <w:sz w:val="20"/>
                <w:szCs w:val="20"/>
                <w:shd w:val="clear" w:color="auto" w:fill="FFFFFF"/>
                <w:lang w:val="zh-CN" w:eastAsia="zh-CN"/>
              </w:rPr>
              <w:t>工作量及计划安排的合理性、与本项目实际情况的符合性进行评分，优秀得5.7-7分，良好得4.3-5.6分，一般得4.2分。</w:t>
            </w:r>
          </w:p>
        </w:tc>
      </w:tr>
      <w:tr>
        <w:tblPrEx>
          <w:tblCellMar>
            <w:top w:w="0" w:type="dxa"/>
            <w:left w:w="108" w:type="dxa"/>
            <w:bottom w:w="0" w:type="dxa"/>
            <w:right w:w="108" w:type="dxa"/>
          </w:tblCellMar>
        </w:tblPrEx>
        <w:trPr>
          <w:trHeight w:val="1232" w:hRule="atLeast"/>
          <w:jc w:val="center"/>
        </w:trPr>
        <w:tc>
          <w:tcPr>
            <w:tcW w:w="776" w:type="dxa"/>
            <w:gridSpan w:val="2"/>
            <w:vMerge w:val="continue"/>
            <w:tcBorders>
              <w:left w:val="single" w:color="000000" w:sz="4" w:space="0"/>
              <w:right w:val="single" w:color="000000"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shd w:val="clear" w:color="auto" w:fill="FFFFFF"/>
              </w:rPr>
            </w:pPr>
          </w:p>
        </w:tc>
        <w:tc>
          <w:tcPr>
            <w:tcW w:w="649" w:type="dxa"/>
            <w:gridSpan w:val="2"/>
            <w:vMerge w:val="continue"/>
            <w:tcBorders>
              <w:left w:val="single" w:color="000000"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shd w:val="clear" w:color="auto" w:fill="FFFFFF"/>
              </w:rPr>
            </w:pPr>
          </w:p>
        </w:tc>
        <w:tc>
          <w:tcPr>
            <w:tcW w:w="16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en-US" w:eastAsia="zh-CN"/>
              </w:rPr>
              <w:t>路况检测、评定及养护分析的</w:t>
            </w:r>
            <w:r>
              <w:rPr>
                <w:rFonts w:hint="eastAsia" w:ascii="宋体" w:hAnsi="宋体" w:eastAsia="宋体" w:cs="宋体"/>
                <w:bCs/>
                <w:color w:val="000000"/>
                <w:sz w:val="20"/>
                <w:szCs w:val="20"/>
                <w:shd w:val="clear" w:color="auto" w:fill="FFFFFF"/>
                <w:lang w:val="zh-CN" w:eastAsia="zh-CN"/>
              </w:rPr>
              <w:t>质量保证措施、进度保证措施、安全保证措施</w:t>
            </w:r>
          </w:p>
        </w:tc>
        <w:tc>
          <w:tcPr>
            <w:tcW w:w="78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7分</w:t>
            </w:r>
          </w:p>
        </w:tc>
        <w:tc>
          <w:tcPr>
            <w:tcW w:w="50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en-US" w:eastAsia="zh-CN"/>
              </w:rPr>
              <w:t>检测、分析</w:t>
            </w:r>
            <w:r>
              <w:rPr>
                <w:rFonts w:hint="eastAsia" w:ascii="宋体" w:hAnsi="宋体" w:eastAsia="宋体" w:cs="宋体"/>
                <w:bCs/>
                <w:color w:val="000000"/>
                <w:sz w:val="20"/>
                <w:szCs w:val="20"/>
                <w:shd w:val="clear" w:color="auto" w:fill="FFFFFF"/>
                <w:lang w:val="zh-CN" w:eastAsia="zh-CN"/>
              </w:rPr>
              <w:t>的质量保证措施、进度保证措施、安全保证措施的可靠性、可实施性进行评分，优秀得5.7-7分，良好得4.3-5.6分，一般得4.2分。</w:t>
            </w:r>
          </w:p>
        </w:tc>
      </w:tr>
      <w:tr>
        <w:tblPrEx>
          <w:tblCellMar>
            <w:top w:w="0" w:type="dxa"/>
            <w:left w:w="108" w:type="dxa"/>
            <w:bottom w:w="0" w:type="dxa"/>
            <w:right w:w="108" w:type="dxa"/>
          </w:tblCellMar>
        </w:tblPrEx>
        <w:trPr>
          <w:trHeight w:val="1443" w:hRule="atLeast"/>
          <w:jc w:val="center"/>
        </w:trPr>
        <w:tc>
          <w:tcPr>
            <w:tcW w:w="776" w:type="dxa"/>
            <w:gridSpan w:val="2"/>
            <w:vMerge w:val="continue"/>
            <w:tcBorders>
              <w:left w:val="single" w:color="000000" w:sz="4" w:space="0"/>
              <w:bottom w:val="single" w:color="000000" w:sz="4" w:space="0"/>
              <w:right w:val="single" w:color="000000"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shd w:val="clear" w:color="auto" w:fill="FFFFFF"/>
              </w:rPr>
            </w:pPr>
          </w:p>
        </w:tc>
        <w:tc>
          <w:tcPr>
            <w:tcW w:w="649" w:type="dxa"/>
            <w:gridSpan w:val="2"/>
            <w:vMerge w:val="continue"/>
            <w:tcBorders>
              <w:left w:val="single" w:color="000000" w:sz="4" w:space="0"/>
              <w:bottom w:val="single" w:color="000000"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shd w:val="clear" w:color="auto" w:fill="FFFFFF"/>
              </w:rPr>
            </w:pPr>
          </w:p>
        </w:tc>
        <w:tc>
          <w:tcPr>
            <w:tcW w:w="16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后续服务的安排及保证措施</w:t>
            </w:r>
          </w:p>
        </w:tc>
        <w:tc>
          <w:tcPr>
            <w:tcW w:w="78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7分</w:t>
            </w:r>
          </w:p>
        </w:tc>
        <w:tc>
          <w:tcPr>
            <w:tcW w:w="50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根据拟定的项目后续服务工作安排、后续服务机构设立情况、服务响应时间安排、具体的后续服务措施及承诺、服务内容的全面完整性、保障措施的可行性进行评分。优秀得5.7-7分，良好得4.3-5.6分，一般得4.2分。</w:t>
            </w:r>
          </w:p>
        </w:tc>
      </w:tr>
      <w:tr>
        <w:tblPrEx>
          <w:tblCellMar>
            <w:top w:w="0" w:type="dxa"/>
            <w:left w:w="108" w:type="dxa"/>
            <w:bottom w:w="0" w:type="dxa"/>
            <w:right w:w="108" w:type="dxa"/>
          </w:tblCellMar>
        </w:tblPrEx>
        <w:trPr>
          <w:trHeight w:val="1821" w:hRule="atLeast"/>
          <w:jc w:val="center"/>
        </w:trPr>
        <w:tc>
          <w:tcPr>
            <w:tcW w:w="8982" w:type="dxa"/>
            <w:gridSpan w:val="7"/>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评审标准：</w:t>
            </w:r>
          </w:p>
          <w:p>
            <w:pPr>
              <w:keepNext w:val="0"/>
              <w:keepLines w:val="0"/>
              <w:widowControl/>
              <w:suppressLineNumbers w:val="0"/>
              <w:jc w:val="left"/>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（1）优秀：技术建议书科学、合理、安全、考虑周全，措施到位，针对性强，完全能够满足需要；</w:t>
            </w:r>
          </w:p>
          <w:p>
            <w:pPr>
              <w:keepNext w:val="0"/>
              <w:keepLines w:val="0"/>
              <w:widowControl/>
              <w:suppressLineNumbers w:val="0"/>
              <w:jc w:val="left"/>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（2）良好：技术建议书基本科学、合理、安全、考虑基本周全，措施基本到位，针对性强，可以满足需要；</w:t>
            </w:r>
          </w:p>
          <w:p>
            <w:pPr>
              <w:keepNext w:val="0"/>
              <w:keepLines w:val="0"/>
              <w:widowControl/>
              <w:suppressLineNumbers w:val="0"/>
              <w:jc w:val="left"/>
              <w:textAlignment w:val="center"/>
              <w:rPr>
                <w:rFonts w:hint="eastAsia" w:ascii="宋体" w:hAnsi="宋体" w:eastAsia="宋体" w:cs="宋体"/>
                <w:bCs/>
                <w:color w:val="000000"/>
                <w:sz w:val="20"/>
                <w:szCs w:val="20"/>
                <w:shd w:val="clear" w:color="auto" w:fill="FFFFFF"/>
                <w:lang w:val="zh-CN" w:eastAsia="zh-CN"/>
              </w:rPr>
            </w:pPr>
            <w:r>
              <w:rPr>
                <w:rFonts w:hint="eastAsia" w:ascii="宋体" w:hAnsi="宋体" w:eastAsia="宋体" w:cs="宋体"/>
                <w:bCs/>
                <w:color w:val="000000"/>
                <w:sz w:val="20"/>
                <w:szCs w:val="20"/>
                <w:shd w:val="clear" w:color="auto" w:fill="FFFFFF"/>
                <w:lang w:val="zh-CN" w:eastAsia="zh-CN"/>
              </w:rPr>
              <w:t>（3）一般：技术建议书在科学、合理、安全性方面一般、考虑不够周全，措施不够到位，针对性不强，基本满足需要。</w:t>
            </w:r>
          </w:p>
        </w:tc>
      </w:tr>
      <w:tr>
        <w:tblPrEx>
          <w:tblCellMar>
            <w:top w:w="0" w:type="dxa"/>
            <w:left w:w="108" w:type="dxa"/>
            <w:bottom w:w="0" w:type="dxa"/>
            <w:right w:w="108" w:type="dxa"/>
          </w:tblCellMar>
        </w:tblPrEx>
        <w:trPr>
          <w:trHeight w:val="1019" w:hRule="atLeast"/>
          <w:jc w:val="center"/>
        </w:trPr>
        <w:tc>
          <w:tcPr>
            <w:tcW w:w="775" w:type="dxa"/>
            <w:vMerge w:val="restart"/>
            <w:tcBorders>
              <w:top w:val="single" w:color="auto" w:sz="4" w:space="0"/>
              <w:left w:val="single" w:color="auto" w:sz="4" w:space="0"/>
              <w:bottom w:val="single" w:color="000000"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rPr>
            </w:pPr>
            <w:r>
              <w:rPr>
                <w:rFonts w:hint="eastAsia" w:ascii="宋体" w:hAnsi="宋体" w:eastAsia="宋体" w:cs="宋体"/>
                <w:bCs/>
                <w:color w:val="000000"/>
                <w:sz w:val="20"/>
                <w:szCs w:val="20"/>
                <w:shd w:val="clear" w:color="auto" w:fill="FFFFFF"/>
              </w:rPr>
              <w:t>2.2.4（2）</w:t>
            </w:r>
          </w:p>
        </w:tc>
        <w:tc>
          <w:tcPr>
            <w:tcW w:w="638" w:type="dxa"/>
            <w:gridSpan w:val="2"/>
            <w:vMerge w:val="restart"/>
            <w:tcBorders>
              <w:top w:val="single" w:color="auto" w:sz="4" w:space="0"/>
              <w:left w:val="single" w:color="auto" w:sz="4" w:space="0"/>
              <w:right w:val="single" w:color="auto" w:sz="4" w:space="0"/>
            </w:tcBorders>
            <w:noWrap w:val="0"/>
            <w:vAlign w:val="center"/>
          </w:tcPr>
          <w:p>
            <w:pPr>
              <w:pStyle w:val="15"/>
              <w:adjustRightInd/>
              <w:spacing w:line="360" w:lineRule="auto"/>
              <w:ind w:firstLine="0"/>
              <w:rPr>
                <w:rFonts w:hint="eastAsia" w:ascii="宋体" w:hAnsi="宋体" w:eastAsia="宋体" w:cs="宋体"/>
                <w:bCs/>
                <w:color w:val="000000"/>
                <w:sz w:val="20"/>
                <w:szCs w:val="20"/>
                <w:shd w:val="clear" w:color="auto" w:fill="FFFFFF"/>
              </w:rPr>
            </w:pPr>
            <w:r>
              <w:rPr>
                <w:rFonts w:hint="eastAsia" w:ascii="宋体" w:hAnsi="宋体" w:eastAsia="宋体" w:cs="宋体"/>
                <w:bCs/>
                <w:color w:val="000000"/>
                <w:sz w:val="20"/>
                <w:szCs w:val="20"/>
                <w:shd w:val="clear" w:color="auto" w:fill="FFFFFF"/>
              </w:rPr>
              <w:t>主要人员</w:t>
            </w:r>
          </w:p>
          <w:p>
            <w:pPr>
              <w:pStyle w:val="15"/>
              <w:adjustRightInd/>
              <w:spacing w:line="360" w:lineRule="auto"/>
              <w:ind w:firstLine="0" w:firstLineChars="0"/>
              <w:rPr>
                <w:rFonts w:hint="eastAsia" w:ascii="宋体" w:hAnsi="宋体" w:eastAsia="宋体" w:cs="宋体"/>
                <w:bCs/>
                <w:color w:val="000000"/>
                <w:sz w:val="20"/>
                <w:szCs w:val="20"/>
              </w:rPr>
            </w:pPr>
            <w:r>
              <w:rPr>
                <w:rFonts w:hint="eastAsia" w:ascii="宋体" w:hAnsi="宋体" w:eastAsia="宋体" w:cs="宋体"/>
                <w:bCs/>
                <w:color w:val="000000"/>
                <w:sz w:val="20"/>
                <w:szCs w:val="20"/>
                <w:shd w:val="clear" w:color="auto" w:fill="FFFFFF"/>
              </w:rPr>
              <w:t>30分</w:t>
            </w:r>
          </w:p>
        </w:tc>
        <w:tc>
          <w:tcPr>
            <w:tcW w:w="1702" w:type="dxa"/>
            <w:gridSpan w:val="2"/>
            <w:tcBorders>
              <w:top w:val="single" w:color="auto" w:sz="4" w:space="0"/>
              <w:left w:val="single" w:color="auto" w:sz="4" w:space="0"/>
              <w:bottom w:val="single" w:color="000000"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highlight w:val="none"/>
              </w:rPr>
            </w:pPr>
            <w:r>
              <w:rPr>
                <w:rFonts w:hint="eastAsia" w:ascii="宋体" w:hAnsi="宋体" w:eastAsia="宋体" w:cs="宋体"/>
                <w:bCs/>
                <w:color w:val="000000"/>
                <w:sz w:val="20"/>
                <w:szCs w:val="20"/>
                <w:highlight w:val="none"/>
                <w:shd w:val="clear" w:color="auto" w:fill="FFFFFF"/>
              </w:rPr>
              <w:t>项目负责人</w:t>
            </w:r>
          </w:p>
        </w:tc>
        <w:tc>
          <w:tcPr>
            <w:tcW w:w="781" w:type="dxa"/>
            <w:tcBorders>
              <w:top w:val="single" w:color="auto" w:sz="4" w:space="0"/>
              <w:left w:val="single" w:color="auto" w:sz="4" w:space="0"/>
              <w:bottom w:val="single" w:color="000000"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highlight w:val="none"/>
              </w:rPr>
            </w:pPr>
            <w:r>
              <w:rPr>
                <w:rFonts w:hint="eastAsia" w:ascii="宋体" w:hAnsi="宋体" w:eastAsia="宋体" w:cs="宋体"/>
                <w:bCs/>
                <w:color w:val="000000"/>
                <w:sz w:val="20"/>
                <w:szCs w:val="20"/>
                <w:highlight w:val="none"/>
                <w:shd w:val="clear" w:color="auto" w:fill="FFFFFF"/>
              </w:rPr>
              <w:t>1</w:t>
            </w:r>
            <w:r>
              <w:rPr>
                <w:rFonts w:hint="eastAsia" w:ascii="宋体" w:hAnsi="宋体" w:eastAsia="宋体" w:cs="宋体"/>
                <w:bCs/>
                <w:color w:val="000000"/>
                <w:sz w:val="20"/>
                <w:szCs w:val="20"/>
                <w:highlight w:val="none"/>
                <w:shd w:val="clear" w:color="auto" w:fill="FFFFFF"/>
                <w:lang w:val="en-US" w:eastAsia="zh-CN"/>
              </w:rPr>
              <w:t>0</w:t>
            </w:r>
            <w:r>
              <w:rPr>
                <w:rFonts w:hint="eastAsia" w:ascii="宋体" w:hAnsi="宋体" w:eastAsia="宋体" w:cs="宋体"/>
                <w:bCs/>
                <w:color w:val="000000"/>
                <w:sz w:val="20"/>
                <w:szCs w:val="20"/>
                <w:highlight w:val="none"/>
                <w:shd w:val="clear" w:color="auto" w:fill="FFFFFF"/>
              </w:rPr>
              <w:t>分</w:t>
            </w:r>
          </w:p>
        </w:tc>
        <w:tc>
          <w:tcPr>
            <w:tcW w:w="5086"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Cs/>
                <w:color w:val="000000"/>
                <w:sz w:val="20"/>
                <w:szCs w:val="20"/>
                <w:highlight w:val="none"/>
                <w:shd w:val="clear" w:color="auto" w:fill="FFFFFF"/>
                <w:lang w:val="zh-CN" w:eastAsia="zh-CN"/>
              </w:rPr>
            </w:pPr>
            <w:r>
              <w:rPr>
                <w:rFonts w:hint="eastAsia" w:ascii="宋体" w:hAnsi="宋体" w:eastAsia="宋体" w:cs="宋体"/>
                <w:bCs/>
                <w:color w:val="000000"/>
                <w:sz w:val="20"/>
                <w:szCs w:val="20"/>
                <w:highlight w:val="none"/>
                <w:shd w:val="clear" w:color="auto" w:fill="FFFFFF"/>
                <w:lang w:val="zh-CN" w:eastAsia="zh-CN"/>
              </w:rPr>
              <w:t>满足招标文件附录4项目负责人最低条件要求的业绩，得基本分</w:t>
            </w:r>
            <w:r>
              <w:rPr>
                <w:rFonts w:hint="eastAsia" w:ascii="宋体" w:hAnsi="宋体" w:eastAsia="宋体" w:cs="宋体"/>
                <w:bCs/>
                <w:color w:val="000000"/>
                <w:sz w:val="20"/>
                <w:szCs w:val="20"/>
                <w:highlight w:val="none"/>
                <w:shd w:val="clear" w:color="auto" w:fill="FFFFFF"/>
                <w:lang w:val="en-US" w:eastAsia="zh-CN"/>
              </w:rPr>
              <w:t>6</w:t>
            </w:r>
            <w:r>
              <w:rPr>
                <w:rFonts w:hint="eastAsia" w:ascii="宋体" w:hAnsi="宋体" w:eastAsia="宋体" w:cs="宋体"/>
                <w:bCs/>
                <w:color w:val="000000"/>
                <w:sz w:val="20"/>
                <w:szCs w:val="20"/>
                <w:highlight w:val="none"/>
                <w:shd w:val="clear" w:color="auto" w:fill="FFFFFF"/>
                <w:lang w:val="zh-CN" w:eastAsia="zh-CN"/>
              </w:rPr>
              <w:t>分。每增加一个满足招标文件附录4项目负责人最低条件要求的业绩加2分。</w:t>
            </w:r>
            <w:r>
              <w:rPr>
                <w:rFonts w:hint="eastAsia" w:ascii="宋体" w:hAnsi="宋体" w:eastAsia="宋体" w:cs="宋体"/>
                <w:bCs/>
                <w:color w:val="000000"/>
                <w:sz w:val="20"/>
                <w:szCs w:val="20"/>
                <w:highlight w:val="none"/>
                <w:shd w:val="clear" w:color="auto" w:fill="FFFFFF"/>
                <w:lang w:val="en-US" w:eastAsia="zh-CN"/>
              </w:rPr>
              <w:t>满分10分</w:t>
            </w:r>
            <w:r>
              <w:rPr>
                <w:rFonts w:hint="eastAsia" w:ascii="宋体" w:hAnsi="宋体" w:eastAsia="宋体" w:cs="宋体"/>
                <w:bCs/>
                <w:color w:val="000000"/>
                <w:sz w:val="20"/>
                <w:szCs w:val="20"/>
                <w:highlight w:val="none"/>
                <w:shd w:val="clear" w:color="auto" w:fill="FFFFFF"/>
                <w:lang w:val="zh-CN" w:eastAsia="zh-CN"/>
              </w:rPr>
              <w:t>。</w:t>
            </w:r>
          </w:p>
        </w:tc>
      </w:tr>
      <w:tr>
        <w:tblPrEx>
          <w:tblCellMar>
            <w:top w:w="0" w:type="dxa"/>
            <w:left w:w="108" w:type="dxa"/>
            <w:bottom w:w="0" w:type="dxa"/>
            <w:right w:w="108" w:type="dxa"/>
          </w:tblCellMar>
        </w:tblPrEx>
        <w:trPr>
          <w:trHeight w:val="872" w:hRule="atLeast"/>
          <w:jc w:val="center"/>
        </w:trPr>
        <w:tc>
          <w:tcPr>
            <w:tcW w:w="775" w:type="dxa"/>
            <w:vMerge w:val="continue"/>
            <w:tcBorders>
              <w:top w:val="single" w:color="000000" w:sz="4" w:space="0"/>
              <w:left w:val="single" w:color="auto" w:sz="4" w:space="0"/>
              <w:bottom w:val="single" w:color="000000"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rPr>
            </w:pPr>
          </w:p>
        </w:tc>
        <w:tc>
          <w:tcPr>
            <w:tcW w:w="638" w:type="dxa"/>
            <w:gridSpan w:val="2"/>
            <w:vMerge w:val="continue"/>
            <w:tcBorders>
              <w:left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rPr>
            </w:pPr>
          </w:p>
        </w:tc>
        <w:tc>
          <w:tcPr>
            <w:tcW w:w="1702" w:type="dxa"/>
            <w:gridSpan w:val="2"/>
            <w:tcBorders>
              <w:top w:val="single" w:color="000000" w:sz="4" w:space="0"/>
              <w:left w:val="single" w:color="auto" w:sz="4" w:space="0"/>
              <w:bottom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highlight w:val="none"/>
              </w:rPr>
            </w:pPr>
            <w:r>
              <w:rPr>
                <w:rFonts w:hint="eastAsia" w:ascii="宋体" w:hAnsi="宋体" w:eastAsia="宋体" w:cs="宋体"/>
                <w:bCs/>
                <w:color w:val="000000"/>
                <w:sz w:val="20"/>
                <w:szCs w:val="20"/>
                <w:highlight w:val="none"/>
                <w:shd w:val="clear" w:color="auto" w:fill="FFFFFF"/>
                <w:lang w:val="en-US" w:eastAsia="zh-CN"/>
              </w:rPr>
              <w:t>技术</w:t>
            </w:r>
            <w:r>
              <w:rPr>
                <w:rFonts w:hint="eastAsia" w:ascii="宋体" w:hAnsi="宋体" w:eastAsia="宋体" w:cs="宋体"/>
                <w:bCs/>
                <w:color w:val="000000"/>
                <w:sz w:val="20"/>
                <w:szCs w:val="20"/>
                <w:highlight w:val="none"/>
                <w:shd w:val="clear" w:color="auto" w:fill="FFFFFF"/>
              </w:rPr>
              <w:t>负责人</w:t>
            </w:r>
          </w:p>
        </w:tc>
        <w:tc>
          <w:tcPr>
            <w:tcW w:w="781" w:type="dxa"/>
            <w:tcBorders>
              <w:top w:val="single" w:color="000000" w:sz="4" w:space="0"/>
              <w:left w:val="single" w:color="auto" w:sz="4" w:space="0"/>
              <w:bottom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highlight w:val="none"/>
              </w:rPr>
            </w:pPr>
            <w:r>
              <w:rPr>
                <w:rFonts w:hint="eastAsia" w:ascii="宋体" w:hAnsi="宋体" w:eastAsia="宋体" w:cs="宋体"/>
                <w:bCs/>
                <w:color w:val="000000"/>
                <w:sz w:val="20"/>
                <w:szCs w:val="20"/>
                <w:highlight w:val="none"/>
                <w:shd w:val="clear" w:color="auto" w:fill="FFFFFF"/>
              </w:rPr>
              <w:t>1</w:t>
            </w:r>
            <w:r>
              <w:rPr>
                <w:rFonts w:hint="eastAsia" w:ascii="宋体" w:hAnsi="宋体" w:eastAsia="宋体" w:cs="宋体"/>
                <w:bCs/>
                <w:color w:val="000000"/>
                <w:sz w:val="20"/>
                <w:szCs w:val="20"/>
                <w:highlight w:val="none"/>
                <w:shd w:val="clear" w:color="auto" w:fill="FFFFFF"/>
                <w:lang w:val="en-US" w:eastAsia="zh-CN"/>
              </w:rPr>
              <w:t>0</w:t>
            </w:r>
            <w:r>
              <w:rPr>
                <w:rFonts w:hint="eastAsia" w:ascii="宋体" w:hAnsi="宋体" w:eastAsia="宋体" w:cs="宋体"/>
                <w:bCs/>
                <w:color w:val="000000"/>
                <w:sz w:val="20"/>
                <w:szCs w:val="20"/>
                <w:highlight w:val="none"/>
                <w:shd w:val="clear" w:color="auto" w:fill="FFFFFF"/>
              </w:rPr>
              <w:t>分</w:t>
            </w:r>
          </w:p>
        </w:tc>
        <w:tc>
          <w:tcPr>
            <w:tcW w:w="5086"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Cs/>
                <w:color w:val="000000"/>
                <w:sz w:val="20"/>
                <w:szCs w:val="20"/>
                <w:highlight w:val="none"/>
                <w:shd w:val="clear" w:color="auto" w:fill="FFFFFF"/>
                <w:lang w:val="zh-CN" w:eastAsia="zh-CN"/>
              </w:rPr>
            </w:pPr>
            <w:r>
              <w:rPr>
                <w:rFonts w:hint="eastAsia" w:ascii="宋体" w:hAnsi="宋体" w:eastAsia="宋体" w:cs="宋体"/>
                <w:bCs/>
                <w:color w:val="000000"/>
                <w:sz w:val="20"/>
                <w:szCs w:val="20"/>
                <w:highlight w:val="none"/>
                <w:shd w:val="clear" w:color="auto" w:fill="FFFFFF"/>
                <w:lang w:val="zh-CN" w:eastAsia="zh-CN"/>
              </w:rPr>
              <w:t>满足招标文件附录</w:t>
            </w:r>
            <w:r>
              <w:rPr>
                <w:rFonts w:hint="eastAsia" w:ascii="宋体" w:hAnsi="宋体" w:eastAsia="宋体" w:cs="宋体"/>
                <w:bCs/>
                <w:color w:val="000000"/>
                <w:sz w:val="20"/>
                <w:szCs w:val="20"/>
                <w:highlight w:val="none"/>
                <w:shd w:val="clear" w:color="auto" w:fill="FFFFFF"/>
                <w:lang w:val="en-US" w:eastAsia="zh-CN"/>
              </w:rPr>
              <w:t>4技术</w:t>
            </w:r>
            <w:r>
              <w:rPr>
                <w:rFonts w:hint="eastAsia" w:ascii="宋体" w:hAnsi="宋体" w:eastAsia="宋体" w:cs="宋体"/>
                <w:bCs/>
                <w:color w:val="000000"/>
                <w:sz w:val="20"/>
                <w:szCs w:val="20"/>
                <w:highlight w:val="none"/>
                <w:shd w:val="clear" w:color="auto" w:fill="FFFFFF"/>
                <w:lang w:val="zh-CN" w:eastAsia="zh-CN"/>
              </w:rPr>
              <w:t>负责人最低条件要求的</w:t>
            </w:r>
            <w:r>
              <w:rPr>
                <w:rFonts w:hint="eastAsia" w:cs="宋体"/>
                <w:bCs/>
                <w:color w:val="000000"/>
                <w:sz w:val="20"/>
                <w:szCs w:val="20"/>
                <w:highlight w:val="none"/>
                <w:shd w:val="clear" w:color="auto" w:fill="FFFFFF"/>
                <w:lang w:val="en-US" w:eastAsia="zh-CN"/>
              </w:rPr>
              <w:t>业绩</w:t>
            </w:r>
            <w:r>
              <w:rPr>
                <w:rFonts w:hint="eastAsia" w:ascii="宋体" w:hAnsi="宋体" w:eastAsia="宋体" w:cs="宋体"/>
                <w:bCs/>
                <w:color w:val="000000"/>
                <w:sz w:val="20"/>
                <w:szCs w:val="20"/>
                <w:highlight w:val="none"/>
                <w:shd w:val="clear" w:color="auto" w:fill="FFFFFF"/>
                <w:lang w:val="zh-CN" w:eastAsia="zh-CN"/>
              </w:rPr>
              <w:t>,得基本分</w:t>
            </w:r>
            <w:r>
              <w:rPr>
                <w:rFonts w:hint="eastAsia" w:ascii="宋体" w:hAnsi="宋体" w:eastAsia="宋体" w:cs="宋体"/>
                <w:bCs/>
                <w:color w:val="000000"/>
                <w:sz w:val="20"/>
                <w:szCs w:val="20"/>
                <w:highlight w:val="none"/>
                <w:shd w:val="clear" w:color="auto" w:fill="FFFFFF"/>
                <w:lang w:val="en-US" w:eastAsia="zh-CN"/>
              </w:rPr>
              <w:t>6</w:t>
            </w:r>
            <w:r>
              <w:rPr>
                <w:rFonts w:hint="eastAsia" w:ascii="宋体" w:hAnsi="宋体" w:eastAsia="宋体" w:cs="宋体"/>
                <w:bCs/>
                <w:color w:val="000000"/>
                <w:sz w:val="20"/>
                <w:szCs w:val="20"/>
                <w:highlight w:val="none"/>
                <w:shd w:val="clear" w:color="auto" w:fill="FFFFFF"/>
                <w:lang w:val="zh-CN" w:eastAsia="zh-CN"/>
              </w:rPr>
              <w:t>分，每增加一个满足招标文件附录4</w:t>
            </w:r>
            <w:r>
              <w:rPr>
                <w:rFonts w:hint="eastAsia" w:cs="宋体"/>
                <w:bCs/>
                <w:color w:val="000000"/>
                <w:sz w:val="20"/>
                <w:szCs w:val="20"/>
                <w:highlight w:val="none"/>
                <w:shd w:val="clear" w:color="auto" w:fill="FFFFFF"/>
                <w:lang w:val="en-US" w:eastAsia="zh-CN"/>
              </w:rPr>
              <w:t>技术</w:t>
            </w:r>
            <w:r>
              <w:rPr>
                <w:rFonts w:hint="eastAsia" w:ascii="宋体" w:hAnsi="宋体" w:eastAsia="宋体" w:cs="宋体"/>
                <w:bCs/>
                <w:color w:val="000000"/>
                <w:sz w:val="20"/>
                <w:szCs w:val="20"/>
                <w:highlight w:val="none"/>
                <w:shd w:val="clear" w:color="auto" w:fill="FFFFFF"/>
                <w:lang w:val="zh-CN" w:eastAsia="zh-CN"/>
              </w:rPr>
              <w:t>负责人最低条件要求的业绩加2分。</w:t>
            </w:r>
            <w:r>
              <w:rPr>
                <w:rFonts w:hint="eastAsia" w:ascii="宋体" w:hAnsi="宋体" w:eastAsia="宋体" w:cs="宋体"/>
                <w:bCs/>
                <w:color w:val="000000"/>
                <w:sz w:val="20"/>
                <w:szCs w:val="20"/>
                <w:highlight w:val="none"/>
                <w:shd w:val="clear" w:color="auto" w:fill="FFFFFF"/>
                <w:lang w:val="en-US" w:eastAsia="zh-CN"/>
              </w:rPr>
              <w:t>满分10分</w:t>
            </w:r>
            <w:r>
              <w:rPr>
                <w:rFonts w:hint="eastAsia" w:ascii="宋体" w:hAnsi="宋体" w:eastAsia="宋体" w:cs="宋体"/>
                <w:bCs/>
                <w:color w:val="000000"/>
                <w:sz w:val="20"/>
                <w:szCs w:val="20"/>
                <w:highlight w:val="none"/>
                <w:shd w:val="clear" w:color="auto" w:fill="FFFFFF"/>
                <w:lang w:val="zh-CN" w:eastAsia="zh-CN"/>
              </w:rPr>
              <w:t>。</w:t>
            </w:r>
          </w:p>
        </w:tc>
      </w:tr>
      <w:tr>
        <w:tblPrEx>
          <w:tblCellMar>
            <w:top w:w="0" w:type="dxa"/>
            <w:left w:w="108" w:type="dxa"/>
            <w:bottom w:w="0" w:type="dxa"/>
            <w:right w:w="108" w:type="dxa"/>
          </w:tblCellMar>
        </w:tblPrEx>
        <w:trPr>
          <w:trHeight w:val="950" w:hRule="atLeast"/>
          <w:jc w:val="center"/>
        </w:trPr>
        <w:tc>
          <w:tcPr>
            <w:tcW w:w="775" w:type="dxa"/>
            <w:vMerge w:val="continue"/>
            <w:tcBorders>
              <w:left w:val="single" w:color="auto" w:sz="4" w:space="0"/>
              <w:bottom w:val="single" w:color="000000"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rPr>
            </w:pPr>
          </w:p>
        </w:tc>
        <w:tc>
          <w:tcPr>
            <w:tcW w:w="638" w:type="dxa"/>
            <w:gridSpan w:val="2"/>
            <w:vMerge w:val="continue"/>
            <w:tcBorders>
              <w:left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highlight w:val="none"/>
                <w:shd w:val="clear" w:color="auto" w:fill="FFFFFF"/>
                <w:lang w:val="en-US" w:eastAsia="zh-CN"/>
              </w:rPr>
            </w:pPr>
            <w:r>
              <w:rPr>
                <w:rFonts w:hint="eastAsia" w:ascii="宋体" w:hAnsi="宋体" w:eastAsia="宋体" w:cs="宋体"/>
                <w:sz w:val="20"/>
                <w:szCs w:val="20"/>
                <w:highlight w:val="none"/>
              </w:rPr>
              <w:t>公路检测</w:t>
            </w:r>
            <w:r>
              <w:rPr>
                <w:rFonts w:hint="eastAsia" w:ascii="宋体" w:hAnsi="宋体" w:eastAsia="宋体" w:cs="宋体"/>
                <w:sz w:val="20"/>
                <w:szCs w:val="20"/>
                <w:highlight w:val="none"/>
                <w:lang w:val="en-US" w:eastAsia="zh-CN"/>
              </w:rPr>
              <w:t>人员</w:t>
            </w:r>
          </w:p>
        </w:tc>
        <w:tc>
          <w:tcPr>
            <w:tcW w:w="781" w:type="dxa"/>
            <w:tcBorders>
              <w:top w:val="single" w:color="auto" w:sz="4" w:space="0"/>
              <w:left w:val="single" w:color="auto" w:sz="4" w:space="0"/>
              <w:bottom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highlight w:val="none"/>
                <w:shd w:val="clear" w:color="auto" w:fill="FFFFFF"/>
                <w:lang w:val="en-US" w:eastAsia="zh-CN"/>
              </w:rPr>
            </w:pPr>
            <w:r>
              <w:rPr>
                <w:rFonts w:hint="eastAsia" w:ascii="宋体" w:hAnsi="宋体" w:eastAsia="宋体" w:cs="宋体"/>
                <w:bCs/>
                <w:color w:val="000000"/>
                <w:sz w:val="20"/>
                <w:szCs w:val="20"/>
                <w:highlight w:val="none"/>
                <w:shd w:val="clear" w:color="auto" w:fill="FFFFFF"/>
                <w:lang w:val="en-US" w:eastAsia="zh-CN"/>
              </w:rPr>
              <w:t>5分</w:t>
            </w:r>
          </w:p>
        </w:tc>
        <w:tc>
          <w:tcPr>
            <w:tcW w:w="5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Cs/>
                <w:color w:val="000000"/>
                <w:sz w:val="20"/>
                <w:szCs w:val="20"/>
                <w:highlight w:val="none"/>
                <w:shd w:val="clear" w:color="auto" w:fill="FFFFFF"/>
                <w:lang w:val="en-US" w:eastAsia="zh-CN"/>
              </w:rPr>
            </w:pPr>
            <w:r>
              <w:rPr>
                <w:rFonts w:hint="eastAsia" w:ascii="宋体" w:hAnsi="宋体" w:eastAsia="宋体" w:cs="宋体"/>
                <w:bCs/>
                <w:color w:val="000000"/>
                <w:sz w:val="20"/>
                <w:szCs w:val="20"/>
                <w:highlight w:val="none"/>
                <w:shd w:val="clear" w:color="auto" w:fill="FFFFFF"/>
                <w:lang w:val="en-US" w:eastAsia="zh-CN"/>
              </w:rPr>
              <w:t>提供一个</w:t>
            </w:r>
            <w:r>
              <w:rPr>
                <w:rFonts w:hint="eastAsia" w:ascii="宋体" w:hAnsi="宋体" w:eastAsia="宋体" w:cs="宋体"/>
                <w:bCs/>
                <w:color w:val="000000"/>
                <w:sz w:val="20"/>
                <w:szCs w:val="20"/>
                <w:highlight w:val="none"/>
                <w:shd w:val="clear" w:color="auto" w:fill="FFFFFF"/>
                <w:lang w:val="zh-CN" w:eastAsia="zh-CN"/>
              </w:rPr>
              <w:t>参与过</w:t>
            </w:r>
            <w:r>
              <w:rPr>
                <w:rFonts w:hint="eastAsia" w:ascii="宋体" w:hAnsi="宋体" w:eastAsia="宋体" w:cs="宋体"/>
                <w:bCs/>
                <w:color w:val="000000"/>
                <w:sz w:val="20"/>
                <w:szCs w:val="20"/>
                <w:highlight w:val="none"/>
                <w:shd w:val="clear" w:color="auto" w:fill="FFFFFF"/>
                <w:lang w:val="en-US" w:eastAsia="zh-CN"/>
              </w:rPr>
              <w:t>路况检测</w:t>
            </w:r>
            <w:r>
              <w:rPr>
                <w:rFonts w:hint="eastAsia" w:ascii="宋体" w:hAnsi="宋体" w:eastAsia="宋体" w:cs="宋体"/>
                <w:bCs/>
                <w:color w:val="000000"/>
                <w:sz w:val="20"/>
                <w:szCs w:val="20"/>
                <w:highlight w:val="none"/>
                <w:shd w:val="clear" w:color="auto" w:fill="FFFFFF"/>
                <w:lang w:val="zh-CN" w:eastAsia="zh-CN"/>
              </w:rPr>
              <w:t>项目的现场检测</w:t>
            </w:r>
            <w:r>
              <w:rPr>
                <w:rFonts w:hint="eastAsia" w:ascii="宋体" w:hAnsi="宋体" w:eastAsia="宋体" w:cs="宋体"/>
                <w:bCs/>
                <w:color w:val="000000"/>
                <w:sz w:val="20"/>
                <w:szCs w:val="20"/>
                <w:highlight w:val="none"/>
                <w:shd w:val="clear" w:color="auto" w:fill="FFFFFF"/>
                <w:lang w:val="en-US" w:eastAsia="zh-CN"/>
              </w:rPr>
              <w:t>人员</w:t>
            </w:r>
            <w:r>
              <w:rPr>
                <w:rFonts w:hint="eastAsia" w:ascii="宋体" w:hAnsi="宋体" w:eastAsia="宋体" w:cs="宋体"/>
                <w:bCs/>
                <w:color w:val="000000"/>
                <w:sz w:val="20"/>
                <w:szCs w:val="20"/>
                <w:highlight w:val="none"/>
                <w:shd w:val="clear" w:color="auto" w:fill="FFFFFF"/>
                <w:lang w:val="zh-CN" w:eastAsia="zh-CN"/>
              </w:rPr>
              <w:t>，</w:t>
            </w:r>
            <w:r>
              <w:rPr>
                <w:rFonts w:hint="eastAsia" w:ascii="宋体" w:hAnsi="宋体" w:eastAsia="宋体" w:cs="宋体"/>
                <w:bCs/>
                <w:color w:val="000000"/>
                <w:sz w:val="20"/>
                <w:szCs w:val="20"/>
                <w:highlight w:val="none"/>
                <w:shd w:val="clear" w:color="auto" w:fill="FFFFFF"/>
                <w:lang w:val="en-US" w:eastAsia="zh-CN"/>
              </w:rPr>
              <w:t>得</w:t>
            </w:r>
            <w:r>
              <w:rPr>
                <w:rFonts w:hint="eastAsia" w:cs="宋体"/>
                <w:bCs/>
                <w:color w:val="000000"/>
                <w:sz w:val="20"/>
                <w:szCs w:val="20"/>
                <w:highlight w:val="none"/>
                <w:shd w:val="clear" w:color="auto" w:fill="FFFFFF"/>
                <w:lang w:val="en-US" w:eastAsia="zh-CN"/>
              </w:rPr>
              <w:t>3</w:t>
            </w:r>
            <w:r>
              <w:rPr>
                <w:rFonts w:hint="eastAsia" w:ascii="宋体" w:hAnsi="宋体" w:eastAsia="宋体" w:cs="宋体"/>
                <w:bCs/>
                <w:color w:val="000000"/>
                <w:sz w:val="20"/>
                <w:szCs w:val="20"/>
                <w:highlight w:val="none"/>
                <w:shd w:val="clear" w:color="auto" w:fill="FFFFFF"/>
                <w:lang w:val="zh-CN" w:eastAsia="zh-CN"/>
              </w:rPr>
              <w:t>分，</w:t>
            </w:r>
            <w:r>
              <w:rPr>
                <w:rFonts w:hint="eastAsia" w:ascii="宋体" w:hAnsi="宋体" w:eastAsia="宋体" w:cs="宋体"/>
                <w:bCs/>
                <w:color w:val="000000"/>
                <w:sz w:val="20"/>
                <w:szCs w:val="20"/>
                <w:highlight w:val="none"/>
                <w:shd w:val="clear" w:color="auto" w:fill="FFFFFF"/>
                <w:lang w:val="en-US" w:eastAsia="zh-CN"/>
              </w:rPr>
              <w:t>每增加一个参与过路况检测</w:t>
            </w:r>
            <w:r>
              <w:rPr>
                <w:rFonts w:hint="eastAsia" w:ascii="宋体" w:hAnsi="宋体" w:eastAsia="宋体" w:cs="宋体"/>
                <w:bCs/>
                <w:color w:val="000000"/>
                <w:sz w:val="20"/>
                <w:szCs w:val="20"/>
                <w:highlight w:val="none"/>
                <w:shd w:val="clear" w:color="auto" w:fill="FFFFFF"/>
                <w:lang w:val="zh-CN" w:eastAsia="zh-CN"/>
              </w:rPr>
              <w:t>项目的现场检测</w:t>
            </w:r>
            <w:r>
              <w:rPr>
                <w:rFonts w:hint="eastAsia" w:ascii="宋体" w:hAnsi="宋体" w:eastAsia="宋体" w:cs="宋体"/>
                <w:bCs/>
                <w:color w:val="000000"/>
                <w:sz w:val="20"/>
                <w:szCs w:val="20"/>
                <w:highlight w:val="none"/>
                <w:shd w:val="clear" w:color="auto" w:fill="FFFFFF"/>
                <w:lang w:val="en-US" w:eastAsia="zh-CN"/>
              </w:rPr>
              <w:t>人员增加1分。满分5分</w:t>
            </w:r>
            <w:r>
              <w:rPr>
                <w:rFonts w:hint="eastAsia" w:ascii="宋体" w:hAnsi="宋体" w:eastAsia="宋体" w:cs="宋体"/>
                <w:bCs/>
                <w:color w:val="000000"/>
                <w:sz w:val="20"/>
                <w:szCs w:val="20"/>
                <w:highlight w:val="none"/>
                <w:shd w:val="clear" w:color="auto" w:fill="FFFFFF"/>
                <w:lang w:val="zh-CN" w:eastAsia="zh-CN"/>
              </w:rPr>
              <w:t>。</w:t>
            </w:r>
          </w:p>
        </w:tc>
      </w:tr>
      <w:tr>
        <w:tblPrEx>
          <w:tblCellMar>
            <w:top w:w="0" w:type="dxa"/>
            <w:left w:w="108" w:type="dxa"/>
            <w:bottom w:w="0" w:type="dxa"/>
            <w:right w:w="108" w:type="dxa"/>
          </w:tblCellMar>
        </w:tblPrEx>
        <w:trPr>
          <w:trHeight w:val="1228" w:hRule="atLeast"/>
          <w:jc w:val="center"/>
        </w:trPr>
        <w:tc>
          <w:tcPr>
            <w:tcW w:w="775" w:type="dxa"/>
            <w:vMerge w:val="continue"/>
            <w:tcBorders>
              <w:left w:val="single" w:color="auto" w:sz="4" w:space="0"/>
              <w:bottom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rPr>
            </w:pPr>
          </w:p>
        </w:tc>
        <w:tc>
          <w:tcPr>
            <w:tcW w:w="638" w:type="dxa"/>
            <w:gridSpan w:val="2"/>
            <w:vMerge w:val="continue"/>
            <w:tcBorders>
              <w:left w:val="single" w:color="auto" w:sz="4" w:space="0"/>
              <w:bottom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highlight w:val="none"/>
                <w:shd w:val="clear" w:color="auto" w:fill="FFFFFF"/>
                <w:lang w:val="en-US" w:eastAsia="zh-CN"/>
              </w:rPr>
            </w:pPr>
            <w:r>
              <w:rPr>
                <w:rFonts w:hint="eastAsia" w:ascii="宋体" w:hAnsi="宋体" w:eastAsia="宋体" w:cs="宋体"/>
                <w:sz w:val="20"/>
                <w:szCs w:val="20"/>
                <w:highlight w:val="none"/>
              </w:rPr>
              <w:t>数据分析人员</w:t>
            </w:r>
          </w:p>
        </w:tc>
        <w:tc>
          <w:tcPr>
            <w:tcW w:w="781" w:type="dxa"/>
            <w:tcBorders>
              <w:top w:val="single" w:color="auto" w:sz="4" w:space="0"/>
              <w:left w:val="single" w:color="auto" w:sz="4" w:space="0"/>
              <w:bottom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highlight w:val="none"/>
                <w:shd w:val="clear" w:color="auto" w:fill="FFFFFF"/>
                <w:lang w:val="en-US" w:eastAsia="zh-CN"/>
              </w:rPr>
            </w:pPr>
            <w:r>
              <w:rPr>
                <w:rFonts w:hint="eastAsia" w:ascii="宋体" w:hAnsi="宋体" w:eastAsia="宋体" w:cs="宋体"/>
                <w:bCs/>
                <w:color w:val="000000"/>
                <w:sz w:val="20"/>
                <w:szCs w:val="20"/>
                <w:highlight w:val="none"/>
                <w:shd w:val="clear" w:color="auto" w:fill="FFFFFF"/>
                <w:lang w:val="en-US" w:eastAsia="zh-CN"/>
              </w:rPr>
              <w:t>5分</w:t>
            </w:r>
          </w:p>
        </w:tc>
        <w:tc>
          <w:tcPr>
            <w:tcW w:w="5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zh-CN" w:eastAsia="zh-CN" w:bidi="ar"/>
              </w:rPr>
            </w:pPr>
            <w:r>
              <w:rPr>
                <w:rFonts w:hint="eastAsia" w:ascii="宋体" w:hAnsi="宋体" w:eastAsia="宋体" w:cs="宋体"/>
                <w:i w:val="0"/>
                <w:iCs w:val="0"/>
                <w:color w:val="000000"/>
                <w:kern w:val="0"/>
                <w:sz w:val="20"/>
                <w:szCs w:val="20"/>
                <w:highlight w:val="none"/>
                <w:u w:val="none"/>
                <w:lang w:val="en-US" w:eastAsia="zh-CN" w:bidi="ar"/>
              </w:rPr>
              <w:t>提供一个</w:t>
            </w:r>
            <w:r>
              <w:rPr>
                <w:rFonts w:hint="eastAsia" w:ascii="宋体" w:hAnsi="宋体" w:eastAsia="宋体" w:cs="宋体"/>
                <w:i w:val="0"/>
                <w:iCs w:val="0"/>
                <w:color w:val="000000"/>
                <w:kern w:val="0"/>
                <w:sz w:val="20"/>
                <w:szCs w:val="20"/>
                <w:highlight w:val="none"/>
                <w:u w:val="none"/>
                <w:lang w:val="zh-CN" w:eastAsia="zh-CN" w:bidi="ar"/>
              </w:rPr>
              <w:t>参与过</w:t>
            </w:r>
            <w:r>
              <w:rPr>
                <w:rFonts w:hint="eastAsia" w:ascii="宋体" w:hAnsi="宋体" w:eastAsia="宋体" w:cs="宋体"/>
                <w:i w:val="0"/>
                <w:iCs w:val="0"/>
                <w:color w:val="000000"/>
                <w:kern w:val="0"/>
                <w:sz w:val="20"/>
                <w:szCs w:val="20"/>
                <w:highlight w:val="none"/>
                <w:u w:val="none"/>
                <w:lang w:val="en-US" w:eastAsia="zh-CN" w:bidi="ar"/>
              </w:rPr>
              <w:t>路况检测</w:t>
            </w:r>
            <w:r>
              <w:rPr>
                <w:rFonts w:hint="eastAsia" w:ascii="宋体" w:hAnsi="宋体" w:eastAsia="宋体" w:cs="宋体"/>
                <w:i w:val="0"/>
                <w:iCs w:val="0"/>
                <w:color w:val="000000"/>
                <w:kern w:val="0"/>
                <w:sz w:val="20"/>
                <w:szCs w:val="20"/>
                <w:highlight w:val="none"/>
                <w:u w:val="none"/>
                <w:lang w:val="zh-CN" w:eastAsia="zh-CN" w:bidi="ar"/>
              </w:rPr>
              <w:t>项目的数据处理、分析和评定工作</w:t>
            </w:r>
            <w:r>
              <w:rPr>
                <w:rFonts w:hint="eastAsia" w:ascii="宋体" w:hAnsi="宋体" w:eastAsia="宋体" w:cs="宋体"/>
                <w:i w:val="0"/>
                <w:iCs w:val="0"/>
                <w:color w:val="000000"/>
                <w:kern w:val="0"/>
                <w:sz w:val="20"/>
                <w:szCs w:val="20"/>
                <w:highlight w:val="none"/>
                <w:u w:val="none"/>
                <w:lang w:val="en-US" w:eastAsia="zh-CN" w:bidi="ar"/>
              </w:rPr>
              <w:t>的分析人员得3分，每增加一个</w:t>
            </w:r>
            <w:r>
              <w:rPr>
                <w:rFonts w:hint="eastAsia" w:ascii="宋体" w:hAnsi="宋体" w:eastAsia="宋体" w:cs="宋体"/>
                <w:i w:val="0"/>
                <w:iCs w:val="0"/>
                <w:color w:val="000000"/>
                <w:kern w:val="0"/>
                <w:sz w:val="20"/>
                <w:szCs w:val="20"/>
                <w:highlight w:val="none"/>
                <w:u w:val="none"/>
                <w:lang w:val="zh-CN" w:eastAsia="zh-CN" w:bidi="ar"/>
              </w:rPr>
              <w:t>参与过</w:t>
            </w:r>
            <w:r>
              <w:rPr>
                <w:rFonts w:hint="eastAsia" w:ascii="宋体" w:hAnsi="宋体" w:eastAsia="宋体" w:cs="宋体"/>
                <w:i w:val="0"/>
                <w:iCs w:val="0"/>
                <w:color w:val="000000"/>
                <w:kern w:val="0"/>
                <w:sz w:val="20"/>
                <w:szCs w:val="20"/>
                <w:highlight w:val="none"/>
                <w:u w:val="none"/>
                <w:lang w:val="en-US" w:eastAsia="zh-CN" w:bidi="ar"/>
              </w:rPr>
              <w:t>路况检测</w:t>
            </w:r>
            <w:r>
              <w:rPr>
                <w:rFonts w:hint="eastAsia" w:ascii="宋体" w:hAnsi="宋体" w:eastAsia="宋体" w:cs="宋体"/>
                <w:i w:val="0"/>
                <w:iCs w:val="0"/>
                <w:color w:val="000000"/>
                <w:kern w:val="0"/>
                <w:sz w:val="20"/>
                <w:szCs w:val="20"/>
                <w:highlight w:val="none"/>
                <w:u w:val="none"/>
                <w:lang w:val="zh-CN" w:eastAsia="zh-CN" w:bidi="ar"/>
              </w:rPr>
              <w:t>项目的数据处理、分析和评定工作</w:t>
            </w:r>
            <w:r>
              <w:rPr>
                <w:rFonts w:hint="eastAsia" w:ascii="宋体" w:hAnsi="宋体" w:eastAsia="宋体" w:cs="宋体"/>
                <w:i w:val="0"/>
                <w:iCs w:val="0"/>
                <w:color w:val="000000"/>
                <w:kern w:val="0"/>
                <w:sz w:val="20"/>
                <w:szCs w:val="20"/>
                <w:highlight w:val="none"/>
                <w:u w:val="none"/>
                <w:lang w:val="en-US" w:eastAsia="zh-CN" w:bidi="ar"/>
              </w:rPr>
              <w:t>的分析人员加1分。满分5分</w:t>
            </w:r>
            <w:r>
              <w:rPr>
                <w:rFonts w:hint="eastAsia" w:ascii="宋体" w:hAnsi="宋体" w:eastAsia="宋体" w:cs="宋体"/>
                <w:i w:val="0"/>
                <w:iCs w:val="0"/>
                <w:color w:val="000000"/>
                <w:kern w:val="0"/>
                <w:sz w:val="20"/>
                <w:szCs w:val="20"/>
                <w:highlight w:val="none"/>
                <w:u w:val="none"/>
                <w:lang w:val="zh-CN" w:eastAsia="zh-CN" w:bidi="ar"/>
              </w:rPr>
              <w:t>。</w:t>
            </w:r>
          </w:p>
        </w:tc>
      </w:tr>
      <w:tr>
        <w:tblPrEx>
          <w:tblCellMar>
            <w:top w:w="0" w:type="dxa"/>
            <w:left w:w="108" w:type="dxa"/>
            <w:bottom w:w="0" w:type="dxa"/>
            <w:right w:w="108" w:type="dxa"/>
          </w:tblCellMar>
        </w:tblPrEx>
        <w:trPr>
          <w:trHeight w:val="1232" w:hRule="atLeast"/>
          <w:jc w:val="center"/>
        </w:trPr>
        <w:tc>
          <w:tcPr>
            <w:tcW w:w="775" w:type="dxa"/>
            <w:tcBorders>
              <w:top w:val="single" w:color="auto" w:sz="4" w:space="0"/>
              <w:left w:val="single" w:color="000000" w:sz="4" w:space="0"/>
              <w:bottom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rPr>
            </w:pPr>
            <w:r>
              <w:rPr>
                <w:rFonts w:hint="eastAsia" w:ascii="宋体" w:hAnsi="宋体" w:eastAsia="宋体" w:cs="宋体"/>
                <w:bCs/>
                <w:color w:val="000000"/>
                <w:sz w:val="20"/>
                <w:szCs w:val="20"/>
                <w:shd w:val="clear" w:color="auto" w:fill="FFFFFF"/>
              </w:rPr>
              <w:t>2.2.4（3）</w:t>
            </w:r>
          </w:p>
        </w:tc>
        <w:tc>
          <w:tcPr>
            <w:tcW w:w="638" w:type="dxa"/>
            <w:gridSpan w:val="2"/>
            <w:tcBorders>
              <w:top w:val="single" w:color="auto" w:sz="4" w:space="0"/>
              <w:left w:val="single" w:color="auto" w:sz="4" w:space="0"/>
              <w:bottom w:val="single" w:color="auto" w:sz="4" w:space="0"/>
              <w:right w:val="single" w:color="auto" w:sz="4" w:space="0"/>
            </w:tcBorders>
            <w:noWrap w:val="0"/>
            <w:vAlign w:val="center"/>
          </w:tcPr>
          <w:p>
            <w:pPr>
              <w:pStyle w:val="15"/>
              <w:adjustRightInd/>
              <w:spacing w:line="360" w:lineRule="auto"/>
              <w:ind w:firstLine="0"/>
              <w:rPr>
                <w:rFonts w:hint="eastAsia" w:ascii="宋体" w:hAnsi="宋体" w:eastAsia="宋体" w:cs="宋体"/>
                <w:bCs/>
                <w:color w:val="000000"/>
                <w:sz w:val="20"/>
                <w:szCs w:val="20"/>
                <w:shd w:val="clear" w:color="auto" w:fill="FFFFFF"/>
              </w:rPr>
            </w:pPr>
            <w:r>
              <w:rPr>
                <w:rFonts w:hint="eastAsia" w:ascii="宋体" w:hAnsi="宋体" w:eastAsia="宋体" w:cs="宋体"/>
                <w:bCs/>
                <w:color w:val="000000"/>
                <w:sz w:val="20"/>
                <w:szCs w:val="20"/>
                <w:shd w:val="clear" w:color="auto" w:fill="FFFFFF"/>
              </w:rPr>
              <w:t>评标价</w:t>
            </w:r>
          </w:p>
          <w:p>
            <w:pPr>
              <w:pStyle w:val="15"/>
              <w:adjustRightInd/>
              <w:spacing w:line="360" w:lineRule="auto"/>
              <w:ind w:firstLine="0" w:firstLineChars="0"/>
              <w:rPr>
                <w:rFonts w:hint="eastAsia" w:ascii="宋体" w:hAnsi="宋体" w:eastAsia="宋体" w:cs="宋体"/>
                <w:bCs/>
                <w:color w:val="000000"/>
                <w:sz w:val="20"/>
                <w:szCs w:val="20"/>
              </w:rPr>
            </w:pPr>
            <w:r>
              <w:rPr>
                <w:rFonts w:hint="eastAsia" w:ascii="宋体" w:hAnsi="宋体" w:eastAsia="宋体" w:cs="宋体"/>
                <w:bCs/>
                <w:color w:val="000000"/>
                <w:sz w:val="20"/>
                <w:szCs w:val="20"/>
                <w:shd w:val="clear" w:color="auto" w:fill="FFFFFF"/>
              </w:rPr>
              <w:t>10分</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shd w:val="clear" w:color="auto" w:fill="FFFFFF"/>
                <w:lang w:val="en-US" w:eastAsia="zh-CN"/>
              </w:rPr>
            </w:pPr>
            <w:r>
              <w:rPr>
                <w:rFonts w:hint="eastAsia" w:ascii="宋体" w:hAnsi="宋体" w:eastAsia="宋体" w:cs="宋体"/>
                <w:bCs/>
                <w:color w:val="000000"/>
                <w:sz w:val="20"/>
                <w:szCs w:val="20"/>
                <w:shd w:val="clear" w:color="auto" w:fill="FFFFFF"/>
              </w:rPr>
              <w:t>投标报价</w:t>
            </w:r>
          </w:p>
        </w:tc>
        <w:tc>
          <w:tcPr>
            <w:tcW w:w="781" w:type="dxa"/>
            <w:tcBorders>
              <w:top w:val="single" w:color="auto" w:sz="4" w:space="0"/>
              <w:left w:val="single" w:color="auto" w:sz="4" w:space="0"/>
              <w:bottom w:val="single" w:color="000000"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shd w:val="clear" w:color="auto" w:fill="FFFFFF"/>
              </w:rPr>
            </w:pPr>
            <w:r>
              <w:rPr>
                <w:rFonts w:hint="eastAsia" w:ascii="宋体" w:hAnsi="宋体" w:eastAsia="宋体" w:cs="宋体"/>
                <w:bCs/>
                <w:color w:val="000000"/>
                <w:sz w:val="20"/>
                <w:szCs w:val="20"/>
                <w:shd w:val="clear" w:color="auto" w:fill="FFFFFF"/>
              </w:rPr>
              <w:t>10分</w:t>
            </w:r>
          </w:p>
        </w:tc>
        <w:tc>
          <w:tcPr>
            <w:tcW w:w="5086" w:type="dxa"/>
            <w:tcBorders>
              <w:top w:val="single" w:color="auto" w:sz="4" w:space="0"/>
              <w:left w:val="single" w:color="auto" w:sz="4" w:space="0"/>
              <w:bottom w:val="single" w:color="000000" w:sz="4" w:space="0"/>
              <w:right w:val="single" w:color="000000" w:sz="4" w:space="0"/>
            </w:tcBorders>
            <w:noWrap w:val="0"/>
            <w:vAlign w:val="center"/>
          </w:tcPr>
          <w:p>
            <w:pPr>
              <w:adjustRightInd w:val="0"/>
              <w:spacing w:line="360" w:lineRule="exact"/>
              <w:ind w:firstLine="200" w:firstLineChars="100"/>
              <w:rPr>
                <w:rFonts w:ascii="宋体" w:hAnsi="宋体"/>
                <w:sz w:val="20"/>
                <w:szCs w:val="20"/>
              </w:rPr>
            </w:pPr>
            <w:r>
              <w:rPr>
                <w:rFonts w:ascii="宋体" w:hAnsi="宋体"/>
                <w:sz w:val="20"/>
                <w:szCs w:val="20"/>
              </w:rPr>
              <w:t>评标价得分（10分）按照下面规定计算：</w:t>
            </w:r>
          </w:p>
          <w:p>
            <w:pPr>
              <w:adjustRightInd w:val="0"/>
              <w:spacing w:line="360" w:lineRule="exact"/>
              <w:ind w:firstLine="200" w:firstLineChars="100"/>
              <w:rPr>
                <w:rFonts w:ascii="宋体" w:hAnsi="宋体"/>
                <w:sz w:val="20"/>
                <w:szCs w:val="20"/>
              </w:rPr>
            </w:pPr>
            <w:r>
              <w:rPr>
                <w:rFonts w:ascii="宋体" w:hAnsi="宋体"/>
                <w:sz w:val="20"/>
                <w:szCs w:val="20"/>
              </w:rPr>
              <w:t>当投标人的评标价等于D时得满分（10分），每高于D一个百分点扣</w:t>
            </w:r>
            <w:r>
              <w:rPr>
                <w:rFonts w:hint="eastAsia" w:ascii="宋体" w:hAnsi="宋体"/>
                <w:sz w:val="20"/>
                <w:szCs w:val="20"/>
              </w:rPr>
              <w:t>0.5</w:t>
            </w:r>
            <w:r>
              <w:rPr>
                <w:rFonts w:ascii="宋体" w:hAnsi="宋体"/>
                <w:sz w:val="20"/>
                <w:szCs w:val="20"/>
              </w:rPr>
              <w:t>分，每低于D一个百分点扣</w:t>
            </w:r>
            <w:r>
              <w:rPr>
                <w:rFonts w:hint="eastAsia" w:ascii="宋体" w:hAnsi="宋体"/>
                <w:sz w:val="20"/>
                <w:szCs w:val="20"/>
              </w:rPr>
              <w:t>0.25</w:t>
            </w:r>
            <w:r>
              <w:rPr>
                <w:rFonts w:ascii="宋体" w:hAnsi="宋体"/>
                <w:sz w:val="20"/>
                <w:szCs w:val="20"/>
              </w:rPr>
              <w:t>分，中间值按比例内插。</w:t>
            </w:r>
          </w:p>
          <w:p>
            <w:pPr>
              <w:adjustRightInd w:val="0"/>
              <w:spacing w:line="360" w:lineRule="exact"/>
              <w:ind w:firstLine="200" w:firstLineChars="100"/>
              <w:rPr>
                <w:rFonts w:ascii="宋体" w:hAnsi="宋体"/>
                <w:sz w:val="20"/>
                <w:szCs w:val="20"/>
              </w:rPr>
            </w:pPr>
            <w:r>
              <w:rPr>
                <w:rFonts w:ascii="宋体" w:hAnsi="宋体"/>
                <w:sz w:val="20"/>
                <w:szCs w:val="20"/>
              </w:rPr>
              <w:t>用公式表示如下：</w:t>
            </w:r>
          </w:p>
          <w:p>
            <w:pPr>
              <w:adjustRightInd w:val="0"/>
              <w:ind w:firstLine="200" w:firstLineChars="100"/>
              <w:rPr>
                <w:rFonts w:ascii="宋体" w:hAnsi="宋体"/>
                <w:sz w:val="20"/>
                <w:szCs w:val="20"/>
              </w:rPr>
            </w:pPr>
            <w:r>
              <w:rPr>
                <w:rFonts w:ascii="宋体" w:hAnsi="宋体"/>
                <w:position w:val="-24"/>
                <w:sz w:val="20"/>
                <w:szCs w:val="20"/>
              </w:rPr>
              <w:object>
                <v:shape id="_x0000_i1025" o:spt="75" type="#_x0000_t75" style="height:28.15pt;width:120.25pt;" o:ole="t" fillcolor="#6D6D6D" filled="f" o:preferrelative="t" stroked="f" coordsize="21600,21600">
                  <v:path/>
                  <v:fill on="f" focussize="0,0"/>
                  <v:stroke on="f"/>
                  <v:imagedata r:id="rId7" o:title=""/>
                  <o:lock v:ext="edit" grouping="f" rotation="f" text="f" aspectratio="t"/>
                  <w10:wrap type="none"/>
                  <w10:anchorlock/>
                </v:shape>
                <o:OLEObject Type="Embed" ProgID="Equation.3" ShapeID="_x0000_i1025" DrawAspect="Content" ObjectID="_1468075725" r:id="rId6">
                  <o:LockedField>false</o:LockedField>
                </o:OLEObject>
              </w:object>
            </w:r>
          </w:p>
          <w:p>
            <w:pPr>
              <w:adjustRightInd w:val="0"/>
              <w:spacing w:line="360" w:lineRule="exact"/>
              <w:ind w:firstLine="200" w:firstLineChars="100"/>
              <w:rPr>
                <w:rFonts w:ascii="宋体" w:hAnsi="宋体"/>
                <w:sz w:val="20"/>
                <w:szCs w:val="20"/>
              </w:rPr>
            </w:pPr>
            <w:r>
              <w:rPr>
                <w:rFonts w:ascii="宋体" w:hAnsi="宋体"/>
                <w:sz w:val="20"/>
                <w:szCs w:val="20"/>
              </w:rPr>
              <w:t>式中：D＝评标基准价（精确到人民币元）</w:t>
            </w:r>
          </w:p>
          <w:p>
            <w:pPr>
              <w:adjustRightInd w:val="0"/>
              <w:spacing w:line="360" w:lineRule="exact"/>
              <w:ind w:firstLine="800" w:firstLineChars="400"/>
              <w:rPr>
                <w:rFonts w:ascii="宋体" w:hAnsi="宋体"/>
                <w:sz w:val="20"/>
                <w:szCs w:val="20"/>
              </w:rPr>
            </w:pPr>
            <w:r>
              <w:rPr>
                <w:rFonts w:ascii="宋体" w:hAnsi="宋体"/>
                <w:sz w:val="20"/>
                <w:szCs w:val="20"/>
              </w:rPr>
              <w:t>D</w:t>
            </w:r>
            <w:r>
              <w:rPr>
                <w:rFonts w:ascii="宋体" w:hAnsi="宋体"/>
                <w:sz w:val="20"/>
                <w:szCs w:val="20"/>
                <w:vertAlign w:val="subscript"/>
              </w:rPr>
              <w:t>1</w:t>
            </w:r>
            <w:r>
              <w:rPr>
                <w:rFonts w:ascii="宋体" w:hAnsi="宋体"/>
                <w:sz w:val="20"/>
                <w:szCs w:val="20"/>
              </w:rPr>
              <w:t>＝投标人的评标价</w:t>
            </w:r>
          </w:p>
          <w:p>
            <w:pPr>
              <w:adjustRightInd w:val="0"/>
              <w:spacing w:line="360" w:lineRule="exact"/>
              <w:ind w:firstLine="800" w:firstLineChars="400"/>
              <w:rPr>
                <w:rFonts w:ascii="宋体" w:hAnsi="宋体"/>
                <w:sz w:val="20"/>
                <w:szCs w:val="20"/>
              </w:rPr>
            </w:pPr>
            <w:r>
              <w:rPr>
                <w:rFonts w:ascii="宋体" w:hAnsi="宋体"/>
                <w:sz w:val="20"/>
                <w:szCs w:val="20"/>
              </w:rPr>
              <w:t>F=10</w:t>
            </w:r>
          </w:p>
          <w:p>
            <w:pPr>
              <w:adjustRightInd w:val="0"/>
              <w:spacing w:line="360" w:lineRule="exact"/>
              <w:ind w:firstLine="800" w:firstLineChars="400"/>
              <w:rPr>
                <w:rFonts w:ascii="宋体" w:hAnsi="宋体"/>
                <w:sz w:val="20"/>
                <w:szCs w:val="20"/>
              </w:rPr>
            </w:pPr>
            <w:r>
              <w:rPr>
                <w:rFonts w:ascii="宋体" w:hAnsi="宋体"/>
                <w:sz w:val="20"/>
                <w:szCs w:val="20"/>
              </w:rPr>
              <w:t>F</w:t>
            </w:r>
            <w:r>
              <w:rPr>
                <w:rFonts w:ascii="宋体" w:hAnsi="宋体"/>
                <w:sz w:val="20"/>
                <w:szCs w:val="20"/>
                <w:vertAlign w:val="subscript"/>
              </w:rPr>
              <w:t>1</w:t>
            </w:r>
            <w:r>
              <w:rPr>
                <w:rFonts w:ascii="宋体" w:hAnsi="宋体"/>
                <w:sz w:val="20"/>
                <w:szCs w:val="20"/>
              </w:rPr>
              <w:t>＝评标价</w:t>
            </w:r>
            <w:r>
              <w:rPr>
                <w:rFonts w:ascii="宋体" w:hAnsi="宋体"/>
                <w:spacing w:val="-2"/>
                <w:sz w:val="20"/>
                <w:szCs w:val="20"/>
              </w:rPr>
              <w:t>得分（</w:t>
            </w:r>
            <w:r>
              <w:rPr>
                <w:rFonts w:ascii="宋体" w:hAnsi="宋体"/>
                <w:sz w:val="20"/>
                <w:szCs w:val="20"/>
              </w:rPr>
              <w:t>评标价</w:t>
            </w:r>
            <w:r>
              <w:rPr>
                <w:rFonts w:ascii="宋体" w:hAnsi="宋体"/>
                <w:spacing w:val="-2"/>
                <w:sz w:val="20"/>
                <w:szCs w:val="20"/>
              </w:rPr>
              <w:t>得分分值计算保留小数点后七位，小数点后第八位“四舍五入”）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zh-CN" w:eastAsia="zh-CN" w:bidi="ar"/>
              </w:rPr>
            </w:pPr>
            <w:r>
              <w:rPr>
                <w:rFonts w:ascii="宋体" w:hAnsi="宋体"/>
                <w:sz w:val="20"/>
                <w:szCs w:val="20"/>
              </w:rPr>
              <w:t>若D</w:t>
            </w:r>
            <w:r>
              <w:rPr>
                <w:rFonts w:ascii="宋体" w:hAnsi="宋体"/>
                <w:sz w:val="20"/>
                <w:szCs w:val="20"/>
                <w:vertAlign w:val="subscript"/>
              </w:rPr>
              <w:t>1</w:t>
            </w:r>
            <w:r>
              <w:rPr>
                <w:rFonts w:ascii="宋体" w:hAnsi="宋体"/>
                <w:sz w:val="20"/>
                <w:szCs w:val="20"/>
              </w:rPr>
              <w:t xml:space="preserve"> </w:t>
            </w:r>
            <w:r>
              <w:rPr>
                <w:rFonts w:ascii="宋体" w:hAnsi="宋体"/>
                <w:sz w:val="20"/>
                <w:szCs w:val="20"/>
              </w:rPr>
              <w:sym w:font="Symbol" w:char="F0B3"/>
            </w:r>
            <w:r>
              <w:rPr>
                <w:rFonts w:ascii="宋体" w:hAnsi="宋体"/>
                <w:sz w:val="20"/>
                <w:szCs w:val="20"/>
              </w:rPr>
              <w:t xml:space="preserve"> D，则E=</w:t>
            </w:r>
            <w:r>
              <w:rPr>
                <w:rFonts w:hint="eastAsia" w:ascii="宋体" w:hAnsi="宋体"/>
                <w:sz w:val="20"/>
                <w:szCs w:val="20"/>
              </w:rPr>
              <w:t>0.5</w:t>
            </w:r>
            <w:r>
              <w:rPr>
                <w:rFonts w:ascii="宋体" w:hAnsi="宋体"/>
                <w:sz w:val="20"/>
                <w:szCs w:val="20"/>
              </w:rPr>
              <w:t>；若D</w:t>
            </w:r>
            <w:r>
              <w:rPr>
                <w:rFonts w:ascii="宋体" w:hAnsi="宋体"/>
                <w:sz w:val="20"/>
                <w:szCs w:val="20"/>
                <w:vertAlign w:val="subscript"/>
              </w:rPr>
              <w:t>1</w:t>
            </w:r>
            <w:r>
              <w:rPr>
                <w:rFonts w:ascii="宋体" w:hAnsi="宋体"/>
                <w:sz w:val="20"/>
                <w:szCs w:val="20"/>
              </w:rPr>
              <w:t xml:space="preserve"> &lt; D，则E=</w:t>
            </w:r>
            <w:r>
              <w:rPr>
                <w:rFonts w:hint="eastAsia" w:ascii="宋体" w:hAnsi="宋体"/>
                <w:sz w:val="20"/>
                <w:szCs w:val="20"/>
              </w:rPr>
              <w:t>0.25</w:t>
            </w:r>
            <w:r>
              <w:rPr>
                <w:rFonts w:ascii="宋体" w:hAnsi="宋体"/>
                <w:sz w:val="20"/>
                <w:szCs w:val="20"/>
              </w:rPr>
              <w:t>。</w:t>
            </w:r>
          </w:p>
        </w:tc>
      </w:tr>
      <w:tr>
        <w:tblPrEx>
          <w:tblCellMar>
            <w:top w:w="0" w:type="dxa"/>
            <w:left w:w="108" w:type="dxa"/>
            <w:bottom w:w="0" w:type="dxa"/>
            <w:right w:w="108" w:type="dxa"/>
          </w:tblCellMar>
        </w:tblPrEx>
        <w:trPr>
          <w:trHeight w:val="1191" w:hRule="atLeast"/>
          <w:jc w:val="center"/>
        </w:trPr>
        <w:tc>
          <w:tcPr>
            <w:tcW w:w="775" w:type="dxa"/>
            <w:vMerge w:val="restart"/>
            <w:tcBorders>
              <w:top w:val="single" w:color="auto" w:sz="4" w:space="0"/>
              <w:left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snapToGrid/>
                <w:color w:val="000000"/>
                <w:kern w:val="0"/>
                <w:sz w:val="20"/>
                <w:szCs w:val="20"/>
                <w:u w:val="none"/>
                <w:shd w:val="clear" w:color="auto" w:fill="FFFFFF"/>
                <w:lang w:val="zh-CN" w:eastAsia="zh-CN" w:bidi="zh-CN"/>
              </w:rPr>
            </w:pPr>
            <w:r>
              <w:rPr>
                <w:rFonts w:hint="eastAsia" w:ascii="宋体" w:hAnsi="宋体" w:eastAsia="宋体" w:cs="宋体"/>
                <w:bCs/>
                <w:color w:val="000000"/>
                <w:sz w:val="20"/>
                <w:szCs w:val="20"/>
                <w:u w:val="none"/>
                <w:shd w:val="clear" w:color="auto" w:fill="FFFFFF"/>
              </w:rPr>
              <w:t>2.2.4（4）</w:t>
            </w:r>
          </w:p>
        </w:tc>
        <w:tc>
          <w:tcPr>
            <w:tcW w:w="638" w:type="dxa"/>
            <w:gridSpan w:val="2"/>
            <w:vMerge w:val="restart"/>
            <w:tcBorders>
              <w:top w:val="single" w:color="auto" w:sz="4" w:space="0"/>
              <w:left w:val="single" w:color="auto" w:sz="4" w:space="0"/>
              <w:right w:val="single" w:color="auto" w:sz="4" w:space="0"/>
            </w:tcBorders>
            <w:noWrap w:val="0"/>
            <w:vAlign w:val="center"/>
          </w:tcPr>
          <w:p>
            <w:pPr>
              <w:pStyle w:val="15"/>
              <w:adjustRightInd/>
              <w:spacing w:line="360" w:lineRule="auto"/>
              <w:ind w:firstLine="0"/>
              <w:rPr>
                <w:rFonts w:hint="eastAsia" w:ascii="宋体" w:hAnsi="宋体" w:eastAsia="宋体" w:cs="宋体"/>
                <w:bCs/>
                <w:color w:val="000000"/>
                <w:sz w:val="20"/>
                <w:szCs w:val="20"/>
                <w:u w:val="none"/>
                <w:shd w:val="clear" w:color="auto" w:fill="FFFFFF"/>
              </w:rPr>
            </w:pPr>
            <w:r>
              <w:rPr>
                <w:rFonts w:hint="eastAsia" w:ascii="宋体" w:hAnsi="宋体" w:eastAsia="宋体" w:cs="宋体"/>
                <w:bCs/>
                <w:color w:val="000000"/>
                <w:sz w:val="20"/>
                <w:szCs w:val="20"/>
                <w:u w:val="none"/>
                <w:shd w:val="clear" w:color="auto" w:fill="FFFFFF"/>
              </w:rPr>
              <w:t>其他因素</w:t>
            </w:r>
          </w:p>
          <w:p>
            <w:pPr>
              <w:pStyle w:val="15"/>
              <w:adjustRightInd/>
              <w:spacing w:line="360" w:lineRule="auto"/>
              <w:ind w:firstLine="0" w:firstLineChars="0"/>
              <w:rPr>
                <w:rFonts w:hint="eastAsia" w:ascii="宋体" w:hAnsi="宋体" w:eastAsia="宋体" w:cs="宋体"/>
                <w:bCs/>
                <w:snapToGrid/>
                <w:color w:val="000000"/>
                <w:kern w:val="0"/>
                <w:sz w:val="20"/>
                <w:szCs w:val="20"/>
                <w:u w:val="none"/>
                <w:shd w:val="clear" w:color="auto" w:fill="FFFFFF"/>
                <w:lang w:val="zh-CN" w:eastAsia="zh-CN" w:bidi="zh-CN"/>
              </w:rPr>
            </w:pPr>
            <w:r>
              <w:rPr>
                <w:rFonts w:hint="eastAsia" w:ascii="宋体" w:hAnsi="宋体" w:eastAsia="宋体" w:cs="宋体"/>
                <w:bCs/>
                <w:color w:val="000000"/>
                <w:sz w:val="20"/>
                <w:szCs w:val="20"/>
                <w:u w:val="none"/>
                <w:shd w:val="clear" w:color="auto" w:fill="FFFFFF"/>
              </w:rPr>
              <w:t>25分</w:t>
            </w:r>
          </w:p>
        </w:tc>
        <w:tc>
          <w:tcPr>
            <w:tcW w:w="1702" w:type="dxa"/>
            <w:gridSpan w:val="2"/>
            <w:tcBorders>
              <w:top w:val="single" w:color="auto" w:sz="4" w:space="0"/>
              <w:left w:val="single" w:color="auto" w:sz="4" w:space="0"/>
              <w:bottom w:val="single" w:color="000000"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snapToGrid/>
                <w:color w:val="000000"/>
                <w:kern w:val="0"/>
                <w:sz w:val="20"/>
                <w:szCs w:val="20"/>
                <w:u w:val="none"/>
                <w:shd w:val="clear" w:color="auto" w:fill="FFFFFF"/>
                <w:lang w:val="en-US" w:eastAsia="zh-CN" w:bidi="zh-CN"/>
              </w:rPr>
            </w:pPr>
            <w:r>
              <w:rPr>
                <w:rFonts w:hint="eastAsia" w:ascii="宋体" w:hAnsi="宋体" w:eastAsia="宋体" w:cs="宋体"/>
                <w:bCs/>
                <w:color w:val="000000"/>
                <w:sz w:val="20"/>
                <w:szCs w:val="20"/>
                <w:u w:val="none"/>
                <w:shd w:val="clear" w:color="auto" w:fill="FFFFFF"/>
              </w:rPr>
              <w:t>业绩</w:t>
            </w:r>
          </w:p>
        </w:tc>
        <w:tc>
          <w:tcPr>
            <w:tcW w:w="781" w:type="dxa"/>
            <w:tcBorders>
              <w:top w:val="single" w:color="000000" w:sz="4" w:space="0"/>
              <w:left w:val="single" w:color="auto" w:sz="4" w:space="0"/>
              <w:bottom w:val="single" w:color="000000"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snapToGrid/>
                <w:color w:val="000000"/>
                <w:kern w:val="0"/>
                <w:sz w:val="20"/>
                <w:szCs w:val="20"/>
                <w:shd w:val="clear" w:color="auto" w:fill="FFFFFF"/>
                <w:lang w:val="zh-CN" w:eastAsia="zh-CN" w:bidi="zh-CN"/>
              </w:rPr>
            </w:pPr>
            <w:r>
              <w:rPr>
                <w:rFonts w:hint="eastAsia" w:ascii="宋体" w:hAnsi="宋体" w:eastAsia="宋体" w:cs="宋体"/>
                <w:bCs/>
                <w:color w:val="000000"/>
                <w:sz w:val="20"/>
                <w:szCs w:val="20"/>
                <w:shd w:val="clear" w:color="auto" w:fill="FFFFFF"/>
                <w:lang w:val="en-US" w:eastAsia="zh-CN"/>
              </w:rPr>
              <w:t>15</w:t>
            </w:r>
            <w:r>
              <w:rPr>
                <w:rFonts w:hint="eastAsia" w:ascii="宋体" w:hAnsi="宋体" w:eastAsia="宋体" w:cs="宋体"/>
                <w:bCs/>
                <w:color w:val="000000"/>
                <w:sz w:val="20"/>
                <w:szCs w:val="20"/>
                <w:shd w:val="clear" w:color="auto" w:fill="FFFFFF"/>
              </w:rPr>
              <w:t>分</w:t>
            </w:r>
          </w:p>
        </w:tc>
        <w:tc>
          <w:tcPr>
            <w:tcW w:w="50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zh-CN" w:eastAsia="zh-CN" w:bidi="ar"/>
              </w:rPr>
              <w:t>满足招</w:t>
            </w:r>
            <w:r>
              <w:rPr>
                <w:rFonts w:hint="eastAsia" w:ascii="宋体" w:hAnsi="宋体" w:eastAsia="宋体" w:cs="宋体"/>
                <w:i w:val="0"/>
                <w:iCs w:val="0"/>
                <w:color w:val="000000"/>
                <w:kern w:val="0"/>
                <w:sz w:val="20"/>
                <w:szCs w:val="20"/>
                <w:highlight w:val="none"/>
                <w:u w:val="none"/>
                <w:lang w:val="zh-CN" w:eastAsia="zh-CN" w:bidi="ar"/>
              </w:rPr>
              <w:t>标文件附录2业绩最低条件要求的,得基本分</w:t>
            </w:r>
            <w:r>
              <w:rPr>
                <w:rFonts w:hint="eastAsia" w:ascii="宋体" w:hAnsi="宋体" w:eastAsia="宋体" w:cs="宋体"/>
                <w:i w:val="0"/>
                <w:iCs w:val="0"/>
                <w:color w:val="000000"/>
                <w:kern w:val="0"/>
                <w:sz w:val="20"/>
                <w:szCs w:val="20"/>
                <w:highlight w:val="none"/>
                <w:u w:val="none"/>
                <w:lang w:val="en-US" w:eastAsia="zh-CN" w:bidi="ar"/>
              </w:rPr>
              <w:t>9</w:t>
            </w:r>
            <w:r>
              <w:rPr>
                <w:rFonts w:hint="eastAsia" w:ascii="宋体" w:hAnsi="宋体" w:eastAsia="宋体" w:cs="宋体"/>
                <w:i w:val="0"/>
                <w:iCs w:val="0"/>
                <w:color w:val="000000"/>
                <w:kern w:val="0"/>
                <w:sz w:val="20"/>
                <w:szCs w:val="20"/>
                <w:highlight w:val="none"/>
                <w:u w:val="none"/>
                <w:lang w:val="zh-CN" w:eastAsia="zh-CN" w:bidi="ar"/>
              </w:rPr>
              <w:t>分。每增加一个满足招标文</w:t>
            </w:r>
            <w:r>
              <w:rPr>
                <w:rFonts w:hint="eastAsia" w:ascii="宋体" w:hAnsi="宋体" w:eastAsia="宋体" w:cs="宋体"/>
                <w:i w:val="0"/>
                <w:iCs w:val="0"/>
                <w:color w:val="000000"/>
                <w:kern w:val="0"/>
                <w:sz w:val="20"/>
                <w:szCs w:val="20"/>
                <w:u w:val="none"/>
                <w:lang w:val="zh-CN" w:eastAsia="zh-CN" w:bidi="ar"/>
              </w:rPr>
              <w:t>件附录2业绩最低条件要求的业绩加</w:t>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zh-CN" w:eastAsia="zh-CN" w:bidi="ar"/>
              </w:rPr>
              <w:t>分，最多加</w:t>
            </w:r>
            <w:r>
              <w:rPr>
                <w:rFonts w:hint="eastAsia" w:ascii="宋体" w:hAnsi="宋体" w:eastAsia="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zh-CN" w:eastAsia="zh-CN" w:bidi="ar"/>
              </w:rPr>
              <w:t>分。</w:t>
            </w:r>
          </w:p>
        </w:tc>
      </w:tr>
      <w:tr>
        <w:tblPrEx>
          <w:tblCellMar>
            <w:top w:w="0" w:type="dxa"/>
            <w:left w:w="108" w:type="dxa"/>
            <w:bottom w:w="0" w:type="dxa"/>
            <w:right w:w="108" w:type="dxa"/>
          </w:tblCellMar>
        </w:tblPrEx>
        <w:trPr>
          <w:trHeight w:val="1671" w:hRule="atLeast"/>
          <w:jc w:val="center"/>
        </w:trPr>
        <w:tc>
          <w:tcPr>
            <w:tcW w:w="775" w:type="dxa"/>
            <w:vMerge w:val="continue"/>
            <w:tcBorders>
              <w:left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u w:val="none"/>
              </w:rPr>
            </w:pPr>
          </w:p>
        </w:tc>
        <w:tc>
          <w:tcPr>
            <w:tcW w:w="638" w:type="dxa"/>
            <w:gridSpan w:val="2"/>
            <w:vMerge w:val="continue"/>
            <w:tcBorders>
              <w:left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u w:val="none"/>
              </w:rPr>
            </w:pPr>
          </w:p>
        </w:tc>
        <w:tc>
          <w:tcPr>
            <w:tcW w:w="1702" w:type="dxa"/>
            <w:gridSpan w:val="2"/>
            <w:tcBorders>
              <w:top w:val="single" w:color="000000" w:sz="4" w:space="0"/>
              <w:left w:val="single" w:color="auto" w:sz="4" w:space="0"/>
              <w:bottom w:val="single" w:color="000000" w:sz="4" w:space="0"/>
              <w:right w:val="single" w:color="auto" w:sz="4" w:space="0"/>
            </w:tcBorders>
            <w:noWrap w:val="0"/>
            <w:vAlign w:val="center"/>
          </w:tcPr>
          <w:p>
            <w:pPr>
              <w:pStyle w:val="14"/>
              <w:spacing w:before="167"/>
              <w:ind w:left="109" w:leftChars="0" w:right="84" w:rightChars="0"/>
              <w:jc w:val="center"/>
              <w:rPr>
                <w:rFonts w:hint="eastAsia" w:ascii="宋体" w:hAnsi="宋体" w:eastAsia="宋体" w:cs="宋体"/>
                <w:bCs/>
                <w:color w:val="000000"/>
                <w:sz w:val="20"/>
                <w:szCs w:val="20"/>
                <w:u w:val="none"/>
                <w:shd w:val="clear" w:color="auto" w:fill="FFFFFF"/>
                <w:lang w:val="en-US" w:eastAsia="zh-CN"/>
              </w:rPr>
            </w:pPr>
            <w:r>
              <w:rPr>
                <w:rFonts w:hint="eastAsia" w:ascii="宋体" w:hAnsi="宋体" w:eastAsia="宋体" w:cs="宋体"/>
                <w:color w:val="000000"/>
                <w:sz w:val="20"/>
                <w:szCs w:val="20"/>
                <w:u w:val="none"/>
              </w:rPr>
              <w:t>设备工具</w:t>
            </w:r>
          </w:p>
        </w:tc>
        <w:tc>
          <w:tcPr>
            <w:tcW w:w="781" w:type="dxa"/>
            <w:tcBorders>
              <w:top w:val="single" w:color="000000" w:sz="4" w:space="0"/>
              <w:left w:val="single" w:color="auto" w:sz="4" w:space="0"/>
              <w:bottom w:val="single" w:color="000000" w:sz="4" w:space="0"/>
              <w:right w:val="single" w:color="auto" w:sz="4" w:space="0"/>
            </w:tcBorders>
            <w:noWrap w:val="0"/>
            <w:vAlign w:val="center"/>
          </w:tcPr>
          <w:p>
            <w:pPr>
              <w:pStyle w:val="14"/>
              <w:spacing w:before="133"/>
              <w:ind w:left="135" w:leftChars="0" w:right="107" w:rightChars="0"/>
              <w:jc w:val="center"/>
              <w:rPr>
                <w:rFonts w:hint="eastAsia" w:ascii="宋体" w:hAnsi="宋体" w:eastAsia="宋体" w:cs="宋体"/>
                <w:bCs/>
                <w:color w:val="000000"/>
                <w:sz w:val="20"/>
                <w:szCs w:val="20"/>
                <w:shd w:val="clear" w:color="auto" w:fill="FFFFFF"/>
              </w:rPr>
            </w:pPr>
            <w:r>
              <w:rPr>
                <w:rFonts w:hint="eastAsia" w:ascii="宋体" w:hAnsi="宋体" w:eastAsia="宋体" w:cs="宋体"/>
                <w:color w:val="000000"/>
                <w:sz w:val="20"/>
                <w:szCs w:val="20"/>
                <w:lang w:val="en-US" w:eastAsia="zh-CN"/>
              </w:rPr>
              <w:t>5</w:t>
            </w:r>
            <w:r>
              <w:rPr>
                <w:rFonts w:hint="eastAsia" w:ascii="宋体" w:hAnsi="宋体" w:eastAsia="宋体" w:cs="宋体"/>
                <w:color w:val="000000"/>
                <w:sz w:val="20"/>
                <w:szCs w:val="20"/>
              </w:rPr>
              <w:t>分</w:t>
            </w:r>
          </w:p>
        </w:tc>
        <w:tc>
          <w:tcPr>
            <w:tcW w:w="5086"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zh-CN" w:eastAsia="zh-CN" w:bidi="ar"/>
              </w:rPr>
              <w:t>投标人</w:t>
            </w:r>
            <w:r>
              <w:rPr>
                <w:rFonts w:hint="eastAsia" w:ascii="宋体" w:hAnsi="宋体" w:eastAsia="宋体" w:cs="宋体"/>
                <w:i w:val="0"/>
                <w:iCs w:val="0"/>
                <w:color w:val="000000"/>
                <w:kern w:val="0"/>
                <w:sz w:val="20"/>
                <w:szCs w:val="20"/>
                <w:u w:val="none"/>
                <w:lang w:val="en-US" w:eastAsia="zh-CN" w:bidi="ar"/>
              </w:rPr>
              <w:t>投入1</w:t>
            </w:r>
            <w:r>
              <w:rPr>
                <w:rFonts w:hint="eastAsia" w:ascii="宋体" w:hAnsi="宋体" w:eastAsia="宋体" w:cs="宋体"/>
                <w:i w:val="0"/>
                <w:iCs w:val="0"/>
                <w:color w:val="000000"/>
                <w:kern w:val="0"/>
                <w:sz w:val="20"/>
                <w:szCs w:val="20"/>
                <w:u w:val="none"/>
                <w:lang w:val="zh-CN" w:eastAsia="zh-CN" w:bidi="ar"/>
              </w:rPr>
              <w:t>台多功能路况快速检测设备得</w:t>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zh-CN" w:eastAsia="zh-CN" w:bidi="ar"/>
              </w:rPr>
              <w:t xml:space="preserve">分；增加 1 台设备加 </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zh-CN" w:eastAsia="zh-CN" w:bidi="ar"/>
              </w:rPr>
              <w:t xml:space="preserve"> 分，最多得</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zh-CN" w:eastAsia="zh-CN" w:bidi="ar"/>
              </w:rPr>
              <w:t>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zh-CN" w:eastAsia="zh-CN" w:bidi="ar"/>
              </w:rPr>
              <w:t>注：设备要求生产厂家应统一，需由具有相应资质单位出具平整度和车辙标定校准证书，且处于有效期内，并提供证明材料，包括但不限于设备产权证明、购置发票、校准证书、检测设备行驶本等复印件。</w:t>
            </w:r>
          </w:p>
        </w:tc>
      </w:tr>
      <w:tr>
        <w:tblPrEx>
          <w:tblCellMar>
            <w:top w:w="0" w:type="dxa"/>
            <w:left w:w="108" w:type="dxa"/>
            <w:bottom w:w="0" w:type="dxa"/>
            <w:right w:w="108" w:type="dxa"/>
          </w:tblCellMar>
        </w:tblPrEx>
        <w:trPr>
          <w:trHeight w:val="646" w:hRule="atLeast"/>
          <w:jc w:val="center"/>
        </w:trPr>
        <w:tc>
          <w:tcPr>
            <w:tcW w:w="775" w:type="dxa"/>
            <w:vMerge w:val="continue"/>
            <w:tcBorders>
              <w:left w:val="single" w:color="auto" w:sz="4" w:space="0"/>
              <w:bottom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u w:val="none"/>
              </w:rPr>
            </w:pPr>
          </w:p>
        </w:tc>
        <w:tc>
          <w:tcPr>
            <w:tcW w:w="638" w:type="dxa"/>
            <w:gridSpan w:val="2"/>
            <w:vMerge w:val="continue"/>
            <w:tcBorders>
              <w:left w:val="single" w:color="auto" w:sz="4" w:space="0"/>
              <w:bottom w:val="single" w:color="auto" w:sz="4" w:space="0"/>
              <w:right w:val="single" w:color="auto" w:sz="4" w:space="0"/>
            </w:tcBorders>
            <w:noWrap w:val="0"/>
            <w:vAlign w:val="center"/>
          </w:tcPr>
          <w:p>
            <w:pPr>
              <w:pStyle w:val="15"/>
              <w:adjustRightInd/>
              <w:spacing w:line="360" w:lineRule="auto"/>
              <w:ind w:firstLine="0" w:firstLineChars="0"/>
              <w:rPr>
                <w:rFonts w:hint="eastAsia" w:ascii="宋体" w:hAnsi="宋体" w:eastAsia="宋体" w:cs="宋体"/>
                <w:bCs/>
                <w:color w:val="000000"/>
                <w:sz w:val="20"/>
                <w:szCs w:val="20"/>
                <w:u w:val="none"/>
              </w:rPr>
            </w:pPr>
          </w:p>
        </w:tc>
        <w:tc>
          <w:tcPr>
            <w:tcW w:w="1702" w:type="dxa"/>
            <w:gridSpan w:val="2"/>
            <w:tcBorders>
              <w:top w:val="single" w:color="000000" w:sz="4" w:space="0"/>
              <w:left w:val="single" w:color="auto" w:sz="4" w:space="0"/>
              <w:bottom w:val="single" w:color="auto" w:sz="4" w:space="0"/>
              <w:right w:val="single" w:color="auto" w:sz="4" w:space="0"/>
            </w:tcBorders>
            <w:noWrap w:val="0"/>
            <w:vAlign w:val="center"/>
          </w:tcPr>
          <w:p>
            <w:pPr>
              <w:pStyle w:val="15"/>
              <w:adjustRightInd/>
              <w:spacing w:line="360" w:lineRule="auto"/>
              <w:ind w:firstLine="0" w:firstLineChars="0"/>
              <w:jc w:val="center"/>
              <w:rPr>
                <w:rFonts w:hint="eastAsia" w:ascii="宋体" w:hAnsi="宋体" w:eastAsia="宋体" w:cs="宋体"/>
                <w:bCs/>
                <w:color w:val="000000"/>
                <w:sz w:val="20"/>
                <w:szCs w:val="20"/>
                <w:highlight w:val="none"/>
                <w:u w:val="none"/>
                <w:shd w:val="clear" w:color="auto" w:fill="FFFFFF"/>
                <w:lang w:val="en-US" w:eastAsia="zh-CN"/>
              </w:rPr>
            </w:pPr>
            <w:r>
              <w:rPr>
                <w:rFonts w:hint="eastAsia" w:ascii="宋体" w:hAnsi="宋体" w:eastAsia="宋体" w:cs="宋体"/>
                <w:bCs/>
                <w:color w:val="000000"/>
                <w:sz w:val="20"/>
                <w:szCs w:val="20"/>
                <w:highlight w:val="none"/>
                <w:u w:val="none"/>
                <w:shd w:val="clear" w:color="auto" w:fill="FFFFFF"/>
              </w:rPr>
              <w:t>履约信誉</w:t>
            </w:r>
          </w:p>
        </w:tc>
        <w:tc>
          <w:tcPr>
            <w:tcW w:w="781" w:type="dxa"/>
            <w:tcBorders>
              <w:top w:val="single" w:color="000000" w:sz="4" w:space="0"/>
              <w:left w:val="single" w:color="auto" w:sz="4" w:space="0"/>
              <w:bottom w:val="single" w:color="000000" w:sz="4" w:space="0"/>
              <w:right w:val="single" w:color="auto" w:sz="4" w:space="0"/>
            </w:tcBorders>
            <w:noWrap w:val="0"/>
            <w:vAlign w:val="center"/>
          </w:tcPr>
          <w:p>
            <w:pPr>
              <w:pStyle w:val="15"/>
              <w:adjustRightInd/>
              <w:spacing w:line="360" w:lineRule="auto"/>
              <w:ind w:firstLine="0" w:firstLineChars="0"/>
              <w:jc w:val="center"/>
              <w:rPr>
                <w:rFonts w:hint="eastAsia" w:ascii="宋体" w:hAnsi="宋体" w:eastAsia="宋体" w:cs="宋体"/>
                <w:bCs/>
                <w:color w:val="000000"/>
                <w:sz w:val="20"/>
                <w:szCs w:val="20"/>
                <w:highlight w:val="none"/>
                <w:shd w:val="clear" w:color="auto" w:fill="FFFFFF"/>
              </w:rPr>
            </w:pPr>
            <w:r>
              <w:rPr>
                <w:rFonts w:hint="eastAsia" w:ascii="宋体" w:hAnsi="宋体" w:eastAsia="宋体" w:cs="宋体"/>
                <w:bCs/>
                <w:color w:val="000000"/>
                <w:sz w:val="20"/>
                <w:szCs w:val="20"/>
                <w:highlight w:val="none"/>
                <w:shd w:val="clear" w:color="auto" w:fill="FFFFFF"/>
                <w:lang w:val="en-US" w:eastAsia="zh-CN"/>
              </w:rPr>
              <w:t>5</w:t>
            </w:r>
            <w:r>
              <w:rPr>
                <w:rFonts w:hint="eastAsia" w:ascii="宋体" w:hAnsi="宋体" w:eastAsia="宋体" w:cs="宋体"/>
                <w:bCs/>
                <w:color w:val="000000"/>
                <w:sz w:val="20"/>
                <w:szCs w:val="20"/>
                <w:highlight w:val="none"/>
                <w:shd w:val="clear" w:color="auto" w:fill="FFFFFF"/>
              </w:rPr>
              <w:t>分</w:t>
            </w:r>
          </w:p>
        </w:tc>
        <w:tc>
          <w:tcPr>
            <w:tcW w:w="5086" w:type="dxa"/>
            <w:tcBorders>
              <w:top w:val="single" w:color="000000" w:sz="4" w:space="0"/>
              <w:left w:val="single" w:color="auto" w:sz="4" w:space="0"/>
              <w:bottom w:val="single" w:color="000000" w:sz="4" w:space="0"/>
              <w:right w:val="single" w:color="000000" w:sz="4" w:space="0"/>
            </w:tcBorders>
            <w:noWrap w:val="0"/>
            <w:vAlign w:val="center"/>
          </w:tcPr>
          <w:p>
            <w:pPr>
              <w:pStyle w:val="15"/>
              <w:adjustRightInd/>
              <w:spacing w:line="360" w:lineRule="auto"/>
              <w:ind w:firstLine="0" w:firstLineChars="0"/>
              <w:jc w:val="both"/>
              <w:rPr>
                <w:rFonts w:hint="eastAsia" w:ascii="宋体" w:hAnsi="宋体" w:eastAsia="宋体" w:cs="宋体"/>
                <w:bCs/>
                <w:color w:val="000000"/>
                <w:sz w:val="20"/>
                <w:szCs w:val="20"/>
                <w:highlight w:val="none"/>
                <w:shd w:val="clear" w:color="auto" w:fill="FFFFFF"/>
                <w:lang w:val="zh-CN" w:eastAsia="zh-CN"/>
              </w:rPr>
            </w:pPr>
            <w:r>
              <w:rPr>
                <w:rFonts w:hint="eastAsia" w:ascii="宋体" w:hAnsi="宋体" w:eastAsia="宋体" w:cs="宋体"/>
                <w:bCs/>
                <w:color w:val="000000"/>
                <w:sz w:val="20"/>
                <w:szCs w:val="20"/>
                <w:highlight w:val="none"/>
                <w:shd w:val="clear" w:color="auto" w:fill="FFFFFF"/>
                <w:lang w:val="zh-CN" w:eastAsia="zh-CN"/>
              </w:rPr>
              <w:t>满足招标文件附录3信誉最低要求的得</w:t>
            </w:r>
            <w:r>
              <w:rPr>
                <w:rFonts w:hint="eastAsia" w:ascii="宋体" w:hAnsi="宋体" w:eastAsia="宋体" w:cs="宋体"/>
                <w:bCs/>
                <w:color w:val="000000"/>
                <w:sz w:val="20"/>
                <w:szCs w:val="20"/>
                <w:highlight w:val="none"/>
                <w:shd w:val="clear" w:color="auto" w:fill="FFFFFF"/>
                <w:lang w:val="en-US" w:eastAsia="zh-CN"/>
              </w:rPr>
              <w:t>5</w:t>
            </w:r>
            <w:r>
              <w:rPr>
                <w:rFonts w:hint="eastAsia" w:ascii="宋体" w:hAnsi="宋体" w:eastAsia="宋体" w:cs="宋体"/>
                <w:bCs/>
                <w:color w:val="000000"/>
                <w:sz w:val="20"/>
                <w:szCs w:val="20"/>
                <w:highlight w:val="none"/>
                <w:shd w:val="clear" w:color="auto" w:fill="FFFFFF"/>
                <w:lang w:val="zh-CN" w:eastAsia="zh-CN"/>
              </w:rPr>
              <w:t>分。</w:t>
            </w:r>
          </w:p>
        </w:tc>
      </w:tr>
      <w:tr>
        <w:tblPrEx>
          <w:tblCellMar>
            <w:top w:w="0" w:type="dxa"/>
            <w:left w:w="108" w:type="dxa"/>
            <w:bottom w:w="0" w:type="dxa"/>
            <w:right w:w="108" w:type="dxa"/>
          </w:tblCellMar>
        </w:tblPrEx>
        <w:trPr>
          <w:trHeight w:val="2260" w:hRule="atLeast"/>
          <w:jc w:val="center"/>
        </w:trPr>
        <w:tc>
          <w:tcPr>
            <w:tcW w:w="8982" w:type="dxa"/>
            <w:gridSpan w:val="7"/>
            <w:tcBorders>
              <w:left w:val="single" w:color="000000" w:sz="4" w:space="0"/>
              <w:bottom w:val="single" w:color="000000" w:sz="4" w:space="0"/>
              <w:right w:val="single" w:color="000000" w:sz="4" w:space="0"/>
            </w:tcBorders>
            <w:noWrap w:val="0"/>
            <w:vAlign w:val="center"/>
          </w:tcPr>
          <w:p>
            <w:pPr>
              <w:spacing w:line="320" w:lineRule="exact"/>
              <w:ind w:right="123" w:rightChars="56"/>
              <w:rPr>
                <w:rFonts w:ascii="宋体" w:hAnsi="宋体"/>
                <w:color w:val="000000"/>
                <w:szCs w:val="21"/>
                <w:highlight w:val="none"/>
              </w:rPr>
            </w:pPr>
            <w:r>
              <w:rPr>
                <w:rFonts w:hint="eastAsia" w:ascii="宋体" w:hAnsi="宋体" w:eastAsia="宋体" w:cs="宋体"/>
                <w:i w:val="0"/>
                <w:iCs w:val="0"/>
                <w:color w:val="000000"/>
                <w:kern w:val="0"/>
                <w:sz w:val="20"/>
                <w:szCs w:val="20"/>
                <w:u w:val="none"/>
                <w:lang w:val="zh-CN" w:eastAsia="zh-CN" w:bidi="ar"/>
              </w:rPr>
              <w:t>需要补充的其他内容：</w:t>
            </w:r>
            <w:r>
              <w:rPr>
                <w:rFonts w:ascii="宋体" w:hAnsi="宋体"/>
                <w:color w:val="000000"/>
                <w:szCs w:val="21"/>
                <w:highlight w:val="none"/>
              </w:rPr>
              <w:t>本条细化为：</w:t>
            </w:r>
          </w:p>
          <w:p>
            <w:pPr>
              <w:spacing w:line="320" w:lineRule="exact"/>
              <w:ind w:left="57" w:leftChars="26" w:right="123" w:rightChars="56" w:firstLine="440" w:firstLineChars="200"/>
              <w:rPr>
                <w:rFonts w:ascii="宋体" w:hAnsi="宋体"/>
                <w:color w:val="000000"/>
                <w:szCs w:val="21"/>
                <w:highlight w:val="none"/>
              </w:rPr>
            </w:pPr>
            <w:r>
              <w:rPr>
                <w:rFonts w:ascii="宋体" w:hAnsi="宋体"/>
                <w:color w:val="000000"/>
                <w:szCs w:val="21"/>
                <w:highlight w:val="none"/>
              </w:rPr>
              <w:t>1.1评标委员会首先对投标文件第一个信封进行初步评审，并对通过第一个信封初步评审的投标文件按照本章第2.2款规定的评分标准进行第一个信封详细评审及评分。</w:t>
            </w:r>
          </w:p>
          <w:p>
            <w:pPr>
              <w:spacing w:line="320" w:lineRule="exact"/>
              <w:ind w:left="57" w:leftChars="26" w:right="123" w:rightChars="56" w:firstLine="440" w:firstLineChars="200"/>
              <w:rPr>
                <w:rFonts w:ascii="宋体" w:hAnsi="宋体"/>
                <w:color w:val="000000"/>
                <w:szCs w:val="21"/>
                <w:highlight w:val="none"/>
              </w:rPr>
            </w:pPr>
            <w:r>
              <w:rPr>
                <w:rFonts w:ascii="宋体" w:hAnsi="宋体"/>
                <w:color w:val="000000"/>
                <w:szCs w:val="21"/>
                <w:highlight w:val="none"/>
              </w:rPr>
              <w:t>1.2所有通过第一个信封初步评审的投标人进入第二个信封的评审，其第二个信封在监督人的监督下进行开标；未通过第一个信封初步评审的投标人不进入第二个信封的评审，其第二个信封原封退回，不参与第二个信封的开标。</w:t>
            </w:r>
          </w:p>
          <w:p>
            <w:pPr>
              <w:spacing w:line="320" w:lineRule="exact"/>
              <w:ind w:left="57" w:leftChars="26" w:right="123" w:rightChars="56" w:firstLine="440" w:firstLineChars="200"/>
              <w:rPr>
                <w:rFonts w:ascii="宋体" w:hAnsi="宋体"/>
                <w:color w:val="000000"/>
                <w:szCs w:val="21"/>
                <w:highlight w:val="none"/>
              </w:rPr>
            </w:pPr>
            <w:r>
              <w:rPr>
                <w:rFonts w:ascii="宋体" w:hAnsi="宋体"/>
                <w:color w:val="000000"/>
                <w:szCs w:val="21"/>
                <w:highlight w:val="none"/>
              </w:rPr>
              <w:t>1.3评标委员会对投标文件第二个信封进行初步评审，对通过第二个信封初步评审的投标文件按照本章第2.2款规定的评分标准进行评标价评分（保留小数点后七位，小数点后第八位“四舍五入”），各投标人的最终得分为第一个信封与第二个信封得分之和，评标委员会按最终得分由高到低顺序确定中标候选人推荐排序，但投标报价低于其成本的除外。</w:t>
            </w:r>
          </w:p>
          <w:p>
            <w:pPr>
              <w:spacing w:line="320" w:lineRule="exact"/>
              <w:ind w:left="57" w:leftChars="26" w:right="123" w:rightChars="56" w:firstLine="440" w:firstLineChars="200"/>
              <w:rPr>
                <w:rFonts w:ascii="宋体" w:hAnsi="宋体"/>
                <w:color w:val="000000"/>
                <w:szCs w:val="21"/>
                <w:highlight w:val="none"/>
              </w:rPr>
            </w:pPr>
            <w:r>
              <w:rPr>
                <w:rFonts w:ascii="宋体" w:hAnsi="宋体"/>
                <w:color w:val="000000"/>
                <w:szCs w:val="21"/>
                <w:highlight w:val="none"/>
              </w:rPr>
              <w:t>当两家及以上投标人在同一标段中的综合得分相等时，若评标价不相等，以评标价较低者优先；当两家及以上投标人在同一标段中的综合得分相等且评标价也相等时，若各投标人报价清单子目单价也相同时，视为串标，其投标均被否决。</w:t>
            </w:r>
          </w:p>
          <w:p>
            <w:pPr>
              <w:spacing w:line="320" w:lineRule="exact"/>
              <w:ind w:left="57" w:leftChars="26" w:right="123" w:rightChars="56" w:firstLine="440" w:firstLineChars="200"/>
              <w:rPr>
                <w:rFonts w:ascii="宋体" w:hAnsi="宋体" w:eastAsia="宋体" w:cs="Times New Roman"/>
                <w:color w:val="000000"/>
                <w:szCs w:val="21"/>
                <w:highlight w:val="none"/>
              </w:rPr>
            </w:pPr>
            <w:r>
              <w:rPr>
                <w:rFonts w:ascii="宋体" w:hAnsi="宋体"/>
                <w:color w:val="000000"/>
                <w:szCs w:val="21"/>
                <w:highlight w:val="none"/>
              </w:rPr>
              <w:t>当两家及以上投标人在同一标段中的综合得分相等且评标价也相等时，且各投标人报价清单子目单价不尽相同时，推荐顺序则依次依据“企业业绩得分”、“主要人员得分”、“投标人的其他资格能力得分”、“技术建议书得分”由高到低的顺序进行确定，若</w:t>
            </w:r>
            <w:r>
              <w:rPr>
                <w:rFonts w:hint="eastAsia" w:ascii="宋体" w:hAnsi="宋体"/>
                <w:color w:val="000000"/>
                <w:szCs w:val="21"/>
                <w:highlight w:val="none"/>
                <w:lang w:val="en-US" w:eastAsia="zh-CN"/>
              </w:rPr>
              <w:t>技术建议书得分</w:t>
            </w:r>
            <w:r>
              <w:rPr>
                <w:rFonts w:ascii="宋体" w:hAnsi="宋体"/>
                <w:color w:val="000000"/>
                <w:szCs w:val="21"/>
                <w:highlight w:val="none"/>
              </w:rPr>
              <w:t>也相等时，则由评标委员会根据技术建议书的编制情况投票确定其推荐</w:t>
            </w:r>
            <w:r>
              <w:rPr>
                <w:rFonts w:ascii="宋体" w:hAnsi="宋体" w:eastAsia="宋体" w:cs="Times New Roman"/>
                <w:color w:val="000000"/>
                <w:szCs w:val="21"/>
                <w:highlight w:val="none"/>
              </w:rPr>
              <w:t>顺序。</w:t>
            </w:r>
          </w:p>
          <w:p>
            <w:pPr>
              <w:spacing w:line="320" w:lineRule="exact"/>
              <w:ind w:left="57" w:leftChars="26" w:right="123" w:rightChars="56" w:firstLine="440" w:firstLineChars="200"/>
              <w:rPr>
                <w:rFonts w:hint="eastAsia" w:ascii="宋体" w:hAnsi="宋体" w:eastAsia="宋体" w:cs="Times New Roman"/>
                <w:color w:val="000000"/>
                <w:szCs w:val="21"/>
                <w:highlight w:val="none"/>
                <w:lang w:val="en-US" w:eastAsia="zh-CN"/>
              </w:rPr>
            </w:pPr>
            <w:r>
              <w:rPr>
                <w:rFonts w:ascii="宋体" w:hAnsi="宋体" w:eastAsia="宋体" w:cs="Times New Roman"/>
                <w:color w:val="000000"/>
                <w:szCs w:val="21"/>
                <w:highlight w:val="none"/>
              </w:rPr>
              <w:t>1.4</w:t>
            </w:r>
            <w:r>
              <w:rPr>
                <w:rFonts w:hint="eastAsia" w:ascii="宋体" w:hAnsi="宋体" w:eastAsia="宋体" w:cs="Times New Roman"/>
                <w:color w:val="000000"/>
                <w:szCs w:val="21"/>
                <w:highlight w:val="none"/>
              </w:rPr>
              <w:t>每个满足要求的投标人可投多个标段，但最终只能允许获得1个标段的第一中标人候选人资格。如某一投标人在多个标段的推荐次序均为第一时，则评标委员会按照其投标文件《推荐第一中标候选人优先顺序承诺函》进行第一中标人候选人标段的推荐。推荐开始标段为标段正顺序，既1-</w:t>
            </w:r>
            <w:r>
              <w:rPr>
                <w:rFonts w:hint="eastAsia" w:cs="Times New Roman"/>
                <w:color w:val="000000"/>
                <w:szCs w:val="21"/>
                <w:highlight w:val="none"/>
                <w:lang w:val="en-US" w:eastAsia="zh-CN"/>
              </w:rPr>
              <w:t>3</w:t>
            </w:r>
            <w:r>
              <w:rPr>
                <w:rFonts w:hint="eastAsia" w:ascii="宋体" w:hAnsi="宋体" w:eastAsia="宋体" w:cs="Times New Roman"/>
                <w:color w:val="000000"/>
                <w:szCs w:val="21"/>
                <w:highlight w:val="none"/>
              </w:rPr>
              <w:t>标段逐次推荐</w:t>
            </w:r>
            <w:r>
              <w:rPr>
                <w:rFonts w:hint="eastAsia" w:cs="Times New Roman"/>
                <w:color w:val="000000"/>
                <w:szCs w:val="21"/>
                <w:highlight w:val="none"/>
                <w:lang w:eastAsia="zh-CN"/>
              </w:rPr>
              <w:t>。</w:t>
            </w:r>
          </w:p>
          <w:p>
            <w:pPr>
              <w:spacing w:line="320" w:lineRule="exact"/>
              <w:ind w:left="57" w:leftChars="26" w:right="123" w:rightChars="56" w:firstLine="44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1.5某一标段通过第一个信封评审且参与第二个信封开标的投标人在3个及以上的，招标人将按规定的程序进行第二个信封开标；在对第二个信封进行评审后，有效投标不足3个使得投标明显缺乏竞争的，评标委员会可以否决这一标段的全部投标。评标委员会未否决全部投标的，应当在评标报告中阐明理由并推荐这一标段中标候选人。</w:t>
            </w:r>
          </w:p>
          <w:p>
            <w:pPr>
              <w:spacing w:line="320" w:lineRule="exact"/>
              <w:ind w:left="57" w:leftChars="26" w:right="123" w:rightChars="56" w:firstLine="440" w:firstLineChars="200"/>
              <w:rPr>
                <w:rFonts w:hint="eastAsia" w:ascii="宋体" w:hAnsi="宋体" w:eastAsia="宋体" w:cs="Times New Roman"/>
                <w:color w:val="000000"/>
                <w:szCs w:val="21"/>
                <w:highlight w:val="none"/>
                <w:lang w:val="zh-CN" w:eastAsia="zh-CN"/>
              </w:rPr>
            </w:pPr>
            <w:r>
              <w:rPr>
                <w:rFonts w:hint="eastAsia" w:ascii="宋体" w:hAnsi="宋体" w:eastAsia="宋体" w:cs="Times New Roman"/>
                <w:color w:val="000000"/>
                <w:szCs w:val="21"/>
                <w:highlight w:val="none"/>
              </w:rPr>
              <w:t>某一标段通过第一个信封评审且参与第二个信封开标的投标人少于3个的，评标委员会可以否决这一标段全部投标；未否决这一标段全部投标的，评标委员会应当在评标报告中阐明理由，招标人将按规定的程序进行第二个信封（报价文件）开标，但评标委员会在进行第二个信封评审时仍有权否决这一标段全部投标；评标委员会未在第二个信封评审时否决全部投标的，应当在评标报告中阐明理由并推荐这一标段中标候选人</w:t>
            </w:r>
          </w:p>
          <w:p>
            <w:pPr>
              <w:spacing w:line="320" w:lineRule="exact"/>
              <w:ind w:left="57" w:leftChars="26" w:right="123" w:rightChars="56" w:firstLine="440" w:firstLineChars="200"/>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Times New Roman"/>
                <w:color w:val="000000"/>
                <w:szCs w:val="21"/>
                <w:highlight w:val="none"/>
                <w:lang w:val="zh-CN" w:eastAsia="zh-CN"/>
              </w:rPr>
              <w:t>除评标价和履约信誉评分项外，评标委员会成员对投标人商务和技术各项因素的评分一般不得低于招标文件规定该因素满分值的60%；评分低于满分值60%的，评标委员会成员应当在评标报告中作出说明。投标文件各项评分因素得分应以评标委员会各成员的打分平均值确定，评标委员会成员总数为7人以上时，该平均值以去掉一个最高分和一个最低分后计算。</w:t>
            </w:r>
          </w:p>
        </w:tc>
      </w:tr>
    </w:tbl>
    <w:p>
      <w:pPr>
        <w:spacing w:line="312" w:lineRule="auto"/>
        <w:rPr>
          <w:rFonts w:hint="eastAsia" w:ascii="宋体" w:hAnsi="宋体" w:eastAsia="宋体" w:cs="宋体"/>
          <w:sz w:val="18"/>
        </w:rPr>
        <w:sectPr>
          <w:pgSz w:w="11910" w:h="16840"/>
          <w:pgMar w:top="1380" w:right="920" w:bottom="1020" w:left="1300" w:header="1361" w:footer="824" w:gutter="0"/>
          <w:pgBorders>
            <w:top w:val="none" w:sz="0" w:space="0"/>
            <w:left w:val="none" w:sz="0" w:space="0"/>
            <w:bottom w:val="none" w:sz="0" w:space="0"/>
            <w:right w:val="none" w:sz="0" w:space="0"/>
          </w:pgBorders>
          <w:cols w:space="720" w:num="1"/>
        </w:sectPr>
      </w:pPr>
      <w:bookmarkStart w:id="33" w:name="_GoBack"/>
      <w:bookmarkEnd w:id="33"/>
    </w:p>
    <w:p>
      <w:pPr>
        <w:pStyle w:val="8"/>
        <w:jc w:val="both"/>
        <w:rPr>
          <w:rFonts w:hint="eastAsia" w:ascii="宋体" w:hAnsi="宋体" w:eastAsia="宋体" w:cs="宋体"/>
          <w:b/>
          <w:bCs/>
          <w:sz w:val="28"/>
          <w:szCs w:val="28"/>
          <w:lang w:val="en-US" w:eastAsia="zh-CN"/>
        </w:rPr>
      </w:pPr>
    </w:p>
    <w:p>
      <w:pPr>
        <w:pStyle w:val="5"/>
        <w:keepNext w:val="0"/>
        <w:keepLines w:val="0"/>
        <w:pageBreakBefore w:val="0"/>
        <w:widowControl w:val="0"/>
        <w:numPr>
          <w:ilvl w:val="0"/>
          <w:numId w:val="0"/>
        </w:numPr>
        <w:tabs>
          <w:tab w:val="left" w:pos="652"/>
        </w:tabs>
        <w:kinsoku/>
        <w:wordWrap/>
        <w:overflowPunct/>
        <w:topLinePunct w:val="0"/>
        <w:autoSpaceDE w:val="0"/>
        <w:autoSpaceDN w:val="0"/>
        <w:bidi w:val="0"/>
        <w:adjustRightInd/>
        <w:snapToGrid/>
        <w:spacing w:line="360" w:lineRule="exact"/>
        <w:ind w:leftChars="0" w:firstLine="472" w:firstLineChars="200"/>
        <w:jc w:val="left"/>
        <w:textAlignment w:val="auto"/>
        <w:rPr>
          <w:rFonts w:hint="eastAsia" w:ascii="宋体" w:hAnsi="宋体" w:eastAsia="宋体" w:cs="宋体"/>
          <w:sz w:val="24"/>
          <w:szCs w:val="24"/>
        </w:rPr>
      </w:pPr>
      <w:bookmarkStart w:id="5" w:name="_bookmark84"/>
      <w:bookmarkEnd w:id="5"/>
      <w:bookmarkStart w:id="6" w:name="1._评标方法"/>
      <w:bookmarkEnd w:id="6"/>
      <w:r>
        <w:rPr>
          <w:rFonts w:hint="eastAsia" w:cs="宋体"/>
          <w:spacing w:val="-2"/>
          <w:sz w:val="24"/>
          <w:szCs w:val="24"/>
          <w:lang w:val="en-US" w:eastAsia="zh-CN"/>
        </w:rPr>
        <w:t>1.</w:t>
      </w:r>
      <w:r>
        <w:rPr>
          <w:rFonts w:hint="eastAsia" w:ascii="宋体" w:hAnsi="宋体" w:eastAsia="宋体" w:cs="宋体"/>
          <w:spacing w:val="-2"/>
          <w:sz w:val="24"/>
          <w:szCs w:val="24"/>
        </w:rPr>
        <w:t>评标方法</w:t>
      </w:r>
    </w:p>
    <w:p>
      <w:pPr>
        <w:pStyle w:val="7"/>
        <w:keepNext w:val="0"/>
        <w:keepLines w:val="0"/>
        <w:pageBreakBefore w:val="0"/>
        <w:widowControl w:val="0"/>
        <w:kinsoku/>
        <w:wordWrap/>
        <w:overflowPunct/>
        <w:topLinePunct w:val="0"/>
        <w:autoSpaceDE w:val="0"/>
        <w:autoSpaceDN w:val="0"/>
        <w:bidi w:val="0"/>
        <w:adjustRightInd/>
        <w:snapToGrid/>
        <w:spacing w:line="360" w:lineRule="exact"/>
        <w:ind w:right="10" w:firstLine="480" w:firstLineChars="200"/>
        <w:jc w:val="left"/>
        <w:textAlignment w:val="auto"/>
        <w:rPr>
          <w:rFonts w:hint="eastAsia" w:ascii="宋体" w:hAnsi="宋体" w:eastAsia="宋体" w:cs="宋体"/>
        </w:rPr>
      </w:pPr>
      <w:r>
        <w:rPr>
          <w:rFonts w:hint="eastAsia" w:ascii="宋体" w:hAnsi="宋体" w:eastAsia="宋体" w:cs="宋体"/>
        </w:rPr>
        <w:t>本次评标采用综合评估法。评标委员会对满足招标文件实质性要求的投标文件，按照本章第 2.2 款规定的评分标准进行打分，并按得分由高到低顺序推荐中标候选人， 但投标报价低于其成本的除外。综合评分相等时，评标委员会应按照评标办法前附表规定的优先次序推荐中标候选人。</w:t>
      </w:r>
    </w:p>
    <w:p>
      <w:pPr>
        <w:pStyle w:val="5"/>
        <w:keepNext w:val="0"/>
        <w:keepLines w:val="0"/>
        <w:pageBreakBefore w:val="0"/>
        <w:widowControl w:val="0"/>
        <w:numPr>
          <w:ilvl w:val="0"/>
          <w:numId w:val="1"/>
        </w:numPr>
        <w:tabs>
          <w:tab w:val="left" w:pos="652"/>
        </w:tabs>
        <w:kinsoku/>
        <w:wordWrap/>
        <w:overflowPunct/>
        <w:topLinePunct w:val="0"/>
        <w:autoSpaceDE w:val="0"/>
        <w:autoSpaceDN w:val="0"/>
        <w:bidi w:val="0"/>
        <w:adjustRightInd/>
        <w:snapToGrid/>
        <w:spacing w:line="360" w:lineRule="exact"/>
        <w:ind w:left="421" w:leftChars="0" w:hanging="421" w:firstLineChars="0"/>
        <w:jc w:val="left"/>
        <w:textAlignment w:val="auto"/>
        <w:rPr>
          <w:rFonts w:hint="eastAsia" w:ascii="宋体" w:hAnsi="宋体" w:eastAsia="宋体" w:cs="宋体"/>
          <w:sz w:val="24"/>
          <w:szCs w:val="24"/>
        </w:rPr>
      </w:pPr>
      <w:bookmarkStart w:id="7" w:name="_bookmark85"/>
      <w:bookmarkEnd w:id="7"/>
      <w:bookmarkStart w:id="8" w:name="2._评审标准"/>
      <w:bookmarkEnd w:id="8"/>
      <w:r>
        <w:rPr>
          <w:rFonts w:hint="eastAsia" w:ascii="宋体" w:hAnsi="宋体" w:eastAsia="宋体" w:cs="宋体"/>
          <w:spacing w:val="-2"/>
          <w:sz w:val="24"/>
          <w:szCs w:val="24"/>
        </w:rPr>
        <w:t>评审标准</w:t>
      </w:r>
    </w:p>
    <w:p>
      <w:pPr>
        <w:pStyle w:val="17"/>
        <w:keepNext w:val="0"/>
        <w:keepLines w:val="0"/>
        <w:pageBreakBefore w:val="0"/>
        <w:widowControl w:val="0"/>
        <w:numPr>
          <w:ilvl w:val="1"/>
          <w:numId w:val="1"/>
        </w:numPr>
        <w:tabs>
          <w:tab w:val="left" w:pos="712"/>
        </w:tabs>
        <w:kinsoku/>
        <w:wordWrap/>
        <w:overflowPunct/>
        <w:topLinePunct w:val="0"/>
        <w:autoSpaceDE w:val="0"/>
        <w:autoSpaceDN w:val="0"/>
        <w:bidi w:val="0"/>
        <w:adjustRightInd/>
        <w:snapToGrid/>
        <w:spacing w:line="360" w:lineRule="exact"/>
        <w:ind w:left="481" w:leftChars="0" w:hanging="481" w:firstLineChars="0"/>
        <w:textAlignment w:val="auto"/>
        <w:rPr>
          <w:rFonts w:hint="eastAsia" w:ascii="宋体" w:hAnsi="宋体" w:eastAsia="宋体" w:cs="宋体"/>
          <w:sz w:val="24"/>
          <w:szCs w:val="24"/>
        </w:rPr>
      </w:pPr>
      <w:bookmarkStart w:id="9" w:name="2.1_初步评审标准"/>
      <w:bookmarkEnd w:id="9"/>
      <w:bookmarkStart w:id="10" w:name="_bookmark86"/>
      <w:bookmarkEnd w:id="10"/>
      <w:r>
        <w:rPr>
          <w:rFonts w:hint="eastAsia" w:ascii="宋体" w:hAnsi="宋体" w:eastAsia="宋体" w:cs="宋体"/>
          <w:sz w:val="24"/>
          <w:szCs w:val="24"/>
        </w:rPr>
        <w:t>初步评审标准</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201" w:leftChars="0" w:hanging="721" w:firstLineChars="0"/>
        <w:textAlignment w:val="auto"/>
        <w:rPr>
          <w:rFonts w:hint="eastAsia" w:ascii="宋体" w:hAnsi="宋体" w:eastAsia="宋体" w:cs="宋体"/>
          <w:sz w:val="24"/>
          <w:szCs w:val="24"/>
        </w:rPr>
      </w:pPr>
      <w:r>
        <w:rPr>
          <w:rFonts w:hint="eastAsia" w:ascii="宋体" w:hAnsi="宋体" w:eastAsia="宋体" w:cs="宋体"/>
          <w:sz w:val="24"/>
          <w:szCs w:val="24"/>
        </w:rPr>
        <w:t>形式评审标准：见评标办法前附表。</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201" w:leftChars="0" w:hanging="721" w:firstLineChars="0"/>
        <w:textAlignment w:val="auto"/>
        <w:rPr>
          <w:rFonts w:hint="eastAsia" w:ascii="宋体" w:hAnsi="宋体" w:eastAsia="宋体" w:cs="宋体"/>
          <w:sz w:val="24"/>
          <w:szCs w:val="24"/>
        </w:rPr>
      </w:pPr>
      <w:r>
        <w:rPr>
          <w:rFonts w:hint="eastAsia" w:ascii="宋体" w:hAnsi="宋体" w:eastAsia="宋体" w:cs="宋体"/>
          <w:sz w:val="24"/>
          <w:szCs w:val="24"/>
        </w:rPr>
        <w:t>资格评审标准：见评标办法前附表。</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201" w:leftChars="0" w:hanging="721" w:firstLineChars="0"/>
        <w:textAlignment w:val="auto"/>
        <w:rPr>
          <w:rFonts w:hint="eastAsia" w:ascii="宋体" w:hAnsi="宋体" w:eastAsia="宋体" w:cs="宋体"/>
          <w:sz w:val="24"/>
          <w:szCs w:val="24"/>
        </w:rPr>
      </w:pPr>
      <w:r>
        <w:rPr>
          <w:rFonts w:hint="eastAsia" w:ascii="宋体" w:hAnsi="宋体" w:eastAsia="宋体" w:cs="宋体"/>
          <w:sz w:val="24"/>
          <w:szCs w:val="24"/>
        </w:rPr>
        <w:t>响应性评审标准：见评标办法前附表。</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201" w:leftChars="0" w:hanging="721" w:firstLineChars="0"/>
        <w:textAlignment w:val="auto"/>
        <w:rPr>
          <w:rFonts w:hint="eastAsia" w:ascii="宋体" w:hAnsi="宋体" w:eastAsia="宋体" w:cs="宋体"/>
          <w:sz w:val="24"/>
          <w:szCs w:val="24"/>
        </w:rPr>
      </w:pPr>
      <w:bookmarkStart w:id="11" w:name="2.2_分值构成与评分标准"/>
      <w:bookmarkEnd w:id="11"/>
      <w:bookmarkStart w:id="12" w:name="_bookmark87"/>
      <w:bookmarkEnd w:id="12"/>
      <w:r>
        <w:rPr>
          <w:rFonts w:hint="eastAsia" w:ascii="宋体" w:hAnsi="宋体" w:eastAsia="宋体" w:cs="宋体"/>
          <w:sz w:val="24"/>
          <w:szCs w:val="24"/>
        </w:rPr>
        <w:t>分值构成与评分标准</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201" w:leftChars="0" w:hanging="721" w:firstLineChars="0"/>
        <w:textAlignment w:val="auto"/>
        <w:rPr>
          <w:rFonts w:hint="eastAsia" w:ascii="宋体" w:hAnsi="宋体" w:eastAsia="宋体" w:cs="宋体"/>
          <w:sz w:val="24"/>
          <w:szCs w:val="24"/>
        </w:rPr>
      </w:pPr>
      <w:r>
        <w:rPr>
          <w:rFonts w:hint="eastAsia" w:ascii="宋体" w:hAnsi="宋体" w:eastAsia="宋体" w:cs="宋体"/>
          <w:sz w:val="24"/>
          <w:szCs w:val="24"/>
        </w:rPr>
        <w:t>分值构成</w:t>
      </w:r>
    </w:p>
    <w:p>
      <w:pPr>
        <w:pStyle w:val="17"/>
        <w:keepNext w:val="0"/>
        <w:keepLines w:val="0"/>
        <w:pageBreakBefore w:val="0"/>
        <w:widowControl w:val="0"/>
        <w:numPr>
          <w:ilvl w:val="0"/>
          <w:numId w:val="2"/>
        </w:numPr>
        <w:tabs>
          <w:tab w:val="left" w:pos="1313"/>
        </w:tabs>
        <w:kinsoku/>
        <w:wordWrap/>
        <w:overflowPunct/>
        <w:topLinePunct w:val="0"/>
        <w:autoSpaceDE w:val="0"/>
        <w:autoSpaceDN w:val="0"/>
        <w:bidi w:val="0"/>
        <w:adjustRightInd/>
        <w:snapToGrid/>
        <w:spacing w:line="360" w:lineRule="exact"/>
        <w:ind w:hanging="602"/>
        <w:textAlignment w:val="auto"/>
        <w:rPr>
          <w:rFonts w:hint="eastAsia" w:ascii="宋体" w:hAnsi="宋体" w:eastAsia="宋体" w:cs="宋体"/>
          <w:sz w:val="24"/>
          <w:szCs w:val="24"/>
        </w:rPr>
      </w:pPr>
      <w:r>
        <w:rPr>
          <w:rFonts w:hint="eastAsia" w:ascii="宋体" w:hAnsi="宋体" w:eastAsia="宋体" w:cs="宋体"/>
          <w:sz w:val="24"/>
          <w:szCs w:val="24"/>
        </w:rPr>
        <w:t>技术建议书：见评标办法前附表；</w:t>
      </w:r>
    </w:p>
    <w:p>
      <w:pPr>
        <w:pStyle w:val="17"/>
        <w:keepNext w:val="0"/>
        <w:keepLines w:val="0"/>
        <w:pageBreakBefore w:val="0"/>
        <w:widowControl w:val="0"/>
        <w:numPr>
          <w:ilvl w:val="0"/>
          <w:numId w:val="2"/>
        </w:numPr>
        <w:tabs>
          <w:tab w:val="left" w:pos="1313"/>
        </w:tabs>
        <w:kinsoku/>
        <w:wordWrap/>
        <w:overflowPunct/>
        <w:topLinePunct w:val="0"/>
        <w:autoSpaceDE w:val="0"/>
        <w:autoSpaceDN w:val="0"/>
        <w:bidi w:val="0"/>
        <w:adjustRightInd/>
        <w:snapToGrid/>
        <w:spacing w:line="360" w:lineRule="exact"/>
        <w:ind w:hanging="602"/>
        <w:textAlignment w:val="auto"/>
        <w:rPr>
          <w:rFonts w:hint="eastAsia" w:ascii="宋体" w:hAnsi="宋体" w:eastAsia="宋体" w:cs="宋体"/>
          <w:sz w:val="24"/>
          <w:szCs w:val="24"/>
        </w:rPr>
      </w:pPr>
      <w:r>
        <w:rPr>
          <w:rFonts w:hint="eastAsia" w:ascii="宋体" w:hAnsi="宋体" w:eastAsia="宋体" w:cs="宋体"/>
          <w:sz w:val="24"/>
          <w:szCs w:val="24"/>
        </w:rPr>
        <w:t>主要人员：见评标办法前附表；</w:t>
      </w:r>
    </w:p>
    <w:p>
      <w:pPr>
        <w:pStyle w:val="17"/>
        <w:keepNext w:val="0"/>
        <w:keepLines w:val="0"/>
        <w:pageBreakBefore w:val="0"/>
        <w:widowControl w:val="0"/>
        <w:numPr>
          <w:ilvl w:val="0"/>
          <w:numId w:val="2"/>
        </w:numPr>
        <w:tabs>
          <w:tab w:val="left" w:pos="1313"/>
        </w:tabs>
        <w:kinsoku/>
        <w:wordWrap/>
        <w:overflowPunct/>
        <w:topLinePunct w:val="0"/>
        <w:autoSpaceDE w:val="0"/>
        <w:autoSpaceDN w:val="0"/>
        <w:bidi w:val="0"/>
        <w:adjustRightInd/>
        <w:snapToGrid/>
        <w:spacing w:line="360" w:lineRule="exact"/>
        <w:ind w:hanging="602"/>
        <w:textAlignment w:val="auto"/>
        <w:rPr>
          <w:rFonts w:hint="eastAsia" w:ascii="宋体" w:hAnsi="宋体" w:eastAsia="宋体" w:cs="宋体"/>
          <w:sz w:val="24"/>
          <w:szCs w:val="24"/>
        </w:rPr>
      </w:pPr>
      <w:r>
        <w:rPr>
          <w:rFonts w:hint="eastAsia" w:ascii="宋体" w:hAnsi="宋体" w:eastAsia="宋体" w:cs="宋体"/>
          <w:sz w:val="24"/>
          <w:szCs w:val="24"/>
        </w:rPr>
        <w:t>评标价：见评标办法前附表；</w:t>
      </w:r>
    </w:p>
    <w:p>
      <w:pPr>
        <w:pStyle w:val="17"/>
        <w:keepNext w:val="0"/>
        <w:keepLines w:val="0"/>
        <w:pageBreakBefore w:val="0"/>
        <w:widowControl w:val="0"/>
        <w:numPr>
          <w:ilvl w:val="0"/>
          <w:numId w:val="2"/>
        </w:numPr>
        <w:tabs>
          <w:tab w:val="left" w:pos="1313"/>
        </w:tabs>
        <w:kinsoku/>
        <w:wordWrap/>
        <w:overflowPunct/>
        <w:topLinePunct w:val="0"/>
        <w:autoSpaceDE w:val="0"/>
        <w:autoSpaceDN w:val="0"/>
        <w:bidi w:val="0"/>
        <w:adjustRightInd/>
        <w:snapToGrid/>
        <w:spacing w:line="360" w:lineRule="exact"/>
        <w:ind w:hanging="602"/>
        <w:textAlignment w:val="auto"/>
        <w:rPr>
          <w:rFonts w:hint="eastAsia" w:ascii="宋体" w:hAnsi="宋体" w:eastAsia="宋体" w:cs="宋体"/>
          <w:sz w:val="24"/>
          <w:szCs w:val="24"/>
        </w:rPr>
      </w:pPr>
      <w:r>
        <w:rPr>
          <w:rFonts w:hint="eastAsia" w:ascii="宋体" w:hAnsi="宋体" w:eastAsia="宋体" w:cs="宋体"/>
          <w:sz w:val="24"/>
          <w:szCs w:val="24"/>
        </w:rPr>
        <w:t>其他评分因素：见评标办法前附表。</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201" w:leftChars="0" w:hanging="721" w:firstLineChars="0"/>
        <w:textAlignment w:val="auto"/>
        <w:rPr>
          <w:rFonts w:hint="eastAsia" w:ascii="宋体" w:hAnsi="宋体" w:eastAsia="宋体" w:cs="宋体"/>
          <w:sz w:val="24"/>
          <w:szCs w:val="24"/>
        </w:rPr>
      </w:pPr>
      <w:r>
        <w:rPr>
          <w:rFonts w:hint="eastAsia" w:ascii="宋体" w:hAnsi="宋体" w:eastAsia="宋体" w:cs="宋体"/>
          <w:sz w:val="24"/>
          <w:szCs w:val="24"/>
        </w:rPr>
        <w:t>评标基准价计算</w:t>
      </w:r>
    </w:p>
    <w:p>
      <w:pPr>
        <w:pStyle w:val="7"/>
        <w:keepNext w:val="0"/>
        <w:keepLines w:val="0"/>
        <w:pageBreakBefore w:val="0"/>
        <w:widowControl w:val="0"/>
        <w:kinsoku/>
        <w:wordWrap/>
        <w:overflowPunct/>
        <w:topLinePunct w:val="0"/>
        <w:autoSpaceDE w:val="0"/>
        <w:autoSpaceDN w:val="0"/>
        <w:bidi w:val="0"/>
        <w:adjustRightInd/>
        <w:snapToGrid/>
        <w:spacing w:line="360" w:lineRule="exact"/>
        <w:ind w:left="711"/>
        <w:textAlignment w:val="auto"/>
        <w:rPr>
          <w:rFonts w:hint="eastAsia" w:ascii="宋体" w:hAnsi="宋体" w:eastAsia="宋体" w:cs="宋体"/>
        </w:rPr>
      </w:pPr>
      <w:r>
        <w:rPr>
          <w:rFonts w:hint="eastAsia" w:ascii="宋体" w:hAnsi="宋体" w:eastAsia="宋体" w:cs="宋体"/>
        </w:rPr>
        <w:t>评标基准价计算方法：见评标办法前附表。</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201" w:leftChars="0" w:hanging="721" w:firstLineChars="0"/>
        <w:textAlignment w:val="auto"/>
        <w:rPr>
          <w:rFonts w:hint="eastAsia" w:ascii="宋体" w:hAnsi="宋体" w:eastAsia="宋体" w:cs="宋体"/>
          <w:sz w:val="24"/>
          <w:szCs w:val="24"/>
        </w:rPr>
      </w:pPr>
      <w:r>
        <w:rPr>
          <w:rFonts w:hint="eastAsia" w:ascii="宋体" w:hAnsi="宋体" w:eastAsia="宋体" w:cs="宋体"/>
          <w:sz w:val="24"/>
          <w:szCs w:val="24"/>
        </w:rPr>
        <w:t>评标价的偏差率计算</w:t>
      </w:r>
    </w:p>
    <w:p>
      <w:pPr>
        <w:pStyle w:val="7"/>
        <w:keepNext w:val="0"/>
        <w:keepLines w:val="0"/>
        <w:pageBreakBefore w:val="0"/>
        <w:widowControl w:val="0"/>
        <w:kinsoku/>
        <w:wordWrap/>
        <w:overflowPunct/>
        <w:topLinePunct w:val="0"/>
        <w:autoSpaceDE w:val="0"/>
        <w:autoSpaceDN w:val="0"/>
        <w:bidi w:val="0"/>
        <w:adjustRightInd/>
        <w:snapToGrid/>
        <w:spacing w:line="360" w:lineRule="exact"/>
        <w:ind w:left="711"/>
        <w:textAlignment w:val="auto"/>
        <w:rPr>
          <w:rFonts w:hint="eastAsia" w:ascii="宋体" w:hAnsi="宋体" w:eastAsia="宋体" w:cs="宋体"/>
        </w:rPr>
      </w:pPr>
      <w:r>
        <w:rPr>
          <w:rFonts w:hint="eastAsia" w:ascii="宋体" w:hAnsi="宋体" w:eastAsia="宋体" w:cs="宋体"/>
        </w:rPr>
        <w:t>评标价的偏差率计算公式：见评标办法前附表。</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201" w:leftChars="0" w:hanging="721" w:firstLineChars="0"/>
        <w:textAlignment w:val="auto"/>
        <w:rPr>
          <w:rFonts w:hint="eastAsia" w:ascii="宋体" w:hAnsi="宋体" w:eastAsia="宋体" w:cs="宋体"/>
          <w:sz w:val="24"/>
          <w:szCs w:val="24"/>
        </w:rPr>
      </w:pPr>
      <w:r>
        <w:rPr>
          <w:rFonts w:hint="eastAsia" w:ascii="宋体" w:hAnsi="宋体" w:eastAsia="宋体" w:cs="宋体"/>
          <w:sz w:val="24"/>
          <w:szCs w:val="24"/>
        </w:rPr>
        <w:t>评分标准</w:t>
      </w:r>
    </w:p>
    <w:p>
      <w:pPr>
        <w:pStyle w:val="17"/>
        <w:keepNext w:val="0"/>
        <w:keepLines w:val="0"/>
        <w:pageBreakBefore w:val="0"/>
        <w:widowControl w:val="0"/>
        <w:numPr>
          <w:ilvl w:val="0"/>
          <w:numId w:val="3"/>
        </w:numPr>
        <w:tabs>
          <w:tab w:val="left" w:pos="1313"/>
        </w:tabs>
        <w:kinsoku/>
        <w:wordWrap/>
        <w:overflowPunct/>
        <w:topLinePunct w:val="0"/>
        <w:autoSpaceDE w:val="0"/>
        <w:autoSpaceDN w:val="0"/>
        <w:bidi w:val="0"/>
        <w:adjustRightInd/>
        <w:snapToGrid/>
        <w:spacing w:line="360" w:lineRule="exact"/>
        <w:ind w:hanging="602"/>
        <w:textAlignment w:val="auto"/>
        <w:rPr>
          <w:rFonts w:hint="eastAsia" w:ascii="宋体" w:hAnsi="宋体" w:eastAsia="宋体" w:cs="宋体"/>
          <w:sz w:val="24"/>
          <w:szCs w:val="24"/>
        </w:rPr>
      </w:pPr>
      <w:r>
        <w:rPr>
          <w:rFonts w:hint="eastAsia" w:ascii="宋体" w:hAnsi="宋体" w:eastAsia="宋体" w:cs="宋体"/>
          <w:sz w:val="24"/>
          <w:szCs w:val="24"/>
        </w:rPr>
        <w:t>技术建议书评分标准：见评标办法前附表；</w:t>
      </w:r>
    </w:p>
    <w:p>
      <w:pPr>
        <w:pStyle w:val="17"/>
        <w:keepNext w:val="0"/>
        <w:keepLines w:val="0"/>
        <w:pageBreakBefore w:val="0"/>
        <w:widowControl w:val="0"/>
        <w:numPr>
          <w:ilvl w:val="0"/>
          <w:numId w:val="3"/>
        </w:numPr>
        <w:tabs>
          <w:tab w:val="left" w:pos="1313"/>
        </w:tabs>
        <w:kinsoku/>
        <w:wordWrap/>
        <w:overflowPunct/>
        <w:topLinePunct w:val="0"/>
        <w:autoSpaceDE w:val="0"/>
        <w:autoSpaceDN w:val="0"/>
        <w:bidi w:val="0"/>
        <w:adjustRightInd/>
        <w:snapToGrid/>
        <w:spacing w:line="360" w:lineRule="exact"/>
        <w:ind w:hanging="602"/>
        <w:textAlignment w:val="auto"/>
        <w:rPr>
          <w:rFonts w:hint="eastAsia" w:ascii="宋体" w:hAnsi="宋体" w:eastAsia="宋体" w:cs="宋体"/>
          <w:sz w:val="24"/>
          <w:szCs w:val="24"/>
        </w:rPr>
      </w:pPr>
      <w:r>
        <w:rPr>
          <w:rFonts w:hint="eastAsia" w:ascii="宋体" w:hAnsi="宋体" w:eastAsia="宋体" w:cs="宋体"/>
          <w:sz w:val="24"/>
          <w:szCs w:val="24"/>
        </w:rPr>
        <w:t>主要人员评分标准：见评标办法前附表；</w:t>
      </w:r>
    </w:p>
    <w:p>
      <w:pPr>
        <w:pStyle w:val="17"/>
        <w:keepNext w:val="0"/>
        <w:keepLines w:val="0"/>
        <w:pageBreakBefore w:val="0"/>
        <w:widowControl w:val="0"/>
        <w:numPr>
          <w:ilvl w:val="0"/>
          <w:numId w:val="3"/>
        </w:numPr>
        <w:tabs>
          <w:tab w:val="left" w:pos="1313"/>
        </w:tabs>
        <w:kinsoku/>
        <w:wordWrap/>
        <w:overflowPunct/>
        <w:topLinePunct w:val="0"/>
        <w:autoSpaceDE w:val="0"/>
        <w:autoSpaceDN w:val="0"/>
        <w:bidi w:val="0"/>
        <w:adjustRightInd/>
        <w:snapToGrid/>
        <w:spacing w:line="360" w:lineRule="exact"/>
        <w:ind w:hanging="602"/>
        <w:textAlignment w:val="auto"/>
        <w:rPr>
          <w:rFonts w:hint="eastAsia" w:ascii="宋体" w:hAnsi="宋体" w:eastAsia="宋体" w:cs="宋体"/>
          <w:sz w:val="24"/>
          <w:szCs w:val="24"/>
        </w:rPr>
      </w:pPr>
      <w:r>
        <w:rPr>
          <w:rFonts w:hint="eastAsia" w:ascii="宋体" w:hAnsi="宋体" w:eastAsia="宋体" w:cs="宋体"/>
          <w:sz w:val="24"/>
          <w:szCs w:val="24"/>
        </w:rPr>
        <w:t>评标价评分标准：见评标办法前附表；</w:t>
      </w:r>
    </w:p>
    <w:p>
      <w:pPr>
        <w:pStyle w:val="17"/>
        <w:keepNext w:val="0"/>
        <w:keepLines w:val="0"/>
        <w:pageBreakBefore w:val="0"/>
        <w:widowControl w:val="0"/>
        <w:numPr>
          <w:ilvl w:val="0"/>
          <w:numId w:val="3"/>
        </w:numPr>
        <w:tabs>
          <w:tab w:val="left" w:pos="1313"/>
        </w:tabs>
        <w:kinsoku/>
        <w:wordWrap/>
        <w:overflowPunct/>
        <w:topLinePunct w:val="0"/>
        <w:autoSpaceDE w:val="0"/>
        <w:autoSpaceDN w:val="0"/>
        <w:bidi w:val="0"/>
        <w:adjustRightInd/>
        <w:snapToGrid/>
        <w:spacing w:line="360" w:lineRule="exact"/>
        <w:ind w:hanging="602"/>
        <w:textAlignment w:val="auto"/>
        <w:rPr>
          <w:rFonts w:hint="eastAsia" w:ascii="宋体" w:hAnsi="宋体" w:eastAsia="宋体" w:cs="宋体"/>
          <w:sz w:val="24"/>
          <w:szCs w:val="24"/>
        </w:rPr>
      </w:pPr>
      <w:r>
        <w:rPr>
          <w:rFonts w:hint="eastAsia" w:ascii="宋体" w:hAnsi="宋体" w:eastAsia="宋体" w:cs="宋体"/>
          <w:sz w:val="24"/>
          <w:szCs w:val="24"/>
        </w:rPr>
        <w:t>其他因素评分标准：见评标办法前附表。</w:t>
      </w:r>
    </w:p>
    <w:p>
      <w:pPr>
        <w:pStyle w:val="5"/>
        <w:keepNext w:val="0"/>
        <w:keepLines w:val="0"/>
        <w:pageBreakBefore w:val="0"/>
        <w:widowControl w:val="0"/>
        <w:numPr>
          <w:ilvl w:val="0"/>
          <w:numId w:val="1"/>
        </w:numPr>
        <w:tabs>
          <w:tab w:val="left" w:pos="652"/>
        </w:tabs>
        <w:kinsoku/>
        <w:wordWrap/>
        <w:overflowPunct/>
        <w:topLinePunct w:val="0"/>
        <w:autoSpaceDE w:val="0"/>
        <w:autoSpaceDN w:val="0"/>
        <w:bidi w:val="0"/>
        <w:adjustRightInd/>
        <w:snapToGrid/>
        <w:spacing w:line="360" w:lineRule="exact"/>
        <w:ind w:left="421" w:leftChars="0" w:hanging="421" w:firstLineChars="0"/>
        <w:jc w:val="left"/>
        <w:textAlignment w:val="auto"/>
        <w:rPr>
          <w:rFonts w:hint="eastAsia" w:ascii="宋体" w:hAnsi="宋体" w:eastAsia="宋体" w:cs="宋体"/>
          <w:sz w:val="24"/>
          <w:szCs w:val="24"/>
        </w:rPr>
      </w:pPr>
      <w:bookmarkStart w:id="13" w:name="3._评标程序"/>
      <w:bookmarkEnd w:id="13"/>
      <w:bookmarkStart w:id="14" w:name="_bookmark88"/>
      <w:bookmarkEnd w:id="14"/>
      <w:r>
        <w:rPr>
          <w:rFonts w:hint="eastAsia" w:ascii="宋体" w:hAnsi="宋体" w:eastAsia="宋体" w:cs="宋体"/>
          <w:spacing w:val="-2"/>
          <w:sz w:val="24"/>
          <w:szCs w:val="24"/>
        </w:rPr>
        <w:t>评标程序</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 w:leftChars="0" w:right="10" w:firstLine="480" w:firstLineChars="0"/>
        <w:textAlignment w:val="auto"/>
        <w:rPr>
          <w:rFonts w:hint="eastAsia" w:ascii="宋体" w:hAnsi="宋体" w:eastAsia="宋体" w:cs="宋体"/>
          <w:sz w:val="24"/>
          <w:szCs w:val="24"/>
        </w:rPr>
      </w:pPr>
      <w:bookmarkStart w:id="15" w:name="_bookmark89"/>
      <w:bookmarkEnd w:id="15"/>
      <w:bookmarkStart w:id="16" w:name="3.1_第一个信封初步评审"/>
      <w:bookmarkEnd w:id="16"/>
      <w:r>
        <w:rPr>
          <w:rFonts w:hint="eastAsia" w:ascii="宋体" w:hAnsi="宋体" w:eastAsia="宋体" w:cs="宋体"/>
          <w:sz w:val="24"/>
          <w:szCs w:val="24"/>
        </w:rPr>
        <w:t>第一个信封初步评审</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 w:leftChars="0" w:right="1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评标委员会可以要求投标人提交第二章“投标人须知”第 3.5.1 项至第3.5.5 项规定的有关证明和证件的原件，以便核验。评标委员会依据本章第 2.1 款规定的标准对投标文件第一个信封（商务及技术文件）进行初步评审。有一项不符合评审标准的，评标委员会应否决其投标。</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 w:leftChars="0" w:right="10" w:firstLine="480" w:firstLineChars="0"/>
        <w:textAlignment w:val="auto"/>
        <w:rPr>
          <w:rFonts w:hint="eastAsia" w:ascii="宋体" w:hAnsi="宋体" w:eastAsia="宋体" w:cs="宋体"/>
          <w:sz w:val="24"/>
          <w:szCs w:val="24"/>
        </w:rPr>
      </w:pPr>
      <w:bookmarkStart w:id="17" w:name="_bookmark90"/>
      <w:bookmarkEnd w:id="17"/>
      <w:bookmarkStart w:id="18" w:name="3.2_第一个信封详细评审"/>
      <w:bookmarkEnd w:id="18"/>
      <w:r>
        <w:rPr>
          <w:rFonts w:hint="eastAsia" w:ascii="宋体" w:hAnsi="宋体" w:eastAsia="宋体" w:cs="宋体"/>
          <w:sz w:val="24"/>
          <w:szCs w:val="24"/>
        </w:rPr>
        <w:t>第一个信封详细评审</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 w:leftChars="0" w:right="1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评标委员会按本章第 2.2 款规定的量化因素和分值进行打分，并计算出各投标人的商务和技术得分。</w:t>
      </w:r>
    </w:p>
    <w:p>
      <w:pPr>
        <w:pStyle w:val="17"/>
        <w:keepNext w:val="0"/>
        <w:keepLines w:val="0"/>
        <w:pageBreakBefore w:val="0"/>
        <w:widowControl w:val="0"/>
        <w:numPr>
          <w:ilvl w:val="0"/>
          <w:numId w:val="4"/>
        </w:numPr>
        <w:tabs>
          <w:tab w:val="left" w:pos="1313"/>
        </w:tabs>
        <w:kinsoku/>
        <w:wordWrap/>
        <w:overflowPunct/>
        <w:topLinePunct w:val="0"/>
        <w:autoSpaceDE w:val="0"/>
        <w:autoSpaceDN w:val="0"/>
        <w:bidi w:val="0"/>
        <w:adjustRightInd/>
        <w:snapToGrid/>
        <w:spacing w:line="360" w:lineRule="exact"/>
        <w:ind w:right="10" w:firstLine="480"/>
        <w:textAlignment w:val="auto"/>
        <w:rPr>
          <w:rFonts w:hint="eastAsia" w:ascii="宋体" w:hAnsi="宋体" w:eastAsia="宋体" w:cs="宋体"/>
          <w:sz w:val="24"/>
          <w:szCs w:val="24"/>
        </w:rPr>
      </w:pPr>
      <w:r>
        <w:rPr>
          <w:rFonts w:hint="eastAsia" w:ascii="宋体" w:hAnsi="宋体" w:eastAsia="宋体" w:cs="宋体"/>
          <w:sz w:val="24"/>
          <w:szCs w:val="24"/>
        </w:rPr>
        <w:t>按本章第 2.2.4 项（1）目规定的评审因素和分值对技术建议书部分计算出得分</w:t>
      </w:r>
      <w:r>
        <w:rPr>
          <w:rFonts w:hint="eastAsia" w:ascii="宋体" w:hAnsi="宋体" w:eastAsia="宋体" w:cs="宋体"/>
          <w:spacing w:val="-20"/>
          <w:sz w:val="24"/>
          <w:szCs w:val="24"/>
        </w:rPr>
        <w:t xml:space="preserve"> </w:t>
      </w:r>
      <w:r>
        <w:rPr>
          <w:rFonts w:hint="eastAsia" w:ascii="宋体" w:hAnsi="宋体" w:eastAsia="宋体" w:cs="宋体"/>
          <w:sz w:val="24"/>
          <w:szCs w:val="24"/>
        </w:rPr>
        <w:t>A；</w:t>
      </w:r>
    </w:p>
    <w:p>
      <w:pPr>
        <w:pStyle w:val="17"/>
        <w:keepNext w:val="0"/>
        <w:keepLines w:val="0"/>
        <w:pageBreakBefore w:val="0"/>
        <w:widowControl w:val="0"/>
        <w:numPr>
          <w:ilvl w:val="0"/>
          <w:numId w:val="4"/>
        </w:numPr>
        <w:tabs>
          <w:tab w:val="left" w:pos="1313"/>
        </w:tabs>
        <w:kinsoku/>
        <w:wordWrap/>
        <w:overflowPunct/>
        <w:topLinePunct w:val="0"/>
        <w:autoSpaceDE w:val="0"/>
        <w:autoSpaceDN w:val="0"/>
        <w:bidi w:val="0"/>
        <w:adjustRightInd/>
        <w:snapToGrid/>
        <w:spacing w:line="360" w:lineRule="exact"/>
        <w:ind w:right="10" w:firstLine="480"/>
        <w:textAlignment w:val="auto"/>
        <w:rPr>
          <w:rFonts w:hint="eastAsia" w:ascii="宋体" w:hAnsi="宋体" w:eastAsia="宋体" w:cs="宋体"/>
          <w:sz w:val="24"/>
          <w:szCs w:val="24"/>
        </w:rPr>
      </w:pPr>
      <w:r>
        <w:rPr>
          <w:rFonts w:hint="eastAsia" w:ascii="宋体" w:hAnsi="宋体" w:eastAsia="宋体" w:cs="宋体"/>
          <w:sz w:val="24"/>
          <w:szCs w:val="24"/>
        </w:rPr>
        <w:t>按本章第 2.2.4 项（2）目规定的评审因素和分值对主要人员部分计算出得分</w:t>
      </w:r>
      <w:r>
        <w:rPr>
          <w:rFonts w:hint="eastAsia" w:ascii="宋体" w:hAnsi="宋体" w:eastAsia="宋体" w:cs="宋体"/>
          <w:spacing w:val="-30"/>
          <w:sz w:val="24"/>
          <w:szCs w:val="24"/>
        </w:rPr>
        <w:t xml:space="preserve"> </w:t>
      </w:r>
      <w:r>
        <w:rPr>
          <w:rFonts w:hint="eastAsia" w:ascii="宋体" w:hAnsi="宋体" w:eastAsia="宋体" w:cs="宋体"/>
          <w:sz w:val="24"/>
          <w:szCs w:val="24"/>
        </w:rPr>
        <w:t>B；</w:t>
      </w:r>
    </w:p>
    <w:p>
      <w:pPr>
        <w:pStyle w:val="17"/>
        <w:keepNext w:val="0"/>
        <w:keepLines w:val="0"/>
        <w:pageBreakBefore w:val="0"/>
        <w:widowControl w:val="0"/>
        <w:numPr>
          <w:ilvl w:val="0"/>
          <w:numId w:val="4"/>
        </w:numPr>
        <w:tabs>
          <w:tab w:val="left" w:pos="1313"/>
        </w:tabs>
        <w:kinsoku/>
        <w:wordWrap/>
        <w:overflowPunct/>
        <w:topLinePunct w:val="0"/>
        <w:autoSpaceDE w:val="0"/>
        <w:autoSpaceDN w:val="0"/>
        <w:bidi w:val="0"/>
        <w:adjustRightInd/>
        <w:snapToGrid/>
        <w:spacing w:line="360" w:lineRule="exact"/>
        <w:ind w:left="1312" w:right="10" w:hanging="602"/>
        <w:textAlignment w:val="auto"/>
        <w:rPr>
          <w:rFonts w:hint="eastAsia" w:ascii="宋体" w:hAnsi="宋体" w:eastAsia="宋体" w:cs="宋体"/>
          <w:sz w:val="24"/>
          <w:szCs w:val="24"/>
        </w:rPr>
      </w:pPr>
      <w:r>
        <w:rPr>
          <w:rFonts w:hint="eastAsia" w:ascii="宋体" w:hAnsi="宋体" w:eastAsia="宋体" w:cs="宋体"/>
          <w:sz w:val="24"/>
          <w:szCs w:val="24"/>
        </w:rPr>
        <w:t>按本章第 2.2.4 项（3）目规定的评审因素和分值对其他部分计算出得分 D。</w:t>
      </w:r>
    </w:p>
    <w:p>
      <w:pPr>
        <w:pStyle w:val="17"/>
        <w:keepNext w:val="0"/>
        <w:keepLines w:val="0"/>
        <w:pageBreakBefore w:val="0"/>
        <w:widowControl w:val="0"/>
        <w:numPr>
          <w:ilvl w:val="2"/>
          <w:numId w:val="1"/>
        </w:numPr>
        <w:tabs>
          <w:tab w:val="left" w:pos="1439"/>
        </w:tabs>
        <w:kinsoku/>
        <w:wordWrap/>
        <w:overflowPunct/>
        <w:topLinePunct w:val="0"/>
        <w:autoSpaceDE w:val="0"/>
        <w:autoSpaceDN w:val="0"/>
        <w:bidi w:val="0"/>
        <w:adjustRightInd/>
        <w:snapToGrid/>
        <w:spacing w:line="360" w:lineRule="exact"/>
        <w:ind w:left="1" w:leftChars="0" w:right="1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投标人的商务和技术得分分值计算保留小数点后两位，小数点后第三位“四舍五入”</w:t>
      </w:r>
      <w:r>
        <w:rPr>
          <w:rFonts w:hint="eastAsia" w:ascii="宋体" w:hAnsi="宋体" w:eastAsia="宋体" w:cs="宋体"/>
          <w:spacing w:val="6"/>
          <w:sz w:val="24"/>
          <w:szCs w:val="24"/>
        </w:rPr>
        <w:t>。</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201" w:leftChars="0" w:hanging="721" w:firstLineChars="0"/>
        <w:textAlignment w:val="auto"/>
        <w:rPr>
          <w:rFonts w:hint="eastAsia" w:ascii="宋体" w:hAnsi="宋体" w:eastAsia="宋体" w:cs="宋体"/>
          <w:sz w:val="24"/>
          <w:szCs w:val="24"/>
        </w:rPr>
      </w:pPr>
      <w:r>
        <w:rPr>
          <w:rFonts w:hint="eastAsia" w:ascii="宋体" w:hAnsi="宋体" w:eastAsia="宋体" w:cs="宋体"/>
          <w:sz w:val="24"/>
          <w:szCs w:val="24"/>
        </w:rPr>
        <w:t>投标人的商务和技术得分=A+B+D。</w:t>
      </w:r>
    </w:p>
    <w:p>
      <w:pPr>
        <w:pStyle w:val="17"/>
        <w:keepNext w:val="0"/>
        <w:keepLines w:val="0"/>
        <w:pageBreakBefore w:val="0"/>
        <w:widowControl w:val="0"/>
        <w:numPr>
          <w:ilvl w:val="1"/>
          <w:numId w:val="1"/>
        </w:numPr>
        <w:tabs>
          <w:tab w:val="left" w:pos="712"/>
        </w:tabs>
        <w:kinsoku/>
        <w:wordWrap/>
        <w:overflowPunct/>
        <w:topLinePunct w:val="0"/>
        <w:autoSpaceDE w:val="0"/>
        <w:autoSpaceDN w:val="0"/>
        <w:bidi w:val="0"/>
        <w:adjustRightInd/>
        <w:snapToGrid/>
        <w:spacing w:line="360" w:lineRule="exact"/>
        <w:ind w:left="481" w:leftChars="0" w:hanging="481" w:firstLineChars="0"/>
        <w:jc w:val="both"/>
        <w:textAlignment w:val="auto"/>
        <w:rPr>
          <w:rFonts w:hint="eastAsia" w:ascii="宋体" w:hAnsi="宋体" w:eastAsia="宋体" w:cs="宋体"/>
          <w:sz w:val="24"/>
          <w:szCs w:val="24"/>
        </w:rPr>
      </w:pPr>
      <w:bookmarkStart w:id="19" w:name="3.3_第二个信封开标"/>
      <w:bookmarkEnd w:id="19"/>
      <w:bookmarkStart w:id="20" w:name="_bookmark91"/>
      <w:bookmarkEnd w:id="20"/>
      <w:r>
        <w:rPr>
          <w:rFonts w:hint="eastAsia" w:ascii="宋体" w:hAnsi="宋体" w:eastAsia="宋体" w:cs="宋体"/>
          <w:sz w:val="24"/>
          <w:szCs w:val="24"/>
        </w:rPr>
        <w:t>第二个信封开标</w:t>
      </w:r>
    </w:p>
    <w:p>
      <w:pPr>
        <w:pStyle w:val="17"/>
        <w:keepNext w:val="0"/>
        <w:keepLines w:val="0"/>
        <w:pageBreakBefore w:val="0"/>
        <w:widowControl w:val="0"/>
        <w:tabs>
          <w:tab w:val="left" w:pos="1432"/>
        </w:tabs>
        <w:kinsoku/>
        <w:wordWrap/>
        <w:overflowPunct/>
        <w:topLinePunct w:val="0"/>
        <w:autoSpaceDE w:val="0"/>
        <w:autoSpaceDN w:val="0"/>
        <w:bidi w:val="0"/>
        <w:adjustRightInd/>
        <w:snapToGrid/>
        <w:spacing w:line="360" w:lineRule="exact"/>
        <w:ind w:left="220" w:right="10" w:firstLineChars="200"/>
        <w:textAlignment w:val="auto"/>
        <w:rPr>
          <w:rFonts w:hint="eastAsia" w:ascii="宋体" w:hAnsi="宋体" w:eastAsia="宋体" w:cs="宋体"/>
          <w:sz w:val="24"/>
          <w:szCs w:val="24"/>
        </w:rPr>
      </w:pPr>
      <w:r>
        <w:rPr>
          <w:rFonts w:hint="eastAsia" w:ascii="宋体" w:hAnsi="宋体" w:eastAsia="宋体" w:cs="宋体"/>
          <w:sz w:val="24"/>
          <w:szCs w:val="24"/>
        </w:rPr>
        <w:t>第一个信封（商务及技术文件）评审结束后，招标人将按照第二章“投标人须知” 第 5.1 款规定的时间和地点对通过投标文件第一个信封（商务及技术文件）评审的投标文件第二个信封（报价文件）进行开标。</w:t>
      </w:r>
    </w:p>
    <w:p>
      <w:pPr>
        <w:pStyle w:val="17"/>
        <w:keepNext w:val="0"/>
        <w:keepLines w:val="0"/>
        <w:pageBreakBefore w:val="0"/>
        <w:widowControl w:val="0"/>
        <w:numPr>
          <w:ilvl w:val="1"/>
          <w:numId w:val="1"/>
        </w:numPr>
        <w:tabs>
          <w:tab w:val="left" w:pos="712"/>
        </w:tabs>
        <w:kinsoku/>
        <w:wordWrap/>
        <w:overflowPunct/>
        <w:topLinePunct w:val="0"/>
        <w:autoSpaceDE w:val="0"/>
        <w:autoSpaceDN w:val="0"/>
        <w:bidi w:val="0"/>
        <w:adjustRightInd/>
        <w:snapToGrid/>
        <w:spacing w:line="360" w:lineRule="exact"/>
        <w:ind w:left="481" w:leftChars="0" w:hanging="481" w:firstLineChars="0"/>
        <w:jc w:val="both"/>
        <w:textAlignment w:val="auto"/>
        <w:rPr>
          <w:rFonts w:hint="eastAsia" w:ascii="宋体" w:hAnsi="宋体" w:eastAsia="宋体" w:cs="宋体"/>
          <w:sz w:val="24"/>
          <w:szCs w:val="24"/>
        </w:rPr>
      </w:pPr>
      <w:bookmarkStart w:id="21" w:name="_bookmark92"/>
      <w:bookmarkEnd w:id="21"/>
      <w:bookmarkStart w:id="22" w:name="3.4_第二个信封初步评审"/>
      <w:bookmarkEnd w:id="22"/>
      <w:r>
        <w:rPr>
          <w:rFonts w:hint="eastAsia" w:ascii="宋体" w:hAnsi="宋体" w:eastAsia="宋体" w:cs="宋体"/>
          <w:sz w:val="24"/>
          <w:szCs w:val="24"/>
        </w:rPr>
        <w:t>第二个信封初步评审</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 w:leftChars="0" w:right="10" w:firstLine="48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评标委员会依据本章第 2.1.1 项、第 2.1.3 项规定的评审标准对投标文件第二个信封（报价文件）进行初步评审。有一项不符合评审标准的，评标委员会应否决其投标。</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 w:leftChars="0" w:right="10" w:firstLine="48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投标报价有算术错误的，评标委员会按以下原则对投标报价进行修正，修正的价格经投标人书面确认后具有约束力。投标人不接受修正价格的，评标委员会应否决其投标。</w:t>
      </w:r>
    </w:p>
    <w:p>
      <w:pPr>
        <w:pStyle w:val="17"/>
        <w:keepNext w:val="0"/>
        <w:keepLines w:val="0"/>
        <w:pageBreakBefore w:val="0"/>
        <w:widowControl w:val="0"/>
        <w:numPr>
          <w:ilvl w:val="0"/>
          <w:numId w:val="5"/>
        </w:numPr>
        <w:tabs>
          <w:tab w:val="left" w:pos="1313"/>
        </w:tabs>
        <w:kinsoku/>
        <w:wordWrap/>
        <w:overflowPunct/>
        <w:topLinePunct w:val="0"/>
        <w:autoSpaceDE w:val="0"/>
        <w:autoSpaceDN w:val="0"/>
        <w:bidi w:val="0"/>
        <w:adjustRightInd/>
        <w:snapToGrid/>
        <w:spacing w:line="360" w:lineRule="exact"/>
        <w:ind w:right="10" w:hanging="602"/>
        <w:textAlignment w:val="auto"/>
        <w:rPr>
          <w:rFonts w:hint="eastAsia" w:ascii="宋体" w:hAnsi="宋体" w:eastAsia="宋体" w:cs="宋体"/>
          <w:sz w:val="24"/>
          <w:szCs w:val="24"/>
        </w:rPr>
      </w:pPr>
      <w:r>
        <w:rPr>
          <w:rFonts w:hint="eastAsia" w:ascii="宋体" w:hAnsi="宋体" w:eastAsia="宋体" w:cs="宋体"/>
          <w:sz w:val="24"/>
          <w:szCs w:val="24"/>
        </w:rPr>
        <w:t>投标文件中的大写金额与小写金额不一致的，以大写金额为准；</w:t>
      </w:r>
    </w:p>
    <w:p>
      <w:pPr>
        <w:pStyle w:val="17"/>
        <w:keepNext w:val="0"/>
        <w:keepLines w:val="0"/>
        <w:pageBreakBefore w:val="0"/>
        <w:widowControl w:val="0"/>
        <w:numPr>
          <w:ilvl w:val="0"/>
          <w:numId w:val="5"/>
        </w:numPr>
        <w:tabs>
          <w:tab w:val="left" w:pos="1313"/>
        </w:tabs>
        <w:kinsoku/>
        <w:wordWrap/>
        <w:overflowPunct/>
        <w:topLinePunct w:val="0"/>
        <w:autoSpaceDE w:val="0"/>
        <w:autoSpaceDN w:val="0"/>
        <w:bidi w:val="0"/>
        <w:adjustRightInd/>
        <w:snapToGrid/>
        <w:spacing w:line="360" w:lineRule="exact"/>
        <w:ind w:left="231" w:right="10" w:firstLine="480"/>
        <w:textAlignment w:val="auto"/>
        <w:rPr>
          <w:rFonts w:hint="eastAsia" w:ascii="宋体" w:hAnsi="宋体" w:eastAsia="宋体" w:cs="宋体"/>
          <w:sz w:val="24"/>
          <w:szCs w:val="24"/>
        </w:rPr>
      </w:pPr>
      <w:r>
        <w:rPr>
          <w:rFonts w:hint="eastAsia" w:ascii="宋体" w:hAnsi="宋体" w:eastAsia="宋体" w:cs="宋体"/>
          <w:sz w:val="24"/>
          <w:szCs w:val="24"/>
        </w:rPr>
        <w:t>总价金额与依据单价计算出的结果不一致的，以单价金额为准修正总价， 但单价金额小数点有明显错误的除外</w:t>
      </w:r>
      <w:r>
        <w:rPr>
          <w:rFonts w:hint="eastAsia" w:ascii="宋体" w:hAnsi="宋体" w:eastAsia="宋体" w:cs="宋体"/>
          <w:spacing w:val="-4"/>
          <w:sz w:val="24"/>
          <w:szCs w:val="24"/>
        </w:rPr>
        <w:t>；</w:t>
      </w:r>
    </w:p>
    <w:p>
      <w:pPr>
        <w:pStyle w:val="17"/>
        <w:keepNext w:val="0"/>
        <w:keepLines w:val="0"/>
        <w:pageBreakBefore w:val="0"/>
        <w:widowControl w:val="0"/>
        <w:numPr>
          <w:ilvl w:val="0"/>
          <w:numId w:val="5"/>
        </w:numPr>
        <w:tabs>
          <w:tab w:val="left" w:pos="1313"/>
        </w:tabs>
        <w:kinsoku/>
        <w:wordWrap/>
        <w:overflowPunct/>
        <w:topLinePunct w:val="0"/>
        <w:autoSpaceDE w:val="0"/>
        <w:autoSpaceDN w:val="0"/>
        <w:bidi w:val="0"/>
        <w:adjustRightInd/>
        <w:snapToGrid/>
        <w:spacing w:line="360" w:lineRule="exact"/>
        <w:ind w:left="231" w:right="10" w:firstLine="480"/>
        <w:textAlignment w:val="auto"/>
        <w:rPr>
          <w:rFonts w:hint="eastAsia" w:ascii="宋体" w:hAnsi="宋体" w:eastAsia="宋体" w:cs="宋体"/>
          <w:sz w:val="24"/>
          <w:szCs w:val="24"/>
        </w:rPr>
      </w:pPr>
      <w:r>
        <w:rPr>
          <w:rFonts w:hint="eastAsia" w:ascii="宋体" w:hAnsi="宋体" w:eastAsia="宋体" w:cs="宋体"/>
          <w:sz w:val="24"/>
          <w:szCs w:val="24"/>
        </w:rPr>
        <w:t>当单价与数量相乘不等于合价时，以单价计算为准，如果单价有明显的小数点位置差错，应以标出的合价为准，同时对单价予以修正</w:t>
      </w:r>
      <w:r>
        <w:rPr>
          <w:rFonts w:hint="eastAsia" w:ascii="宋体" w:hAnsi="宋体" w:eastAsia="宋体" w:cs="宋体"/>
          <w:spacing w:val="-4"/>
          <w:sz w:val="24"/>
          <w:szCs w:val="24"/>
        </w:rPr>
        <w:t>；</w:t>
      </w:r>
    </w:p>
    <w:p>
      <w:pPr>
        <w:pStyle w:val="17"/>
        <w:keepNext w:val="0"/>
        <w:keepLines w:val="0"/>
        <w:pageBreakBefore w:val="0"/>
        <w:widowControl w:val="0"/>
        <w:numPr>
          <w:ilvl w:val="0"/>
          <w:numId w:val="5"/>
        </w:numPr>
        <w:tabs>
          <w:tab w:val="left" w:pos="1313"/>
        </w:tabs>
        <w:kinsoku/>
        <w:wordWrap/>
        <w:overflowPunct/>
        <w:topLinePunct w:val="0"/>
        <w:autoSpaceDE w:val="0"/>
        <w:autoSpaceDN w:val="0"/>
        <w:bidi w:val="0"/>
        <w:adjustRightInd/>
        <w:snapToGrid/>
        <w:spacing w:line="360" w:lineRule="exact"/>
        <w:ind w:right="10" w:hanging="602"/>
        <w:textAlignment w:val="auto"/>
        <w:rPr>
          <w:rFonts w:hint="eastAsia" w:ascii="宋体" w:hAnsi="宋体" w:eastAsia="宋体" w:cs="宋体"/>
          <w:sz w:val="24"/>
          <w:szCs w:val="24"/>
        </w:rPr>
      </w:pPr>
      <w:r>
        <w:rPr>
          <w:rFonts w:hint="eastAsia" w:ascii="宋体" w:hAnsi="宋体" w:eastAsia="宋体" w:cs="宋体"/>
          <w:sz w:val="24"/>
          <w:szCs w:val="24"/>
        </w:rPr>
        <w:t>当各子目的合价累计不等于总价时，应以各子目合价累计数为准，修正总价</w:t>
      </w:r>
      <w:r>
        <w:rPr>
          <w:rFonts w:hint="eastAsia" w:ascii="宋体" w:hAnsi="宋体" w:eastAsia="宋体" w:cs="宋体"/>
          <w:spacing w:val="-8"/>
          <w:sz w:val="24"/>
          <w:szCs w:val="24"/>
        </w:rPr>
        <w:t>。</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 w:leftChars="0" w:right="1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修正后的最终投标报价若超过最高投标限价（如有），评标委员会应否决其投标。</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 w:leftChars="0" w:right="1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修正后的最终投标报价仅作为签订合同的一个依据，不参与评标价得分的计算。</w:t>
      </w:r>
    </w:p>
    <w:p>
      <w:pPr>
        <w:pStyle w:val="17"/>
        <w:keepNext w:val="0"/>
        <w:keepLines w:val="0"/>
        <w:pageBreakBefore w:val="0"/>
        <w:widowControl w:val="0"/>
        <w:numPr>
          <w:ilvl w:val="1"/>
          <w:numId w:val="1"/>
        </w:numPr>
        <w:tabs>
          <w:tab w:val="left" w:pos="712"/>
        </w:tabs>
        <w:kinsoku/>
        <w:wordWrap/>
        <w:overflowPunct/>
        <w:topLinePunct w:val="0"/>
        <w:autoSpaceDE w:val="0"/>
        <w:autoSpaceDN w:val="0"/>
        <w:bidi w:val="0"/>
        <w:adjustRightInd/>
        <w:snapToGrid/>
        <w:spacing w:line="360" w:lineRule="exact"/>
        <w:ind w:left="481" w:leftChars="0" w:right="10" w:hanging="481" w:firstLineChars="0"/>
        <w:textAlignment w:val="auto"/>
        <w:rPr>
          <w:rFonts w:hint="eastAsia" w:ascii="宋体" w:hAnsi="宋体" w:eastAsia="宋体" w:cs="宋体"/>
          <w:sz w:val="24"/>
          <w:szCs w:val="24"/>
        </w:rPr>
      </w:pPr>
      <w:bookmarkStart w:id="23" w:name="3.5_第二个信封详细评审"/>
      <w:bookmarkEnd w:id="23"/>
      <w:bookmarkStart w:id="24" w:name="_bookmark93"/>
      <w:bookmarkEnd w:id="24"/>
      <w:r>
        <w:rPr>
          <w:rFonts w:hint="eastAsia" w:ascii="宋体" w:hAnsi="宋体" w:eastAsia="宋体" w:cs="宋体"/>
          <w:sz w:val="24"/>
          <w:szCs w:val="24"/>
        </w:rPr>
        <w:t>第二个信封详细评审</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 w:leftChars="0" w:right="10" w:firstLine="48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评标委员会按本章第 2.2.4 项（3）目规定的评审因素和分值对评标价计算出得分 C。评标价得分分值计算保留小数点后两位，小数点后第三位“四舍五入”。</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201" w:leftChars="0" w:right="10" w:hanging="721"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投标人综合得分=投标人的商务和技术得分+C。</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 w:leftChars="0" w:right="10" w:firstLine="48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17"/>
        <w:keepNext w:val="0"/>
        <w:keepLines w:val="0"/>
        <w:pageBreakBefore w:val="0"/>
        <w:widowControl w:val="0"/>
        <w:numPr>
          <w:ilvl w:val="1"/>
          <w:numId w:val="1"/>
        </w:numPr>
        <w:tabs>
          <w:tab w:val="left" w:pos="712"/>
        </w:tabs>
        <w:kinsoku/>
        <w:wordWrap/>
        <w:overflowPunct/>
        <w:topLinePunct w:val="0"/>
        <w:autoSpaceDE w:val="0"/>
        <w:autoSpaceDN w:val="0"/>
        <w:bidi w:val="0"/>
        <w:adjustRightInd/>
        <w:snapToGrid/>
        <w:spacing w:line="360" w:lineRule="exact"/>
        <w:ind w:left="481" w:leftChars="0" w:right="10" w:hanging="481" w:firstLineChars="0"/>
        <w:jc w:val="both"/>
        <w:textAlignment w:val="auto"/>
        <w:rPr>
          <w:rFonts w:hint="eastAsia" w:ascii="宋体" w:hAnsi="宋体" w:eastAsia="宋体" w:cs="宋体"/>
          <w:sz w:val="24"/>
          <w:szCs w:val="24"/>
        </w:rPr>
      </w:pPr>
      <w:bookmarkStart w:id="25" w:name="_bookmark94"/>
      <w:bookmarkEnd w:id="25"/>
      <w:bookmarkStart w:id="26" w:name="3.6_投标文件相关信息的核查"/>
      <w:bookmarkEnd w:id="26"/>
      <w:r>
        <w:rPr>
          <w:rFonts w:hint="eastAsia" w:ascii="宋体" w:hAnsi="宋体" w:eastAsia="宋体" w:cs="宋体"/>
          <w:sz w:val="24"/>
          <w:szCs w:val="24"/>
        </w:rPr>
        <w:t>投标文件相关信息的核查</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 w:leftChars="0" w:right="10" w:firstLine="48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6"/>
        <w:keepNext w:val="0"/>
        <w:keepLines w:val="0"/>
        <w:pageBreakBefore w:val="0"/>
        <w:widowControl w:val="0"/>
        <w:numPr>
          <w:ilvl w:val="0"/>
          <w:numId w:val="6"/>
        </w:numPr>
        <w:tabs>
          <w:tab w:val="left" w:pos="1313"/>
        </w:tabs>
        <w:kinsoku/>
        <w:wordWrap/>
        <w:overflowPunct/>
        <w:topLinePunct w:val="0"/>
        <w:autoSpaceDE w:val="0"/>
        <w:autoSpaceDN w:val="0"/>
        <w:bidi w:val="0"/>
        <w:adjustRightInd/>
        <w:snapToGrid/>
        <w:spacing w:line="360" w:lineRule="exact"/>
        <w:ind w:right="10" w:hanging="602"/>
        <w:textAlignment w:val="auto"/>
        <w:rPr>
          <w:rFonts w:hint="eastAsia" w:ascii="宋体" w:hAnsi="宋体" w:eastAsia="宋体" w:cs="宋体"/>
        </w:rPr>
      </w:pPr>
      <w:r>
        <w:rPr>
          <w:rFonts w:hint="eastAsia" w:ascii="宋体" w:hAnsi="宋体" w:eastAsia="宋体" w:cs="宋体"/>
        </w:rPr>
        <w:t>有下列情形之一的，视为投标人相互串通投标：</w:t>
      </w:r>
    </w:p>
    <w:p>
      <w:pPr>
        <w:pStyle w:val="17"/>
        <w:keepNext w:val="0"/>
        <w:keepLines w:val="0"/>
        <w:pageBreakBefore w:val="0"/>
        <w:widowControl w:val="0"/>
        <w:numPr>
          <w:ilvl w:val="0"/>
          <w:numId w:val="7"/>
        </w:numPr>
        <w:tabs>
          <w:tab w:val="left" w:pos="1072"/>
        </w:tabs>
        <w:kinsoku/>
        <w:wordWrap/>
        <w:overflowPunct/>
        <w:topLinePunct w:val="0"/>
        <w:autoSpaceDE w:val="0"/>
        <w:autoSpaceDN w:val="0"/>
        <w:bidi w:val="0"/>
        <w:adjustRightInd/>
        <w:snapToGrid/>
        <w:spacing w:line="360" w:lineRule="exact"/>
        <w:ind w:right="10" w:hanging="361"/>
        <w:textAlignment w:val="auto"/>
        <w:rPr>
          <w:rFonts w:hint="eastAsia" w:ascii="宋体" w:hAnsi="宋体" w:eastAsia="宋体" w:cs="宋体"/>
          <w:sz w:val="24"/>
          <w:szCs w:val="24"/>
        </w:rPr>
      </w:pPr>
      <w:r>
        <w:rPr>
          <w:rFonts w:hint="eastAsia" w:ascii="宋体" w:hAnsi="宋体" w:eastAsia="宋体" w:cs="宋体"/>
          <w:sz w:val="24"/>
          <w:szCs w:val="24"/>
        </w:rPr>
        <w:t>不同投标人编制的投标文件存在两处以上相同错误的；</w:t>
      </w:r>
    </w:p>
    <w:p>
      <w:pPr>
        <w:pStyle w:val="17"/>
        <w:keepNext w:val="0"/>
        <w:keepLines w:val="0"/>
        <w:pageBreakBefore w:val="0"/>
        <w:widowControl w:val="0"/>
        <w:numPr>
          <w:ilvl w:val="0"/>
          <w:numId w:val="7"/>
        </w:numPr>
        <w:tabs>
          <w:tab w:val="left" w:pos="1072"/>
        </w:tabs>
        <w:kinsoku/>
        <w:wordWrap/>
        <w:overflowPunct/>
        <w:topLinePunct w:val="0"/>
        <w:autoSpaceDE w:val="0"/>
        <w:autoSpaceDN w:val="0"/>
        <w:bidi w:val="0"/>
        <w:adjustRightInd/>
        <w:snapToGrid/>
        <w:spacing w:line="360" w:lineRule="exact"/>
        <w:ind w:right="10" w:hanging="361"/>
        <w:textAlignment w:val="auto"/>
        <w:rPr>
          <w:rFonts w:hint="eastAsia" w:ascii="宋体" w:hAnsi="宋体" w:eastAsia="宋体" w:cs="宋体"/>
          <w:sz w:val="24"/>
          <w:szCs w:val="24"/>
        </w:rPr>
      </w:pPr>
      <w:r>
        <w:rPr>
          <w:rFonts w:hint="eastAsia" w:ascii="宋体" w:hAnsi="宋体" w:eastAsia="宋体" w:cs="宋体"/>
          <w:sz w:val="24"/>
          <w:szCs w:val="24"/>
        </w:rPr>
        <w:t>不同投标人的投标文件由同一投标人编制或者打印、复印的；</w:t>
      </w:r>
    </w:p>
    <w:p>
      <w:pPr>
        <w:pStyle w:val="17"/>
        <w:keepNext w:val="0"/>
        <w:keepLines w:val="0"/>
        <w:pageBreakBefore w:val="0"/>
        <w:widowControl w:val="0"/>
        <w:numPr>
          <w:ilvl w:val="0"/>
          <w:numId w:val="7"/>
        </w:numPr>
        <w:tabs>
          <w:tab w:val="left" w:pos="1072"/>
        </w:tabs>
        <w:kinsoku/>
        <w:wordWrap/>
        <w:overflowPunct/>
        <w:topLinePunct w:val="0"/>
        <w:autoSpaceDE w:val="0"/>
        <w:autoSpaceDN w:val="0"/>
        <w:bidi w:val="0"/>
        <w:adjustRightInd/>
        <w:snapToGrid/>
        <w:spacing w:line="360" w:lineRule="exact"/>
        <w:ind w:hanging="361"/>
        <w:jc w:val="both"/>
        <w:textAlignment w:val="auto"/>
        <w:rPr>
          <w:rFonts w:hint="eastAsia" w:ascii="宋体" w:hAnsi="宋体" w:eastAsia="宋体" w:cs="宋体"/>
          <w:sz w:val="24"/>
          <w:szCs w:val="24"/>
        </w:rPr>
      </w:pPr>
      <w:r>
        <w:rPr>
          <w:rFonts w:hint="eastAsia" w:ascii="宋体" w:hAnsi="宋体" w:eastAsia="宋体" w:cs="宋体"/>
          <w:sz w:val="24"/>
          <w:szCs w:val="24"/>
        </w:rPr>
        <w:t>不同投标人的投标文件由同一投标人送达或者分发的；</w:t>
      </w:r>
    </w:p>
    <w:p>
      <w:pPr>
        <w:pStyle w:val="17"/>
        <w:keepNext w:val="0"/>
        <w:keepLines w:val="0"/>
        <w:pageBreakBefore w:val="0"/>
        <w:widowControl w:val="0"/>
        <w:numPr>
          <w:ilvl w:val="0"/>
          <w:numId w:val="7"/>
        </w:numPr>
        <w:tabs>
          <w:tab w:val="left" w:pos="1072"/>
        </w:tabs>
        <w:kinsoku/>
        <w:wordWrap/>
        <w:overflowPunct/>
        <w:topLinePunct w:val="0"/>
        <w:autoSpaceDE w:val="0"/>
        <w:autoSpaceDN w:val="0"/>
        <w:bidi w:val="0"/>
        <w:adjustRightInd/>
        <w:snapToGrid/>
        <w:spacing w:line="360" w:lineRule="exact"/>
        <w:ind w:hanging="361"/>
        <w:jc w:val="both"/>
        <w:textAlignment w:val="auto"/>
        <w:rPr>
          <w:rFonts w:hint="eastAsia" w:ascii="宋体" w:hAnsi="宋体" w:eastAsia="宋体" w:cs="宋体"/>
          <w:sz w:val="24"/>
          <w:szCs w:val="24"/>
        </w:rPr>
      </w:pPr>
      <w:r>
        <w:rPr>
          <w:rFonts w:hint="eastAsia" w:ascii="宋体" w:hAnsi="宋体" w:eastAsia="宋体" w:cs="宋体"/>
          <w:sz w:val="24"/>
          <w:szCs w:val="24"/>
        </w:rPr>
        <w:t>参加投标活动的人员为同一项目其他投标人的在职人员的；</w:t>
      </w:r>
    </w:p>
    <w:p>
      <w:pPr>
        <w:pStyle w:val="17"/>
        <w:keepNext w:val="0"/>
        <w:keepLines w:val="0"/>
        <w:pageBreakBefore w:val="0"/>
        <w:widowControl w:val="0"/>
        <w:numPr>
          <w:ilvl w:val="0"/>
          <w:numId w:val="7"/>
        </w:numPr>
        <w:tabs>
          <w:tab w:val="left" w:pos="1072"/>
        </w:tabs>
        <w:kinsoku/>
        <w:wordWrap/>
        <w:overflowPunct/>
        <w:topLinePunct w:val="0"/>
        <w:autoSpaceDE w:val="0"/>
        <w:autoSpaceDN w:val="0"/>
        <w:bidi w:val="0"/>
        <w:adjustRightInd/>
        <w:snapToGrid/>
        <w:spacing w:line="360" w:lineRule="exact"/>
        <w:ind w:left="231" w:right="10" w:firstLine="480"/>
        <w:jc w:val="both"/>
        <w:textAlignment w:val="auto"/>
        <w:rPr>
          <w:rFonts w:hint="eastAsia" w:ascii="宋体" w:hAnsi="宋体" w:eastAsia="宋体" w:cs="宋体"/>
          <w:sz w:val="24"/>
          <w:szCs w:val="24"/>
        </w:rPr>
      </w:pPr>
      <w:r>
        <w:rPr>
          <w:rFonts w:hint="eastAsia" w:ascii="宋体" w:hAnsi="宋体" w:eastAsia="宋体" w:cs="宋体"/>
          <w:sz w:val="24"/>
          <w:szCs w:val="24"/>
        </w:rPr>
        <w:t>不同投标人的法定代表人或者委托代理人、项目负责人、项目总监等人员有在同一单位缴纳社会保险的；</w:t>
      </w:r>
    </w:p>
    <w:p>
      <w:pPr>
        <w:pStyle w:val="17"/>
        <w:keepNext w:val="0"/>
        <w:keepLines w:val="0"/>
        <w:pageBreakBefore w:val="0"/>
        <w:widowControl w:val="0"/>
        <w:numPr>
          <w:ilvl w:val="0"/>
          <w:numId w:val="7"/>
        </w:numPr>
        <w:tabs>
          <w:tab w:val="left" w:pos="953"/>
        </w:tabs>
        <w:kinsoku/>
        <w:wordWrap/>
        <w:overflowPunct/>
        <w:topLinePunct w:val="0"/>
        <w:autoSpaceDE w:val="0"/>
        <w:autoSpaceDN w:val="0"/>
        <w:bidi w:val="0"/>
        <w:adjustRightInd/>
        <w:snapToGrid/>
        <w:spacing w:line="360" w:lineRule="exact"/>
        <w:ind w:left="231" w:right="10" w:firstLine="480"/>
        <w:jc w:val="both"/>
        <w:textAlignment w:val="auto"/>
        <w:rPr>
          <w:rFonts w:hint="eastAsia" w:ascii="宋体" w:hAnsi="宋体" w:eastAsia="宋体" w:cs="宋体"/>
          <w:sz w:val="24"/>
          <w:szCs w:val="24"/>
        </w:rPr>
      </w:pPr>
      <w:r>
        <w:rPr>
          <w:rFonts w:hint="eastAsia" w:ascii="宋体" w:hAnsi="宋体" w:eastAsia="宋体" w:cs="宋体"/>
          <w:sz w:val="24"/>
          <w:szCs w:val="24"/>
        </w:rPr>
        <w:t>不同投标人的投标保证金由同一自然人、法人、其他组织账户或者同一账户资金缴纳，或者不同投标人的投标保证金从各自的基本账户转出，但所需资金来自同一自然人、法人或者其他组织账户的；</w:t>
      </w:r>
    </w:p>
    <w:p>
      <w:pPr>
        <w:pStyle w:val="7"/>
        <w:keepNext w:val="0"/>
        <w:keepLines w:val="0"/>
        <w:pageBreakBefore w:val="0"/>
        <w:widowControl w:val="0"/>
        <w:kinsoku/>
        <w:wordWrap/>
        <w:overflowPunct/>
        <w:topLinePunct w:val="0"/>
        <w:autoSpaceDE w:val="0"/>
        <w:autoSpaceDN w:val="0"/>
        <w:bidi w:val="0"/>
        <w:adjustRightInd/>
        <w:snapToGrid/>
        <w:spacing w:line="360" w:lineRule="exact"/>
        <w:ind w:left="231" w:right="10" w:firstLine="480"/>
        <w:textAlignment w:val="auto"/>
        <w:rPr>
          <w:rFonts w:hint="eastAsia" w:ascii="宋体" w:hAnsi="宋体" w:eastAsia="宋体" w:cs="宋体"/>
        </w:rPr>
      </w:pPr>
      <w:r>
        <w:rPr>
          <w:rFonts w:hint="eastAsia" w:ascii="宋体" w:hAnsi="宋体" w:eastAsia="宋体" w:cs="宋体"/>
        </w:rPr>
        <w:t>g</w:t>
      </w:r>
      <w:r>
        <w:rPr>
          <w:rFonts w:hint="eastAsia" w:ascii="宋体" w:hAnsi="宋体" w:eastAsia="宋体" w:cs="宋体"/>
          <w:spacing w:val="-10"/>
        </w:rPr>
        <w:t xml:space="preserve"> </w:t>
      </w:r>
      <w:r>
        <w:rPr>
          <w:rFonts w:hint="eastAsia" w:ascii="宋体" w:hAnsi="宋体" w:eastAsia="宋体" w:cs="宋体"/>
        </w:rPr>
        <w:t>不同投标人参与同一项目招标投标活动中，使用的计算机网卡 MAC 地址、CPU 序列号、硬盘序列号、加密锁序列号等信息相同的。</w:t>
      </w:r>
    </w:p>
    <w:p>
      <w:pPr>
        <w:pStyle w:val="6"/>
        <w:keepNext w:val="0"/>
        <w:keepLines w:val="0"/>
        <w:pageBreakBefore w:val="0"/>
        <w:widowControl w:val="0"/>
        <w:numPr>
          <w:ilvl w:val="0"/>
          <w:numId w:val="6"/>
        </w:numPr>
        <w:tabs>
          <w:tab w:val="left" w:pos="1326"/>
        </w:tabs>
        <w:kinsoku/>
        <w:wordWrap/>
        <w:overflowPunct/>
        <w:topLinePunct w:val="0"/>
        <w:autoSpaceDE w:val="0"/>
        <w:autoSpaceDN w:val="0"/>
        <w:bidi w:val="0"/>
        <w:adjustRightInd/>
        <w:snapToGrid/>
        <w:spacing w:line="360" w:lineRule="exact"/>
        <w:ind w:left="231" w:right="10" w:firstLine="480"/>
        <w:textAlignment w:val="auto"/>
        <w:rPr>
          <w:rFonts w:hint="eastAsia" w:ascii="宋体" w:hAnsi="宋体" w:eastAsia="宋体" w:cs="宋体"/>
        </w:rPr>
      </w:pPr>
      <w:r>
        <w:rPr>
          <w:rFonts w:hint="eastAsia" w:ascii="宋体" w:hAnsi="宋体" w:eastAsia="宋体" w:cs="宋体"/>
          <w:bCs w:val="0"/>
        </w:rPr>
        <w:t>有下列情形之一的，应当视为招标人、招标代理机构、评标委员会成员与投标人串通投标</w:t>
      </w:r>
      <w:r>
        <w:rPr>
          <w:rFonts w:hint="eastAsia" w:ascii="宋体" w:hAnsi="宋体" w:eastAsia="宋体" w:cs="宋体"/>
          <w:spacing w:val="3"/>
        </w:rPr>
        <w:t>：</w:t>
      </w:r>
    </w:p>
    <w:p>
      <w:pPr>
        <w:pStyle w:val="17"/>
        <w:keepNext w:val="0"/>
        <w:keepLines w:val="0"/>
        <w:pageBreakBefore w:val="0"/>
        <w:widowControl w:val="0"/>
        <w:numPr>
          <w:ilvl w:val="0"/>
          <w:numId w:val="8"/>
        </w:numPr>
        <w:tabs>
          <w:tab w:val="left" w:pos="1072"/>
        </w:tabs>
        <w:kinsoku/>
        <w:wordWrap/>
        <w:overflowPunct/>
        <w:topLinePunct w:val="0"/>
        <w:autoSpaceDE w:val="0"/>
        <w:autoSpaceDN w:val="0"/>
        <w:bidi w:val="0"/>
        <w:adjustRightInd/>
        <w:snapToGrid/>
        <w:spacing w:line="360" w:lineRule="exact"/>
        <w:ind w:right="1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招标人、招标代理机构故意损毁、篡改特定的投标文件内容，或者在资格预审时损毁、篡改特定的资格预审申请文件内容的；</w:t>
      </w:r>
    </w:p>
    <w:p>
      <w:pPr>
        <w:pStyle w:val="17"/>
        <w:keepNext w:val="0"/>
        <w:keepLines w:val="0"/>
        <w:pageBreakBefore w:val="0"/>
        <w:widowControl w:val="0"/>
        <w:numPr>
          <w:ilvl w:val="0"/>
          <w:numId w:val="8"/>
        </w:numPr>
        <w:tabs>
          <w:tab w:val="left" w:pos="1072"/>
        </w:tabs>
        <w:kinsoku/>
        <w:wordWrap/>
        <w:overflowPunct/>
        <w:topLinePunct w:val="0"/>
        <w:autoSpaceDE w:val="0"/>
        <w:autoSpaceDN w:val="0"/>
        <w:bidi w:val="0"/>
        <w:adjustRightInd/>
        <w:snapToGrid/>
        <w:spacing w:line="360" w:lineRule="exact"/>
        <w:ind w:right="1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招标人、招标代理机构、评标委员会成员直接或者间接向投标人或者投标人的利害关系人泄露获取资格预审文件或者通过资格预审的申请人的名称、数量的；或者泄露获取招标文件的潜在投标人的名称、数量的；</w:t>
      </w:r>
    </w:p>
    <w:p>
      <w:pPr>
        <w:pStyle w:val="17"/>
        <w:keepNext w:val="0"/>
        <w:keepLines w:val="0"/>
        <w:pageBreakBefore w:val="0"/>
        <w:widowControl w:val="0"/>
        <w:numPr>
          <w:ilvl w:val="0"/>
          <w:numId w:val="8"/>
        </w:numPr>
        <w:tabs>
          <w:tab w:val="left" w:pos="1072"/>
        </w:tabs>
        <w:kinsoku/>
        <w:wordWrap/>
        <w:overflowPunct/>
        <w:topLinePunct w:val="0"/>
        <w:autoSpaceDE w:val="0"/>
        <w:autoSpaceDN w:val="0"/>
        <w:bidi w:val="0"/>
        <w:adjustRightInd/>
        <w:snapToGrid/>
        <w:spacing w:line="360" w:lineRule="exact"/>
        <w:ind w:right="1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招标人、招标代理机构、评标委员会成员直接或者间接向投标人或者投标人的利害关系人泄露资格审查或者评标情况的；</w:t>
      </w:r>
    </w:p>
    <w:p>
      <w:pPr>
        <w:pStyle w:val="17"/>
        <w:keepNext w:val="0"/>
        <w:keepLines w:val="0"/>
        <w:pageBreakBefore w:val="0"/>
        <w:widowControl w:val="0"/>
        <w:numPr>
          <w:ilvl w:val="0"/>
          <w:numId w:val="8"/>
        </w:numPr>
        <w:tabs>
          <w:tab w:val="left" w:pos="1072"/>
        </w:tabs>
        <w:kinsoku/>
        <w:wordWrap/>
        <w:overflowPunct/>
        <w:topLinePunct w:val="0"/>
        <w:autoSpaceDE w:val="0"/>
        <w:autoSpaceDN w:val="0"/>
        <w:bidi w:val="0"/>
        <w:adjustRightInd/>
        <w:snapToGrid/>
        <w:spacing w:line="360" w:lineRule="exact"/>
        <w:ind w:right="10" w:firstLine="480"/>
        <w:jc w:val="both"/>
        <w:textAlignment w:val="auto"/>
        <w:rPr>
          <w:rFonts w:hint="eastAsia" w:ascii="宋体" w:hAnsi="宋体" w:eastAsia="宋体" w:cs="宋体"/>
          <w:sz w:val="24"/>
          <w:szCs w:val="24"/>
        </w:rPr>
      </w:pPr>
      <w:r>
        <w:rPr>
          <w:rFonts w:hint="eastAsia" w:ascii="宋体" w:hAnsi="宋体" w:eastAsia="宋体" w:cs="宋体"/>
          <w:sz w:val="24"/>
          <w:szCs w:val="24"/>
        </w:rPr>
        <w:t>招标人、招标代理机构以胁迫、劝退、利诱等方式，使特定投标人以外的其他投标人放弃投标或者中标人放弃中标的；</w:t>
      </w:r>
    </w:p>
    <w:p>
      <w:pPr>
        <w:pStyle w:val="17"/>
        <w:keepNext w:val="0"/>
        <w:keepLines w:val="0"/>
        <w:pageBreakBefore w:val="0"/>
        <w:widowControl w:val="0"/>
        <w:numPr>
          <w:ilvl w:val="0"/>
          <w:numId w:val="8"/>
        </w:numPr>
        <w:tabs>
          <w:tab w:val="left" w:pos="1072"/>
        </w:tabs>
        <w:kinsoku/>
        <w:wordWrap/>
        <w:overflowPunct/>
        <w:topLinePunct w:val="0"/>
        <w:autoSpaceDE w:val="0"/>
        <w:autoSpaceDN w:val="0"/>
        <w:bidi w:val="0"/>
        <w:adjustRightInd/>
        <w:snapToGrid/>
        <w:spacing w:line="360" w:lineRule="exact"/>
        <w:ind w:right="10" w:firstLine="480"/>
        <w:jc w:val="both"/>
        <w:textAlignment w:val="auto"/>
        <w:rPr>
          <w:rFonts w:hint="eastAsia" w:ascii="宋体" w:hAnsi="宋体" w:eastAsia="宋体" w:cs="宋体"/>
          <w:sz w:val="24"/>
          <w:szCs w:val="24"/>
        </w:rPr>
      </w:pPr>
      <w:r>
        <w:rPr>
          <w:rFonts w:hint="eastAsia" w:ascii="宋体" w:hAnsi="宋体" w:eastAsia="宋体" w:cs="宋体"/>
          <w:sz w:val="24"/>
          <w:szCs w:val="24"/>
        </w:rPr>
        <w:t>在依法必须进行招标的项目的中标人确定前，投标人已经开展该项目招标范围内的工作的。</w:t>
      </w:r>
    </w:p>
    <w:p>
      <w:pPr>
        <w:pStyle w:val="6"/>
        <w:keepNext w:val="0"/>
        <w:keepLines w:val="0"/>
        <w:pageBreakBefore w:val="0"/>
        <w:widowControl w:val="0"/>
        <w:numPr>
          <w:ilvl w:val="0"/>
          <w:numId w:val="6"/>
        </w:numPr>
        <w:tabs>
          <w:tab w:val="left" w:pos="1313"/>
        </w:tabs>
        <w:kinsoku/>
        <w:wordWrap/>
        <w:overflowPunct/>
        <w:topLinePunct w:val="0"/>
        <w:autoSpaceDE w:val="0"/>
        <w:autoSpaceDN w:val="0"/>
        <w:bidi w:val="0"/>
        <w:adjustRightInd/>
        <w:snapToGrid/>
        <w:spacing w:line="360" w:lineRule="exact"/>
        <w:ind w:right="10" w:hanging="602"/>
        <w:textAlignment w:val="auto"/>
        <w:rPr>
          <w:rFonts w:hint="eastAsia" w:ascii="宋体" w:hAnsi="宋体" w:eastAsia="宋体" w:cs="宋体"/>
        </w:rPr>
      </w:pPr>
      <w:r>
        <w:rPr>
          <w:rFonts w:hint="eastAsia" w:ascii="宋体" w:hAnsi="宋体" w:eastAsia="宋体" w:cs="宋体"/>
          <w:bCs w:val="0"/>
        </w:rPr>
        <w:t>投标人有下列情形之一的，视为弄虚作假投标</w:t>
      </w:r>
      <w:r>
        <w:rPr>
          <w:rFonts w:hint="eastAsia" w:ascii="宋体" w:hAnsi="宋体" w:eastAsia="宋体" w:cs="宋体"/>
        </w:rPr>
        <w:t>：</w:t>
      </w:r>
    </w:p>
    <w:p>
      <w:pPr>
        <w:pStyle w:val="17"/>
        <w:keepNext w:val="0"/>
        <w:keepLines w:val="0"/>
        <w:pageBreakBefore w:val="0"/>
        <w:widowControl w:val="0"/>
        <w:numPr>
          <w:ilvl w:val="0"/>
          <w:numId w:val="9"/>
        </w:numPr>
        <w:tabs>
          <w:tab w:val="left" w:pos="1072"/>
        </w:tabs>
        <w:kinsoku/>
        <w:wordWrap/>
        <w:overflowPunct/>
        <w:topLinePunct w:val="0"/>
        <w:autoSpaceDE w:val="0"/>
        <w:autoSpaceDN w:val="0"/>
        <w:bidi w:val="0"/>
        <w:adjustRightInd/>
        <w:snapToGrid/>
        <w:spacing w:line="360" w:lineRule="exact"/>
        <w:ind w:right="10" w:hanging="361"/>
        <w:textAlignment w:val="auto"/>
        <w:rPr>
          <w:rFonts w:hint="eastAsia" w:ascii="宋体" w:hAnsi="宋体" w:eastAsia="宋体" w:cs="宋体"/>
          <w:sz w:val="24"/>
          <w:szCs w:val="24"/>
        </w:rPr>
      </w:pPr>
      <w:r>
        <w:rPr>
          <w:rFonts w:hint="eastAsia" w:ascii="宋体" w:hAnsi="宋体" w:eastAsia="宋体" w:cs="宋体"/>
          <w:sz w:val="24"/>
          <w:szCs w:val="24"/>
        </w:rPr>
        <w:t>使用通过受让或者租借等方式获取的资格、资质证书投标的；</w:t>
      </w:r>
    </w:p>
    <w:p>
      <w:pPr>
        <w:pStyle w:val="17"/>
        <w:keepNext w:val="0"/>
        <w:keepLines w:val="0"/>
        <w:pageBreakBefore w:val="0"/>
        <w:widowControl w:val="0"/>
        <w:numPr>
          <w:ilvl w:val="0"/>
          <w:numId w:val="9"/>
        </w:numPr>
        <w:tabs>
          <w:tab w:val="left" w:pos="1072"/>
        </w:tabs>
        <w:kinsoku/>
        <w:wordWrap/>
        <w:overflowPunct/>
        <w:topLinePunct w:val="0"/>
        <w:autoSpaceDE w:val="0"/>
        <w:autoSpaceDN w:val="0"/>
        <w:bidi w:val="0"/>
        <w:adjustRightInd/>
        <w:snapToGrid/>
        <w:spacing w:line="360" w:lineRule="exact"/>
        <w:ind w:right="10" w:hanging="361"/>
        <w:textAlignment w:val="auto"/>
        <w:rPr>
          <w:rFonts w:hint="eastAsia" w:ascii="宋体" w:hAnsi="宋体" w:eastAsia="宋体" w:cs="宋体"/>
          <w:sz w:val="24"/>
          <w:szCs w:val="24"/>
        </w:rPr>
      </w:pPr>
      <w:r>
        <w:rPr>
          <w:rFonts w:hint="eastAsia" w:ascii="宋体" w:hAnsi="宋体" w:eastAsia="宋体" w:cs="宋体"/>
          <w:sz w:val="24"/>
          <w:szCs w:val="24"/>
        </w:rPr>
        <w:t>使用伪造、变造的许可证件的；</w:t>
      </w:r>
    </w:p>
    <w:p>
      <w:pPr>
        <w:pStyle w:val="17"/>
        <w:keepNext w:val="0"/>
        <w:keepLines w:val="0"/>
        <w:pageBreakBefore w:val="0"/>
        <w:widowControl w:val="0"/>
        <w:numPr>
          <w:ilvl w:val="0"/>
          <w:numId w:val="9"/>
        </w:numPr>
        <w:tabs>
          <w:tab w:val="left" w:pos="1072"/>
        </w:tabs>
        <w:kinsoku/>
        <w:wordWrap/>
        <w:overflowPunct/>
        <w:topLinePunct w:val="0"/>
        <w:autoSpaceDE w:val="0"/>
        <w:autoSpaceDN w:val="0"/>
        <w:bidi w:val="0"/>
        <w:adjustRightInd/>
        <w:snapToGrid/>
        <w:spacing w:line="360" w:lineRule="exact"/>
        <w:ind w:right="10" w:hanging="361"/>
        <w:textAlignment w:val="auto"/>
        <w:rPr>
          <w:rFonts w:hint="eastAsia" w:ascii="宋体" w:hAnsi="宋体" w:eastAsia="宋体" w:cs="宋体"/>
          <w:sz w:val="24"/>
          <w:szCs w:val="24"/>
        </w:rPr>
      </w:pPr>
      <w:r>
        <w:rPr>
          <w:rFonts w:hint="eastAsia" w:ascii="宋体" w:hAnsi="宋体" w:eastAsia="宋体" w:cs="宋体"/>
          <w:sz w:val="24"/>
          <w:szCs w:val="24"/>
        </w:rPr>
        <w:t>提供虚假的财务状况或者业绩、荣誉的；</w:t>
      </w:r>
    </w:p>
    <w:p>
      <w:pPr>
        <w:pStyle w:val="17"/>
        <w:keepNext w:val="0"/>
        <w:keepLines w:val="0"/>
        <w:pageBreakBefore w:val="0"/>
        <w:widowControl w:val="0"/>
        <w:numPr>
          <w:ilvl w:val="0"/>
          <w:numId w:val="9"/>
        </w:numPr>
        <w:tabs>
          <w:tab w:val="left" w:pos="1072"/>
        </w:tabs>
        <w:kinsoku/>
        <w:wordWrap/>
        <w:overflowPunct/>
        <w:topLinePunct w:val="0"/>
        <w:autoSpaceDE w:val="0"/>
        <w:autoSpaceDN w:val="0"/>
        <w:bidi w:val="0"/>
        <w:adjustRightInd/>
        <w:snapToGrid/>
        <w:spacing w:line="360" w:lineRule="exact"/>
        <w:ind w:right="10" w:hanging="361"/>
        <w:textAlignment w:val="auto"/>
        <w:rPr>
          <w:rFonts w:hint="eastAsia" w:ascii="宋体" w:hAnsi="宋体" w:eastAsia="宋体" w:cs="宋体"/>
          <w:sz w:val="24"/>
          <w:szCs w:val="24"/>
        </w:rPr>
      </w:pPr>
      <w:r>
        <w:rPr>
          <w:rFonts w:hint="eastAsia" w:ascii="宋体" w:hAnsi="宋体" w:eastAsia="宋体" w:cs="宋体"/>
          <w:sz w:val="24"/>
          <w:szCs w:val="24"/>
        </w:rPr>
        <w:t>提供虚假的项目负责人或者主要技术人员简历、劳动关系证明的；</w:t>
      </w:r>
    </w:p>
    <w:p>
      <w:pPr>
        <w:pStyle w:val="17"/>
        <w:keepNext w:val="0"/>
        <w:keepLines w:val="0"/>
        <w:pageBreakBefore w:val="0"/>
        <w:widowControl w:val="0"/>
        <w:numPr>
          <w:ilvl w:val="0"/>
          <w:numId w:val="9"/>
        </w:numPr>
        <w:tabs>
          <w:tab w:val="left" w:pos="1072"/>
        </w:tabs>
        <w:kinsoku/>
        <w:wordWrap/>
        <w:overflowPunct/>
        <w:topLinePunct w:val="0"/>
        <w:autoSpaceDE w:val="0"/>
        <w:autoSpaceDN w:val="0"/>
        <w:bidi w:val="0"/>
        <w:adjustRightInd/>
        <w:snapToGrid/>
        <w:spacing w:line="360" w:lineRule="exact"/>
        <w:ind w:right="10" w:hanging="361"/>
        <w:textAlignment w:val="auto"/>
        <w:rPr>
          <w:rFonts w:hint="eastAsia" w:ascii="宋体" w:hAnsi="宋体" w:eastAsia="宋体" w:cs="宋体"/>
          <w:sz w:val="24"/>
          <w:szCs w:val="24"/>
        </w:rPr>
      </w:pPr>
      <w:r>
        <w:rPr>
          <w:rFonts w:hint="eastAsia" w:ascii="宋体" w:hAnsi="宋体" w:eastAsia="宋体" w:cs="宋体"/>
          <w:sz w:val="24"/>
          <w:szCs w:val="24"/>
        </w:rPr>
        <w:t>提供虚假的信用状况的。</w:t>
      </w:r>
    </w:p>
    <w:p>
      <w:pPr>
        <w:pStyle w:val="17"/>
        <w:keepNext w:val="0"/>
        <w:keepLines w:val="0"/>
        <w:pageBreakBefore w:val="0"/>
        <w:widowControl w:val="0"/>
        <w:numPr>
          <w:ilvl w:val="1"/>
          <w:numId w:val="1"/>
        </w:numPr>
        <w:tabs>
          <w:tab w:val="left" w:pos="712"/>
        </w:tabs>
        <w:kinsoku/>
        <w:wordWrap/>
        <w:overflowPunct/>
        <w:topLinePunct w:val="0"/>
        <w:autoSpaceDE w:val="0"/>
        <w:autoSpaceDN w:val="0"/>
        <w:bidi w:val="0"/>
        <w:adjustRightInd/>
        <w:snapToGrid/>
        <w:spacing w:line="360" w:lineRule="exact"/>
        <w:ind w:left="481" w:leftChars="0" w:right="10" w:hanging="481" w:firstLineChars="0"/>
        <w:textAlignment w:val="auto"/>
        <w:rPr>
          <w:rFonts w:hint="eastAsia" w:ascii="宋体" w:hAnsi="宋体" w:eastAsia="宋体" w:cs="宋体"/>
          <w:sz w:val="24"/>
          <w:szCs w:val="24"/>
        </w:rPr>
      </w:pPr>
      <w:bookmarkStart w:id="27" w:name="_bookmark95"/>
      <w:bookmarkEnd w:id="27"/>
      <w:bookmarkStart w:id="28" w:name="3.7_投标文件的澄清和说明"/>
      <w:bookmarkEnd w:id="28"/>
      <w:r>
        <w:rPr>
          <w:rFonts w:hint="eastAsia" w:ascii="宋体" w:hAnsi="宋体" w:eastAsia="宋体" w:cs="宋体"/>
          <w:sz w:val="24"/>
          <w:szCs w:val="24"/>
        </w:rPr>
        <w:t>投标文件的澄清和说明</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 w:leftChars="0" w:right="1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 w:leftChars="0" w:right="1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澄清和说明不得超出投标文件的范围或改变投标文件的实质性内容（算术性错误的修正除外）。投标人的书面澄清、说明属于投标文件的组成部分。</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 w:leftChars="0" w:right="1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评标委员会不得暗示或诱导投标人作出澄清、说明，对投标人提交的澄清、说明有疑问的，可以要求投标人进一步澄清或说明，直至满足评标委员会的要求。</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 w:leftChars="0" w:right="1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凡超出招标文件规定的或给委托人带来未曾要求的利益的变化、偏差或其他因素在评标时不予考虑。</w:t>
      </w:r>
    </w:p>
    <w:p>
      <w:pPr>
        <w:pStyle w:val="17"/>
        <w:keepNext w:val="0"/>
        <w:keepLines w:val="0"/>
        <w:pageBreakBefore w:val="0"/>
        <w:widowControl w:val="0"/>
        <w:numPr>
          <w:ilvl w:val="1"/>
          <w:numId w:val="1"/>
        </w:numPr>
        <w:tabs>
          <w:tab w:val="left" w:pos="712"/>
        </w:tabs>
        <w:kinsoku/>
        <w:wordWrap/>
        <w:overflowPunct/>
        <w:topLinePunct w:val="0"/>
        <w:autoSpaceDE w:val="0"/>
        <w:autoSpaceDN w:val="0"/>
        <w:bidi w:val="0"/>
        <w:adjustRightInd/>
        <w:snapToGrid/>
        <w:spacing w:line="360" w:lineRule="exact"/>
        <w:ind w:left="481" w:leftChars="0" w:right="10" w:hanging="481" w:firstLineChars="0"/>
        <w:textAlignment w:val="auto"/>
        <w:rPr>
          <w:rFonts w:hint="eastAsia" w:ascii="宋体" w:hAnsi="宋体" w:eastAsia="宋体" w:cs="宋体"/>
          <w:sz w:val="24"/>
          <w:szCs w:val="24"/>
        </w:rPr>
      </w:pPr>
      <w:bookmarkStart w:id="29" w:name="_bookmark96"/>
      <w:bookmarkEnd w:id="29"/>
      <w:bookmarkStart w:id="30" w:name="3.8_不得否决投标的情形"/>
      <w:bookmarkEnd w:id="30"/>
      <w:r>
        <w:rPr>
          <w:rFonts w:hint="eastAsia" w:ascii="宋体" w:hAnsi="宋体" w:eastAsia="宋体" w:cs="宋体"/>
          <w:sz w:val="24"/>
          <w:szCs w:val="24"/>
        </w:rPr>
        <w:t>不得否决投标的情形</w:t>
      </w:r>
    </w:p>
    <w:p>
      <w:pPr>
        <w:pStyle w:val="7"/>
        <w:keepNext w:val="0"/>
        <w:keepLines w:val="0"/>
        <w:pageBreakBefore w:val="0"/>
        <w:widowControl w:val="0"/>
        <w:kinsoku/>
        <w:wordWrap/>
        <w:overflowPunct/>
        <w:topLinePunct w:val="0"/>
        <w:autoSpaceDE w:val="0"/>
        <w:autoSpaceDN w:val="0"/>
        <w:bidi w:val="0"/>
        <w:adjustRightInd/>
        <w:snapToGrid/>
        <w:spacing w:line="360" w:lineRule="exact"/>
        <w:ind w:left="711" w:right="10"/>
        <w:textAlignment w:val="auto"/>
        <w:rPr>
          <w:rFonts w:hint="eastAsia" w:ascii="宋体" w:hAnsi="宋体" w:eastAsia="宋体" w:cs="宋体"/>
        </w:rPr>
      </w:pPr>
      <w:r>
        <w:rPr>
          <w:rFonts w:hint="eastAsia" w:ascii="宋体" w:hAnsi="宋体" w:eastAsia="宋体" w:cs="宋体"/>
        </w:rPr>
        <w:t>投标文件存在第二章“投标人须知”第 1.12.3 项所列情形的，均视为细微偏差，</w:t>
      </w:r>
    </w:p>
    <w:p>
      <w:pPr>
        <w:pStyle w:val="7"/>
        <w:keepNext w:val="0"/>
        <w:keepLines w:val="0"/>
        <w:pageBreakBefore w:val="0"/>
        <w:widowControl w:val="0"/>
        <w:kinsoku/>
        <w:wordWrap/>
        <w:overflowPunct/>
        <w:topLinePunct w:val="0"/>
        <w:autoSpaceDE w:val="0"/>
        <w:autoSpaceDN w:val="0"/>
        <w:bidi w:val="0"/>
        <w:adjustRightInd/>
        <w:snapToGrid/>
        <w:spacing w:line="360" w:lineRule="exact"/>
        <w:ind w:left="231" w:right="10"/>
        <w:textAlignment w:val="auto"/>
        <w:rPr>
          <w:rFonts w:hint="eastAsia" w:ascii="宋体" w:hAnsi="宋体" w:eastAsia="宋体" w:cs="宋体"/>
        </w:rPr>
      </w:pPr>
      <w:r>
        <w:rPr>
          <w:rFonts w:hint="eastAsia" w:ascii="宋体" w:hAnsi="宋体" w:eastAsia="宋体" w:cs="宋体"/>
        </w:rPr>
        <w:t>评标委员会不得否决投标人的投标，应按照第二章“投标人须知”第 1.12.4 项规定的原则处理。</w:t>
      </w:r>
    </w:p>
    <w:p>
      <w:pPr>
        <w:pStyle w:val="17"/>
        <w:keepNext w:val="0"/>
        <w:keepLines w:val="0"/>
        <w:pageBreakBefore w:val="0"/>
        <w:widowControl w:val="0"/>
        <w:numPr>
          <w:ilvl w:val="1"/>
          <w:numId w:val="1"/>
        </w:numPr>
        <w:tabs>
          <w:tab w:val="left" w:pos="712"/>
        </w:tabs>
        <w:kinsoku/>
        <w:wordWrap/>
        <w:overflowPunct/>
        <w:topLinePunct w:val="0"/>
        <w:autoSpaceDE w:val="0"/>
        <w:autoSpaceDN w:val="0"/>
        <w:bidi w:val="0"/>
        <w:adjustRightInd/>
        <w:snapToGrid/>
        <w:spacing w:line="360" w:lineRule="exact"/>
        <w:ind w:left="481" w:leftChars="0" w:right="10" w:hanging="481" w:firstLineChars="0"/>
        <w:textAlignment w:val="auto"/>
        <w:rPr>
          <w:rFonts w:hint="eastAsia" w:ascii="宋体" w:hAnsi="宋体" w:eastAsia="宋体" w:cs="宋体"/>
          <w:sz w:val="24"/>
          <w:szCs w:val="24"/>
        </w:rPr>
      </w:pPr>
      <w:bookmarkStart w:id="31" w:name="_bookmark97"/>
      <w:bookmarkEnd w:id="31"/>
      <w:bookmarkStart w:id="32" w:name="3.9_评标结果"/>
      <w:bookmarkEnd w:id="32"/>
      <w:r>
        <w:rPr>
          <w:rFonts w:hint="eastAsia" w:ascii="宋体" w:hAnsi="宋体" w:eastAsia="宋体" w:cs="宋体"/>
          <w:sz w:val="24"/>
          <w:szCs w:val="24"/>
        </w:rPr>
        <w:t>评标结果</w:t>
      </w:r>
    </w:p>
    <w:p>
      <w:pPr>
        <w:pStyle w:val="17"/>
        <w:keepNext w:val="0"/>
        <w:keepLines w:val="0"/>
        <w:pageBreakBefore w:val="0"/>
        <w:widowControl w:val="0"/>
        <w:numPr>
          <w:ilvl w:val="2"/>
          <w:numId w:val="1"/>
        </w:numPr>
        <w:tabs>
          <w:tab w:val="left" w:pos="1432"/>
        </w:tabs>
        <w:kinsoku/>
        <w:wordWrap/>
        <w:overflowPunct/>
        <w:topLinePunct w:val="0"/>
        <w:autoSpaceDE w:val="0"/>
        <w:autoSpaceDN w:val="0"/>
        <w:bidi w:val="0"/>
        <w:adjustRightInd/>
        <w:snapToGrid/>
        <w:spacing w:line="360" w:lineRule="exact"/>
        <w:ind w:left="1" w:leftChars="0" w:right="10" w:firstLine="480" w:firstLineChars="0"/>
        <w:textAlignment w:val="auto"/>
        <w:rPr>
          <w:rFonts w:hint="eastAsia" w:ascii="宋体" w:hAnsi="宋体" w:eastAsia="宋体" w:cs="宋体"/>
          <w:sz w:val="24"/>
          <w:szCs w:val="24"/>
        </w:rPr>
      </w:pPr>
      <w:r>
        <w:rPr>
          <w:rFonts w:hint="eastAsia" w:ascii="宋体" w:hAnsi="宋体" w:eastAsia="宋体" w:cs="宋体"/>
          <w:sz w:val="24"/>
          <w:szCs w:val="24"/>
        </w:rPr>
        <w:t>除第二章“投标人须知”前附表授权直接确定中标人外，评标委员会按照得分由高到低的顺序推荐中标候选人，并标明排序。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1pt;width:13.15pt;mso-position-horizontal:center;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sk/aNMAAAADAQAADwAAAAAAAAABACAAAAAiAAAAZHJzL2Rvd25yZXYueG1sUEsBAhQAFAAAAAgA&#10;h07iQOwNDJG4AQAAcQMAAA4AAAAAAAAAAQAgAAAAIgEAAGRycy9lMm9Eb2MueG1sUEsFBgAAAAAG&#10;AAYAWQEAAEw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9"/>
      </w:pPr>
      <w:r>
        <w:rPr>
          <w:rStyle w:val="12"/>
        </w:rPr>
        <w:footnoteRef/>
      </w:r>
      <w:r>
        <w:t xml:space="preserve"> </w:t>
      </w:r>
      <w:r>
        <w:rPr>
          <w:rFonts w:hint="eastAsia" w:ascii="宋体" w:hAnsi="宋体" w:eastAsia="宋体" w:cs="宋体"/>
          <w:sz w:val="21"/>
        </w:rPr>
        <w:t>“评标办法前附表”用于进一步明确正文中的未尽事宜，由招标人根据招标项目具体特点和实际需要编制和填写，详细列明全部评审因素、标准，没有列明的因素和标准不得作为评标的依据。评标办法前附表是对评标办法正文的修改、补充和细化，应对照评标办法正文中同一编号的条款一起阅读和理解。</w:t>
      </w:r>
      <w:r>
        <w:rPr>
          <w:rFonts w:hint="eastAsia" w:ascii="宋体" w:hAnsi="宋体" w:eastAsia="宋体" w:cs="宋体"/>
          <w:bCs/>
          <w:sz w:val="21"/>
        </w:rPr>
        <w:t>如前附表与正文不一致时，以前附表的规定为准。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F3350"/>
    <w:multiLevelType w:val="multilevel"/>
    <w:tmpl w:val="B53F3350"/>
    <w:lvl w:ilvl="0" w:tentative="0">
      <w:start w:val="1"/>
      <w:numFmt w:val="decimal"/>
      <w:lvlText w:val="（%1）"/>
      <w:lvlJc w:val="left"/>
      <w:pPr>
        <w:ind w:left="1312"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56" w:hanging="601"/>
      </w:pPr>
      <w:rPr>
        <w:rFonts w:hint="default"/>
        <w:lang w:val="zh-CN" w:eastAsia="zh-CN" w:bidi="zh-CN"/>
      </w:rPr>
    </w:lvl>
    <w:lvl w:ilvl="2" w:tentative="0">
      <w:start w:val="0"/>
      <w:numFmt w:val="bullet"/>
      <w:lvlText w:val="•"/>
      <w:lvlJc w:val="left"/>
      <w:pPr>
        <w:ind w:left="2993" w:hanging="601"/>
      </w:pPr>
      <w:rPr>
        <w:rFonts w:hint="default"/>
        <w:lang w:val="zh-CN" w:eastAsia="zh-CN" w:bidi="zh-CN"/>
      </w:rPr>
    </w:lvl>
    <w:lvl w:ilvl="3" w:tentative="0">
      <w:start w:val="0"/>
      <w:numFmt w:val="bullet"/>
      <w:lvlText w:val="•"/>
      <w:lvlJc w:val="left"/>
      <w:pPr>
        <w:ind w:left="3830" w:hanging="601"/>
      </w:pPr>
      <w:rPr>
        <w:rFonts w:hint="default"/>
        <w:lang w:val="zh-CN" w:eastAsia="zh-CN" w:bidi="zh-CN"/>
      </w:rPr>
    </w:lvl>
    <w:lvl w:ilvl="4" w:tentative="0">
      <w:start w:val="0"/>
      <w:numFmt w:val="bullet"/>
      <w:lvlText w:val="•"/>
      <w:lvlJc w:val="left"/>
      <w:pPr>
        <w:ind w:left="4666" w:hanging="601"/>
      </w:pPr>
      <w:rPr>
        <w:rFonts w:hint="default"/>
        <w:lang w:val="zh-CN" w:eastAsia="zh-CN" w:bidi="zh-CN"/>
      </w:rPr>
    </w:lvl>
    <w:lvl w:ilvl="5" w:tentative="0">
      <w:start w:val="0"/>
      <w:numFmt w:val="bullet"/>
      <w:lvlText w:val="•"/>
      <w:lvlJc w:val="left"/>
      <w:pPr>
        <w:ind w:left="5503" w:hanging="601"/>
      </w:pPr>
      <w:rPr>
        <w:rFonts w:hint="default"/>
        <w:lang w:val="zh-CN" w:eastAsia="zh-CN" w:bidi="zh-CN"/>
      </w:rPr>
    </w:lvl>
    <w:lvl w:ilvl="6" w:tentative="0">
      <w:start w:val="0"/>
      <w:numFmt w:val="bullet"/>
      <w:lvlText w:val="•"/>
      <w:lvlJc w:val="left"/>
      <w:pPr>
        <w:ind w:left="6340" w:hanging="601"/>
      </w:pPr>
      <w:rPr>
        <w:rFonts w:hint="default"/>
        <w:lang w:val="zh-CN" w:eastAsia="zh-CN" w:bidi="zh-CN"/>
      </w:rPr>
    </w:lvl>
    <w:lvl w:ilvl="7" w:tentative="0">
      <w:start w:val="0"/>
      <w:numFmt w:val="bullet"/>
      <w:lvlText w:val="•"/>
      <w:lvlJc w:val="left"/>
      <w:pPr>
        <w:ind w:left="7176" w:hanging="601"/>
      </w:pPr>
      <w:rPr>
        <w:rFonts w:hint="default"/>
        <w:lang w:val="zh-CN" w:eastAsia="zh-CN" w:bidi="zh-CN"/>
      </w:rPr>
    </w:lvl>
    <w:lvl w:ilvl="8" w:tentative="0">
      <w:start w:val="0"/>
      <w:numFmt w:val="bullet"/>
      <w:lvlText w:val="•"/>
      <w:lvlJc w:val="left"/>
      <w:pPr>
        <w:ind w:left="8013" w:hanging="601"/>
      </w:pPr>
      <w:rPr>
        <w:rFonts w:hint="default"/>
        <w:lang w:val="zh-CN" w:eastAsia="zh-CN" w:bidi="zh-CN"/>
      </w:rPr>
    </w:lvl>
  </w:abstractNum>
  <w:abstractNum w:abstractNumId="1">
    <w:nsid w:val="F0E89278"/>
    <w:multiLevelType w:val="multilevel"/>
    <w:tmpl w:val="F0E89278"/>
    <w:lvl w:ilvl="0" w:tentative="0">
      <w:start w:val="1"/>
      <w:numFmt w:val="decimal"/>
      <w:lvlText w:val="（%1）"/>
      <w:lvlJc w:val="left"/>
      <w:pPr>
        <w:ind w:left="1312"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56" w:hanging="601"/>
      </w:pPr>
      <w:rPr>
        <w:rFonts w:hint="default"/>
        <w:lang w:val="zh-CN" w:eastAsia="zh-CN" w:bidi="zh-CN"/>
      </w:rPr>
    </w:lvl>
    <w:lvl w:ilvl="2" w:tentative="0">
      <w:start w:val="0"/>
      <w:numFmt w:val="bullet"/>
      <w:lvlText w:val="•"/>
      <w:lvlJc w:val="left"/>
      <w:pPr>
        <w:ind w:left="2993" w:hanging="601"/>
      </w:pPr>
      <w:rPr>
        <w:rFonts w:hint="default"/>
        <w:lang w:val="zh-CN" w:eastAsia="zh-CN" w:bidi="zh-CN"/>
      </w:rPr>
    </w:lvl>
    <w:lvl w:ilvl="3" w:tentative="0">
      <w:start w:val="0"/>
      <w:numFmt w:val="bullet"/>
      <w:lvlText w:val="•"/>
      <w:lvlJc w:val="left"/>
      <w:pPr>
        <w:ind w:left="3830" w:hanging="601"/>
      </w:pPr>
      <w:rPr>
        <w:rFonts w:hint="default"/>
        <w:lang w:val="zh-CN" w:eastAsia="zh-CN" w:bidi="zh-CN"/>
      </w:rPr>
    </w:lvl>
    <w:lvl w:ilvl="4" w:tentative="0">
      <w:start w:val="0"/>
      <w:numFmt w:val="bullet"/>
      <w:lvlText w:val="•"/>
      <w:lvlJc w:val="left"/>
      <w:pPr>
        <w:ind w:left="4666" w:hanging="601"/>
      </w:pPr>
      <w:rPr>
        <w:rFonts w:hint="default"/>
        <w:lang w:val="zh-CN" w:eastAsia="zh-CN" w:bidi="zh-CN"/>
      </w:rPr>
    </w:lvl>
    <w:lvl w:ilvl="5" w:tentative="0">
      <w:start w:val="0"/>
      <w:numFmt w:val="bullet"/>
      <w:lvlText w:val="•"/>
      <w:lvlJc w:val="left"/>
      <w:pPr>
        <w:ind w:left="5503" w:hanging="601"/>
      </w:pPr>
      <w:rPr>
        <w:rFonts w:hint="default"/>
        <w:lang w:val="zh-CN" w:eastAsia="zh-CN" w:bidi="zh-CN"/>
      </w:rPr>
    </w:lvl>
    <w:lvl w:ilvl="6" w:tentative="0">
      <w:start w:val="0"/>
      <w:numFmt w:val="bullet"/>
      <w:lvlText w:val="•"/>
      <w:lvlJc w:val="left"/>
      <w:pPr>
        <w:ind w:left="6340" w:hanging="601"/>
      </w:pPr>
      <w:rPr>
        <w:rFonts w:hint="default"/>
        <w:lang w:val="zh-CN" w:eastAsia="zh-CN" w:bidi="zh-CN"/>
      </w:rPr>
    </w:lvl>
    <w:lvl w:ilvl="7" w:tentative="0">
      <w:start w:val="0"/>
      <w:numFmt w:val="bullet"/>
      <w:lvlText w:val="•"/>
      <w:lvlJc w:val="left"/>
      <w:pPr>
        <w:ind w:left="7176" w:hanging="601"/>
      </w:pPr>
      <w:rPr>
        <w:rFonts w:hint="default"/>
        <w:lang w:val="zh-CN" w:eastAsia="zh-CN" w:bidi="zh-CN"/>
      </w:rPr>
    </w:lvl>
    <w:lvl w:ilvl="8" w:tentative="0">
      <w:start w:val="0"/>
      <w:numFmt w:val="bullet"/>
      <w:lvlText w:val="•"/>
      <w:lvlJc w:val="left"/>
      <w:pPr>
        <w:ind w:left="8013" w:hanging="601"/>
      </w:pPr>
      <w:rPr>
        <w:rFonts w:hint="default"/>
        <w:lang w:val="zh-CN" w:eastAsia="zh-CN" w:bidi="zh-CN"/>
      </w:rPr>
    </w:lvl>
  </w:abstractNum>
  <w:abstractNum w:abstractNumId="2">
    <w:nsid w:val="03A63A41"/>
    <w:multiLevelType w:val="multilevel"/>
    <w:tmpl w:val="03A63A41"/>
    <w:lvl w:ilvl="0" w:tentative="0">
      <w:start w:val="1"/>
      <w:numFmt w:val="lowerLetter"/>
      <w:lvlText w:val="%1."/>
      <w:lvlJc w:val="left"/>
      <w:pPr>
        <w:ind w:left="1071"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940" w:hanging="360"/>
      </w:pPr>
      <w:rPr>
        <w:rFonts w:hint="default"/>
        <w:lang w:val="zh-CN" w:eastAsia="zh-CN" w:bidi="zh-CN"/>
      </w:rPr>
    </w:lvl>
    <w:lvl w:ilvl="2" w:tentative="0">
      <w:start w:val="0"/>
      <w:numFmt w:val="bullet"/>
      <w:lvlText w:val="•"/>
      <w:lvlJc w:val="left"/>
      <w:pPr>
        <w:ind w:left="2801" w:hanging="360"/>
      </w:pPr>
      <w:rPr>
        <w:rFonts w:hint="default"/>
        <w:lang w:val="zh-CN" w:eastAsia="zh-CN" w:bidi="zh-CN"/>
      </w:rPr>
    </w:lvl>
    <w:lvl w:ilvl="3" w:tentative="0">
      <w:start w:val="0"/>
      <w:numFmt w:val="bullet"/>
      <w:lvlText w:val="•"/>
      <w:lvlJc w:val="left"/>
      <w:pPr>
        <w:ind w:left="3662" w:hanging="360"/>
      </w:pPr>
      <w:rPr>
        <w:rFonts w:hint="default"/>
        <w:lang w:val="zh-CN" w:eastAsia="zh-CN" w:bidi="zh-CN"/>
      </w:rPr>
    </w:lvl>
    <w:lvl w:ilvl="4" w:tentative="0">
      <w:start w:val="0"/>
      <w:numFmt w:val="bullet"/>
      <w:lvlText w:val="•"/>
      <w:lvlJc w:val="left"/>
      <w:pPr>
        <w:ind w:left="4522" w:hanging="360"/>
      </w:pPr>
      <w:rPr>
        <w:rFonts w:hint="default"/>
        <w:lang w:val="zh-CN" w:eastAsia="zh-CN" w:bidi="zh-CN"/>
      </w:rPr>
    </w:lvl>
    <w:lvl w:ilvl="5" w:tentative="0">
      <w:start w:val="0"/>
      <w:numFmt w:val="bullet"/>
      <w:lvlText w:val="•"/>
      <w:lvlJc w:val="left"/>
      <w:pPr>
        <w:ind w:left="5383" w:hanging="360"/>
      </w:pPr>
      <w:rPr>
        <w:rFonts w:hint="default"/>
        <w:lang w:val="zh-CN" w:eastAsia="zh-CN" w:bidi="zh-CN"/>
      </w:rPr>
    </w:lvl>
    <w:lvl w:ilvl="6" w:tentative="0">
      <w:start w:val="0"/>
      <w:numFmt w:val="bullet"/>
      <w:lvlText w:val="•"/>
      <w:lvlJc w:val="left"/>
      <w:pPr>
        <w:ind w:left="6244" w:hanging="360"/>
      </w:pPr>
      <w:rPr>
        <w:rFonts w:hint="default"/>
        <w:lang w:val="zh-CN" w:eastAsia="zh-CN" w:bidi="zh-CN"/>
      </w:rPr>
    </w:lvl>
    <w:lvl w:ilvl="7" w:tentative="0">
      <w:start w:val="0"/>
      <w:numFmt w:val="bullet"/>
      <w:lvlText w:val="•"/>
      <w:lvlJc w:val="left"/>
      <w:pPr>
        <w:ind w:left="7104" w:hanging="360"/>
      </w:pPr>
      <w:rPr>
        <w:rFonts w:hint="default"/>
        <w:lang w:val="zh-CN" w:eastAsia="zh-CN" w:bidi="zh-CN"/>
      </w:rPr>
    </w:lvl>
    <w:lvl w:ilvl="8" w:tentative="0">
      <w:start w:val="0"/>
      <w:numFmt w:val="bullet"/>
      <w:lvlText w:val="•"/>
      <w:lvlJc w:val="left"/>
      <w:pPr>
        <w:ind w:left="7965" w:hanging="360"/>
      </w:pPr>
      <w:rPr>
        <w:rFonts w:hint="default"/>
        <w:lang w:val="zh-CN" w:eastAsia="zh-CN" w:bidi="zh-CN"/>
      </w:rPr>
    </w:lvl>
  </w:abstractNum>
  <w:abstractNum w:abstractNumId="3">
    <w:nsid w:val="0F9F9CCA"/>
    <w:multiLevelType w:val="multilevel"/>
    <w:tmpl w:val="0F9F9CCA"/>
    <w:lvl w:ilvl="0" w:tentative="0">
      <w:start w:val="1"/>
      <w:numFmt w:val="lowerLetter"/>
      <w:lvlText w:val="%1."/>
      <w:lvlJc w:val="left"/>
      <w:pPr>
        <w:ind w:left="1071"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940" w:hanging="360"/>
      </w:pPr>
      <w:rPr>
        <w:rFonts w:hint="default"/>
        <w:lang w:val="zh-CN" w:eastAsia="zh-CN" w:bidi="zh-CN"/>
      </w:rPr>
    </w:lvl>
    <w:lvl w:ilvl="2" w:tentative="0">
      <w:start w:val="0"/>
      <w:numFmt w:val="bullet"/>
      <w:lvlText w:val="•"/>
      <w:lvlJc w:val="left"/>
      <w:pPr>
        <w:ind w:left="2801" w:hanging="360"/>
      </w:pPr>
      <w:rPr>
        <w:rFonts w:hint="default"/>
        <w:lang w:val="zh-CN" w:eastAsia="zh-CN" w:bidi="zh-CN"/>
      </w:rPr>
    </w:lvl>
    <w:lvl w:ilvl="3" w:tentative="0">
      <w:start w:val="0"/>
      <w:numFmt w:val="bullet"/>
      <w:lvlText w:val="•"/>
      <w:lvlJc w:val="left"/>
      <w:pPr>
        <w:ind w:left="3662" w:hanging="360"/>
      </w:pPr>
      <w:rPr>
        <w:rFonts w:hint="default"/>
        <w:lang w:val="zh-CN" w:eastAsia="zh-CN" w:bidi="zh-CN"/>
      </w:rPr>
    </w:lvl>
    <w:lvl w:ilvl="4" w:tentative="0">
      <w:start w:val="0"/>
      <w:numFmt w:val="bullet"/>
      <w:lvlText w:val="•"/>
      <w:lvlJc w:val="left"/>
      <w:pPr>
        <w:ind w:left="4522" w:hanging="360"/>
      </w:pPr>
      <w:rPr>
        <w:rFonts w:hint="default"/>
        <w:lang w:val="zh-CN" w:eastAsia="zh-CN" w:bidi="zh-CN"/>
      </w:rPr>
    </w:lvl>
    <w:lvl w:ilvl="5" w:tentative="0">
      <w:start w:val="0"/>
      <w:numFmt w:val="bullet"/>
      <w:lvlText w:val="•"/>
      <w:lvlJc w:val="left"/>
      <w:pPr>
        <w:ind w:left="5383" w:hanging="360"/>
      </w:pPr>
      <w:rPr>
        <w:rFonts w:hint="default"/>
        <w:lang w:val="zh-CN" w:eastAsia="zh-CN" w:bidi="zh-CN"/>
      </w:rPr>
    </w:lvl>
    <w:lvl w:ilvl="6" w:tentative="0">
      <w:start w:val="0"/>
      <w:numFmt w:val="bullet"/>
      <w:lvlText w:val="•"/>
      <w:lvlJc w:val="left"/>
      <w:pPr>
        <w:ind w:left="6244" w:hanging="360"/>
      </w:pPr>
      <w:rPr>
        <w:rFonts w:hint="default"/>
        <w:lang w:val="zh-CN" w:eastAsia="zh-CN" w:bidi="zh-CN"/>
      </w:rPr>
    </w:lvl>
    <w:lvl w:ilvl="7" w:tentative="0">
      <w:start w:val="0"/>
      <w:numFmt w:val="bullet"/>
      <w:lvlText w:val="•"/>
      <w:lvlJc w:val="left"/>
      <w:pPr>
        <w:ind w:left="7104" w:hanging="360"/>
      </w:pPr>
      <w:rPr>
        <w:rFonts w:hint="default"/>
        <w:lang w:val="zh-CN" w:eastAsia="zh-CN" w:bidi="zh-CN"/>
      </w:rPr>
    </w:lvl>
    <w:lvl w:ilvl="8" w:tentative="0">
      <w:start w:val="0"/>
      <w:numFmt w:val="bullet"/>
      <w:lvlText w:val="•"/>
      <w:lvlJc w:val="left"/>
      <w:pPr>
        <w:ind w:left="7965" w:hanging="360"/>
      </w:pPr>
      <w:rPr>
        <w:rFonts w:hint="default"/>
        <w:lang w:val="zh-CN" w:eastAsia="zh-CN" w:bidi="zh-CN"/>
      </w:rPr>
    </w:lvl>
  </w:abstractNum>
  <w:abstractNum w:abstractNumId="4">
    <w:nsid w:val="1C257C7B"/>
    <w:multiLevelType w:val="multilevel"/>
    <w:tmpl w:val="1C257C7B"/>
    <w:lvl w:ilvl="0" w:tentative="0">
      <w:start w:val="1"/>
      <w:numFmt w:val="decimal"/>
      <w:lvlText w:val="（%1）"/>
      <w:lvlJc w:val="left"/>
      <w:pPr>
        <w:ind w:left="1312"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56" w:hanging="601"/>
      </w:pPr>
      <w:rPr>
        <w:rFonts w:hint="default"/>
        <w:lang w:val="zh-CN" w:eastAsia="zh-CN" w:bidi="zh-CN"/>
      </w:rPr>
    </w:lvl>
    <w:lvl w:ilvl="2" w:tentative="0">
      <w:start w:val="0"/>
      <w:numFmt w:val="bullet"/>
      <w:lvlText w:val="•"/>
      <w:lvlJc w:val="left"/>
      <w:pPr>
        <w:ind w:left="2993" w:hanging="601"/>
      </w:pPr>
      <w:rPr>
        <w:rFonts w:hint="default"/>
        <w:lang w:val="zh-CN" w:eastAsia="zh-CN" w:bidi="zh-CN"/>
      </w:rPr>
    </w:lvl>
    <w:lvl w:ilvl="3" w:tentative="0">
      <w:start w:val="0"/>
      <w:numFmt w:val="bullet"/>
      <w:lvlText w:val="•"/>
      <w:lvlJc w:val="left"/>
      <w:pPr>
        <w:ind w:left="3830" w:hanging="601"/>
      </w:pPr>
      <w:rPr>
        <w:rFonts w:hint="default"/>
        <w:lang w:val="zh-CN" w:eastAsia="zh-CN" w:bidi="zh-CN"/>
      </w:rPr>
    </w:lvl>
    <w:lvl w:ilvl="4" w:tentative="0">
      <w:start w:val="0"/>
      <w:numFmt w:val="bullet"/>
      <w:lvlText w:val="•"/>
      <w:lvlJc w:val="left"/>
      <w:pPr>
        <w:ind w:left="4666" w:hanging="601"/>
      </w:pPr>
      <w:rPr>
        <w:rFonts w:hint="default"/>
        <w:lang w:val="zh-CN" w:eastAsia="zh-CN" w:bidi="zh-CN"/>
      </w:rPr>
    </w:lvl>
    <w:lvl w:ilvl="5" w:tentative="0">
      <w:start w:val="0"/>
      <w:numFmt w:val="bullet"/>
      <w:lvlText w:val="•"/>
      <w:lvlJc w:val="left"/>
      <w:pPr>
        <w:ind w:left="5503" w:hanging="601"/>
      </w:pPr>
      <w:rPr>
        <w:rFonts w:hint="default"/>
        <w:lang w:val="zh-CN" w:eastAsia="zh-CN" w:bidi="zh-CN"/>
      </w:rPr>
    </w:lvl>
    <w:lvl w:ilvl="6" w:tentative="0">
      <w:start w:val="0"/>
      <w:numFmt w:val="bullet"/>
      <w:lvlText w:val="•"/>
      <w:lvlJc w:val="left"/>
      <w:pPr>
        <w:ind w:left="6340" w:hanging="601"/>
      </w:pPr>
      <w:rPr>
        <w:rFonts w:hint="default"/>
        <w:lang w:val="zh-CN" w:eastAsia="zh-CN" w:bidi="zh-CN"/>
      </w:rPr>
    </w:lvl>
    <w:lvl w:ilvl="7" w:tentative="0">
      <w:start w:val="0"/>
      <w:numFmt w:val="bullet"/>
      <w:lvlText w:val="•"/>
      <w:lvlJc w:val="left"/>
      <w:pPr>
        <w:ind w:left="7176" w:hanging="601"/>
      </w:pPr>
      <w:rPr>
        <w:rFonts w:hint="default"/>
        <w:lang w:val="zh-CN" w:eastAsia="zh-CN" w:bidi="zh-CN"/>
      </w:rPr>
    </w:lvl>
    <w:lvl w:ilvl="8" w:tentative="0">
      <w:start w:val="0"/>
      <w:numFmt w:val="bullet"/>
      <w:lvlText w:val="•"/>
      <w:lvlJc w:val="left"/>
      <w:pPr>
        <w:ind w:left="8013" w:hanging="601"/>
      </w:pPr>
      <w:rPr>
        <w:rFonts w:hint="default"/>
        <w:lang w:val="zh-CN" w:eastAsia="zh-CN" w:bidi="zh-CN"/>
      </w:rPr>
    </w:lvl>
  </w:abstractNum>
  <w:abstractNum w:abstractNumId="5">
    <w:nsid w:val="23E97754"/>
    <w:multiLevelType w:val="multilevel"/>
    <w:tmpl w:val="23E97754"/>
    <w:lvl w:ilvl="0" w:tentative="0">
      <w:start w:val="1"/>
      <w:numFmt w:val="decimal"/>
      <w:lvlText w:val="（%1）"/>
      <w:lvlJc w:val="left"/>
      <w:pPr>
        <w:ind w:left="23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84" w:hanging="601"/>
      </w:pPr>
      <w:rPr>
        <w:rFonts w:hint="default"/>
        <w:lang w:val="zh-CN" w:eastAsia="zh-CN" w:bidi="zh-CN"/>
      </w:rPr>
    </w:lvl>
    <w:lvl w:ilvl="2" w:tentative="0">
      <w:start w:val="0"/>
      <w:numFmt w:val="bullet"/>
      <w:lvlText w:val="•"/>
      <w:lvlJc w:val="left"/>
      <w:pPr>
        <w:ind w:left="2129" w:hanging="601"/>
      </w:pPr>
      <w:rPr>
        <w:rFonts w:hint="default"/>
        <w:lang w:val="zh-CN" w:eastAsia="zh-CN" w:bidi="zh-CN"/>
      </w:rPr>
    </w:lvl>
    <w:lvl w:ilvl="3" w:tentative="0">
      <w:start w:val="0"/>
      <w:numFmt w:val="bullet"/>
      <w:lvlText w:val="•"/>
      <w:lvlJc w:val="left"/>
      <w:pPr>
        <w:ind w:left="3074" w:hanging="601"/>
      </w:pPr>
      <w:rPr>
        <w:rFonts w:hint="default"/>
        <w:lang w:val="zh-CN" w:eastAsia="zh-CN" w:bidi="zh-CN"/>
      </w:rPr>
    </w:lvl>
    <w:lvl w:ilvl="4" w:tentative="0">
      <w:start w:val="0"/>
      <w:numFmt w:val="bullet"/>
      <w:lvlText w:val="•"/>
      <w:lvlJc w:val="left"/>
      <w:pPr>
        <w:ind w:left="4018" w:hanging="601"/>
      </w:pPr>
      <w:rPr>
        <w:rFonts w:hint="default"/>
        <w:lang w:val="zh-CN" w:eastAsia="zh-CN" w:bidi="zh-CN"/>
      </w:rPr>
    </w:lvl>
    <w:lvl w:ilvl="5" w:tentative="0">
      <w:start w:val="0"/>
      <w:numFmt w:val="bullet"/>
      <w:lvlText w:val="•"/>
      <w:lvlJc w:val="left"/>
      <w:pPr>
        <w:ind w:left="4963" w:hanging="601"/>
      </w:pPr>
      <w:rPr>
        <w:rFonts w:hint="default"/>
        <w:lang w:val="zh-CN" w:eastAsia="zh-CN" w:bidi="zh-CN"/>
      </w:rPr>
    </w:lvl>
    <w:lvl w:ilvl="6" w:tentative="0">
      <w:start w:val="0"/>
      <w:numFmt w:val="bullet"/>
      <w:lvlText w:val="•"/>
      <w:lvlJc w:val="left"/>
      <w:pPr>
        <w:ind w:left="5908" w:hanging="601"/>
      </w:pPr>
      <w:rPr>
        <w:rFonts w:hint="default"/>
        <w:lang w:val="zh-CN" w:eastAsia="zh-CN" w:bidi="zh-CN"/>
      </w:rPr>
    </w:lvl>
    <w:lvl w:ilvl="7" w:tentative="0">
      <w:start w:val="0"/>
      <w:numFmt w:val="bullet"/>
      <w:lvlText w:val="•"/>
      <w:lvlJc w:val="left"/>
      <w:pPr>
        <w:ind w:left="6852" w:hanging="601"/>
      </w:pPr>
      <w:rPr>
        <w:rFonts w:hint="default"/>
        <w:lang w:val="zh-CN" w:eastAsia="zh-CN" w:bidi="zh-CN"/>
      </w:rPr>
    </w:lvl>
    <w:lvl w:ilvl="8" w:tentative="0">
      <w:start w:val="0"/>
      <w:numFmt w:val="bullet"/>
      <w:lvlText w:val="•"/>
      <w:lvlJc w:val="left"/>
      <w:pPr>
        <w:ind w:left="7797" w:hanging="601"/>
      </w:pPr>
      <w:rPr>
        <w:rFonts w:hint="default"/>
        <w:lang w:val="zh-CN" w:eastAsia="zh-CN" w:bidi="zh-CN"/>
      </w:rPr>
    </w:lvl>
  </w:abstractNum>
  <w:abstractNum w:abstractNumId="6">
    <w:nsid w:val="32A7AF2D"/>
    <w:multiLevelType w:val="multilevel"/>
    <w:tmpl w:val="32A7AF2D"/>
    <w:lvl w:ilvl="0" w:tentative="0">
      <w:start w:val="1"/>
      <w:numFmt w:val="decimal"/>
      <w:lvlText w:val="%1."/>
      <w:lvlJc w:val="left"/>
      <w:pPr>
        <w:ind w:left="421" w:hanging="420"/>
      </w:pPr>
      <w:rPr>
        <w:rFonts w:hint="default" w:ascii="宋体" w:hAnsi="宋体" w:eastAsia="宋体" w:cs="宋体"/>
        <w:spacing w:val="0"/>
        <w:w w:val="100"/>
        <w:sz w:val="28"/>
        <w:szCs w:val="28"/>
        <w:lang w:val="zh-CN" w:eastAsia="zh-CN" w:bidi="zh-CN"/>
      </w:rPr>
    </w:lvl>
    <w:lvl w:ilvl="1" w:tentative="0">
      <w:start w:val="1"/>
      <w:numFmt w:val="decimal"/>
      <w:lvlText w:val="%1.%2"/>
      <w:lvlJc w:val="left"/>
      <w:pPr>
        <w:ind w:left="481"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1201" w:hanging="720"/>
      </w:pPr>
      <w:rPr>
        <w:rFonts w:hint="default" w:ascii="宋体" w:hAnsi="宋体" w:eastAsia="宋体" w:cs="宋体"/>
        <w:w w:val="100"/>
        <w:sz w:val="24"/>
        <w:szCs w:val="24"/>
        <w:lang w:val="zh-CN" w:eastAsia="zh-CN" w:bidi="zh-CN"/>
      </w:rPr>
    </w:lvl>
    <w:lvl w:ilvl="3" w:tentative="0">
      <w:start w:val="0"/>
      <w:numFmt w:val="bullet"/>
      <w:lvlText w:val="•"/>
      <w:lvlJc w:val="left"/>
      <w:pPr>
        <w:ind w:left="1210" w:hanging="720"/>
      </w:pPr>
      <w:rPr>
        <w:rFonts w:hint="default"/>
        <w:lang w:val="zh-CN" w:eastAsia="zh-CN" w:bidi="zh-CN"/>
      </w:rPr>
    </w:lvl>
    <w:lvl w:ilvl="4" w:tentative="0">
      <w:start w:val="0"/>
      <w:numFmt w:val="bullet"/>
      <w:lvlText w:val="•"/>
      <w:lvlJc w:val="left"/>
      <w:pPr>
        <w:ind w:left="2388" w:hanging="720"/>
      </w:pPr>
      <w:rPr>
        <w:rFonts w:hint="default"/>
        <w:lang w:val="zh-CN" w:eastAsia="zh-CN" w:bidi="zh-CN"/>
      </w:rPr>
    </w:lvl>
    <w:lvl w:ilvl="5" w:tentative="0">
      <w:start w:val="0"/>
      <w:numFmt w:val="bullet"/>
      <w:lvlText w:val="•"/>
      <w:lvlJc w:val="left"/>
      <w:pPr>
        <w:ind w:left="3566" w:hanging="720"/>
      </w:pPr>
      <w:rPr>
        <w:rFonts w:hint="default"/>
        <w:lang w:val="zh-CN" w:eastAsia="zh-CN" w:bidi="zh-CN"/>
      </w:rPr>
    </w:lvl>
    <w:lvl w:ilvl="6" w:tentative="0">
      <w:start w:val="0"/>
      <w:numFmt w:val="bullet"/>
      <w:lvlText w:val="•"/>
      <w:lvlJc w:val="left"/>
      <w:pPr>
        <w:ind w:left="4744" w:hanging="720"/>
      </w:pPr>
      <w:rPr>
        <w:rFonts w:hint="default"/>
        <w:lang w:val="zh-CN" w:eastAsia="zh-CN" w:bidi="zh-CN"/>
      </w:rPr>
    </w:lvl>
    <w:lvl w:ilvl="7" w:tentative="0">
      <w:start w:val="0"/>
      <w:numFmt w:val="bullet"/>
      <w:lvlText w:val="•"/>
      <w:lvlJc w:val="left"/>
      <w:pPr>
        <w:ind w:left="5922" w:hanging="720"/>
      </w:pPr>
      <w:rPr>
        <w:rFonts w:hint="default"/>
        <w:lang w:val="zh-CN" w:eastAsia="zh-CN" w:bidi="zh-CN"/>
      </w:rPr>
    </w:lvl>
    <w:lvl w:ilvl="8" w:tentative="0">
      <w:start w:val="0"/>
      <w:numFmt w:val="bullet"/>
      <w:lvlText w:val="•"/>
      <w:lvlJc w:val="left"/>
      <w:pPr>
        <w:ind w:left="7100" w:hanging="720"/>
      </w:pPr>
      <w:rPr>
        <w:rFonts w:hint="default"/>
        <w:lang w:val="zh-CN" w:eastAsia="zh-CN" w:bidi="zh-CN"/>
      </w:rPr>
    </w:lvl>
  </w:abstractNum>
  <w:abstractNum w:abstractNumId="7">
    <w:nsid w:val="35E83B33"/>
    <w:multiLevelType w:val="multilevel"/>
    <w:tmpl w:val="35E83B33"/>
    <w:lvl w:ilvl="0" w:tentative="0">
      <w:start w:val="1"/>
      <w:numFmt w:val="lowerLetter"/>
      <w:lvlText w:val="%1."/>
      <w:lvlJc w:val="left"/>
      <w:pPr>
        <w:ind w:left="231" w:hanging="360"/>
      </w:pPr>
      <w:rPr>
        <w:rFonts w:hint="default" w:ascii="宋体" w:hAnsi="宋体" w:eastAsia="宋体" w:cs="宋体"/>
        <w:spacing w:val="-34"/>
        <w:w w:val="100"/>
        <w:sz w:val="24"/>
        <w:szCs w:val="24"/>
        <w:lang w:val="zh-CN" w:eastAsia="zh-CN" w:bidi="zh-CN"/>
      </w:rPr>
    </w:lvl>
    <w:lvl w:ilvl="1" w:tentative="0">
      <w:start w:val="0"/>
      <w:numFmt w:val="bullet"/>
      <w:lvlText w:val="•"/>
      <w:lvlJc w:val="left"/>
      <w:pPr>
        <w:ind w:left="1184" w:hanging="360"/>
      </w:pPr>
      <w:rPr>
        <w:rFonts w:hint="default"/>
        <w:lang w:val="zh-CN" w:eastAsia="zh-CN" w:bidi="zh-CN"/>
      </w:rPr>
    </w:lvl>
    <w:lvl w:ilvl="2" w:tentative="0">
      <w:start w:val="0"/>
      <w:numFmt w:val="bullet"/>
      <w:lvlText w:val="•"/>
      <w:lvlJc w:val="left"/>
      <w:pPr>
        <w:ind w:left="2129" w:hanging="360"/>
      </w:pPr>
      <w:rPr>
        <w:rFonts w:hint="default"/>
        <w:lang w:val="zh-CN" w:eastAsia="zh-CN" w:bidi="zh-CN"/>
      </w:rPr>
    </w:lvl>
    <w:lvl w:ilvl="3" w:tentative="0">
      <w:start w:val="0"/>
      <w:numFmt w:val="bullet"/>
      <w:lvlText w:val="•"/>
      <w:lvlJc w:val="left"/>
      <w:pPr>
        <w:ind w:left="3074" w:hanging="360"/>
      </w:pPr>
      <w:rPr>
        <w:rFonts w:hint="default"/>
        <w:lang w:val="zh-CN" w:eastAsia="zh-CN" w:bidi="zh-CN"/>
      </w:rPr>
    </w:lvl>
    <w:lvl w:ilvl="4" w:tentative="0">
      <w:start w:val="0"/>
      <w:numFmt w:val="bullet"/>
      <w:lvlText w:val="•"/>
      <w:lvlJc w:val="left"/>
      <w:pPr>
        <w:ind w:left="4018" w:hanging="360"/>
      </w:pPr>
      <w:rPr>
        <w:rFonts w:hint="default"/>
        <w:lang w:val="zh-CN" w:eastAsia="zh-CN" w:bidi="zh-CN"/>
      </w:rPr>
    </w:lvl>
    <w:lvl w:ilvl="5" w:tentative="0">
      <w:start w:val="0"/>
      <w:numFmt w:val="bullet"/>
      <w:lvlText w:val="•"/>
      <w:lvlJc w:val="left"/>
      <w:pPr>
        <w:ind w:left="4963" w:hanging="360"/>
      </w:pPr>
      <w:rPr>
        <w:rFonts w:hint="default"/>
        <w:lang w:val="zh-CN" w:eastAsia="zh-CN" w:bidi="zh-CN"/>
      </w:rPr>
    </w:lvl>
    <w:lvl w:ilvl="6" w:tentative="0">
      <w:start w:val="0"/>
      <w:numFmt w:val="bullet"/>
      <w:lvlText w:val="•"/>
      <w:lvlJc w:val="left"/>
      <w:pPr>
        <w:ind w:left="5908" w:hanging="360"/>
      </w:pPr>
      <w:rPr>
        <w:rFonts w:hint="default"/>
        <w:lang w:val="zh-CN" w:eastAsia="zh-CN" w:bidi="zh-CN"/>
      </w:rPr>
    </w:lvl>
    <w:lvl w:ilvl="7" w:tentative="0">
      <w:start w:val="0"/>
      <w:numFmt w:val="bullet"/>
      <w:lvlText w:val="•"/>
      <w:lvlJc w:val="left"/>
      <w:pPr>
        <w:ind w:left="6852" w:hanging="360"/>
      </w:pPr>
      <w:rPr>
        <w:rFonts w:hint="default"/>
        <w:lang w:val="zh-CN" w:eastAsia="zh-CN" w:bidi="zh-CN"/>
      </w:rPr>
    </w:lvl>
    <w:lvl w:ilvl="8" w:tentative="0">
      <w:start w:val="0"/>
      <w:numFmt w:val="bullet"/>
      <w:lvlText w:val="•"/>
      <w:lvlJc w:val="left"/>
      <w:pPr>
        <w:ind w:left="7797" w:hanging="360"/>
      </w:pPr>
      <w:rPr>
        <w:rFonts w:hint="default"/>
        <w:lang w:val="zh-CN" w:eastAsia="zh-CN" w:bidi="zh-CN"/>
      </w:rPr>
    </w:lvl>
  </w:abstractNum>
  <w:abstractNum w:abstractNumId="8">
    <w:nsid w:val="40B249F9"/>
    <w:multiLevelType w:val="multilevel"/>
    <w:tmpl w:val="40B249F9"/>
    <w:lvl w:ilvl="0" w:tentative="0">
      <w:start w:val="1"/>
      <w:numFmt w:val="decimal"/>
      <w:lvlText w:val="（%1）"/>
      <w:lvlJc w:val="left"/>
      <w:pPr>
        <w:ind w:left="1312" w:hanging="601"/>
      </w:pPr>
      <w:rPr>
        <w:rFonts w:hint="default"/>
        <w:w w:val="99"/>
        <w:lang w:val="zh-CN" w:eastAsia="zh-CN" w:bidi="zh-CN"/>
      </w:rPr>
    </w:lvl>
    <w:lvl w:ilvl="1" w:tentative="0">
      <w:start w:val="0"/>
      <w:numFmt w:val="bullet"/>
      <w:lvlText w:val="•"/>
      <w:lvlJc w:val="left"/>
      <w:pPr>
        <w:ind w:left="2156" w:hanging="601"/>
      </w:pPr>
      <w:rPr>
        <w:rFonts w:hint="default"/>
        <w:lang w:val="zh-CN" w:eastAsia="zh-CN" w:bidi="zh-CN"/>
      </w:rPr>
    </w:lvl>
    <w:lvl w:ilvl="2" w:tentative="0">
      <w:start w:val="0"/>
      <w:numFmt w:val="bullet"/>
      <w:lvlText w:val="•"/>
      <w:lvlJc w:val="left"/>
      <w:pPr>
        <w:ind w:left="2993" w:hanging="601"/>
      </w:pPr>
      <w:rPr>
        <w:rFonts w:hint="default"/>
        <w:lang w:val="zh-CN" w:eastAsia="zh-CN" w:bidi="zh-CN"/>
      </w:rPr>
    </w:lvl>
    <w:lvl w:ilvl="3" w:tentative="0">
      <w:start w:val="0"/>
      <w:numFmt w:val="bullet"/>
      <w:lvlText w:val="•"/>
      <w:lvlJc w:val="left"/>
      <w:pPr>
        <w:ind w:left="3830" w:hanging="601"/>
      </w:pPr>
      <w:rPr>
        <w:rFonts w:hint="default"/>
        <w:lang w:val="zh-CN" w:eastAsia="zh-CN" w:bidi="zh-CN"/>
      </w:rPr>
    </w:lvl>
    <w:lvl w:ilvl="4" w:tentative="0">
      <w:start w:val="0"/>
      <w:numFmt w:val="bullet"/>
      <w:lvlText w:val="•"/>
      <w:lvlJc w:val="left"/>
      <w:pPr>
        <w:ind w:left="4666" w:hanging="601"/>
      </w:pPr>
      <w:rPr>
        <w:rFonts w:hint="default"/>
        <w:lang w:val="zh-CN" w:eastAsia="zh-CN" w:bidi="zh-CN"/>
      </w:rPr>
    </w:lvl>
    <w:lvl w:ilvl="5" w:tentative="0">
      <w:start w:val="0"/>
      <w:numFmt w:val="bullet"/>
      <w:lvlText w:val="•"/>
      <w:lvlJc w:val="left"/>
      <w:pPr>
        <w:ind w:left="5503" w:hanging="601"/>
      </w:pPr>
      <w:rPr>
        <w:rFonts w:hint="default"/>
        <w:lang w:val="zh-CN" w:eastAsia="zh-CN" w:bidi="zh-CN"/>
      </w:rPr>
    </w:lvl>
    <w:lvl w:ilvl="6" w:tentative="0">
      <w:start w:val="0"/>
      <w:numFmt w:val="bullet"/>
      <w:lvlText w:val="•"/>
      <w:lvlJc w:val="left"/>
      <w:pPr>
        <w:ind w:left="6340" w:hanging="601"/>
      </w:pPr>
      <w:rPr>
        <w:rFonts w:hint="default"/>
        <w:lang w:val="zh-CN" w:eastAsia="zh-CN" w:bidi="zh-CN"/>
      </w:rPr>
    </w:lvl>
    <w:lvl w:ilvl="7" w:tentative="0">
      <w:start w:val="0"/>
      <w:numFmt w:val="bullet"/>
      <w:lvlText w:val="•"/>
      <w:lvlJc w:val="left"/>
      <w:pPr>
        <w:ind w:left="7176" w:hanging="601"/>
      </w:pPr>
      <w:rPr>
        <w:rFonts w:hint="default"/>
        <w:lang w:val="zh-CN" w:eastAsia="zh-CN" w:bidi="zh-CN"/>
      </w:rPr>
    </w:lvl>
    <w:lvl w:ilvl="8" w:tentative="0">
      <w:start w:val="0"/>
      <w:numFmt w:val="bullet"/>
      <w:lvlText w:val="•"/>
      <w:lvlJc w:val="left"/>
      <w:pPr>
        <w:ind w:left="8013" w:hanging="601"/>
      </w:pPr>
      <w:rPr>
        <w:rFonts w:hint="default"/>
        <w:lang w:val="zh-CN" w:eastAsia="zh-CN" w:bidi="zh-CN"/>
      </w:rPr>
    </w:lvl>
  </w:abstractNum>
  <w:num w:numId="1">
    <w:abstractNumId w:val="6"/>
  </w:num>
  <w:num w:numId="2">
    <w:abstractNumId w:val="4"/>
  </w:num>
  <w:num w:numId="3">
    <w:abstractNumId w:val="1"/>
  </w:num>
  <w:num w:numId="4">
    <w:abstractNumId w:val="5"/>
  </w:num>
  <w:num w:numId="5">
    <w:abstractNumId w:val="0"/>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84FA6"/>
    <w:rsid w:val="11084FA6"/>
    <w:rsid w:val="4394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3"/>
      <w:ind w:left="905" w:right="1249"/>
      <w:jc w:val="center"/>
      <w:outlineLvl w:val="0"/>
    </w:pPr>
    <w:rPr>
      <w:sz w:val="48"/>
      <w:szCs w:val="48"/>
    </w:rPr>
  </w:style>
  <w:style w:type="paragraph" w:styleId="3">
    <w:name w:val="heading 2"/>
    <w:basedOn w:val="1"/>
    <w:next w:val="1"/>
    <w:qFormat/>
    <w:uiPriority w:val="1"/>
    <w:pPr>
      <w:spacing w:before="50"/>
      <w:ind w:right="318"/>
      <w:jc w:val="center"/>
      <w:outlineLvl w:val="1"/>
    </w:pPr>
    <w:rPr>
      <w:b/>
      <w:bCs/>
      <w:sz w:val="36"/>
      <w:szCs w:val="36"/>
    </w:rPr>
  </w:style>
  <w:style w:type="paragraph" w:styleId="4">
    <w:name w:val="heading 5"/>
    <w:basedOn w:val="1"/>
    <w:next w:val="1"/>
    <w:qFormat/>
    <w:uiPriority w:val="1"/>
    <w:pPr>
      <w:spacing w:before="27"/>
      <w:ind w:right="321"/>
      <w:jc w:val="center"/>
      <w:outlineLvl w:val="4"/>
    </w:pPr>
    <w:rPr>
      <w:b/>
      <w:bCs/>
      <w:sz w:val="30"/>
      <w:szCs w:val="30"/>
    </w:rPr>
  </w:style>
  <w:style w:type="paragraph" w:styleId="5">
    <w:name w:val="heading 7"/>
    <w:basedOn w:val="1"/>
    <w:next w:val="1"/>
    <w:qFormat/>
    <w:uiPriority w:val="1"/>
    <w:pPr>
      <w:jc w:val="center"/>
      <w:outlineLvl w:val="6"/>
    </w:pPr>
    <w:rPr>
      <w:sz w:val="28"/>
      <w:szCs w:val="28"/>
    </w:rPr>
  </w:style>
  <w:style w:type="paragraph" w:styleId="6">
    <w:name w:val="heading 8"/>
    <w:basedOn w:val="1"/>
    <w:next w:val="1"/>
    <w:qFormat/>
    <w:uiPriority w:val="1"/>
    <w:pPr>
      <w:ind w:left="713" w:hanging="483"/>
      <w:outlineLvl w:val="7"/>
    </w:pPr>
    <w:rPr>
      <w:b/>
      <w:bCs/>
      <w:sz w:val="24"/>
      <w:szCs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Body Text"/>
    <w:basedOn w:val="1"/>
    <w:next w:val="1"/>
    <w:qFormat/>
    <w:uiPriority w:val="1"/>
    <w:rPr>
      <w:sz w:val="24"/>
      <w:szCs w:val="24"/>
    </w:rPr>
  </w:style>
  <w:style w:type="paragraph" w:styleId="8">
    <w:name w:val="footer"/>
    <w:basedOn w:val="1"/>
    <w:qFormat/>
    <w:uiPriority w:val="0"/>
    <w:pPr>
      <w:tabs>
        <w:tab w:val="center" w:pos="4153"/>
        <w:tab w:val="right" w:pos="8306"/>
      </w:tabs>
      <w:snapToGrid w:val="0"/>
    </w:pPr>
    <w:rPr>
      <w:sz w:val="18"/>
    </w:rPr>
  </w:style>
  <w:style w:type="paragraph" w:styleId="9">
    <w:name w:val="footnote text"/>
    <w:basedOn w:val="1"/>
    <w:qFormat/>
    <w:uiPriority w:val="0"/>
    <w:pPr>
      <w:snapToGrid w:val="0"/>
    </w:pPr>
    <w:rPr>
      <w:sz w:val="18"/>
    </w:rPr>
  </w:style>
  <w:style w:type="character" w:styleId="12">
    <w:name w:val="footnote reference"/>
    <w:basedOn w:val="11"/>
    <w:qFormat/>
    <w:uiPriority w:val="0"/>
    <w:rPr>
      <w:vertAlign w:val="superscript"/>
    </w:rPr>
  </w:style>
  <w:style w:type="character" w:customStyle="1" w:styleId="13">
    <w:name w:val="font21"/>
    <w:basedOn w:val="11"/>
    <w:qFormat/>
    <w:uiPriority w:val="0"/>
    <w:rPr>
      <w:rFonts w:hint="eastAsia" w:ascii="宋体" w:hAnsi="宋体" w:eastAsia="宋体" w:cs="宋体"/>
      <w:b/>
      <w:bCs/>
      <w:color w:val="000000"/>
      <w:sz w:val="22"/>
      <w:szCs w:val="22"/>
      <w:u w:val="none"/>
    </w:rPr>
  </w:style>
  <w:style w:type="paragraph" w:customStyle="1" w:styleId="14">
    <w:name w:val="Table Paragraph"/>
    <w:basedOn w:val="1"/>
    <w:qFormat/>
    <w:uiPriority w:val="1"/>
  </w:style>
  <w:style w:type="paragraph" w:customStyle="1" w:styleId="15">
    <w:name w:val="标准"/>
    <w:basedOn w:val="16"/>
    <w:qFormat/>
    <w:uiPriority w:val="0"/>
    <w:pPr>
      <w:tabs>
        <w:tab w:val="left" w:leader="middleDot" w:pos="8400"/>
        <w:tab w:val="left" w:leader="middleDot" w:pos="10500"/>
      </w:tabs>
      <w:snapToGrid/>
      <w:ind w:firstLine="454"/>
    </w:pPr>
    <w:rPr>
      <w:snapToGrid/>
    </w:rPr>
  </w:style>
  <w:style w:type="paragraph" w:customStyle="1" w:styleId="16">
    <w:name w:val="表中"/>
    <w:basedOn w:val="1"/>
    <w:qFormat/>
    <w:uiPriority w:val="0"/>
    <w:pPr>
      <w:tabs>
        <w:tab w:val="left" w:leader="middleDot" w:pos="8400"/>
        <w:tab w:val="left" w:leader="middleDot" w:pos="10500"/>
      </w:tabs>
      <w:adjustRightInd w:val="0"/>
      <w:snapToGrid w:val="0"/>
      <w:spacing w:line="420" w:lineRule="atLeast"/>
      <w:jc w:val="center"/>
    </w:pPr>
    <w:rPr>
      <w:snapToGrid w:val="0"/>
      <w:kern w:val="0"/>
      <w:szCs w:val="20"/>
    </w:rPr>
  </w:style>
  <w:style w:type="paragraph" w:styleId="17">
    <w:name w:val="List Paragraph"/>
    <w:basedOn w:val="1"/>
    <w:next w:val="3"/>
    <w:qFormat/>
    <w:uiPriority w:val="1"/>
    <w:pPr>
      <w:ind w:left="231" w:firstLine="48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2021-07-22T09:24:00Z</dcterms:created>
  <dc:creator>Er_JJ</dc:creator>
  <cp:lastModifiedBy>呆呆熊</cp:lastModifiedBy>
  <dcterms:modified xsi:type="dcterms:W3CDTF">2021-08-23T07:26:17Z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E099FD34AB7D4CA3A7200B05AF6E5829</vt:lpwstr>
  </property>
</Properties>
</file>