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ind w:left="0" w:leftChars="0"/>
        <w:jc w:val="center"/>
        <w:textAlignment w:val="auto"/>
        <w:rPr>
          <w:rFonts w:hint="eastAsia" w:ascii="微软雅黑" w:hAnsi="仿宋" w:eastAsia="微软雅黑"/>
          <w:color w:val="000000" w:themeColor="text1"/>
          <w:spacing w:val="0"/>
          <w:sz w:val="36"/>
          <w:szCs w:val="36"/>
          <w:highlight w:val="none"/>
          <w14:textFill>
            <w14:solidFill>
              <w14:schemeClr w14:val="tx1"/>
            </w14:solidFill>
          </w14:textFill>
        </w:rPr>
      </w:pPr>
    </w:p>
    <w:p>
      <w:pPr>
        <w:keepNext w:val="0"/>
        <w:keepLines w:val="0"/>
        <w:pageBreakBefore w:val="0"/>
        <w:widowControl w:val="0"/>
        <w:kinsoku/>
        <w:wordWrap/>
        <w:overflowPunct/>
        <w:topLinePunct/>
        <w:autoSpaceDE/>
        <w:autoSpaceDN/>
        <w:bidi w:val="0"/>
        <w:ind w:left="0" w:leftChars="0"/>
        <w:jc w:val="center"/>
        <w:textAlignment w:val="auto"/>
        <w:rPr>
          <w:rFonts w:hint="eastAsia" w:ascii="微软雅黑" w:hAnsi="仿宋" w:eastAsia="微软雅黑"/>
          <w:color w:val="000000" w:themeColor="text1"/>
          <w:spacing w:val="0"/>
          <w:sz w:val="36"/>
          <w:szCs w:val="36"/>
          <w:highlight w:val="none"/>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bCs/>
          <w:color w:val="000000" w:themeColor="text1"/>
          <w:spacing w:val="0"/>
          <w:sz w:val="52"/>
          <w:szCs w:val="52"/>
          <w:highlight w:val="none"/>
          <w:lang w:eastAsia="zh-CN"/>
          <w14:textFill>
            <w14:solidFill>
              <w14:schemeClr w14:val="tx1"/>
            </w14:solidFill>
          </w14:textFill>
        </w:rPr>
      </w:pPr>
      <w:r>
        <w:rPr>
          <w:rFonts w:hint="eastAsia" w:ascii="微软雅黑" w:hAnsi="Times New Roman" w:eastAsia="微软雅黑" w:cs="Times New Roman"/>
          <w:b/>
          <w:bCs/>
          <w:color w:val="000000" w:themeColor="text1"/>
          <w:spacing w:val="0"/>
          <w:sz w:val="52"/>
          <w:szCs w:val="52"/>
          <w:highlight w:val="none"/>
          <w:lang w:eastAsia="zh-CN"/>
          <w14:textFill>
            <w14:solidFill>
              <w14:schemeClr w14:val="tx1"/>
            </w14:solidFill>
          </w14:textFill>
        </w:rPr>
        <w:t>宁夏回族自治区交通运输厅</w:t>
      </w: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bCs/>
          <w:color w:val="000000" w:themeColor="text1"/>
          <w:spacing w:val="0"/>
          <w:sz w:val="52"/>
          <w:szCs w:val="52"/>
          <w:highlight w:val="none"/>
          <w:lang w:val="en-US" w:eastAsia="zh-CN"/>
          <w14:textFill>
            <w14:solidFill>
              <w14:schemeClr w14:val="tx1"/>
            </w14:solidFill>
          </w14:textFill>
        </w:rPr>
      </w:pPr>
      <w:r>
        <w:rPr>
          <w:rFonts w:hint="eastAsia" w:ascii="微软雅黑" w:hAnsi="Times New Roman" w:eastAsia="微软雅黑" w:cs="Times New Roman"/>
          <w:b/>
          <w:bCs/>
          <w:color w:val="000000" w:themeColor="text1"/>
          <w:spacing w:val="0"/>
          <w:sz w:val="52"/>
          <w:szCs w:val="52"/>
          <w:highlight w:val="none"/>
          <w:lang w:val="en-US" w:eastAsia="zh-CN"/>
          <w14:textFill>
            <w14:solidFill>
              <w14:schemeClr w14:val="tx1"/>
            </w14:solidFill>
          </w14:textFill>
        </w:rPr>
        <w:t>突发事件</w:t>
      </w:r>
      <w:r>
        <w:rPr>
          <w:rFonts w:hint="eastAsia" w:ascii="微软雅黑" w:hAnsi="Times New Roman" w:eastAsia="微软雅黑" w:cs="Times New Roman"/>
          <w:b/>
          <w:bCs/>
          <w:color w:val="000000" w:themeColor="text1"/>
          <w:spacing w:val="0"/>
          <w:sz w:val="52"/>
          <w:szCs w:val="52"/>
          <w:highlight w:val="none"/>
          <w14:textFill>
            <w14:solidFill>
              <w14:schemeClr w14:val="tx1"/>
            </w14:solidFill>
          </w14:textFill>
        </w:rPr>
        <w:t>应急预案</w:t>
      </w:r>
      <w:bookmarkStart w:id="2298" w:name="_GoBack"/>
      <w:bookmarkEnd w:id="2298"/>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val="0"/>
          <w:bCs/>
          <w:color w:val="000000" w:themeColor="text1"/>
          <w:spacing w:val="0"/>
          <w:sz w:val="44"/>
          <w:szCs w:val="44"/>
          <w:highlight w:val="none"/>
          <w:lang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val="0"/>
          <w:bCs/>
          <w:color w:val="000000" w:themeColor="text1"/>
          <w:spacing w:val="0"/>
          <w:sz w:val="44"/>
          <w:szCs w:val="44"/>
          <w:highlight w:val="none"/>
          <w:lang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val="0"/>
          <w:bCs/>
          <w:color w:val="000000" w:themeColor="text1"/>
          <w:spacing w:val="0"/>
          <w:sz w:val="44"/>
          <w:szCs w:val="44"/>
          <w:highlight w:val="none"/>
          <w:lang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val="0"/>
          <w:bCs/>
          <w:color w:val="000000" w:themeColor="text1"/>
          <w:spacing w:val="0"/>
          <w:sz w:val="44"/>
          <w:szCs w:val="44"/>
          <w:highlight w:val="none"/>
          <w:lang w:eastAsia="zh-CN"/>
          <w14:textFill>
            <w14:solidFill>
              <w14:schemeClr w14:val="tx1"/>
            </w14:solidFill>
          </w14:textFill>
        </w:rPr>
      </w:pPr>
    </w:p>
    <w:p>
      <w:pPr>
        <w:keepNext w:val="0"/>
        <w:keepLines w:val="0"/>
        <w:pageBreakBefore w:val="0"/>
        <w:widowControl w:val="0"/>
        <w:kinsoku/>
        <w:wordWrap/>
        <w:overflowPunct/>
        <w:topLinePunct/>
        <w:bidi w:val="0"/>
        <w:spacing w:line="240" w:lineRule="auto"/>
        <w:ind w:left="0" w:leftChars="0"/>
        <w:jc w:val="both"/>
        <w:rPr>
          <w:rFonts w:ascii="微软雅黑" w:hAnsi="Times New Roman" w:eastAsia="微软雅黑" w:cs="Times New Roman"/>
          <w:b/>
          <w:color w:val="000000" w:themeColor="text1"/>
          <w:spacing w:val="0"/>
          <w:sz w:val="44"/>
          <w:szCs w:val="44"/>
          <w:highlight w:val="none"/>
          <w14:textFill>
            <w14:solidFill>
              <w14:schemeClr w14:val="tx1"/>
            </w14:solidFill>
          </w14:textFill>
        </w:rPr>
      </w:pPr>
    </w:p>
    <w:p>
      <w:pPr>
        <w:keepNext w:val="0"/>
        <w:keepLines w:val="0"/>
        <w:pageBreakBefore w:val="0"/>
        <w:widowControl w:val="0"/>
        <w:kinsoku/>
        <w:wordWrap/>
        <w:overflowPunct/>
        <w:topLinePunct/>
        <w:bidi w:val="0"/>
        <w:spacing w:line="560" w:lineRule="exact"/>
        <w:ind w:left="0" w:leftChars="0"/>
        <w:jc w:val="center"/>
        <w:rPr>
          <w:rFonts w:hint="default" w:ascii="微软雅黑" w:hAnsi="Times New Roman" w:eastAsia="微软雅黑" w:cs="Times New Roman"/>
          <w:b/>
          <w:color w:val="000000" w:themeColor="text1"/>
          <w:spacing w:val="0"/>
          <w:sz w:val="44"/>
          <w:szCs w:val="44"/>
          <w:highlight w:val="none"/>
          <w:lang w:val="en-US" w:eastAsia="zh-CN"/>
          <w14:textFill>
            <w14:solidFill>
              <w14:schemeClr w14:val="tx1"/>
            </w14:solidFill>
          </w14:textFill>
        </w:rPr>
      </w:pPr>
    </w:p>
    <w:p>
      <w:pPr>
        <w:keepNext w:val="0"/>
        <w:keepLines w:val="0"/>
        <w:pageBreakBefore w:val="0"/>
        <w:widowControl w:val="0"/>
        <w:kinsoku/>
        <w:wordWrap/>
        <w:overflowPunct/>
        <w:topLinePunct/>
        <w:bidi w:val="0"/>
        <w:spacing w:line="560" w:lineRule="exact"/>
        <w:ind w:left="0" w:leftChars="0"/>
        <w:jc w:val="both"/>
        <w:rPr>
          <w:rFonts w:ascii="微软雅黑" w:hAnsi="Times New Roman" w:eastAsia="微软雅黑" w:cs="Times New Roman"/>
          <w:b/>
          <w:color w:val="000000" w:themeColor="text1"/>
          <w:spacing w:val="0"/>
          <w:sz w:val="44"/>
          <w:szCs w:val="44"/>
          <w:highlight w:val="none"/>
          <w14:textFill>
            <w14:solidFill>
              <w14:schemeClr w14:val="tx1"/>
            </w14:solidFill>
          </w14:textFill>
        </w:rPr>
      </w:pPr>
    </w:p>
    <w:p>
      <w:pPr>
        <w:keepNext w:val="0"/>
        <w:keepLines w:val="0"/>
        <w:pageBreakBefore w:val="0"/>
        <w:widowControl w:val="0"/>
        <w:kinsoku/>
        <w:wordWrap/>
        <w:overflowPunct/>
        <w:topLinePunct/>
        <w:bidi w:val="0"/>
        <w:spacing w:line="560" w:lineRule="exact"/>
        <w:ind w:left="0" w:leftChars="0"/>
        <w:jc w:val="center"/>
        <w:rPr>
          <w:rFonts w:ascii="微软雅黑" w:hAnsi="Times New Roman" w:eastAsia="微软雅黑" w:cs="Times New Roman"/>
          <w:b/>
          <w:color w:val="000000" w:themeColor="text1"/>
          <w:spacing w:val="0"/>
          <w:sz w:val="44"/>
          <w:szCs w:val="44"/>
          <w:highlight w:val="none"/>
          <w14:textFill>
            <w14:solidFill>
              <w14:schemeClr w14:val="tx1"/>
            </w14:solidFill>
          </w14:textFill>
        </w:rPr>
      </w:pPr>
    </w:p>
    <w:p>
      <w:pPr>
        <w:keepNext w:val="0"/>
        <w:keepLines w:val="0"/>
        <w:pageBreakBefore w:val="0"/>
        <w:widowControl w:val="0"/>
        <w:kinsoku/>
        <w:wordWrap/>
        <w:overflowPunct/>
        <w:topLinePunct/>
        <w:bidi w:val="0"/>
        <w:spacing w:line="560" w:lineRule="exact"/>
        <w:ind w:left="0" w:leftChars="0"/>
        <w:jc w:val="center"/>
        <w:rPr>
          <w:rFonts w:ascii="微软雅黑" w:hAnsi="Times New Roman" w:eastAsia="微软雅黑" w:cs="Times New Roman"/>
          <w:b w:val="0"/>
          <w:bCs/>
          <w:color w:val="000000" w:themeColor="text1"/>
          <w:spacing w:val="0"/>
          <w:sz w:val="44"/>
          <w:szCs w:val="44"/>
          <w:highlight w:val="none"/>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bCs w:val="0"/>
          <w:color w:val="000000" w:themeColor="text1"/>
          <w:spacing w:val="0"/>
          <w:sz w:val="36"/>
          <w:szCs w:val="36"/>
          <w:highlight w:val="none"/>
          <w:lang w:val="en-US" w:eastAsia="zh-CN"/>
          <w14:textFill>
            <w14:solidFill>
              <w14:schemeClr w14:val="tx1"/>
            </w14:solidFill>
          </w14:textFill>
        </w:rPr>
      </w:pPr>
      <w:r>
        <w:rPr>
          <w:rFonts w:hint="eastAsia" w:ascii="微软雅黑" w:hAnsi="Times New Roman" w:eastAsia="微软雅黑" w:cs="Times New Roman"/>
          <w:b/>
          <w:bCs w:val="0"/>
          <w:color w:val="000000" w:themeColor="text1"/>
          <w:spacing w:val="0"/>
          <w:sz w:val="36"/>
          <w:szCs w:val="36"/>
          <w:highlight w:val="none"/>
          <w:lang w:eastAsia="zh-CN"/>
          <w14:textFill>
            <w14:solidFill>
              <w14:schemeClr w14:val="tx1"/>
            </w14:solidFill>
          </w14:textFill>
        </w:rPr>
        <w:t>宁夏回族自治区交通运输厅</w:t>
      </w:r>
    </w:p>
    <w:p>
      <w:pPr>
        <w:keepNext w:val="0"/>
        <w:keepLines w:val="0"/>
        <w:pageBreakBefore w:val="0"/>
        <w:widowControl w:val="0"/>
        <w:kinsoku/>
        <w:wordWrap/>
        <w:overflowPunct/>
        <w:topLinePunct/>
        <w:autoSpaceDE/>
        <w:autoSpaceDN/>
        <w:bidi w:val="0"/>
        <w:adjustRightInd/>
        <w:snapToGrid/>
        <w:spacing w:line="360" w:lineRule="auto"/>
        <w:ind w:left="0" w:leftChars="0"/>
        <w:jc w:val="center"/>
        <w:textAlignment w:val="auto"/>
        <w:rPr>
          <w:rFonts w:hint="eastAsia" w:ascii="微软雅黑" w:hAnsi="Times New Roman" w:eastAsia="微软雅黑" w:cs="Times New Roman"/>
          <w:b/>
          <w:bCs w:val="0"/>
          <w:color w:val="000000" w:themeColor="text1"/>
          <w:spacing w:val="0"/>
          <w:sz w:val="36"/>
          <w:szCs w:val="36"/>
          <w:highlight w:val="none"/>
          <w:lang w:eastAsia="zh-CN"/>
          <w14:textFill>
            <w14:solidFill>
              <w14:schemeClr w14:val="tx1"/>
            </w14:solidFill>
          </w14:textFill>
        </w:rPr>
      </w:pPr>
      <w:r>
        <w:rPr>
          <w:rFonts w:hint="eastAsia" w:ascii="微软雅黑" w:hAnsi="Times New Roman" w:eastAsia="微软雅黑" w:cs="Times New Roman"/>
          <w:b/>
          <w:bCs w:val="0"/>
          <w:color w:val="000000" w:themeColor="text1"/>
          <w:spacing w:val="0"/>
          <w:sz w:val="36"/>
          <w:szCs w:val="36"/>
          <w:highlight w:val="none"/>
          <w:lang w:eastAsia="zh-CN"/>
          <w14:textFill>
            <w14:solidFill>
              <w14:schemeClr w14:val="tx1"/>
            </w14:solidFill>
          </w14:textFill>
        </w:rPr>
        <w:t>二〇</w:t>
      </w:r>
      <w:r>
        <w:rPr>
          <w:rFonts w:hint="eastAsia" w:ascii="微软雅黑" w:hAnsi="Times New Roman" w:eastAsia="微软雅黑" w:cs="Times New Roman"/>
          <w:b/>
          <w:bCs w:val="0"/>
          <w:color w:val="000000" w:themeColor="text1"/>
          <w:spacing w:val="0"/>
          <w:sz w:val="36"/>
          <w:szCs w:val="36"/>
          <w:highlight w:val="none"/>
          <w14:textFill>
            <w14:solidFill>
              <w14:schemeClr w14:val="tx1"/>
            </w14:solidFill>
          </w14:textFill>
        </w:rPr>
        <w:t>二</w:t>
      </w:r>
      <w:r>
        <w:rPr>
          <w:rFonts w:hint="eastAsia" w:ascii="微软雅黑" w:hAnsi="Times New Roman" w:eastAsia="微软雅黑" w:cs="Times New Roman"/>
          <w:b/>
          <w:bCs w:val="0"/>
          <w:color w:val="000000" w:themeColor="text1"/>
          <w:spacing w:val="0"/>
          <w:sz w:val="36"/>
          <w:szCs w:val="36"/>
          <w:highlight w:val="none"/>
          <w:lang w:val="en-US" w:eastAsia="zh-CN"/>
          <w14:textFill>
            <w14:solidFill>
              <w14:schemeClr w14:val="tx1"/>
            </w14:solidFill>
          </w14:textFill>
        </w:rPr>
        <w:t>四</w:t>
      </w:r>
      <w:r>
        <w:rPr>
          <w:rFonts w:hint="eastAsia" w:ascii="微软雅黑" w:hAnsi="Times New Roman" w:eastAsia="微软雅黑" w:cs="Times New Roman"/>
          <w:b/>
          <w:bCs w:val="0"/>
          <w:color w:val="000000" w:themeColor="text1"/>
          <w:spacing w:val="0"/>
          <w:sz w:val="36"/>
          <w:szCs w:val="36"/>
          <w:highlight w:val="none"/>
          <w14:textFill>
            <w14:solidFill>
              <w14:schemeClr w14:val="tx1"/>
            </w14:solidFill>
          </w14:textFill>
        </w:rPr>
        <w:t>年</w:t>
      </w:r>
    </w:p>
    <w:p>
      <w:pPr>
        <w:keepNext w:val="0"/>
        <w:keepLines w:val="0"/>
        <w:pageBreakBefore w:val="0"/>
        <w:widowControl w:val="0"/>
        <w:kinsoku/>
        <w:wordWrap/>
        <w:overflowPunct/>
        <w:topLinePunct/>
        <w:autoSpaceDE/>
        <w:autoSpaceDN/>
        <w:bidi w:val="0"/>
        <w:ind w:left="0" w:leftChars="0"/>
        <w:jc w:val="center"/>
        <w:textAlignment w:val="auto"/>
        <w:rPr>
          <w:rFonts w:hint="eastAsia" w:ascii="微软雅黑" w:hAnsi="仿宋" w:eastAsia="微软雅黑"/>
          <w:color w:val="000000" w:themeColor="text1"/>
          <w:spacing w:val="0"/>
          <w:sz w:val="36"/>
          <w:szCs w:val="36"/>
          <w:highlight w:val="none"/>
          <w14:textFill>
            <w14:solidFill>
              <w14:schemeClr w14:val="tx1"/>
            </w14:solidFill>
          </w14:textFill>
        </w:rPr>
        <w:sectPr>
          <w:footerReference r:id="rId3" w:type="default"/>
          <w:pgSz w:w="11906" w:h="16838"/>
          <w:pgMar w:top="1984" w:right="1417" w:bottom="1984" w:left="1417"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黑体" w:hAnsi="黑体" w:eastAsia="黑体" w:cs="黑体"/>
          <w:b/>
          <w:bCs w:val="0"/>
          <w:color w:val="000000" w:themeColor="text1"/>
          <w:spacing w:val="0"/>
          <w:kern w:val="2"/>
          <w:sz w:val="36"/>
          <w:szCs w:val="36"/>
          <w:highlight w:val="none"/>
          <w:lang w:val="en-US" w:eastAsia="zh-CN" w:bidi="ar-SA"/>
          <w14:textFill>
            <w14:solidFill>
              <w14:schemeClr w14:val="tx1"/>
            </w14:solidFill>
          </w14:textFill>
        </w:rPr>
      </w:pPr>
      <w:r>
        <w:rPr>
          <w:rFonts w:hint="eastAsia" w:ascii="黑体" w:hAnsi="黑体" w:eastAsia="黑体" w:cs="黑体"/>
          <w:b/>
          <w:bCs w:val="0"/>
          <w:color w:val="000000" w:themeColor="text1"/>
          <w:spacing w:val="0"/>
          <w:kern w:val="2"/>
          <w:sz w:val="36"/>
          <w:szCs w:val="36"/>
          <w:highlight w:val="none"/>
          <w:lang w:val="en-US" w:eastAsia="zh-CN" w:bidi="ar-SA"/>
          <w14:textFill>
            <w14:solidFill>
              <w14:schemeClr w14:val="tx1"/>
            </w14:solidFill>
          </w14:textFill>
        </w:rPr>
        <w:t>目 录</w:t>
      </w:r>
    </w:p>
    <w:p>
      <w:pPr>
        <w:pStyle w:val="18"/>
        <w:tabs>
          <w:tab w:val="right" w:leader="dot" w:pos="8306"/>
          <w:tab w:val="clear" w:pos="8296"/>
        </w:tabs>
        <w:rPr>
          <w:rFonts w:hint="eastAsia" w:ascii="仿宋_GB2312" w:hAnsi="仿宋_GB2312" w:eastAsia="仿宋_GB2312" w:cs="仿宋_GB2312"/>
          <w:b/>
          <w:bCs/>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TOC \o "1-2" \h \u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fldChar w:fldCharType="begin"/>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instrText xml:space="preserve"> HYPERLINK \l _Toc6418 </w:instrText>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fldChar w:fldCharType="separate"/>
      </w:r>
      <w:r>
        <w:rPr>
          <w:rFonts w:hint="eastAsia" w:ascii="仿宋_GB2312" w:hAnsi="仿宋_GB2312" w:eastAsia="仿宋_GB2312" w:cs="仿宋_GB2312"/>
          <w:b/>
          <w:bCs/>
          <w:color w:val="000000" w:themeColor="text1"/>
          <w:spacing w:val="0"/>
          <w:kern w:val="2"/>
          <w:sz w:val="30"/>
          <w:szCs w:val="30"/>
          <w:highlight w:val="none"/>
          <w:lang w:val="en-US" w:eastAsia="zh-CN" w:bidi="ar-SA"/>
          <w14:textFill>
            <w14:solidFill>
              <w14:schemeClr w14:val="tx1"/>
            </w14:solidFill>
          </w14:textFill>
        </w:rPr>
        <w:t>一、突发事件</w:t>
      </w:r>
      <w:r>
        <w:rPr>
          <w:rFonts w:hint="eastAsia" w:ascii="仿宋_GB2312" w:hAnsi="仿宋_GB2312" w:eastAsia="仿宋_GB2312" w:cs="仿宋_GB2312"/>
          <w:b/>
          <w:bCs/>
          <w:color w:val="000000" w:themeColor="text1"/>
          <w:spacing w:val="0"/>
          <w:sz w:val="30"/>
          <w:szCs w:val="30"/>
          <w:highlight w:val="none"/>
          <w:lang w:val="en-US" w:eastAsia="zh-CN"/>
          <w14:textFill>
            <w14:solidFill>
              <w14:schemeClr w14:val="tx1"/>
            </w14:solidFill>
          </w14:textFill>
        </w:rPr>
        <w:t>综合应急预案</w: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tab/>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fldChar w:fldCharType="begin"/>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instrText xml:space="preserve"> PAGEREF _Toc6418 \h </w:instrTex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fldChar w:fldCharType="separate"/>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t>- 1 -</w: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fldChar w:fldCharType="end"/>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_Toc29109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宁夏回族自治区交通运输厅突发事件</w: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_Toc10979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综合应急预案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_Toc10979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_Toc23802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28"/>
          <w:szCs w:val="28"/>
          <w:highlight w:val="none"/>
          <w14:textFill>
            <w14:solidFill>
              <w14:schemeClr w14:val="tx1"/>
            </w14:solidFill>
          </w14:textFill>
        </w:rPr>
        <w:t>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_Toc23802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_Toc21073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_Toc21073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_Toc11561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3.预防与预警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_Toc11561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_Toc18865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_Toc18865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- 16 -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_Toc19336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5.恢复与重建</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_Toc19336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- 23 -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_Toc30895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6.应急保障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_Toc30895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- 25 -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_Toc11046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7.预案管理</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_Toc11046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- 29 -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_Toc12330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8.附则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_Toc12330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- 32 -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b/>
          <w:bCs/>
          <w:color w:val="000000" w:themeColor="text1"/>
          <w:sz w:val="30"/>
          <w:szCs w:val="30"/>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fldChar w:fldCharType="begin"/>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instrText xml:space="preserve"> HYPERLINK \l _Toc11603 </w:instrText>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fldChar w:fldCharType="separate"/>
      </w:r>
      <w:r>
        <w:rPr>
          <w:rFonts w:hint="eastAsia" w:ascii="仿宋_GB2312" w:hAnsi="仿宋_GB2312" w:eastAsia="仿宋_GB2312" w:cs="仿宋_GB2312"/>
          <w:b/>
          <w:bCs/>
          <w:color w:val="000000" w:themeColor="text1"/>
          <w:spacing w:val="0"/>
          <w:kern w:val="2"/>
          <w:sz w:val="30"/>
          <w:szCs w:val="30"/>
          <w:highlight w:val="none"/>
          <w:lang w:val="en-US" w:eastAsia="zh-CN" w:bidi="ar-SA"/>
          <w14:textFill>
            <w14:solidFill>
              <w14:schemeClr w14:val="tx1"/>
            </w14:solidFill>
          </w14:textFill>
        </w:rPr>
        <w:t>二、</w:t>
      </w:r>
      <w:r>
        <w:rPr>
          <w:rFonts w:hint="eastAsia" w:ascii="仿宋_GB2312" w:hAnsi="仿宋_GB2312" w:eastAsia="仿宋_GB2312" w:cs="仿宋_GB2312"/>
          <w:b/>
          <w:bCs/>
          <w:color w:val="000000" w:themeColor="text1"/>
          <w:spacing w:val="0"/>
          <w:sz w:val="30"/>
          <w:szCs w:val="30"/>
          <w:highlight w:val="none"/>
          <w:lang w:val="en-US" w:eastAsia="zh-CN"/>
          <w14:textFill>
            <w14:solidFill>
              <w14:schemeClr w14:val="tx1"/>
            </w14:solidFill>
          </w14:textFill>
        </w:rPr>
        <w:t>单一类型突发事件应急预案</w: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tab/>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fldChar w:fldCharType="begin"/>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instrText xml:space="preserve"> PAGEREF _Toc11603 \h </w:instrTex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fldChar w:fldCharType="separate"/>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t>- 34 -</w: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fldChar w:fldCharType="end"/>
      </w:r>
      <w:r>
        <w:rPr>
          <w:rFonts w:hint="eastAsia" w:ascii="仿宋_GB2312" w:hAnsi="仿宋_GB2312" w:eastAsia="仿宋_GB2312" w:cs="仿宋_GB2312"/>
          <w:b/>
          <w:bCs/>
          <w:color w:val="000000" w:themeColor="text1"/>
          <w:spacing w:val="0"/>
          <w:sz w:val="30"/>
          <w:szCs w:val="30"/>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_Toc11501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1、宁夏回族自治区交通运输厅公路交通</w: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_Toc13772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突发事件应急预案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_Toc13772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- 35 -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_Toc32091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_Toc32091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- 35 -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_Toc21662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_Toc21662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- 36 -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_Toc1968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_Toc1968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- 41 -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_Toc15315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pacing w:val="0"/>
          <w:sz w:val="28"/>
          <w:szCs w:val="28"/>
          <w:highlight w:val="none"/>
          <w14:textFill>
            <w14:solidFill>
              <w14:schemeClr w14:val="tx1"/>
            </w14:solidFill>
          </w14:textFill>
        </w:rPr>
        <w:t>应急处置</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_Toc15315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- 45 -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_Toc3987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_Toc3987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- 49 -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_Toc31565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2、宁夏回族自治区交通运输厅水路交通突发事件应急预案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_Toc31565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- 52 -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_Toc7391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_Toc7391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- 52 -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_Toc31960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_Toc31960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- 53 -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_Toc30222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3.预防与预警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_Toc30222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- 57 -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_Toc12975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_Toc12975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- 60 -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_Toc10893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_Toc10893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- 65 -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_Toc20167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3、宁夏回族自治区交通运输厅道路运输突发事件应急预案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_Toc20167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- 67 -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_Toc3084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_Toc3084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- 67 -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_Toc11797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_Toc11797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- 69 -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_Toc29532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_Toc29532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- 74 -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_Toc13965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pacing w:val="0"/>
          <w:sz w:val="28"/>
          <w:szCs w:val="28"/>
          <w:highlight w:val="none"/>
          <w14:textFill>
            <w14:solidFill>
              <w14:schemeClr w14:val="tx1"/>
            </w14:solidFill>
          </w14:textFill>
        </w:rPr>
        <w:t>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_Toc13965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- 76 -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_Toc13403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_Toc13403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- 81 -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_Toc9089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4、宁夏回族自治区交通运输厅公路水运工程生产安全事故应急预案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_Toc9089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- 83 -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_Toc8270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28"/>
          <w:szCs w:val="28"/>
          <w:highlight w:val="none"/>
          <w14:textFill>
            <w14:solidFill>
              <w14:schemeClr w14:val="tx1"/>
            </w14:solidFill>
          </w14:textFill>
        </w:rPr>
        <w:t>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_Toc8270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- 83 -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_Toc32601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_Toc32601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- 85 -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_Toc1362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3.预防与预警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_Toc1362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- 91 -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_Toc24521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_Toc24521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- 95 -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_Toc18988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_Toc18988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- 102 -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_Toc8415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6.附则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_Toc8415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- 105 -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_Toc4517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5、</w:t>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宁夏回族自治区交通运输厅低温雨雪冰冻</w: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_Toc32099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天气应急预案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_Toc32099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- 108 -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_Toc27108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_Toc27108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- 108 -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_Toc5987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_Toc5987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- 112 -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_Toc28502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3.预防与预警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_Toc28502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- 113 -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_Toc23000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4.应急处置</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_Toc23000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- 119 -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_Toc18477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_Toc18477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- 126 -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_Toc9422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6.预案管理</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_Toc9422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- 129 -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_Toc17532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6、宁夏回族自治区交通运输厅</w: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_Toc32629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防汛抢险应急预案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_Toc32629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- 138 -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_Toc4206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_Toc4206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- 138 -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_Toc10241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_Toc10241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- 139 -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_Toc4418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3.预防与预警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_Toc4418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- 145 -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_Toc22340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_Toc22340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- 148 -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_Toc2780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5.保障措施</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_Toc2780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- 153 -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_Toc32361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7、宁夏回族自治区交通运输厅</w: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_Toc23346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地震应急预案</w: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_Toc14139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（已发布）</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_Toc14139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- 156 -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_Toc16867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8、宁夏回族自治区交通运输厅城市公共</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_Toc9171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汽电车突发事件应急预案</w:t>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_Toc9171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- 157 -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_Toc7604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_Toc7604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- 157 -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_Toc8370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_Toc8370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- 159 -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_Toc5832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_Toc5832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- 162 -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_Toc1154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pacing w:val="0"/>
          <w:sz w:val="28"/>
          <w:szCs w:val="28"/>
          <w:highlight w:val="none"/>
          <w14:textFill>
            <w14:solidFill>
              <w14:schemeClr w14:val="tx1"/>
            </w14:solidFill>
          </w14:textFill>
        </w:rPr>
        <w:t>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_Toc1154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- 164 -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_Toc9169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5.应急保障</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_Toc9169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- 167 -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18"/>
        <w:tabs>
          <w:tab w:val="right" w:leader="dot" w:pos="8306"/>
          <w:tab w:val="clear" w:pos="829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_Toc17179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kern w:val="2"/>
          <w:sz w:val="28"/>
          <w:szCs w:val="28"/>
          <w:highlight w:val="none"/>
          <w:lang w:val="en-US" w:eastAsia="zh-CN" w:bidi="ar-SA"/>
          <w14:textFill>
            <w14:solidFill>
              <w14:schemeClr w14:val="tx1"/>
            </w14:solidFill>
          </w14:textFill>
        </w:rPr>
        <w:t>9、宁夏回族自治区交通运输厅公共卫生突发事件应急预案</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_Toc17179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- 169 -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_Toc2444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1.总则</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_Toc2444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- 169 -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_Toc13695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2.组织机构与职责</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_Toc13695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- 170 -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_Toc12093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3.预警</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_Toc12093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- 174 -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_Toc5869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4.应急响应</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_Toc5869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- 175 -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pStyle w:val="20"/>
        <w:tabs>
          <w:tab w:val="right" w:leader="dot" w:pos="8306"/>
        </w:tabs>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instrText xml:space="preserve"> HYPERLINK \l _Toc14355 </w:instrText>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separate"/>
      </w:r>
      <w:r>
        <w:rPr>
          <w:rFonts w:hint="eastAsia" w:ascii="仿宋_GB2312" w:hAnsi="仿宋_GB2312" w:eastAsia="仿宋_GB2312" w:cs="仿宋_GB2312"/>
          <w:bCs/>
          <w:color w:val="000000" w:themeColor="text1"/>
          <w:spacing w:val="0"/>
          <w:sz w:val="28"/>
          <w:szCs w:val="28"/>
          <w:highlight w:val="none"/>
          <w:lang w:val="en-US" w:eastAsia="zh-CN"/>
          <w14:textFill>
            <w14:solidFill>
              <w14:schemeClr w14:val="tx1"/>
            </w14:solidFill>
          </w14:textFill>
        </w:rPr>
        <w:t>5.保障措施</w:t>
      </w:r>
      <w:r>
        <w:rPr>
          <w:rFonts w:hint="eastAsia" w:ascii="仿宋_GB2312" w:hAnsi="仿宋_GB2312" w:eastAsia="仿宋_GB2312" w:cs="仿宋_GB2312"/>
          <w:color w:val="000000" w:themeColor="text1"/>
          <w:sz w:val="28"/>
          <w:szCs w:val="28"/>
          <w:highlight w:val="none"/>
          <w14:textFill>
            <w14:solidFill>
              <w14:schemeClr w14:val="tx1"/>
            </w14:solidFill>
          </w14:textFill>
        </w:rPr>
        <w:tab/>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8"/>
          <w:szCs w:val="28"/>
          <w:highlight w:val="none"/>
          <w14:textFill>
            <w14:solidFill>
              <w14:schemeClr w14:val="tx1"/>
            </w14:solidFill>
          </w14:textFill>
        </w:rPr>
        <w:instrText xml:space="preserve"> PAGEREF _Toc14355 \h </w:instrTex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8"/>
          <w:szCs w:val="28"/>
          <w:highlight w:val="none"/>
          <w14:textFill>
            <w14:solidFill>
              <w14:schemeClr w14:val="tx1"/>
            </w14:solidFill>
          </w14:textFill>
        </w:rPr>
        <w:t>- 177 -</w:t>
      </w:r>
      <w:r>
        <w:rPr>
          <w:rFonts w:hint="eastAsia" w:ascii="仿宋_GB2312" w:hAnsi="仿宋_GB2312" w:eastAsia="仿宋_GB2312" w:cs="仿宋_GB2312"/>
          <w:color w:val="000000" w:themeColor="text1"/>
          <w:sz w:val="28"/>
          <w:szCs w:val="28"/>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p>
    <w:p>
      <w:pPr>
        <w:keepNext w:val="0"/>
        <w:keepLines w:val="0"/>
        <w:pageBreakBefore w:val="0"/>
        <w:widowControl w:val="0"/>
        <w:kinsoku/>
        <w:wordWrap/>
        <w:overflowPunct/>
        <w:topLinePunct/>
        <w:autoSpaceDE/>
        <w:autoSpaceDN/>
        <w:bidi w:val="0"/>
        <w:adjustRightInd/>
        <w:snapToGrid/>
        <w:spacing w:line="600" w:lineRule="exact"/>
        <w:ind w:left="0" w:leftChars="0"/>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8"/>
          <w:szCs w:val="28"/>
          <w:highlight w:val="none"/>
          <w14:textFill>
            <w14:solidFill>
              <w14:schemeClr w14:val="tx1"/>
            </w14:solidFill>
          </w14:textFill>
        </w:rPr>
        <w:fldChar w:fldCharType="end"/>
      </w:r>
      <w:bookmarkStart w:id="0" w:name="_Toc25564"/>
      <w:bookmarkStart w:id="1" w:name="_Toc13787"/>
      <w:bookmarkStart w:id="2" w:name="_Toc4158"/>
      <w:bookmarkStart w:id="3" w:name="_Toc27334"/>
      <w:bookmarkStart w:id="4" w:name="_Toc19858"/>
      <w:bookmarkStart w:id="5" w:name="_Toc26130264"/>
      <w:bookmarkStart w:id="6" w:name="_Toc531765418"/>
    </w:p>
    <w:p>
      <w:pPr>
        <w:keepNext w:val="0"/>
        <w:keepLines w:val="0"/>
        <w:pageBreakBefore w:val="0"/>
        <w:widowControl w:val="0"/>
        <w:kinsoku/>
        <w:wordWrap/>
        <w:overflowPunct/>
        <w:topLinePunct/>
        <w:autoSpaceDE/>
        <w:autoSpaceDN/>
        <w:bidi w:val="0"/>
        <w:adjustRightInd/>
        <w:snapToGrid/>
        <w:ind w:left="0" w:leftChars="0"/>
        <w:textAlignment w:val="auto"/>
        <w:outlineLvl w:val="9"/>
        <w:rPr>
          <w:rFonts w:hint="eastAsia"/>
          <w:color w:val="000000" w:themeColor="text1"/>
          <w:highlight w:val="none"/>
          <w:lang w:val="en-US" w:eastAsia="zh-CN"/>
          <w14:textFill>
            <w14:solidFill>
              <w14:schemeClr w14:val="tx1"/>
            </w14:solidFill>
          </w14:textFill>
        </w:rPr>
        <w:sectPr>
          <w:footerReference r:id="rId4" w:type="default"/>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autoSpaceDE/>
        <w:autoSpaceDN/>
        <w:bidi w:val="0"/>
        <w:adjustRightInd/>
        <w:snapToGrid/>
        <w:ind w:left="0" w:leftChars="0"/>
        <w:textAlignment w:val="auto"/>
        <w:outlineLvl w:val="9"/>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ind w:left="0" w:leftChars="0"/>
        <w:textAlignment w:val="auto"/>
        <w:outlineLvl w:val="9"/>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ind w:left="0" w:leftChars="0"/>
        <w:textAlignment w:val="auto"/>
        <w:outlineLvl w:val="9"/>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ind w:left="0" w:leftChars="0"/>
        <w:textAlignment w:val="auto"/>
        <w:outlineLvl w:val="9"/>
        <w:rPr>
          <w:rFonts w:hint="eastAsia"/>
          <w:color w:val="000000" w:themeColor="text1"/>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0"/>
        <w:rPr>
          <w:rFonts w:hint="eastAsia" w:ascii="微软雅黑" w:hAnsi="Times New Roman" w:eastAsia="微软雅黑" w:cs="Times New Roman"/>
          <w:b/>
          <w:bCs w:val="0"/>
          <w:color w:val="000000" w:themeColor="text1"/>
          <w:spacing w:val="0"/>
          <w:sz w:val="52"/>
          <w:szCs w:val="52"/>
          <w:highlight w:val="none"/>
          <w:lang w:val="en-US" w:eastAsia="zh-CN"/>
          <w14:textFill>
            <w14:solidFill>
              <w14:schemeClr w14:val="tx1"/>
            </w14:solidFill>
          </w14:textFill>
        </w:rPr>
        <w:sectPr>
          <w:footerReference r:id="rId5" w:type="default"/>
          <w:pgSz w:w="11906" w:h="16838"/>
          <w:pgMar w:top="1440" w:right="1800" w:bottom="1440" w:left="1800" w:header="851" w:footer="992" w:gutter="0"/>
          <w:pgNumType w:fmt="numberInDash" w:start="1"/>
          <w:cols w:space="425" w:num="1"/>
          <w:docGrid w:type="lines" w:linePitch="312" w:charSpace="0"/>
        </w:sectPr>
      </w:pPr>
      <w:bookmarkStart w:id="7" w:name="_Toc20912"/>
      <w:bookmarkStart w:id="8" w:name="_Toc6418"/>
      <w:r>
        <w:rPr>
          <w:rFonts w:hint="eastAsia" w:ascii="微软雅黑" w:hAnsi="Times New Roman" w:eastAsia="微软雅黑" w:cs="Times New Roman"/>
          <w:b/>
          <w:bCs w:val="0"/>
          <w:color w:val="000000" w:themeColor="text1"/>
          <w:spacing w:val="0"/>
          <w:kern w:val="2"/>
          <w:sz w:val="52"/>
          <w:szCs w:val="52"/>
          <w:highlight w:val="none"/>
          <w:lang w:val="en-US" w:eastAsia="zh-CN" w:bidi="ar-SA"/>
          <w14:textFill>
            <w14:solidFill>
              <w14:schemeClr w14:val="tx1"/>
            </w14:solidFill>
          </w14:textFill>
        </w:rPr>
        <w:t>一、突发事件</w:t>
      </w:r>
      <w:r>
        <w:rPr>
          <w:rFonts w:hint="eastAsia" w:ascii="微软雅黑" w:hAnsi="Times New Roman" w:eastAsia="微软雅黑" w:cs="Times New Roman"/>
          <w:b/>
          <w:bCs w:val="0"/>
          <w:color w:val="000000" w:themeColor="text1"/>
          <w:spacing w:val="0"/>
          <w:sz w:val="52"/>
          <w:szCs w:val="52"/>
          <w:highlight w:val="none"/>
          <w:lang w:val="en-US" w:eastAsia="zh-CN"/>
          <w14:textFill>
            <w14:solidFill>
              <w14:schemeClr w14:val="tx1"/>
            </w14:solidFill>
          </w14:textFill>
        </w:rPr>
        <w:t>综合应急预案</w:t>
      </w:r>
      <w:bookmarkEnd w:id="0"/>
      <w:bookmarkEnd w:id="1"/>
      <w:bookmarkEnd w:id="2"/>
      <w:bookmarkEnd w:id="7"/>
      <w:bookmarkEnd w:id="8"/>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9" w:name="_Toc29109"/>
      <w:bookmarkStart w:id="10" w:name="_Toc28216"/>
      <w:bookmarkStart w:id="11" w:name="_Toc25386"/>
      <w:bookmarkStart w:id="12" w:name="_Toc27762"/>
      <w:bookmarkStart w:id="13" w:name="_Toc31056"/>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宁夏回族自治区交通运输厅突发事件</w:t>
      </w:r>
      <w:bookmarkEnd w:id="9"/>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default"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14" w:name="_Toc10979"/>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综合应急预案</w:t>
      </w:r>
      <w:bookmarkEnd w:id="10"/>
      <w:bookmarkEnd w:id="14"/>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黑体" w:hAnsi="黑体" w:eastAsia="黑体"/>
          <w:b w:val="0"/>
          <w:bCs w:val="0"/>
          <w:color w:val="000000" w:themeColor="text1"/>
          <w:spacing w:val="0"/>
          <w:sz w:val="32"/>
          <w:szCs w:val="32"/>
          <w:highlight w:val="none"/>
          <w:lang w:val="en-US" w:eastAsia="zh-CN"/>
          <w14:textFill>
            <w14:solidFill>
              <w14:schemeClr w14:val="tx1"/>
            </w14:solidFill>
          </w14:textFill>
        </w:rPr>
      </w:pPr>
      <w:bookmarkStart w:id="15" w:name="_Toc16996"/>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ascii="黑体" w:hAnsi="黑体" w:eastAsia="黑体"/>
          <w:b/>
          <w:bCs/>
          <w:color w:val="000000" w:themeColor="text1"/>
          <w:spacing w:val="0"/>
          <w:sz w:val="32"/>
          <w:szCs w:val="32"/>
          <w:highlight w:val="none"/>
          <w14:textFill>
            <w14:solidFill>
              <w14:schemeClr w14:val="tx1"/>
            </w14:solidFill>
          </w14:textFill>
        </w:rPr>
      </w:pPr>
      <w:bookmarkStart w:id="16" w:name="_Toc2380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w:t>
      </w:r>
      <w:r>
        <w:rPr>
          <w:rFonts w:hint="eastAsia" w:ascii="黑体" w:hAnsi="黑体" w:eastAsia="黑体"/>
          <w:b/>
          <w:bCs/>
          <w:color w:val="000000" w:themeColor="text1"/>
          <w:spacing w:val="0"/>
          <w:sz w:val="32"/>
          <w:szCs w:val="32"/>
          <w:highlight w:val="none"/>
          <w14:textFill>
            <w14:solidFill>
              <w14:schemeClr w14:val="tx1"/>
            </w14:solidFill>
          </w14:textFill>
        </w:rPr>
        <w:t>总则</w:t>
      </w:r>
      <w:bookmarkEnd w:id="3"/>
      <w:bookmarkEnd w:id="4"/>
      <w:bookmarkEnd w:id="5"/>
      <w:bookmarkEnd w:id="6"/>
      <w:bookmarkEnd w:id="11"/>
      <w:bookmarkEnd w:id="12"/>
      <w:bookmarkEnd w:id="13"/>
      <w:bookmarkEnd w:id="15"/>
      <w:bookmarkEnd w:id="16"/>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7" w:name="_Toc68886650"/>
      <w:bookmarkStart w:id="18" w:name="_Toc9181"/>
      <w:bookmarkStart w:id="19" w:name="_Toc25250"/>
      <w:bookmarkStart w:id="20" w:name="_Toc15144"/>
      <w:bookmarkStart w:id="21" w:name="_Toc78604010"/>
      <w:bookmarkStart w:id="22" w:name="_Toc245618717"/>
      <w:r>
        <w:rPr>
          <w:rFonts w:hint="eastAsia" w:ascii="楷体_GB2312" w:hAnsi="仿宋" w:eastAsia="楷体_GB2312" w:cs="Times New Roman"/>
          <w:b/>
          <w:bCs/>
          <w:color w:val="000000" w:themeColor="text1"/>
          <w:spacing w:val="0"/>
          <w:highlight w:val="none"/>
          <w14:textFill>
            <w14:solidFill>
              <w14:schemeClr w14:val="tx1"/>
            </w14:solidFill>
          </w14:textFill>
        </w:rPr>
        <w:t>1.1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编制</w:t>
      </w:r>
      <w:r>
        <w:rPr>
          <w:rFonts w:hint="eastAsia" w:ascii="楷体_GB2312" w:hAnsi="仿宋" w:eastAsia="楷体_GB2312" w:cs="Times New Roman"/>
          <w:b/>
          <w:bCs/>
          <w:color w:val="000000" w:themeColor="text1"/>
          <w:spacing w:val="0"/>
          <w:highlight w:val="none"/>
          <w14:textFill>
            <w14:solidFill>
              <w14:schemeClr w14:val="tx1"/>
            </w14:solidFill>
          </w14:textFill>
        </w:rPr>
        <w:t>目的</w:t>
      </w:r>
      <w:bookmarkEnd w:id="17"/>
      <w:bookmarkEnd w:id="18"/>
      <w:bookmarkEnd w:id="19"/>
      <w:bookmarkEnd w:id="20"/>
      <w:bookmarkEnd w:id="21"/>
      <w:bookmarkEnd w:id="22"/>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为提高</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w:t>
      </w:r>
      <w:r>
        <w:rPr>
          <w:rFonts w:hint="eastAsia" w:ascii="仿宋_GB2312" w:eastAsia="仿宋_GB2312"/>
          <w:color w:val="000000" w:themeColor="text1"/>
          <w:spacing w:val="0"/>
          <w:sz w:val="32"/>
          <w:szCs w:val="32"/>
          <w:highlight w:val="none"/>
          <w14:textFill>
            <w14:solidFill>
              <w14:schemeClr w14:val="tx1"/>
            </w14:solidFill>
          </w14:textFill>
        </w:rPr>
        <w:t>交通运输</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w:t>
      </w:r>
      <w:r>
        <w:rPr>
          <w:rFonts w:hint="eastAsia" w:ascii="仿宋_GB2312" w:eastAsia="仿宋_GB2312"/>
          <w:color w:val="000000" w:themeColor="text1"/>
          <w:spacing w:val="0"/>
          <w:sz w:val="32"/>
          <w:szCs w:val="32"/>
          <w:highlight w:val="none"/>
          <w14:textFill>
            <w14:solidFill>
              <w14:schemeClr w14:val="tx1"/>
            </w14:solidFill>
          </w14:textFill>
        </w:rPr>
        <w:t>应对和处置突发事件的能力和水平，</w:t>
      </w:r>
      <w:r>
        <w:rPr>
          <w:rFonts w:hint="eastAsia" w:ascii="仿宋_GB2312" w:eastAsia="仿宋_GB2312"/>
          <w:color w:val="000000" w:themeColor="text1"/>
          <w:sz w:val="32"/>
          <w:szCs w:val="32"/>
          <w:highlight w:val="none"/>
          <w14:textFill>
            <w14:solidFill>
              <w14:schemeClr w14:val="tx1"/>
            </w14:solidFill>
          </w14:textFill>
        </w:rPr>
        <w:t>切实加强</w:t>
      </w:r>
      <w:r>
        <w:rPr>
          <w:rFonts w:hint="eastAsia" w:ascii="仿宋_GB2312" w:eastAsia="仿宋_GB2312"/>
          <w:color w:val="000000" w:themeColor="text1"/>
          <w:sz w:val="32"/>
          <w:szCs w:val="32"/>
          <w:highlight w:val="none"/>
          <w:lang w:val="en-US" w:eastAsia="zh-CN"/>
          <w14:textFill>
            <w14:solidFill>
              <w14:schemeClr w14:val="tx1"/>
            </w14:solidFill>
          </w14:textFill>
        </w:rPr>
        <w:t>和规范</w:t>
      </w:r>
      <w:r>
        <w:rPr>
          <w:rFonts w:hint="eastAsia" w:ascii="仿宋_GB2312" w:eastAsia="仿宋_GB2312"/>
          <w:color w:val="000000" w:themeColor="text1"/>
          <w:sz w:val="32"/>
          <w:szCs w:val="32"/>
          <w:highlight w:val="none"/>
          <w14:textFill>
            <w14:solidFill>
              <w14:schemeClr w14:val="tx1"/>
            </w14:solidFill>
          </w14:textFill>
        </w:rPr>
        <w:t>交通运输综合应急管理</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lang w:val="en-US" w:eastAsia="zh-CN"/>
          <w14:textFill>
            <w14:solidFill>
              <w14:schemeClr w14:val="tx1"/>
            </w14:solidFill>
          </w14:textFill>
        </w:rPr>
        <w:t>确保各类突发事件的有效处置，最大程度预防和减少突发事件造成的损失，</w:t>
      </w:r>
      <w:r>
        <w:rPr>
          <w:rFonts w:hint="eastAsia" w:ascii="仿宋_GB2312" w:eastAsia="仿宋_GB2312"/>
          <w:color w:val="000000" w:themeColor="text1"/>
          <w:spacing w:val="0"/>
          <w:sz w:val="32"/>
          <w:szCs w:val="32"/>
          <w:highlight w:val="none"/>
          <w14:textFill>
            <w14:solidFill>
              <w14:schemeClr w14:val="tx1"/>
            </w14:solidFill>
          </w14:textFill>
        </w:rPr>
        <w:t>结合自治区</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应急管理工作实际</w:t>
      </w:r>
      <w:r>
        <w:rPr>
          <w:rFonts w:hint="eastAsia" w:ascii="仿宋_GB2312" w:eastAsia="仿宋_GB2312"/>
          <w:color w:val="000000" w:themeColor="text1"/>
          <w:spacing w:val="0"/>
          <w:sz w:val="32"/>
          <w:szCs w:val="32"/>
          <w:highlight w:val="none"/>
          <w14:textFill>
            <w14:solidFill>
              <w14:schemeClr w14:val="tx1"/>
            </w14:solidFill>
          </w14:textFill>
        </w:rPr>
        <w:t>和交通运输厅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工作</w:t>
      </w:r>
      <w:r>
        <w:rPr>
          <w:rFonts w:hint="eastAsia" w:ascii="仿宋_GB2312" w:eastAsia="仿宋_GB2312"/>
          <w:color w:val="000000" w:themeColor="text1"/>
          <w:spacing w:val="0"/>
          <w:sz w:val="32"/>
          <w:szCs w:val="32"/>
          <w:highlight w:val="none"/>
          <w14:textFill>
            <w14:solidFill>
              <w14:schemeClr w14:val="tx1"/>
            </w14:solidFill>
          </w14:textFill>
        </w:rPr>
        <w:t>职责，制定本预案。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3" w:name="_Toc531765420"/>
      <w:bookmarkStart w:id="24" w:name="_Toc26130266"/>
      <w:bookmarkStart w:id="25" w:name="_Toc22695"/>
      <w:bookmarkStart w:id="26" w:name="_Toc4454"/>
      <w:r>
        <w:rPr>
          <w:rFonts w:hint="eastAsia" w:ascii="楷体_GB2312" w:hAnsi="仿宋" w:eastAsia="楷体_GB2312" w:cs="Times New Roman"/>
          <w:b/>
          <w:bCs/>
          <w:color w:val="000000" w:themeColor="text1"/>
          <w:spacing w:val="0"/>
          <w:highlight w:val="none"/>
          <w14:textFill>
            <w14:solidFill>
              <w14:schemeClr w14:val="tx1"/>
            </w14:solidFill>
          </w14:textFill>
        </w:rPr>
        <w:t>1.2编制依据</w:t>
      </w:r>
      <w:bookmarkEnd w:id="23"/>
      <w:bookmarkEnd w:id="24"/>
      <w:bookmarkEnd w:id="25"/>
      <w:bookmarkEnd w:id="2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依据《中华人民共和国突发事件应对法》《突发事件应急预案管理办法》《交通运输突发事件应急管理规定》</w:t>
      </w:r>
      <w:r>
        <w:rPr>
          <w:rFonts w:hint="eastAsia" w:ascii="仿宋_GB2312" w:hAnsi="Times New Roman" w:eastAsia="仿宋_GB2312" w:cs="Times New Roman"/>
          <w:color w:val="000000" w:themeColor="text1"/>
          <w:sz w:val="32"/>
          <w:szCs w:val="32"/>
          <w:highlight w:val="none"/>
          <w14:textFill>
            <w14:solidFill>
              <w14:schemeClr w14:val="tx1"/>
            </w14:solidFill>
          </w14:textFill>
        </w:rPr>
        <w:t>《交通运输部综合应急预案》</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《宁夏回族自治区突发事件应对条例》</w:t>
      </w:r>
      <w:r>
        <w:rPr>
          <w:rFonts w:hint="eastAsia" w:ascii="仿宋_GB2312" w:eastAsia="仿宋_GB2312"/>
          <w:color w:val="000000" w:themeColor="text1"/>
          <w:spacing w:val="0"/>
          <w:sz w:val="32"/>
          <w:szCs w:val="32"/>
          <w:highlight w:val="none"/>
          <w14:textFill>
            <w14:solidFill>
              <w14:schemeClr w14:val="tx1"/>
            </w14:solidFill>
          </w14:textFill>
        </w:rPr>
        <w:t>《宁夏回族自治区突发事件总体应急预案》等相关规定。</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7" w:name="_Toc26130267"/>
      <w:bookmarkStart w:id="28" w:name="_Toc531765421"/>
      <w:bookmarkStart w:id="29" w:name="_Toc9413"/>
      <w:bookmarkStart w:id="30" w:name="_Toc7807"/>
      <w:r>
        <w:rPr>
          <w:rFonts w:hint="eastAsia" w:ascii="楷体_GB2312" w:hAnsi="仿宋" w:eastAsia="楷体_GB2312" w:cs="Times New Roman"/>
          <w:b/>
          <w:bCs/>
          <w:color w:val="000000" w:themeColor="text1"/>
          <w:spacing w:val="0"/>
          <w:highlight w:val="none"/>
          <w14:textFill>
            <w14:solidFill>
              <w14:schemeClr w14:val="tx1"/>
            </w14:solidFill>
          </w14:textFill>
        </w:rPr>
        <w:t>1.3事件</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分类</w:t>
      </w:r>
      <w:r>
        <w:rPr>
          <w:rFonts w:hint="eastAsia" w:ascii="楷体_GB2312" w:hAnsi="仿宋" w:eastAsia="楷体_GB2312" w:cs="Times New Roman"/>
          <w:b/>
          <w:bCs/>
          <w:color w:val="000000" w:themeColor="text1"/>
          <w:spacing w:val="0"/>
          <w:highlight w:val="none"/>
          <w14:textFill>
            <w14:solidFill>
              <w14:schemeClr w14:val="tx1"/>
            </w14:solidFill>
          </w14:textFill>
        </w:rPr>
        <w:t>分级</w:t>
      </w:r>
      <w:bookmarkEnd w:id="27"/>
      <w:bookmarkEnd w:id="28"/>
      <w:bookmarkEnd w:id="29"/>
      <w:bookmarkEnd w:id="3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微软雅黑" w:hAnsi="微软雅黑" w:eastAsia="微软雅黑" w:cs="宋体"/>
          <w:color w:val="000000" w:themeColor="text1"/>
          <w:spacing w:val="0"/>
          <w:kern w:val="0"/>
          <w:sz w:val="32"/>
          <w:szCs w:val="32"/>
          <w:highlight w:val="none"/>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（1）交通运输</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突发事件主要包括以下类别：</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①自然灾害</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水毁灾害、气象灾害、地震灾害和地质灾害等</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②事故灾难</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水路交通事故、公路水运工程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生产安全事故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生产安全事故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③公共卫生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和社会安全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卫生、群体事件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eastAsia="仿宋_GB2312"/>
          <w:color w:val="000000" w:themeColor="text1"/>
          <w:spacing w:val="0"/>
          <w:sz w:val="32"/>
          <w:szCs w:val="32"/>
          <w:highlight w:val="none"/>
          <w14:textFill>
            <w14:solidFill>
              <w14:schemeClr w14:val="tx1"/>
            </w14:solidFill>
          </w14:textFill>
        </w:rPr>
        <w:t>按照突发事件性质、严重程度、可控性和影响范围等因素一般分为四级：特别重大、重大、较大和一般</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特别重大突发事件</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Ⅰ级</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：指事态非常复杂，已经或可能造成特别重大人员伤亡、特别重大财产损失，按照交通运输部或自治区人民政府要求，需交通运输厅组织协调系统内多方面力量和资源参与处置的紧急突发事件。</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重大突发事件</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Ⅱ级</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：指事态复杂，已经或可能造成重大人员伤亡、重大财产损失，按照自治区人民政府要求</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需交通运输厅组织协调系统内多方面力量和资源进行处置的紧急突发事件。</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较大突发事件</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Ⅲ级</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：指事态较为复杂，已经或可能造成较大人员伤亡、较大财产损失，需交通运输厅指导市级交通运输主管部门进行处置的紧急突发事件。</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一般突发事件</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Ⅳ级</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：指事态比较简单，已经或可能造成人员伤亡和财产损失，需交通运输厅了解</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必要时指导、协助</w:t>
      </w:r>
      <w:r>
        <w:rPr>
          <w:rFonts w:hint="eastAsia" w:ascii="仿宋_GB2312" w:eastAsia="仿宋_GB2312"/>
          <w:color w:val="000000" w:themeColor="text1"/>
          <w:spacing w:val="0"/>
          <w:sz w:val="32"/>
          <w:szCs w:val="32"/>
          <w:highlight w:val="none"/>
          <w14:textFill>
            <w14:solidFill>
              <w14:schemeClr w14:val="tx1"/>
            </w14:solidFill>
          </w14:textFill>
        </w:rPr>
        <w:t>县（区）级交通运输主管部门处置的紧急突发事件。</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具体分级标准和内容在各单一类型突发事件预案中予以明确</w:t>
      </w:r>
      <w:r>
        <w:rPr>
          <w:rFonts w:hint="eastAsia" w:ascii="仿宋_GB2312"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31" w:name="_Toc26130268"/>
      <w:bookmarkStart w:id="32" w:name="_Toc32106"/>
      <w:bookmarkStart w:id="33" w:name="_Toc21299"/>
      <w:bookmarkStart w:id="34" w:name="_Toc531765422"/>
      <w:r>
        <w:rPr>
          <w:rFonts w:hint="eastAsia" w:ascii="楷体_GB2312" w:hAnsi="仿宋" w:eastAsia="楷体_GB2312" w:cs="Times New Roman"/>
          <w:b/>
          <w:bCs/>
          <w:color w:val="000000" w:themeColor="text1"/>
          <w:spacing w:val="0"/>
          <w:highlight w:val="none"/>
          <w14:textFill>
            <w14:solidFill>
              <w14:schemeClr w14:val="tx1"/>
            </w14:solidFill>
          </w14:textFill>
        </w:rPr>
        <w:t>1.4适用范围</w:t>
      </w:r>
      <w:bookmarkEnd w:id="31"/>
      <w:bookmarkEnd w:id="32"/>
      <w:bookmarkEnd w:id="33"/>
      <w:bookmarkEnd w:id="3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本预案适用于</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国家部委</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或自治区政府启动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，需交通运输厅参与防范和处置的突发事件；或因事态严重，由自治区政府指定交通运输厅牵头处置，多部门参与的突发事件</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；交通运输厅认为需要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应急响应的其他</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35" w:name="_Toc531765423"/>
      <w:bookmarkStart w:id="36" w:name="_Toc26130269"/>
      <w:bookmarkStart w:id="37" w:name="_Toc26771"/>
      <w:bookmarkStart w:id="38" w:name="_Toc1827"/>
      <w:r>
        <w:rPr>
          <w:rFonts w:hint="eastAsia" w:ascii="楷体_GB2312" w:hAnsi="仿宋" w:eastAsia="楷体_GB2312" w:cs="Times New Roman"/>
          <w:b/>
          <w:bCs/>
          <w:color w:val="000000" w:themeColor="text1"/>
          <w:spacing w:val="0"/>
          <w:highlight w:val="none"/>
          <w14:textFill>
            <w14:solidFill>
              <w14:schemeClr w14:val="tx1"/>
            </w14:solidFill>
          </w14:textFill>
        </w:rPr>
        <w:t>1.5工作原则</w:t>
      </w:r>
      <w:bookmarkEnd w:id="35"/>
      <w:bookmarkEnd w:id="36"/>
      <w:bookmarkEnd w:id="37"/>
      <w:bookmarkEnd w:id="3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微软雅黑" w:hAnsi="微软雅黑" w:eastAsia="微软雅黑" w:cs="宋体"/>
          <w:color w:val="000000" w:themeColor="text1"/>
          <w:spacing w:val="0"/>
          <w:kern w:val="0"/>
          <w:sz w:val="32"/>
          <w:szCs w:val="32"/>
          <w:highlight w:val="none"/>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交通运输厅</w:t>
      </w:r>
      <w:r>
        <w:rPr>
          <w:rFonts w:hint="eastAsia" w:ascii="仿宋_GB2312" w:hAnsi="微软雅黑" w:eastAsia="仿宋_GB2312" w:cs="宋体"/>
          <w:color w:val="000000" w:themeColor="text1"/>
          <w:spacing w:val="0"/>
          <w:kern w:val="0"/>
          <w:sz w:val="32"/>
          <w:szCs w:val="32"/>
          <w:highlight w:val="none"/>
          <w:lang w:bidi="ar"/>
          <w14:textFill>
            <w14:solidFill>
              <w14:schemeClr w14:val="tx1"/>
            </w14:solidFill>
          </w14:textFill>
        </w:rPr>
        <w:t>突发事件</w:t>
      </w: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应急处置</w:t>
      </w:r>
      <w:r>
        <w:rPr>
          <w:rFonts w:hint="eastAsia" w:ascii="仿宋_GB2312" w:hAnsi="微软雅黑" w:eastAsia="仿宋_GB2312" w:cs="宋体"/>
          <w:color w:val="000000" w:themeColor="text1"/>
          <w:spacing w:val="0"/>
          <w:kern w:val="0"/>
          <w:sz w:val="32"/>
          <w:szCs w:val="32"/>
          <w:highlight w:val="none"/>
          <w:lang w:bidi="ar"/>
          <w14:textFill>
            <w14:solidFill>
              <w14:schemeClr w14:val="tx1"/>
            </w14:solidFill>
          </w14:textFill>
        </w:rPr>
        <w:t>坚持人民至上、生命至上；预防为主、防救结合；统一领导、协调联动；分级负责、属地为主；快速反应、高效应对；依法管理、科技支撑的原则。</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39" w:name="_Toc531765424"/>
      <w:bookmarkStart w:id="40" w:name="_Toc26130270"/>
      <w:bookmarkStart w:id="41" w:name="_Toc2860"/>
      <w:bookmarkStart w:id="42" w:name="_Toc31596"/>
      <w:r>
        <w:rPr>
          <w:rFonts w:hint="eastAsia" w:ascii="楷体_GB2312" w:hAnsi="仿宋" w:eastAsia="楷体_GB2312" w:cs="Times New Roman"/>
          <w:b/>
          <w:bCs/>
          <w:color w:val="000000" w:themeColor="text1"/>
          <w:spacing w:val="0"/>
          <w:highlight w:val="none"/>
          <w14:textFill>
            <w14:solidFill>
              <w14:schemeClr w14:val="tx1"/>
            </w14:solidFill>
          </w14:textFill>
        </w:rPr>
        <w:t>1.6</w:t>
      </w:r>
      <w:bookmarkEnd w:id="39"/>
      <w:bookmarkEnd w:id="40"/>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应急预案体系</w:t>
      </w:r>
      <w:bookmarkEnd w:id="41"/>
      <w:bookmarkEnd w:id="42"/>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 w:eastAsia="仿宋_GB2312"/>
          <w:b/>
          <w:bCs/>
          <w:color w:val="000000" w:themeColor="text1"/>
          <w:spacing w:val="0"/>
          <w:sz w:val="32"/>
          <w:szCs w:val="32"/>
          <w:highlight w:val="none"/>
          <w:lang w:val="en-US" w:eastAsia="zh-CN"/>
          <w14:textFill>
            <w14:solidFill>
              <w14:schemeClr w14:val="tx1"/>
            </w14:solidFill>
          </w14:textFill>
        </w:rPr>
      </w:pPr>
      <w:r>
        <w:rPr>
          <w:rFonts w:hint="eastAsia" w:ascii="仿宋_GB2312" w:hAnsi="仿宋" w:eastAsia="仿宋_GB2312"/>
          <w:b/>
          <w:bCs/>
          <w:color w:val="000000" w:themeColor="text1"/>
          <w:spacing w:val="0"/>
          <w:sz w:val="32"/>
          <w:szCs w:val="32"/>
          <w:highlight w:val="none"/>
          <w:lang w:val="en-US" w:eastAsia="zh-CN"/>
          <w14:textFill>
            <w14:solidFill>
              <w14:schemeClr w14:val="tx1"/>
            </w14:solidFill>
          </w14:textFill>
        </w:rPr>
        <w:t>1.6.1交通运输行业应急预案体系</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自治区</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交通运输行业</w:t>
      </w:r>
      <w:r>
        <w:rPr>
          <w:rFonts w:hint="eastAsia" w:ascii="仿宋_GB2312" w:hAnsi="仿宋" w:eastAsia="仿宋_GB2312"/>
          <w:color w:val="000000" w:themeColor="text1"/>
          <w:spacing w:val="0"/>
          <w:sz w:val="32"/>
          <w:szCs w:val="32"/>
          <w:highlight w:val="none"/>
          <w14:textFill>
            <w14:solidFill>
              <w14:schemeClr w14:val="tx1"/>
            </w14:solidFill>
          </w14:textFill>
        </w:rPr>
        <w:t>突发事件应急预案体系</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主要包括交通运输厅、厅属各单位、公路经营管理单位及市、县（区）交通运输主管部门的应急预案。</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 w:eastAsia="仿宋_GB2312"/>
          <w:b/>
          <w:bCs/>
          <w:color w:val="000000" w:themeColor="text1"/>
          <w:spacing w:val="0"/>
          <w:sz w:val="32"/>
          <w:szCs w:val="32"/>
          <w:highlight w:val="none"/>
          <w:lang w:val="en-US" w:eastAsia="zh-CN"/>
          <w14:textFill>
            <w14:solidFill>
              <w14:schemeClr w14:val="tx1"/>
            </w14:solidFill>
          </w14:textFill>
        </w:rPr>
      </w:pPr>
      <w:r>
        <w:rPr>
          <w:rFonts w:hint="eastAsia" w:ascii="仿宋_GB2312" w:hAnsi="仿宋" w:eastAsia="仿宋_GB2312"/>
          <w:b/>
          <w:bCs/>
          <w:color w:val="000000" w:themeColor="text1"/>
          <w:spacing w:val="0"/>
          <w:sz w:val="32"/>
          <w:szCs w:val="32"/>
          <w:highlight w:val="none"/>
          <w:lang w:val="en-US" w:eastAsia="zh-CN"/>
          <w14:textFill>
            <w14:solidFill>
              <w14:schemeClr w14:val="tx1"/>
            </w14:solidFill>
          </w14:textFill>
        </w:rPr>
        <w:t>1.6.2自治区交通运输厅应急预案体系</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根据防灾减灾救灾和应急管理的需要，结合自治区交通运输行业应急管理工作实际，交通运输厅对2020年制定印发的“1+5”应急预案做了修订和完善，形成了“1+N”部门应急预案，即一个综合应急预案，N个单一类型应急预案，共同构成自治区交通运输厅应急预案框架体系。</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当发生某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单</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一类</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型</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时</w:t>
      </w:r>
      <w:r>
        <w:rPr>
          <w:rFonts w:hint="eastAsia" w:ascii="仿宋_GB2312" w:eastAsia="仿宋_GB2312"/>
          <w:color w:val="000000" w:themeColor="text1"/>
          <w:spacing w:val="0"/>
          <w:sz w:val="32"/>
          <w:szCs w:val="32"/>
          <w:highlight w:val="none"/>
          <w14:textFill>
            <w14:solidFill>
              <w14:schemeClr w14:val="tx1"/>
            </w14:solidFill>
          </w14:textFill>
        </w:rPr>
        <w:t>可</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启动单一类型突发事件应急</w:t>
      </w:r>
      <w:r>
        <w:rPr>
          <w:rFonts w:hint="eastAsia" w:ascii="仿宋_GB2312" w:eastAsia="仿宋_GB2312"/>
          <w:color w:val="000000" w:themeColor="text1"/>
          <w:spacing w:val="0"/>
          <w:sz w:val="32"/>
          <w:szCs w:val="32"/>
          <w:highlight w:val="none"/>
          <w14:textFill>
            <w14:solidFill>
              <w14:schemeClr w14:val="tx1"/>
            </w14:solidFill>
          </w14:textFill>
        </w:rPr>
        <w:t>预案</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进行处置；应对国家、自治区政府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应急响应需交通运输厅参与或</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由自治区政府指定交通运输厅牵头处置的突发事件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，根据本预案交通运输厅启动相应级别的应急响应，原已启动的应急响应根据本预案进行相应调整。应急处置工作结束后，一并终止应急响应。</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43" w:name="_Toc531765425"/>
      <w:bookmarkStart w:id="44" w:name="_Toc26130271"/>
      <w:bookmarkStart w:id="45" w:name="_Toc21073"/>
      <w:bookmarkStart w:id="46" w:name="_Toc21321"/>
      <w:bookmarkStart w:id="47" w:name="_Toc6702"/>
      <w:bookmarkStart w:id="48" w:name="_Toc16512"/>
      <w:bookmarkStart w:id="49" w:name="_Toc18149"/>
      <w:bookmarkStart w:id="50" w:name="_Toc16802"/>
      <w:bookmarkStart w:id="51" w:name="_Toc1942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w:t>
      </w:r>
      <w:bookmarkEnd w:id="43"/>
      <w:bookmarkEnd w:id="4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机构与职责</w:t>
      </w:r>
      <w:bookmarkEnd w:id="45"/>
      <w:bookmarkEnd w:id="46"/>
      <w:bookmarkEnd w:id="47"/>
      <w:bookmarkEnd w:id="48"/>
      <w:bookmarkEnd w:id="49"/>
      <w:bookmarkEnd w:id="50"/>
      <w:bookmarkEnd w:id="51"/>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52" w:name="_Toc531765426"/>
      <w:bookmarkStart w:id="53" w:name="_Toc26130272"/>
      <w:bookmarkStart w:id="54" w:name="_Toc31213"/>
      <w:bookmarkStart w:id="55" w:name="_Toc19373"/>
      <w:r>
        <w:rPr>
          <w:rFonts w:hint="eastAsia" w:ascii="楷体_GB2312" w:hAnsi="仿宋" w:eastAsia="楷体_GB2312" w:cs="Times New Roman"/>
          <w:b/>
          <w:bCs/>
          <w:color w:val="000000" w:themeColor="text1"/>
          <w:spacing w:val="0"/>
          <w:highlight w:val="none"/>
          <w14:textFill>
            <w14:solidFill>
              <w14:schemeClr w14:val="tx1"/>
            </w14:solidFill>
          </w14:textFill>
        </w:rPr>
        <w:t>2.1</w:t>
      </w:r>
      <w:bookmarkEnd w:id="52"/>
      <w:bookmarkEnd w:id="53"/>
      <w:r>
        <w:rPr>
          <w:rFonts w:hint="eastAsia" w:ascii="楷体_GB2312" w:hAnsi="仿宋" w:eastAsia="楷体_GB2312" w:cs="Times New Roman"/>
          <w:b/>
          <w:bCs/>
          <w:color w:val="000000" w:themeColor="text1"/>
          <w:spacing w:val="0"/>
          <w:highlight w:val="none"/>
          <w14:textFill>
            <w14:solidFill>
              <w14:schemeClr w14:val="tx1"/>
            </w14:solidFill>
          </w14:textFill>
        </w:rPr>
        <w:t>领导机构</w:t>
      </w:r>
      <w:bookmarkEnd w:id="54"/>
      <w:bookmarkEnd w:id="5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自治区交通运输厅成立</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应急工作领导小组（以下简称“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领导小组”），作为应急管理协调指挥机构，在自治区党委、政府的领导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和交通运输部指导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职责范围内负责组织</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督导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交通运输行业突发事件防范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及应急处置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交通运输厅主要负责人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任组长，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其他厅领导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任副组长，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厅机关各处室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及厅属各单位主要负责人为成员。</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组长和副组长在突发事件发生后，分别为指挥长和副指挥长。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贯彻落实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国家和</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自治区突发事件应急处置工作的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方针、政策、工作安排和部署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组织、指挥、指导、协调、督导辖区内交通运输领域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突发事件应急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处置工作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）决定启动和终止交通运输厅突发事件预警</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状态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和应急响应行动。</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）负责与自治区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相关部门的联络、协调工作。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负责组织开展高速公路、普通国省干线公路等的抢通抢修和应急物资、人员转运等工作，指导农村公路的抢通抢修工作。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负责突发事件道路运输保通保畅工作。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（7）落实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厅系统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突发事件应急值守</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信息汇总和上报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）研究决定其他重大事项。</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56" w:name="_Toc13607"/>
      <w:bookmarkStart w:id="57" w:name="_Toc1963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2.2应急领导小组办公室</w:t>
      </w:r>
      <w:bookmarkEnd w:id="56"/>
      <w:bookmarkEnd w:id="57"/>
    </w:p>
    <w:p>
      <w:pPr>
        <w:keepNext w:val="0"/>
        <w:keepLines w:val="0"/>
        <w:pageBreakBefore w:val="0"/>
        <w:widowControl w:val="0"/>
        <w:kinsoku/>
        <w:wordWrap/>
        <w:overflowPunct/>
        <w:topLinePunct/>
        <w:bidi w:val="0"/>
        <w:spacing w:line="600" w:lineRule="exact"/>
        <w:ind w:left="0" w:leftChars="0" w:firstLine="640" w:firstLineChars="200"/>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厅应急</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领导小组下设办公室</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以下简称“厅应急办”</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负责</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落实</w:t>
      </w:r>
      <w:r>
        <w:rPr>
          <w:rFonts w:hint="eastAsia" w:ascii="仿宋_GB2312" w:eastAsia="仿宋_GB2312"/>
          <w:color w:val="000000" w:themeColor="text1"/>
          <w:spacing w:val="0"/>
          <w:sz w:val="32"/>
          <w:szCs w:val="32"/>
          <w:highlight w:val="none"/>
          <w14:textFill>
            <w14:solidFill>
              <w14:schemeClr w14:val="tx1"/>
            </w14:solidFill>
          </w14:textFill>
        </w:rPr>
        <w:t>领导小组的</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工作安排</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办公室设在</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安全与质量监督管理处</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bidi w:val="0"/>
        <w:spacing w:line="600" w:lineRule="exact"/>
        <w:ind w:left="0" w:leftChars="0" w:firstLine="640" w:firstLineChars="200"/>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主  任：分管应急管理工作的厅领导</w:t>
      </w:r>
    </w:p>
    <w:p>
      <w:pPr>
        <w:keepNext w:val="0"/>
        <w:keepLines w:val="0"/>
        <w:pageBreakBefore w:val="0"/>
        <w:widowControl w:val="0"/>
        <w:kinsoku/>
        <w:wordWrap/>
        <w:overflowPunct/>
        <w:topLinePunct/>
        <w:bidi w:val="0"/>
        <w:spacing w:line="600" w:lineRule="exact"/>
        <w:ind w:left="0" w:leftChars="0" w:firstLine="640" w:firstLineChars="200"/>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副主任：安全与质量监督管理处主要负责人</w:t>
      </w:r>
    </w:p>
    <w:p>
      <w:pPr>
        <w:keepNext w:val="0"/>
        <w:keepLines w:val="0"/>
        <w:pageBreakBefore w:val="0"/>
        <w:widowControl w:val="0"/>
        <w:kinsoku/>
        <w:wordWrap/>
        <w:overflowPunct/>
        <w:topLinePunct/>
        <w:bidi w:val="0"/>
        <w:spacing w:line="600" w:lineRule="exact"/>
        <w:ind w:left="0" w:leftChars="0" w:firstLine="640" w:firstLineChars="200"/>
        <w:rPr>
          <w:rFonts w:hint="default" w:ascii="仿宋_GB2312" w:eastAsia="仿宋_GB2312"/>
          <w:b w:val="0"/>
          <w:bCs/>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  员：厅办公室、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综合规划处、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建设管理处、公路管理处、运输和海事管理处、科技处、交通战备处、物流发展处、公路管理中心、交通运输综合执法监督局、</w:t>
      </w:r>
      <w:r>
        <w:rPr>
          <w:rFonts w:hint="eastAsia" w:ascii="仿宋_GB2312" w:eastAsia="仿宋_GB2312"/>
          <w:b w:val="0"/>
          <w:bCs/>
          <w:color w:val="000000" w:themeColor="text1"/>
          <w:spacing w:val="0"/>
          <w:sz w:val="32"/>
          <w:szCs w:val="32"/>
          <w:highlight w:val="none"/>
          <w14:textFill>
            <w14:solidFill>
              <w14:schemeClr w14:val="tx1"/>
            </w14:solidFill>
          </w14:textFill>
        </w:rPr>
        <w:t>路网监测与应急处置中心</w:t>
      </w:r>
      <w:r>
        <w:rPr>
          <w:rFonts w:hint="eastAsia" w:ascii="仿宋_GB2312" w:eastAsia="仿宋_GB2312"/>
          <w:b w:val="0"/>
          <w:bCs/>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道路运输事务中心、公路水路发展中心、交通宣传事务中心等相关处室及所属单位人员。</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主要职责为：</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1</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负责交通运输系统应急信息的收集、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汇总、处理、上报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与下达等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跟踪了解突发事件处置进展，及时向</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厅应急领导小组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启动预警</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行动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和响应行动建议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val="0"/>
        <w:autoSpaceDN w:val="0"/>
        <w:bidi w:val="0"/>
        <w:adjustRightInd w:val="0"/>
        <w:snapToGrid w:val="0"/>
        <w:spacing w:line="600" w:lineRule="exact"/>
        <w:ind w:left="0" w:leftChars="0" w:right="0" w:firstLine="640" w:firstLineChars="200"/>
        <w:jc w:val="both"/>
        <w:textAlignment w:val="baseline"/>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领导小组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与工作组及相关单位的协调</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与</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bidi w:val="0"/>
        <w:spacing w:line="600" w:lineRule="exact"/>
        <w:ind w:left="0" w:leftChars="0" w:firstLine="640" w:firstLineChars="200"/>
        <w:jc w:val="both"/>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具体负责协调、指导、督导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公路经营管理单位及</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交通运输主管部门</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贯彻落实上级单位和厅应急领导小组的工作部署和安排</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）组织拟订</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修订厅突发事件应急预案；指导厅属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公路经营管理单位及</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突发事件应急预案的编制和实施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）研究制定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交通运输系统预防和处置突发事件的重大措施和指导意见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审查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应急相关预案、规划、规则、办法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）办理上级部门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和厅应急领导小组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default"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pPr>
      <w:bookmarkStart w:id="58" w:name="_Toc3202"/>
      <w:bookmarkStart w:id="59" w:name="_Toc531765428"/>
      <w:bookmarkStart w:id="60" w:name="_Toc12728"/>
      <w:bookmarkStart w:id="61" w:name="_Toc26130274"/>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应急组织</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before="0" w:after="0" w:line="240" w:lineRule="auto"/>
        <w:ind w:left="0" w:leftChars="0" w:firstLine="0" w:firstLineChars="0"/>
        <w:textAlignment w:val="auto"/>
        <w:outlineLvl w:val="9"/>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drawing>
          <wp:inline distT="0" distB="0" distL="114300" distR="114300">
            <wp:extent cx="5756275" cy="3235960"/>
            <wp:effectExtent l="0" t="0" r="9525" b="2540"/>
            <wp:docPr id="21" name="图片 21" descr="厅领导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厅领导小组"/>
                    <pic:cNvPicPr>
                      <a:picLocks noChangeAspect="1"/>
                    </pic:cNvPicPr>
                  </pic:nvPicPr>
                  <pic:blipFill>
                    <a:blip r:embed="rId11"/>
                    <a:stretch>
                      <a:fillRect/>
                    </a:stretch>
                  </pic:blipFill>
                  <pic:spPr>
                    <a:xfrm>
                      <a:off x="0" y="0"/>
                      <a:ext cx="5756275" cy="3235960"/>
                    </a:xfrm>
                    <a:prstGeom prst="rect">
                      <a:avLst/>
                    </a:prstGeom>
                  </pic:spPr>
                </pic:pic>
              </a:graphicData>
            </a:graphic>
          </wp:inline>
        </w:drawing>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2.</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应急工作组</w:t>
      </w:r>
      <w:bookmarkEnd w:id="58"/>
      <w:bookmarkEnd w:id="59"/>
      <w:bookmarkEnd w:id="60"/>
      <w:bookmarkEnd w:id="61"/>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根据事件类型及应急处置需要，视情成立应急工作组，一般包括</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综合协调组、运输调度组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抢修保通</w:t>
      </w:r>
      <w:r>
        <w:rPr>
          <w:rFonts w:hint="eastAsia" w:ascii="仿宋_GB2312" w:hAnsi="仿宋" w:eastAsia="仿宋_GB2312"/>
          <w:color w:val="000000" w:themeColor="text1"/>
          <w:spacing w:val="0"/>
          <w:sz w:val="32"/>
          <w:szCs w:val="32"/>
          <w:highlight w:val="none"/>
          <w14:textFill>
            <w14:solidFill>
              <w14:schemeClr w14:val="tx1"/>
            </w14:solidFill>
          </w14:textFill>
        </w:rPr>
        <w:t>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、通信保障组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灾情评估组、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现场工作组及专家组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等工作组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各工作组的组长根据应对突发事件的工作职责予以确定。</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各应急工作组在</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统一指挥下开展工作，并在应急响应终止时自动解散</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（1）综合协调组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厅办公室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牵头负责，成员视情由政策法规处、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建设管理处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、公路管理处、运输和海事管理处、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安全与质量监督管理处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公路管理中心、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道路运输事务中心、公路水路发展中心、交通宣传事务中心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负责协调落实交通运输部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自治区人民政府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以及厅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协助召开应急状态下厅应急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领导小组会议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并督促议定事项</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落实</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落实组织起草重要报告、</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综合类文件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运输调度组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由厅运输和海事管理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处牵头负责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成员由物流发展处、公路管理中心、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、道路运输事务中心等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组织、协调、指导</w:t>
      </w:r>
      <w:r>
        <w:rPr>
          <w:rFonts w:ascii="仿宋_GB2312" w:hAnsi="仿宋" w:eastAsia="仿宋_GB2312"/>
          <w:color w:val="000000" w:themeColor="text1"/>
          <w:spacing w:val="0"/>
          <w:sz w:val="32"/>
          <w:szCs w:val="32"/>
          <w:highlight w:val="none"/>
          <w14:textFill>
            <w14:solidFill>
              <w14:schemeClr w14:val="tx1"/>
            </w14:solidFill>
          </w14:textFill>
        </w:rPr>
        <w:t>保障在突发事件或紧急情况急需、调用的大</w:t>
      </w:r>
      <w:r>
        <w:rPr>
          <w:rFonts w:hint="eastAsia" w:ascii="仿宋_GB2312" w:hAnsi="仿宋" w:eastAsia="仿宋_GB2312"/>
          <w:color w:val="000000" w:themeColor="text1"/>
          <w:spacing w:val="0"/>
          <w:sz w:val="32"/>
          <w:szCs w:val="32"/>
          <w:highlight w:val="none"/>
          <w14:textFill>
            <w14:solidFill>
              <w14:schemeClr w14:val="tx1"/>
            </w14:solidFill>
          </w14:textFill>
        </w:rPr>
        <w:t>宗物资所需的车、船运输力量</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保障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应急处置过程中公路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交通应急通行和运力保障；协调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公安交管部门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，开辟“绿色通道”</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保障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物资与人员优先通行；承办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（3）抢修保通</w:t>
      </w:r>
      <w:r>
        <w:rPr>
          <w:rFonts w:hint="eastAsia" w:ascii="仿宋_GB2312" w:hAnsi="仿宋" w:eastAsia="仿宋_GB2312"/>
          <w:color w:val="000000" w:themeColor="text1"/>
          <w:spacing w:val="0"/>
          <w:sz w:val="32"/>
          <w:szCs w:val="32"/>
          <w:highlight w:val="none"/>
          <w14:textFill>
            <w14:solidFill>
              <w14:schemeClr w14:val="tx1"/>
            </w14:solidFill>
          </w14:textFill>
        </w:rPr>
        <w:t>组</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公路管理处牵头负责，成员由建设管理处、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运输和海事管理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公路管理中心、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相关</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公路经营管理单位</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单位人员组成。</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负责组织</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指导、协调</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开展公路设施排查，提出处置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措施</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组织、</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协调相关单位对破坏的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高速公路、国</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省</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干线公路</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进行</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抢修保通工作；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指导、协调各市、县（区）农村公路的抢修保通工作；配合公安等有关部门</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拟定公路中断路段绕行方案和组织实施等工作；</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通信保障组</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Autospacing="0" w:afterAutospacing="0" w:line="600" w:lineRule="exact"/>
        <w:ind w:left="0" w:leftChars="0" w:right="0" w:righ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科技处牵头负责，成员由公路管理中心、路网监测与应急处置中心等单位人员组成</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Autospacing="0" w:afterAutospacing="0" w:line="600" w:lineRule="exact"/>
        <w:ind w:left="0" w:leftChars="0" w:right="0" w:rightChars="0" w:firstLine="640" w:firstLineChars="200"/>
        <w:jc w:val="both"/>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负责信息系统维护工作；负责应急处置过程中网络、视频、通信等保障工作；承办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领导小组交办的其他工作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各级交通运输部门及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单位，负责做好本单位应急通信保障工作。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牵头负责，成员由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等单位人员组成。</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负责收集处理相关新闻报道，及时消除不实报道带来的负面影响；加强舆情监测分析，正确引导舆论，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负责对外信息发布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（6）灾情评估组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灾情评估组由厅总工程师任组长，</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成员</w:t>
      </w:r>
      <w:r>
        <w:rPr>
          <w:rFonts w:hint="eastAsia" w:ascii="仿宋_GB2312" w:hAnsi="仿宋_GB2312" w:eastAsia="仿宋_GB2312" w:cs="仿宋_GB2312"/>
          <w:color w:val="000000" w:themeColor="text1"/>
          <w:sz w:val="32"/>
          <w:szCs w:val="32"/>
          <w:highlight w:val="none"/>
          <w14:textFill>
            <w14:solidFill>
              <w14:schemeClr w14:val="tx1"/>
            </w14:solidFill>
          </w14:textFill>
        </w:rPr>
        <w:t>根据需要由厅机关相关处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室</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14:textFill>
            <w14:solidFill>
              <w14:schemeClr w14:val="tx1"/>
            </w14:solidFill>
          </w14:textFill>
        </w:rPr>
        <w:t>厅属单位组成。</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负责组织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灾情评估</w:t>
      </w:r>
      <w:r>
        <w:rPr>
          <w:rFonts w:hint="eastAsia" w:ascii="仿宋_GB2312" w:hAnsi="仿宋_GB2312" w:eastAsia="仿宋_GB2312" w:cs="仿宋_GB2312"/>
          <w:color w:val="000000" w:themeColor="text1"/>
          <w:sz w:val="32"/>
          <w:szCs w:val="32"/>
          <w:highlight w:val="none"/>
          <w14:textFill>
            <w14:solidFill>
              <w14:schemeClr w14:val="tx1"/>
            </w14:solidFill>
          </w14:textFill>
        </w:rPr>
        <w:t>工作，</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给各级别响应启动提供支撑；</w:t>
      </w:r>
      <w:r>
        <w:rPr>
          <w:rFonts w:hint="eastAsia" w:ascii="仿宋_GB2312" w:hAnsi="仿宋_GB2312" w:eastAsia="仿宋_GB2312" w:cs="仿宋_GB2312"/>
          <w:color w:val="000000" w:themeColor="text1"/>
          <w:sz w:val="32"/>
          <w:szCs w:val="32"/>
          <w:highlight w:val="none"/>
          <w14:textFill>
            <w14:solidFill>
              <w14:schemeClr w14:val="tx1"/>
            </w14:solidFill>
          </w14:textFill>
        </w:rPr>
        <w:t>对突发事件情况、应急处置措施等进行评估；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领导小组交办的其他工作</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bookmarkStart w:id="62" w:name="_Toc531765430"/>
      <w:bookmarkStart w:id="63" w:name="_Toc16726"/>
      <w:bookmarkStart w:id="64" w:name="_Toc7982"/>
      <w:bookmarkStart w:id="65" w:name="_Toc26130276"/>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（7）现场工作组</w:t>
      </w:r>
      <w:bookmarkEnd w:id="62"/>
      <w:bookmarkEnd w:id="63"/>
      <w:bookmarkEnd w:id="64"/>
      <w:bookmarkEnd w:id="65"/>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现场工作组是由厅应急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领导小组根据应急处置工作需要，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指定成立</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并派往</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事发区域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职责：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按照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上级单位及厅应急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领导小组部署，赴突发事件现场支持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配合政府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及有关单位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开展应急处置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协助研究解决有关问题</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领导小组及其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等有关应急工作组报告</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现场情况和应急处置行动进展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按照权限调度</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行业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应急队伍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设备物资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提供交通运输方面</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技术支持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配合有关部门制定处置方案；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bookmarkStart w:id="66" w:name="_Toc28606"/>
      <w:bookmarkStart w:id="67" w:name="_Toc26130275"/>
      <w:bookmarkStart w:id="68" w:name="_Toc25371"/>
      <w:bookmarkStart w:id="69" w:name="_Toc531765429"/>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（8）专家组</w:t>
      </w:r>
      <w:bookmarkEnd w:id="66"/>
      <w:bookmarkEnd w:id="67"/>
      <w:bookmarkEnd w:id="68"/>
      <w:bookmarkEnd w:id="6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按照突发事件分类处置的原则</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专家组成员由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根据应急处置工作需要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专家库中选择工程技术、科研、管理、应急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等领域人员组成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eastAsia="仿宋_GB2312"/>
          <w:color w:val="000000" w:themeColor="text1"/>
          <w:spacing w:val="0"/>
          <w:sz w:val="32"/>
          <w:szCs w:val="32"/>
          <w:highlight w:val="none"/>
          <w14:textFill>
            <w14:solidFill>
              <w14:schemeClr w14:val="tx1"/>
            </w14:solidFill>
          </w14:textFill>
        </w:rPr>
        <w:t>负责对应急处置方案、应急响应、应急处置措施和复盘评估等工作提供技术咨询和支持</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根据需要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赴现场支持开展</w:t>
      </w:r>
      <w:r>
        <w:rPr>
          <w:rFonts w:hint="eastAsia" w:ascii="仿宋_GB2312" w:eastAsia="仿宋_GB2312"/>
          <w:color w:val="000000" w:themeColor="text1"/>
          <w:spacing w:val="0"/>
          <w:sz w:val="32"/>
          <w:szCs w:val="32"/>
          <w:highlight w:val="none"/>
          <w14:textFill>
            <w14:solidFill>
              <w14:schemeClr w14:val="tx1"/>
            </w14:solidFill>
          </w14:textFill>
        </w:rPr>
        <w:t>应急处置工作。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70" w:name="_Toc21695"/>
      <w:bookmarkStart w:id="71" w:name="_Toc26130277"/>
      <w:bookmarkStart w:id="72" w:name="_Toc1604"/>
      <w:bookmarkStart w:id="73" w:name="_Toc531765431"/>
      <w:r>
        <w:rPr>
          <w:rFonts w:hint="eastAsia" w:ascii="楷体_GB2312" w:hAnsi="仿宋" w:eastAsia="楷体_GB2312" w:cs="Times New Roman"/>
          <w:b/>
          <w:bCs/>
          <w:color w:val="000000" w:themeColor="text1"/>
          <w:spacing w:val="0"/>
          <w:highlight w:val="none"/>
          <w14:textFill>
            <w14:solidFill>
              <w14:schemeClr w14:val="tx1"/>
            </w14:solidFill>
          </w14:textFill>
        </w:rPr>
        <w:t>2</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.4应急协调机制</w:t>
      </w:r>
      <w:bookmarkEnd w:id="70"/>
      <w:bookmarkEnd w:id="71"/>
      <w:bookmarkEnd w:id="72"/>
      <w:bookmarkEnd w:id="7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在突发事件应急响应中，需要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交通运输部或</w:t>
      </w:r>
      <w:r>
        <w:rPr>
          <w:rFonts w:hint="eastAsia" w:ascii="仿宋_GB2312" w:eastAsia="仿宋_GB2312"/>
          <w:color w:val="000000" w:themeColor="text1"/>
          <w:spacing w:val="0"/>
          <w:sz w:val="32"/>
          <w:szCs w:val="32"/>
          <w:highlight w:val="none"/>
          <w14:textFill>
            <w14:solidFill>
              <w14:schemeClr w14:val="tx1"/>
            </w14:solidFill>
          </w14:textFill>
        </w:rPr>
        <w:t>自治区人民政府协调有关部门处置的突发事件，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eastAsia="仿宋_GB2312"/>
          <w:color w:val="000000" w:themeColor="text1"/>
          <w:spacing w:val="0"/>
          <w:sz w:val="32"/>
          <w:szCs w:val="32"/>
          <w:highlight w:val="none"/>
          <w14:textFill>
            <w14:solidFill>
              <w14:schemeClr w14:val="tx1"/>
            </w14:solidFill>
          </w14:textFill>
        </w:rPr>
        <w:t>领导小组应根据突发事件的级别和类型，提请</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上级单位</w:t>
      </w:r>
      <w:r>
        <w:rPr>
          <w:rFonts w:hint="eastAsia" w:ascii="仿宋_GB2312" w:eastAsia="仿宋_GB2312"/>
          <w:color w:val="000000" w:themeColor="text1"/>
          <w:spacing w:val="0"/>
          <w:sz w:val="32"/>
          <w:szCs w:val="32"/>
          <w:highlight w:val="none"/>
          <w14:textFill>
            <w14:solidFill>
              <w14:schemeClr w14:val="tx1"/>
            </w14:solidFill>
          </w14:textFill>
        </w:rPr>
        <w:t>协调</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应急处置工作</w:t>
      </w:r>
      <w:r>
        <w:rPr>
          <w:rFonts w:hint="eastAsia" w:ascii="仿宋_GB2312"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2.5厅属相关单位的主要应急职责</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40" w:firstLineChars="200"/>
        <w:textAlignment w:val="auto"/>
        <w:rPr>
          <w:rFonts w:hint="eastAsia" w:ascii="仿宋_GB2312" w:eastAsia="仿宋_GB2312"/>
          <w:b w:val="0"/>
          <w:bCs/>
          <w:color w:val="000000" w:themeColor="text1"/>
          <w:sz w:val="32"/>
          <w:szCs w:val="32"/>
          <w:highlight w:val="none"/>
          <w:lang w:val="en-US" w:eastAsia="zh-CN"/>
          <w14:textFill>
            <w14:solidFill>
              <w14:schemeClr w14:val="tx1"/>
            </w14:solidFill>
          </w14:textFill>
        </w:rPr>
      </w:pPr>
      <w:r>
        <w:rPr>
          <w:rFonts w:hint="eastAsia" w:ascii="仿宋_GB2312" w:eastAsia="仿宋_GB2312" w:hAnsiTheme="minorHAnsi" w:cstheme="minorBidi"/>
          <w:b w:val="0"/>
          <w:bCs/>
          <w:color w:val="000000" w:themeColor="text1"/>
          <w:kern w:val="2"/>
          <w:sz w:val="32"/>
          <w:szCs w:val="32"/>
          <w:highlight w:val="none"/>
          <w:lang w:val="en-US" w:eastAsia="zh-CN" w:bidi="ar-SA"/>
          <w14:textFill>
            <w14:solidFill>
              <w14:schemeClr w14:val="tx1"/>
            </w14:solidFill>
          </w14:textFill>
        </w:rPr>
        <w:t>（1）</w:t>
      </w:r>
      <w:r>
        <w:rPr>
          <w:rFonts w:hint="eastAsia" w:ascii="仿宋_GB2312" w:eastAsia="仿宋_GB2312"/>
          <w:b w:val="0"/>
          <w:bCs/>
          <w:color w:val="000000" w:themeColor="text1"/>
          <w:sz w:val="32"/>
          <w:szCs w:val="32"/>
          <w:highlight w:val="none"/>
          <w14:textFill>
            <w14:solidFill>
              <w14:schemeClr w14:val="tx1"/>
            </w14:solidFill>
          </w14:textFill>
        </w:rPr>
        <w:t>宁夏公路管理中心主要</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应急</w:t>
      </w:r>
      <w:r>
        <w:rPr>
          <w:rFonts w:hint="eastAsia" w:ascii="仿宋_GB2312" w:eastAsia="仿宋_GB2312"/>
          <w:b w:val="0"/>
          <w:bCs/>
          <w:color w:val="000000" w:themeColor="text1"/>
          <w:sz w:val="32"/>
          <w:szCs w:val="32"/>
          <w:highlight w:val="none"/>
          <w14:textFill>
            <w14:solidFill>
              <w14:schemeClr w14:val="tx1"/>
            </w14:solidFill>
          </w14:textFill>
        </w:rPr>
        <w:t>职责：负责全区普通国省干线公路交通战备</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与</w:t>
      </w:r>
      <w:r>
        <w:rPr>
          <w:rFonts w:hint="eastAsia" w:ascii="仿宋_GB2312" w:eastAsia="仿宋_GB2312"/>
          <w:b w:val="0"/>
          <w:bCs/>
          <w:color w:val="000000" w:themeColor="text1"/>
          <w:sz w:val="32"/>
          <w:szCs w:val="32"/>
          <w:highlight w:val="none"/>
          <w14:textFill>
            <w14:solidFill>
              <w14:schemeClr w14:val="tx1"/>
            </w14:solidFill>
          </w14:textFill>
        </w:rPr>
        <w:t>应急</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保通保畅等保</w:t>
      </w:r>
      <w:r>
        <w:rPr>
          <w:rFonts w:hint="eastAsia" w:ascii="仿宋_GB2312" w:eastAsia="仿宋_GB2312"/>
          <w:b w:val="0"/>
          <w:bCs/>
          <w:color w:val="000000" w:themeColor="text1"/>
          <w:sz w:val="32"/>
          <w:szCs w:val="32"/>
          <w:highlight w:val="none"/>
          <w14:textFill>
            <w14:solidFill>
              <w14:schemeClr w14:val="tx1"/>
            </w14:solidFill>
          </w14:textFill>
        </w:rPr>
        <w:t>障相关工作</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14:textFill>
            <w14:solidFill>
              <w14:schemeClr w14:val="tx1"/>
            </w14:solidFill>
          </w14:textFill>
        </w:rPr>
        <w:t>负责全区普通国省干线公路</w:t>
      </w:r>
      <w:r>
        <w:rPr>
          <w:rFonts w:hint="eastAsia" w:ascii="仿宋_GB2312" w:eastAsia="仿宋_GB2312"/>
          <w:b w:val="0"/>
          <w:bCs/>
          <w:color w:val="000000" w:themeColor="text1"/>
          <w:sz w:val="32"/>
          <w:szCs w:val="32"/>
          <w:highlight w:val="none"/>
          <w:lang w:eastAsia="zh-CN"/>
          <w14:textFill>
            <w14:solidFill>
              <w14:schemeClr w14:val="tx1"/>
            </w14:solidFill>
          </w14:textFill>
        </w:rPr>
        <w:t>因</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突发事件造成损坏与中断的抢通和修复工作；指导</w:t>
      </w:r>
      <w:r>
        <w:rPr>
          <w:rFonts w:hint="eastAsia" w:ascii="仿宋_GB2312" w:eastAsia="仿宋_GB2312"/>
          <w:b w:val="0"/>
          <w:bCs/>
          <w:color w:val="000000" w:themeColor="text1"/>
          <w:sz w:val="32"/>
          <w:szCs w:val="32"/>
          <w:highlight w:val="none"/>
          <w14:textFill>
            <w14:solidFill>
              <w14:schemeClr w14:val="tx1"/>
            </w14:solidFill>
          </w14:textFill>
        </w:rPr>
        <w:t>全区高速公路</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与</w:t>
      </w:r>
      <w:r>
        <w:rPr>
          <w:rFonts w:hint="eastAsia" w:ascii="仿宋_GB2312" w:eastAsia="仿宋_GB2312"/>
          <w:b w:val="0"/>
          <w:bCs/>
          <w:color w:val="000000" w:themeColor="text1"/>
          <w:sz w:val="32"/>
          <w:szCs w:val="32"/>
          <w:highlight w:val="none"/>
          <w14:textFill>
            <w14:solidFill>
              <w14:schemeClr w14:val="tx1"/>
            </w14:solidFill>
          </w14:textFill>
        </w:rPr>
        <w:t>农村公路</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抢修抢通工作。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40" w:firstLineChars="200"/>
        <w:textAlignment w:val="auto"/>
        <w:rPr>
          <w:rFonts w:hint="eastAsia" w:ascii="仿宋_GB2312" w:eastAsia="仿宋_GB2312"/>
          <w:b w:val="0"/>
          <w:bCs/>
          <w:color w:val="000000" w:themeColor="text1"/>
          <w:sz w:val="32"/>
          <w:szCs w:val="32"/>
          <w:highlight w:val="none"/>
          <w14:textFill>
            <w14:solidFill>
              <w14:schemeClr w14:val="tx1"/>
            </w14:solidFill>
          </w14:textFill>
        </w:rPr>
      </w:pPr>
      <w:r>
        <w:rPr>
          <w:rFonts w:hint="eastAsia" w:ascii="仿宋_GB2312" w:eastAsia="仿宋_GB2312" w:hAnsiTheme="minorHAnsi" w:cstheme="minorBidi"/>
          <w:b w:val="0"/>
          <w:bCs/>
          <w:color w:val="000000" w:themeColor="text1"/>
          <w:kern w:val="2"/>
          <w:sz w:val="32"/>
          <w:szCs w:val="32"/>
          <w:highlight w:val="none"/>
          <w:lang w:val="en-US" w:eastAsia="zh-CN" w:bidi="ar-SA"/>
          <w14:textFill>
            <w14:solidFill>
              <w14:schemeClr w14:val="tx1"/>
            </w14:solidFill>
          </w14:textFill>
        </w:rPr>
        <w:t>（2）</w:t>
      </w:r>
      <w:r>
        <w:rPr>
          <w:rFonts w:hint="eastAsia" w:ascii="仿宋_GB2312" w:eastAsia="仿宋_GB2312"/>
          <w:b w:val="0"/>
          <w:bCs/>
          <w:color w:val="000000" w:themeColor="text1"/>
          <w:sz w:val="32"/>
          <w:szCs w:val="32"/>
          <w:highlight w:val="none"/>
          <w14:textFill>
            <w14:solidFill>
              <w14:schemeClr w14:val="tx1"/>
            </w14:solidFill>
          </w14:textFill>
        </w:rPr>
        <w:t>自治区交通运输综合执法监督局主要</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应急</w:t>
      </w:r>
      <w:r>
        <w:rPr>
          <w:rFonts w:hint="eastAsia" w:ascii="仿宋_GB2312" w:eastAsia="仿宋_GB2312"/>
          <w:b w:val="0"/>
          <w:bCs/>
          <w:color w:val="000000" w:themeColor="text1"/>
          <w:sz w:val="32"/>
          <w:szCs w:val="32"/>
          <w:highlight w:val="none"/>
          <w14:textFill>
            <w14:solidFill>
              <w14:schemeClr w14:val="tx1"/>
            </w14:solidFill>
          </w14:textFill>
        </w:rPr>
        <w:t>职责：</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负责应急状态下的高速公路与国省干线等</w:t>
      </w:r>
      <w:r>
        <w:rPr>
          <w:rFonts w:hint="eastAsia" w:ascii="仿宋_GB2312" w:eastAsia="仿宋_GB2312"/>
          <w:b w:val="0"/>
          <w:bCs/>
          <w:color w:val="000000" w:themeColor="text1"/>
          <w:sz w:val="32"/>
          <w:szCs w:val="32"/>
          <w:highlight w:val="none"/>
          <w14:textFill>
            <w14:solidFill>
              <w14:schemeClr w14:val="tx1"/>
            </w14:solidFill>
          </w14:textFill>
        </w:rPr>
        <w:t>应急处置</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14:textFill>
            <w14:solidFill>
              <w14:schemeClr w14:val="tx1"/>
            </w14:solidFill>
          </w14:textFill>
        </w:rPr>
        <w:t>交通战备</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及</w:t>
      </w:r>
      <w:r>
        <w:rPr>
          <w:rFonts w:hint="eastAsia" w:ascii="仿宋_GB2312" w:eastAsia="仿宋_GB2312"/>
          <w:b w:val="0"/>
          <w:bCs/>
          <w:color w:val="000000" w:themeColor="text1"/>
          <w:sz w:val="32"/>
          <w:szCs w:val="32"/>
          <w:highlight w:val="none"/>
          <w14:textFill>
            <w14:solidFill>
              <w14:schemeClr w14:val="tx1"/>
            </w14:solidFill>
          </w14:textFill>
        </w:rPr>
        <w:t>重大活动的运输保障工作</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负责突发事件造成的高速公路与国省干线路产损失的鉴定及赔付等工作；</w:t>
      </w:r>
      <w:r>
        <w:rPr>
          <w:rFonts w:hint="eastAsia" w:ascii="仿宋_GB2312" w:eastAsia="仿宋_GB2312"/>
          <w:color w:val="000000" w:themeColor="text1"/>
          <w:sz w:val="32"/>
          <w:szCs w:val="32"/>
          <w:highlight w:val="none"/>
          <w14:textFill>
            <w14:solidFill>
              <w14:schemeClr w14:val="tx1"/>
            </w14:solidFill>
          </w14:textFill>
        </w:rPr>
        <w:t>负责全区公路路政、道路运政、水路运政、航道行政、地方海事行政、交通运输工程质量监督管理、交通运输安全生产监督管理等行政检查</w:t>
      </w:r>
      <w:r>
        <w:rPr>
          <w:rFonts w:hint="eastAsia" w:ascii="仿宋_GB2312" w:eastAsia="仿宋_GB2312"/>
          <w:color w:val="000000" w:themeColor="text1"/>
          <w:sz w:val="32"/>
          <w:szCs w:val="32"/>
          <w:highlight w:val="none"/>
          <w:lang w:val="en-US" w:eastAsia="zh-CN"/>
          <w14:textFill>
            <w14:solidFill>
              <w14:schemeClr w14:val="tx1"/>
            </w14:solidFill>
          </w14:textFill>
        </w:rPr>
        <w:t>以及</w:t>
      </w:r>
      <w:r>
        <w:rPr>
          <w:rFonts w:hint="eastAsia" w:ascii="仿宋_GB2312" w:eastAsia="仿宋_GB2312"/>
          <w:color w:val="000000" w:themeColor="text1"/>
          <w:sz w:val="32"/>
          <w:szCs w:val="32"/>
          <w:highlight w:val="none"/>
          <w14:textFill>
            <w14:solidFill>
              <w14:schemeClr w14:val="tx1"/>
            </w14:solidFill>
          </w14:textFill>
        </w:rPr>
        <w:t>行政强制等执法工作的监督指导</w:t>
      </w:r>
      <w:r>
        <w:rPr>
          <w:rFonts w:hint="eastAsia" w:ascii="仿宋_GB2312" w:eastAsia="仿宋_GB2312"/>
          <w:b w:val="0"/>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eastAsia="仿宋_GB2312"/>
          <w:b w:val="0"/>
          <w:bCs/>
          <w:color w:val="000000" w:themeColor="text1"/>
          <w:sz w:val="32"/>
          <w:szCs w:val="32"/>
          <w:highlight w:val="none"/>
          <w:lang w:eastAsia="zh-CN"/>
          <w14:textFill>
            <w14:solidFill>
              <w14:schemeClr w14:val="tx1"/>
            </w14:solidFill>
          </w14:textFill>
        </w:rPr>
      </w:pP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3</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14:textFill>
            <w14:solidFill>
              <w14:schemeClr w14:val="tx1"/>
            </w14:solidFill>
          </w14:textFill>
        </w:rPr>
        <w:t>宁夏路网监测与应急处置中心主要</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应急</w:t>
      </w:r>
      <w:r>
        <w:rPr>
          <w:rFonts w:hint="eastAsia" w:ascii="仿宋_GB2312" w:eastAsia="仿宋_GB2312"/>
          <w:b w:val="0"/>
          <w:bCs/>
          <w:color w:val="000000" w:themeColor="text1"/>
          <w:sz w:val="32"/>
          <w:szCs w:val="32"/>
          <w:highlight w:val="none"/>
          <w14:textFill>
            <w14:solidFill>
              <w14:schemeClr w14:val="tx1"/>
            </w14:solidFill>
          </w14:textFill>
        </w:rPr>
        <w:t>职责：</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承担交通运输厅突发事件应急指挥和信息传递等职责；</w:t>
      </w:r>
      <w:r>
        <w:rPr>
          <w:rFonts w:hint="eastAsia" w:ascii="仿宋_GB2312" w:eastAsia="仿宋_GB2312"/>
          <w:b w:val="0"/>
          <w:bCs/>
          <w:color w:val="000000" w:themeColor="text1"/>
          <w:sz w:val="32"/>
          <w:szCs w:val="32"/>
          <w:highlight w:val="none"/>
          <w14:textFill>
            <w14:solidFill>
              <w14:schemeClr w14:val="tx1"/>
            </w14:solidFill>
          </w14:textFill>
        </w:rPr>
        <w:t>负责交通系统信息化建设工作；承担全区公路网运行监测</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和</w:t>
      </w:r>
      <w:r>
        <w:rPr>
          <w:rFonts w:hint="eastAsia" w:ascii="仿宋_GB2312" w:eastAsia="仿宋_GB2312"/>
          <w:b w:val="0"/>
          <w:bCs/>
          <w:color w:val="000000" w:themeColor="text1"/>
          <w:sz w:val="32"/>
          <w:szCs w:val="32"/>
          <w:highlight w:val="none"/>
          <w14:textFill>
            <w14:solidFill>
              <w14:schemeClr w14:val="tx1"/>
            </w14:solidFill>
          </w14:textFill>
        </w:rPr>
        <w:t>重大突发事件预警和应急处置技术支持等相关职责；</w:t>
      </w:r>
      <w:r>
        <w:rPr>
          <w:rFonts w:hint="eastAsia" w:ascii="仿宋_GB2312" w:eastAsia="仿宋_GB2312"/>
          <w:b w:val="0"/>
          <w:bCs/>
          <w:color w:val="000000" w:themeColor="text1"/>
          <w:sz w:val="32"/>
          <w:szCs w:val="32"/>
          <w:highlight w:val="none"/>
          <w:lang w:eastAsia="zh-CN"/>
          <w14:textFill>
            <w14:solidFill>
              <w14:schemeClr w14:val="tx1"/>
            </w14:solidFill>
          </w14:textFill>
        </w:rPr>
        <w:t>负责接收低温雨雪冰冻等极端恶劣天气的预警信息，并与</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自治区相关部门</w:t>
      </w:r>
      <w:r>
        <w:rPr>
          <w:rFonts w:hint="eastAsia" w:ascii="仿宋_GB2312" w:eastAsia="仿宋_GB2312"/>
          <w:b w:val="0"/>
          <w:bCs/>
          <w:color w:val="000000" w:themeColor="text1"/>
          <w:sz w:val="32"/>
          <w:szCs w:val="32"/>
          <w:highlight w:val="none"/>
          <w:lang w:eastAsia="zh-CN"/>
          <w14:textFill>
            <w14:solidFill>
              <w14:schemeClr w14:val="tx1"/>
            </w14:solidFill>
          </w14:textFill>
        </w:rPr>
        <w:t>发布重大</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水路</w:t>
      </w:r>
      <w:r>
        <w:rPr>
          <w:rFonts w:hint="eastAsia" w:ascii="仿宋_GB2312" w:eastAsia="仿宋_GB2312"/>
          <w:b w:val="0"/>
          <w:bCs/>
          <w:color w:val="000000" w:themeColor="text1"/>
          <w:sz w:val="32"/>
          <w:szCs w:val="32"/>
          <w:highlight w:val="none"/>
          <w:lang w:eastAsia="zh-CN"/>
          <w14:textFill>
            <w14:solidFill>
              <w14:schemeClr w14:val="tx1"/>
            </w14:solidFill>
          </w14:textFill>
        </w:rPr>
        <w:t>交通气象预警；负责向应急办通报收到的公路阻断信息；</w:t>
      </w:r>
      <w:r>
        <w:rPr>
          <w:rFonts w:hint="eastAsia" w:ascii="仿宋_GB2312" w:eastAsia="仿宋_GB2312"/>
          <w:b w:val="0"/>
          <w:bCs/>
          <w:color w:val="000000" w:themeColor="text1"/>
          <w:sz w:val="32"/>
          <w:szCs w:val="32"/>
          <w:highlight w:val="none"/>
          <w14:textFill>
            <w14:solidFill>
              <w14:schemeClr w14:val="tx1"/>
            </w14:solidFill>
          </w14:textFill>
        </w:rPr>
        <w:t>承担公路救援服务工作（交通热线管理）</w:t>
      </w:r>
      <w:r>
        <w:rPr>
          <w:rFonts w:hint="eastAsia" w:ascii="仿宋_GB2312" w:eastAsia="仿宋_GB2312"/>
          <w:b w:val="0"/>
          <w:bCs/>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eastAsia="仿宋_GB2312"/>
          <w:b w:val="0"/>
          <w:bCs/>
          <w:color w:val="000000" w:themeColor="text1"/>
          <w:sz w:val="32"/>
          <w:szCs w:val="32"/>
          <w:highlight w:val="none"/>
          <w14:textFill>
            <w14:solidFill>
              <w14:schemeClr w14:val="tx1"/>
            </w14:solidFill>
          </w14:textFill>
        </w:rPr>
      </w:pP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4</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14:textFill>
            <w14:solidFill>
              <w14:schemeClr w14:val="tx1"/>
            </w14:solidFill>
          </w14:textFill>
        </w:rPr>
        <w:t>自治区道路运输事务中心主要</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应急</w:t>
      </w:r>
      <w:r>
        <w:rPr>
          <w:rFonts w:hint="eastAsia" w:ascii="仿宋_GB2312" w:eastAsia="仿宋_GB2312"/>
          <w:b w:val="0"/>
          <w:bCs/>
          <w:color w:val="000000" w:themeColor="text1"/>
          <w:sz w:val="32"/>
          <w:szCs w:val="32"/>
          <w:highlight w:val="none"/>
          <w14:textFill>
            <w14:solidFill>
              <w14:schemeClr w14:val="tx1"/>
            </w14:solidFill>
          </w14:textFill>
        </w:rPr>
        <w:t>职责：</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配合厅处室负责</w:t>
      </w:r>
      <w:r>
        <w:rPr>
          <w:rFonts w:hint="eastAsia" w:ascii="仿宋_GB2312" w:eastAsia="仿宋_GB2312"/>
          <w:b w:val="0"/>
          <w:bCs/>
          <w:color w:val="000000" w:themeColor="text1"/>
          <w:sz w:val="32"/>
          <w:szCs w:val="32"/>
          <w:highlight w:val="none"/>
          <w14:textFill>
            <w14:solidFill>
              <w14:schemeClr w14:val="tx1"/>
            </w14:solidFill>
          </w14:textFill>
        </w:rPr>
        <w:t>极端天气</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时</w:t>
      </w:r>
      <w:r>
        <w:rPr>
          <w:rFonts w:hint="eastAsia" w:ascii="仿宋_GB2312" w:eastAsia="仿宋_GB2312"/>
          <w:b w:val="0"/>
          <w:bCs/>
          <w:color w:val="000000" w:themeColor="text1"/>
          <w:sz w:val="32"/>
          <w:szCs w:val="32"/>
          <w:highlight w:val="none"/>
          <w14:textFill>
            <w14:solidFill>
              <w14:schemeClr w14:val="tx1"/>
            </w14:solidFill>
          </w14:textFill>
        </w:rPr>
        <w:t>的道路</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和水路</w:t>
      </w:r>
      <w:r>
        <w:rPr>
          <w:rFonts w:hint="eastAsia" w:ascii="仿宋_GB2312" w:eastAsia="仿宋_GB2312"/>
          <w:b w:val="0"/>
          <w:bCs/>
          <w:color w:val="000000" w:themeColor="text1"/>
          <w:sz w:val="32"/>
          <w:szCs w:val="32"/>
          <w:highlight w:val="none"/>
          <w14:textFill>
            <w14:solidFill>
              <w14:schemeClr w14:val="tx1"/>
            </w14:solidFill>
          </w14:textFill>
        </w:rPr>
        <w:t>运输保障工作</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配合</w:t>
      </w:r>
      <w:r>
        <w:rPr>
          <w:rFonts w:hint="eastAsia" w:ascii="仿宋_GB2312" w:eastAsia="仿宋_GB2312"/>
          <w:b w:val="0"/>
          <w:bCs/>
          <w:color w:val="000000" w:themeColor="text1"/>
          <w:sz w:val="32"/>
          <w:szCs w:val="32"/>
          <w:highlight w:val="none"/>
          <w14:textFill>
            <w14:solidFill>
              <w14:schemeClr w14:val="tx1"/>
            </w14:solidFill>
          </w14:textFill>
        </w:rPr>
        <w:t>搜集、分析、核实道路</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和水路</w:t>
      </w:r>
      <w:r>
        <w:rPr>
          <w:rFonts w:hint="eastAsia" w:ascii="仿宋_GB2312" w:eastAsia="仿宋_GB2312"/>
          <w:b w:val="0"/>
          <w:bCs/>
          <w:color w:val="000000" w:themeColor="text1"/>
          <w:sz w:val="32"/>
          <w:szCs w:val="32"/>
          <w:highlight w:val="none"/>
          <w14:textFill>
            <w14:solidFill>
              <w14:schemeClr w14:val="tx1"/>
            </w14:solidFill>
          </w14:textFill>
        </w:rPr>
        <w:t>运输突发事件的信息</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配合</w:t>
      </w:r>
      <w:r>
        <w:rPr>
          <w:rFonts w:hint="eastAsia" w:ascii="仿宋_GB2312" w:eastAsia="仿宋_GB2312"/>
          <w:b w:val="0"/>
          <w:bCs/>
          <w:color w:val="000000" w:themeColor="text1"/>
          <w:sz w:val="32"/>
          <w:szCs w:val="32"/>
          <w:highlight w:val="none"/>
          <w14:textFill>
            <w14:solidFill>
              <w14:schemeClr w14:val="tx1"/>
            </w14:solidFill>
          </w14:textFill>
        </w:rPr>
        <w:t>解决应急</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处置过程中</w:t>
      </w:r>
      <w:r>
        <w:rPr>
          <w:rFonts w:hint="eastAsia" w:ascii="仿宋_GB2312" w:eastAsia="仿宋_GB2312"/>
          <w:b w:val="0"/>
          <w:bCs/>
          <w:color w:val="000000" w:themeColor="text1"/>
          <w:sz w:val="32"/>
          <w:szCs w:val="32"/>
          <w:highlight w:val="none"/>
          <w14:textFill>
            <w14:solidFill>
              <w14:schemeClr w14:val="tx1"/>
            </w14:solidFill>
          </w14:textFill>
        </w:rPr>
        <w:t>的重大问题</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协助相关部门</w:t>
      </w:r>
      <w:r>
        <w:rPr>
          <w:rFonts w:hint="eastAsia" w:ascii="仿宋_GB2312" w:eastAsia="仿宋_GB2312"/>
          <w:b w:val="0"/>
          <w:bCs/>
          <w:color w:val="000000" w:themeColor="text1"/>
          <w:sz w:val="32"/>
          <w:szCs w:val="32"/>
          <w:highlight w:val="none"/>
          <w14:textFill>
            <w14:solidFill>
              <w14:schemeClr w14:val="tx1"/>
            </w14:solidFill>
          </w14:textFill>
        </w:rPr>
        <w:t>妥善疏散安置滞留在客运站的旅客车辆。</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eastAsia="仿宋_GB2312"/>
          <w:b w:val="0"/>
          <w:bCs/>
          <w:color w:val="000000" w:themeColor="text1"/>
          <w:sz w:val="32"/>
          <w:szCs w:val="32"/>
          <w:highlight w:val="none"/>
          <w14:textFill>
            <w14:solidFill>
              <w14:schemeClr w14:val="tx1"/>
            </w14:solidFill>
          </w14:textFill>
        </w:rPr>
      </w:pP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5</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14:textFill>
            <w14:solidFill>
              <w14:schemeClr w14:val="tx1"/>
            </w14:solidFill>
          </w14:textFill>
        </w:rPr>
        <w:t>自治区公路水路发展中心主要</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应急</w:t>
      </w:r>
      <w:r>
        <w:rPr>
          <w:rFonts w:hint="eastAsia" w:ascii="仿宋_GB2312" w:eastAsia="仿宋_GB2312"/>
          <w:b w:val="0"/>
          <w:bCs/>
          <w:color w:val="000000" w:themeColor="text1"/>
          <w:sz w:val="32"/>
          <w:szCs w:val="32"/>
          <w:highlight w:val="none"/>
          <w14:textFill>
            <w14:solidFill>
              <w14:schemeClr w14:val="tx1"/>
            </w14:solidFill>
          </w14:textFill>
        </w:rPr>
        <w:t>职责：</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协助</w:t>
      </w:r>
      <w:r>
        <w:rPr>
          <w:rFonts w:hint="eastAsia" w:ascii="仿宋_GB2312" w:eastAsia="仿宋_GB2312"/>
          <w:b w:val="0"/>
          <w:bCs/>
          <w:color w:val="000000" w:themeColor="text1"/>
          <w:sz w:val="32"/>
          <w:szCs w:val="32"/>
          <w:highlight w:val="none"/>
          <w14:textFill>
            <w14:solidFill>
              <w14:schemeClr w14:val="tx1"/>
            </w14:solidFill>
          </w14:textFill>
        </w:rPr>
        <w:t>公路</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水运工程、养护工程等的应急处置工作</w:t>
      </w:r>
      <w:r>
        <w:rPr>
          <w:rFonts w:hint="eastAsia" w:ascii="仿宋_GB2312" w:eastAsia="仿宋_GB2312"/>
          <w:b w:val="0"/>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eastAsia="仿宋_GB2312"/>
          <w:b w:val="0"/>
          <w:bCs/>
          <w:color w:val="000000" w:themeColor="text1"/>
          <w:sz w:val="32"/>
          <w:szCs w:val="32"/>
          <w:highlight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6</w:t>
      </w:r>
      <w:r>
        <w:rPr>
          <w:rFonts w:hint="eastAsia" w:ascii="仿宋_GB2312" w:eastAsia="仿宋_GB2312"/>
          <w:b w:val="0"/>
          <w:bCs/>
          <w:color w:val="000000" w:themeColor="text1"/>
          <w:sz w:val="32"/>
          <w:szCs w:val="32"/>
          <w:highlight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14:textFill>
            <w14:solidFill>
              <w14:schemeClr w14:val="tx1"/>
            </w14:solidFill>
          </w14:textFill>
        </w:rPr>
        <w:t>自治区交通宣传事务中心主要</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应急</w:t>
      </w:r>
      <w:r>
        <w:rPr>
          <w:rFonts w:hint="eastAsia" w:ascii="仿宋_GB2312" w:eastAsia="仿宋_GB2312"/>
          <w:b w:val="0"/>
          <w:bCs/>
          <w:color w:val="000000" w:themeColor="text1"/>
          <w:sz w:val="32"/>
          <w:szCs w:val="32"/>
          <w:highlight w:val="none"/>
          <w14:textFill>
            <w14:solidFill>
              <w14:schemeClr w14:val="tx1"/>
            </w14:solidFill>
          </w14:textFill>
        </w:rPr>
        <w:t>职责：</w:t>
      </w:r>
      <w:r>
        <w:rPr>
          <w:rFonts w:hint="eastAsia" w:ascii="仿宋_GB2312" w:eastAsia="仿宋_GB2312"/>
          <w:b w:val="0"/>
          <w:bCs/>
          <w:color w:val="000000" w:themeColor="text1"/>
          <w:sz w:val="32"/>
          <w:szCs w:val="32"/>
          <w:highlight w:val="none"/>
          <w:lang w:val="en-US" w:eastAsia="zh-CN"/>
          <w14:textFill>
            <w14:solidFill>
              <w14:schemeClr w14:val="tx1"/>
            </w14:solidFill>
          </w14:textFill>
        </w:rPr>
        <w:t>协助政策法规处等开展突发事件的新闻发布工作；</w:t>
      </w:r>
      <w:r>
        <w:rPr>
          <w:rFonts w:hint="eastAsia" w:ascii="仿宋_GB2312" w:eastAsia="仿宋_GB2312"/>
          <w:b w:val="0"/>
          <w:bCs/>
          <w:color w:val="000000" w:themeColor="text1"/>
          <w:sz w:val="32"/>
          <w:szCs w:val="32"/>
          <w:highlight w:val="none"/>
          <w14:textFill>
            <w14:solidFill>
              <w14:schemeClr w14:val="tx1"/>
            </w14:solidFill>
          </w14:textFill>
        </w:rPr>
        <w:t>负责交通运输</w:t>
      </w:r>
      <w:r>
        <w:rPr>
          <w:rFonts w:hint="eastAsia" w:ascii="Times New Roman" w:hAnsi="Times New Roman" w:eastAsia="方正仿宋_GBK" w:cs="Times New Roman"/>
          <w:spacing w:val="0"/>
          <w:kern w:val="21"/>
          <w:sz w:val="32"/>
          <w:szCs w:val="32"/>
          <w:lang w:eastAsia="zh-CN"/>
        </w:rPr>
        <w:t>公路工程</w:t>
      </w:r>
      <w:r>
        <w:rPr>
          <w:rFonts w:hint="eastAsia" w:ascii="仿宋_GB2312" w:eastAsia="仿宋_GB2312"/>
          <w:b w:val="0"/>
          <w:bCs/>
          <w:color w:val="000000" w:themeColor="text1"/>
          <w:sz w:val="32"/>
          <w:szCs w:val="32"/>
          <w:highlight w:val="none"/>
          <w14:textFill>
            <w14:solidFill>
              <w14:schemeClr w14:val="tx1"/>
            </w14:solidFill>
          </w14:textFill>
        </w:rPr>
        <w:t>档案资料的安全保管</w:t>
      </w:r>
      <w:r>
        <w:rPr>
          <w:rFonts w:hint="eastAsia" w:ascii="仿宋_GB2312" w:eastAsia="仿宋_GB2312"/>
          <w:b w:val="0"/>
          <w:bCs/>
          <w:color w:val="000000" w:themeColor="text1"/>
          <w:sz w:val="32"/>
          <w:szCs w:val="32"/>
          <w:highlight w:val="none"/>
          <w:lang w:eastAsia="zh-CN"/>
          <w14:textFill>
            <w14:solidFill>
              <w14:schemeClr w14:val="tx1"/>
            </w14:solidFill>
          </w14:textFill>
        </w:rPr>
        <w:t>。</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74" w:name="_Toc11561"/>
      <w:bookmarkStart w:id="75" w:name="_Toc15490"/>
      <w:bookmarkStart w:id="76" w:name="_Toc27044"/>
      <w:bookmarkStart w:id="77" w:name="_Toc531765432"/>
      <w:bookmarkStart w:id="78" w:name="_Toc21735"/>
      <w:bookmarkStart w:id="79" w:name="_Toc26130278"/>
      <w:bookmarkStart w:id="80" w:name="_Toc6227"/>
      <w:bookmarkStart w:id="81" w:name="_Toc21415"/>
      <w:bookmarkStart w:id="82" w:name="_Toc6916"/>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3.预防与预警</w:t>
      </w:r>
      <w:bookmarkEnd w:id="74"/>
      <w:bookmarkEnd w:id="75"/>
      <w:bookmarkEnd w:id="76"/>
      <w:bookmarkEnd w:id="77"/>
      <w:bookmarkEnd w:id="78"/>
      <w:bookmarkEnd w:id="79"/>
      <w:bookmarkEnd w:id="80"/>
      <w:bookmarkEnd w:id="81"/>
      <w:bookmarkEnd w:id="82"/>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83" w:name="_Toc8506"/>
      <w:bookmarkStart w:id="84" w:name="_Toc16432"/>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3.1风险</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监测与</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防控</w:t>
      </w:r>
      <w:bookmarkEnd w:id="83"/>
      <w:bookmarkEnd w:id="8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交通运输厅</w:t>
      </w:r>
      <w:r>
        <w:rPr>
          <w:rFonts w:hint="eastAsia" w:ascii="仿宋_GB2312" w:eastAsia="仿宋_GB2312"/>
          <w:color w:val="000000" w:themeColor="text1"/>
          <w:sz w:val="32"/>
          <w:szCs w:val="32"/>
          <w:highlight w:val="none"/>
          <w:lang w:val="en-US" w:eastAsia="zh-CN"/>
          <w14:textFill>
            <w14:solidFill>
              <w14:schemeClr w14:val="tx1"/>
            </w14:solidFill>
          </w14:textFill>
        </w:rPr>
        <w:t>指导</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厅属各单位，公路经营管理单位及市县（区）</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交通运输主管部门</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按照职责建立健全突发事件监测体系，完善监测网络、划分监测区域、确定监测重点、明确监测项目、充实设备设施、配备专兼职人员，对可能发生的突发事件进行监测。</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厅属各单位，公路经营管理单位及市县（区）</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交通运输主管部门应建立</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安全</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风险分析、会商、研判、防控等机制，从源头上防范化解重大风险。</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各级交通运输部门要依法对行业（领域）内重大风险进行调查</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，分级分类建立台账，按照“</w:t>
      </w:r>
      <w:r>
        <w:rPr>
          <w:rFonts w:hint="eastAsia" w:ascii="仿宋_GB2312" w:eastAsia="仿宋_GB2312"/>
          <w:color w:val="000000" w:themeColor="text1"/>
          <w:spacing w:val="0"/>
          <w:sz w:val="32"/>
          <w:szCs w:val="32"/>
          <w:highlight w:val="none"/>
          <w14:textFill>
            <w14:solidFill>
              <w14:schemeClr w14:val="tx1"/>
            </w14:solidFill>
          </w14:textFill>
        </w:rPr>
        <w:t>早发现、早预防、早报告、早处置</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”的原则，</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督导</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有关单位落实风险防控责任和防控措施</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85" w:name="_Toc8730"/>
      <w:bookmarkStart w:id="86" w:name="_Toc14478"/>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3.2</w:t>
      </w:r>
      <w:bookmarkEnd w:id="85"/>
      <w:bookmarkEnd w:id="86"/>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预警接收</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bookmarkStart w:id="87" w:name="_Toc531765435"/>
      <w:bookmarkStart w:id="88" w:name="_Toc26130281"/>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交通运输</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厅应急指挥中心通过多种渠道接收国家及自治区</w:t>
      </w:r>
      <w:r>
        <w:rPr>
          <w:rFonts w:hint="eastAsia" w:ascii="仿宋_GB2312" w:eastAsia="仿宋_GB2312"/>
          <w:color w:val="000000" w:themeColor="text1"/>
          <w:spacing w:val="0"/>
          <w:sz w:val="32"/>
          <w:szCs w:val="32"/>
          <w:highlight w:val="none"/>
          <w14:textFill>
            <w14:solidFill>
              <w14:schemeClr w14:val="tx1"/>
            </w14:solidFill>
          </w14:textFill>
        </w:rPr>
        <w:t>气象、水利、自然资源、地震</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应急、卫健、公安、生态环境等部门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发布的气象、地质、洪水灾害等预警信息。</w:t>
      </w:r>
    </w:p>
    <w:p>
      <w:pPr>
        <w:pStyle w:val="3"/>
        <w:keepNext w:val="0"/>
        <w:keepLines w:val="0"/>
        <w:pageBreakBefore w:val="0"/>
        <w:widowControl w:val="0"/>
        <w:kinsoku/>
        <w:wordWrap/>
        <w:overflowPunct/>
        <w:topLinePunct/>
        <w:autoSpaceDE/>
        <w:autoSpaceDN/>
        <w:bidi w:val="0"/>
        <w:adjustRightInd/>
        <w:snapToGrid/>
        <w:spacing w:after="0" w:line="600" w:lineRule="exact"/>
        <w:ind w:firstLine="640" w:firstLineChars="200"/>
        <w:textAlignment w:val="auto"/>
        <w:rPr>
          <w:rFonts w:hint="default"/>
          <w:color w:val="000000" w:themeColor="text1"/>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信息的内容包括预警名称、级别（颜色）、影响（时间、地点、强度、范围）、防御指南（提示）等。其中，预警的级别依据可能造成的危害程度、紧急程度和发展态势一般由高到低分为一级（红色）、二级（橙色）、三级（黄色）、四级（蓝色）。</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89" w:name="_Toc5189"/>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3.3预警信息</w:t>
      </w:r>
      <w:bookmarkEnd w:id="89"/>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转发</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微软雅黑" w:hAnsi="微软雅黑" w:eastAsia="微软雅黑" w:cs="宋体"/>
          <w:color w:val="000000" w:themeColor="text1"/>
          <w:spacing w:val="0"/>
          <w:kern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上级部门</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自治区</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政府及</w:t>
      </w:r>
      <w:r>
        <w:rPr>
          <w:rFonts w:hint="eastAsia" w:ascii="仿宋_GB2312" w:eastAsia="仿宋_GB2312"/>
          <w:color w:val="000000" w:themeColor="text1"/>
          <w:spacing w:val="0"/>
          <w:sz w:val="32"/>
          <w:szCs w:val="32"/>
          <w:highlight w:val="none"/>
          <w14:textFill>
            <w14:solidFill>
              <w14:schemeClr w14:val="tx1"/>
            </w14:solidFill>
          </w14:textFill>
        </w:rPr>
        <w:t>有关部门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发布</w:t>
      </w:r>
      <w:r>
        <w:rPr>
          <w:rFonts w:hint="eastAsia" w:ascii="仿宋_GB2312" w:eastAsia="仿宋_GB2312"/>
          <w:color w:val="000000" w:themeColor="text1"/>
          <w:spacing w:val="0"/>
          <w:sz w:val="32"/>
          <w:szCs w:val="32"/>
          <w:highlight w:val="none"/>
          <w14:textFill>
            <w14:solidFill>
              <w14:schemeClr w14:val="tx1"/>
            </w14:solidFill>
          </w14:textFill>
        </w:rPr>
        <w:t>的预警信息，</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交通运输</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厅应急指挥中心</w:t>
      </w:r>
      <w:r>
        <w:rPr>
          <w:rFonts w:hint="eastAsia" w:ascii="仿宋_GB2312" w:eastAsia="仿宋_GB2312"/>
          <w:color w:val="000000" w:themeColor="text1"/>
          <w:spacing w:val="0"/>
          <w:sz w:val="32"/>
          <w:szCs w:val="32"/>
          <w:highlight w:val="none"/>
          <w14:textFill>
            <w14:solidFill>
              <w14:schemeClr w14:val="tx1"/>
            </w14:solidFill>
          </w14:textFill>
        </w:rPr>
        <w:t>向系统内及时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转发</w:t>
      </w:r>
      <w:r>
        <w:rPr>
          <w:rFonts w:hint="eastAsia" w:ascii="仿宋_GB2312" w:eastAsia="仿宋_GB2312"/>
          <w:color w:val="000000" w:themeColor="text1"/>
          <w:spacing w:val="0"/>
          <w:sz w:val="32"/>
          <w:szCs w:val="32"/>
          <w:highlight w:val="none"/>
          <w14:textFill>
            <w14:solidFill>
              <w14:schemeClr w14:val="tx1"/>
            </w14:solidFill>
          </w14:textFill>
        </w:rPr>
        <w:t>。本系统</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单位与</w:t>
      </w:r>
      <w:r>
        <w:rPr>
          <w:rFonts w:hint="eastAsia" w:ascii="仿宋_GB2312" w:eastAsia="仿宋_GB2312"/>
          <w:color w:val="000000" w:themeColor="text1"/>
          <w:spacing w:val="0"/>
          <w:sz w:val="32"/>
          <w:szCs w:val="32"/>
          <w:highlight w:val="none"/>
          <w14:textFill>
            <w14:solidFill>
              <w14:schemeClr w14:val="tx1"/>
            </w14:solidFill>
          </w14:textFill>
        </w:rPr>
        <w:t>专业监测机构向</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w:t>
      </w:r>
      <w:r>
        <w:rPr>
          <w:rFonts w:hint="eastAsia" w:ascii="仿宋_GB2312" w:eastAsia="仿宋_GB2312"/>
          <w:color w:val="000000" w:themeColor="text1"/>
          <w:spacing w:val="0"/>
          <w:sz w:val="32"/>
          <w:szCs w:val="32"/>
          <w:highlight w:val="none"/>
          <w14:textFill>
            <w14:solidFill>
              <w14:schemeClr w14:val="tx1"/>
            </w14:solidFill>
          </w14:textFill>
        </w:rPr>
        <w:t>厅报告的</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信息，</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交通运输</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厅应急指挥中心</w:t>
      </w:r>
      <w:r>
        <w:rPr>
          <w:rFonts w:hint="eastAsia" w:ascii="仿宋_GB2312" w:hAnsi="Times New Roman" w:eastAsia="仿宋_GB2312" w:cs="Times New Roman"/>
          <w:color w:val="000000" w:themeColor="text1"/>
          <w:spacing w:val="0"/>
          <w:kern w:val="0"/>
          <w:sz w:val="32"/>
          <w:szCs w:val="32"/>
          <w:highlight w:val="none"/>
          <w14:textFill>
            <w14:solidFill>
              <w14:schemeClr w14:val="tx1"/>
            </w14:solidFill>
          </w14:textFill>
        </w:rPr>
        <w:t>按照《宁夏回族自治区突发事件预警信息发布管理办法》等</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相关规定</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w:t>
      </w: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及时上报，并按程序发布权限范围内的预警信息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预警信息转发程序如下</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交通运输</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厅应急指挥中心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接到一级（</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红色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、二级（橙色）预警信息</w:t>
      </w:r>
      <w:r>
        <w:rPr>
          <w:rFonts w:hint="eastAsia" w:ascii="仿宋_GB2312" w:eastAsia="仿宋_GB2312"/>
          <w:color w:val="000000" w:themeColor="text1"/>
          <w:spacing w:val="0"/>
          <w:sz w:val="32"/>
          <w:szCs w:val="32"/>
          <w:highlight w:val="none"/>
          <w14:textFill>
            <w14:solidFill>
              <w14:schemeClr w14:val="tx1"/>
            </w14:solidFill>
          </w14:textFill>
        </w:rPr>
        <w:t>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第一时间报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相关业务处室及厅应急办，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经厅应急办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研判，提出实施意见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报厅分管领导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核准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主要负责人同意后实施。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接到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三级（黄色）、四级（蓝色）预警</w:t>
      </w:r>
      <w:r>
        <w:rPr>
          <w:rFonts w:hint="eastAsia" w:ascii="仿宋_GB2312" w:eastAsia="仿宋_GB2312"/>
          <w:color w:val="000000" w:themeColor="text1"/>
          <w:spacing w:val="0"/>
          <w:sz w:val="32"/>
          <w:szCs w:val="32"/>
          <w:highlight w:val="none"/>
          <w14:textFill>
            <w14:solidFill>
              <w14:schemeClr w14:val="tx1"/>
            </w14:solidFill>
          </w14:textFill>
        </w:rPr>
        <w:t>信息后，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第一时间报报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相关业务处室及厅应急办，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经厅应急办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研判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提出实施意见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报厅分管领导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同意后实施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必要时报厅主要负责人。</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确定实施意见后，由</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交通运输</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厅应急指挥中心</w:t>
      </w:r>
      <w:r>
        <w:rPr>
          <w:rFonts w:hint="eastAsia" w:ascii="仿宋_GB2312" w:eastAsia="仿宋_GB2312"/>
          <w:color w:val="000000" w:themeColor="text1"/>
          <w:spacing w:val="0"/>
          <w:sz w:val="32"/>
          <w:szCs w:val="32"/>
          <w:highlight w:val="none"/>
          <w14:textFill>
            <w14:solidFill>
              <w14:schemeClr w14:val="tx1"/>
            </w14:solidFill>
          </w14:textFill>
        </w:rPr>
        <w:t>采取</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应急指挥系统、</w:t>
      </w:r>
      <w:r>
        <w:rPr>
          <w:rFonts w:hint="eastAsia" w:ascii="仿宋_GB2312" w:eastAsia="仿宋_GB2312"/>
          <w:color w:val="000000" w:themeColor="text1"/>
          <w:spacing w:val="0"/>
          <w:sz w:val="32"/>
          <w:szCs w:val="32"/>
          <w:highlight w:val="none"/>
          <w14:textFill>
            <w14:solidFill>
              <w14:schemeClr w14:val="tx1"/>
            </w14:solidFill>
          </w14:textFill>
        </w:rPr>
        <w:t>电话、短信、</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微信、</w:t>
      </w:r>
      <w:r>
        <w:rPr>
          <w:rFonts w:hint="eastAsia" w:ascii="仿宋_GB2312" w:eastAsia="仿宋_GB2312"/>
          <w:color w:val="000000" w:themeColor="text1"/>
          <w:spacing w:val="0"/>
          <w:sz w:val="32"/>
          <w:szCs w:val="32"/>
          <w:highlight w:val="none"/>
          <w14:textFill>
            <w14:solidFill>
              <w14:schemeClr w14:val="tx1"/>
            </w14:solidFill>
          </w14:textFill>
        </w:rPr>
        <w:t>视频会议等一种或多种形式向</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厅有关处室及厅属相关单位、</w:t>
      </w:r>
      <w:r>
        <w:rPr>
          <w:rFonts w:hint="eastAsia" w:ascii="仿宋_GB2312" w:eastAsia="仿宋_GB2312"/>
          <w:color w:val="000000" w:themeColor="text1"/>
          <w:spacing w:val="0"/>
          <w:sz w:val="32"/>
          <w:szCs w:val="32"/>
          <w:highlight w:val="none"/>
          <w14:textFill>
            <w14:solidFill>
              <w14:schemeClr w14:val="tx1"/>
            </w14:solidFill>
          </w14:textFill>
        </w:rPr>
        <w:t>可能受到影响地区的市、县（区）级交通运输主管部门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及相关公路经营管理单位等</w:t>
      </w:r>
      <w:r>
        <w:rPr>
          <w:rFonts w:hint="eastAsia" w:ascii="仿宋_GB2312" w:eastAsia="仿宋_GB2312"/>
          <w:color w:val="000000" w:themeColor="text1"/>
          <w:spacing w:val="0"/>
          <w:sz w:val="32"/>
          <w:szCs w:val="32"/>
          <w:highlight w:val="none"/>
          <w14:textFill>
            <w14:solidFill>
              <w14:schemeClr w14:val="tx1"/>
            </w14:solidFill>
          </w14:textFill>
        </w:rPr>
        <w:t>发布预警</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信息，</w:t>
      </w:r>
      <w:r>
        <w:rPr>
          <w:rFonts w:hint="eastAsia" w:ascii="仿宋_GB2312" w:eastAsia="仿宋_GB2312"/>
          <w:color w:val="000000" w:themeColor="text1"/>
          <w:spacing w:val="0"/>
          <w:sz w:val="32"/>
          <w:szCs w:val="32"/>
          <w:highlight w:val="none"/>
          <w14:textFill>
            <w14:solidFill>
              <w14:schemeClr w14:val="tx1"/>
            </w14:solidFill>
          </w14:textFill>
        </w:rPr>
        <w:t>部署</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防范</w:t>
      </w:r>
      <w:r>
        <w:rPr>
          <w:rFonts w:hint="eastAsia" w:ascii="仿宋_GB2312" w:eastAsia="仿宋_GB2312"/>
          <w:color w:val="000000" w:themeColor="text1"/>
          <w:spacing w:val="0"/>
          <w:sz w:val="32"/>
          <w:szCs w:val="32"/>
          <w:highlight w:val="none"/>
          <w14:textFill>
            <w14:solidFill>
              <w14:schemeClr w14:val="tx1"/>
            </w14:solidFill>
          </w14:textFill>
        </w:rPr>
        <w:t>措施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相关</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eastAsia="仿宋_GB2312"/>
          <w:color w:val="000000" w:themeColor="text1"/>
          <w:spacing w:val="0"/>
          <w:sz w:val="32"/>
          <w:szCs w:val="32"/>
          <w:highlight w:val="none"/>
          <w14:textFill>
            <w14:solidFill>
              <w14:schemeClr w14:val="tx1"/>
            </w14:solidFill>
          </w14:textFill>
        </w:rPr>
        <w:t>按照本</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eastAsia="仿宋_GB2312"/>
          <w:color w:val="000000" w:themeColor="text1"/>
          <w:spacing w:val="0"/>
          <w:sz w:val="32"/>
          <w:szCs w:val="32"/>
          <w:highlight w:val="none"/>
          <w14:textFill>
            <w14:solidFill>
              <w14:schemeClr w14:val="tx1"/>
            </w14:solidFill>
          </w14:textFill>
        </w:rPr>
        <w:t>职责和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预警级别</w:t>
      </w:r>
      <w:r>
        <w:rPr>
          <w:rFonts w:hint="eastAsia" w:ascii="仿宋_GB2312" w:eastAsia="仿宋_GB2312"/>
          <w:color w:val="000000" w:themeColor="text1"/>
          <w:spacing w:val="0"/>
          <w:sz w:val="32"/>
          <w:szCs w:val="32"/>
          <w:highlight w:val="none"/>
          <w14:textFill>
            <w14:solidFill>
              <w14:schemeClr w14:val="tx1"/>
            </w14:solidFill>
          </w14:textFill>
        </w:rPr>
        <w:t>做好应对工作。</w:t>
      </w:r>
    </w:p>
    <w:bookmarkEnd w:id="87"/>
    <w:bookmarkEnd w:id="88"/>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90" w:name="_Toc20207"/>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3.4预警</w:t>
      </w:r>
      <w:bookmarkEnd w:id="90"/>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行动</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厅属相关单位、市、县（区）</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交通运输主管部门及时处理接收到的预警信息，确保预警信息落实到市</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县</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各级交通运输主管部门，落实到</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道路、交通</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枢纽、场站</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渡口</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、设施、船艇</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，落实到企业、班组、人员</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转发一级（</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红色</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）、二级（</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橙色</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预警后，</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应</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采取</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以下</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①</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相关</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应急</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救援</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队伍和人员</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到岗待命，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做好参加应急救援和处置工作的准备</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②交通运输部门</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及单位的</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应急物资</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装备</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等要</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确保其处于良好状态，随时</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可以</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投入使用</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③</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经研判，</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转移</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疏散或者撤离易受突发事件危害的人员，转移重要财产</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交通运输部门</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及单位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加强对重点水域、长大桥隧、高边坡、临崖临水路段、</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在建交通工程</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两客一危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等高风险的监管力度和检查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频次</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，制定防控措施，落实隐患整改</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措施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，有效降低安全风险。必要时实施道路运输停运、在建交通工程停工、通航水域限航禁航等管控措施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⑤</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交通运输综合执法部门、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管理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公路经营单位</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联合公安交管部门对危险</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路段</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航道及场所</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进行交通管控；</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fldChar w:fldCharType="begin"/>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instrText xml:space="preserve"> = 6 \* GB3 \* MERGEFORMAT </w:instrTex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管理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部门及公路经营单位通过广播</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公告板、可变情报板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等方式</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社会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通报路况情况</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fldChar w:fldCharType="begin"/>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instrText xml:space="preserve"> = 7 \* GB3 \* MERGEFORMAT </w:instrTex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⑦</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fldChar w:fldCharType="end"/>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其他必要的防范性</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保护性措施。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转发三级（</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蓝色</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）、四级（</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黄色</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预警后，</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应</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采取</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以下</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①根据突发事件种类和预警等级，</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涉及的</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交通运输部门</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和单位要组织</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人员</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专家对</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预警</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信息进行分析评估</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组织应对</w:t>
      </w:r>
      <w:r>
        <w:rPr>
          <w:rFonts w:hint="eastAsia" w:ascii="仿宋_GB2312" w:hAnsi="仿宋_GB2312" w:eastAsia="仿宋_GB2312" w:cs="仿宋_GB2312"/>
          <w:snapToGrid w:val="0"/>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②</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落实各级领导干部带班</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值班值守</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制度</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做好</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突发事件的</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处置</w:t>
      </w:r>
      <w:r>
        <w:rPr>
          <w:rFonts w:hint="eastAsia" w:ascii="仿宋_GB2312" w:hAnsi="仿宋_GB2312" w:eastAsia="仿宋_GB2312" w:cs="仿宋_GB2312"/>
          <w:snapToGrid w:val="0"/>
          <w:color w:val="000000" w:themeColor="text1"/>
          <w:spacing w:val="0"/>
          <w:kern w:val="0"/>
          <w:sz w:val="32"/>
          <w:szCs w:val="32"/>
          <w:highlight w:val="none"/>
          <w:lang w:val="en-US" w:eastAsia="zh-CN"/>
          <w14:textFill>
            <w14:solidFill>
              <w14:schemeClr w14:val="tx1"/>
            </w14:solidFill>
          </w14:textFill>
        </w:rPr>
        <w:t>准备</w:t>
      </w:r>
      <w:r>
        <w:rPr>
          <w:rFonts w:hint="eastAsia" w:ascii="仿宋_GB2312" w:hAnsi="仿宋_GB2312" w:eastAsia="仿宋_GB2312" w:cs="仿宋_GB2312"/>
          <w:snapToGrid w:val="0"/>
          <w:color w:val="000000" w:themeColor="text1"/>
          <w:spacing w:val="0"/>
          <w:ker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91" w:name="_Toc5039"/>
      <w:bookmarkStart w:id="92" w:name="_Toc27623"/>
      <w:bookmarkStart w:id="93" w:name="_Toc531765441"/>
      <w:bookmarkStart w:id="94" w:name="_Toc26130287"/>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3.</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预警调整与终止</w:t>
      </w:r>
      <w:bookmarkEnd w:id="91"/>
      <w:bookmarkEnd w:id="9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根据预警信息变化和行业受影响情况，</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经厅应急办研判，</w:t>
      </w:r>
      <w:r>
        <w:rPr>
          <w:rFonts w:hint="eastAsia" w:ascii="仿宋_GB2312" w:eastAsia="仿宋_GB2312"/>
          <w:b w:val="0"/>
          <w:bCs w:val="0"/>
          <w:color w:val="000000" w:themeColor="text1"/>
          <w:spacing w:val="0"/>
          <w:sz w:val="32"/>
          <w:szCs w:val="32"/>
          <w:highlight w:val="none"/>
          <w14:textFill>
            <w14:solidFill>
              <w14:schemeClr w14:val="tx1"/>
            </w14:solidFill>
          </w14:textFill>
        </w:rPr>
        <w:t>需报经启动原</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b w:val="0"/>
          <w:bCs w:val="0"/>
          <w:color w:val="000000" w:themeColor="text1"/>
          <w:spacing w:val="0"/>
          <w:sz w:val="32"/>
          <w:szCs w:val="32"/>
          <w:highlight w:val="none"/>
          <w14:textFill>
            <w14:solidFill>
              <w14:schemeClr w14:val="tx1"/>
            </w14:solidFill>
          </w14:textFill>
        </w:rPr>
        <w:t>的领导同意</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。当相关预警解除，且交通运输受影响趋于消除时，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响应可自动终止。</w:t>
      </w:r>
    </w:p>
    <w:bookmarkEnd w:id="93"/>
    <w:bookmarkEnd w:id="94"/>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95" w:name="_Toc531765442"/>
      <w:bookmarkStart w:id="96" w:name="_Toc26130288"/>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响应期间发生了较大及以上等级交通运输突发事件，或自然灾害对行业运行造成了重大影响，则按照相应的突发事件应急预案启动应急响应，开展应急处置。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响应与应急响应可并行开展或视情终止。</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97" w:name="_Toc16948"/>
      <w:bookmarkStart w:id="98" w:name="_Toc27832"/>
      <w:bookmarkStart w:id="99" w:name="_Toc23917"/>
      <w:bookmarkStart w:id="100" w:name="_Toc32333"/>
      <w:bookmarkStart w:id="101" w:name="_Toc31118"/>
      <w:bookmarkStart w:id="102" w:name="_Toc18865"/>
      <w:bookmarkStart w:id="103" w:name="_Toc32419"/>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4.应急响应</w:t>
      </w:r>
      <w:bookmarkEnd w:id="95"/>
      <w:bookmarkEnd w:id="96"/>
      <w:bookmarkEnd w:id="97"/>
      <w:bookmarkEnd w:id="98"/>
      <w:bookmarkEnd w:id="99"/>
      <w:bookmarkEnd w:id="100"/>
      <w:bookmarkEnd w:id="101"/>
      <w:bookmarkEnd w:id="102"/>
      <w:bookmarkEnd w:id="103"/>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04" w:name="_Toc3038"/>
      <w:bookmarkStart w:id="105" w:name="_Toc531765447"/>
      <w:bookmarkStart w:id="106" w:name="_Toc13660"/>
      <w:bookmarkStart w:id="107" w:name="_Toc26130289"/>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4.1信息报送</w:t>
      </w:r>
      <w:bookmarkEnd w:id="104"/>
      <w:bookmarkEnd w:id="105"/>
      <w:bookmarkEnd w:id="106"/>
      <w:bookmarkEnd w:id="107"/>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08" w:name="_Toc1966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4.1.1信息报告</w:t>
      </w:r>
      <w:bookmarkEnd w:id="10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要求</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厅机关</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厅属单位</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公路经营管理单位及</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要严格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规定，</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及时</w:t>
      </w: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报送突发事件信息。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发生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后，各级交通运输主管部门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及相关单位向属地政府及相关部门报告，同时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向上级</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交通运输</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部门报送突发事件信息</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一般情况下逐级上报，必要时可越级直接上报。</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同时通报可能受影响的地区和部门。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对于需要持续跟踪处置的突发事件，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坚持边报告、边核实、边处理，做到“首报”快，“续报”准，“终报”全。</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接到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按照规定</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程序</w:t>
      </w:r>
      <w:r>
        <w:rPr>
          <w:rFonts w:hint="eastAsia" w:ascii="仿宋_GB2312" w:hAnsi="仿宋" w:eastAsia="仿宋_GB2312"/>
          <w:color w:val="000000" w:themeColor="text1"/>
          <w:spacing w:val="0"/>
          <w:sz w:val="32"/>
          <w:szCs w:val="32"/>
          <w:highlight w:val="none"/>
          <w14:textFill>
            <w14:solidFill>
              <w14:schemeClr w14:val="tx1"/>
            </w14:solidFill>
          </w14:textFill>
        </w:rPr>
        <w:t>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报送信息。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较大以上突发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领导小组在处置的同时，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按照规定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及时向自治区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党委信息综合室、自治区人民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政府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应急指挥中心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应急管理厅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对于特别重大、重大突发事件，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按照规定还应</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及时向交通运输部报告。</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厅应急办及相关处室要</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全面掌握较大以上</w:t>
      </w: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交通运输行业</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突发事件信息，了解一般突发事件信息。对事件本身比较敏感或发生在重点地区、重要时期</w:t>
      </w: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的</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，或可能演化为重大、特别重大突发事件的，及时跟踪上报</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09" w:name="_Toc592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4.1.2信息报告内容</w:t>
      </w:r>
      <w:bookmarkEnd w:id="10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报送信息的内容要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全要素报告，做到要素齐全、表述精准、重点突出、简明扼要。信息内容应包括以下“八要素”</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时间地点：事件发生的准确时间及地点。</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信息来源：报告事件信息的具体单位。</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起因性质：事件发生的初步原因及事件种类性质。</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基本过程：事件发生的基本过程。</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（5）后果影响：事件目前已造成的后果、影响范围，包括人员伤亡</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和失联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情况、财产损失情况、环境影响、突出的舆情等。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（6）发展趋势：事件发展的趋向、态势。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（7）处置情况：目前采取的处置措施、进展情况。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（8）工作建议：下步拟采取的处置措施及开展工作。</w:t>
      </w:r>
    </w:p>
    <w:p>
      <w:pPr>
        <w:pStyle w:val="6"/>
        <w:keepNext w:val="0"/>
        <w:keepLines/>
        <w:pageBreakBefore w:val="0"/>
        <w:widowControl w:val="0"/>
        <w:kinsoku/>
        <w:wordWrap/>
        <w:overflowPunct/>
        <w:topLinePunct/>
        <w:autoSpaceDE/>
        <w:autoSpaceDN/>
        <w:bidi w:val="0"/>
        <w:adjustRightInd/>
        <w:snapToGrid/>
        <w:spacing w:before="0" w:after="0" w:line="360" w:lineRule="auto"/>
        <w:ind w:firstLine="629" w:firstLineChars="196"/>
        <w:textAlignment w:val="auto"/>
        <w:outlineLvl w:val="2"/>
        <w:rPr>
          <w:rFonts w:ascii="楷体_GB2312" w:hAnsi="仿宋" w:eastAsia="楷体_GB2312"/>
          <w:color w:val="000000" w:themeColor="text1"/>
          <w:highlight w:val="none"/>
          <w14:textFill>
            <w14:solidFill>
              <w14:schemeClr w14:val="tx1"/>
            </w14:solidFill>
          </w14:textFill>
        </w:rPr>
      </w:pPr>
      <w:bookmarkStart w:id="110" w:name="_Toc19000"/>
      <w:bookmarkStart w:id="111" w:name="_Toc31479"/>
      <w:r>
        <w:rPr>
          <w:rFonts w:ascii="楷体_GB2312" w:hAnsi="仿宋" w:eastAsia="楷体_GB2312"/>
          <w:color w:val="000000" w:themeColor="text1"/>
          <w:highlight w:val="none"/>
          <w14:textFill>
            <w14:solidFill>
              <w14:schemeClr w14:val="tx1"/>
            </w14:solidFill>
          </w14:textFill>
        </w:rPr>
        <w:t>4.2</w:t>
      </w:r>
      <w:r>
        <w:rPr>
          <w:rFonts w:hint="eastAsia" w:ascii="楷体_GB2312" w:hAnsi="仿宋" w:eastAsia="楷体_GB2312"/>
          <w:color w:val="000000" w:themeColor="text1"/>
          <w:highlight w:val="none"/>
          <w14:textFill>
            <w14:solidFill>
              <w14:schemeClr w14:val="tx1"/>
            </w14:solidFill>
          </w14:textFill>
        </w:rPr>
        <w:t>响应分级</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应急响应根据突发事件的级别分为I级、Ⅱ级、Ⅲ级和Ⅳ级四个响应等级</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与</w:t>
      </w:r>
      <w:r>
        <w:rPr>
          <w:rFonts w:hint="eastAsia" w:ascii="仿宋_GB2312" w:hAnsi="仿宋" w:eastAsia="仿宋_GB2312"/>
          <w:b w:val="0"/>
          <w:bCs w:val="0"/>
          <w:color w:val="000000" w:themeColor="text1"/>
          <w:sz w:val="32"/>
          <w:szCs w:val="32"/>
          <w:highlight w:val="none"/>
          <w14:textFill>
            <w14:solidFill>
              <w14:schemeClr w14:val="tx1"/>
            </w14:solidFill>
          </w14:textFill>
        </w:rPr>
        <w:t>本预案1.</w:t>
      </w:r>
      <w:r>
        <w:rPr>
          <w:rFonts w:hint="eastAsia" w:ascii="仿宋_GB2312" w:hAnsi="仿宋" w:eastAsia="仿宋_GB2312"/>
          <w:b w:val="0"/>
          <w:bCs w:val="0"/>
          <w:color w:val="000000" w:themeColor="text1"/>
          <w:sz w:val="32"/>
          <w:szCs w:val="32"/>
          <w:highlight w:val="none"/>
          <w:lang w:val="en-US" w:eastAsia="zh-CN"/>
          <w14:textFill>
            <w14:solidFill>
              <w14:schemeClr w14:val="tx1"/>
            </w14:solidFill>
          </w14:textFill>
        </w:rPr>
        <w:t>3</w:t>
      </w:r>
      <w:r>
        <w:rPr>
          <w:rFonts w:hint="eastAsia" w:ascii="仿宋_GB2312" w:hAnsi="仿宋" w:eastAsia="仿宋_GB2312"/>
          <w:b w:val="0"/>
          <w:bCs w:val="0"/>
          <w:color w:val="000000" w:themeColor="text1"/>
          <w:sz w:val="32"/>
          <w:szCs w:val="32"/>
          <w:highlight w:val="none"/>
          <w14:textFill>
            <w14:solidFill>
              <w14:schemeClr w14:val="tx1"/>
            </w14:solidFill>
          </w14:textFill>
        </w:rPr>
        <w:t>事件分级</w:t>
      </w:r>
      <w:r>
        <w:rPr>
          <w:rFonts w:hint="eastAsia" w:ascii="仿宋_GB2312" w:hAnsi="仿宋" w:eastAsia="仿宋_GB2312"/>
          <w:b w:val="0"/>
          <w:bCs w:val="0"/>
          <w:color w:val="000000" w:themeColor="text1"/>
          <w:sz w:val="32"/>
          <w:szCs w:val="32"/>
          <w:highlight w:val="none"/>
          <w:lang w:val="en-US" w:eastAsia="zh-CN"/>
          <w14:textFill>
            <w14:solidFill>
              <w14:schemeClr w14:val="tx1"/>
            </w14:solidFill>
          </w14:textFill>
        </w:rPr>
        <w:t>相对</w:t>
      </w:r>
      <w:r>
        <w:rPr>
          <w:rFonts w:hint="eastAsia" w:ascii="仿宋_GB2312" w:hAnsi="仿宋" w:eastAsia="仿宋_GB2312"/>
          <w:b w:val="0"/>
          <w:bCs w:val="0"/>
          <w:color w:val="000000" w:themeColor="text1"/>
          <w:sz w:val="32"/>
          <w:szCs w:val="32"/>
          <w:highlight w:val="none"/>
          <w14:textFill>
            <w14:solidFill>
              <w14:schemeClr w14:val="tx1"/>
            </w14:solidFill>
          </w14:textFill>
        </w:rPr>
        <w:t>应</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先期处置</w:t>
      </w:r>
      <w:bookmarkEnd w:id="110"/>
      <w:bookmarkEnd w:id="111"/>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突发事件发生地驻地厅属相关单位、公路经营管理单位及地方交通运输</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按照地方政府应急工作部署，采取以下措施：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启动本单位应急响应，采取有力措施，及时组织开展应急处置工作。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（2）配合公安交管部门维持交通秩序，进行交通管制，让车辆安全有序通行。</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）抢修、保通公路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桥梁、隧道等</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保证车辆正常通行。</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协助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相关部门疏散人员。</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按规定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向所在地政府相关部门及</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交通运输主管部门报告。</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微软雅黑" w:hAnsi="微软雅黑" w:eastAsia="仿宋_GB2312" w:cs="宋体"/>
          <w:color w:val="000000" w:themeColor="text1"/>
          <w:spacing w:val="0"/>
          <w:kern w:val="0"/>
          <w:sz w:val="32"/>
          <w:szCs w:val="32"/>
          <w:highlight w:val="none"/>
          <w:lang w:eastAsia="zh-CN"/>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w:t>
      </w: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6</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当突发事件超出应对能力时，</w:t>
      </w: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请求</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上一级</w:t>
      </w:r>
      <w:r>
        <w:rPr>
          <w:rFonts w:hint="eastAsia" w:ascii="仿宋_GB2312" w:hAnsi="微软雅黑" w:eastAsia="仿宋_GB2312" w:cs="宋体"/>
          <w:color w:val="000000" w:themeColor="text1"/>
          <w:spacing w:val="0"/>
          <w:kern w:val="0"/>
          <w:sz w:val="32"/>
          <w:szCs w:val="32"/>
          <w:highlight w:val="none"/>
          <w:lang w:val="en-US" w:eastAsia="zh-CN"/>
          <w14:textFill>
            <w14:solidFill>
              <w14:schemeClr w14:val="tx1"/>
            </w14:solidFill>
          </w14:textFill>
        </w:rPr>
        <w:t>交通运输主管部门</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提供支援或者应对。</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12" w:name="_Toc30219"/>
      <w:bookmarkStart w:id="113" w:name="_Toc26130290"/>
      <w:bookmarkStart w:id="114" w:name="_Toc27060"/>
      <w:bookmarkStart w:id="115" w:name="_Toc531765443"/>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分级响应</w:t>
      </w:r>
      <w:bookmarkEnd w:id="112"/>
      <w:bookmarkEnd w:id="113"/>
      <w:bookmarkEnd w:id="114"/>
      <w:bookmarkEnd w:id="115"/>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16" w:name="_Toc531765444"/>
      <w:bookmarkStart w:id="117" w:name="_Toc26130291"/>
      <w:bookmarkStart w:id="118" w:name="_Toc505423379"/>
      <w:bookmarkStart w:id="119" w:name="_Toc506700605"/>
      <w:bookmarkStart w:id="120" w:name="_Toc2943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4.4.1响应程序</w:t>
      </w:r>
      <w:bookmarkEnd w:id="116"/>
      <w:bookmarkEnd w:id="117"/>
      <w:bookmarkEnd w:id="118"/>
      <w:bookmarkEnd w:id="119"/>
      <w:bookmarkEnd w:id="12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接到</w:t>
      </w:r>
      <w:r>
        <w:rPr>
          <w:rFonts w:hint="eastAsia" w:ascii="仿宋_GB2312" w:eastAsia="仿宋_GB2312"/>
          <w:color w:val="000000" w:themeColor="text1"/>
          <w:spacing w:val="0"/>
          <w:sz w:val="32"/>
          <w:szCs w:val="32"/>
          <w:highlight w:val="none"/>
          <w14:textFill>
            <w14:solidFill>
              <w14:schemeClr w14:val="tx1"/>
            </w14:solidFill>
          </w14:textFill>
        </w:rPr>
        <w:t>有关突发事件信息</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后，</w:t>
      </w:r>
      <w:r>
        <w:rPr>
          <w:rFonts w:hint="eastAsia" w:ascii="仿宋_GB2312" w:eastAsia="仿宋_GB2312"/>
          <w:color w:val="000000" w:themeColor="text1"/>
          <w:spacing w:val="0"/>
          <w:sz w:val="32"/>
          <w:szCs w:val="32"/>
          <w:highlight w:val="none"/>
          <w14:textFill>
            <w14:solidFill>
              <w14:schemeClr w14:val="tx1"/>
            </w14:solidFill>
          </w14:textFill>
        </w:rPr>
        <w:t>会同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有关业务处室</w:t>
      </w:r>
      <w:r>
        <w:rPr>
          <w:rFonts w:hint="eastAsia" w:ascii="仿宋_GB2312" w:eastAsia="仿宋_GB2312"/>
          <w:color w:val="000000" w:themeColor="text1"/>
          <w:spacing w:val="0"/>
          <w:sz w:val="32"/>
          <w:szCs w:val="32"/>
          <w:highlight w:val="none"/>
          <w14:textFill>
            <w14:solidFill>
              <w14:schemeClr w14:val="tx1"/>
            </w14:solidFill>
          </w14:textFill>
        </w:rPr>
        <w:t>及时核实有关情况，针对突发事件性质特点、危害程度、影响范围和发展趋势等，结合交通运输实际进行分析研判，并参照事件等级、</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交通运输部及自治区政府应急</w:t>
      </w:r>
      <w:r>
        <w:rPr>
          <w:rFonts w:hint="eastAsia" w:ascii="仿宋_GB2312" w:eastAsia="仿宋_GB2312"/>
          <w:color w:val="000000" w:themeColor="text1"/>
          <w:spacing w:val="0"/>
          <w:sz w:val="32"/>
          <w:szCs w:val="32"/>
          <w:highlight w:val="none"/>
          <w14:textFill>
            <w14:solidFill>
              <w14:schemeClr w14:val="tx1"/>
            </w14:solidFill>
          </w14:textFill>
        </w:rPr>
        <w:t>响应等级，研究提出启动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w:t>
      </w:r>
      <w:r>
        <w:rPr>
          <w:rFonts w:hint="eastAsia" w:ascii="仿宋_GB2312" w:eastAsia="仿宋_GB2312"/>
          <w:color w:val="000000" w:themeColor="text1"/>
          <w:spacing w:val="0"/>
          <w:sz w:val="32"/>
          <w:szCs w:val="32"/>
          <w:highlight w:val="none"/>
          <w14:textFill>
            <w14:solidFill>
              <w14:schemeClr w14:val="tx1"/>
            </w14:solidFill>
          </w14:textFill>
        </w:rPr>
        <w:t>应急响应的建议。</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21" w:name="_Toc21326"/>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4.4.2响应行动</w:t>
      </w:r>
      <w:bookmarkEnd w:id="12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拟启动Ⅰ级、Ⅱ级应急响应的，由厅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主要负责人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宣布启动；厅应急办将启动Ⅰ级、Ⅱ级应急响应有关信息按规定报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和交通运输部，抄送应急协作部门，并及时向突发事件相关地区的政府部门通报情况。</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Ⅰ级、Ⅱ级应急响应行动如下：</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各相关单位领导24小时带班值守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相关应急机构人员全员在岗；</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②密切跟踪突发事件进展情况</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与自治区应急指挥部保持联系，收集整理突发事件信息，传达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应急指挥部的指令，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按照规定及时上报信息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③</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指挥协调公路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管理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对受损公路加固、抢修、保通</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④</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交通运输综合执法部门配合公安交管部门做好道路、车辆管控，维持交通秩序；</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⑤根据需要，协调交通运输领域的应急救援队伍、物资、装备，配合开展应急救援工作；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instrText xml:space="preserve"> = 6 \* GB3 \* MERGEFORMAT </w:instrTex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根据需要，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指导、协调相关单位保障应急救援道路运输工作，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发布有关处置应急事件的措施。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Ⅳ级应急响应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厅分管领导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指导协调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市、县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相关单位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开展应急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视情派出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；厅应急办将Ⅲ级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Ⅳ级应急响应有关信息按规定报自治区，抄送应急协作部门，并及时向突发事件相关地区的政府部门通报情况。</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right="0" w:righ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应急响应启动后，发现事态扩大并符合上一级别应急响应条件的，及时启动上一级别应急响应。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22" w:name="_Toc26130293"/>
      <w:bookmarkStart w:id="123" w:name="_Toc531765446"/>
      <w:bookmarkStart w:id="124" w:name="_Toc783"/>
      <w:bookmarkStart w:id="125" w:name="_Toc25745"/>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bookmarkEnd w:id="122"/>
      <w:bookmarkEnd w:id="123"/>
      <w:bookmarkEnd w:id="124"/>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4分类处置</w:t>
      </w:r>
      <w:bookmarkEnd w:id="12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126" w:name="_Toc26130294"/>
      <w:bookmarkStart w:id="127" w:name="_Toc531765448"/>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（1）自然灾害</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事故灾难或者公共卫生事件发生后，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应采取（或协调有关事发地交通运输主管部门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采取）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以下主要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①指导协调疏散、撤离受威胁人员，必要时协调动员社会力量有序参与应急救援工作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②指导开展抢险工作，控制危险源、减轻或消除危害，划定警戒区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配合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公安交管部门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实行交通管制以及其他控制措施，</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确保道路畅通；</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③组织现场人员，分析研判公路、桥梁、隧道等基础设施损毁情况，提出初步评估意见，并向有关部门报告</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组织、</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指导抢修被损坏的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、桥梁、隧道</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等设施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，短时难以恢复的，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会同公安交管部门制定绕行方案；</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做好公路应急运力保障工作；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组织协调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运输经营单位，优先运送处置突发事件所需物资、设备、工具、应急救援人员和受到突发事件危害的人员。</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调用交通运输领域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应急救灾物资，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设备等；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⑥指导采取禁止或者限制使用有关设备、设施，关闭或者限制使用有关场所，中止人员密集的活动或者可能导致危害扩大的生产经营活动，以及其他保护措施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⑦</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针对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交通工具停运造成大量旅客滞留</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的情况</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交通运输主管部门及时组织运力，疏散安置滞留人员</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⑧配合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卫健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疾控等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定行业疫情防控政策措施。指导厅属单位、公路经营管理单位及市交通运输主管部门等做好交通运输工具、场站疫情防控、紧急运输保障和交通物流保通保畅等工作，制定并指导落实本领域防疫工作指南，并统筹做好境外疫情输入防控工作。厅办公室负责统筹指导行业涉疫情矛盾纠纷梳理排查、化解处置工作及厅内部防控、防疫物资分配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⑨采取必要措施防止发生次生、衍生灾害和事件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（2）社会安全事件发生后，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应采取（或协调有关事发地交通运输主管部门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采取）针对事件的性质和特点，采取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以下主要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措施：</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①对车站、船舶、经营性客货运输车辆、长大桥隧等遭受恐怖袭击或极端暴力袭击的事件，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配合公安部门进行</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②对大量交通运输行业从业人员集体到交通运输厅上访事件，通知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迅速参与处置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安排专人接洽，及时疏导、化解矛盾和冲突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③对交通运输行业从业人员，特别是公共交通、出租客运、班线客运等行业集体罢工或罢运造成重大社会影响的事件，指导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及公路经营管理单位等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妥善应对处置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对交通运输厅厅属院校发生集体食物中毒等公共卫生突发事件或发生未经许可的学生集会、游行、罢课等群体性突发事件，由厅办公室牵头</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根据现场情况，及时报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领导，并通报有关业务</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，安排人员到院校协助处置</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配合卫健、公安部门开展现场调查处理。部办公厅负责统筹指导行业维护稳定工作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⑤对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跨市公路、水路等综合运输保障的事件，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协调相关单位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做好公路保通、道路水路应急运力保障工作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⑥对本预案适用范围内的其他突发事件，由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内各相关</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处室及厅属单位等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按职责和</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领导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部署要求分工负责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在救援中发现可能威胁救援人员生命安全或者可能造成次生灾害时，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建议（要求）</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现场应急机构，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暂停救援并采取措施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在风险可控情况下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继续组织救援。</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28" w:name="_Toc13092"/>
      <w:bookmarkStart w:id="129" w:name="_Toc3271"/>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4.4信息发布</w:t>
      </w:r>
      <w:bookmarkEnd w:id="128"/>
      <w:bookmarkEnd w:id="12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微软雅黑" w:hAnsi="微软雅黑" w:eastAsia="微软雅黑" w:cs="宋体"/>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负责落实</w:t>
      </w:r>
      <w:r>
        <w:rPr>
          <w:rFonts w:hint="eastAsia" w:eastAsia="仿宋_GB2312"/>
          <w:color w:val="000000" w:themeColor="text1"/>
          <w:spacing w:val="0"/>
          <w:sz w:val="32"/>
          <w:szCs w:val="32"/>
          <w:highlight w:val="none"/>
          <w14:textFill>
            <w14:solidFill>
              <w14:schemeClr w14:val="tx1"/>
            </w14:solidFill>
          </w14:textFill>
        </w:rPr>
        <w:t>突发事件信息收集、汇总、报送、发布</w:t>
      </w:r>
      <w:r>
        <w:rPr>
          <w:rFonts w:hint="eastAsia" w:eastAsia="仿宋_GB2312"/>
          <w:color w:val="000000" w:themeColor="text1"/>
          <w:spacing w:val="0"/>
          <w:sz w:val="32"/>
          <w:szCs w:val="32"/>
          <w:highlight w:val="none"/>
          <w:lang w:val="en-US" w:eastAsia="zh-CN"/>
          <w14:textFill>
            <w14:solidFill>
              <w14:schemeClr w14:val="tx1"/>
            </w14:solidFill>
          </w14:textFill>
        </w:rPr>
        <w:t>等工作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。任何单位和个人不得编造、传播有关突发事件事态发展或者应急处置工作的虚假信息。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30" w:name="_Toc13705"/>
      <w:bookmarkStart w:id="131" w:name="_Toc15030"/>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7</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响应终止</w:t>
      </w:r>
      <w:bookmarkEnd w:id="126"/>
      <w:bookmarkEnd w:id="127"/>
      <w:bookmarkEnd w:id="130"/>
      <w:bookmarkEnd w:id="13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突发事件应急处置工作结束后，或者危险因素消除后，应急响应终止。</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（1）</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eastAsia="仿宋_GB2312"/>
          <w:color w:val="000000" w:themeColor="text1"/>
          <w:spacing w:val="0"/>
          <w:sz w:val="32"/>
          <w:szCs w:val="32"/>
          <w:highlight w:val="none"/>
          <w14:textFill>
            <w14:solidFill>
              <w14:schemeClr w14:val="tx1"/>
            </w14:solidFill>
          </w14:textFill>
        </w:rPr>
        <w:t>根据掌握的事件信息，向</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应急响应启动领导</w:t>
      </w:r>
      <w:r>
        <w:rPr>
          <w:rFonts w:hint="eastAsia" w:ascii="仿宋_GB2312" w:eastAsia="仿宋_GB2312"/>
          <w:color w:val="000000" w:themeColor="text1"/>
          <w:spacing w:val="0"/>
          <w:sz w:val="32"/>
          <w:szCs w:val="32"/>
          <w:highlight w:val="none"/>
          <w14:textFill>
            <w14:solidFill>
              <w14:schemeClr w14:val="tx1"/>
            </w14:solidFill>
          </w14:textFill>
        </w:rPr>
        <w:t>提出应急响应状态终止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w:t>
      </w:r>
      <w:r>
        <w:rPr>
          <w:rFonts w:hint="eastAsia" w:ascii="仿宋_GB2312" w:eastAsia="仿宋_GB2312"/>
          <w:color w:val="000000" w:themeColor="text1"/>
          <w:spacing w:val="0"/>
          <w:sz w:val="32"/>
          <w:szCs w:val="32"/>
          <w:highlight w:val="none"/>
          <w14:textFill>
            <w14:solidFill>
              <w14:schemeClr w14:val="tx1"/>
            </w14:solidFill>
          </w14:textFill>
        </w:rPr>
        <w:t>应急响应终止后续处理</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建议</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由应急响应启动领导</w:t>
      </w:r>
      <w:r>
        <w:rPr>
          <w:rFonts w:hint="eastAsia" w:ascii="仿宋_GB2312" w:eastAsia="仿宋_GB2312"/>
          <w:color w:val="000000" w:themeColor="text1"/>
          <w:spacing w:val="0"/>
          <w:sz w:val="32"/>
          <w:szCs w:val="32"/>
          <w:highlight w:val="none"/>
          <w14:textFill>
            <w14:solidFill>
              <w14:schemeClr w14:val="tx1"/>
            </w14:solidFill>
          </w14:textFill>
        </w:rPr>
        <w:t>决定是否终止应急响应状态</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必要时向自治区人民政府、交通运输部及相关部门报送</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2</w:t>
      </w:r>
      <w:r>
        <w:rPr>
          <w:rFonts w:hint="eastAsia" w:ascii="仿宋_GB2312" w:eastAsia="仿宋_GB2312"/>
          <w:color w:val="000000" w:themeColor="text1"/>
          <w:spacing w:val="0"/>
          <w:sz w:val="32"/>
          <w:szCs w:val="32"/>
          <w:highlight w:val="none"/>
          <w14:textFill>
            <w14:solidFill>
              <w14:schemeClr w14:val="tx1"/>
            </w14:solidFill>
          </w14:textFill>
        </w:rPr>
        <w:t>）根据实际需求，适时向社会公布应急响应结束，说明已采取的处置措施和效果以及应急响应终止后将采取的工作措施。</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32" w:name="_Toc30974"/>
      <w:bookmarkStart w:id="133" w:name="_Toc3678"/>
      <w:bookmarkStart w:id="134" w:name="_Toc27478"/>
      <w:bookmarkStart w:id="135" w:name="_Toc17522"/>
      <w:bookmarkStart w:id="136" w:name="_Toc19336"/>
      <w:bookmarkStart w:id="137" w:name="_Toc25748"/>
      <w:bookmarkStart w:id="138" w:name="_Toc10837"/>
      <w:bookmarkStart w:id="139" w:name="_Toc26130299"/>
      <w:bookmarkStart w:id="140" w:name="_Toc531765453"/>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5.恢复与重建</w:t>
      </w:r>
      <w:bookmarkEnd w:id="132"/>
      <w:bookmarkEnd w:id="133"/>
      <w:bookmarkEnd w:id="134"/>
      <w:bookmarkEnd w:id="135"/>
      <w:bookmarkEnd w:id="136"/>
      <w:bookmarkEnd w:id="137"/>
      <w:bookmarkEnd w:id="138"/>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41" w:name="_Toc29727"/>
      <w:bookmarkStart w:id="142" w:name="_Toc7973"/>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5.1善后处置</w:t>
      </w:r>
      <w:bookmarkEnd w:id="141"/>
      <w:bookmarkEnd w:id="14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各级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交通运输部门应配合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有关部门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及时组织生活必需品的运送。</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协助有关部门做好善后和事件调查工作，按照“谁使用、谁负责，谁征用、谁补偿”的原则对应急处置期间紧急调集、征用有关单位、企业、个人的物资和劳务进行合理评估，按照规定给予补助或补偿。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对因参与应急处置工作致病、致残、死亡的人员，及时进行医疗救助或按照国家有关规定给予相应的补助和抚恤，并提供相关心理及司法援助，并妥善解决因处置突发事件引发的矛盾和纠纷。</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43" w:name="_Toc13263"/>
      <w:bookmarkStart w:id="144" w:name="_Toc9692"/>
      <w:bookmarkStart w:id="145" w:name="_Toc89611934"/>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5.2恢复重建</w:t>
      </w:r>
      <w:bookmarkEnd w:id="143"/>
      <w:bookmarkEnd w:id="14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因突发事件严重受损的交通基础设施，恢复重建工作由交通运输主管部门、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公路管理中心及</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公路经营管理单位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按照各自职责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负责。厅机关相关处室对恢复与重建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给予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指导和支持。</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46" w:name="_Toc4536"/>
      <w:bookmarkStart w:id="147" w:name="_Toc7367"/>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5.3调查与评估</w:t>
      </w:r>
      <w:bookmarkEnd w:id="145"/>
      <w:bookmarkEnd w:id="146"/>
      <w:bookmarkEnd w:id="14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由国家或自治区有关部门组成的调查组在对交通</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运输</w:t>
      </w:r>
      <w:r>
        <w:rPr>
          <w:rFonts w:hint="eastAsia" w:ascii="仿宋_GB2312" w:hAnsi="仿宋" w:eastAsia="仿宋_GB2312"/>
          <w:color w:val="000000" w:themeColor="text1"/>
          <w:spacing w:val="0"/>
          <w:sz w:val="32"/>
          <w:szCs w:val="32"/>
          <w:highlight w:val="none"/>
          <w14:textFill>
            <w14:solidFill>
              <w14:schemeClr w14:val="tx1"/>
            </w14:solidFill>
          </w14:textFill>
        </w:rPr>
        <w:t>突发事件进行调查、处理、监测和后果评估时，</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仿宋" w:eastAsia="仿宋_GB2312"/>
          <w:color w:val="000000" w:themeColor="text1"/>
          <w:spacing w:val="0"/>
          <w:sz w:val="32"/>
          <w:szCs w:val="32"/>
          <w:highlight w:val="none"/>
          <w14:textFill>
            <w14:solidFill>
              <w14:schemeClr w14:val="tx1"/>
            </w14:solidFill>
          </w14:textFill>
        </w:rPr>
        <w:t>应积极协助调查组的工作。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特别重大（Ⅰ级）、重大（Ⅱ级）突发事件应急响应结束后，厅应急办</w:t>
      </w:r>
      <w:bookmarkStart w:id="148" w:name="_Toc89611935"/>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应组织</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复盘评估应急处置工作情况，总结固化经验，查找弥补不足，及时形成材料</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按规定上报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较大（Ⅲ级）、一般（Ⅳ级）交通运输</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相应的总结与评估由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相关厅属相关单位、公路经营管理单位、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交通运输主管部门组织，并</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按规定向上级交通运输主管部门上报总结评估材料</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应急总结报告作为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应急的重要资料存档</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bookmarkEnd w:id="148"/>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49" w:name="_Toc32721"/>
      <w:bookmarkStart w:id="150" w:name="_Toc17401"/>
      <w:bookmarkStart w:id="151" w:name="_Toc30895"/>
      <w:bookmarkStart w:id="152" w:name="_Toc11896"/>
      <w:bookmarkStart w:id="153" w:name="_Toc23027"/>
      <w:bookmarkStart w:id="154" w:name="_Toc6411"/>
      <w:bookmarkStart w:id="155" w:name="_Toc2795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6.应急保障</w:t>
      </w:r>
      <w:bookmarkEnd w:id="139"/>
      <w:bookmarkEnd w:id="140"/>
      <w:bookmarkEnd w:id="149"/>
      <w:bookmarkEnd w:id="150"/>
      <w:bookmarkEnd w:id="151"/>
      <w:bookmarkEnd w:id="152"/>
      <w:bookmarkEnd w:id="153"/>
      <w:bookmarkEnd w:id="154"/>
      <w:bookmarkEnd w:id="155"/>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56" w:name="_Toc26130300"/>
      <w:bookmarkStart w:id="157" w:name="_Toc4011"/>
      <w:bookmarkStart w:id="158" w:name="_Toc531765454"/>
      <w:bookmarkStart w:id="159" w:name="_Toc19307"/>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6.1队伍保障</w:t>
      </w:r>
      <w:bookmarkEnd w:id="156"/>
      <w:bookmarkEnd w:id="157"/>
      <w:bookmarkEnd w:id="158"/>
      <w:bookmarkEnd w:id="15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按照“统一指挥、协调负责、高效运转、分级负责、注重实战”的原则建立交通</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运输</w:t>
      </w:r>
      <w:r>
        <w:rPr>
          <w:rFonts w:hint="eastAsia" w:ascii="仿宋_GB2312" w:hAnsi="仿宋" w:eastAsia="仿宋_GB2312"/>
          <w:color w:val="000000" w:themeColor="text1"/>
          <w:spacing w:val="0"/>
          <w:sz w:val="32"/>
          <w:szCs w:val="32"/>
          <w:highlight w:val="none"/>
          <w14:textFill>
            <w14:solidFill>
              <w14:schemeClr w14:val="tx1"/>
            </w14:solidFill>
          </w14:textFill>
        </w:rPr>
        <w:t>突发事件应急队伍。</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厅应急领导小组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厅属相关单位、公路经营管理单位及市、县（区）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交通运输主管部门建立健全应急救援队伍，完善管理机制，并加强对应急救援人员的专业技能教育培训，</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为专业救援人员购买意外伤害保险</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积极构建专业化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区域化的应急救援力量，形成一支职责明确、保障有力、设备齐全、人员专业的交通运输应急救援队伍。</w:t>
      </w:r>
      <w:r>
        <w:rPr>
          <w:rFonts w:hint="eastAsia" w:ascii="仿宋_GB2312" w:hAnsi="仿宋" w:eastAsia="仿宋_GB2312"/>
          <w:color w:val="000000" w:themeColor="text1"/>
          <w:sz w:val="32"/>
          <w:szCs w:val="32"/>
          <w:highlight w:val="none"/>
          <w14:textFill>
            <w14:solidFill>
              <w14:schemeClr w14:val="tx1"/>
            </w14:solidFill>
          </w14:textFill>
        </w:rPr>
        <w:t>具体方案按照自治区交通运输厅《关于加强交通运输应急救援体系建设的实施意见》</w:t>
      </w: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宁交办发</w:t>
      </w:r>
      <w:r>
        <w:rPr>
          <w:rFonts w:hint="eastAsia" w:ascii="仿宋_GB2312" w:hAnsi="仿宋" w:eastAsia="仿宋_GB2312"/>
          <w:color w:val="000000" w:themeColor="text1"/>
          <w:sz w:val="32"/>
          <w:szCs w:val="32"/>
          <w:highlight w:val="none"/>
          <w:lang w:eastAsia="zh-CN"/>
          <w14:textFill>
            <w14:solidFill>
              <w14:schemeClr w14:val="tx1"/>
            </w14:solidFill>
          </w14:textFill>
        </w:rPr>
        <w:t>〔2022〕83号）</w:t>
      </w:r>
      <w:r>
        <w:rPr>
          <w:rFonts w:hint="eastAsia" w:ascii="仿宋_GB2312" w:hAnsi="仿宋" w:eastAsia="仿宋_GB2312"/>
          <w:color w:val="000000" w:themeColor="text1"/>
          <w:sz w:val="32"/>
          <w:szCs w:val="32"/>
          <w:highlight w:val="none"/>
          <w14:textFill>
            <w14:solidFill>
              <w14:schemeClr w14:val="tx1"/>
            </w14:solidFill>
          </w14:textFill>
        </w:rPr>
        <w:t>文件执行。</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60" w:name="_Toc26130301"/>
      <w:bookmarkStart w:id="161" w:name="_Toc531765455"/>
      <w:bookmarkStart w:id="162" w:name="_Toc3071"/>
      <w:bookmarkStart w:id="163" w:name="_Toc26139"/>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6.2资金保障</w:t>
      </w:r>
      <w:bookmarkEnd w:id="160"/>
      <w:bookmarkEnd w:id="161"/>
      <w:bookmarkEnd w:id="162"/>
      <w:bookmarkEnd w:id="16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各级交通运输主管部门加强应急物资储备和应急支出经费保障，将交通运输突发事件应急经费纳入各部门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预算管理，规范应急经费的使用管理，提高资金的使用效益</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突发事件应急管理工作所需的资金主要包括：应急人员培训、应急演练、应急装备购置、应急补偿等费用。</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64" w:name="_Toc26130302"/>
      <w:bookmarkStart w:id="165" w:name="_Toc531765456"/>
      <w:bookmarkStart w:id="166" w:name="_Toc8195"/>
      <w:bookmarkStart w:id="167" w:name="_Toc20214"/>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6.3</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抢通及运输</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保障</w:t>
      </w:r>
      <w:bookmarkEnd w:id="164"/>
      <w:bookmarkEnd w:id="165"/>
      <w:bookmarkEnd w:id="166"/>
      <w:bookmarkEnd w:id="16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厅应急领导小组应协调相关部门优先保证突发事件道路畅通、应急车辆、船舶的通行，保障应急人员、群众安全转移、救灾物资的运输；</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做好抢险救灾所需车辆、船舶的调配、公路通行、渡口保运等工作。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宁夏公路管理中心及所属分中心、各公路经营管理单位等指定为交通运输厅应急抢修保通单位。宁夏天豹交运集团有限公司、宁夏石运汽车运输有限公司、宁夏天豹固原汽车运输有限责任公司等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指定为交通运输厅突发事件应急运输保障单位。</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交通运输主管部门可在本辖区内选择有一定规模的道路客、货运输企业</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道路抢通单位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，同其签订突发事件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协议。储备运力必须做到车辆技术状况良好，保证能正常投入运输活动。应急储备运力单位、运力数量、类型及人员数量要逐级报告备案。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68" w:name="_Toc3350"/>
      <w:bookmarkStart w:id="169" w:name="_Toc29867"/>
      <w:bookmarkStart w:id="170" w:name="_Toc26130303"/>
      <w:bookmarkStart w:id="171" w:name="_Toc531765457"/>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6.4通信保障</w:t>
      </w:r>
      <w:bookmarkEnd w:id="168"/>
      <w:bookmarkEnd w:id="169"/>
      <w:bookmarkEnd w:id="170"/>
      <w:bookmarkEnd w:id="171"/>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pPr>
      <w:bookmarkStart w:id="172" w:name="_Toc13429"/>
      <w:bookmarkStart w:id="173" w:name="_Toc531765458"/>
      <w:bookmarkStart w:id="174" w:name="_Toc26130304"/>
      <w:bookmarkStart w:id="175" w:name="_Toc506700619"/>
      <w:r>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t>6.4.1厅机关应急通信保障</w:t>
      </w:r>
      <w:bookmarkEnd w:id="172"/>
      <w:bookmarkEnd w:id="173"/>
      <w:bookmarkEnd w:id="174"/>
      <w:bookmarkEnd w:id="17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科技处牵头负责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持续完善交通运输调度与应急指挥等信息化系统功能，</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加强应用。路网监测与应急处置中心具体负责网络、视频、通信等保障工作。突发事件发生后迅速调集力量保障交通通信设施完好，保证信息畅通。必要时，调集海事卫星电话</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高频对讲机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等应急通信设备，为现场指挥提供通信保障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指导市、县（区）级交通运输主管部门做好应急通信技术衔接，保证厅机关与现场信息传递畅通。</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pPr>
      <w:bookmarkStart w:id="176" w:name="_Toc11338"/>
      <w:bookmarkStart w:id="177" w:name="_Toc26130305"/>
      <w:bookmarkStart w:id="178" w:name="_Toc531765459"/>
      <w:bookmarkStart w:id="179" w:name="_Toc506700620"/>
      <w:r>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t>6.4.2现场应急通信保障</w:t>
      </w:r>
      <w:bookmarkEnd w:id="176"/>
      <w:bookmarkEnd w:id="177"/>
      <w:bookmarkEnd w:id="178"/>
      <w:bookmarkEnd w:id="17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加强应急通信设备日常维护、测试和演练，保持应急通信设备处于良好状态，确保与路网监测与应急处置中心通信保持畅通。</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如有必要可将应急通信指挥车开赴现场并启用，利用卫星进行数据、图像的传输和现场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信息的上报。</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80" w:name="_Toc26130306"/>
      <w:bookmarkStart w:id="181" w:name="_Toc353"/>
      <w:bookmarkStart w:id="182" w:name="_Toc2918"/>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6.5应急物资保障</w:t>
      </w:r>
      <w:bookmarkEnd w:id="180"/>
      <w:bookmarkEnd w:id="181"/>
      <w:bookmarkEnd w:id="18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hAnsi="仿宋" w:eastAsia="仿宋_GB2312"/>
          <w:color w:val="000000" w:themeColor="text1"/>
          <w:spacing w:val="0"/>
          <w:sz w:val="32"/>
          <w:szCs w:val="32"/>
          <w:highlight w:val="none"/>
          <w14:textFill>
            <w14:solidFill>
              <w14:schemeClr w14:val="tx1"/>
            </w14:solidFill>
          </w14:textFill>
        </w:rPr>
        <w:t>根据公路</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网</w:t>
      </w:r>
      <w:r>
        <w:rPr>
          <w:rFonts w:hint="eastAsia" w:ascii="仿宋_GB2312" w:hAnsi="仿宋" w:eastAsia="仿宋_GB2312"/>
          <w:color w:val="000000" w:themeColor="text1"/>
          <w:spacing w:val="0"/>
          <w:sz w:val="32"/>
          <w:szCs w:val="32"/>
          <w:highlight w:val="none"/>
          <w14:textFill>
            <w14:solidFill>
              <w14:schemeClr w14:val="tx1"/>
            </w14:solidFill>
          </w14:textFill>
        </w:rPr>
        <w:t>的分布情况，</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指导、</w:t>
      </w:r>
      <w:r>
        <w:rPr>
          <w:rFonts w:hint="eastAsia" w:ascii="仿宋_GB2312" w:hAnsi="仿宋" w:eastAsia="仿宋_GB2312"/>
          <w:color w:val="000000" w:themeColor="text1"/>
          <w:spacing w:val="0"/>
          <w:sz w:val="32"/>
          <w:szCs w:val="32"/>
          <w:highlight w:val="none"/>
          <w14:textFill>
            <w14:solidFill>
              <w14:schemeClr w14:val="tx1"/>
            </w14:solidFill>
          </w14:textFill>
        </w:rPr>
        <w:t>建立</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区域</w:t>
      </w:r>
      <w:r>
        <w:rPr>
          <w:rFonts w:hint="eastAsia" w:ascii="仿宋_GB2312" w:hAnsi="仿宋" w:eastAsia="仿宋_GB2312"/>
          <w:color w:val="000000" w:themeColor="text1"/>
          <w:spacing w:val="0"/>
          <w:sz w:val="32"/>
          <w:szCs w:val="32"/>
          <w:highlight w:val="none"/>
          <w14:textFill>
            <w14:solidFill>
              <w14:schemeClr w14:val="tx1"/>
            </w14:solidFill>
          </w14:textFill>
        </w:rPr>
        <w:t>公路交通应急物资储备点</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做好公路抢修、桥梁战备物资的储备工作</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确保应急物资调运的时效性和覆盖区域的合理性</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 w:eastAsia="仿宋_GB2312"/>
          <w:color w:val="000000" w:themeColor="text1"/>
          <w:spacing w:val="0"/>
          <w:sz w:val="32"/>
          <w:szCs w:val="32"/>
          <w:highlight w:val="none"/>
          <w14:textFill>
            <w14:solidFill>
              <w14:schemeClr w14:val="tx1"/>
            </w14:solidFill>
          </w14:textFill>
        </w:rPr>
        <w:t>宁夏公路管理中心</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公路经营管理单位及各级交通主管部门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根据职责明确应急装备的类型、数量、性能和存放位置，建立相应的检测、维护、调用制度，使其处于良好状态。应急保障设备采取社会租赁和购置相结合的方式，应急充分依靠公路建设企业的力量参与应急保障。</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同时，与相邻企业签订“应急联动协议”，确保在突发事件发生时能及时有效地进行互助救援。</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负责指导相关</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公路运输及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水运企业根据自身特点和需要，储备一定数量救援、防火等应急保障物资。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4</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公路应急物资保障分为抢通物资、救援物资和应急保障设备三类。</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抢通物资</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主要包括沥青、碎石、砂石、水泥、钢桥、木材、编织袋、融雪剂、防滑剂等。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救援物资</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主要包括方便食品、饮用水、防护衣物及装备、医药、照明、帐篷、安全标志等。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应急保障</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设备主要包括挖掘机、起重机、清雪车、拖运车辆</w:t>
      </w:r>
      <w:r>
        <w:rPr>
          <w:rFonts w:hint="eastAsia" w:ascii="仿宋_GB2312" w:hAnsi="仿宋" w:eastAsia="仿宋_GB2312"/>
          <w:color w:val="000000" w:themeColor="text1"/>
          <w:spacing w:val="0"/>
          <w:sz w:val="32"/>
          <w:szCs w:val="32"/>
          <w:highlight w:val="none"/>
          <w14:textFill>
            <w14:solidFill>
              <w14:schemeClr w14:val="tx1"/>
            </w14:solidFill>
          </w14:textFill>
        </w:rPr>
        <w:t>、平板拖车、运油车、发电机和大功率移动式水泵等。</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83" w:name="_Toc15882"/>
      <w:bookmarkStart w:id="184" w:name="_Toc26130307"/>
      <w:bookmarkStart w:id="185" w:name="_Toc531765460"/>
      <w:bookmarkStart w:id="186" w:name="_Toc26054"/>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6.6应急征用</w:t>
      </w:r>
      <w:bookmarkEnd w:id="183"/>
      <w:bookmarkEnd w:id="184"/>
      <w:bookmarkEnd w:id="185"/>
      <w:bookmarkEnd w:id="18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当综合运输保障运力储备不能满足突发事件应急需求，需要相关部门运力支持且自身无法协调时，由需求方提出申请，经应急指挥机构同意，向相关部门下达运输保障储备运力调用指令。相关部门接到指令后，应在指令要求时限内完成储备运力的调集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由国家依据相关法律法规对因应急而紧急征用的物资给予补偿，被征用物资的单位应提交征用物资使用情况报告，主要内容包括：</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00" w:firstLineChars="200"/>
        <w:textAlignment w:val="auto"/>
        <w:rPr>
          <w:rFonts w:hint="eastAsia" w:ascii="仿宋_GB2312" w:hAnsi="仿宋_GB2312" w:eastAsia="仿宋_GB2312" w:cs="仿宋_GB2312"/>
          <w:color w:val="000000" w:themeColor="text1"/>
          <w:spacing w:val="0"/>
          <w:sz w:val="30"/>
          <w:szCs w:val="30"/>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2"/>
          <w:sz w:val="30"/>
          <w:szCs w:val="30"/>
          <w:highlight w:val="none"/>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0"/>
          <w:szCs w:val="30"/>
          <w:highlight w:val="none"/>
          <w14:textFill>
            <w14:solidFill>
              <w14:schemeClr w14:val="tx1"/>
            </w14:solidFill>
          </w14:textFill>
        </w:rPr>
        <w:t>被征用物资投入使用的时间、地点、日程记录</w:t>
      </w:r>
      <w:r>
        <w:rPr>
          <w:rFonts w:hint="eastAsia" w:ascii="仿宋_GB2312" w:hAnsi="仿宋_GB2312" w:eastAsia="仿宋_GB2312" w:cs="仿宋_GB2312"/>
          <w:color w:val="000000" w:themeColor="text1"/>
          <w:spacing w:val="0"/>
          <w:sz w:val="30"/>
          <w:szCs w:val="30"/>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00" w:firstLineChars="200"/>
        <w:textAlignment w:val="auto"/>
        <w:rPr>
          <w:rFonts w:ascii="仿宋_GB2312" w:hAnsi="仿宋_GB2312" w:eastAsia="仿宋_GB2312" w:cs="仿宋_GB2312"/>
          <w:color w:val="000000" w:themeColor="text1"/>
          <w:spacing w:val="0"/>
          <w:sz w:val="30"/>
          <w:szCs w:val="30"/>
          <w:highlight w:val="none"/>
          <w14:textFill>
            <w14:solidFill>
              <w14:schemeClr w14:val="tx1"/>
            </w14:solidFill>
          </w14:textFill>
        </w:rPr>
      </w:pPr>
      <w:r>
        <w:rPr>
          <w:rFonts w:ascii="仿宋_GB2312" w:hAnsi="仿宋_GB2312" w:eastAsia="仿宋_GB2312" w:cs="仿宋_GB2312"/>
          <w:color w:val="000000" w:themeColor="text1"/>
          <w:spacing w:val="0"/>
          <w:kern w:val="2"/>
          <w:sz w:val="30"/>
          <w:szCs w:val="30"/>
          <w:highlight w:val="none"/>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0"/>
          <w:szCs w:val="30"/>
          <w:highlight w:val="none"/>
          <w14:textFill>
            <w14:solidFill>
              <w14:schemeClr w14:val="tx1"/>
            </w14:solidFill>
          </w14:textFill>
        </w:rPr>
        <w:t>投入的人力、设备、车辆、材料的数量、单价、计算方法</w:t>
      </w:r>
      <w:r>
        <w:rPr>
          <w:rFonts w:hint="eastAsia" w:ascii="仿宋_GB2312" w:hAnsi="仿宋_GB2312" w:eastAsia="仿宋_GB2312" w:cs="仿宋_GB2312"/>
          <w:color w:val="000000" w:themeColor="text1"/>
          <w:spacing w:val="0"/>
          <w:sz w:val="30"/>
          <w:szCs w:val="30"/>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（3）相应的物资管理费、交通费及其他有关费用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（4）其他有关证据和证明材料。</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被征用物资单位不能提交上述材料的，按征用物资单位的记录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据实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给予补偿。</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187" w:name="_Toc25303"/>
      <w:bookmarkStart w:id="188" w:name="_Toc331"/>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6.</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7</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专家技术保障</w:t>
      </w:r>
      <w:bookmarkEnd w:id="187"/>
      <w:bookmarkEnd w:id="18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189" w:name="_Toc531765461"/>
      <w:bookmarkStart w:id="190" w:name="_Toc26130308"/>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应急办建立自治区交通运输领域的</w:t>
      </w:r>
      <w:r>
        <w:rPr>
          <w:rFonts w:ascii="仿宋_GB2312" w:eastAsia="仿宋_GB2312"/>
          <w:color w:val="000000" w:themeColor="text1"/>
          <w:spacing w:val="0"/>
          <w:sz w:val="32"/>
          <w:szCs w:val="32"/>
          <w:highlight w:val="none"/>
          <w14:textFill>
            <w14:solidFill>
              <w14:schemeClr w14:val="tx1"/>
            </w14:solidFill>
          </w14:textFill>
        </w:rPr>
        <w:t>专家库，</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充分发挥专家在突发事件的信息研判、决策咨询、专业救援、事件评估等方面的作用。</w:t>
      </w:r>
    </w:p>
    <w:bookmarkEnd w:id="189"/>
    <w:bookmarkEnd w:id="190"/>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91" w:name="_Toc11046"/>
      <w:bookmarkStart w:id="192" w:name="_Toc11766"/>
      <w:bookmarkStart w:id="193" w:name="_Toc28562"/>
      <w:bookmarkStart w:id="194" w:name="_Toc22707"/>
      <w:bookmarkStart w:id="195" w:name="_Toc14735"/>
      <w:bookmarkStart w:id="196" w:name="_Toc28150"/>
      <w:bookmarkStart w:id="197" w:name="_Toc1687"/>
      <w:bookmarkStart w:id="198" w:name="_Toc89611942"/>
      <w:bookmarkStart w:id="199" w:name="_Toc531765464"/>
      <w:bookmarkStart w:id="200" w:name="_Toc2613031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7.预案管理</w:t>
      </w:r>
      <w:bookmarkEnd w:id="191"/>
      <w:bookmarkEnd w:id="192"/>
      <w:bookmarkEnd w:id="193"/>
      <w:bookmarkEnd w:id="194"/>
      <w:bookmarkEnd w:id="195"/>
      <w:bookmarkEnd w:id="196"/>
      <w:bookmarkEnd w:id="197"/>
      <w:bookmarkEnd w:id="19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bookmarkStart w:id="201" w:name="_Toc89611943"/>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应急预案管理遵循统筹推进、分类指导、分级负责、动态管理的原则，主要包括应急预案的编制、发布、备案、衔接、演练、评估、修订等工作。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202" w:name="_Toc4338"/>
      <w:bookmarkStart w:id="203" w:name="_Toc378"/>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7.1预案编制</w:t>
      </w:r>
      <w:bookmarkEnd w:id="202"/>
      <w:bookmarkEnd w:id="203"/>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及备案</w:t>
      </w:r>
    </w:p>
    <w:p>
      <w:pPr>
        <w:keepNext w:val="0"/>
        <w:keepLines w:val="0"/>
        <w:pageBreakBefore w:val="0"/>
        <w:widowControl w:val="0"/>
        <w:kinsoku/>
        <w:wordWrap/>
        <w:overflowPunct/>
        <w:topLinePunct/>
        <w:autoSpaceDE/>
        <w:autoSpaceDN/>
        <w:bidi w:val="0"/>
        <w:adjustRightInd/>
        <w:snapToGrid/>
        <w:spacing w:line="600" w:lineRule="exact"/>
        <w:ind w:firstLine="642"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厅应急办组织制定交通运输厅应急预案，</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经</w:t>
      </w:r>
      <w:r>
        <w:rPr>
          <w:rFonts w:hint="eastAsia" w:ascii="仿宋_GB2312" w:hAnsi="Times New Roman" w:eastAsia="仿宋_GB2312" w:cs="Times New Roman"/>
          <w:color w:val="000000" w:themeColor="text1"/>
          <w:kern w:val="0"/>
          <w:sz w:val="32"/>
          <w:szCs w:val="32"/>
          <w:highlight w:val="none"/>
          <w:lang w:val="en-US" w:eastAsia="zh-CN"/>
          <w14:textFill>
            <w14:solidFill>
              <w14:schemeClr w14:val="tx1"/>
            </w14:solidFill>
          </w14:textFill>
        </w:rPr>
        <w:t>交通运输厅</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主要负责人批准</w:t>
      </w:r>
      <w:r>
        <w:rPr>
          <w:rFonts w:hint="eastAsia" w:ascii="仿宋_GB2312" w:hAnsi="Times New Roman" w:eastAsia="仿宋_GB2312" w:cs="Times New Roman"/>
          <w:color w:val="000000" w:themeColor="text1"/>
          <w:kern w:val="0"/>
          <w:sz w:val="32"/>
          <w:szCs w:val="32"/>
          <w:highlight w:val="none"/>
          <w:lang w:val="en-US" w:eastAsia="zh-CN"/>
          <w14:textFill>
            <w14:solidFill>
              <w14:schemeClr w14:val="tx1"/>
            </w14:solidFill>
          </w14:textFill>
        </w:rPr>
        <w:t>后</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印发实施</w:t>
      </w:r>
      <w:r>
        <w:rPr>
          <w:rFonts w:hint="eastAsia" w:ascii="仿宋_GB2312"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并按照有关</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法律法规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要求</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报自治区政府、交通运输部、自治区应急厅</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及有关部门</w:t>
      </w:r>
      <w:r>
        <w:rPr>
          <w:rFonts w:hint="eastAsia" w:ascii="仿宋_GB2312" w:hAnsi="仿宋" w:eastAsia="仿宋_GB2312"/>
          <w:color w:val="000000" w:themeColor="text1"/>
          <w:sz w:val="32"/>
          <w:szCs w:val="32"/>
          <w:highlight w:val="none"/>
          <w14:textFill>
            <w14:solidFill>
              <w14:schemeClr w14:val="tx1"/>
            </w14:solidFill>
          </w14:textFill>
        </w:rPr>
        <w:t>备案。</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default"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厅属各单位及公路经营管理单位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结合国省干线及高速公路的情况，</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按照各自工作职责，制定本单位应急预案，经</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本单位主要负责人签发</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并按照有关</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法律法规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要求</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向有关部门及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厅应急办备案。</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市、</w:t>
      </w:r>
      <w:r>
        <w:rPr>
          <w:rFonts w:hint="eastAsia" w:ascii="仿宋_GB2312" w:hAnsi="仿宋" w:eastAsia="仿宋_GB2312"/>
          <w:color w:val="000000" w:themeColor="text1"/>
          <w:spacing w:val="0"/>
          <w:sz w:val="32"/>
          <w:szCs w:val="32"/>
          <w:highlight w:val="none"/>
          <w14:textFill>
            <w14:solidFill>
              <w14:schemeClr w14:val="tx1"/>
            </w14:solidFill>
          </w14:textFill>
        </w:rPr>
        <w:t>县（区）级</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交通运输主管部门及其所属单位</w:t>
      </w:r>
      <w:r>
        <w:rPr>
          <w:rFonts w:hint="eastAsia" w:ascii="仿宋_GB2312" w:hAnsi="仿宋" w:eastAsia="仿宋_GB2312"/>
          <w:color w:val="000000" w:themeColor="text1"/>
          <w:spacing w:val="0"/>
          <w:sz w:val="32"/>
          <w:szCs w:val="32"/>
          <w:highlight w:val="none"/>
          <w14:textFill>
            <w14:solidFill>
              <w14:schemeClr w14:val="tx1"/>
            </w14:solidFill>
          </w14:textFill>
        </w:rPr>
        <w:t>应当根据</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工作职责和辖管事权，</w:t>
      </w:r>
      <w:r>
        <w:rPr>
          <w:rFonts w:hint="eastAsia" w:ascii="仿宋_GB2312" w:hAnsi="仿宋" w:eastAsia="仿宋_GB2312"/>
          <w:strike w:val="0"/>
          <w:dstrike w:val="0"/>
          <w:color w:val="000000" w:themeColor="text1"/>
          <w:spacing w:val="0"/>
          <w:sz w:val="32"/>
          <w:szCs w:val="32"/>
          <w:highlight w:val="none"/>
          <w:lang w:val="en-US" w:eastAsia="zh-CN"/>
          <w14:textFill>
            <w14:solidFill>
              <w14:schemeClr w14:val="tx1"/>
            </w14:solidFill>
          </w14:textFill>
        </w:rPr>
        <w:t>按照国家、自治区相关规定，</w:t>
      </w:r>
      <w:r>
        <w:rPr>
          <w:rFonts w:hint="eastAsia" w:ascii="仿宋_GB2312" w:hAnsi="仿宋" w:eastAsia="仿宋_GB2312"/>
          <w:color w:val="000000" w:themeColor="text1"/>
          <w:spacing w:val="0"/>
          <w:sz w:val="32"/>
          <w:szCs w:val="32"/>
          <w:highlight w:val="none"/>
          <w14:textFill>
            <w14:solidFill>
              <w14:schemeClr w14:val="tx1"/>
            </w14:solidFill>
          </w14:textFill>
        </w:rPr>
        <w:t>制定本</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hAnsi="仿宋" w:eastAsia="仿宋_GB2312"/>
          <w:color w:val="000000" w:themeColor="text1"/>
          <w:spacing w:val="0"/>
          <w:sz w:val="32"/>
          <w:szCs w:val="32"/>
          <w:highlight w:val="none"/>
          <w14:textFill>
            <w14:solidFill>
              <w14:schemeClr w14:val="tx1"/>
            </w14:solidFill>
          </w14:textFill>
        </w:rPr>
        <w:t>突发事件应急预案</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经主要负责人批准印发实施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按照法律法规要求</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备案，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抄送上一级交通运输主管部门。</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204" w:name="_Toc10308"/>
      <w:bookmarkStart w:id="205" w:name="_Toc14999"/>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7.</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预案演练</w:t>
      </w:r>
      <w:bookmarkEnd w:id="204"/>
      <w:bookmarkEnd w:id="20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年至少进行一次应急演练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并及时组织演练评估</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鼓励委托第三方进行演练评估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法律法规和国家另有规定的，从其规定。如预案发生重大调整，需及时按照新的预案开展演练。</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厅属单位、公路经营管理单位及市、县（区）交通主管部门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应当建立应急演练制度，根据实际情况采取实战演练、桌面演练等方式，组织开展广泛参与、处置联动性强、形式多样、节约高效的应急演练。</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eastAsia="zh-CN"/>
          <w14:textFill>
            <w14:solidFill>
              <w14:schemeClr w14:val="tx1"/>
            </w14:solidFill>
          </w14:textFill>
        </w:rPr>
      </w:pPr>
      <w:bookmarkStart w:id="206" w:name="_Toc2012"/>
      <w:bookmarkStart w:id="207" w:name="_Toc12760"/>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7.</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预案评估与修订</w:t>
      </w:r>
      <w:bookmarkEnd w:id="206"/>
      <w:bookmarkEnd w:id="207"/>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应当</w:t>
      </w:r>
      <w:r>
        <w:rPr>
          <w:rFonts w:hint="eastAsia" w:ascii="仿宋_GB2312" w:hAnsi="仿宋" w:eastAsia="仿宋_GB2312"/>
          <w:color w:val="000000" w:themeColor="text1"/>
          <w:sz w:val="32"/>
          <w:szCs w:val="32"/>
          <w:highlight w:val="none"/>
          <w14:textFill>
            <w14:solidFill>
              <w14:schemeClr w14:val="tx1"/>
            </w14:solidFill>
          </w14:textFill>
        </w:rPr>
        <w:t>至少每三年开展一次</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组织突发事件应急预案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评估，分析评价预案内容的科学性、针对性和可操作性，实现应急预案的动态优化和科学规范管理。</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有下列情形之一的，应当及时修订应急预案</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①</w:t>
      </w:r>
      <w:r>
        <w:rPr>
          <w:rFonts w:hint="eastAsia" w:ascii="仿宋_GB2312" w:hAnsi="仿宋_GB2312" w:eastAsia="仿宋_GB2312" w:cs="仿宋_GB2312"/>
          <w:color w:val="000000" w:themeColor="text1"/>
          <w:spacing w:val="0"/>
          <w:kern w:val="0"/>
          <w:sz w:val="32"/>
          <w:szCs w:val="32"/>
          <w:highlight w:val="none"/>
          <w:shd w:val="clear" w:color="auto" w:fill="FFFFFF"/>
          <w:lang w:val="en-US" w:eastAsia="zh-CN" w:bidi="ar"/>
          <w14:textFill>
            <w14:solidFill>
              <w14:schemeClr w14:val="tx1"/>
            </w14:solidFill>
          </w14:textFill>
        </w:rPr>
        <w:t>预案依据的</w: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有关</w:t>
      </w:r>
      <w:r>
        <w:rPr>
          <w:rFonts w:hint="eastAsia" w:ascii="仿宋_GB2312" w:hAnsi="仿宋_GB2312" w:eastAsia="仿宋_GB2312" w:cs="仿宋_GB2312"/>
          <w:color w:val="000000" w:themeColor="text1"/>
          <w:spacing w:val="0"/>
          <w:kern w:val="0"/>
          <w:sz w:val="32"/>
          <w:szCs w:val="32"/>
          <w:highlight w:val="none"/>
          <w:shd w:val="clear" w:color="auto" w:fill="FFFFFF"/>
          <w:lang w:eastAsia="zh-CN" w:bidi="ar"/>
          <w14:textFill>
            <w14:solidFill>
              <w14:schemeClr w14:val="tx1"/>
            </w14:solidFill>
          </w14:textFill>
        </w:rPr>
        <w:t>法律法规</w: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、规章、标准、上位预案中的有关规定发生重大变化的；</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②应急指挥机构及其职责发生重大调整的；</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③面临的风险发生重大变化的；</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end"/>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重要应急资源发生重大变化的；</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instrText xml:space="preserve"> = 5 \* GB3 \* MERGEFORMAT </w:instrTex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w: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end"/>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在突发事件实际应对和应急演练中发现问题需要</w:t>
      </w:r>
      <w:r>
        <w:rPr>
          <w:rFonts w:hint="eastAsia" w:ascii="仿宋_GB2312" w:hAnsi="仿宋_GB2312" w:eastAsia="仿宋_GB2312" w:cs="仿宋_GB2312"/>
          <w:color w:val="000000" w:themeColor="text1"/>
          <w:spacing w:val="0"/>
          <w:kern w:val="0"/>
          <w:sz w:val="32"/>
          <w:szCs w:val="32"/>
          <w:highlight w:val="none"/>
          <w:shd w:val="clear" w:color="auto" w:fill="FFFFFF"/>
          <w:lang w:val="en-US" w:eastAsia="zh-CN" w:bidi="ar"/>
          <w14:textFill>
            <w14:solidFill>
              <w14:schemeClr w14:val="tx1"/>
            </w14:solidFill>
          </w14:textFill>
        </w:rPr>
        <w:t>做出</w: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重大调整的；</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instrText xml:space="preserve"> = 6 \* GB3 \* MERGEFORMAT </w:instrTex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w:t>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fldChar w:fldCharType="end"/>
      </w:r>
      <w:r>
        <w:rPr>
          <w:rFonts w:hint="eastAsia" w:ascii="仿宋_GB2312" w:hAnsi="仿宋_GB2312" w:eastAsia="仿宋_GB2312" w:cs="仿宋_GB2312"/>
          <w:color w:val="000000" w:themeColor="text1"/>
          <w:spacing w:val="0"/>
          <w:kern w:val="0"/>
          <w:sz w:val="32"/>
          <w:szCs w:val="32"/>
          <w:highlight w:val="none"/>
          <w:shd w:val="clear" w:color="auto" w:fill="FFFFFF"/>
          <w:lang w:bidi="ar"/>
          <w14:textFill>
            <w14:solidFill>
              <w14:schemeClr w14:val="tx1"/>
            </w14:solidFill>
          </w14:textFill>
        </w:rPr>
        <w:t>应急预案制定单位认为应当修订的其他情况。</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应急预案修订涉及组织指挥体系与职责、应急处置程序、主要处置措施、响应分级标准等重要内容的，修订工作应按照有关要求进行。仅涉及其他内容的，修订程序可适当简化。</w:t>
      </w:r>
    </w:p>
    <w:bookmarkEnd w:id="201"/>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208" w:name="_Toc23593"/>
      <w:bookmarkStart w:id="209" w:name="_Toc21545"/>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7.4</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应急宣传与培训</w:t>
      </w:r>
      <w:bookmarkEnd w:id="208"/>
      <w:bookmarkEnd w:id="209"/>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kern w:val="0"/>
          <w:sz w:val="32"/>
          <w:szCs w:val="32"/>
          <w:highlight w:val="none"/>
          <w:lang w:val="en-US" w:eastAsia="zh-CN"/>
          <w14:textFill>
            <w14:solidFill>
              <w14:schemeClr w14:val="tx1"/>
            </w14:solidFill>
          </w14:textFill>
        </w:rPr>
        <w:t>各级交通运输部门和单位要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公众公布突发事件应急预案信息、接报电话和部门。做好相关应急法律法规以及预防、避险、避灾、自救、互救等常识的宣传。加强对交通运输工作人员应急管理法律法规、应急预案和有关知识的培训，提高干部职工应急管理素养和应急处置能力。</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强化应急救援队伍技能培训和实操训练，提高救援队伍专业化、机动化水平。加强各类救援力量间资源共享</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信息互通和共训共练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210" w:name="_Toc14631"/>
      <w:bookmarkStart w:id="211" w:name="_Toc7540"/>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7.5</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责任与奖惩</w:t>
      </w:r>
      <w:bookmarkEnd w:id="210"/>
      <w:bookmarkEnd w:id="211"/>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根据有关规定，各级交通运输管理部门</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和单位</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应将突发事件应对工作纳入绩效考核。</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微软雅黑" w:hAnsi="微软雅黑" w:eastAsia="微软雅黑" w:cs="宋体"/>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应急响应终止后，各级交通运输部门</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和单位</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应对在应急过程中做出</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突出</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贡献的集体和个人</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kern w:val="0"/>
          <w:sz w:val="32"/>
          <w:szCs w:val="32"/>
          <w:highlight w:val="none"/>
          <w14:textFill>
            <w14:solidFill>
              <w14:schemeClr w14:val="tx1"/>
            </w14:solidFill>
          </w14:textFill>
        </w:rPr>
        <w:t>按照国家</w:t>
      </w:r>
      <w:r>
        <w:rPr>
          <w:rFonts w:hint="eastAsia" w:ascii="仿宋_GB2312" w:hAnsi="Times New Roman" w:eastAsia="仿宋_GB2312" w:cs="Times New Roman"/>
          <w:color w:val="000000" w:themeColor="text1"/>
          <w:spacing w:val="0"/>
          <w:kern w:val="0"/>
          <w:sz w:val="32"/>
          <w:szCs w:val="32"/>
          <w:highlight w:val="none"/>
          <w:lang w:val="en-US" w:eastAsia="zh-CN"/>
          <w14:textFill>
            <w14:solidFill>
              <w14:schemeClr w14:val="tx1"/>
            </w14:solidFill>
          </w14:textFill>
        </w:rPr>
        <w:t>和自治区</w:t>
      </w:r>
      <w:r>
        <w:rPr>
          <w:rFonts w:hint="eastAsia" w:ascii="仿宋_GB2312" w:hAnsi="Times New Roman" w:eastAsia="仿宋_GB2312" w:cs="Times New Roman"/>
          <w:color w:val="000000" w:themeColor="text1"/>
          <w:spacing w:val="0"/>
          <w:kern w:val="0"/>
          <w:sz w:val="32"/>
          <w:szCs w:val="32"/>
          <w:highlight w:val="none"/>
          <w14:textFill>
            <w14:solidFill>
              <w14:schemeClr w14:val="tx1"/>
            </w14:solidFill>
          </w14:textFill>
        </w:rPr>
        <w:t>有关规定给予表彰或奖励。</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对迟报、谎报、瞒报和漏报突发事件重要情况，应急处置不力，或者应急管理工作中有其他失职、渎职行为的，依照有关规定给予处分；构成犯罪的，依法追究刑事责任。</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212" w:name="_Toc10417"/>
      <w:bookmarkStart w:id="213" w:name="_Toc10700"/>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7.6</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实施与监管</w:t>
      </w:r>
      <w:bookmarkEnd w:id="212"/>
      <w:bookmarkEnd w:id="213"/>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本预案涉及的厅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属各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公路经营管理单位及市、县（区）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交通运输主管部门等，要按照本预案的规定履行职责，制定、完善相应的应急预案及其支撑文件。厅应急办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及相关业务处室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要加强本预案实施的跟踪分析、督促检查、综合协调，并根据评估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结论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，提出修订建议。</w:t>
      </w:r>
    </w:p>
    <w:bookmarkEnd w:id="199"/>
    <w:bookmarkEnd w:id="200"/>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14" w:name="_Toc24076"/>
      <w:bookmarkStart w:id="215" w:name="_Toc12330"/>
      <w:bookmarkStart w:id="216" w:name="_Toc17421"/>
      <w:bookmarkStart w:id="217" w:name="_Toc29533"/>
      <w:bookmarkStart w:id="218" w:name="_Toc11950"/>
      <w:bookmarkStart w:id="219" w:name="_Toc31068"/>
      <w:bookmarkStart w:id="220" w:name="_Toc15503"/>
      <w:bookmarkStart w:id="221" w:name="_Toc26130312"/>
      <w:bookmarkStart w:id="222" w:name="_Toc53176546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8.附则</w:t>
      </w:r>
      <w:bookmarkEnd w:id="214"/>
      <w:bookmarkEnd w:id="215"/>
      <w:bookmarkEnd w:id="216"/>
      <w:bookmarkEnd w:id="217"/>
      <w:bookmarkEnd w:id="218"/>
      <w:bookmarkEnd w:id="219"/>
      <w:bookmarkEnd w:id="220"/>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223" w:name="_Toc4742"/>
      <w:bookmarkStart w:id="224" w:name="_Toc24420"/>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8</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1</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制定与解释部门</w:t>
      </w:r>
      <w:bookmarkEnd w:id="221"/>
      <w:bookmarkEnd w:id="222"/>
      <w:bookmarkEnd w:id="223"/>
      <w:bookmarkEnd w:id="22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本预案由交通运输厅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负责制定、组织实施和解释。</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225" w:name="_Toc7692"/>
      <w:bookmarkStart w:id="226" w:name="_Toc27318"/>
      <w:bookmarkStart w:id="227" w:name="_Toc26130313"/>
      <w:bookmarkStart w:id="228" w:name="_Toc531765466"/>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8</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预案实施时间</w:t>
      </w:r>
      <w:bookmarkEnd w:id="225"/>
      <w:bookmarkEnd w:id="226"/>
      <w:bookmarkEnd w:id="227"/>
      <w:bookmarkEnd w:id="22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本预案自发布之日起实施。</w:t>
      </w:r>
    </w:p>
    <w:p>
      <w:pPr>
        <w:keepNext w:val="0"/>
        <w:pageBreakBefore w:val="0"/>
        <w:widowControl w:val="0"/>
        <w:kinsoku/>
        <w:topLinePunct/>
        <w:bidi w:val="0"/>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br w:type="page"/>
      </w:r>
    </w:p>
    <w:p>
      <w:pPr>
        <w:keepNext w:val="0"/>
        <w:keepLines w:val="0"/>
        <w:pageBreakBefore w:val="0"/>
        <w:widowControl w:val="0"/>
        <w:kinsoku/>
        <w:wordWrap/>
        <w:overflowPunct/>
        <w:topLinePunct/>
        <w:autoSpaceDE/>
        <w:autoSpaceDN/>
        <w:bidi w:val="0"/>
        <w:adjustRightInd/>
        <w:snapToGrid/>
        <w:ind w:left="0" w:leftChars="0"/>
        <w:jc w:val="center"/>
        <w:textAlignment w:val="auto"/>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t>突发事件综合应急预案应急处置流程</w:t>
      </w:r>
    </w:p>
    <w:p>
      <w:pPr>
        <w:keepNext w:val="0"/>
        <w:keepLines w:val="0"/>
        <w:pageBreakBefore w:val="0"/>
        <w:widowControl w:val="0"/>
        <w:kinsoku/>
        <w:wordWrap/>
        <w:overflowPunct/>
        <w:topLinePunct/>
        <w:autoSpaceDE/>
        <w:autoSpaceDN/>
        <w:bidi w:val="0"/>
        <w:ind w:left="0" w:leftChars="0"/>
        <w:jc w:val="center"/>
        <w:textAlignment w:val="auto"/>
        <w:rPr>
          <w:rFonts w:ascii="仿宋_GB2312" w:eastAsia="仿宋_GB2312"/>
          <w:color w:val="000000" w:themeColor="text1"/>
          <w:spacing w:val="0"/>
          <w:sz w:val="32"/>
          <w:szCs w:val="32"/>
          <w:highlight w:val="none"/>
          <w14:textFill>
            <w14:solidFill>
              <w14:schemeClr w14:val="tx1"/>
            </w14:solidFill>
          </w14:textFill>
        </w:rPr>
      </w:pPr>
      <w:r>
        <w:rPr>
          <w:rFonts w:ascii="仿宋_GB2312" w:eastAsia="仿宋_GB2312"/>
          <w:color w:val="000000" w:themeColor="text1"/>
          <w:spacing w:val="0"/>
          <w:sz w:val="32"/>
          <w:szCs w:val="32"/>
          <w:highlight w:val="none"/>
          <w14:textFill>
            <w14:solidFill>
              <w14:schemeClr w14:val="tx1"/>
            </w14:solidFill>
          </w14:textFill>
        </w:rPr>
        <w:drawing>
          <wp:inline distT="0" distB="0" distL="114300" distR="114300">
            <wp:extent cx="5760720" cy="6496050"/>
            <wp:effectExtent l="0" t="0" r="5080" b="6350"/>
            <wp:docPr id="31" name="图片 31" descr="综合应急预案突发事件应急处置流程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综合应急预案突发事件应急处置流程图9"/>
                    <pic:cNvPicPr>
                      <a:picLocks noChangeAspect="1"/>
                    </pic:cNvPicPr>
                  </pic:nvPicPr>
                  <pic:blipFill>
                    <a:blip r:embed="rId12"/>
                    <a:stretch>
                      <a:fillRect/>
                    </a:stretch>
                  </pic:blipFill>
                  <pic:spPr>
                    <a:xfrm>
                      <a:off x="0" y="0"/>
                      <a:ext cx="5760720" cy="6496050"/>
                    </a:xfrm>
                    <a:prstGeom prst="rect">
                      <a:avLst/>
                    </a:prstGeom>
                  </pic:spPr>
                </pic:pic>
              </a:graphicData>
            </a:graphic>
          </wp:inline>
        </w:drawing>
      </w:r>
      <w:r>
        <w:rPr>
          <w:rFonts w:ascii="仿宋_GB2312" w:eastAsia="仿宋_GB2312"/>
          <w:color w:val="000000" w:themeColor="text1"/>
          <w:spacing w:val="0"/>
          <w:sz w:val="32"/>
          <w:szCs w:val="32"/>
          <w:highlight w:val="none"/>
          <w14:textFill>
            <w14:solidFill>
              <w14:schemeClr w14:val="tx1"/>
            </w14:solidFill>
          </w14:textFill>
        </w:rPr>
        <w:br w:type="page"/>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bookmarkStart w:id="229" w:name="_Toc24450"/>
      <w:bookmarkStart w:id="230" w:name="_Toc2944"/>
      <w:bookmarkStart w:id="231" w:name="_Toc23483"/>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kern w:val="2"/>
          <w:sz w:val="44"/>
          <w:szCs w:val="44"/>
          <w:highlight w:val="none"/>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0"/>
        <w:rPr>
          <w:rFonts w:hint="eastAsia" w:ascii="微软雅黑" w:hAnsi="Times New Roman" w:eastAsia="微软雅黑" w:cs="Times New Roman"/>
          <w:b/>
          <w:bCs w:val="0"/>
          <w:color w:val="000000" w:themeColor="text1"/>
          <w:spacing w:val="0"/>
          <w:sz w:val="52"/>
          <w:szCs w:val="52"/>
          <w:highlight w:val="none"/>
          <w:lang w:val="en-US" w:eastAsia="zh-CN"/>
          <w14:textFill>
            <w14:solidFill>
              <w14:schemeClr w14:val="tx1"/>
            </w14:solidFill>
          </w14:textFill>
        </w:rPr>
        <w:sectPr>
          <w:footerReference r:id="rId6" w:type="default"/>
          <w:pgSz w:w="11906" w:h="16838"/>
          <w:pgMar w:top="1984" w:right="1417" w:bottom="1984" w:left="1417" w:header="851" w:footer="992" w:gutter="0"/>
          <w:pgNumType w:fmt="numberInDash"/>
          <w:cols w:space="425" w:num="1"/>
          <w:docGrid w:type="lines" w:linePitch="312" w:charSpace="0"/>
        </w:sectPr>
      </w:pPr>
      <w:bookmarkStart w:id="232" w:name="_Toc11603"/>
      <w:bookmarkStart w:id="233" w:name="_Toc27595"/>
      <w:r>
        <w:rPr>
          <w:rFonts w:hint="eastAsia" w:ascii="微软雅黑" w:hAnsi="Times New Roman" w:eastAsia="微软雅黑" w:cs="Times New Roman"/>
          <w:b/>
          <w:bCs w:val="0"/>
          <w:color w:val="000000" w:themeColor="text1"/>
          <w:spacing w:val="0"/>
          <w:kern w:val="2"/>
          <w:sz w:val="52"/>
          <w:szCs w:val="52"/>
          <w:highlight w:val="none"/>
          <w:lang w:val="en-US" w:eastAsia="zh-CN" w:bidi="ar-SA"/>
          <w14:textFill>
            <w14:solidFill>
              <w14:schemeClr w14:val="tx1"/>
            </w14:solidFill>
          </w14:textFill>
        </w:rPr>
        <w:t>二、</w:t>
      </w:r>
      <w:r>
        <w:rPr>
          <w:rFonts w:hint="eastAsia" w:ascii="微软雅黑" w:hAnsi="Times New Roman" w:eastAsia="微软雅黑" w:cs="Times New Roman"/>
          <w:b/>
          <w:bCs w:val="0"/>
          <w:color w:val="000000" w:themeColor="text1"/>
          <w:spacing w:val="0"/>
          <w:sz w:val="52"/>
          <w:szCs w:val="52"/>
          <w:highlight w:val="none"/>
          <w:lang w:val="en-US" w:eastAsia="zh-CN"/>
          <w14:textFill>
            <w14:solidFill>
              <w14:schemeClr w14:val="tx1"/>
            </w14:solidFill>
          </w14:textFill>
        </w:rPr>
        <w:t>单一类型突发事件应急预案</w:t>
      </w:r>
      <w:bookmarkEnd w:id="232"/>
      <w:bookmarkEnd w:id="233"/>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234" w:name="_Toc11501"/>
      <w:bookmarkStart w:id="235" w:name="_Toc15579"/>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1、宁夏回族自治区交通运输厅公路交通</w:t>
      </w:r>
      <w:bookmarkEnd w:id="234"/>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236" w:name="_Toc13772"/>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突发事件应急预案</w:t>
      </w:r>
      <w:bookmarkEnd w:id="229"/>
      <w:bookmarkEnd w:id="230"/>
      <w:bookmarkEnd w:id="231"/>
      <w:bookmarkEnd w:id="235"/>
      <w:bookmarkEnd w:id="236"/>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黑体" w:hAnsi="黑体" w:eastAsia="黑体"/>
          <w:b w:val="0"/>
          <w:bCs w:val="0"/>
          <w:color w:val="000000" w:themeColor="text1"/>
          <w:spacing w:val="0"/>
          <w:sz w:val="32"/>
          <w:szCs w:val="32"/>
          <w:highlight w:val="none"/>
          <w:lang w:val="en-US" w:eastAsia="zh-CN"/>
          <w14:textFill>
            <w14:solidFill>
              <w14:schemeClr w14:val="tx1"/>
            </w14:solidFill>
          </w14:textFill>
        </w:rPr>
      </w:pPr>
      <w:bookmarkStart w:id="237" w:name="_Toc30401"/>
      <w:bookmarkStart w:id="238" w:name="_Toc7268"/>
      <w:bookmarkStart w:id="239" w:name="_Toc24265"/>
      <w:bookmarkStart w:id="240" w:name="_Toc24674"/>
      <w:bookmarkStart w:id="241" w:name="_Toc531771732"/>
      <w:bookmarkStart w:id="242" w:name="_Toc506699879"/>
      <w:bookmarkStart w:id="243" w:name="_Toc20811"/>
      <w:bookmarkStart w:id="244" w:name="_Toc20992"/>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45" w:name="_Toc3209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237"/>
      <w:bookmarkEnd w:id="238"/>
      <w:bookmarkEnd w:id="239"/>
      <w:bookmarkEnd w:id="240"/>
      <w:bookmarkEnd w:id="241"/>
      <w:bookmarkEnd w:id="242"/>
      <w:bookmarkEnd w:id="243"/>
      <w:bookmarkEnd w:id="244"/>
      <w:bookmarkEnd w:id="245"/>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46" w:name="_Toc14072"/>
      <w:bookmarkStart w:id="247" w:name="_Toc26649"/>
      <w:bookmarkStart w:id="248" w:name="_Toc21110"/>
      <w:r>
        <w:rPr>
          <w:rFonts w:hint="eastAsia" w:ascii="楷体_GB2312" w:hAnsi="仿宋" w:eastAsia="楷体_GB2312" w:cs="Times New Roman"/>
          <w:b/>
          <w:bCs/>
          <w:color w:val="000000" w:themeColor="text1"/>
          <w:spacing w:val="0"/>
          <w:highlight w:val="none"/>
          <w14:textFill>
            <w14:solidFill>
              <w14:schemeClr w14:val="tx1"/>
            </w14:solidFill>
          </w14:textFill>
        </w:rPr>
        <w:t>1.1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编制</w:t>
      </w:r>
      <w:r>
        <w:rPr>
          <w:rFonts w:hint="eastAsia" w:ascii="楷体_GB2312" w:hAnsi="仿宋" w:eastAsia="楷体_GB2312" w:cs="Times New Roman"/>
          <w:b/>
          <w:bCs/>
          <w:color w:val="000000" w:themeColor="text1"/>
          <w:spacing w:val="0"/>
          <w:highlight w:val="none"/>
          <w14:textFill>
            <w14:solidFill>
              <w14:schemeClr w14:val="tx1"/>
            </w14:solidFill>
          </w14:textFill>
        </w:rPr>
        <w:t>目的</w:t>
      </w:r>
      <w:bookmarkEnd w:id="246"/>
      <w:bookmarkEnd w:id="247"/>
      <w:bookmarkEnd w:id="24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s="仿宋"/>
          <w:color w:val="000000" w:themeColor="text1"/>
          <w:spacing w:val="0"/>
          <w:sz w:val="32"/>
          <w:szCs w:val="32"/>
          <w:highlight w:val="none"/>
          <w14:textFill>
            <w14:solidFill>
              <w14:schemeClr w14:val="tx1"/>
            </w14:solidFill>
          </w14:textFill>
        </w:rPr>
        <w:t>为</w:t>
      </w:r>
      <w:r>
        <w:rPr>
          <w:rFonts w:hint="eastAsia" w:ascii="仿宋_GB2312" w:hAnsi="仿宋" w:eastAsia="仿宋_GB2312" w:cs="仿宋"/>
          <w:color w:val="000000" w:themeColor="text1"/>
          <w:spacing w:val="0"/>
          <w:sz w:val="32"/>
          <w:szCs w:val="32"/>
          <w:highlight w:val="none"/>
          <w:lang w:val="en-US" w:eastAsia="zh-CN"/>
          <w14:textFill>
            <w14:solidFill>
              <w14:schemeClr w14:val="tx1"/>
            </w14:solidFill>
          </w14:textFill>
        </w:rPr>
        <w:t>切实提升</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宁夏回族自治区</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仿宋_GB2312" w:hAnsi="仿宋" w:eastAsia="仿宋_GB2312" w:cs="仿宋"/>
          <w:color w:val="000000" w:themeColor="text1"/>
          <w:spacing w:val="0"/>
          <w:sz w:val="32"/>
          <w:szCs w:val="32"/>
          <w:highlight w:val="none"/>
          <w14:textFill>
            <w14:solidFill>
              <w14:schemeClr w14:val="tx1"/>
            </w14:solidFill>
          </w14:textFill>
        </w:rPr>
        <w:t>公路交通突发事件的应急处置</w:t>
      </w:r>
      <w:r>
        <w:rPr>
          <w:rFonts w:hint="eastAsia" w:ascii="仿宋_GB2312" w:hAnsi="仿宋" w:eastAsia="仿宋_GB2312" w:cs="仿宋"/>
          <w:color w:val="000000" w:themeColor="text1"/>
          <w:spacing w:val="0"/>
          <w:sz w:val="32"/>
          <w:szCs w:val="32"/>
          <w:highlight w:val="none"/>
          <w:lang w:val="en-US" w:eastAsia="zh-CN"/>
          <w14:textFill>
            <w14:solidFill>
              <w14:schemeClr w14:val="tx1"/>
            </w14:solidFill>
          </w14:textFill>
        </w:rPr>
        <w:t>水平</w:t>
      </w:r>
      <w:r>
        <w:rPr>
          <w:rFonts w:hint="eastAsia" w:ascii="仿宋_GB2312" w:hAnsi="仿宋" w:eastAsia="仿宋_GB2312" w:cs="仿宋"/>
          <w:color w:val="000000" w:themeColor="text1"/>
          <w:spacing w:val="0"/>
          <w:sz w:val="32"/>
          <w:szCs w:val="32"/>
          <w:highlight w:val="none"/>
          <w14:textFill>
            <w14:solidFill>
              <w14:schemeClr w14:val="tx1"/>
            </w14:solidFill>
          </w14:textFill>
        </w:rPr>
        <w:t>，有效应对公路交通突发事件，及时保障、恢复公路交通正常运行秩序</w:t>
      </w:r>
      <w:r>
        <w:rPr>
          <w:rFonts w:hint="eastAsia" w:ascii="仿宋_GB2312" w:hAnsi="仿宋" w:eastAsia="仿宋_GB2312" w:cs="仿宋"/>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制定本预案。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49" w:name="_Toc976"/>
      <w:bookmarkStart w:id="250" w:name="_Toc782"/>
      <w:bookmarkStart w:id="251" w:name="_Toc531771734"/>
      <w:bookmarkStart w:id="252" w:name="_Toc25913"/>
      <w:bookmarkStart w:id="253" w:name="_Toc506699881"/>
      <w:bookmarkStart w:id="254" w:name="_Toc27332"/>
      <w:r>
        <w:rPr>
          <w:rFonts w:hint="eastAsia" w:ascii="楷体_GB2312" w:hAnsi="仿宋" w:eastAsia="楷体_GB2312" w:cs="Times New Roman"/>
          <w:b/>
          <w:bCs/>
          <w:color w:val="000000" w:themeColor="text1"/>
          <w:spacing w:val="0"/>
          <w:highlight w:val="none"/>
          <w14:textFill>
            <w14:solidFill>
              <w14:schemeClr w14:val="tx1"/>
            </w14:solidFill>
          </w14:textFill>
        </w:rPr>
        <w:t>1.2编制依据</w:t>
      </w:r>
      <w:bookmarkEnd w:id="249"/>
      <w:bookmarkEnd w:id="250"/>
      <w:bookmarkEnd w:id="251"/>
      <w:bookmarkEnd w:id="252"/>
      <w:bookmarkEnd w:id="253"/>
      <w:bookmarkEnd w:id="25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依据《中华人民共和国突发事件应对法》《突发事件应急预案管理办法》</w:t>
      </w:r>
      <w:r>
        <w:rPr>
          <w:rFonts w:hint="eastAsia" w:ascii="仿宋_GB2312" w:hAnsi="仿宋_GB2312" w:eastAsia="仿宋_GB2312" w:cs="仿宋_GB2312"/>
          <w:bCs/>
          <w:color w:val="000000" w:themeColor="text1"/>
          <w:spacing w:val="0"/>
          <w:sz w:val="32"/>
          <w:szCs w:val="32"/>
          <w:highlight w:val="none"/>
          <w14:textFill>
            <w14:solidFill>
              <w14:schemeClr w14:val="tx1"/>
            </w14:solidFill>
          </w14:textFill>
        </w:rPr>
        <w:t>《公路交通突发事件应急预案》</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以及《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宁夏回族自治区道路交通运输事故应急预案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综合</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应急预案》</w:t>
      </w:r>
      <w:r>
        <w:rPr>
          <w:rFonts w:hint="eastAsia" w:ascii="仿宋_GB2312" w:hAnsi="仿宋" w:eastAsia="仿宋_GB2312"/>
          <w:color w:val="000000" w:themeColor="text1"/>
          <w:spacing w:val="0"/>
          <w:sz w:val="32"/>
          <w:szCs w:val="32"/>
          <w:highlight w:val="none"/>
          <w14:textFill>
            <w14:solidFill>
              <w14:schemeClr w14:val="tx1"/>
            </w14:solidFill>
          </w14:textFill>
        </w:rPr>
        <w:t>等有关规定。</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55" w:name="_Toc531771736"/>
      <w:bookmarkStart w:id="256" w:name="_Toc506699883"/>
      <w:bookmarkStart w:id="257" w:name="_Toc28159"/>
      <w:bookmarkStart w:id="258" w:name="_Toc17613"/>
      <w:bookmarkStart w:id="259" w:name="_Toc18131"/>
      <w:bookmarkStart w:id="260" w:name="_Toc3244"/>
      <w:bookmarkStart w:id="261" w:name="_Toc531771735"/>
      <w:bookmarkStart w:id="262" w:name="_Toc506699882"/>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适用范围</w:t>
      </w:r>
      <w:bookmarkEnd w:id="255"/>
      <w:bookmarkEnd w:id="256"/>
      <w:bookmarkEnd w:id="257"/>
      <w:bookmarkEnd w:id="258"/>
      <w:bookmarkEnd w:id="259"/>
      <w:bookmarkEnd w:id="26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本预案适用于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自治区行政区域内</w:t>
      </w:r>
      <w:r>
        <w:rPr>
          <w:rFonts w:ascii="仿宋_GB2312" w:hAnsi="仿宋" w:eastAsia="仿宋_GB2312"/>
          <w:color w:val="000000" w:themeColor="text1"/>
          <w:spacing w:val="0"/>
          <w:sz w:val="32"/>
          <w:szCs w:val="32"/>
          <w:highlight w:val="none"/>
          <w14:textFill>
            <w14:solidFill>
              <w14:schemeClr w14:val="tx1"/>
            </w14:solidFill>
          </w14:textFill>
        </w:rPr>
        <w:t>特别严重</w:t>
      </w:r>
      <w:r>
        <w:rPr>
          <w:rFonts w:hint="eastAsia" w:ascii="仿宋_GB2312" w:hAnsi="仿宋" w:eastAsia="仿宋_GB2312"/>
          <w:color w:val="000000" w:themeColor="text1"/>
          <w:spacing w:val="0"/>
          <w:sz w:val="32"/>
          <w:szCs w:val="32"/>
          <w:highlight w:val="none"/>
          <w14:textFill>
            <w14:solidFill>
              <w14:schemeClr w14:val="tx1"/>
            </w14:solidFill>
          </w14:textFill>
        </w:rPr>
        <w:t>和</w:t>
      </w:r>
      <w:r>
        <w:rPr>
          <w:rFonts w:ascii="仿宋_GB2312" w:hAnsi="仿宋" w:eastAsia="仿宋_GB2312"/>
          <w:color w:val="000000" w:themeColor="text1"/>
          <w:spacing w:val="0"/>
          <w:sz w:val="32"/>
          <w:szCs w:val="32"/>
          <w:highlight w:val="none"/>
          <w14:textFill>
            <w14:solidFill>
              <w14:schemeClr w14:val="tx1"/>
            </w14:solidFill>
          </w14:textFill>
        </w:rPr>
        <w:t>严重</w:t>
      </w:r>
      <w:r>
        <w:rPr>
          <w:rFonts w:hint="eastAsia" w:ascii="仿宋_GB2312" w:hAnsi="仿宋" w:eastAsia="仿宋_GB2312"/>
          <w:color w:val="000000" w:themeColor="text1"/>
          <w:spacing w:val="0"/>
          <w:sz w:val="32"/>
          <w:szCs w:val="32"/>
          <w:highlight w:val="none"/>
          <w14:textFill>
            <w14:solidFill>
              <w14:schemeClr w14:val="tx1"/>
            </w14:solidFill>
          </w14:textFill>
        </w:rPr>
        <w:t>公路交通突发事件的应对工作，</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hAnsi="仿宋" w:eastAsia="仿宋_GB2312"/>
          <w:color w:val="000000" w:themeColor="text1"/>
          <w:spacing w:val="0"/>
          <w:sz w:val="32"/>
          <w:szCs w:val="32"/>
          <w:highlight w:val="none"/>
          <w14:textFill>
            <w14:solidFill>
              <w14:schemeClr w14:val="tx1"/>
            </w14:solidFill>
          </w14:textFill>
        </w:rPr>
        <w:t>超出事发地交通运输部门及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相关</w:t>
      </w:r>
      <w:r>
        <w:rPr>
          <w:rFonts w:hint="eastAsia" w:ascii="仿宋_GB2312" w:hAnsi="仿宋" w:eastAsia="仿宋_GB2312"/>
          <w:color w:val="000000" w:themeColor="text1"/>
          <w:spacing w:val="0"/>
          <w:sz w:val="32"/>
          <w:szCs w:val="32"/>
          <w:highlight w:val="none"/>
          <w14:textFill>
            <w14:solidFill>
              <w14:schemeClr w14:val="tx1"/>
            </w14:solidFill>
          </w14:textFill>
        </w:rPr>
        <w:t>单位处置能力的应对工作</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和</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交通运输厅认为需要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应急响应的其他</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 w:eastAsia="仿宋_GB2312"/>
          <w:color w:val="000000" w:themeColor="text1"/>
          <w:spacing w:val="0"/>
          <w:sz w:val="32"/>
          <w:szCs w:val="32"/>
          <w:highlight w:val="none"/>
          <w14:textFill>
            <w14:solidFill>
              <w14:schemeClr w14:val="tx1"/>
            </w14:solidFill>
          </w14:textFill>
        </w:rPr>
        <w:t>应对工作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本预案所称公路交通突发事件，是指由于自然灾害、事故等原因引发，造成或者可能造成公路交通运行中断，需要及时进行抢修保通、恢复通行能力的紧急事件。</w:t>
      </w:r>
      <w:bookmarkStart w:id="263" w:name="_Hlk85726509"/>
      <w:r>
        <w:rPr>
          <w:rFonts w:ascii="Times New Roman" w:hAnsi="Times New Roman" w:eastAsia="仿宋_GB2312" w:cs="Times New Roman"/>
          <w:color w:val="000000" w:themeColor="text1"/>
          <w:spacing w:val="0"/>
          <w:sz w:val="32"/>
          <w:szCs w:val="32"/>
          <w:highlight w:val="none"/>
          <w14:textFill>
            <w14:solidFill>
              <w14:schemeClr w14:val="tx1"/>
            </w14:solidFill>
          </w14:textFill>
        </w:rPr>
        <w:t>其中汛情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地震</w:t>
      </w:r>
      <w:bookmarkStart w:id="264" w:name="_Hlk85727559"/>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highlight w:val="none"/>
          <w:lang w:val="en-US" w:eastAsia="zh-CN"/>
          <w14:textFill>
            <w14:solidFill>
              <w14:schemeClr w14:val="tx1"/>
            </w14:solidFill>
          </w14:textFill>
        </w:rPr>
        <w:t>低温雨雪冰冻</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天气等</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造成的公路交通突发事件</w:t>
      </w:r>
      <w:bookmarkEnd w:id="264"/>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处置分别参照</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交通运输厅相关</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单一类型</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应急预案执行。</w:t>
      </w:r>
    </w:p>
    <w:bookmarkEnd w:id="263"/>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65" w:name="_Toc17398"/>
      <w:bookmarkStart w:id="266" w:name="_Toc15130"/>
      <w:bookmarkStart w:id="267" w:name="_Toc17266"/>
      <w:bookmarkStart w:id="268" w:name="_Toc15814"/>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事件分级</w:t>
      </w:r>
      <w:bookmarkEnd w:id="261"/>
      <w:bookmarkEnd w:id="262"/>
      <w:bookmarkEnd w:id="265"/>
      <w:bookmarkEnd w:id="266"/>
      <w:bookmarkEnd w:id="267"/>
      <w:bookmarkEnd w:id="26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color w:val="000000" w:themeColor="text1"/>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公路交通突发事件按照其性质、严重程度、可控性和影响范围等因素，一般分别为</w:t>
      </w:r>
      <w:r>
        <w:rPr>
          <w:rFonts w:ascii="仿宋_GB2312" w:hAnsi="仿宋" w:eastAsia="仿宋_GB2312"/>
          <w:color w:val="000000" w:themeColor="text1"/>
          <w:spacing w:val="0"/>
          <w:sz w:val="32"/>
          <w:szCs w:val="32"/>
          <w:highlight w:val="none"/>
          <w14:textFill>
            <w14:solidFill>
              <w14:schemeClr w14:val="tx1"/>
            </w14:solidFill>
          </w14:textFill>
        </w:rPr>
        <w:t>特别</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重大</w:t>
      </w:r>
      <w:r>
        <w:rPr>
          <w:rFonts w:ascii="仿宋_GB2312" w:hAnsi="仿宋" w:eastAsia="仿宋_GB2312"/>
          <w:color w:val="000000" w:themeColor="text1"/>
          <w:spacing w:val="0"/>
          <w:sz w:val="32"/>
          <w:szCs w:val="32"/>
          <w:highlight w:val="none"/>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重大</w:t>
      </w:r>
      <w:r>
        <w:rPr>
          <w:rFonts w:ascii="仿宋_GB2312" w:hAnsi="仿宋" w:eastAsia="仿宋_GB2312"/>
          <w:color w:val="000000" w:themeColor="text1"/>
          <w:spacing w:val="0"/>
          <w:sz w:val="32"/>
          <w:szCs w:val="32"/>
          <w:highlight w:val="none"/>
          <w14:textFill>
            <w14:solidFill>
              <w14:schemeClr w14:val="tx1"/>
            </w14:solidFill>
          </w14:textFill>
        </w:rPr>
        <w:t>、较</w:t>
      </w:r>
      <w:r>
        <w:rPr>
          <w:rFonts w:hint="eastAsia" w:ascii="仿宋_GB2312" w:hAnsi="仿宋" w:eastAsia="仿宋_GB2312"/>
          <w:color w:val="000000" w:themeColor="text1"/>
          <w:spacing w:val="0"/>
          <w:sz w:val="32"/>
          <w:szCs w:val="32"/>
          <w:highlight w:val="none"/>
          <w14:textFill>
            <w14:solidFill>
              <w14:schemeClr w14:val="tx1"/>
            </w14:solidFill>
          </w14:textFill>
        </w:rPr>
        <w:t>大</w:t>
      </w:r>
      <w:r>
        <w:rPr>
          <w:rFonts w:ascii="仿宋_GB2312" w:hAnsi="仿宋" w:eastAsia="仿宋_GB2312"/>
          <w:color w:val="000000" w:themeColor="text1"/>
          <w:spacing w:val="0"/>
          <w:sz w:val="32"/>
          <w:szCs w:val="32"/>
          <w:highlight w:val="none"/>
          <w14:textFill>
            <w14:solidFill>
              <w14:schemeClr w14:val="tx1"/>
            </w14:solidFill>
          </w14:textFill>
        </w:rPr>
        <w:t>、一般</w:t>
      </w:r>
      <w:r>
        <w:rPr>
          <w:rFonts w:hint="eastAsia" w:ascii="仿宋_GB2312" w:hAnsi="仿宋" w:eastAsia="仿宋_GB2312"/>
          <w:color w:val="000000" w:themeColor="text1"/>
          <w:spacing w:val="0"/>
          <w:sz w:val="32"/>
          <w:szCs w:val="32"/>
          <w:highlight w:val="none"/>
          <w14:textFill>
            <w14:solidFill>
              <w14:schemeClr w14:val="tx1"/>
            </w14:solidFill>
          </w14:textFill>
        </w:rPr>
        <w:t>四级</w:t>
      </w:r>
      <w:r>
        <w:rPr>
          <w:rFonts w:ascii="仿宋_GB2312" w:hAnsi="仿宋" w:eastAsia="仿宋_GB2312"/>
          <w:color w:val="000000" w:themeColor="text1"/>
          <w:spacing w:val="0"/>
          <w:sz w:val="32"/>
          <w:szCs w:val="32"/>
          <w:highlight w:val="none"/>
          <w14:textFill>
            <w14:solidFill>
              <w14:schemeClr w14:val="tx1"/>
            </w14:solidFill>
          </w14:textFill>
        </w:rPr>
        <w:t>。</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blHeader/>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等级</w:t>
            </w:r>
          </w:p>
        </w:tc>
        <w:tc>
          <w:tcPr>
            <w:tcW w:w="739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事故的严重程度及影响范围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特别重大事故（Ⅰ级）</w:t>
            </w:r>
          </w:p>
        </w:tc>
        <w:tc>
          <w:tcPr>
            <w:tcW w:w="7391" w:type="dxa"/>
            <w:vAlign w:val="center"/>
          </w:tcPr>
          <w:p>
            <w:pPr>
              <w:keepNext w:val="0"/>
              <w:keepLines w:val="0"/>
              <w:pageBreakBefore w:val="0"/>
              <w:widowControl w:val="0"/>
              <w:numPr>
                <w:ilvl w:val="0"/>
                <w:numId w:val="1"/>
              </w:numPr>
              <w:suppressLineNumbers w:val="0"/>
              <w:shd w:val="clear"/>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造成30人以上死亡或失踪；</w:t>
            </w:r>
          </w:p>
          <w:p>
            <w:pPr>
              <w:keepNext w:val="0"/>
              <w:keepLines w:val="0"/>
              <w:pageBreakBefore w:val="0"/>
              <w:widowControl w:val="0"/>
              <w:numPr>
                <w:ilvl w:val="0"/>
                <w:numId w:val="1"/>
              </w:numPr>
              <w:suppressLineNumbers w:val="0"/>
              <w:shd w:val="clear"/>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导致100人以上重伤；</w:t>
            </w:r>
          </w:p>
          <w:p>
            <w:pPr>
              <w:keepNext w:val="0"/>
              <w:keepLines w:val="0"/>
              <w:pageBreakBefore w:val="0"/>
              <w:widowControl w:val="0"/>
              <w:numPr>
                <w:ilvl w:val="0"/>
                <w:numId w:val="1"/>
              </w:numPr>
              <w:suppressLineNumbers w:val="0"/>
              <w:shd w:val="clear"/>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造成1亿元以上直接经济损失；</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导致道路交通毁坏、中断、阻塞、大量车辆积压、人员滞留，处置时间在48小时以上。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重大事故（Ⅱ级）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造成10人以上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30人以下死亡或失踪；</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导致50人以上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造成5千万元以上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1亿元以下直接经济损失；</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导致道路交通毁坏、中断、阻塞、大量车辆积压、人员滞留，处置时间在24小时以上、48小时以下。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较大事故（Ⅲ级）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造成3人以上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10人以下死亡或失踪；</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导致10人以上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50人以下重伤；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造成1千万元以上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5千万元以下直接经济损失；</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导致道路交通毁坏、中断、阻塞、大量车辆积压、人员滞留，处置时间在 12 小时以上、24 小时以下。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一般事故（Ⅳ级）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造成3人以下死亡或失踪；</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导致10人以下重伤；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造成1千万元以下直接经济损失；</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导致道路交通毁坏、中断、阻塞、大量车辆积压、人员滞留，处置时间在</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小时以下。</w:t>
            </w:r>
          </w:p>
        </w:tc>
      </w:tr>
    </w:tbl>
    <w:p>
      <w:pPr>
        <w:keepNext w:val="0"/>
        <w:keepLines w:val="0"/>
        <w:pageBreakBefore w:val="0"/>
        <w:widowControl w:val="0"/>
        <w:kinsoku/>
        <w:wordWrap/>
        <w:overflowPunct/>
        <w:topLinePunct/>
        <w:autoSpaceDE/>
        <w:autoSpaceDN/>
        <w:bidi w:val="0"/>
        <w:adjustRightInd/>
        <w:snapToGrid/>
        <w:spacing w:line="600" w:lineRule="exact"/>
        <w:ind w:left="0" w:leftChars="0" w:right="0" w:firstLine="642" w:firstLineChars="200"/>
        <w:jc w:val="both"/>
        <w:textAlignment w:val="auto"/>
        <w:rPr>
          <w:rFonts w:hint="eastAsia" w:ascii="仿宋_GB2312" w:hAnsi="仿宋_GB2312" w:eastAsia="仿宋_GB2312" w:cs="仿宋_GB2312"/>
          <w:color w:val="000000" w:themeColor="text1"/>
          <w:spacing w:val="0"/>
          <w:kern w:val="0"/>
          <w:sz w:val="32"/>
          <w:szCs w:val="32"/>
          <w:highlight w:val="none"/>
          <w:lang w:val="en-US" w:eastAsia="zh-CN" w:bidi="ar-SA"/>
          <w14:textFill>
            <w14:solidFill>
              <w14:schemeClr w14:val="tx1"/>
            </w14:solidFill>
          </w14:textFill>
        </w:rPr>
      </w:pPr>
      <w:bookmarkStart w:id="269" w:name="_Toc506699884"/>
      <w:bookmarkStart w:id="270" w:name="_Toc25467"/>
      <w:bookmarkStart w:id="271" w:name="_Toc6899"/>
      <w:bookmarkStart w:id="272" w:name="_Toc30223"/>
      <w:bookmarkStart w:id="273" w:name="_Toc531771737"/>
      <w:bookmarkStart w:id="274" w:name="_Toc20266"/>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注：</w:t>
      </w:r>
      <w:r>
        <w:rPr>
          <w:rFonts w:hint="eastAsia" w:ascii="仿宋_GB2312" w:hAnsi="仿宋_GB2312" w:eastAsia="仿宋_GB2312" w:cs="仿宋_GB2312"/>
          <w:color w:val="000000" w:themeColor="text1"/>
          <w:spacing w:val="0"/>
          <w:kern w:val="0"/>
          <w:sz w:val="32"/>
          <w:szCs w:val="32"/>
          <w:highlight w:val="none"/>
          <w:lang w:val="en-US" w:eastAsia="zh-CN" w:bidi="ar-SA"/>
          <w14:textFill>
            <w14:solidFill>
              <w14:schemeClr w14:val="tx1"/>
            </w14:solidFill>
          </w14:textFill>
        </w:rPr>
        <w:t>“以上”包含本数及以上，“以下”不包含本数。</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1.5工作原则</w:t>
      </w:r>
      <w:bookmarkEnd w:id="269"/>
      <w:bookmarkEnd w:id="270"/>
      <w:bookmarkEnd w:id="271"/>
      <w:bookmarkEnd w:id="272"/>
      <w:bookmarkEnd w:id="273"/>
      <w:bookmarkEnd w:id="27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bookmarkStart w:id="275" w:name="_Toc27480"/>
      <w:bookmarkStart w:id="276" w:name="_Toc531771738"/>
      <w:bookmarkStart w:id="277" w:name="_Toc506699885"/>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公路交通</w:t>
      </w:r>
      <w:r>
        <w:rPr>
          <w:rFonts w:hint="eastAsia" w:ascii="仿宋_GB2312" w:hAnsi="微软雅黑" w:eastAsia="仿宋_GB2312" w:cs="宋体"/>
          <w:color w:val="000000" w:themeColor="text1"/>
          <w:spacing w:val="0"/>
          <w:kern w:val="0"/>
          <w:sz w:val="32"/>
          <w:szCs w:val="32"/>
          <w:highlight w:val="none"/>
          <w:lang w:bidi="ar"/>
          <w14:textFill>
            <w14:solidFill>
              <w14:schemeClr w14:val="tx1"/>
            </w14:solidFill>
          </w14:textFill>
        </w:rPr>
        <w:t>突发事件</w:t>
      </w: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应急处置坚持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统一领导，分级负责</w:t>
      </w:r>
      <w:bookmarkEnd w:id="275"/>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bookmarkStart w:id="278" w:name="_Toc27172"/>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以人为本，预防为主</w:t>
      </w:r>
      <w:bookmarkEnd w:id="278"/>
      <w:bookmarkStart w:id="279" w:name="_Toc26408"/>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bookmarkEnd w:id="279"/>
      <w:bookmarkStart w:id="280" w:name="_Toc470"/>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快速反应、科学处置</w:t>
      </w:r>
      <w:bookmarkEnd w:id="280"/>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的原则</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bookmarkEnd w:id="276"/>
    <w:bookmarkEnd w:id="277"/>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81" w:name="_Toc506699886"/>
      <w:bookmarkStart w:id="282" w:name="_Toc31298"/>
      <w:bookmarkStart w:id="283" w:name="_Toc6912"/>
      <w:bookmarkStart w:id="284" w:name="_Toc31951"/>
      <w:bookmarkStart w:id="285" w:name="_Toc21662"/>
      <w:bookmarkStart w:id="286" w:name="_Toc4489"/>
      <w:bookmarkStart w:id="287" w:name="_Toc531771739"/>
      <w:bookmarkStart w:id="288" w:name="_Toc28669"/>
      <w:bookmarkStart w:id="289" w:name="_Toc19423"/>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2.组织机构与职责</w:t>
      </w:r>
      <w:bookmarkEnd w:id="281"/>
      <w:bookmarkEnd w:id="282"/>
      <w:bookmarkEnd w:id="283"/>
      <w:bookmarkEnd w:id="284"/>
      <w:bookmarkEnd w:id="285"/>
      <w:bookmarkEnd w:id="286"/>
      <w:bookmarkEnd w:id="287"/>
      <w:bookmarkEnd w:id="288"/>
      <w:bookmarkEnd w:id="289"/>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290" w:name="_Toc19975"/>
      <w:bookmarkStart w:id="291" w:name="_Toc28891"/>
      <w:bookmarkStart w:id="292" w:name="_Toc26411"/>
      <w:bookmarkStart w:id="293" w:name="_Toc3666"/>
      <w:bookmarkStart w:id="294" w:name="_Toc25199"/>
      <w:bookmarkStart w:id="295" w:name="_Toc9793"/>
      <w:bookmarkStart w:id="296" w:name="_Toc531781902"/>
      <w:bookmarkStart w:id="297" w:name="_Toc506700059"/>
      <w:bookmarkStart w:id="298" w:name="_Toc506699887"/>
      <w:bookmarkStart w:id="299" w:name="_Toc531771740"/>
      <w:r>
        <w:rPr>
          <w:rFonts w:hint="eastAsia" w:ascii="楷体_GB2312" w:hAnsi="仿宋" w:eastAsia="楷体_GB2312" w:cs="Times New Roman"/>
          <w:b/>
          <w:bCs/>
          <w:color w:val="000000" w:themeColor="text1"/>
          <w:spacing w:val="0"/>
          <w:highlight w:val="none"/>
          <w14:textFill>
            <w14:solidFill>
              <w14:schemeClr w14:val="tx1"/>
            </w14:solidFill>
          </w14:textFill>
        </w:rPr>
        <w:t>2.1厅</w:t>
      </w:r>
      <w:r>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t>公路交通突发事件</w:t>
      </w:r>
      <w:bookmarkEnd w:id="290"/>
      <w:bookmarkEnd w:id="291"/>
      <w:bookmarkEnd w:id="29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工作指挥机构</w:t>
      </w:r>
      <w:bookmarkEnd w:id="293"/>
      <w:bookmarkEnd w:id="294"/>
      <w:bookmarkEnd w:id="295"/>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成立自治区交通运输厅公路交通突发事件工作指挥机构（简称“工作指挥机构”），在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自治区应急指挥部</w:t>
      </w:r>
      <w:r>
        <w:rPr>
          <w:rFonts w:hint="eastAsia" w:ascii="times new rome" w:hAnsi="times new rome" w:eastAsia="仿宋_GB2312"/>
          <w:color w:val="000000" w:themeColor="text1"/>
          <w:spacing w:val="0"/>
          <w:sz w:val="32"/>
          <w:szCs w:val="32"/>
          <w:highlight w:val="none"/>
          <w:lang w:val="en-US" w:eastAsia="zh-CN"/>
          <w14:textFill>
            <w14:solidFill>
              <w14:schemeClr w14:val="tx1"/>
            </w14:solidFill>
          </w14:textFill>
        </w:rPr>
        <w:t>和厅应急领导小组的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领导下，负责组织、协调、开展</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公路交通突发事件应急处置工作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。特别重大事故（Ⅰ级）、重大事故（Ⅱ级）由厅主要负责人担任指挥长，分管应急管理工作的厅领导任副指挥长；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分管应急管理工作的厅领导担任指挥长，</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负责人担任副指挥长。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成员由</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厅办公室、</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政策法规处、公路管理处、</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安全与质量监督管理处</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公路管理中心</w:t>
      </w:r>
      <w:r>
        <w:rPr>
          <w:rFonts w:hint="eastAsia" w:ascii="仿宋_GB2312" w:hAnsi="Times New Roman" w:eastAsia="仿宋_GB2312" w:cs="Times New Roman"/>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事务</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等</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处室及所属</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单位负责同志</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组成</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主要职责：</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贯彻落实上级部门和自治区指挥部关于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应急决策、部署和措施</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组织、</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指导、协调交</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通运输厅系统各单位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的应急处置工作</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应急响应；</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决定启动、调整、终止交通运输厅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Ⅲ级、Ⅳ级</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预警状态和应急响应行动</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根据需要，会同</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有关部门，制定和落实应对</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应急处置工作方案；</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视情</w:t>
      </w:r>
      <w:r>
        <w:rPr>
          <w:rFonts w:hint="eastAsia" w:ascii="仿宋_GB2312" w:eastAsia="仿宋_GB2312"/>
          <w:color w:val="000000" w:themeColor="text1"/>
          <w:spacing w:val="0"/>
          <w:sz w:val="32"/>
          <w:szCs w:val="32"/>
          <w:highlight w:val="none"/>
          <w14:textFill>
            <w14:solidFill>
              <w14:schemeClr w14:val="tx1"/>
            </w14:solidFill>
          </w14:textFill>
        </w:rPr>
        <w:t>成立现场工作组，并派往</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事发区域</w:t>
      </w:r>
      <w:r>
        <w:rPr>
          <w:rFonts w:hint="eastAsia" w:ascii="仿宋_GB2312" w:eastAsia="仿宋_GB2312"/>
          <w:color w:val="000000" w:themeColor="text1"/>
          <w:spacing w:val="0"/>
          <w:sz w:val="32"/>
          <w:szCs w:val="32"/>
          <w:highlight w:val="none"/>
          <w14:textFill>
            <w14:solidFill>
              <w14:schemeClr w14:val="tx1"/>
            </w14:solidFill>
          </w14:textFill>
        </w:rPr>
        <w:t>现场指导</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与</w:t>
      </w:r>
      <w:r>
        <w:rPr>
          <w:rFonts w:hint="eastAsia" w:ascii="仿宋_GB2312" w:eastAsia="仿宋_GB2312"/>
          <w:color w:val="000000" w:themeColor="text1"/>
          <w:spacing w:val="0"/>
          <w:sz w:val="32"/>
          <w:szCs w:val="32"/>
          <w:highlight w:val="none"/>
          <w14:textFill>
            <w14:solidFill>
              <w14:schemeClr w14:val="tx1"/>
            </w14:solidFill>
          </w14:textFill>
        </w:rPr>
        <w:t>协调应急处置工作</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4）负责协调交通运输应急</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装备</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物资和应急队伍的调度</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以及</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道路运输应急保障工作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）根据自治区人民政府要求或根据应急处置需要，参与地方政府组织开展的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）其他相关重大事项。</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ascii="仿宋_GB2312" w:hAnsi="宋体" w:eastAsia="仿宋_GB2312" w:cs="仿宋_GB2312"/>
          <w:color w:val="000000" w:themeColor="text1"/>
          <w:kern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办公室设置在厅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安全与质量监督管理处</w:t>
      </w:r>
      <w:r>
        <w:rPr>
          <w:rFonts w:ascii="仿宋_GB2312" w:hAnsi="宋体" w:eastAsia="仿宋_GB2312" w:cs="仿宋_GB2312"/>
          <w:color w:val="000000" w:themeColor="text1"/>
          <w:kern w:val="0"/>
          <w:sz w:val="32"/>
          <w:szCs w:val="32"/>
          <w:highlight w:val="none"/>
          <w14:textFill>
            <w14:solidFill>
              <w14:schemeClr w14:val="tx1"/>
            </w14:solidFill>
          </w14:textFill>
        </w:rPr>
        <w:t>，承担</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2"/>
          <w:szCs w:val="32"/>
          <w:highlight w:val="none"/>
          <w14:textFill>
            <w14:solidFill>
              <w14:schemeClr w14:val="tx1"/>
            </w14:solidFill>
          </w14:textFill>
        </w:rPr>
        <w:t>工作</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安全与质量监督管理处</w:t>
      </w:r>
      <w:r>
        <w:rPr>
          <w:rFonts w:ascii="仿宋_GB2312" w:hAnsi="宋体" w:eastAsia="仿宋_GB2312" w:cs="仿宋_GB2312"/>
          <w:color w:val="000000" w:themeColor="text1"/>
          <w:kern w:val="0"/>
          <w:sz w:val="32"/>
          <w:szCs w:val="32"/>
          <w:highlight w:val="none"/>
          <w14:textFill>
            <w14:solidFill>
              <w14:schemeClr w14:val="tx1"/>
            </w14:solidFill>
          </w14:textFill>
        </w:rPr>
        <w:t>负责人担任</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bookmarkEnd w:id="296"/>
    <w:bookmarkEnd w:id="297"/>
    <w:bookmarkEnd w:id="298"/>
    <w:bookmarkEnd w:id="299"/>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300" w:name="_Toc2440"/>
      <w:bookmarkStart w:id="301" w:name="_Toc531771742"/>
      <w:bookmarkStart w:id="302" w:name="_Toc506699889"/>
      <w:bookmarkStart w:id="303" w:name="_Toc26223"/>
      <w:bookmarkStart w:id="304" w:name="_Toc30244"/>
      <w:bookmarkStart w:id="305" w:name="_Toc18584"/>
      <w:r>
        <w:rPr>
          <w:rFonts w:hint="eastAsia" w:ascii="楷体_GB2312" w:hAnsi="仿宋" w:eastAsia="楷体_GB2312" w:cs="Times New Roman"/>
          <w:b/>
          <w:bCs/>
          <w:color w:val="000000" w:themeColor="text1"/>
          <w:spacing w:val="0"/>
          <w:highlight w:val="none"/>
          <w14:textFill>
            <w14:solidFill>
              <w14:schemeClr w14:val="tx1"/>
            </w14:solidFill>
          </w14:textFill>
        </w:rPr>
        <w:t>2.</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应急工作组</w:t>
      </w:r>
      <w:bookmarkEnd w:id="300"/>
      <w:bookmarkEnd w:id="301"/>
      <w:bookmarkEnd w:id="302"/>
      <w:bookmarkEnd w:id="303"/>
      <w:bookmarkEnd w:id="304"/>
      <w:bookmarkEnd w:id="305"/>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综合协调组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b w:val="0"/>
          <w:bCs w:val="0"/>
          <w:color w:val="000000" w:themeColor="text1"/>
          <w:spacing w:val="0"/>
          <w:sz w:val="32"/>
          <w:szCs w:val="32"/>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安全与质量监督管理处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负责人任组长，</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成员由</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建设管理处、</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公路管理处、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公路管理中心</w:t>
      </w:r>
      <w:r>
        <w:rPr>
          <w:rFonts w:hint="eastAsia" w:ascii="仿宋_GB2312" w:hAnsi="Calibri"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、道路运输事务中心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负责接收、处理应急状态下</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公路</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zh-CN"/>
          <w14:textFill>
            <w14:solidFill>
              <w14:schemeClr w14:val="tx1"/>
            </w14:solidFill>
          </w14:textFill>
        </w:rPr>
        <w:t>交通突发事件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相关信息，跟踪了解突发事件处置进展，及时向厅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启动预警状态和响应行动建议；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（2）抢修保通</w:t>
      </w:r>
      <w:r>
        <w:rPr>
          <w:rFonts w:hint="eastAsia" w:ascii="仿宋_GB2312" w:hAnsi="仿宋" w:eastAsia="仿宋_GB2312"/>
          <w:color w:val="000000" w:themeColor="text1"/>
          <w:spacing w:val="0"/>
          <w:sz w:val="32"/>
          <w:szCs w:val="32"/>
          <w:highlight w:val="none"/>
          <w14:textFill>
            <w14:solidFill>
              <w14:schemeClr w14:val="tx1"/>
            </w14:solidFill>
          </w14:textFill>
        </w:rPr>
        <w:t>组</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公路管理处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负责人任组长，成员由</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建设管理处、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公路管理中心、相关公路经营</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负责组织开展公路设施排查，提出应急处置及预防措施；</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组织、</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协调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相关单位对破坏的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高速公路、国</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省</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干线公路</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进行</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抢修保通工作；</w:t>
      </w:r>
      <w:r>
        <w:rPr>
          <w:rFonts w:hint="eastAsia" w:ascii="仿宋_GB2312" w:hAnsi="仿宋" w:eastAsia="仿宋_GB2312"/>
          <w:color w:val="000000" w:themeColor="text1"/>
          <w:spacing w:val="0"/>
          <w:sz w:val="32"/>
          <w:szCs w:val="32"/>
          <w:highlight w:val="none"/>
          <w14:textFill>
            <w14:solidFill>
              <w14:schemeClr w14:val="tx1"/>
            </w14:solidFill>
          </w14:textFill>
        </w:rPr>
        <w:t>负责协调社会力量参与公路抢通工作</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拟定抢险救灾资金补助方案；</w:t>
      </w:r>
      <w:r>
        <w:rPr>
          <w:rFonts w:ascii="仿宋_GB2312" w:hAnsi="仿宋" w:eastAsia="仿宋_GB2312"/>
          <w:color w:val="000000" w:themeColor="text1"/>
          <w:spacing w:val="0"/>
          <w:sz w:val="32"/>
          <w:szCs w:val="32"/>
          <w:highlight w:val="none"/>
          <w14:textFill>
            <w14:solidFill>
              <w14:schemeClr w14:val="tx1"/>
            </w14:solidFill>
          </w14:textFill>
        </w:rPr>
        <w:t>保障国家突发事件或紧急情况急需、调用的大宗物资在公路上顺畅通行</w:t>
      </w:r>
      <w:r>
        <w:rPr>
          <w:rFonts w:hint="eastAsia" w:ascii="仿宋_GB2312" w:hAnsi="仿宋" w:eastAsia="仿宋_GB2312"/>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配合公安等有关部门</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拟定公路中断路段绕行方案和组织实施等工作；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指导、协调各市、县（区）农村公路的抢修保通工作；</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运输</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调度</w:t>
      </w:r>
      <w:r>
        <w:rPr>
          <w:rFonts w:hint="eastAsia" w:ascii="仿宋_GB2312" w:hAnsi="仿宋" w:eastAsia="仿宋_GB2312"/>
          <w:color w:val="000000" w:themeColor="text1"/>
          <w:spacing w:val="0"/>
          <w:sz w:val="32"/>
          <w:szCs w:val="32"/>
          <w:highlight w:val="none"/>
          <w14:textFill>
            <w14:solidFill>
              <w14:schemeClr w14:val="tx1"/>
            </w14:solidFill>
          </w14:textFill>
        </w:rPr>
        <w:t>组</w:t>
      </w:r>
    </w:p>
    <w:p>
      <w:pPr>
        <w:keepNext w:val="0"/>
        <w:keepLines w:val="0"/>
        <w:pageBreakBefore w:val="0"/>
        <w:widowControl w:val="0"/>
        <w:numPr>
          <w:ilvl w:val="0"/>
          <w:numId w:val="0"/>
        </w:numPr>
        <w:kinsoku/>
        <w:wordWrap/>
        <w:overflowPunct/>
        <w:topLinePunct/>
        <w:autoSpaceDE/>
        <w:autoSpaceDN/>
        <w:bidi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负责人</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任组长，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成员由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物流发展处、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、道路运输事务中心等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ascii="仿宋_GB2312" w:hAnsi="仿宋" w:eastAsia="仿宋_GB2312"/>
          <w:color w:val="000000" w:themeColor="text1"/>
          <w:spacing w:val="0"/>
          <w:sz w:val="32"/>
          <w:szCs w:val="32"/>
          <w:highlight w:val="none"/>
          <w14:textFill>
            <w14:solidFill>
              <w14:schemeClr w14:val="tx1"/>
            </w14:solidFill>
          </w14:textFill>
        </w:rPr>
        <w:t>保障在突发事件或紧急情况急需、调用的大</w:t>
      </w:r>
      <w:r>
        <w:rPr>
          <w:rFonts w:hint="eastAsia" w:ascii="仿宋_GB2312" w:hAnsi="仿宋" w:eastAsia="仿宋_GB2312"/>
          <w:color w:val="000000" w:themeColor="text1"/>
          <w:spacing w:val="0"/>
          <w:sz w:val="32"/>
          <w:szCs w:val="32"/>
          <w:highlight w:val="none"/>
          <w14:textFill>
            <w14:solidFill>
              <w14:schemeClr w14:val="tx1"/>
            </w14:solidFill>
          </w14:textFill>
        </w:rPr>
        <w:t>宗物资所需的车、船运输力量</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ascii="仿宋_GB2312" w:hAnsi="仿宋" w:eastAsia="仿宋_GB2312"/>
          <w:color w:val="000000" w:themeColor="text1"/>
          <w:spacing w:val="0"/>
          <w:sz w:val="32"/>
          <w:szCs w:val="32"/>
          <w:highlight w:val="none"/>
          <w14:textFill>
            <w14:solidFill>
              <w14:schemeClr w14:val="tx1"/>
            </w14:solidFill>
          </w14:textFill>
        </w:rPr>
        <w:t>满足突发事件紧急处置的需要</w:t>
      </w:r>
      <w:r>
        <w:rPr>
          <w:rFonts w:hint="eastAsia" w:ascii="仿宋_GB2312" w:hAnsi="仿宋" w:eastAsia="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协调公安部门，开辟“绿色通道”</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保障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物资与人员优先通行；</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）通信保障组</w:t>
      </w:r>
    </w:p>
    <w:p>
      <w:pPr>
        <w:keepNext w:val="0"/>
        <w:keepLines w:val="0"/>
        <w:pageBreakBefore w:val="0"/>
        <w:widowControl w:val="0"/>
        <w:kinsoku/>
        <w:wordWrap/>
        <w:overflowPunct/>
        <w:topLinePunct/>
        <w:autoSpaceDE/>
        <w:autoSpaceDN/>
        <w:bidi w:val="0"/>
        <w:spacing w:line="600" w:lineRule="exact"/>
        <w:ind w:left="0" w:leftChars="0" w:firstLine="640" w:firstLineChars="200"/>
        <w:textAlignment w:val="auto"/>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相关人员组成。</w:t>
      </w:r>
    </w:p>
    <w:p>
      <w:pPr>
        <w:keepNext w:val="0"/>
        <w:keepLines w:val="0"/>
        <w:pageBreakBefore w:val="0"/>
        <w:widowControl w:val="0"/>
        <w:kinsoku/>
        <w:wordWrap/>
        <w:overflowPunct/>
        <w:topLinePunct/>
        <w:autoSpaceDE/>
        <w:autoSpaceDN/>
        <w:bidi w:val="0"/>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ascii="仿宋_GB2312" w:hAnsi="仿宋" w:eastAsia="仿宋_GB2312"/>
          <w:color w:val="000000" w:themeColor="text1"/>
          <w:spacing w:val="0"/>
          <w:sz w:val="32"/>
          <w:szCs w:val="32"/>
          <w:highlight w:val="none"/>
          <w14:textFill>
            <w14:solidFill>
              <w14:schemeClr w14:val="tx1"/>
            </w14:solidFill>
          </w14:textFill>
        </w:rPr>
        <w:t>负责信息系统通信保障工作；负责电视电话会议</w:t>
      </w:r>
      <w:r>
        <w:rPr>
          <w:rFonts w:hint="eastAsia" w:ascii="仿宋_GB2312" w:hAnsi="仿宋" w:eastAsia="仿宋_GB2312"/>
          <w:color w:val="000000" w:themeColor="text1"/>
          <w:spacing w:val="0"/>
          <w:sz w:val="32"/>
          <w:szCs w:val="32"/>
          <w:highlight w:val="none"/>
          <w14:textFill>
            <w14:solidFill>
              <w14:schemeClr w14:val="tx1"/>
            </w14:solidFill>
          </w14:textFill>
        </w:rPr>
        <w:t>等通信保障工作；保障应急通信链路畅通；</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bookmarkStart w:id="306" w:name="_Toc506699890"/>
      <w:bookmarkStart w:id="307" w:name="_Toc531771743"/>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加强舆情监测分析，传递权威信息；加强舆情引导，完善舆情监测及应对机制，有效化解舆情风险；</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负责对外信息发布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负责组织有关新闻媒体，宣传报道应急处置工作中涌现出的先进事迹与典型；指导地方公路交通突发事件应急管理机构新闻宣传工作；</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bookmarkStart w:id="308" w:name="_Toc1343"/>
      <w:bookmarkStart w:id="309" w:name="_Toc531771744"/>
      <w:bookmarkStart w:id="310" w:name="_Toc4524"/>
      <w:bookmarkStart w:id="311" w:name="_Toc506699891"/>
      <w:bookmarkStart w:id="312" w:name="_Toc5377"/>
      <w:bookmarkStart w:id="313" w:name="_Toc27249"/>
      <w:bookmarkStart w:id="314" w:name="_Toc7937"/>
      <w:bookmarkStart w:id="315" w:name="_Toc11405"/>
      <w:bookmarkStart w:id="316" w:name="_Toc21286"/>
      <w:bookmarkStart w:id="317" w:name="_Toc12597"/>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现场工作组</w:t>
      </w:r>
      <w:bookmarkEnd w:id="308"/>
      <w:bookmarkEnd w:id="309"/>
      <w:bookmarkEnd w:id="310"/>
      <w:bookmarkEnd w:id="311"/>
      <w:bookmarkEnd w:id="312"/>
      <w:bookmarkEnd w:id="313"/>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主要职责：负责传达厅应急工作要求；按照工作指挥机构安排，勘察，查看，研判、评估道路交通突发事件情况，参照专家组意见，配合有关部门提出具体处置方案；</w:t>
      </w:r>
      <w:r>
        <w:rPr>
          <w:rFonts w:hint="eastAsia" w:ascii="仿宋_GB2312" w:hAnsi="仿宋" w:eastAsia="仿宋_GB2312"/>
          <w:color w:val="000000" w:themeColor="text1"/>
          <w:spacing w:val="0"/>
          <w:sz w:val="32"/>
          <w:szCs w:val="32"/>
          <w:highlight w:val="none"/>
          <w14:textFill>
            <w14:solidFill>
              <w14:schemeClr w14:val="tx1"/>
            </w14:solidFill>
          </w14:textFill>
        </w:rPr>
        <w:t>协助有关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hAnsi="仿宋" w:eastAsia="仿宋_GB2312"/>
          <w:color w:val="000000" w:themeColor="text1"/>
          <w:spacing w:val="0"/>
          <w:sz w:val="32"/>
          <w:szCs w:val="32"/>
          <w:highlight w:val="none"/>
          <w14:textFill>
            <w14:solidFill>
              <w14:schemeClr w14:val="tx1"/>
            </w14:solidFill>
          </w14:textFill>
        </w:rPr>
        <w:t>开展道路</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交通突发事件</w:t>
      </w:r>
      <w:r>
        <w:rPr>
          <w:rFonts w:hint="eastAsia" w:ascii="仿宋_GB2312" w:hAnsi="仿宋" w:eastAsia="仿宋_GB2312"/>
          <w:color w:val="000000" w:themeColor="text1"/>
          <w:spacing w:val="0"/>
          <w:sz w:val="32"/>
          <w:szCs w:val="32"/>
          <w:highlight w:val="none"/>
          <w14:textFill>
            <w14:solidFill>
              <w14:schemeClr w14:val="tx1"/>
            </w14:solidFill>
          </w14:textFill>
        </w:rPr>
        <w:t>的应急处置工作</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等有关应急工作组报告（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现场情况和应急处置行动进展；</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7</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专家组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邀请或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抽调</w:t>
      </w:r>
      <w:r>
        <w:rPr>
          <w:rFonts w:hint="eastAsia" w:ascii="仿宋_GB2312" w:hAnsi="仿宋" w:eastAsia="仿宋_GB2312"/>
          <w:color w:val="000000" w:themeColor="text1"/>
          <w:spacing w:val="0"/>
          <w:sz w:val="32"/>
          <w:szCs w:val="32"/>
          <w:highlight w:val="none"/>
          <w14:textFill>
            <w14:solidFill>
              <w14:schemeClr w14:val="tx1"/>
            </w14:solidFill>
          </w14:textFill>
        </w:rPr>
        <w:t>工程技术、科研、管理、法律等方面专家</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组成</w:t>
      </w:r>
      <w:r>
        <w:rPr>
          <w:rFonts w:hint="eastAsia" w:ascii="仿宋_GB2312"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spacing w:line="600" w:lineRule="exact"/>
        <w:ind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对应急处置工作进行现场技术指导和会商咨询</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对应急准备以及应急行动方案提供专业咨询和建议；对公路交通突发事件及趋势进行应急评估，现场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查看</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、评估公路、桥梁、隧道等交通基础设施的破坏程度，</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事发地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公路交通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能否恢复通行进行评估，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对</w:t>
      </w:r>
      <w:r>
        <w:rPr>
          <w:rFonts w:hint="eastAsia" w:ascii="仿宋_GB2312" w:hAnsi="仿宋_GB2312" w:eastAsia="仿宋_GB2312" w:cs="仿宋_GB2312"/>
          <w:color w:val="000000" w:themeColor="text1"/>
          <w:sz w:val="32"/>
          <w:szCs w:val="32"/>
          <w:highlight w:val="none"/>
          <w14:textFill>
            <w14:solidFill>
              <w14:schemeClr w14:val="tx1"/>
            </w14:solidFill>
          </w14:textFill>
        </w:rPr>
        <w:t>恢复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重建方案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提出意见</w:t>
      </w:r>
      <w:r>
        <w:rPr>
          <w:rFonts w:hint="eastAsia" w:ascii="仿宋_GB2312" w:hAnsi="仿宋_GB2312" w:eastAsia="仿宋_GB2312" w:cs="仿宋_GB2312"/>
          <w:color w:val="000000" w:themeColor="text1"/>
          <w:sz w:val="32"/>
          <w:szCs w:val="32"/>
          <w:highlight w:val="none"/>
          <w14:textFill>
            <w14:solidFill>
              <w14:schemeClr w14:val="tx1"/>
            </w14:solidFill>
          </w14:textFill>
        </w:rPr>
        <w:t>，分析事故对地区道路交通、环境和社会的影响，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为</w:t>
      </w:r>
      <w:r>
        <w:rPr>
          <w:rFonts w:hint="eastAsia" w:ascii="仿宋_GB2312" w:hAnsi="仿宋_GB2312" w:eastAsia="仿宋_GB2312" w:cs="仿宋_GB2312"/>
          <w:color w:val="000000" w:themeColor="text1"/>
          <w:sz w:val="32"/>
          <w:szCs w:val="32"/>
          <w:highlight w:val="none"/>
          <w14:textFill>
            <w14:solidFill>
              <w14:schemeClr w14:val="tx1"/>
            </w14:solidFill>
          </w14:textFill>
        </w:rPr>
        <w:t>确定应急等级提供决策依据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工作提供决策支持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厅公路交通突发事件</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应急组织</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before="0" w:after="0" w:line="240" w:lineRule="auto"/>
        <w:ind w:left="0" w:leftChars="0" w:firstLine="0" w:firstLineChars="0"/>
        <w:jc w:val="center"/>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drawing>
          <wp:inline distT="0" distB="0" distL="114300" distR="114300">
            <wp:extent cx="5266690" cy="3094355"/>
            <wp:effectExtent l="0" t="0" r="0" b="0"/>
            <wp:docPr id="6" name="图片 6" descr="公路交通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路交通机构"/>
                    <pic:cNvPicPr>
                      <a:picLocks noChangeAspect="1"/>
                    </pic:cNvPicPr>
                  </pic:nvPicPr>
                  <pic:blipFill>
                    <a:blip r:embed="rId13"/>
                    <a:stretch>
                      <a:fillRect/>
                    </a:stretch>
                  </pic:blipFill>
                  <pic:spPr>
                    <a:xfrm>
                      <a:off x="0" y="0"/>
                      <a:ext cx="5266690" cy="3094355"/>
                    </a:xfrm>
                    <a:prstGeom prst="rect">
                      <a:avLst/>
                    </a:prstGeom>
                  </pic:spPr>
                </pic:pic>
              </a:graphicData>
            </a:graphic>
          </wp:inline>
        </w:drawing>
      </w:r>
    </w:p>
    <w:bookmarkEnd w:id="306"/>
    <w:bookmarkEnd w:id="307"/>
    <w:bookmarkEnd w:id="314"/>
    <w:bookmarkEnd w:id="315"/>
    <w:bookmarkEnd w:id="316"/>
    <w:bookmarkEnd w:id="317"/>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318" w:name="_Toc31822"/>
      <w:bookmarkStart w:id="319" w:name="_Toc4789"/>
      <w:bookmarkStart w:id="320" w:name="_Toc531771749"/>
      <w:bookmarkStart w:id="321" w:name="_Toc4856"/>
      <w:bookmarkStart w:id="322" w:name="_Toc17646"/>
      <w:bookmarkStart w:id="323" w:name="_Toc1968"/>
      <w:bookmarkStart w:id="324" w:name="_Toc32545"/>
      <w:bookmarkStart w:id="325" w:name="_Toc506699895"/>
      <w:bookmarkStart w:id="326" w:name="_Toc1686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3.预警</w:t>
      </w:r>
      <w:bookmarkEnd w:id="318"/>
      <w:bookmarkEnd w:id="319"/>
      <w:bookmarkEnd w:id="320"/>
      <w:bookmarkEnd w:id="321"/>
      <w:bookmarkEnd w:id="322"/>
      <w:bookmarkEnd w:id="323"/>
      <w:bookmarkEnd w:id="324"/>
      <w:bookmarkEnd w:id="325"/>
      <w:bookmarkEnd w:id="326"/>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327" w:name="_Toc10952"/>
      <w:bookmarkStart w:id="328" w:name="_Toc2938"/>
      <w:bookmarkStart w:id="329" w:name="_Toc4510"/>
      <w:bookmarkStart w:id="330" w:name="_Toc27530"/>
      <w:bookmarkStart w:id="331" w:name="_Toc531771751"/>
      <w:bookmarkStart w:id="332" w:name="_Toc506699897"/>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w:t>
      </w:r>
      <w:r>
        <w:rPr>
          <w:rFonts w:hint="eastAsia" w:ascii="楷体_GB2312" w:hAnsi="仿宋" w:eastAsia="楷体_GB2312" w:cs="Times New Roman"/>
          <w:b/>
          <w:bCs/>
          <w:color w:val="000000" w:themeColor="text1"/>
          <w:spacing w:val="0"/>
          <w:highlight w:val="none"/>
          <w14:textFill>
            <w14:solidFill>
              <w14:schemeClr w14:val="tx1"/>
            </w14:solidFill>
          </w14:textFill>
        </w:rPr>
        <w:t>预警</w:t>
      </w:r>
      <w:bookmarkEnd w:id="327"/>
      <w:bookmarkEnd w:id="328"/>
      <w:bookmarkEnd w:id="329"/>
      <w:bookmarkEnd w:id="330"/>
      <w:bookmarkEnd w:id="331"/>
      <w:bookmarkEnd w:id="33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信息接收</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shd w:val="clear" w:color="auto" w:fill="FFFFFF"/>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1</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交通运输厅主要负责以下</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公路交通</w:t>
      </w:r>
      <w:r>
        <w:rPr>
          <w:rFonts w:hint="eastAsia" w:ascii="仿宋_GB2312" w:eastAsia="仿宋_GB2312"/>
          <w:color w:val="000000" w:themeColor="text1"/>
          <w:spacing w:val="0"/>
          <w:sz w:val="32"/>
          <w:szCs w:val="32"/>
          <w:highlight w:val="none"/>
          <w14:textFill>
            <w14:solidFill>
              <w14:schemeClr w14:val="tx1"/>
            </w14:solidFill>
          </w14:textFill>
        </w:rPr>
        <w:t>信息</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收集，并按规定上报</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道路交通中断、阻塞的监测信息和重要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交通枢纽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旅客滞留信息。包括</w:t>
      </w:r>
      <w:r>
        <w:rPr>
          <w:rFonts w:hint="eastAsia" w:ascii="仿宋_GB2312" w:hAnsi="仿宋_GB2312" w:eastAsia="仿宋_GB2312" w:cs="仿宋_GB2312"/>
          <w:color w:val="000000" w:themeColor="text1"/>
          <w:spacing w:val="0"/>
          <w:sz w:val="32"/>
          <w:szCs w:val="32"/>
          <w:highlight w:val="none"/>
          <w:shd w:val="clear" w:color="auto" w:fill="FFFFFF"/>
          <w14:textFill>
            <w14:solidFill>
              <w14:schemeClr w14:val="tx1"/>
            </w14:solidFill>
          </w14:textFill>
        </w:rPr>
        <w:t>道路损毁、中断、阻塞的原因、发生时间、起止位置和桩号、预计恢复时间、已造成道路基础设施直接损失、已滞留和积压的车辆数量和排队长度、已采取的应急管理措施、绕行路线等。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涉及公路交通突发事件的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其他</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预警及相关信息包括：气象监测、预测、预警信息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山体崩塌、滑坡、泥石流、地面塌陷、地裂缝等地质灾害监测、预测信息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重大恶性交通事故影响信息。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333" w:name="_Toc30805"/>
      <w:bookmarkStart w:id="334" w:name="_Toc27566"/>
      <w:bookmarkStart w:id="335" w:name="_Toc16676"/>
      <w:bookmarkStart w:id="336" w:name="_Toc29486"/>
      <w:bookmarkStart w:id="337" w:name="_Toc531771752"/>
      <w:bookmarkStart w:id="338" w:name="_Toc50669989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3.2预警信息分级</w:t>
      </w:r>
      <w:bookmarkEnd w:id="333"/>
      <w:bookmarkEnd w:id="334"/>
      <w:bookmarkEnd w:id="335"/>
      <w:bookmarkEnd w:id="33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按照事故的紧急程度、发展势态和可能造成的危害程度</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分别</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从高到低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一级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（红色）、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二级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（橙色）、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三级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（黄色）、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四级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（蓝色）。</w:t>
      </w:r>
    </w:p>
    <w:tbl>
      <w:tblPr>
        <w:tblStyle w:val="24"/>
        <w:tblW w:w="8519" w:type="dxa"/>
        <w:tblInd w:w="0" w:type="dxa"/>
        <w:tblLayout w:type="fixed"/>
        <w:tblCellMar>
          <w:top w:w="0" w:type="dxa"/>
          <w:left w:w="108" w:type="dxa"/>
          <w:bottom w:w="0" w:type="dxa"/>
          <w:right w:w="108" w:type="dxa"/>
        </w:tblCellMar>
      </w:tblPr>
      <w:tblGrid>
        <w:gridCol w:w="840"/>
        <w:gridCol w:w="864"/>
        <w:gridCol w:w="779"/>
        <w:gridCol w:w="6036"/>
      </w:tblGrid>
      <w:tr>
        <w:tblPrEx>
          <w:tblCellMar>
            <w:top w:w="0" w:type="dxa"/>
            <w:left w:w="108" w:type="dxa"/>
            <w:bottom w:w="0" w:type="dxa"/>
            <w:right w:w="108" w:type="dxa"/>
          </w:tblCellMar>
        </w:tblPrEx>
        <w:trPr>
          <w:trHeight w:val="737" w:hRule="atLeast"/>
          <w:tblHeader/>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预警级别</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级别</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描述</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颜色标示</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发生可能性较大的</w:t>
            </w:r>
            <w:r>
              <w:rPr>
                <w:rFonts w:hint="eastAsia" w:ascii="仿宋_GB2312" w:hAnsi="仿宋_GB2312" w:eastAsia="仿宋_GB2312" w:cs="仿宋_GB2312"/>
                <w:b/>
                <w:bCs/>
                <w:color w:val="000000" w:themeColor="text1"/>
                <w:spacing w:val="0"/>
                <w:kern w:val="0"/>
                <w:sz w:val="21"/>
                <w:szCs w:val="21"/>
                <w:highlight w:val="none"/>
                <w:lang w:eastAsia="zh-CN" w:bidi="ar"/>
                <w14:textFill>
                  <w14:solidFill>
                    <w14:schemeClr w14:val="tx1"/>
                  </w14:solidFill>
                </w14:textFill>
              </w:rPr>
              <w:t>事故</w:t>
            </w: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情形</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一</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特别重大</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红色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因</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突发事件</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可能导致国家干线道路交通毁坏、中断、阻塞或者大量车辆积压、人员滞留，抢修、处置时间预计在24小时</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以上</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二</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橙色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因</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突发事件</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可能导致国家干线道路交通毁坏、中断、阻塞或者大量车辆积压、人员滞留，抢修、处置时间预计在12小时</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以上</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三</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较大</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黄色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因</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突发事件</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可能导致国家干线道路交通毁坏、中断、阻塞或者大量车辆积压、人员滞留，抢修、处置时间预计在6小时</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以上</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615"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四</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一般</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蓝色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Ⅳ级预警分级条件</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执行各</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县（区）人民政府</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的标准</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tc>
      </w:tr>
    </w:tbl>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339" w:name="_Toc13617"/>
      <w:bookmarkStart w:id="340" w:name="_Toc19224"/>
      <w:bookmarkStart w:id="341" w:name="_Toc25238"/>
      <w:bookmarkStart w:id="342" w:name="_Toc1109"/>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预警信息</w:t>
      </w:r>
      <w:bookmarkEnd w:id="337"/>
      <w:bookmarkEnd w:id="33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转发及预警行动</w:t>
      </w:r>
      <w:bookmarkEnd w:id="339"/>
      <w:bookmarkEnd w:id="340"/>
      <w:bookmarkEnd w:id="341"/>
      <w:bookmarkEnd w:id="34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收到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预警信息后，根据预警等级进行分级处置。</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收到</w:t>
      </w:r>
      <w:r>
        <w:rPr>
          <w:rFonts w:hint="eastAsia" w:ascii="仿宋_GB2312" w:hAnsi="仿宋_GB2312" w:eastAsia="仿宋_GB2312" w:cs="仿宋_GB2312"/>
          <w:color w:val="000000" w:themeColor="text1"/>
          <w:spacing w:val="0"/>
          <w:kern w:val="0"/>
          <w:sz w:val="32"/>
          <w:szCs w:val="32"/>
          <w:highlight w:val="none"/>
          <w:lang w:val="en-US" w:eastAsia="zh-CN" w:bidi="ar"/>
          <w14:textFill>
            <w14:solidFill>
              <w14:schemeClr w14:val="tx1"/>
            </w14:solidFill>
          </w14:textFill>
        </w:rPr>
        <w:t>一级（红色）、二级（橙色）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事故灾难类公路交通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按规定报告</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由综合协调组研判提出处置意见，经应急办核准，报厅主要负责人同意后实施；同时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将预警信息传达所涉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，督导相关单位做好</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防范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各应急工作组进入待命状态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责令有关单位加强对重要交通基础设施采取紧急防护措施，检查抢险救灾的准备工作，及时收集道路交通运输事故进展及救援处置情况。</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收到</w:t>
      </w:r>
      <w:r>
        <w:rPr>
          <w:rFonts w:hint="eastAsia" w:ascii="仿宋_GB2312" w:hAnsi="仿宋_GB2312" w:eastAsia="仿宋_GB2312" w:cs="仿宋_GB2312"/>
          <w:color w:val="000000" w:themeColor="text1"/>
          <w:spacing w:val="0"/>
          <w:kern w:val="0"/>
          <w:sz w:val="32"/>
          <w:szCs w:val="32"/>
          <w:highlight w:val="none"/>
          <w:lang w:val="en-US" w:eastAsia="zh-CN" w:bidi="ar"/>
          <w14:textFill>
            <w14:solidFill>
              <w14:schemeClr w14:val="tx1"/>
            </w14:solidFill>
          </w14:textFill>
        </w:rPr>
        <w:t>三级（黄色）、四级（蓝色）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事故灾难类公路交通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由综合协调组研判提出处置意见，经应急办核准，报厅分管领导批准后实施；同时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将预警信息传达所涉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督导相关单位做好</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防范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（3）收到自然灾害类公路交通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预警信息或根据有关部门发布的预警信息，且对公路交通可能造成重大损失和影响，以及上述灾害已经达到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三级（黄色）</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预警标准但可能持续发展或影响其他地区的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视情况向可能受到影响的地区的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相关单位及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应急协作部门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转发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信息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交通主管部门及相关单位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采取防御响应措施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详见下表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。事发地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交通主管部门配合有关部门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开展道路交通管制和秩序维护、应急救援力量的调配；公路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管理中心及公路经营管理单位做好各项应急准备，</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负责通过广播、公告板、可变情报板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等方式</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社会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通报路况情况</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收集汇总交通管制信息和交通事故信息。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在预警过程中如发现风险</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扩大趋势，预警响应可转入应急响应，按照应急响应程序处置。</w:t>
      </w:r>
    </w:p>
    <w:tbl>
      <w:tblPr>
        <w:tblStyle w:val="24"/>
        <w:tblW w:w="9811" w:type="dxa"/>
        <w:tblInd w:w="-378" w:type="dxa"/>
        <w:tblLayout w:type="fixed"/>
        <w:tblCellMar>
          <w:top w:w="0" w:type="dxa"/>
          <w:left w:w="108" w:type="dxa"/>
          <w:bottom w:w="0" w:type="dxa"/>
          <w:right w:w="108" w:type="dxa"/>
        </w:tblCellMar>
      </w:tblPr>
      <w:tblGrid>
        <w:gridCol w:w="721"/>
        <w:gridCol w:w="803"/>
        <w:gridCol w:w="1220"/>
        <w:gridCol w:w="6299"/>
        <w:gridCol w:w="768"/>
      </w:tblGrid>
      <w:tr>
        <w:tblPrEx>
          <w:tblCellMar>
            <w:top w:w="0" w:type="dxa"/>
            <w:left w:w="108" w:type="dxa"/>
            <w:bottom w:w="0" w:type="dxa"/>
            <w:right w:w="108" w:type="dxa"/>
          </w:tblCellMar>
        </w:tblPrEx>
        <w:trPr>
          <w:trHeight w:val="402" w:hRule="atLeast"/>
          <w:tblHeader/>
        </w:trPr>
        <w:tc>
          <w:tcPr>
            <w:tcW w:w="7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序号</w:t>
            </w:r>
          </w:p>
        </w:tc>
        <w:tc>
          <w:tcPr>
            <w:tcW w:w="202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自然灾害</w:t>
            </w:r>
          </w:p>
        </w:tc>
        <w:tc>
          <w:tcPr>
            <w:tcW w:w="6299"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响应措施</w:t>
            </w:r>
          </w:p>
        </w:tc>
        <w:tc>
          <w:tcPr>
            <w:tcW w:w="7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备注</w:t>
            </w:r>
          </w:p>
        </w:tc>
      </w:tr>
      <w:tr>
        <w:tblPrEx>
          <w:tblCellMar>
            <w:top w:w="0" w:type="dxa"/>
            <w:left w:w="108" w:type="dxa"/>
            <w:bottom w:w="0" w:type="dxa"/>
            <w:right w:w="108" w:type="dxa"/>
          </w:tblCellMar>
        </w:tblPrEx>
        <w:trPr>
          <w:trHeight w:val="307" w:hRule="atLeast"/>
        </w:trPr>
        <w:tc>
          <w:tcPr>
            <w:tcW w:w="7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w:t>
            </w:r>
          </w:p>
        </w:tc>
        <w:tc>
          <w:tcPr>
            <w:tcW w:w="8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大雾</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沙尘暴</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天气</w:t>
            </w:r>
          </w:p>
        </w:tc>
        <w:tc>
          <w:tcPr>
            <w:tcW w:w="1220"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当24小时内有大雾或局部地区昼夜温差大于10度、湿度90%以上、风力</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大于</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5级天气时</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接到大风沙尘预警时</w:t>
            </w:r>
          </w:p>
        </w:tc>
        <w:tc>
          <w:tcPr>
            <w:tcW w:w="62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通知本辖区有关施工单位停止道路施工，撤除施工现场，恢复通行；对不能撤除的施工现场，必须在现场设置自发光的警示、诱导标志，有条件的应设置临时路面照明</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通过交通广播、可变情况板或</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公告板</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等方式告知大雾天气</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大风沙尘影响区域和注意事项</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加大路面巡逻</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频次</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，实时掌握辖区天气和道路能见度情况，并</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及</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时报告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配合公安部门采取以下措施：</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①路面能见度在100米以上200米以下时，桥梁、高速公路等管制路段临时限速80公里/小时。</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②路面能见度在50米以上100米以下时，桥梁、高速公路禁止危险品车辆、重载大型货车、“三超”车辆驶入。</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③路面能见度小于50米时，桥梁、高速公路禁止危险品车辆、“三超”车辆、大型客货车辆和尾灯不亮的小型车辆驶入，高速公路上运行的机动车从高速出口驶离高速公路时，临时封闭收费站入口。</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④</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路面能见度在不足30米时，全线封闭桥梁、高速公路，提示已在路段内行驶的车辆就近驶离封闭道路。</w:t>
            </w:r>
          </w:p>
          <w:p>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instrText xml:space="preserve"> = 5 \* GB3 \* MERGEFORMAT </w:instrTex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⑤</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在影响能见度的恶劣天气下，对允许在道路通行的车辆，采取限速措施，提示司机开启雾灯、示廓灯、前后位灯。必要时在桥隧、高速公路可采用编队通行方式，由警车、</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交通运输综合执法部门</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带队，通行过程中保持低速匀速行驶，严禁超车、严禁变道、骑道行驶，并时刻注意保持车队与车队之间的安全间距。</w:t>
            </w:r>
          </w:p>
        </w:tc>
        <w:tc>
          <w:tcPr>
            <w:tcW w:w="768" w:type="dxa"/>
            <w:tcBorders>
              <w:top w:val="single" w:color="000000" w:sz="4" w:space="0"/>
              <w:left w:val="single" w:color="auto"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936" w:hRule="atLeast"/>
        </w:trPr>
        <w:tc>
          <w:tcPr>
            <w:tcW w:w="7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2</w:t>
            </w:r>
          </w:p>
        </w:tc>
        <w:tc>
          <w:tcPr>
            <w:tcW w:w="8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洪水灾害</w:t>
            </w:r>
          </w:p>
        </w:tc>
        <w:tc>
          <w:tcPr>
            <w:tcW w:w="1220"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接到强降雨、山洪灾害预警时</w:t>
            </w:r>
          </w:p>
        </w:tc>
        <w:tc>
          <w:tcPr>
            <w:tcW w:w="62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所有道路施工一律停止，恢复通行。不能撤离的施工现场要有牢固的安全警示标志</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通过交通广播、可变情况板或</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公告板</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等方式告知强降雨、山洪灾害影响区域和注意事项</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tc>
        <w:tc>
          <w:tcPr>
            <w:tcW w:w="768"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227" w:hRule="atLeast"/>
        </w:trPr>
        <w:tc>
          <w:tcPr>
            <w:tcW w:w="7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w:t>
            </w:r>
          </w:p>
        </w:tc>
        <w:tc>
          <w:tcPr>
            <w:tcW w:w="80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冰雪冰冻灾害</w:t>
            </w:r>
          </w:p>
        </w:tc>
        <w:tc>
          <w:tcPr>
            <w:tcW w:w="12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每年雨雪冰冻灾害时期</w:t>
            </w:r>
          </w:p>
        </w:tc>
        <w:tc>
          <w:tcPr>
            <w:tcW w:w="6299"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配备一定数量的具有越野防滑性能的管理用车</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tc>
        <w:tc>
          <w:tcPr>
            <w:tcW w:w="7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314" w:hRule="atLeast"/>
        </w:trPr>
        <w:tc>
          <w:tcPr>
            <w:tcW w:w="7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c>
          <w:tcPr>
            <w:tcW w:w="80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接到冰雪</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冰冻</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灾害预警时</w:t>
            </w:r>
          </w:p>
        </w:tc>
        <w:tc>
          <w:tcPr>
            <w:tcW w:w="6299" w:type="dxa"/>
            <w:tcBorders>
              <w:top w:val="single" w:color="auto" w:sz="4" w:space="0"/>
              <w:left w:val="single" w:color="auto" w:sz="4" w:space="0"/>
              <w:right w:val="single" w:color="auto" w:sz="4" w:space="0"/>
            </w:tcBorders>
            <w:vAlign w:val="center"/>
          </w:tcPr>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所有道路施工一律停止，恢复通行。不能撤离的施工现场要有牢固的安全警示标志</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通过交通广播、可变情况板或</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公告板</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等方式告知冰雪</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冰冻</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灾害影响区域和注意事项</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tc>
        <w:tc>
          <w:tcPr>
            <w:tcW w:w="768"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227" w:hRule="atLeast"/>
        </w:trPr>
        <w:tc>
          <w:tcPr>
            <w:tcW w:w="7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4</w:t>
            </w:r>
          </w:p>
        </w:tc>
        <w:tc>
          <w:tcPr>
            <w:tcW w:w="8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地震灾害</w:t>
            </w:r>
          </w:p>
        </w:tc>
        <w:tc>
          <w:tcPr>
            <w:tcW w:w="12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接到地震灾害预警时</w:t>
            </w:r>
          </w:p>
        </w:tc>
        <w:tc>
          <w:tcPr>
            <w:tcW w:w="6299"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3"/>
              </w:numPr>
              <w:suppressLineNumbers w:val="0"/>
              <w:kinsoku/>
              <w:wordWrap/>
              <w:overflowPunct/>
              <w:topLinePunct/>
              <w:autoSpaceDE/>
              <w:autoSpaceDN/>
              <w:bidi w:val="0"/>
              <w:adjustRightInd/>
              <w:snapToGrid/>
              <w:spacing w:before="0" w:beforeAutospacing="0" w:after="0" w:afterAutospacing="0" w:line="240" w:lineRule="auto"/>
              <w:ind w:left="0" w:leftChars="0" w:right="0" w:firstLine="420" w:firstLineChars="200"/>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根据灾害需要，通过交通广播、可变情况板或</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公告板</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等方式告知地震灾害影响区域和注意事项</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tc>
        <w:tc>
          <w:tcPr>
            <w:tcW w:w="7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p>
        </w:tc>
      </w:tr>
    </w:tbl>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343" w:name="_Toc28984"/>
      <w:bookmarkStart w:id="344" w:name="_Toc11658"/>
      <w:bookmarkStart w:id="345" w:name="_Toc4997"/>
      <w:bookmarkStart w:id="346" w:name="_Toc25397"/>
      <w:bookmarkStart w:id="347" w:name="_Toc2288"/>
      <w:bookmarkStart w:id="348" w:name="_Toc531771753"/>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预警调整与终止</w:t>
      </w:r>
      <w:bookmarkEnd w:id="343"/>
      <w:bookmarkEnd w:id="344"/>
      <w:bookmarkEnd w:id="345"/>
      <w:bookmarkEnd w:id="346"/>
      <w:bookmarkEnd w:id="347"/>
    </w:p>
    <w:p>
      <w:pPr>
        <w:keepNext w:val="0"/>
        <w:keepLines w:val="0"/>
        <w:pageBreakBefore w:val="0"/>
        <w:widowControl w:val="0"/>
        <w:kinsoku/>
        <w:wordWrap/>
        <w:overflowPunct w:val="0"/>
        <w:topLinePunct/>
        <w:autoSpaceDE/>
        <w:autoSpaceDN/>
        <w:bidi w:val="0"/>
        <w:adjustRightInd/>
        <w:snapToGrid/>
        <w:spacing w:before="0" w:after="0" w:line="600" w:lineRule="exact"/>
        <w:ind w:firstLine="640" w:firstLineChars="200"/>
        <w:textAlignment w:val="auto"/>
        <w:outlineLvl w:val="9"/>
        <w:rPr>
          <w:rFonts w:hint="eastAsia" w:ascii="仿宋_GB2312" w:eastAsia="仿宋_GB2312"/>
          <w:b w:val="0"/>
          <w:bCs w:val="0"/>
          <w:color w:val="000000" w:themeColor="text1"/>
          <w:spacing w:val="0"/>
          <w:sz w:val="32"/>
          <w:szCs w:val="32"/>
          <w:highlight w:val="none"/>
          <w14:textFill>
            <w14:solidFill>
              <w14:schemeClr w14:val="tx1"/>
            </w14:solidFill>
          </w14:textFill>
        </w:rPr>
      </w:pPr>
      <w:r>
        <w:rPr>
          <w:rFonts w:hint="eastAsia" w:ascii="仿宋_GB2312" w:eastAsia="仿宋_GB2312"/>
          <w:b w:val="0"/>
          <w:bCs w:val="0"/>
          <w:color w:val="000000" w:themeColor="text1"/>
          <w:spacing w:val="0"/>
          <w:sz w:val="32"/>
          <w:szCs w:val="32"/>
          <w:highlight w:val="none"/>
          <w14:textFill>
            <w14:solidFill>
              <w14:schemeClr w14:val="tx1"/>
            </w14:solidFill>
          </w14:textFill>
        </w:rPr>
        <w:t>根据预警信息变化和</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公路交通</w:t>
      </w:r>
      <w:r>
        <w:rPr>
          <w:rFonts w:hint="eastAsia" w:ascii="仿宋_GB2312" w:eastAsia="仿宋_GB2312"/>
          <w:b w:val="0"/>
          <w:bCs w:val="0"/>
          <w:color w:val="000000" w:themeColor="text1"/>
          <w:spacing w:val="0"/>
          <w:sz w:val="32"/>
          <w:szCs w:val="32"/>
          <w:highlight w:val="none"/>
          <w14:textFill>
            <w14:solidFill>
              <w14:schemeClr w14:val="tx1"/>
            </w14:solidFill>
          </w14:textFill>
        </w:rPr>
        <w:t>受影响情况，</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由综合协调组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研判提出</w:t>
      </w:r>
      <w:r>
        <w:rPr>
          <w:rFonts w:hint="eastAsia" w:ascii="仿宋_GB2312" w:eastAsia="仿宋_GB2312"/>
          <w:b w:val="0"/>
          <w:bCs w:val="0"/>
          <w:color w:val="000000" w:themeColor="text1"/>
          <w:spacing w:val="0"/>
          <w:sz w:val="32"/>
          <w:szCs w:val="32"/>
          <w:highlight w:val="none"/>
          <w14:textFill>
            <w14:solidFill>
              <w14:schemeClr w14:val="tx1"/>
            </w14:solidFill>
          </w14:textFill>
        </w:rPr>
        <w:t>调整、终止</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预警响应的建议，经厅应急办核准，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批准后实施</w:t>
      </w:r>
      <w:r>
        <w:rPr>
          <w:rFonts w:hint="eastAsia" w:ascii="仿宋_GB2312" w:eastAsia="仿宋_GB2312"/>
          <w:b w:val="0"/>
          <w:bCs w:val="0"/>
          <w:color w:val="000000" w:themeColor="text1"/>
          <w:spacing w:val="0"/>
          <w:sz w:val="32"/>
          <w:szCs w:val="32"/>
          <w:highlight w:val="none"/>
          <w14:textFill>
            <w14:solidFill>
              <w14:schemeClr w14:val="tx1"/>
            </w14:solidFill>
          </w14:textFill>
        </w:rPr>
        <w:t>。当相关预警解除，且</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公路交通</w:t>
      </w:r>
      <w:r>
        <w:rPr>
          <w:rFonts w:hint="eastAsia" w:ascii="仿宋_GB2312" w:eastAsia="仿宋_GB2312"/>
          <w:b w:val="0"/>
          <w:bCs w:val="0"/>
          <w:color w:val="000000" w:themeColor="text1"/>
          <w:spacing w:val="0"/>
          <w:sz w:val="32"/>
          <w:szCs w:val="32"/>
          <w:highlight w:val="none"/>
          <w14:textFill>
            <w14:solidFill>
              <w14:schemeClr w14:val="tx1"/>
            </w14:solidFill>
          </w14:textFill>
        </w:rPr>
        <w:t>受影响趋于消除时，</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b w:val="0"/>
          <w:bCs w:val="0"/>
          <w:color w:val="000000" w:themeColor="text1"/>
          <w:spacing w:val="0"/>
          <w:sz w:val="32"/>
          <w:szCs w:val="32"/>
          <w:highlight w:val="none"/>
          <w14:textFill>
            <w14:solidFill>
              <w14:schemeClr w14:val="tx1"/>
            </w14:solidFill>
          </w14:textFill>
        </w:rPr>
        <w:t>响应可自动终止。</w:t>
      </w:r>
    </w:p>
    <w:bookmarkEnd w:id="348"/>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ascii="黑体" w:hAnsi="黑体" w:eastAsia="黑体"/>
          <w:b/>
          <w:bCs/>
          <w:color w:val="000000" w:themeColor="text1"/>
          <w:spacing w:val="0"/>
          <w:sz w:val="32"/>
          <w:szCs w:val="32"/>
          <w:highlight w:val="none"/>
          <w14:textFill>
            <w14:solidFill>
              <w14:schemeClr w14:val="tx1"/>
            </w14:solidFill>
          </w14:textFill>
        </w:rPr>
      </w:pPr>
      <w:bookmarkStart w:id="349" w:name="_Toc9330"/>
      <w:bookmarkStart w:id="350" w:name="_Toc520"/>
      <w:bookmarkStart w:id="351" w:name="_Toc9006"/>
      <w:bookmarkStart w:id="352" w:name="_Toc531771756"/>
      <w:bookmarkStart w:id="353" w:name="_Toc506699904"/>
      <w:bookmarkStart w:id="354" w:name="_Toc16849"/>
      <w:bookmarkStart w:id="355" w:name="_Toc15315"/>
      <w:bookmarkStart w:id="356" w:name="_Toc27007"/>
      <w:bookmarkStart w:id="357" w:name="_Toc918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w:t>
      </w:r>
      <w:r>
        <w:rPr>
          <w:rFonts w:hint="eastAsia" w:ascii="黑体" w:hAnsi="黑体" w:eastAsia="黑体"/>
          <w:b/>
          <w:bCs/>
          <w:color w:val="000000" w:themeColor="text1"/>
          <w:spacing w:val="0"/>
          <w:sz w:val="32"/>
          <w:szCs w:val="32"/>
          <w:highlight w:val="none"/>
          <w14:textFill>
            <w14:solidFill>
              <w14:schemeClr w14:val="tx1"/>
            </w14:solidFill>
          </w14:textFill>
        </w:rPr>
        <w:t>应急处置</w:t>
      </w:r>
      <w:bookmarkEnd w:id="349"/>
      <w:bookmarkEnd w:id="350"/>
      <w:bookmarkEnd w:id="351"/>
      <w:bookmarkEnd w:id="352"/>
      <w:bookmarkEnd w:id="353"/>
      <w:bookmarkEnd w:id="354"/>
      <w:bookmarkEnd w:id="355"/>
      <w:bookmarkEnd w:id="356"/>
      <w:bookmarkEnd w:id="357"/>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pPr>
      <w:bookmarkStart w:id="358" w:name="_Toc506699909"/>
      <w:bookmarkStart w:id="359" w:name="_Toc17819"/>
      <w:bookmarkStart w:id="360" w:name="_Toc16602"/>
      <w:bookmarkStart w:id="361" w:name="_Toc28090"/>
      <w:bookmarkStart w:id="362" w:name="_Toc531771763"/>
      <w:bookmarkStart w:id="363" w:name="_Toc488"/>
      <w:bookmarkStart w:id="364" w:name="_Toc531771757"/>
      <w:bookmarkStart w:id="365" w:name="_Toc18813"/>
      <w:bookmarkStart w:id="366" w:name="_Toc50669990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4.1</w:t>
      </w:r>
      <w:r>
        <w:rPr>
          <w:rFonts w:hint="eastAsia" w:ascii="楷体_GB2312" w:hAnsi="仿宋" w:eastAsia="楷体_GB2312" w:cs="Times New Roman"/>
          <w:b/>
          <w:bCs/>
          <w:color w:val="000000" w:themeColor="text1"/>
          <w:spacing w:val="0"/>
          <w:highlight w:val="none"/>
          <w14:textFill>
            <w14:solidFill>
              <w14:schemeClr w14:val="tx1"/>
            </w14:solidFill>
          </w14:textFill>
        </w:rPr>
        <w:t>信息报告</w:t>
      </w:r>
      <w:bookmarkEnd w:id="358"/>
      <w:bookmarkEnd w:id="359"/>
      <w:bookmarkEnd w:id="360"/>
      <w:bookmarkEnd w:id="361"/>
      <w:bookmarkEnd w:id="362"/>
      <w:bookmarkEnd w:id="363"/>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367" w:name="_Toc31435"/>
      <w:bookmarkStart w:id="368" w:name="_Toc3458"/>
      <w:bookmarkStart w:id="369" w:name="_Toc8868"/>
      <w:bookmarkStart w:id="370" w:name="_Toc22293"/>
      <w:bookmarkStart w:id="371" w:name="_Toc11095"/>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w:t>
      </w:r>
      <w:bookmarkEnd w:id="367"/>
      <w:bookmarkEnd w:id="36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报告范围</w:t>
      </w:r>
      <w:bookmarkEnd w:id="369"/>
      <w:bookmarkEnd w:id="370"/>
      <w:bookmarkEnd w:id="37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事发地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交通主管部门、厅属相关单位、公路管理经营单位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需要重点</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的信息：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现场位置、事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性质、事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发生原因、时间、影响范围及发展态势，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事故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（2）事</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造成的破坏、人员伤亡等情况。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（3）是否有危险品、是否可能发生起火爆炸、泄漏等潜在危险及已采取的措施。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（4）到达现场进行处置的单位、人员及组织情况；已经采取的措施、效果，已发出的援助要求和已开展救援活动的时间、设备、联系人等。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 xml:space="preserve">（5）现场环境情况及近期动态预报。 </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 xml:space="preserve">（6）事故发生地交通流量和道路通畅情况。 </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372" w:name="_Toc25876"/>
      <w:bookmarkStart w:id="373" w:name="_Toc15304"/>
      <w:bookmarkStart w:id="374" w:name="_Toc2114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w:t>
      </w:r>
      <w:bookmarkEnd w:id="372"/>
      <w:bookmarkEnd w:id="373"/>
      <w:bookmarkEnd w:id="374"/>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上报</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bookmarkStart w:id="375" w:name="_Hlk80718616"/>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各级交通部门和单位要</w:t>
      </w:r>
      <w:r>
        <w:rPr>
          <w:rFonts w:hint="eastAsia" w:ascii="仿宋_GB2312" w:hAnsi="仿宋" w:eastAsia="仿宋_GB2312"/>
          <w:color w:val="000000" w:themeColor="text1"/>
          <w:spacing w:val="0"/>
          <w:sz w:val="32"/>
          <w:szCs w:val="32"/>
          <w:highlight w:val="none"/>
          <w14:textFill>
            <w14:solidFill>
              <w14:schemeClr w14:val="tx1"/>
            </w14:solidFill>
          </w14:textFill>
        </w:rPr>
        <w:t>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w:t>
      </w:r>
      <w:r>
        <w:rPr>
          <w:rFonts w:hint="eastAsia" w:ascii="仿宋_GB2312" w:hAnsi="仿宋" w:eastAsia="仿宋_GB2312"/>
          <w:color w:val="000000" w:themeColor="text1"/>
          <w:spacing w:val="0"/>
          <w:sz w:val="32"/>
          <w:szCs w:val="32"/>
          <w:highlight w:val="none"/>
          <w14:textFill>
            <w14:solidFill>
              <w14:schemeClr w14:val="tx1"/>
            </w14:solidFill>
          </w14:textFill>
        </w:rPr>
        <w:t>规定</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及时</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上报</w:t>
      </w:r>
      <w:r>
        <w:rPr>
          <w:rFonts w:hint="eastAsia" w:ascii="仿宋_GB2312" w:hAnsi="仿宋" w:eastAsia="仿宋_GB2312"/>
          <w:color w:val="000000" w:themeColor="text1"/>
          <w:spacing w:val="0"/>
          <w:sz w:val="32"/>
          <w:szCs w:val="32"/>
          <w:highlight w:val="none"/>
          <w14:textFill>
            <w14:solidFill>
              <w14:schemeClr w14:val="tx1"/>
            </w14:solidFill>
          </w14:textFill>
        </w:rPr>
        <w:t>公路交通</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 w:eastAsia="仿宋_GB2312"/>
          <w:color w:val="000000" w:themeColor="text1"/>
          <w:spacing w:val="0"/>
          <w:sz w:val="32"/>
          <w:szCs w:val="32"/>
          <w:highlight w:val="none"/>
          <w14:textFill>
            <w14:solidFill>
              <w14:schemeClr w14:val="tx1"/>
            </w14:solidFill>
          </w14:textFill>
        </w:rPr>
        <w:t>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收到</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公路交通突发事件信息</w:t>
      </w:r>
      <w:r>
        <w:rPr>
          <w:rFonts w:hint="eastAsia" w:ascii="仿宋_GB2312" w:eastAsia="仿宋_GB2312"/>
          <w:color w:val="000000" w:themeColor="text1"/>
          <w:spacing w:val="0"/>
          <w:sz w:val="32"/>
          <w:szCs w:val="32"/>
          <w:highlight w:val="none"/>
          <w14:textFill>
            <w14:solidFill>
              <w14:schemeClr w14:val="tx1"/>
            </w14:solidFill>
          </w14:textFill>
        </w:rPr>
        <w:t>后，按照有关规定</w:t>
      </w:r>
      <w:bookmarkEnd w:id="375"/>
      <w:r>
        <w:rPr>
          <w:rFonts w:hint="eastAsia" w:ascii="仿宋_GB2312" w:eastAsia="仿宋_GB2312"/>
          <w:color w:val="000000" w:themeColor="text1"/>
          <w:spacing w:val="0"/>
          <w:sz w:val="32"/>
          <w:szCs w:val="32"/>
          <w:highlight w:val="none"/>
          <w:lang w:val="en-US" w:eastAsia="zh-CN"/>
          <w14:textFill>
            <w14:solidFill>
              <w14:schemeClr w14:val="tx1"/>
            </w14:solidFill>
          </w14:textFill>
        </w:rPr>
        <w:t>要求报送信息。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376" w:name="_Toc16870"/>
      <w:bookmarkStart w:id="377" w:name="_Toc3144"/>
      <w:bookmarkStart w:id="378" w:name="_Toc17500"/>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分级响应</w:t>
      </w:r>
      <w:bookmarkEnd w:id="364"/>
      <w:bookmarkEnd w:id="365"/>
      <w:bookmarkEnd w:id="366"/>
      <w:bookmarkEnd w:id="376"/>
      <w:bookmarkEnd w:id="377"/>
      <w:bookmarkEnd w:id="37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公路交通突发事件应急响应分为Ⅰ</w:t>
      </w:r>
      <w:r>
        <w:rPr>
          <w:rFonts w:ascii="仿宋_GB2312" w:hAnsi="仿宋" w:eastAsia="仿宋_GB2312"/>
          <w:color w:val="000000" w:themeColor="text1"/>
          <w:spacing w:val="0"/>
          <w:sz w:val="32"/>
          <w:szCs w:val="32"/>
          <w:highlight w:val="none"/>
          <w14:textFill>
            <w14:solidFill>
              <w14:schemeClr w14:val="tx1"/>
            </w14:solidFill>
          </w14:textFill>
        </w:rPr>
        <w:t>级</w:t>
      </w:r>
      <w:r>
        <w:rPr>
          <w:rFonts w:hint="eastAsia" w:ascii="仿宋_GB2312" w:hAnsi="仿宋" w:eastAsia="仿宋_GB2312"/>
          <w:color w:val="000000" w:themeColor="text1"/>
          <w:spacing w:val="0"/>
          <w:sz w:val="32"/>
          <w:szCs w:val="32"/>
          <w:highlight w:val="none"/>
          <w14:textFill>
            <w14:solidFill>
              <w14:schemeClr w14:val="tx1"/>
            </w14:solidFill>
          </w14:textFill>
        </w:rPr>
        <w:t>、Ⅱ级、Ⅲ级和Ⅳ级</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和本预案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事件分级相匹配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当接到交通运输部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应急响应信息后，</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或</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特别重大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重大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时</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发生较大、一般</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公路交通突发事件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，超出事发地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应对能力，经</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交通运输主管部门提出，或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认为必要时启动</w:t>
      </w:r>
      <w:r>
        <w:rPr>
          <w:rFonts w:hint="eastAsia" w:ascii="仿宋_GB2312" w:eastAsia="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379" w:name="_Toc531771758"/>
      <w:bookmarkStart w:id="380" w:name="_Toc506699906"/>
      <w:bookmarkStart w:id="381" w:name="_Toc3321"/>
      <w:bookmarkStart w:id="382" w:name="_Toc18256"/>
      <w:bookmarkStart w:id="383" w:name="_Toc11342"/>
      <w:bookmarkStart w:id="384" w:name="_Toc12320"/>
      <w:r>
        <w:rPr>
          <w:rFonts w:hint="eastAsia" w:ascii="楷体_GB2312" w:hAnsi="仿宋" w:eastAsia="楷体_GB2312" w:cs="Times New Roman"/>
          <w:b/>
          <w:bCs/>
          <w:color w:val="000000" w:themeColor="text1"/>
          <w:spacing w:val="0"/>
          <w:highlight w:val="none"/>
          <w14:textFill>
            <w14:solidFill>
              <w14:schemeClr w14:val="tx1"/>
            </w14:solidFill>
          </w14:textFill>
        </w:rPr>
        <w:t>4.</w:t>
      </w:r>
      <w:bookmarkEnd w:id="379"/>
      <w:bookmarkEnd w:id="380"/>
      <w:bookmarkStart w:id="385" w:name="_Toc506699907"/>
      <w:bookmarkStart w:id="386" w:name="_Toc53177175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3应急</w:t>
      </w:r>
      <w:r>
        <w:rPr>
          <w:rFonts w:hint="eastAsia" w:ascii="楷体_GB2312" w:hAnsi="仿宋" w:eastAsia="楷体_GB2312" w:cs="Times New Roman"/>
          <w:b/>
          <w:bCs/>
          <w:color w:val="000000" w:themeColor="text1"/>
          <w:spacing w:val="0"/>
          <w:highlight w:val="none"/>
          <w14:textFill>
            <w14:solidFill>
              <w14:schemeClr w14:val="tx1"/>
            </w14:solidFill>
          </w14:textFill>
        </w:rPr>
        <w:t>响应</w:t>
      </w:r>
      <w:bookmarkEnd w:id="381"/>
      <w:bookmarkEnd w:id="382"/>
      <w:bookmarkEnd w:id="383"/>
      <w:bookmarkEnd w:id="385"/>
      <w:bookmarkEnd w:id="38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及措施</w:t>
      </w:r>
      <w:bookmarkEnd w:id="384"/>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由综合协调组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根据事件影响范围和处置难易程度分析研判，提出启动应急响应建议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，经厅应急办核准，报厅工作指挥机构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应急响应的，由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w:t>
      </w:r>
      <w:r>
        <w:rPr>
          <w:rFonts w:hint="eastAsia" w:eastAsia="仿宋_GB2312"/>
          <w:color w:val="000000" w:themeColor="text1"/>
          <w:spacing w:val="0"/>
          <w:sz w:val="32"/>
          <w:szCs w:val="32"/>
          <w:highlight w:val="none"/>
          <w14:textFill>
            <w14:solidFill>
              <w14:schemeClr w14:val="tx1"/>
            </w14:solidFill>
          </w14:textFill>
        </w:rPr>
        <w:t>，</w:t>
      </w:r>
      <w:r>
        <w:rPr>
          <w:rFonts w:eastAsia="仿宋_GB2312"/>
          <w:color w:val="000000" w:themeColor="text1"/>
          <w:spacing w:val="0"/>
          <w:sz w:val="32"/>
          <w:szCs w:val="32"/>
          <w:highlight w:val="none"/>
          <w14:textFill>
            <w14:solidFill>
              <w14:schemeClr w14:val="tx1"/>
            </w14:solidFill>
          </w14:textFill>
        </w:rPr>
        <w:t>成立现场工作组，赶赴现场</w:t>
      </w:r>
      <w:r>
        <w:rPr>
          <w:rFonts w:hint="eastAsia" w:eastAsia="仿宋_GB2312"/>
          <w:color w:val="000000" w:themeColor="text1"/>
          <w:spacing w:val="0"/>
          <w:sz w:val="32"/>
          <w:szCs w:val="32"/>
          <w:highlight w:val="none"/>
          <w14:textFill>
            <w14:solidFill>
              <w14:schemeClr w14:val="tx1"/>
            </w14:solidFill>
          </w14:textFill>
        </w:rPr>
        <w:t>，</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事发地交通运输主管部门</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应急处置</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将启动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应急响应有关信息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和应急处置</w:t>
      </w:r>
      <w:r>
        <w:rPr>
          <w:rFonts w:hint="eastAsia" w:eastAsia="仿宋_GB2312"/>
          <w:color w:val="000000" w:themeColor="text1"/>
          <w:spacing w:val="0"/>
          <w:sz w:val="32"/>
          <w:szCs w:val="32"/>
          <w:highlight w:val="none"/>
          <w14:textFill>
            <w14:solidFill>
              <w14:schemeClr w14:val="tx1"/>
            </w14:solidFill>
          </w14:textFill>
        </w:rPr>
        <w:t>遇到的重大情况</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按规定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报上级单位和自治区相关部门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地区的政府部门通报情况</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 w:eastAsia="仿宋_GB2312"/>
          <w:color w:val="000000" w:themeColor="text1"/>
          <w:spacing w:val="0"/>
          <w:sz w:val="32"/>
          <w:szCs w:val="32"/>
          <w:highlight w:val="none"/>
          <w14:textFill>
            <w14:solidFill>
              <w14:schemeClr w14:val="tx1"/>
            </w14:solidFill>
          </w14:textFill>
        </w:rPr>
        <w:t>社会公布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。主要采取以下</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响应行动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参加自治区应急指挥部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会商，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落实</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公路交通应急处置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要求；</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综合协调组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与</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现场工作组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保持联系，收集整理突发事件的信息，及时</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报送</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有关信息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②派出现场工作组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专家赶赴现场参加、指导现场应急救援，协调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交通领域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专业应急力量增援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配合公安部门实施交通管制，配合制定交通绕行方案；</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instrText xml:space="preserve"> = 4 \* GB3 \* MERGEFORMAT </w:instrTex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配合有关部门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进行现场调查、专家咨询，根据突发事件性质、涉及范围、受影响人员分布、应急人力与物力等情况，制定科学的现场应急处置方案，并根据事件发展趋势，对方案进行调整优化</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instrText xml:space="preserve"> = 5 \* GB3 \* MERGEFORMAT </w:instrTex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组织、协调</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相关专业技术力量，负责抢通中断的道路，清除影响道路畅通的障碍物</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发生桥梁、隧道主体结构失稳时，在采取临时处置措施后，及时撤出现场人员</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安全评估后，再进行抢险救援；</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instrText xml:space="preserve"> = 6 \* GB3 \* MERGEFORMAT </w:instrTex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组织、协调、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组织运力保障应急救援人员、乘客转运和重点物资运输</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保障等</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当地交通运输部门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力量不足时，组织</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其他地区的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力量支援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由指挥长宣布启动并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指导、协调应急处置工作，主要采取以下</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响应行动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①根据需要参与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属地应急机构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会商，及时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督促、指导属地交通部门等单位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落实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召集各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组视情研判，遇到重要情况及时召集会商研判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③视情派出现场工作组或专家组给予指导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④密切跟踪事态进展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⑤协助地方开展应急处置工作。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387" w:name="_Toc1788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4.4跨区域支援</w:t>
      </w:r>
      <w:bookmarkEnd w:id="38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在交通运输部协调下，建立省际应急资源互助机制，合理利用各省级应急物资储备和应急处置力量，以就近原则，统筹协调各地区应急力量支援行动。对于跨省应急力量的使用，各受援地方应当给予征用补偿。</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388" w:name="_Toc4355"/>
      <w:bookmarkStart w:id="389" w:name="_Toc12429"/>
      <w:bookmarkStart w:id="390" w:name="_Toc506700084"/>
      <w:bookmarkStart w:id="391" w:name="_Toc4659"/>
      <w:bookmarkStart w:id="392" w:name="_Toc10962"/>
      <w:bookmarkStart w:id="393" w:name="_Toc531781928"/>
      <w:bookmarkStart w:id="394" w:name="_Toc9347"/>
      <w:bookmarkStart w:id="395" w:name="_Toc506699910"/>
      <w:bookmarkStart w:id="396" w:name="_Toc531771764"/>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highlight w:val="none"/>
          <w14:textFill>
            <w14:solidFill>
              <w14:schemeClr w14:val="tx1"/>
            </w14:solidFill>
          </w14:textFill>
        </w:rPr>
        <w:t>信息发布</w:t>
      </w:r>
      <w:bookmarkEnd w:id="388"/>
      <w:bookmarkEnd w:id="389"/>
      <w:bookmarkEnd w:id="390"/>
      <w:bookmarkEnd w:id="391"/>
      <w:bookmarkEnd w:id="392"/>
      <w:bookmarkEnd w:id="393"/>
      <w:bookmarkEnd w:id="39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bookmarkStart w:id="397" w:name="_Toc81245714"/>
      <w:bookmarkStart w:id="398" w:name="_Toc16769"/>
      <w:bookmarkStart w:id="399" w:name="_Toc19782"/>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w:t>
      </w:r>
      <w:r>
        <w:rPr>
          <w:rFonts w:hint="eastAsia" w:eastAsia="仿宋_GB2312"/>
          <w:color w:val="000000" w:themeColor="text1"/>
          <w:spacing w:val="0"/>
          <w:sz w:val="32"/>
          <w:szCs w:val="32"/>
          <w:highlight w:val="none"/>
          <w14:textFill>
            <w14:solidFill>
              <w14:schemeClr w14:val="tx1"/>
            </w14:solidFill>
          </w14:textFill>
        </w:rPr>
        <w:t>突发事件信息发布</w:t>
      </w:r>
      <w:r>
        <w:rPr>
          <w:rFonts w:hint="eastAsia" w:eastAsia="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bookmarkEnd w:id="397"/>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400" w:name="_Toc29468"/>
      <w:bookmarkStart w:id="401" w:name="_Toc4829"/>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6</w:t>
      </w:r>
      <w:r>
        <w:rPr>
          <w:rFonts w:hint="eastAsia" w:ascii="楷体_GB2312" w:hAnsi="仿宋" w:eastAsia="楷体_GB2312" w:cs="Times New Roman"/>
          <w:b/>
          <w:bCs/>
          <w:color w:val="000000" w:themeColor="text1"/>
          <w:spacing w:val="0"/>
          <w:highlight w:val="none"/>
          <w14:textFill>
            <w14:solidFill>
              <w14:schemeClr w14:val="tx1"/>
            </w14:solidFill>
          </w14:textFill>
        </w:rPr>
        <w:t>响应</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级别调整和</w:t>
      </w:r>
      <w:r>
        <w:rPr>
          <w:rFonts w:hint="eastAsia" w:ascii="楷体_GB2312" w:hAnsi="仿宋" w:eastAsia="楷体_GB2312" w:cs="Times New Roman"/>
          <w:b/>
          <w:bCs/>
          <w:color w:val="000000" w:themeColor="text1"/>
          <w:spacing w:val="0"/>
          <w:highlight w:val="none"/>
          <w14:textFill>
            <w14:solidFill>
              <w14:schemeClr w14:val="tx1"/>
            </w14:solidFill>
          </w14:textFill>
        </w:rPr>
        <w:t>终止</w:t>
      </w:r>
      <w:bookmarkEnd w:id="395"/>
      <w:bookmarkEnd w:id="396"/>
      <w:bookmarkEnd w:id="398"/>
      <w:bookmarkEnd w:id="399"/>
      <w:bookmarkEnd w:id="400"/>
      <w:bookmarkEnd w:id="40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道路交通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应急处置工作已经基本完成，次生、衍生事故危害已经基本消除</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经应急办核准，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402" w:name="_Toc14272"/>
      <w:bookmarkStart w:id="403" w:name="_Toc506699911"/>
      <w:bookmarkStart w:id="404" w:name="_Toc18989"/>
      <w:bookmarkStart w:id="405" w:name="_Toc12688"/>
      <w:bookmarkStart w:id="406" w:name="_Toc6291"/>
      <w:bookmarkStart w:id="407" w:name="_Toc531771765"/>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7</w:t>
      </w:r>
      <w:r>
        <w:rPr>
          <w:rFonts w:hint="eastAsia" w:ascii="楷体_GB2312" w:hAnsi="仿宋" w:eastAsia="楷体_GB2312" w:cs="Times New Roman"/>
          <w:b/>
          <w:bCs/>
          <w:color w:val="000000" w:themeColor="text1"/>
          <w:spacing w:val="0"/>
          <w:highlight w:val="none"/>
          <w14:textFill>
            <w14:solidFill>
              <w14:schemeClr w14:val="tx1"/>
            </w14:solidFill>
          </w14:textFill>
        </w:rPr>
        <w:t>后期处置</w:t>
      </w:r>
      <w:bookmarkEnd w:id="402"/>
      <w:bookmarkEnd w:id="403"/>
      <w:bookmarkEnd w:id="404"/>
      <w:bookmarkEnd w:id="405"/>
      <w:bookmarkEnd w:id="406"/>
      <w:bookmarkEnd w:id="407"/>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408" w:name="_Toc506699912"/>
      <w:bookmarkStart w:id="409" w:name="_Toc18552"/>
      <w:bookmarkStart w:id="410" w:name="_Toc505421635"/>
      <w:bookmarkStart w:id="411" w:name="_Toc1396"/>
      <w:bookmarkStart w:id="412" w:name="_Toc531771766"/>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4.7.1善后处置</w:t>
      </w:r>
      <w:bookmarkEnd w:id="408"/>
      <w:bookmarkEnd w:id="409"/>
      <w:bookmarkEnd w:id="410"/>
      <w:bookmarkEnd w:id="411"/>
      <w:bookmarkEnd w:id="41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各级交通运输主管部门负责本地区公路交通应急保障资源的征用补偿工作，并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按管理职责分别上报上级交通运输主管部门</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公路交通应急保障行动结束后，由被征用单位（人）向当地交通运输主管部门递交应急征用补偿申请书。交通运输主管部门接到补偿申请后，按规定发出行政补偿受理通知，并结合有关征用记录和事后调查评估的情况，对补偿申请予以审核，审核通过后，发出应急征用补偿通知，并按有关规定予以补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行政征用补偿形式包括：现金补偿、财政税费减免、实物补偿和其他形式的行政性补偿等。</w:t>
      </w:r>
    </w:p>
    <w:p>
      <w:pPr>
        <w:pStyle w:val="7"/>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413" w:name="_Toc31768"/>
      <w:bookmarkStart w:id="414" w:name="_Toc5335"/>
      <w:bookmarkStart w:id="415" w:name="_Toc506699915"/>
      <w:bookmarkStart w:id="416" w:name="_Toc53177176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4.7.2恢复与重建</w:t>
      </w:r>
      <w:bookmarkEnd w:id="413"/>
      <w:bookmarkEnd w:id="41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因突发事件严重受损的公路交通基础设施，恢复重建工作由</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公路管理中心及其分中心、</w:t>
      </w:r>
      <w:r>
        <w:rPr>
          <w:rFonts w:hint="eastAsia" w:ascii="仿宋_GB2312" w:hAnsi="仿宋" w:eastAsia="仿宋_GB2312"/>
          <w:color w:val="000000" w:themeColor="text1"/>
          <w:spacing w:val="0"/>
          <w:sz w:val="32"/>
          <w:szCs w:val="32"/>
          <w:highlight w:val="none"/>
          <w14:textFill>
            <w14:solidFill>
              <w14:schemeClr w14:val="tx1"/>
            </w14:solidFill>
          </w14:textFill>
        </w:rPr>
        <w:t>公路经营</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管理</w:t>
      </w:r>
      <w:r>
        <w:rPr>
          <w:rFonts w:hint="eastAsia" w:ascii="仿宋_GB2312" w:hAnsi="仿宋" w:eastAsia="仿宋_GB2312"/>
          <w:color w:val="000000" w:themeColor="text1"/>
          <w:spacing w:val="0"/>
          <w:sz w:val="32"/>
          <w:szCs w:val="32"/>
          <w:highlight w:val="none"/>
          <w14:textFill>
            <w14:solidFill>
              <w14:schemeClr w14:val="tx1"/>
            </w14:solidFill>
          </w14:textFill>
        </w:rPr>
        <w:t>单位负责。厅相关处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室</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对恢复与重建工作进行指导。</w:t>
      </w:r>
    </w:p>
    <w:bookmarkEnd w:id="415"/>
    <w:bookmarkEnd w:id="416"/>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417" w:name="_Toc20148"/>
      <w:bookmarkStart w:id="418" w:name="_Toc506699916"/>
      <w:bookmarkStart w:id="419" w:name="_Toc15759"/>
      <w:bookmarkStart w:id="420" w:name="_Toc9436"/>
      <w:bookmarkStart w:id="421" w:name="_Toc13593"/>
      <w:bookmarkStart w:id="422" w:name="_Toc3987"/>
      <w:bookmarkStart w:id="423" w:name="_Toc8098"/>
      <w:bookmarkStart w:id="424" w:name="_Toc21514"/>
      <w:bookmarkStart w:id="425" w:name="_Toc531771770"/>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5.应急保障</w:t>
      </w:r>
      <w:bookmarkEnd w:id="417"/>
      <w:bookmarkEnd w:id="418"/>
      <w:bookmarkEnd w:id="419"/>
      <w:bookmarkEnd w:id="420"/>
      <w:bookmarkEnd w:id="421"/>
      <w:bookmarkEnd w:id="422"/>
      <w:bookmarkEnd w:id="423"/>
      <w:bookmarkEnd w:id="424"/>
      <w:bookmarkEnd w:id="425"/>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426" w:name="_Toc531771775"/>
      <w:bookmarkStart w:id="427" w:name="_Toc30691"/>
      <w:bookmarkStart w:id="428" w:name="_Toc506699921"/>
      <w:bookmarkStart w:id="429" w:name="_Toc851"/>
      <w:bookmarkStart w:id="430" w:name="_Toc18501"/>
      <w:bookmarkStart w:id="431" w:name="_Toc4629"/>
      <w:r>
        <w:rPr>
          <w:rFonts w:hint="eastAsia" w:ascii="楷体_GB2312" w:hAnsi="仿宋" w:eastAsia="楷体_GB2312" w:cs="Times New Roman"/>
          <w:b/>
          <w:bCs/>
          <w:color w:val="000000" w:themeColor="text1"/>
          <w:spacing w:val="0"/>
          <w:highlight w:val="none"/>
          <w14:textFill>
            <w14:solidFill>
              <w14:schemeClr w14:val="tx1"/>
            </w14:solidFill>
          </w14:textFill>
        </w:rPr>
        <w:t>5.</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w:t>
      </w:r>
      <w:r>
        <w:rPr>
          <w:rFonts w:hint="eastAsia" w:ascii="楷体_GB2312" w:hAnsi="仿宋" w:eastAsia="楷体_GB2312" w:cs="Times New Roman"/>
          <w:b/>
          <w:bCs/>
          <w:color w:val="000000" w:themeColor="text1"/>
          <w:spacing w:val="0"/>
          <w:highlight w:val="none"/>
          <w14:textFill>
            <w14:solidFill>
              <w14:schemeClr w14:val="tx1"/>
            </w14:solidFill>
          </w14:textFill>
        </w:rPr>
        <w:t>应急演练</w:t>
      </w:r>
      <w:bookmarkEnd w:id="426"/>
      <w:bookmarkEnd w:id="427"/>
      <w:bookmarkEnd w:id="42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及培训</w:t>
      </w:r>
      <w:bookmarkEnd w:id="429"/>
      <w:bookmarkEnd w:id="430"/>
      <w:bookmarkEnd w:id="43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公路交通突发事件应急演练</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年至少进行一次应急演练</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应急演练结束后，演练组织单位应当及时组织演练评估。鼓励委托第三方进行演练评估。应急人员每</w:t>
      </w:r>
      <w:r>
        <w:rPr>
          <w:rFonts w:ascii="仿宋_GB2312" w:hAnsi="仿宋" w:eastAsia="仿宋_GB2312"/>
          <w:color w:val="000000" w:themeColor="text1"/>
          <w:spacing w:val="0"/>
          <w:sz w:val="32"/>
          <w:szCs w:val="32"/>
          <w:highlight w:val="none"/>
          <w14:textFill>
            <w14:solidFill>
              <w14:schemeClr w14:val="tx1"/>
            </w14:solidFill>
          </w14:textFill>
        </w:rPr>
        <w:t>2年</w:t>
      </w:r>
      <w:r>
        <w:rPr>
          <w:rFonts w:hint="eastAsia" w:ascii="仿宋_GB2312" w:hAnsi="仿宋" w:eastAsia="仿宋_GB2312"/>
          <w:color w:val="000000" w:themeColor="text1"/>
          <w:spacing w:val="0"/>
          <w:sz w:val="32"/>
          <w:szCs w:val="32"/>
          <w:highlight w:val="none"/>
          <w14:textFill>
            <w14:solidFill>
              <w14:schemeClr w14:val="tx1"/>
            </w14:solidFill>
          </w14:textFill>
        </w:rPr>
        <w:t>至少</w:t>
      </w:r>
      <w:r>
        <w:rPr>
          <w:rFonts w:ascii="仿宋_GB2312" w:hAnsi="仿宋" w:eastAsia="仿宋_GB2312"/>
          <w:color w:val="000000" w:themeColor="text1"/>
          <w:spacing w:val="0"/>
          <w:sz w:val="32"/>
          <w:szCs w:val="32"/>
          <w:highlight w:val="none"/>
          <w14:textFill>
            <w14:solidFill>
              <w14:schemeClr w14:val="tx1"/>
            </w14:solidFill>
          </w14:textFill>
        </w:rPr>
        <w:t>接受1次培训，并依据培训记录，对应急人员实行动态管理</w:t>
      </w:r>
      <w:r>
        <w:rPr>
          <w:rFonts w:hint="eastAsia" w:ascii="仿宋_GB2312" w:hAnsi="仿宋" w:eastAsia="仿宋_GB2312"/>
          <w:color w:val="000000" w:themeColor="text1"/>
          <w:spacing w:val="0"/>
          <w:sz w:val="32"/>
          <w:szCs w:val="32"/>
          <w:highlight w:val="none"/>
          <w14:textFill>
            <w14:solidFill>
              <w14:schemeClr w14:val="tx1"/>
            </w14:solidFill>
          </w14:textFill>
        </w:rPr>
        <w:t>，提高公路交通应急人员的素质和专业技能</w:t>
      </w:r>
      <w:r>
        <w:rPr>
          <w:rFonts w:ascii="仿宋_GB2312" w:hAnsi="仿宋"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432" w:name="_Toc29490"/>
      <w:bookmarkStart w:id="433" w:name="_Toc10931"/>
      <w:bookmarkStart w:id="434" w:name="_Toc12934"/>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5.2应急物资</w:t>
      </w:r>
      <w:bookmarkEnd w:id="432"/>
      <w:bookmarkEnd w:id="433"/>
      <w:bookmarkEnd w:id="43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厅工作指挥机构指导厅属相关单位、公路经营管理单位及</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14:textFill>
            <w14:solidFill>
              <w14:schemeClr w14:val="tx1"/>
            </w14:solidFill>
          </w14:textFill>
        </w:rPr>
        <w:t>建立</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区域</w:t>
      </w:r>
      <w:r>
        <w:rPr>
          <w:rFonts w:hint="eastAsia" w:ascii="仿宋_GB2312" w:hAnsi="仿宋" w:eastAsia="仿宋_GB2312"/>
          <w:color w:val="000000" w:themeColor="text1"/>
          <w:spacing w:val="0"/>
          <w:sz w:val="32"/>
          <w:szCs w:val="32"/>
          <w:highlight w:val="none"/>
          <w14:textFill>
            <w14:solidFill>
              <w14:schemeClr w14:val="tx1"/>
            </w14:solidFill>
          </w14:textFill>
        </w:rPr>
        <w:t>公路交通应急物资储备点</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做好公路抢修、桥梁战备物资的储备工作，确保应急物资调运的时效性和覆盖区域的合理性</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p>
    <w:p>
      <w:pPr>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br w:type="page"/>
      </w: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t>公路交通突发事件应急处置流程图</w:t>
      </w:r>
    </w:p>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drawing>
          <wp:inline distT="0" distB="0" distL="114300" distR="114300">
            <wp:extent cx="5267325" cy="7842885"/>
            <wp:effectExtent l="0" t="0" r="3175" b="5715"/>
            <wp:docPr id="34" name="图片 34" descr="公路交通应急流程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公路交通应急流程23"/>
                    <pic:cNvPicPr>
                      <a:picLocks noChangeAspect="1"/>
                    </pic:cNvPicPr>
                  </pic:nvPicPr>
                  <pic:blipFill>
                    <a:blip r:embed="rId14"/>
                    <a:stretch>
                      <a:fillRect/>
                    </a:stretch>
                  </pic:blipFill>
                  <pic:spPr>
                    <a:xfrm>
                      <a:off x="0" y="0"/>
                      <a:ext cx="5267325" cy="78428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435" w:name="_Toc8852"/>
      <w:bookmarkStart w:id="436" w:name="_Toc6956"/>
      <w:bookmarkStart w:id="437" w:name="_Toc22641"/>
      <w:bookmarkStart w:id="438" w:name="_Toc31565"/>
      <w:bookmarkStart w:id="439" w:name="_Toc5232"/>
      <w:bookmarkStart w:id="440" w:name="_Toc78604021"/>
      <w:bookmarkStart w:id="441" w:name="_Toc68886659"/>
      <w:bookmarkStart w:id="442" w:name="_Toc68886649"/>
      <w:bookmarkStart w:id="443" w:name="_Toc78604009"/>
      <w:bookmarkStart w:id="444" w:name="_Toc245618716"/>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2、宁夏回族自治区交通运输厅水路交通突发事件应急预案</w:t>
      </w:r>
      <w:bookmarkEnd w:id="435"/>
      <w:bookmarkEnd w:id="436"/>
      <w:bookmarkEnd w:id="437"/>
      <w:bookmarkEnd w:id="438"/>
      <w:bookmarkEnd w:id="439"/>
    </w:p>
    <w:bookmarkEnd w:id="440"/>
    <w:bookmarkEnd w:id="441"/>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黑体" w:hAnsi="黑体" w:eastAsia="黑体"/>
          <w:b w:val="0"/>
          <w:bCs w:val="0"/>
          <w:color w:val="000000" w:themeColor="text1"/>
          <w:spacing w:val="0"/>
          <w:sz w:val="32"/>
          <w:szCs w:val="32"/>
          <w:highlight w:val="none"/>
          <w:lang w:val="en-US" w:eastAsia="zh-CN"/>
          <w14:textFill>
            <w14:solidFill>
              <w14:schemeClr w14:val="tx1"/>
            </w14:solidFill>
          </w14:textFill>
        </w:rPr>
      </w:pPr>
      <w:bookmarkStart w:id="445" w:name="_Toc9024"/>
      <w:bookmarkStart w:id="446" w:name="_Toc31511"/>
      <w:bookmarkStart w:id="447" w:name="_Toc14183"/>
      <w:bookmarkStart w:id="448" w:name="_Toc22766"/>
      <w:bookmarkStart w:id="449" w:name="_Toc31795"/>
      <w:bookmarkStart w:id="450" w:name="_Toc297"/>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451" w:name="_Toc739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442"/>
      <w:bookmarkEnd w:id="443"/>
      <w:bookmarkEnd w:id="444"/>
      <w:bookmarkEnd w:id="445"/>
      <w:bookmarkEnd w:id="446"/>
      <w:bookmarkEnd w:id="447"/>
      <w:bookmarkEnd w:id="448"/>
      <w:bookmarkEnd w:id="449"/>
      <w:bookmarkEnd w:id="450"/>
      <w:bookmarkEnd w:id="451"/>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452" w:name="_Toc27768"/>
      <w:bookmarkStart w:id="453" w:name="_Toc15584"/>
      <w:bookmarkStart w:id="454" w:name="_Toc8735"/>
      <w:bookmarkStart w:id="455" w:name="_Toc9521"/>
      <w:r>
        <w:rPr>
          <w:rFonts w:hint="eastAsia" w:ascii="楷体_GB2312" w:hAnsi="仿宋" w:eastAsia="楷体_GB2312" w:cs="Times New Roman"/>
          <w:b/>
          <w:bCs/>
          <w:color w:val="000000" w:themeColor="text1"/>
          <w:spacing w:val="0"/>
          <w:highlight w:val="none"/>
          <w14:textFill>
            <w14:solidFill>
              <w14:schemeClr w14:val="tx1"/>
            </w14:solidFill>
          </w14:textFill>
        </w:rPr>
        <w:t>1.1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编制</w:t>
      </w:r>
      <w:r>
        <w:rPr>
          <w:rFonts w:hint="eastAsia" w:ascii="楷体_GB2312" w:hAnsi="仿宋" w:eastAsia="楷体_GB2312" w:cs="Times New Roman"/>
          <w:b/>
          <w:bCs/>
          <w:color w:val="000000" w:themeColor="text1"/>
          <w:spacing w:val="0"/>
          <w:highlight w:val="none"/>
          <w14:textFill>
            <w14:solidFill>
              <w14:schemeClr w14:val="tx1"/>
            </w14:solidFill>
          </w14:textFill>
        </w:rPr>
        <w:t>目的</w:t>
      </w:r>
      <w:bookmarkEnd w:id="452"/>
      <w:bookmarkEnd w:id="453"/>
      <w:bookmarkEnd w:id="454"/>
      <w:bookmarkEnd w:id="45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 w:eastAsia="仿宋_GB2312" w:cs="仿宋"/>
          <w:color w:val="000000" w:themeColor="text1"/>
          <w:spacing w:val="0"/>
          <w:sz w:val="32"/>
          <w:szCs w:val="32"/>
          <w:highlight w:val="none"/>
          <w14:textFill>
            <w14:solidFill>
              <w14:schemeClr w14:val="tx1"/>
            </w14:solidFill>
          </w14:textFill>
        </w:rPr>
        <w:t>为</w:t>
      </w:r>
      <w:r>
        <w:rPr>
          <w:rFonts w:hint="eastAsia" w:ascii="仿宋_GB2312" w:hAnsi="仿宋" w:eastAsia="仿宋_GB2312" w:cs="仿宋"/>
          <w:color w:val="000000" w:themeColor="text1"/>
          <w:spacing w:val="0"/>
          <w:sz w:val="32"/>
          <w:szCs w:val="32"/>
          <w:highlight w:val="none"/>
          <w:lang w:val="en-US" w:eastAsia="zh-CN"/>
          <w14:textFill>
            <w14:solidFill>
              <w14:schemeClr w14:val="tx1"/>
            </w14:solidFill>
          </w14:textFill>
        </w:rPr>
        <w:t>切实提升</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宁夏回族自治区</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（以下简称“</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仿宋" w:eastAsia="仿宋_GB2312" w:cs="仿宋"/>
          <w:color w:val="000000" w:themeColor="text1"/>
          <w:spacing w:val="0"/>
          <w:sz w:val="32"/>
          <w:szCs w:val="32"/>
          <w:highlight w:val="none"/>
          <w:lang w:val="en-US" w:eastAsia="zh-CN"/>
          <w14:textFill>
            <w14:solidFill>
              <w14:schemeClr w14:val="tx1"/>
            </w14:solidFill>
          </w14:textFill>
        </w:rPr>
        <w:t>水路</w:t>
      </w:r>
      <w:r>
        <w:rPr>
          <w:rFonts w:hint="eastAsia" w:ascii="仿宋_GB2312" w:hAnsi="仿宋" w:eastAsia="仿宋_GB2312" w:cs="仿宋"/>
          <w:color w:val="000000" w:themeColor="text1"/>
          <w:spacing w:val="0"/>
          <w:sz w:val="32"/>
          <w:szCs w:val="32"/>
          <w:highlight w:val="none"/>
          <w14:textFill>
            <w14:solidFill>
              <w14:schemeClr w14:val="tx1"/>
            </w14:solidFill>
          </w14:textFill>
        </w:rPr>
        <w:t>交通突发事件的应急处置</w:t>
      </w:r>
      <w:r>
        <w:rPr>
          <w:rFonts w:hint="eastAsia" w:ascii="仿宋_GB2312" w:hAnsi="仿宋" w:eastAsia="仿宋_GB2312" w:cs="仿宋"/>
          <w:color w:val="000000" w:themeColor="text1"/>
          <w:spacing w:val="0"/>
          <w:sz w:val="32"/>
          <w:szCs w:val="32"/>
          <w:highlight w:val="none"/>
          <w:lang w:val="en-US" w:eastAsia="zh-CN"/>
          <w14:textFill>
            <w14:solidFill>
              <w14:schemeClr w14:val="tx1"/>
            </w14:solidFill>
          </w14:textFill>
        </w:rPr>
        <w:t>水平</w:t>
      </w:r>
      <w:r>
        <w:rPr>
          <w:rFonts w:hint="eastAsia" w:ascii="仿宋_GB2312" w:hAnsi="仿宋" w:eastAsia="仿宋_GB2312" w:cs="仿宋"/>
          <w:color w:val="000000" w:themeColor="text1"/>
          <w:spacing w:val="0"/>
          <w:sz w:val="32"/>
          <w:szCs w:val="32"/>
          <w:highlight w:val="none"/>
          <w14:textFill>
            <w14:solidFill>
              <w14:schemeClr w14:val="tx1"/>
            </w14:solidFill>
          </w14:textFill>
        </w:rPr>
        <w:t>，有效应对</w:t>
      </w:r>
      <w:r>
        <w:rPr>
          <w:rFonts w:hint="eastAsia" w:ascii="仿宋_GB2312" w:hAnsi="仿宋" w:eastAsia="仿宋_GB2312" w:cs="仿宋"/>
          <w:color w:val="000000" w:themeColor="text1"/>
          <w:spacing w:val="0"/>
          <w:sz w:val="32"/>
          <w:szCs w:val="32"/>
          <w:highlight w:val="none"/>
          <w:lang w:val="en-US" w:eastAsia="zh-CN"/>
          <w14:textFill>
            <w14:solidFill>
              <w14:schemeClr w14:val="tx1"/>
            </w14:solidFill>
          </w14:textFill>
        </w:rPr>
        <w:t>水路</w:t>
      </w:r>
      <w:r>
        <w:rPr>
          <w:rFonts w:hint="eastAsia" w:ascii="仿宋_GB2312" w:hAnsi="仿宋" w:eastAsia="仿宋_GB2312" w:cs="仿宋"/>
          <w:color w:val="000000" w:themeColor="text1"/>
          <w:spacing w:val="0"/>
          <w:sz w:val="32"/>
          <w:szCs w:val="32"/>
          <w:highlight w:val="none"/>
          <w14:textFill>
            <w14:solidFill>
              <w14:schemeClr w14:val="tx1"/>
            </w14:solidFill>
          </w14:textFill>
        </w:rPr>
        <w:t>交通突发事件，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依法、高效、有序地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开展</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水路交通突发事件应急处置，制定本预案。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456" w:name="_Toc18505"/>
      <w:bookmarkStart w:id="457" w:name="_Toc245618718"/>
      <w:bookmarkStart w:id="458" w:name="_Toc15669"/>
      <w:bookmarkStart w:id="459" w:name="_Toc28230"/>
      <w:bookmarkStart w:id="460" w:name="_Toc16964"/>
      <w:bookmarkStart w:id="461" w:name="_Toc78604011"/>
      <w:bookmarkStart w:id="462" w:name="_Toc68886651"/>
      <w:r>
        <w:rPr>
          <w:rFonts w:hint="eastAsia" w:ascii="楷体_GB2312" w:hAnsi="仿宋" w:eastAsia="楷体_GB2312" w:cs="Times New Roman"/>
          <w:b/>
          <w:bCs/>
          <w:color w:val="000000" w:themeColor="text1"/>
          <w:spacing w:val="0"/>
          <w:highlight w:val="none"/>
          <w14:textFill>
            <w14:solidFill>
              <w14:schemeClr w14:val="tx1"/>
            </w14:solidFill>
          </w14:textFill>
        </w:rPr>
        <w:t>1.2编制依据</w:t>
      </w:r>
      <w:bookmarkEnd w:id="456"/>
      <w:bookmarkEnd w:id="457"/>
      <w:bookmarkEnd w:id="458"/>
      <w:bookmarkEnd w:id="459"/>
      <w:bookmarkEnd w:id="460"/>
      <w:bookmarkStart w:id="463" w:name="_Toc6257182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根据《中华人民共和国突发事件应对法》《国内水路运输管理条例》《突发事件应急预案管理办法》</w:t>
      </w:r>
      <w:r>
        <w:rPr>
          <w:rFonts w:hint="eastAsia" w:ascii="times new rome" w:hAnsi="times new rome" w:eastAsia="仿宋_GB2312" w:cs="Times New Roman"/>
          <w:color w:val="000000" w:themeColor="text1"/>
          <w:spacing w:val="0"/>
          <w:sz w:val="32"/>
          <w:szCs w:val="32"/>
          <w:highlight w:val="none"/>
          <w14:textFill>
            <w14:solidFill>
              <w14:schemeClr w14:val="tx1"/>
            </w14:solidFill>
          </w14:textFill>
        </w:rPr>
        <w:t>《宁夏回族自治区安全生产条例》</w:t>
      </w:r>
      <w:r>
        <w:rPr>
          <w:rFonts w:hint="eastAsia" w:ascii="仿宋_GB2312" w:hAnsi="Calibri" w:eastAsia="仿宋_GB2312"/>
          <w:color w:val="000000" w:themeColor="text1"/>
          <w:spacing w:val="0"/>
          <w:sz w:val="32"/>
          <w:szCs w:val="32"/>
          <w:highlight w:val="none"/>
          <w14:textFill>
            <w14:solidFill>
              <w14:schemeClr w14:val="tx1"/>
            </w14:solidFill>
          </w14:textFill>
        </w:rPr>
        <w:t>《水路交通突发事件应急预案》</w:t>
      </w:r>
      <w:r>
        <w:rPr>
          <w:rFonts w:hint="eastAsia" w:ascii="times new rome" w:hAnsi="times new rome" w:eastAsia="仿宋_GB2312" w:cs="Times New Roman"/>
          <w:color w:val="000000" w:themeColor="text1"/>
          <w:spacing w:val="0"/>
          <w:sz w:val="32"/>
          <w:szCs w:val="32"/>
          <w:highlight w:val="none"/>
          <w14:textFill>
            <w14:solidFill>
              <w14:schemeClr w14:val="tx1"/>
            </w14:solidFill>
          </w14:textFill>
        </w:rPr>
        <w:t>《宁夏回族自治区水上船舶事故应急预案》</w:t>
      </w:r>
      <w:r>
        <w:rPr>
          <w:rFonts w:hint="eastAsia" w:ascii="仿宋_GB2312" w:hAnsi="Calibri" w:eastAsia="仿宋_GB2312"/>
          <w:color w:val="000000" w:themeColor="text1"/>
          <w:spacing w:val="0"/>
          <w:sz w:val="32"/>
          <w:szCs w:val="32"/>
          <w:highlight w:val="none"/>
          <w14:textFill>
            <w14:solidFill>
              <w14:schemeClr w14:val="tx1"/>
            </w14:solidFill>
          </w14:textFill>
        </w:rPr>
        <w:t>等相关规定。</w:t>
      </w:r>
      <w:bookmarkEnd w:id="463"/>
      <w:bookmarkStart w:id="464" w:name="_Toc245618719"/>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465" w:name="_Toc4940"/>
      <w:bookmarkStart w:id="466" w:name="_Toc245618720"/>
      <w:bookmarkStart w:id="467" w:name="_Toc28165"/>
      <w:bookmarkStart w:id="468" w:name="_Toc6207"/>
      <w:bookmarkStart w:id="469" w:name="_Toc3365"/>
      <w:bookmarkStart w:id="470" w:name="_Toc78604013"/>
      <w:bookmarkStart w:id="471" w:name="_Toc68886653"/>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适用范围</w:t>
      </w:r>
      <w:bookmarkEnd w:id="465"/>
      <w:bookmarkEnd w:id="466"/>
      <w:bookmarkEnd w:id="467"/>
      <w:bookmarkEnd w:id="468"/>
      <w:bookmarkEnd w:id="469"/>
      <w:bookmarkEnd w:id="470"/>
      <w:bookmarkEnd w:id="471"/>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eastAsia="仿宋_GB2312"/>
          <w:color w:val="000000" w:themeColor="text1"/>
          <w:sz w:val="30"/>
          <w:szCs w:val="30"/>
          <w:highlight w:val="none"/>
          <w14:textFill>
            <w14:solidFill>
              <w14:schemeClr w14:val="tx1"/>
            </w14:solidFill>
          </w14:textFill>
        </w:rPr>
      </w:pPr>
      <w:r>
        <w:rPr>
          <w:rFonts w:hint="eastAsia" w:ascii="仿宋_GB2312" w:hAnsi="Calibri" w:eastAsia="仿宋_GB2312"/>
          <w:color w:val="000000" w:themeColor="text1"/>
          <w:sz w:val="32"/>
          <w:szCs w:val="32"/>
          <w:highlight w:val="none"/>
          <w14:textFill>
            <w14:solidFill>
              <w14:schemeClr w14:val="tx1"/>
            </w14:solidFill>
          </w14:textFill>
        </w:rPr>
        <w:t>本预案适用于自治区管辖范围内超出事发地交通运输主管部门处置能力的水路交通突发事件</w:t>
      </w:r>
      <w:r>
        <w:rPr>
          <w:rFonts w:hint="eastAsia" w:ascii="仿宋_GB2312" w:hAnsi="Calibri" w:eastAsia="仿宋_GB2312"/>
          <w:color w:val="000000" w:themeColor="text1"/>
          <w:sz w:val="32"/>
          <w:szCs w:val="32"/>
          <w:highlight w:val="none"/>
          <w:lang w:eastAsia="zh-CN"/>
          <w14:textFill>
            <w14:solidFill>
              <w14:schemeClr w14:val="tx1"/>
            </w14:solidFill>
          </w14:textFill>
        </w:rPr>
        <w:t>；</w:t>
      </w:r>
      <w:r>
        <w:rPr>
          <w:rFonts w:hint="eastAsia" w:ascii="仿宋_GB2312" w:hAnsi="Calibri" w:eastAsia="仿宋_GB2312"/>
          <w:color w:val="000000" w:themeColor="text1"/>
          <w:sz w:val="32"/>
          <w:szCs w:val="32"/>
          <w:highlight w:val="none"/>
          <w14:textFill>
            <w14:solidFill>
              <w14:schemeClr w14:val="tx1"/>
            </w14:solidFill>
          </w14:textFill>
        </w:rPr>
        <w:t>或由自治区人民政府责成的、需要由交通运输厅负责处置</w:t>
      </w:r>
      <w:r>
        <w:rPr>
          <w:rFonts w:hint="eastAsia" w:ascii="仿宋_GB2312" w:hAnsi="Calibri" w:eastAsia="仿宋_GB2312"/>
          <w:color w:val="000000" w:themeColor="text1"/>
          <w:sz w:val="32"/>
          <w:szCs w:val="32"/>
          <w:highlight w:val="none"/>
          <w:lang w:val="en-US" w:eastAsia="zh-CN"/>
          <w14:textFill>
            <w14:solidFill>
              <w14:schemeClr w14:val="tx1"/>
            </w14:solidFill>
          </w14:textFill>
        </w:rPr>
        <w:t>或参与</w:t>
      </w:r>
      <w:r>
        <w:rPr>
          <w:rFonts w:hint="eastAsia" w:ascii="仿宋_GB2312" w:hAnsi="Calibri" w:eastAsia="仿宋_GB2312"/>
          <w:color w:val="000000" w:themeColor="text1"/>
          <w:sz w:val="32"/>
          <w:szCs w:val="32"/>
          <w:highlight w:val="none"/>
          <w14:textFill>
            <w14:solidFill>
              <w14:schemeClr w14:val="tx1"/>
            </w14:solidFill>
          </w14:textFill>
        </w:rPr>
        <w:t>的水路交通突发事件的应急处置工作</w:t>
      </w:r>
      <w:r>
        <w:rPr>
          <w:rFonts w:hint="eastAsia" w:ascii="仿宋_GB2312" w:hAnsi="Calibri" w:eastAsia="仿宋_GB2312"/>
          <w:color w:val="000000" w:themeColor="text1"/>
          <w:sz w:val="32"/>
          <w:szCs w:val="32"/>
          <w:highlight w:val="none"/>
          <w:lang w:eastAsia="zh-CN"/>
          <w14:textFill>
            <w14:solidFill>
              <w14:schemeClr w14:val="tx1"/>
            </w14:solidFill>
          </w14:textFill>
        </w:rPr>
        <w:t>；或</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交通运输厅认为需要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应急响应的其他</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472" w:name="_Toc13629"/>
      <w:bookmarkStart w:id="473" w:name="_Toc24259"/>
      <w:bookmarkStart w:id="474" w:name="_Toc21328"/>
      <w:bookmarkStart w:id="475" w:name="_Toc16576"/>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事件分类分级</w:t>
      </w:r>
      <w:bookmarkEnd w:id="464"/>
      <w:bookmarkEnd w:id="472"/>
      <w:bookmarkEnd w:id="473"/>
      <w:bookmarkEnd w:id="474"/>
      <w:bookmarkEnd w:id="47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水路交通突发事件按照其性质、严重程度、可控性和影响范围等因素，一般分为四级：特别重大、重大、较大和一般。</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水路交通突发事件等级分级见下表。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等级</w:t>
            </w:r>
          </w:p>
        </w:tc>
        <w:tc>
          <w:tcPr>
            <w:tcW w:w="7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事故的严重程度及影响范围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特别重大事故</w:t>
            </w:r>
          </w:p>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（Ⅰ级）</w:t>
            </w:r>
          </w:p>
        </w:tc>
        <w:tc>
          <w:tcPr>
            <w:tcW w:w="7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造成特大人员伤亡，死亡失踪30人以上，或危及30人以上生命安全的；</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主要</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渡口</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景区水上船舶等</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发生火灾、爆炸等造成特别严重社会影响</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造成特大生态环境灾害或公共卫生危害；</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需由国家协调有关地区、部门或军队共同组织救援的。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重大事故</w:t>
            </w:r>
          </w:p>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（Ⅱ级）</w:t>
            </w:r>
          </w:p>
        </w:tc>
        <w:tc>
          <w:tcPr>
            <w:tcW w:w="7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造成重大人员伤亡，死亡失踪10人以上、30人以下，或危及10人以上、30人以下生命安全的；</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主要</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渡口</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景区水上船舶等</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发生火灾、爆炸等造成严重社会影响</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造成重大生态环境灾害或公共卫生危害；</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调用自治区和交通系统资源能够控制。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较大事故</w:t>
            </w:r>
          </w:p>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（Ⅲ级）</w:t>
            </w:r>
          </w:p>
        </w:tc>
        <w:tc>
          <w:tcPr>
            <w:tcW w:w="7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造成较大人员伤亡，死亡失踪3人以上、10人以下，或危及3人以上、10人以下生命安全的；</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主要</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渡口</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景区水上船舶等</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发生火灾、爆炸等造成</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较大</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社会影响</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造成较重生态环境灾害或公共卫生危害；</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调用本市行政区域内资源能够控制。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一般事故</w:t>
            </w:r>
          </w:p>
          <w:p>
            <w:pPr>
              <w:keepNext w:val="0"/>
              <w:keepLines w:val="0"/>
              <w:pageBreakBefore w:val="0"/>
              <w:widowControl w:val="0"/>
              <w:suppressLineNumbers w:val="0"/>
              <w:kinsoku/>
              <w:wordWrap/>
              <w:overflowPunct/>
              <w:topLinePunct/>
              <w:autoSpaceDE/>
              <w:autoSpaceDN/>
              <w:bidi w:val="0"/>
              <w:snapToGrid w:val="0"/>
              <w:spacing w:before="0" w:beforeAutospacing="0" w:after="0" w:afterAutospacing="0" w:line="240" w:lineRule="auto"/>
              <w:ind w:left="0" w:leftChars="0" w:right="-57"/>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（Ⅳ级）</w:t>
            </w:r>
          </w:p>
        </w:tc>
        <w:tc>
          <w:tcPr>
            <w:tcW w:w="7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造成一般人员伤亡，死亡失踪3人以下，或危及3人以下生命安全的；</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主要</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渡口</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景区水上船舶等</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发生火灾、爆炸等造成</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一般</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社会影响</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造成一般生态环境灾害或公共卫生危害；</w:t>
            </w:r>
          </w:p>
          <w:p>
            <w:pPr>
              <w:keepNext w:val="0"/>
              <w:keepLines w:val="0"/>
              <w:pageBreakBefore w:val="0"/>
              <w:widowControl w:val="0"/>
              <w:numPr>
                <w:ilvl w:val="0"/>
                <w:numId w:val="4"/>
              </w:numPr>
              <w:suppressLineNumbers w:val="0"/>
              <w:tabs>
                <w:tab w:val="left" w:pos="625"/>
              </w:tabs>
              <w:kinsoku/>
              <w:wordWrap/>
              <w:overflowPunct/>
              <w:topLinePunct/>
              <w:autoSpaceDE/>
              <w:autoSpaceDN/>
              <w:bidi w:val="0"/>
              <w:adjustRightInd w:val="0"/>
              <w:snapToGrid w:val="0"/>
              <w:spacing w:before="0" w:beforeAutospacing="0" w:after="0" w:afterAutospacing="0" w:line="240" w:lineRule="auto"/>
              <w:ind w:left="0" w:leftChars="0" w:right="0" w:firstLine="180" w:firstLineChars="86"/>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调用当地资源能够控制。</w:t>
            </w:r>
          </w:p>
        </w:tc>
      </w:tr>
    </w:tbl>
    <w:p>
      <w:pPr>
        <w:keepNext w:val="0"/>
        <w:keepLines w:val="0"/>
        <w:pageBreakBefore w:val="0"/>
        <w:widowControl w:val="0"/>
        <w:kinsoku/>
        <w:wordWrap/>
        <w:overflowPunct/>
        <w:topLinePunct/>
        <w:autoSpaceDE/>
        <w:autoSpaceDN/>
        <w:bidi w:val="0"/>
        <w:adjustRightInd/>
        <w:snapToGrid/>
        <w:spacing w:line="600" w:lineRule="exact"/>
        <w:ind w:left="0" w:leftChars="0" w:right="0" w:firstLine="642" w:firstLineChars="200"/>
        <w:jc w:val="both"/>
        <w:textAlignment w:val="auto"/>
        <w:rPr>
          <w:rFonts w:hint="eastAsia" w:ascii="仿宋_GB2312" w:hAnsi="仿宋_GB2312" w:eastAsia="仿宋_GB2312" w:cs="仿宋_GB2312"/>
          <w:color w:val="000000" w:themeColor="text1"/>
          <w:spacing w:val="0"/>
          <w:kern w:val="0"/>
          <w:sz w:val="32"/>
          <w:szCs w:val="32"/>
          <w:highlight w:val="none"/>
          <w:lang w:val="en-US" w:eastAsia="zh-CN" w:bidi="ar-SA"/>
          <w14:textFill>
            <w14:solidFill>
              <w14:schemeClr w14:val="tx1"/>
            </w14:solidFill>
          </w14:textFill>
        </w:rPr>
      </w:pPr>
      <w:bookmarkStart w:id="476" w:name="_Toc31161"/>
      <w:bookmarkStart w:id="477" w:name="_Toc245618721"/>
      <w:bookmarkStart w:id="478" w:name="_Toc28994"/>
      <w:bookmarkStart w:id="479" w:name="_Toc17097"/>
      <w:bookmarkStart w:id="480" w:name="_Toc15065"/>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注：</w:t>
      </w:r>
      <w:r>
        <w:rPr>
          <w:rFonts w:hint="eastAsia" w:ascii="仿宋_GB2312" w:hAnsi="仿宋_GB2312" w:eastAsia="仿宋_GB2312" w:cs="仿宋_GB2312"/>
          <w:color w:val="000000" w:themeColor="text1"/>
          <w:spacing w:val="0"/>
          <w:kern w:val="0"/>
          <w:sz w:val="32"/>
          <w:szCs w:val="32"/>
          <w:highlight w:val="none"/>
          <w:lang w:val="en-US" w:eastAsia="zh-CN" w:bidi="ar-SA"/>
          <w14:textFill>
            <w14:solidFill>
              <w14:schemeClr w14:val="tx1"/>
            </w14:solidFill>
          </w14:textFill>
        </w:rPr>
        <w:t>“以上”包含本数及以上，“以下”不包含本数。</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1.5工作原则</w:t>
      </w:r>
      <w:bookmarkEnd w:id="461"/>
      <w:bookmarkEnd w:id="462"/>
      <w:bookmarkEnd w:id="476"/>
      <w:bookmarkEnd w:id="477"/>
      <w:bookmarkEnd w:id="478"/>
      <w:bookmarkEnd w:id="479"/>
      <w:bookmarkEnd w:id="480"/>
      <w:bookmarkStart w:id="481" w:name="_Toc68748906"/>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水路交通</w:t>
      </w:r>
      <w:r>
        <w:rPr>
          <w:rFonts w:hint="eastAsia" w:ascii="仿宋_GB2312" w:hAnsi="微软雅黑" w:eastAsia="仿宋_GB2312" w:cs="宋体"/>
          <w:color w:val="000000" w:themeColor="text1"/>
          <w:spacing w:val="0"/>
          <w:kern w:val="0"/>
          <w:sz w:val="32"/>
          <w:szCs w:val="32"/>
          <w:highlight w:val="none"/>
          <w:lang w:bidi="ar"/>
          <w14:textFill>
            <w14:solidFill>
              <w14:schemeClr w14:val="tx1"/>
            </w14:solidFill>
          </w14:textFill>
        </w:rPr>
        <w:t>突发事件</w:t>
      </w: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应急处置坚持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统一领导，分级负责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以人为本，预防为主</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科学决策，迅速响应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的原则</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bookmarkEnd w:id="481"/>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482" w:name="_Toc3292"/>
      <w:bookmarkStart w:id="483" w:name="_Toc6007"/>
      <w:bookmarkStart w:id="484" w:name="_Toc17851"/>
      <w:bookmarkStart w:id="485" w:name="_Toc20751"/>
      <w:bookmarkStart w:id="486" w:name="_Toc5939"/>
      <w:bookmarkStart w:id="487" w:name="_Toc558"/>
      <w:bookmarkStart w:id="488" w:name="_Toc31960"/>
      <w:bookmarkStart w:id="489" w:name="_Toc78604014"/>
      <w:bookmarkStart w:id="490" w:name="_Toc68886654"/>
      <w:bookmarkStart w:id="491" w:name="_Toc24561872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w:t>
      </w:r>
      <w:bookmarkEnd w:id="482"/>
      <w:bookmarkEnd w:id="483"/>
      <w:bookmarkEnd w:id="484"/>
      <w:bookmarkEnd w:id="485"/>
      <w:bookmarkEnd w:id="486"/>
      <w:bookmarkEnd w:id="487"/>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机构与职责</w:t>
      </w:r>
      <w:bookmarkEnd w:id="488"/>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492" w:name="_Toc2544"/>
      <w:bookmarkStart w:id="493" w:name="_Toc7606"/>
      <w:bookmarkStart w:id="494" w:name="_Toc18682"/>
      <w:bookmarkStart w:id="495" w:name="_Toc5200"/>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2.1厅</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水路交通突发事件工作</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指挥机构</w:t>
      </w:r>
      <w:bookmarkEnd w:id="492"/>
      <w:bookmarkEnd w:id="493"/>
      <w:bookmarkEnd w:id="494"/>
      <w:bookmarkEnd w:id="495"/>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成立自治区交通运输厅水路交通突发事件工作指挥机构（以下简称“工作指挥机构”），在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自治区应急指挥部</w:t>
      </w:r>
      <w:r>
        <w:rPr>
          <w:rFonts w:hint="eastAsia" w:ascii="times new rome" w:hAnsi="times new rome" w:eastAsia="仿宋_GB2312"/>
          <w:color w:val="000000" w:themeColor="text1"/>
          <w:spacing w:val="0"/>
          <w:sz w:val="32"/>
          <w:szCs w:val="32"/>
          <w:highlight w:val="none"/>
          <w:lang w:val="en-US" w:eastAsia="zh-CN"/>
          <w14:textFill>
            <w14:solidFill>
              <w14:schemeClr w14:val="tx1"/>
            </w14:solidFill>
          </w14:textFill>
        </w:rPr>
        <w:t>和厅应急领导小组的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领导下，</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负责指挥和协调交通运输行业水路交通突发事件应急处置工作。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特别重大事故（Ⅰ级）、重大事故（Ⅱ级）由厅主要负责人担任指挥长，分管水路运输工作的厅领导任副指挥长；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分管水路运输工作的厅领导担任指挥长，</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负责人担任副指挥长。</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成员由厅</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办公室</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政策法规处、</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snapToGrid/>
        <w:spacing w:line="600" w:lineRule="exact"/>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安全与质量监督管理处、科技处、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公路管理中心、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道路运输</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事务</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中心、公路水路发展中心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交通宣传事务中心等</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处室及所属</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单位负责同志</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组成</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厅</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的主要职责：</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贯彻落实上级部门和自治区指挥部关于</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应急决策、部署和措施</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组织、</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指导、协调</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相关</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单位</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的应急处置工作</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应急响应；</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决定启动、调整、终止交通运输厅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Ⅲ级、Ⅳ级</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预警状态和应急响应行动</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根据需要，会同</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有关部门，制定和落实应对</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水路交通的</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应急处置工作方案；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视情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成立现场工作组，并派往事故现场指导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协调交通运输应急资源</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应急人员的调度</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）根据自治区人民政府要求或根据应急处置需要，参与地方政府组织开展的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）其他相关重大事项。</w:t>
      </w:r>
    </w:p>
    <w:bookmarkEnd w:id="489"/>
    <w:bookmarkEnd w:id="490"/>
    <w:bookmarkEnd w:id="491"/>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ascii="仿宋_GB2312" w:hAnsi="宋体" w:eastAsia="仿宋_GB2312" w:cs="仿宋_GB2312"/>
          <w:color w:val="000000" w:themeColor="text1"/>
          <w:kern w:val="0"/>
          <w:sz w:val="31"/>
          <w:szCs w:val="31"/>
          <w:highlight w:val="none"/>
          <w14:textFill>
            <w14:solidFill>
              <w14:schemeClr w14:val="tx1"/>
            </w14:solidFill>
          </w14:textFill>
        </w:rPr>
      </w:pPr>
      <w:bookmarkStart w:id="496" w:name="_Toc12840"/>
      <w:bookmarkStart w:id="497" w:name="_Toc2437"/>
      <w:bookmarkStart w:id="498" w:name="_Toc25717"/>
      <w:bookmarkStart w:id="499" w:name="_Toc29785"/>
      <w:bookmarkStart w:id="500" w:name="_Toc245618724"/>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ascii="仿宋_GB2312" w:hAnsi="宋体" w:eastAsia="仿宋_GB2312" w:cs="仿宋_GB2312"/>
          <w:color w:val="000000" w:themeColor="text1"/>
          <w:kern w:val="0"/>
          <w:sz w:val="31"/>
          <w:szCs w:val="31"/>
          <w:highlight w:val="none"/>
          <w14:textFill>
            <w14:solidFill>
              <w14:schemeClr w14:val="tx1"/>
            </w14:solidFill>
          </w14:textFill>
        </w:rPr>
        <w:t>办公室设置在厅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ascii="仿宋_GB2312" w:hAnsi="宋体" w:eastAsia="仿宋_GB2312" w:cs="仿宋_GB2312"/>
          <w:color w:val="000000" w:themeColor="text1"/>
          <w:kern w:val="0"/>
          <w:sz w:val="31"/>
          <w:szCs w:val="31"/>
          <w:highlight w:val="none"/>
          <w14:textFill>
            <w14:solidFill>
              <w14:schemeClr w14:val="tx1"/>
            </w14:solidFill>
          </w14:textFill>
        </w:rPr>
        <w:t>，承担</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1"/>
          <w:szCs w:val="31"/>
          <w:highlight w:val="none"/>
          <w14:textFill>
            <w14:solidFill>
              <w14:schemeClr w14:val="tx1"/>
            </w14:solidFill>
          </w14:textFill>
        </w:rPr>
        <w:t>指挥</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1"/>
          <w:szCs w:val="31"/>
          <w:highlight w:val="none"/>
          <w14:textFill>
            <w14:solidFill>
              <w14:schemeClr w14:val="tx1"/>
            </w14:solidFill>
          </w14:textFill>
        </w:rPr>
        <w:t>工作</w:t>
      </w:r>
      <w:r>
        <w:rPr>
          <w:rFonts w:hint="eastAsia" w:ascii="仿宋_GB2312" w:hAnsi="宋体" w:eastAsia="仿宋_GB2312" w:cs="仿宋_GB2312"/>
          <w:color w:val="000000" w:themeColor="text1"/>
          <w:kern w:val="0"/>
          <w:sz w:val="31"/>
          <w:szCs w:val="31"/>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w:t>
      </w:r>
      <w:r>
        <w:rPr>
          <w:rFonts w:ascii="仿宋_GB2312" w:hAnsi="宋体" w:eastAsia="仿宋_GB2312" w:cs="仿宋_GB2312"/>
          <w:color w:val="000000" w:themeColor="text1"/>
          <w:kern w:val="0"/>
          <w:sz w:val="31"/>
          <w:szCs w:val="31"/>
          <w:highlight w:val="none"/>
          <w14:textFill>
            <w14:solidFill>
              <w14:schemeClr w14:val="tx1"/>
            </w14:solidFill>
          </w14:textFill>
        </w:rPr>
        <w:t>担任</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1"/>
          <w:szCs w:val="31"/>
          <w:highlight w:val="none"/>
          <w14:textFill>
            <w14:solidFill>
              <w14:schemeClr w14:val="tx1"/>
            </w14:solidFill>
          </w14:textFill>
        </w:rPr>
        <w:t>指挥</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1"/>
          <w:szCs w:val="31"/>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2.2应急工作组</w:t>
      </w:r>
      <w:bookmarkEnd w:id="496"/>
      <w:bookmarkEnd w:id="497"/>
      <w:bookmarkEnd w:id="498"/>
      <w:bookmarkEnd w:id="499"/>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）综合协调组</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负责人任组长，成员由</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办公室、</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安全与质量监督管理处、</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路网监测与应急中心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公路水路发展中心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负责接收、处理应急状态下</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水路</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zh-CN"/>
          <w14:textFill>
            <w14:solidFill>
              <w14:schemeClr w14:val="tx1"/>
            </w14:solidFill>
          </w14:textFill>
        </w:rPr>
        <w:t>交通突发事件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相关信息，跟踪了解突发事件处置进展，及时向厅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启动预警状态和响应行动建议；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运输调度组</w:t>
      </w:r>
    </w:p>
    <w:p>
      <w:pPr>
        <w:keepNext w:val="0"/>
        <w:keepLines w:val="0"/>
        <w:pageBreakBefore w:val="0"/>
        <w:widowControl w:val="0"/>
        <w:kinsoku/>
        <w:wordWrap/>
        <w:overflowPunct/>
        <w:topLinePunct/>
        <w:autoSpaceDE/>
        <w:autoSpaceDN/>
        <w:bidi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负责人</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任组长，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成员由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、道路运输事务中心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水路发展中心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负责组织、协调重点物资和应急物资的运输工作；负责水路和公路的运输保障；承办厅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）通信保障组</w:t>
      </w:r>
    </w:p>
    <w:p>
      <w:pPr>
        <w:keepNext w:val="0"/>
        <w:keepLines w:val="0"/>
        <w:pageBreakBefore w:val="0"/>
        <w:widowControl w:val="0"/>
        <w:kinsoku/>
        <w:wordWrap/>
        <w:overflowPunct/>
        <w:topLinePunct/>
        <w:autoSpaceDE/>
        <w:autoSpaceDN/>
        <w:bidi w:val="0"/>
        <w:spacing w:line="600" w:lineRule="exact"/>
        <w:ind w:left="0" w:leftChars="0" w:firstLine="640" w:firstLineChars="200"/>
        <w:textAlignment w:val="auto"/>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相关人员组成。</w:t>
      </w:r>
    </w:p>
    <w:p>
      <w:pPr>
        <w:keepNext w:val="0"/>
        <w:keepLines w:val="0"/>
        <w:pageBreakBefore w:val="0"/>
        <w:widowControl w:val="0"/>
        <w:kinsoku/>
        <w:wordWrap/>
        <w:overflowPunct/>
        <w:topLinePunct/>
        <w:autoSpaceDE/>
        <w:autoSpaceDN/>
        <w:bidi w:val="0"/>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负责应急处置过程中的通信保障工作；</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加强舆情监测分析，传递权威信息；加强舆情引导，完善舆情监测及应对机制，有效化解舆情风险；</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负责对外信息发布，</w:t>
      </w:r>
      <w:r>
        <w:rPr>
          <w:rFonts w:hint="eastAsia" w:ascii="仿宋_GB2312" w:hAnsi="Calibri" w:eastAsia="仿宋_GB2312"/>
          <w:color w:val="000000" w:themeColor="text1"/>
          <w:spacing w:val="0"/>
          <w:sz w:val="32"/>
          <w:szCs w:val="32"/>
          <w:highlight w:val="none"/>
          <w14:textFill>
            <w14:solidFill>
              <w14:schemeClr w14:val="tx1"/>
            </w14:solidFill>
          </w14:textFill>
        </w:rPr>
        <w:t>正确引导社会舆论，最大程度地避免和消除水路交通突发事件造成的衍生影响</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bookmarkEnd w:id="500"/>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pPr>
      <w:bookmarkStart w:id="501" w:name="_Toc9443"/>
      <w:bookmarkStart w:id="502" w:name="_Toc7873"/>
      <w:bookmarkStart w:id="503" w:name="_Toc943"/>
      <w:bookmarkStart w:id="504" w:name="_Toc6967"/>
      <w:bookmarkStart w:id="505" w:name="_Toc245618731"/>
      <w:bookmarkStart w:id="506" w:name="_Toc13244"/>
      <w:bookmarkStart w:id="507" w:name="_Toc245618729"/>
      <w:bookmarkStart w:id="508" w:name="_Toc17127"/>
      <w:bookmarkStart w:id="509" w:name="_Toc6902"/>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（5）现场工作组</w:t>
      </w:r>
      <w:bookmarkEnd w:id="501"/>
      <w:bookmarkEnd w:id="502"/>
      <w:bookmarkEnd w:id="503"/>
      <w:bookmarkEnd w:id="504"/>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主要职责：负责传达厅应急工作要求；按照工作指挥机构要求，负责勘察，查看，研判、评估水路交通突发事件情况，参照专家组意见，配合有关部门提出具体处置方案；</w:t>
      </w:r>
      <w:r>
        <w:rPr>
          <w:rFonts w:hint="eastAsia" w:ascii="仿宋_GB2312" w:hAnsi="仿宋" w:eastAsia="仿宋_GB2312"/>
          <w:color w:val="000000" w:themeColor="text1"/>
          <w:spacing w:val="0"/>
          <w:sz w:val="32"/>
          <w:szCs w:val="32"/>
          <w:highlight w:val="none"/>
          <w14:textFill>
            <w14:solidFill>
              <w14:schemeClr w14:val="tx1"/>
            </w14:solidFill>
          </w14:textFill>
        </w:rPr>
        <w:t>协助有关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hAnsi="仿宋" w:eastAsia="仿宋_GB2312"/>
          <w:color w:val="000000" w:themeColor="text1"/>
          <w:spacing w:val="0"/>
          <w:sz w:val="32"/>
          <w:szCs w:val="32"/>
          <w:highlight w:val="none"/>
          <w14:textFill>
            <w14:solidFill>
              <w14:schemeClr w14:val="tx1"/>
            </w14:solidFill>
          </w14:textFill>
        </w:rPr>
        <w:t>开展</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水路交通突发事件</w:t>
      </w:r>
      <w:r>
        <w:rPr>
          <w:rFonts w:hint="eastAsia" w:ascii="仿宋_GB2312" w:hAnsi="仿宋" w:eastAsia="仿宋_GB2312"/>
          <w:color w:val="000000" w:themeColor="text1"/>
          <w:spacing w:val="0"/>
          <w:sz w:val="32"/>
          <w:szCs w:val="32"/>
          <w:highlight w:val="none"/>
          <w14:textFill>
            <w14:solidFill>
              <w14:schemeClr w14:val="tx1"/>
            </w14:solidFill>
          </w14:textFill>
        </w:rPr>
        <w:t>的应急处置工作</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现场情况和应急处置行动进展；</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bookmarkEnd w:id="505"/>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（6）专家组</w:t>
      </w:r>
      <w:bookmarkEnd w:id="506"/>
      <w:bookmarkEnd w:id="507"/>
      <w:bookmarkEnd w:id="508"/>
      <w:bookmarkEnd w:id="50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邀请或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抽调</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 w:eastAsia="仿宋_GB2312"/>
          <w:color w:val="000000" w:themeColor="text1"/>
          <w:spacing w:val="0"/>
          <w:sz w:val="32"/>
          <w:szCs w:val="32"/>
          <w:highlight w:val="none"/>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水利、</w:t>
      </w:r>
      <w:r>
        <w:rPr>
          <w:rFonts w:hint="eastAsia" w:ascii="仿宋_GB2312" w:hAnsi="仿宋" w:eastAsia="仿宋_GB2312"/>
          <w:color w:val="000000" w:themeColor="text1"/>
          <w:spacing w:val="0"/>
          <w:sz w:val="32"/>
          <w:szCs w:val="32"/>
          <w:highlight w:val="none"/>
          <w14:textFill>
            <w14:solidFill>
              <w14:schemeClr w14:val="tx1"/>
            </w14:solidFill>
          </w14:textFill>
        </w:rPr>
        <w:t>科研、管理、法律等方面专家</w:t>
      </w:r>
      <w:bookmarkStart w:id="510" w:name="_Toc245618730"/>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组成</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负责提供</w:t>
      </w:r>
      <w:r>
        <w:rPr>
          <w:rFonts w:hint="eastAsia" w:ascii="仿宋_GB2312" w:hAnsi="Calibri" w:eastAsia="仿宋_GB2312"/>
          <w:color w:val="000000" w:themeColor="text1"/>
          <w:spacing w:val="0"/>
          <w:sz w:val="32"/>
          <w:szCs w:val="32"/>
          <w:highlight w:val="none"/>
          <w14:textFill>
            <w14:solidFill>
              <w14:schemeClr w14:val="tx1"/>
            </w14:solidFill>
          </w14:textFill>
        </w:rPr>
        <w:t>水路交通突发事件应急决策提供咨询和建议；预测水路交通突发事件的发生和发展趋势，对</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抢险</w:t>
      </w:r>
      <w:r>
        <w:rPr>
          <w:rFonts w:hint="eastAsia" w:ascii="仿宋_GB2312" w:hAnsi="Calibri" w:eastAsia="仿宋_GB2312"/>
          <w:color w:val="000000" w:themeColor="text1"/>
          <w:spacing w:val="0"/>
          <w:sz w:val="32"/>
          <w:szCs w:val="32"/>
          <w:highlight w:val="none"/>
          <w14:textFill>
            <w14:solidFill>
              <w14:schemeClr w14:val="tx1"/>
            </w14:solidFill>
          </w14:textFill>
        </w:rPr>
        <w:t>方案、处置办法、灾害损失和恢复重建方案</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进行</w:t>
      </w:r>
      <w:r>
        <w:rPr>
          <w:rFonts w:hint="eastAsia" w:ascii="仿宋_GB2312" w:hAnsi="Calibri" w:eastAsia="仿宋_GB2312"/>
          <w:color w:val="000000" w:themeColor="text1"/>
          <w:spacing w:val="0"/>
          <w:sz w:val="32"/>
          <w:szCs w:val="32"/>
          <w:highlight w:val="none"/>
          <w14:textFill>
            <w14:solidFill>
              <w14:schemeClr w14:val="tx1"/>
            </w14:solidFill>
          </w14:textFill>
        </w:rPr>
        <w:t>评估，提出相关建议；提供水路交通运输及应急方面的技术支持</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评估水路交通基础设施的损失，</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hAnsi="Calibri" w:eastAsia="仿宋_GB2312"/>
          <w:color w:val="000000" w:themeColor="text1"/>
          <w:spacing w:val="0"/>
          <w:sz w:val="32"/>
          <w:szCs w:val="32"/>
          <w:highlight w:val="none"/>
          <w14:textFill>
            <w14:solidFill>
              <w14:schemeClr w14:val="tx1"/>
            </w14:solidFill>
          </w14:textFill>
        </w:rPr>
        <w:t>环境和社会的影响</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厅水路交通突发事件</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组织机构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line="240" w:lineRule="auto"/>
        <w:ind w:left="0" w:leftChars="0" w:firstLine="0" w:firstLineChars="0"/>
        <w:jc w:val="center"/>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drawing>
          <wp:inline distT="0" distB="0" distL="114300" distR="114300">
            <wp:extent cx="5121910" cy="2710180"/>
            <wp:effectExtent l="0" t="0" r="8890" b="7620"/>
            <wp:docPr id="8" name="图片 8" descr="水路交通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水路交通机构"/>
                    <pic:cNvPicPr>
                      <a:picLocks noChangeAspect="1"/>
                    </pic:cNvPicPr>
                  </pic:nvPicPr>
                  <pic:blipFill>
                    <a:blip r:embed="rId15"/>
                    <a:stretch>
                      <a:fillRect/>
                    </a:stretch>
                  </pic:blipFill>
                  <pic:spPr>
                    <a:xfrm>
                      <a:off x="0" y="0"/>
                      <a:ext cx="5121910" cy="2710180"/>
                    </a:xfrm>
                    <a:prstGeom prst="rect">
                      <a:avLst/>
                    </a:prstGeom>
                  </pic:spPr>
                </pic:pic>
              </a:graphicData>
            </a:graphic>
          </wp:inline>
        </w:drawing>
      </w:r>
    </w:p>
    <w:bookmarkEnd w:id="510"/>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511" w:name="_Toc25351"/>
      <w:bookmarkStart w:id="512" w:name="_Toc30222"/>
      <w:bookmarkStart w:id="513" w:name="_Toc17358"/>
      <w:bookmarkStart w:id="514" w:name="_Toc17108"/>
      <w:bookmarkStart w:id="515" w:name="_Toc9664"/>
      <w:bookmarkStart w:id="516" w:name="_Toc31636"/>
      <w:bookmarkStart w:id="517" w:name="_Toc29605"/>
      <w:bookmarkStart w:id="518" w:name="_Toc78604022"/>
      <w:bookmarkStart w:id="519" w:name="_Toc68886660"/>
      <w:bookmarkStart w:id="520" w:name="_Toc24561873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3.预防与预警</w:t>
      </w:r>
      <w:bookmarkEnd w:id="511"/>
      <w:bookmarkEnd w:id="512"/>
      <w:bookmarkEnd w:id="513"/>
      <w:bookmarkEnd w:id="514"/>
      <w:bookmarkEnd w:id="515"/>
      <w:bookmarkEnd w:id="516"/>
      <w:bookmarkEnd w:id="517"/>
    </w:p>
    <w:bookmarkEnd w:id="518"/>
    <w:bookmarkEnd w:id="519"/>
    <w:bookmarkEnd w:id="520"/>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21" w:name="_Toc31363"/>
      <w:bookmarkStart w:id="522" w:name="_Toc12197"/>
      <w:bookmarkStart w:id="523" w:name="_Toc18725"/>
      <w:bookmarkStart w:id="524" w:name="_Toc9005"/>
      <w:bookmarkStart w:id="525" w:name="_Toc68886661"/>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3.1监测</w:t>
      </w:r>
      <w:bookmarkEnd w:id="521"/>
      <w:bookmarkEnd w:id="522"/>
      <w:bookmarkEnd w:id="523"/>
      <w:bookmarkEnd w:id="524"/>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bookmarkStart w:id="526" w:name="_Toc245618733"/>
      <w:bookmarkStart w:id="527" w:name="_Toc78604023"/>
      <w:r>
        <w:rPr>
          <w:rFonts w:hint="eastAsia" w:ascii="仿宋_GB2312" w:hAnsi="Calibri" w:eastAsia="仿宋_GB2312"/>
          <w:color w:val="000000" w:themeColor="text1"/>
          <w:spacing w:val="0"/>
          <w:sz w:val="32"/>
          <w:szCs w:val="32"/>
          <w:highlight w:val="none"/>
          <w14:textFill>
            <w14:solidFill>
              <w14:schemeClr w14:val="tx1"/>
            </w14:solidFill>
          </w14:textFill>
        </w:rPr>
        <w:t>水路交通突发事件预警预防信息包括：水路交通突发事件风险源信息，可能诱发水路交通突发事件的自然灾害（如气象、水文、地质等）等相关信息，以及需要提供水路交通运输保障的紧急事件信息。</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各级交通运输主管部门应在日常工作中做好对冬季大风</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雾、暴雨、暴雪、低温冰冻雨雪、冰凌、上游电站加大放流等可能诱发水路交通突发事件的信息搜集、接收、整理和风险分析工作，及时上报相关情况，并通报相关部门。</w:t>
      </w:r>
    </w:p>
    <w:bookmarkEnd w:id="525"/>
    <w:bookmarkEnd w:id="526"/>
    <w:bookmarkEnd w:id="527"/>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eastAsia="zh-CN"/>
          <w14:textFill>
            <w14:solidFill>
              <w14:schemeClr w14:val="tx1"/>
            </w14:solidFill>
          </w14:textFill>
        </w:rPr>
      </w:pPr>
      <w:bookmarkStart w:id="528" w:name="_Toc78604024"/>
      <w:bookmarkStart w:id="529" w:name="_Toc245618734"/>
      <w:bookmarkStart w:id="530" w:name="_Toc12374"/>
      <w:bookmarkStart w:id="531" w:name="_Toc2370"/>
      <w:bookmarkStart w:id="532" w:name="_Toc4952"/>
      <w:bookmarkStart w:id="533" w:name="_Toc9295"/>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3.2预警</w:t>
      </w:r>
      <w:bookmarkEnd w:id="528"/>
      <w:bookmarkEnd w:id="529"/>
      <w:bookmarkStart w:id="534" w:name="_Toc68886668"/>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信息</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分级</w:t>
      </w:r>
      <w:bookmarkEnd w:id="530"/>
      <w:bookmarkEnd w:id="531"/>
      <w:bookmarkEnd w:id="532"/>
      <w:bookmarkEnd w:id="533"/>
    </w:p>
    <w:bookmarkEnd w:id="534"/>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按照</w:t>
      </w:r>
      <w:r>
        <w:rPr>
          <w:rFonts w:hint="eastAsia" w:ascii="仿宋_GB2312" w:hAnsi="Calibri" w:eastAsia="仿宋_GB2312"/>
          <w:color w:val="000000" w:themeColor="text1"/>
          <w:spacing w:val="0"/>
          <w:sz w:val="32"/>
          <w:szCs w:val="32"/>
          <w:highlight w:val="none"/>
          <w14:textFill>
            <w14:solidFill>
              <w14:schemeClr w14:val="tx1"/>
            </w14:solidFill>
          </w14:textFill>
        </w:rPr>
        <w:t>紧急程度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危害程度和发展态势等，水路交通突发事件预警级别分为</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从高到低可分为一级（红色）、二级（橙色）、三级（黄色）、四级（蓝色）</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表示。预警级别分级参照下表。</w:t>
      </w:r>
    </w:p>
    <w:tbl>
      <w:tblPr>
        <w:tblStyle w:val="24"/>
        <w:tblW w:w="8522" w:type="dxa"/>
        <w:tblInd w:w="0" w:type="dxa"/>
        <w:tblLayout w:type="fixed"/>
        <w:tblCellMar>
          <w:top w:w="0" w:type="dxa"/>
          <w:left w:w="108" w:type="dxa"/>
          <w:bottom w:w="0" w:type="dxa"/>
          <w:right w:w="108" w:type="dxa"/>
        </w:tblCellMar>
      </w:tblPr>
      <w:tblGrid>
        <w:gridCol w:w="687"/>
        <w:gridCol w:w="688"/>
        <w:gridCol w:w="674"/>
        <w:gridCol w:w="6473"/>
      </w:tblGrid>
      <w:tr>
        <w:tblPrEx>
          <w:tblCellMar>
            <w:top w:w="0" w:type="dxa"/>
            <w:left w:w="108" w:type="dxa"/>
            <w:bottom w:w="0" w:type="dxa"/>
            <w:right w:w="108" w:type="dxa"/>
          </w:tblCellMar>
        </w:tblPrEx>
        <w:trPr>
          <w:trHeight w:val="270" w:hRule="atLeast"/>
          <w:tblHeader/>
        </w:trPr>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bookmarkStart w:id="535" w:name="_Toc78604028"/>
            <w:bookmarkStart w:id="536" w:name="_Toc4013"/>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预警级别</w:t>
            </w:r>
          </w:p>
        </w:tc>
        <w:tc>
          <w:tcPr>
            <w:tcW w:w="68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级别描述</w:t>
            </w:r>
          </w:p>
        </w:tc>
        <w:tc>
          <w:tcPr>
            <w:tcW w:w="67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颜色标示</w:t>
            </w:r>
          </w:p>
        </w:tc>
        <w:tc>
          <w:tcPr>
            <w:tcW w:w="647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发生可能性较大的事故情形</w:t>
            </w:r>
          </w:p>
        </w:tc>
      </w:tr>
      <w:tr>
        <w:tblPrEx>
          <w:tblCellMar>
            <w:top w:w="0" w:type="dxa"/>
            <w:left w:w="108" w:type="dxa"/>
            <w:bottom w:w="0" w:type="dxa"/>
            <w:right w:w="108" w:type="dxa"/>
          </w:tblCellMar>
        </w:tblPrEx>
        <w:trPr>
          <w:trHeight w:val="540" w:hRule="atLeast"/>
        </w:trPr>
        <w:tc>
          <w:tcPr>
            <w:tcW w:w="68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lang w:val="en-US" w:eastAsia="zh-CN"/>
                <w14:textFill>
                  <w14:solidFill>
                    <w14:schemeClr w14:val="tx1"/>
                  </w14:solidFill>
                </w14:textFill>
              </w:rPr>
              <w:t>一</w:t>
            </w: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级</w:t>
            </w:r>
          </w:p>
        </w:tc>
        <w:tc>
          <w:tcPr>
            <w:tcW w:w="688"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特别重大</w:t>
            </w:r>
          </w:p>
        </w:tc>
        <w:tc>
          <w:tcPr>
            <w:tcW w:w="674"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红色</w:t>
            </w:r>
          </w:p>
        </w:tc>
        <w:tc>
          <w:tcPr>
            <w:tcW w:w="6473" w:type="dxa"/>
            <w:tcBorders>
              <w:top w:val="nil"/>
              <w:left w:val="nil"/>
              <w:bottom w:val="single" w:color="auto" w:sz="4" w:space="0"/>
              <w:right w:val="single" w:color="auto" w:sz="4" w:space="0"/>
            </w:tcBorders>
            <w:vAlign w:val="center"/>
          </w:tcPr>
          <w:p>
            <w:pPr>
              <w:pStyle w:val="41"/>
              <w:keepNext w:val="0"/>
              <w:keepLines w:val="0"/>
              <w:pageBreakBefore w:val="0"/>
              <w:widowControl w:val="0"/>
              <w:numPr>
                <w:ilvl w:val="0"/>
                <w:numId w:val="5"/>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雷雨大风、大风等在24小时内造成内河风力8级以上的气象信息；</w:t>
            </w:r>
          </w:p>
          <w:p>
            <w:pPr>
              <w:pStyle w:val="41"/>
              <w:keepNext w:val="0"/>
              <w:keepLines w:val="0"/>
              <w:pageBreakBefore w:val="0"/>
              <w:widowControl w:val="0"/>
              <w:numPr>
                <w:ilvl w:val="0"/>
                <w:numId w:val="5"/>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雾、雪、暴风雨、沙尘暴等造成能见度不足100米的信息；</w:t>
            </w:r>
          </w:p>
          <w:p>
            <w:pPr>
              <w:pStyle w:val="41"/>
              <w:keepNext w:val="0"/>
              <w:keepLines w:val="0"/>
              <w:pageBreakBefore w:val="0"/>
              <w:widowControl w:val="0"/>
              <w:numPr>
                <w:ilvl w:val="0"/>
                <w:numId w:val="5"/>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预报发生地质灾害可能性很大的信息；</w:t>
            </w:r>
          </w:p>
          <w:p>
            <w:pPr>
              <w:pStyle w:val="41"/>
              <w:keepNext w:val="0"/>
              <w:keepLines w:val="0"/>
              <w:pageBreakBefore w:val="0"/>
              <w:widowControl w:val="0"/>
              <w:numPr>
                <w:ilvl w:val="0"/>
                <w:numId w:val="5"/>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监测预报有特大洪峰、特大凌汛的信息。</w:t>
            </w:r>
          </w:p>
        </w:tc>
      </w:tr>
      <w:tr>
        <w:tblPrEx>
          <w:tblCellMar>
            <w:top w:w="0" w:type="dxa"/>
            <w:left w:w="108" w:type="dxa"/>
            <w:bottom w:w="0" w:type="dxa"/>
            <w:right w:w="108" w:type="dxa"/>
          </w:tblCellMar>
        </w:tblPrEx>
        <w:trPr>
          <w:trHeight w:val="540" w:hRule="atLeast"/>
        </w:trPr>
        <w:tc>
          <w:tcPr>
            <w:tcW w:w="68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lang w:val="en-US" w:eastAsia="zh-CN"/>
                <w14:textFill>
                  <w14:solidFill>
                    <w14:schemeClr w14:val="tx1"/>
                  </w14:solidFill>
                </w14:textFill>
              </w:rPr>
              <w:t>二</w:t>
            </w: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级</w:t>
            </w:r>
          </w:p>
        </w:tc>
        <w:tc>
          <w:tcPr>
            <w:tcW w:w="688"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重大</w:t>
            </w:r>
          </w:p>
        </w:tc>
        <w:tc>
          <w:tcPr>
            <w:tcW w:w="674"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橙色</w:t>
            </w:r>
          </w:p>
        </w:tc>
        <w:tc>
          <w:tcPr>
            <w:tcW w:w="6473" w:type="dxa"/>
            <w:tcBorders>
              <w:top w:val="nil"/>
              <w:left w:val="nil"/>
              <w:bottom w:val="single" w:color="auto" w:sz="4" w:space="0"/>
              <w:right w:val="single" w:color="auto" w:sz="4" w:space="0"/>
            </w:tcBorders>
            <w:vAlign w:val="center"/>
          </w:tcPr>
          <w:p>
            <w:pPr>
              <w:pStyle w:val="41"/>
              <w:keepNext w:val="0"/>
              <w:keepLines w:val="0"/>
              <w:pageBreakBefore w:val="0"/>
              <w:widowControl w:val="0"/>
              <w:numPr>
                <w:ilvl w:val="0"/>
                <w:numId w:val="6"/>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雷雨大风、大风等在48小时内造成内河风力8级以上的气象信息；</w:t>
            </w:r>
          </w:p>
          <w:p>
            <w:pPr>
              <w:pStyle w:val="41"/>
              <w:keepNext w:val="0"/>
              <w:keepLines w:val="0"/>
              <w:pageBreakBefore w:val="0"/>
              <w:widowControl w:val="0"/>
              <w:numPr>
                <w:ilvl w:val="0"/>
                <w:numId w:val="6"/>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雾、雪、暴风雨、沙尘暴等造成能见度不足500米的信息；</w:t>
            </w:r>
          </w:p>
          <w:p>
            <w:pPr>
              <w:pStyle w:val="41"/>
              <w:keepNext w:val="0"/>
              <w:keepLines w:val="0"/>
              <w:pageBreakBefore w:val="0"/>
              <w:widowControl w:val="0"/>
              <w:numPr>
                <w:ilvl w:val="0"/>
                <w:numId w:val="6"/>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预报发生地质灾害可能性大的信息；</w:t>
            </w:r>
          </w:p>
          <w:p>
            <w:pPr>
              <w:pStyle w:val="41"/>
              <w:keepNext w:val="0"/>
              <w:keepLines w:val="0"/>
              <w:pageBreakBefore w:val="0"/>
              <w:widowControl w:val="0"/>
              <w:numPr>
                <w:ilvl w:val="0"/>
                <w:numId w:val="6"/>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洪水期水位达到警戒水位时，监测预报有大洪峰的信息。</w:t>
            </w:r>
          </w:p>
        </w:tc>
      </w:tr>
      <w:tr>
        <w:tblPrEx>
          <w:tblCellMar>
            <w:top w:w="0" w:type="dxa"/>
            <w:left w:w="108" w:type="dxa"/>
            <w:bottom w:w="0" w:type="dxa"/>
            <w:right w:w="108" w:type="dxa"/>
          </w:tblCellMar>
        </w:tblPrEx>
        <w:trPr>
          <w:trHeight w:val="540" w:hRule="atLeast"/>
        </w:trPr>
        <w:tc>
          <w:tcPr>
            <w:tcW w:w="68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lang w:val="en-US" w:eastAsia="zh-CN"/>
                <w14:textFill>
                  <w14:solidFill>
                    <w14:schemeClr w14:val="tx1"/>
                  </w14:solidFill>
                </w14:textFill>
              </w:rPr>
              <w:t>三</w:t>
            </w: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级</w:t>
            </w:r>
          </w:p>
        </w:tc>
        <w:tc>
          <w:tcPr>
            <w:tcW w:w="688"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较大</w:t>
            </w:r>
          </w:p>
        </w:tc>
        <w:tc>
          <w:tcPr>
            <w:tcW w:w="674"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黄色</w:t>
            </w:r>
          </w:p>
        </w:tc>
        <w:tc>
          <w:tcPr>
            <w:tcW w:w="6473" w:type="dxa"/>
            <w:tcBorders>
              <w:top w:val="nil"/>
              <w:left w:val="nil"/>
              <w:bottom w:val="single" w:color="auto" w:sz="4" w:space="0"/>
              <w:right w:val="single" w:color="auto" w:sz="4" w:space="0"/>
            </w:tcBorders>
            <w:vAlign w:val="center"/>
          </w:tcPr>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雷雨大风、大风等造成内河风力6</w:t>
            </w:r>
            <w:r>
              <w:rPr>
                <w:rFonts w:hint="eastAsia" w:ascii="仿宋_GB2312" w:hAnsi="仿宋_GB2312" w:eastAsia="仿宋_GB2312" w:cs="仿宋_GB2312"/>
                <w:bCs/>
                <w:color w:val="000000" w:themeColor="text1"/>
                <w:spacing w:val="0"/>
                <w:sz w:val="21"/>
                <w:szCs w:val="21"/>
                <w:highlight w:val="none"/>
                <w:lang w:eastAsia="zh-CN"/>
                <w14:textFill>
                  <w14:solidFill>
                    <w14:schemeClr w14:val="tx1"/>
                  </w14:solidFill>
                </w14:textFill>
              </w:rPr>
              <w:t>级</w:t>
            </w: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—7级以上的气象信息；</w:t>
            </w:r>
          </w:p>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雾、雪、暴风雨、沙尘暴等造成能见度不足800米的信息；</w:t>
            </w:r>
          </w:p>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预报发生地质灾害可能性较大的信息；</w:t>
            </w:r>
          </w:p>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洪水期水位达到设防水位时，监测预报有较大洪峰的信息。</w:t>
            </w:r>
          </w:p>
        </w:tc>
      </w:tr>
      <w:tr>
        <w:tblPrEx>
          <w:tblCellMar>
            <w:top w:w="0" w:type="dxa"/>
            <w:left w:w="108" w:type="dxa"/>
            <w:bottom w:w="0" w:type="dxa"/>
            <w:right w:w="108" w:type="dxa"/>
          </w:tblCellMar>
        </w:tblPrEx>
        <w:trPr>
          <w:trHeight w:val="540" w:hRule="atLeast"/>
        </w:trPr>
        <w:tc>
          <w:tcPr>
            <w:tcW w:w="68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lang w:val="en-US" w:eastAsia="zh-CN"/>
                <w14:textFill>
                  <w14:solidFill>
                    <w14:schemeClr w14:val="tx1"/>
                  </w14:solidFill>
                </w14:textFill>
              </w:rPr>
              <w:t>四</w:t>
            </w: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级</w:t>
            </w:r>
          </w:p>
        </w:tc>
        <w:tc>
          <w:tcPr>
            <w:tcW w:w="688"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一般</w:t>
            </w:r>
          </w:p>
        </w:tc>
        <w:tc>
          <w:tcPr>
            <w:tcW w:w="674"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uto"/>
              <w:ind w:left="0" w:leftChars="0" w:right="-57"/>
              <w:jc w:val="center"/>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蓝色</w:t>
            </w:r>
          </w:p>
        </w:tc>
        <w:tc>
          <w:tcPr>
            <w:tcW w:w="6473" w:type="dxa"/>
            <w:tcBorders>
              <w:top w:val="nil"/>
              <w:left w:val="nil"/>
              <w:bottom w:val="single" w:color="auto" w:sz="4" w:space="0"/>
              <w:right w:val="single" w:color="auto" w:sz="4" w:space="0"/>
            </w:tcBorders>
            <w:vAlign w:val="center"/>
          </w:tcPr>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内河风力6级以上的气象信息；</w:t>
            </w:r>
          </w:p>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雾、雪、暴风雨、沙尘暴等造成能见度不足1000米的信息；</w:t>
            </w:r>
          </w:p>
          <w:p>
            <w:pPr>
              <w:pStyle w:val="41"/>
              <w:keepNext w:val="0"/>
              <w:keepLines w:val="0"/>
              <w:pageBreakBefore w:val="0"/>
              <w:widowControl w:val="0"/>
              <w:numPr>
                <w:ilvl w:val="0"/>
                <w:numId w:val="7"/>
              </w:numPr>
              <w:suppressLineNumbers w:val="0"/>
              <w:kinsoku/>
              <w:wordWrap/>
              <w:overflowPunct/>
              <w:topLinePunct/>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Cs/>
                <w:color w:val="000000" w:themeColor="text1"/>
                <w:spacing w:val="0"/>
                <w:sz w:val="21"/>
                <w:szCs w:val="21"/>
                <w:highlight w:val="none"/>
                <w14:textFill>
                  <w14:solidFill>
                    <w14:schemeClr w14:val="tx1"/>
                  </w14:solidFill>
                </w14:textFill>
              </w:rPr>
              <w:t>预报有发生地质灾害可能性的信息。</w:t>
            </w:r>
          </w:p>
        </w:tc>
      </w:tr>
    </w:tbl>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37" w:name="_Toc10099"/>
      <w:bookmarkStart w:id="538" w:name="_Toc32489"/>
      <w:bookmarkStart w:id="539" w:name="_Toc4093"/>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3.</w:t>
      </w:r>
      <w:bookmarkEnd w:id="535"/>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预警信息发布</w:t>
      </w:r>
      <w:bookmarkEnd w:id="536"/>
      <w:bookmarkEnd w:id="537"/>
      <w:bookmarkEnd w:id="538"/>
      <w:bookmarkEnd w:id="539"/>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及转发</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eastAsia="仿宋_GB2312"/>
          <w:b/>
          <w:bCs/>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b/>
          <w:bCs/>
          <w:color w:val="000000" w:themeColor="text1"/>
          <w:spacing w:val="0"/>
          <w:sz w:val="32"/>
          <w:szCs w:val="32"/>
          <w:highlight w:val="none"/>
          <w:lang w:val="en-US" w:eastAsia="zh-CN"/>
          <w14:textFill>
            <w14:solidFill>
              <w14:schemeClr w14:val="tx1"/>
            </w14:solidFill>
          </w14:textFill>
        </w:rPr>
        <w:t>3.3.1预警信息发布</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按照《</w:t>
      </w:r>
      <w:r>
        <w:rPr>
          <w:rFonts w:hint="eastAsia" w:ascii="仿宋_GB2312" w:eastAsia="仿宋_GB2312"/>
          <w:color w:val="000000" w:themeColor="text1"/>
          <w:spacing w:val="0"/>
          <w:sz w:val="32"/>
          <w:szCs w:val="32"/>
          <w:highlight w:val="none"/>
          <w14:textFill>
            <w14:solidFill>
              <w14:schemeClr w14:val="tx1"/>
            </w14:solidFill>
          </w14:textFill>
        </w:rPr>
        <w:t>宁夏回族自治区突发事件预警信息发布管理办法</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》等规定，按程序发布一级（红色）、二级（橙色）水上交通事故的预警信息。</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水路交通</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事故</w:t>
      </w:r>
      <w:r>
        <w:rPr>
          <w:rFonts w:hint="eastAsia" w:ascii="仿宋_GB2312" w:hAnsi="Calibri" w:eastAsia="仿宋_GB2312"/>
          <w:color w:val="000000" w:themeColor="text1"/>
          <w:spacing w:val="0"/>
          <w:sz w:val="32"/>
          <w:szCs w:val="32"/>
          <w:highlight w:val="none"/>
          <w14:textFill>
            <w14:solidFill>
              <w14:schemeClr w14:val="tx1"/>
            </w14:solidFill>
          </w14:textFill>
        </w:rPr>
        <w:t>预警信息包括：</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突发事件的类别、预警级别、可能影响的范围、警示事项、应当采取的措施、发布机关和发布时间、起始时间、事态发展咨询渠道等。</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eastAsia="仿宋_GB2312"/>
          <w:b/>
          <w:bCs/>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b/>
          <w:bCs/>
          <w:color w:val="000000" w:themeColor="text1"/>
          <w:spacing w:val="0"/>
          <w:sz w:val="32"/>
          <w:szCs w:val="32"/>
          <w:highlight w:val="none"/>
          <w:lang w:val="en-US" w:eastAsia="zh-CN"/>
          <w14:textFill>
            <w14:solidFill>
              <w14:schemeClr w14:val="tx1"/>
            </w14:solidFill>
          </w14:textFill>
        </w:rPr>
        <w:t>3.3.2预警信息转发</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color w:val="000000" w:themeColor="text1"/>
          <w:spacing w:val="0"/>
          <w:sz w:val="32"/>
          <w:szCs w:val="32"/>
          <w:highlight w:val="none"/>
          <w14:textFill>
            <w14:solidFill>
              <w14:schemeClr w14:val="tx1"/>
            </w14:solidFill>
          </w14:textFill>
        </w:rPr>
        <w:t>收到预警信息后，根据预警等级进行分级处置。</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一级（红色）</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二级（橙色）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综合协调组拟定实施意见报厅应急办，经厅应急办研判，</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报</w:t>
      </w:r>
      <w:r>
        <w:rPr>
          <w:rFonts w:hint="eastAsia" w:ascii="仿宋_GB2312" w:hAnsi="Calibri" w:eastAsia="仿宋_GB2312"/>
          <w:color w:val="000000" w:themeColor="text1"/>
          <w:spacing w:val="0"/>
          <w:sz w:val="32"/>
          <w:szCs w:val="32"/>
          <w:highlight w:val="none"/>
          <w14:textFill>
            <w14:solidFill>
              <w14:schemeClr w14:val="tx1"/>
            </w14:solidFill>
          </w14:textFill>
        </w:rPr>
        <w:t>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主要负责人同意</w:t>
      </w:r>
      <w:r>
        <w:rPr>
          <w:rFonts w:hint="eastAsia" w:ascii="仿宋_GB2312" w:hAnsi="Calibri" w:eastAsia="仿宋_GB2312"/>
          <w:color w:val="000000" w:themeColor="text1"/>
          <w:spacing w:val="0"/>
          <w:sz w:val="32"/>
          <w:szCs w:val="32"/>
          <w:highlight w:val="none"/>
          <w14:textFill>
            <w14:solidFill>
              <w14:schemeClr w14:val="tx1"/>
            </w14:solidFill>
          </w14:textFill>
        </w:rPr>
        <w:t>后启动预警；</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eastAsia="仿宋_GB2312"/>
          <w:color w:val="000000" w:themeColor="text1"/>
          <w:spacing w:val="0"/>
          <w:sz w:val="32"/>
          <w:szCs w:val="32"/>
          <w:highlight w:val="none"/>
          <w14:textFill>
            <w14:solidFill>
              <w14:schemeClr w14:val="tx1"/>
            </w14:solidFill>
          </w14:textFill>
        </w:rPr>
        <w:t>将预警信息立即传达所涉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及有关单位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各应急工作组进入待命状态</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ascii="仿宋_GB2312" w:eastAsia="仿宋_GB2312"/>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2</w:t>
      </w:r>
      <w:r>
        <w:rPr>
          <w:rFonts w:ascii="仿宋_GB2312" w:eastAsia="仿宋_GB2312"/>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三级（黄色）、四级（蓝色）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综合协调组拟定实施意见报厅应急办，经厅应急办研判，</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报</w:t>
      </w:r>
      <w:r>
        <w:rPr>
          <w:rFonts w:hint="eastAsia" w:ascii="仿宋_GB2312" w:hAnsi="Calibri" w:eastAsia="仿宋_GB2312"/>
          <w:color w:val="000000" w:themeColor="text1"/>
          <w:spacing w:val="0"/>
          <w:sz w:val="32"/>
          <w:szCs w:val="32"/>
          <w:highlight w:val="none"/>
          <w14:textFill>
            <w14:solidFill>
              <w14:schemeClr w14:val="tx1"/>
            </w14:solidFill>
          </w14:textFill>
        </w:rPr>
        <w:t>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分管厅领导同意</w:t>
      </w:r>
      <w:r>
        <w:rPr>
          <w:rFonts w:hint="eastAsia" w:ascii="仿宋_GB2312" w:hAnsi="Calibri" w:eastAsia="仿宋_GB2312"/>
          <w:color w:val="000000" w:themeColor="text1"/>
          <w:spacing w:val="0"/>
          <w:sz w:val="32"/>
          <w:szCs w:val="32"/>
          <w:highlight w:val="none"/>
          <w14:textFill>
            <w14:solidFill>
              <w14:schemeClr w14:val="tx1"/>
            </w14:solidFill>
          </w14:textFill>
        </w:rPr>
        <w:t>后</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启动预警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将预警信息传达厅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eastAsia="仿宋_GB2312"/>
          <w:color w:val="000000" w:themeColor="text1"/>
          <w:spacing w:val="0"/>
          <w:sz w:val="32"/>
          <w:szCs w:val="32"/>
          <w:highlight w:val="none"/>
          <w14:textFill>
            <w14:solidFill>
              <w14:schemeClr w14:val="tx1"/>
            </w14:solidFill>
          </w14:textFill>
        </w:rPr>
        <w:t>，督导相关单位做好防御准备和防御响应工作。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在预警过程中如发现风险扩大趋势，应采取紧急措施。</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40" w:name="_Toc26766"/>
      <w:bookmarkStart w:id="541" w:name="_Toc5711"/>
      <w:bookmarkStart w:id="542" w:name="_Toc10327"/>
      <w:bookmarkStart w:id="543" w:name="_Toc27451"/>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3.4预警行动</w:t>
      </w:r>
      <w:bookmarkEnd w:id="540"/>
      <w:bookmarkEnd w:id="541"/>
      <w:bookmarkEnd w:id="542"/>
      <w:bookmarkEnd w:id="543"/>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544" w:name="_Toc195622679"/>
      <w:bookmarkStart w:id="545" w:name="_Toc245618737"/>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工作指挥机构成员</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单位应当根据预警信息和各自职责，迅速做好应急救援准备工作。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交通行业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水上应急救援力量应当进入待命状态，做好应急救援准备。</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从事水上活动的有关单位、船舶和人员应注意接收预警信息，根据不同预警级别，采取相应预防措施，防止水上交通突发事件对人员生命、财产和环境造成危害。</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）各级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应调查了解各自辖区通航水域情况，对容易引发事故的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重大风险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进行调查、登记，结合</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水路交通突发事件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的特点，协调相关部门划定避险水域，并通报当地人民政府。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46" w:name="_Toc26003"/>
      <w:bookmarkStart w:id="547" w:name="_Toc15320"/>
      <w:bookmarkStart w:id="548" w:name="_Toc6669"/>
      <w:bookmarkStart w:id="549" w:name="_Toc9095"/>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3.5预警调整与终止</w:t>
      </w:r>
      <w:bookmarkEnd w:id="546"/>
      <w:bookmarkEnd w:id="547"/>
      <w:bookmarkEnd w:id="548"/>
      <w:bookmarkEnd w:id="54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根据预警信息变化和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受影响情况，由</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提出</w:t>
      </w:r>
      <w:r>
        <w:rPr>
          <w:rFonts w:hint="eastAsia" w:ascii="仿宋_GB2312" w:eastAsia="仿宋_GB2312"/>
          <w:b w:val="0"/>
          <w:bCs w:val="0"/>
          <w:color w:val="000000" w:themeColor="text1"/>
          <w:spacing w:val="0"/>
          <w:sz w:val="32"/>
          <w:szCs w:val="32"/>
          <w:highlight w:val="none"/>
          <w14:textFill>
            <w14:solidFill>
              <w14:schemeClr w14:val="tx1"/>
            </w14:solidFill>
          </w14:textFill>
        </w:rPr>
        <w:t>调整、终止</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预警响应的建议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，经厅应急办核准，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。当相关预警解除，且</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受影响趋于消除时，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响应可自动终止。</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550" w:name="_Toc13011"/>
      <w:bookmarkStart w:id="551" w:name="_Toc23456"/>
      <w:bookmarkStart w:id="552" w:name="_Toc13613"/>
      <w:bookmarkStart w:id="553" w:name="_Toc7300"/>
      <w:bookmarkStart w:id="554" w:name="_Toc12975"/>
      <w:bookmarkStart w:id="555" w:name="_Toc8784"/>
      <w:bookmarkStart w:id="556" w:name="_Toc5726"/>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4.应急响应</w:t>
      </w:r>
      <w:bookmarkEnd w:id="544"/>
      <w:bookmarkEnd w:id="545"/>
      <w:bookmarkEnd w:id="550"/>
      <w:bookmarkEnd w:id="551"/>
      <w:bookmarkEnd w:id="552"/>
      <w:bookmarkEnd w:id="553"/>
      <w:bookmarkEnd w:id="554"/>
      <w:bookmarkEnd w:id="555"/>
      <w:bookmarkEnd w:id="556"/>
      <w:bookmarkStart w:id="557" w:name="_Toc245618738"/>
      <w:bookmarkStart w:id="558" w:name="_Toc78604030"/>
      <w:bookmarkStart w:id="559" w:name="_Toc68886682"/>
      <w:bookmarkStart w:id="560" w:name="_Toc195622680"/>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61" w:name="_Toc3088"/>
      <w:bookmarkStart w:id="562" w:name="_Toc11508"/>
      <w:bookmarkStart w:id="563" w:name="_Toc22277"/>
      <w:bookmarkStart w:id="564" w:name="_Toc4988"/>
      <w:bookmarkStart w:id="565" w:name="_Toc27582"/>
      <w:bookmarkStart w:id="566" w:name="_Toc8190"/>
      <w:bookmarkStart w:id="567" w:name="_Toc26306"/>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4.1信息报告</w:t>
      </w:r>
      <w:bookmarkEnd w:id="561"/>
      <w:bookmarkEnd w:id="562"/>
      <w:bookmarkEnd w:id="563"/>
      <w:bookmarkEnd w:id="564"/>
      <w:bookmarkEnd w:id="565"/>
      <w:bookmarkEnd w:id="566"/>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568" w:name="_Toc14484"/>
      <w:bookmarkStart w:id="569" w:name="_Toc30312"/>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w:t>
      </w:r>
      <w:bookmarkEnd w:id="568"/>
      <w:bookmarkEnd w:id="56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收集</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信息报告的主要方式是网络、电话、传真及其他通信手段，需要重点</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收集</w:t>
      </w:r>
      <w:r>
        <w:rPr>
          <w:rFonts w:hint="eastAsia" w:ascii="仿宋_GB2312" w:hAnsi="Calibri" w:eastAsia="仿宋_GB2312"/>
          <w:color w:val="000000" w:themeColor="text1"/>
          <w:spacing w:val="0"/>
          <w:sz w:val="32"/>
          <w:szCs w:val="32"/>
          <w:highlight w:val="none"/>
          <w14:textFill>
            <w14:solidFill>
              <w14:schemeClr w14:val="tx1"/>
            </w14:solidFill>
          </w14:textFill>
        </w:rPr>
        <w:t>的信息包括：</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（1）事件现场位置、事件性质、事件发生时间、影响范围及发展态势，事发</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地点</w:t>
      </w:r>
      <w:r>
        <w:rPr>
          <w:rFonts w:hint="eastAsia" w:ascii="仿宋_GB2312" w:hAnsi="Calibri" w:eastAsia="仿宋_GB2312"/>
          <w:color w:val="000000" w:themeColor="text1"/>
          <w:spacing w:val="0"/>
          <w:sz w:val="32"/>
          <w:szCs w:val="32"/>
          <w:highlight w:val="none"/>
          <w14:textFill>
            <w14:solidFill>
              <w14:schemeClr w14:val="tx1"/>
            </w14:solidFill>
          </w14:textFill>
        </w:rPr>
        <w:t>和航道的名称、设施及装卸储运情况和联系方式</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（2）事件造成的破坏、损失、人员伤亡等情况</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（3）是否有危险品、是否可能发生起火爆炸、泄漏等潜在危险及已采取的措施</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（4）到达现场进行处置的单位、人员及组织情况；已经采取的措施、效果，已发出的援助要求和已开展救援活动的时间、设备、联系人等</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（5）现场环境情况及近期动态预报，包括风向风力、能见度、水流流速和流向等。</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570" w:name="_Toc28456"/>
      <w:bookmarkStart w:id="571" w:name="_Toc24962"/>
      <w:bookmarkStart w:id="572" w:name="_Toc32102"/>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w:t>
      </w:r>
      <w:bookmarkEnd w:id="570"/>
      <w:bookmarkEnd w:id="571"/>
      <w:bookmarkEnd w:id="572"/>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上报</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各级交通运输部门和单位按照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《全区交通运输行业突发事件信息管理制度（试行）》等规定，报告突发事件信息。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接到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按规定程序进行报送。</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573" w:name="_Toc18359"/>
      <w:bookmarkStart w:id="574" w:name="_Toc7566"/>
      <w:bookmarkStart w:id="575" w:name="_Toc15224"/>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2分级</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响应</w:t>
      </w:r>
      <w:bookmarkEnd w:id="557"/>
      <w:bookmarkEnd w:id="567"/>
      <w:bookmarkEnd w:id="573"/>
      <w:bookmarkEnd w:id="574"/>
      <w:bookmarkEnd w:id="575"/>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水路交通突发事件应急响应根据突发事件的级别，分为I级、Ⅱ级、Ⅲ级和Ⅳ级四个响应等级</w:t>
      </w:r>
      <w:bookmarkStart w:id="576" w:name="_Toc245618739"/>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事件分级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相对应。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当接到交通运输部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应急响应信息后</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以及</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发生特别重大、重大水路交通突发事件</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或重大涉险事故时</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交通运输厅启动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发生较大、一般水路交通突发事件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或较大涉险事故时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，超出事发地市、县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应对能力，经市、县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交通运输主管部门提出或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交通运输厅认为必要时，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工作指挥机构办公室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eastAsia="仿宋_GB2312"/>
          <w:color w:val="000000" w:themeColor="text1"/>
          <w:spacing w:val="0"/>
          <w:sz w:val="32"/>
          <w:szCs w:val="32"/>
          <w:highlight w:val="none"/>
          <w14:textFill>
            <w14:solidFill>
              <w14:schemeClr w14:val="tx1"/>
            </w14:solidFill>
          </w14:textFill>
        </w:rPr>
        <w:t>政府责成处理的</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突发事件，</w:t>
      </w:r>
      <w:r>
        <w:rPr>
          <w:rFonts w:hint="eastAsia" w:ascii="仿宋_GB2312" w:eastAsia="仿宋_GB2312"/>
          <w:color w:val="000000" w:themeColor="text1"/>
          <w:spacing w:val="0"/>
          <w:sz w:val="32"/>
          <w:szCs w:val="32"/>
          <w:highlight w:val="none"/>
          <w:lang w:eastAsia="zh-CN"/>
          <w14:textFill>
            <w14:solidFill>
              <w14:schemeClr w14:val="tx1"/>
            </w14:solidFill>
          </w14:textFill>
        </w:rPr>
        <w:t>厅工作指挥机构</w:t>
      </w:r>
      <w:r>
        <w:rPr>
          <w:rFonts w:hint="eastAsia" w:ascii="仿宋_GB2312" w:eastAsia="仿宋_GB2312"/>
          <w:color w:val="000000" w:themeColor="text1"/>
          <w:spacing w:val="0"/>
          <w:sz w:val="32"/>
          <w:szCs w:val="32"/>
          <w:highlight w:val="none"/>
          <w14:textFill>
            <w14:solidFill>
              <w14:schemeClr w14:val="tx1"/>
            </w14:solidFill>
          </w14:textFill>
        </w:rPr>
        <w:t>研判后启动相应等级响应。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77" w:name="_Toc29714"/>
      <w:bookmarkStart w:id="578" w:name="_Toc9583"/>
      <w:bookmarkStart w:id="579" w:name="_Toc1276"/>
      <w:bookmarkStart w:id="580" w:name="_Toc20165"/>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3应急</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响应</w:t>
      </w:r>
      <w:bookmarkEnd w:id="576"/>
      <w:bookmarkEnd w:id="577"/>
      <w:bookmarkEnd w:id="578"/>
      <w:bookmarkEnd w:id="579"/>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及行动</w:t>
      </w:r>
      <w:bookmarkEnd w:id="580"/>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经工作机构办公室</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根据事件影响范围和处置难易程度分析研判，提出启动应急响应建议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，经厅应急办核准，报厅工作指挥机构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应急响应的，由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w:t>
      </w:r>
      <w:r>
        <w:rPr>
          <w:rFonts w:hint="eastAsia" w:eastAsia="仿宋_GB2312"/>
          <w:color w:val="000000" w:themeColor="text1"/>
          <w:spacing w:val="0"/>
          <w:sz w:val="32"/>
          <w:szCs w:val="32"/>
          <w:highlight w:val="none"/>
          <w14:textFill>
            <w14:solidFill>
              <w14:schemeClr w14:val="tx1"/>
            </w14:solidFill>
          </w14:textFill>
        </w:rPr>
        <w:t>，</w:t>
      </w:r>
      <w:r>
        <w:rPr>
          <w:rFonts w:eastAsia="仿宋_GB2312"/>
          <w:color w:val="000000" w:themeColor="text1"/>
          <w:spacing w:val="0"/>
          <w:sz w:val="32"/>
          <w:szCs w:val="32"/>
          <w:highlight w:val="none"/>
          <w14:textFill>
            <w14:solidFill>
              <w14:schemeClr w14:val="tx1"/>
            </w14:solidFill>
          </w14:textFill>
        </w:rPr>
        <w:t>成立现场工作组，赶赴现场</w:t>
      </w:r>
      <w:r>
        <w:rPr>
          <w:rFonts w:hint="eastAsia" w:eastAsia="仿宋_GB2312"/>
          <w:color w:val="000000" w:themeColor="text1"/>
          <w:spacing w:val="0"/>
          <w:sz w:val="32"/>
          <w:szCs w:val="32"/>
          <w:highlight w:val="none"/>
          <w14:textFill>
            <w14:solidFill>
              <w14:schemeClr w14:val="tx1"/>
            </w14:solidFill>
          </w14:textFill>
        </w:rPr>
        <w:t>，</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事发地交通运输主管部门配合人民政府</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组织救援</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将启动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应急响应有关信息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和应急处置</w:t>
      </w:r>
      <w:r>
        <w:rPr>
          <w:rFonts w:hint="eastAsia" w:eastAsia="仿宋_GB2312"/>
          <w:color w:val="000000" w:themeColor="text1"/>
          <w:spacing w:val="0"/>
          <w:sz w:val="32"/>
          <w:szCs w:val="32"/>
          <w:highlight w:val="none"/>
          <w14:textFill>
            <w14:solidFill>
              <w14:schemeClr w14:val="tx1"/>
            </w14:solidFill>
          </w14:textFill>
        </w:rPr>
        <w:t>遇到的重大情况</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按规定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程序报送</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抄送应急协作部门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地区的政府部门通报情况。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eastAsia="仿宋_GB2312"/>
          <w:color w:val="000000" w:themeColor="text1"/>
          <w:spacing w:val="0"/>
          <w:sz w:val="32"/>
          <w:szCs w:val="32"/>
          <w:highlight w:val="none"/>
          <w:lang w:eastAsia="zh-CN"/>
          <w14:textFill>
            <w14:solidFill>
              <w14:schemeClr w14:val="tx1"/>
            </w14:solidFill>
          </w14:textFill>
        </w:rPr>
        <w:t>Ⅲ级、Ⅳ级</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eastAsia="仿宋_GB2312"/>
          <w:color w:val="000000" w:themeColor="text1"/>
          <w:spacing w:val="0"/>
          <w:sz w:val="32"/>
          <w:szCs w:val="32"/>
          <w:highlight w:val="none"/>
          <w:lang w:eastAsia="zh-CN"/>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的，由指挥长宣布启动并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指导、协调应急处置工作，主要采取以下措施：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①根据需要参与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属地应急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指挥部组织的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会商，及时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督促、指导市、县（区）交通部门等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落实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召集各工作组视情研判，遇到重要情况及时召集会商研判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③视情派出现场工作组或专家组给予指导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④实行值班值守，密切跟踪事态进展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⑤协助地方开展应急处置工作。</w:t>
      </w:r>
    </w:p>
    <w:bookmarkEnd w:id="558"/>
    <w:bookmarkEnd w:id="559"/>
    <w:bookmarkEnd w:id="560"/>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581" w:name="_Toc78604046"/>
      <w:bookmarkStart w:id="582" w:name="_Toc7928"/>
      <w:bookmarkStart w:id="583" w:name="_Toc195622689"/>
      <w:bookmarkStart w:id="584" w:name="_Toc10250"/>
      <w:bookmarkStart w:id="585" w:name="_Toc11782"/>
      <w:bookmarkStart w:id="586" w:name="_Toc245618742"/>
      <w:bookmarkStart w:id="587" w:name="_Toc4871"/>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bookmarkEnd w:id="581"/>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应急处置</w:t>
      </w:r>
      <w:bookmarkEnd w:id="582"/>
      <w:bookmarkEnd w:id="583"/>
      <w:bookmarkEnd w:id="584"/>
      <w:bookmarkEnd w:id="585"/>
      <w:bookmarkEnd w:id="586"/>
      <w:bookmarkStart w:id="588" w:name="_Toc68886693"/>
      <w:bookmarkStart w:id="589" w:name="_Toc78604045"/>
      <w:bookmarkStart w:id="590" w:name="_Toc107679631"/>
      <w:bookmarkStart w:id="591" w:name="_Toc195622690"/>
      <w:bookmarkStart w:id="592" w:name="_Toc78604047"/>
      <w:bookmarkStart w:id="593" w:name="_Toc68886696"/>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措施</w:t>
      </w:r>
      <w:bookmarkEnd w:id="587"/>
    </w:p>
    <w:bookmarkEnd w:id="588"/>
    <w:bookmarkEnd w:id="589"/>
    <w:bookmarkEnd w:id="590"/>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事发地交通运输主管部门要了解事故发生的位置，掌握周围区域环境情况</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风险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情况、居民住宅区情况等</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，确定突发事件特点和影响范围，明确应急处置技术，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协助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标明危险区域、划定警戒区等现场控制工作。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）发生人员伤亡时，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现场工作组配合相关部门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，及时疏导水上交通，控制事态发展，最大限度地降低事故损失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疏散、撤离并妥善安置相关人员，协调调度应急车辆及必要的后勤支援，做好</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设施</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恢复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和救援物资保障。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）组织专家研判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船舶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火灾事故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的后果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以及由此导致</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衍生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灾害的影响，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做好水上交通管制，对其他船舶进行必要的隔离；为防止发生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衍生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事故，在火情得到初步控制和采取了降温等措施后，应尽可能将失火船舶移位，远离重要设施区域。</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发生水域严重污染时，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实施临时交通管制，疏散其他船舶及事故水域的人员，控制闲杂人员进入；所有附近船舶机器、相关设施必须停止运转，附近岸边、船舶及相关设施禁止一切明火；进入现场人员都要佩戴针对性的防护用具。</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因沉船、碰撞、沉物而引起的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堵塞，组织</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协调、指导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沉船等碍航物的打捞或清障工作，并及时将相关情况发布给有关部门和受影响的船舶，避免堵航事故发生；迅速将事故船舶拖离</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航道</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，恢复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畅通</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同时，因船舶撞到铁路桥、公路桥引发的次生事故，及时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报告自治区有关部门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Calibri" w:eastAsia="仿宋_GB2312"/>
          <w:color w:val="000000" w:themeColor="text1"/>
          <w:spacing w:val="0"/>
          <w:sz w:val="32"/>
          <w:szCs w:val="32"/>
          <w:highlight w:val="none"/>
          <w14:textFill>
            <w14:solidFill>
              <w14:schemeClr w14:val="tx1"/>
            </w14:solidFill>
          </w14:textFill>
        </w:rPr>
        <w:t>）根据应急处置需要，协调调度应急队伍、应急车辆及船舶、应急设备与器材及必要的后勤支援，协调相关部门投入应急反应行动。</w:t>
      </w:r>
    </w:p>
    <w:bookmarkEnd w:id="591"/>
    <w:bookmarkEnd w:id="592"/>
    <w:bookmarkEnd w:id="593"/>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594" w:name="_Toc78604052"/>
      <w:bookmarkStart w:id="595" w:name="_Toc68886717"/>
      <w:bookmarkStart w:id="596" w:name="_Toc22756"/>
      <w:bookmarkStart w:id="597" w:name="_Toc9116"/>
      <w:bookmarkStart w:id="598" w:name="_Toc26290"/>
      <w:bookmarkStart w:id="599" w:name="_Toc195622696"/>
      <w:bookmarkStart w:id="600" w:name="_Toc15075"/>
      <w:bookmarkStart w:id="601" w:name="_Toc245618744"/>
      <w:bookmarkStart w:id="602" w:name="_Toc78604053"/>
      <w:bookmarkStart w:id="603" w:name="_Toc68886721"/>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新闻</w:t>
      </w:r>
      <w:bookmarkEnd w:id="594"/>
      <w:bookmarkEnd w:id="595"/>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发布</w:t>
      </w:r>
      <w:bookmarkEnd w:id="596"/>
      <w:bookmarkEnd w:id="597"/>
      <w:bookmarkEnd w:id="598"/>
      <w:bookmarkEnd w:id="599"/>
      <w:bookmarkEnd w:id="600"/>
      <w:bookmarkEnd w:id="601"/>
      <w:bookmarkStart w:id="604" w:name="_Toc67039000"/>
    </w:p>
    <w:bookmarkEnd w:id="604"/>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bookmarkStart w:id="605" w:name="_Toc195622697"/>
      <w:bookmarkStart w:id="606" w:name="_Toc245618745"/>
      <w:bookmarkStart w:id="607" w:name="_Toc10030"/>
      <w:bookmarkStart w:id="608" w:name="_Toc1195"/>
      <w:bookmarkStart w:id="609" w:name="_Toc31116"/>
      <w:bookmarkStart w:id="610" w:name="_Toc10383"/>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w:t>
      </w:r>
      <w:r>
        <w:rPr>
          <w:rFonts w:hint="eastAsia" w:eastAsia="仿宋_GB2312"/>
          <w:color w:val="000000" w:themeColor="text1"/>
          <w:spacing w:val="0"/>
          <w:sz w:val="32"/>
          <w:szCs w:val="32"/>
          <w:highlight w:val="none"/>
          <w14:textFill>
            <w14:solidFill>
              <w14:schemeClr w14:val="tx1"/>
            </w14:solidFill>
          </w14:textFill>
        </w:rPr>
        <w:t>突发事件信息发布</w:t>
      </w:r>
      <w:r>
        <w:rPr>
          <w:rFonts w:hint="eastAsia" w:eastAsia="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bookmarkEnd w:id="602"/>
      <w:bookmarkEnd w:id="603"/>
      <w:bookmarkEnd w:id="605"/>
      <w:bookmarkEnd w:id="606"/>
      <w:bookmarkStart w:id="611" w:name="_Toc78604054"/>
      <w:bookmarkStart w:id="612" w:name="_Toc68886722"/>
      <w:bookmarkStart w:id="613" w:name="_Toc195622698"/>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6</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响应级别调整和终止</w:t>
      </w:r>
      <w:bookmarkEnd w:id="607"/>
      <w:bookmarkEnd w:id="608"/>
      <w:bookmarkEnd w:id="609"/>
      <w:bookmarkEnd w:id="610"/>
    </w:p>
    <w:bookmarkEnd w:id="611"/>
    <w:bookmarkEnd w:id="612"/>
    <w:bookmarkEnd w:id="613"/>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bookmarkStart w:id="614" w:name="_Toc195622699"/>
      <w:bookmarkStart w:id="615" w:name="_Toc78604055"/>
      <w:bookmarkStart w:id="616" w:name="_Toc68886725"/>
      <w:r>
        <w:rPr>
          <w:rFonts w:ascii="仿宋_GB2312" w:hAnsi="Times New Roman" w:eastAsia="仿宋_GB2312" w:cs="Times New Roman"/>
          <w:color w:val="000000" w:themeColor="text1"/>
          <w:spacing w:val="0"/>
          <w:sz w:val="32"/>
          <w:szCs w:val="32"/>
          <w:highlight w:val="none"/>
          <w14:textFill>
            <w14:solidFill>
              <w14:schemeClr w14:val="tx1"/>
            </w14:solidFill>
          </w14:textFill>
        </w:rPr>
        <w:t>在确认突发事件得到有效控制、危害已经消除后，</w:t>
      </w:r>
      <w:r>
        <w:rPr>
          <w:rFonts w:hint="eastAsia" w:ascii="仿宋_GB2312" w:eastAsia="仿宋_GB2312"/>
          <w:color w:val="000000" w:themeColor="text1"/>
          <w:spacing w:val="0"/>
          <w:sz w:val="32"/>
          <w:szCs w:val="32"/>
          <w:highlight w:val="none"/>
          <w14:textFill>
            <w14:solidFill>
              <w14:schemeClr w14:val="tx1"/>
            </w14:solidFill>
          </w14:textFill>
        </w:rPr>
        <w:t>由负责组织应急处置指挥机构宣布调整或解除应急响应，</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或</w:t>
      </w:r>
      <w:r>
        <w:rPr>
          <w:rFonts w:hint="eastAsia" w:ascii="仿宋_GB2312" w:eastAsia="仿宋_GB2312"/>
          <w:color w:val="000000" w:themeColor="text1"/>
          <w:spacing w:val="0"/>
          <w:sz w:val="32"/>
          <w:szCs w:val="32"/>
          <w:highlight w:val="none"/>
          <w14:textFill>
            <w14:solidFill>
              <w14:schemeClr w14:val="tx1"/>
            </w14:solidFill>
          </w14:textFill>
        </w:rPr>
        <w:t>经</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经厅应急办核准，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同意后实施；并</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bookmarkEnd w:id="614"/>
    <w:bookmarkEnd w:id="615"/>
    <w:bookmarkEnd w:id="616"/>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617" w:name="_Toc17610"/>
      <w:bookmarkStart w:id="618" w:name="_Toc245618746"/>
      <w:bookmarkStart w:id="619" w:name="_Toc19026"/>
      <w:bookmarkStart w:id="620" w:name="_Toc2528"/>
      <w:bookmarkStart w:id="621" w:name="_Toc8245"/>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4.</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7</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后期处置</w:t>
      </w:r>
      <w:bookmarkEnd w:id="617"/>
      <w:bookmarkEnd w:id="618"/>
      <w:bookmarkEnd w:id="619"/>
      <w:bookmarkEnd w:id="620"/>
      <w:bookmarkEnd w:id="621"/>
      <w:bookmarkStart w:id="622" w:name="_Toc78604057"/>
      <w:bookmarkStart w:id="623" w:name="_Toc245618747"/>
      <w:bookmarkStart w:id="624" w:name="_Toc195622701"/>
      <w:bookmarkStart w:id="625" w:name="_Toc68886727"/>
    </w:p>
    <w:bookmarkEnd w:id="622"/>
    <w:bookmarkEnd w:id="623"/>
    <w:bookmarkEnd w:id="624"/>
    <w:bookmarkEnd w:id="625"/>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626" w:name="_Toc31034"/>
      <w:bookmarkStart w:id="627" w:name="_Toc86134301"/>
      <w:bookmarkStart w:id="628" w:name="_Toc81245716"/>
      <w:bookmarkStart w:id="629" w:name="_Toc88082742"/>
      <w:bookmarkStart w:id="630" w:name="_Toc26348"/>
      <w:bookmarkStart w:id="631" w:name="_Toc195622703"/>
      <w:bookmarkStart w:id="632" w:name="_Toc78604059"/>
      <w:bookmarkStart w:id="633" w:name="_Toc68886730"/>
      <w:bookmarkStart w:id="634" w:name="_Toc195622705"/>
      <w:bookmarkStart w:id="635" w:name="_Toc68886738"/>
      <w:bookmarkStart w:id="636" w:name="_Toc78604061"/>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4.7.1善后处置</w:t>
      </w:r>
      <w:bookmarkEnd w:id="626"/>
      <w:bookmarkEnd w:id="627"/>
      <w:bookmarkEnd w:id="628"/>
      <w:bookmarkEnd w:id="629"/>
      <w:bookmarkEnd w:id="63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bookmarkStart w:id="637" w:name="_Hlk85729634"/>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交通运输厅在</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人民</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政府以及负责事故调查处置的相关机构的统一领导下，配合做好善后处置工作。</w:t>
      </w:r>
    </w:p>
    <w:bookmarkEnd w:id="637"/>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638" w:name="_Toc20"/>
      <w:bookmarkStart w:id="639" w:name="_Toc11165"/>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4.7.2恢复重建</w:t>
      </w:r>
      <w:bookmarkEnd w:id="631"/>
      <w:bookmarkEnd w:id="632"/>
      <w:bookmarkEnd w:id="633"/>
      <w:bookmarkEnd w:id="638"/>
      <w:bookmarkEnd w:id="639"/>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交通运输厅应将</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水路交通突发事件恢复重建措施落实情况及时上报交通运输部及</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人民政府。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市级</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交通运输</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主管部门</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应将</w:t>
      </w:r>
      <w:r>
        <w:rPr>
          <w:rFonts w:hint="eastAsia" w:ascii="仿宋_GB2312" w:eastAsia="仿宋_GB2312"/>
          <w:color w:val="000000" w:themeColor="text1"/>
          <w:spacing w:val="0"/>
          <w:sz w:val="32"/>
          <w:szCs w:val="32"/>
          <w:highlight w:val="none"/>
          <w:lang w:eastAsia="zh-CN"/>
          <w14:textFill>
            <w14:solidFill>
              <w14:schemeClr w14:val="tx1"/>
            </w14:solidFill>
          </w14:textFill>
        </w:rPr>
        <w:t>Ⅲ级</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水路交通突发事件恢复重建措施落实情况及时上报交通运输厅</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必要时</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交通运输厅</w:t>
      </w:r>
      <w:r>
        <w:rPr>
          <w:rFonts w:hint="eastAsia" w:ascii="仿宋_GB2312" w:hAnsi="Calibri" w:eastAsia="仿宋_GB2312"/>
          <w:color w:val="000000" w:themeColor="text1"/>
          <w:spacing w:val="0"/>
          <w:sz w:val="32"/>
          <w:szCs w:val="32"/>
          <w:highlight w:val="none"/>
          <w14:textFill>
            <w14:solidFill>
              <w14:schemeClr w14:val="tx1"/>
            </w14:solidFill>
          </w14:textFill>
        </w:rPr>
        <w:t>可派出工作人员进行现场指导。</w:t>
      </w:r>
    </w:p>
    <w:bookmarkEnd w:id="634"/>
    <w:bookmarkEnd w:id="635"/>
    <w:bookmarkEnd w:id="636"/>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640" w:name="_Toc17636"/>
      <w:bookmarkStart w:id="641" w:name="_Toc78604062"/>
      <w:bookmarkStart w:id="642" w:name="_Toc28188"/>
      <w:bookmarkStart w:id="643" w:name="_Toc245618750"/>
      <w:bookmarkStart w:id="644" w:name="_Toc10681"/>
      <w:bookmarkStart w:id="645" w:name="_Toc19559"/>
      <w:bookmarkStart w:id="646" w:name="_Toc6031"/>
      <w:bookmarkStart w:id="647" w:name="_Toc68886742"/>
      <w:bookmarkStart w:id="648" w:name="_Toc30779"/>
      <w:bookmarkStart w:id="649" w:name="_Toc195622706"/>
      <w:bookmarkStart w:id="650" w:name="_Toc10893"/>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5.应急保障</w:t>
      </w:r>
      <w:bookmarkEnd w:id="640"/>
      <w:bookmarkEnd w:id="641"/>
      <w:bookmarkEnd w:id="642"/>
      <w:bookmarkEnd w:id="643"/>
      <w:bookmarkEnd w:id="644"/>
      <w:bookmarkEnd w:id="645"/>
      <w:bookmarkEnd w:id="646"/>
      <w:bookmarkEnd w:id="647"/>
      <w:bookmarkEnd w:id="648"/>
      <w:bookmarkEnd w:id="649"/>
      <w:bookmarkEnd w:id="650"/>
      <w:bookmarkStart w:id="651" w:name="_Toc195622707"/>
      <w:bookmarkStart w:id="652" w:name="_Toc68886743"/>
      <w:bookmarkStart w:id="653" w:name="_Toc78604063"/>
      <w:bookmarkStart w:id="654" w:name="_Toc245618751"/>
    </w:p>
    <w:bookmarkEnd w:id="651"/>
    <w:bookmarkEnd w:id="652"/>
    <w:bookmarkEnd w:id="653"/>
    <w:bookmarkEnd w:id="654"/>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655" w:name="_Toc245618752"/>
      <w:bookmarkStart w:id="656" w:name="_Toc30661"/>
      <w:bookmarkStart w:id="657" w:name="_Toc8953"/>
      <w:bookmarkStart w:id="658" w:name="_Toc22784"/>
      <w:bookmarkStart w:id="659" w:name="_Toc195622708"/>
      <w:bookmarkStart w:id="660" w:name="_Toc5790"/>
      <w:bookmarkStart w:id="661" w:name="_Toc78604064"/>
      <w:bookmarkStart w:id="662" w:name="_Toc68886747"/>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5.1应急队伍保障</w:t>
      </w:r>
      <w:bookmarkEnd w:id="655"/>
      <w:bookmarkEnd w:id="656"/>
      <w:bookmarkEnd w:id="657"/>
      <w:bookmarkEnd w:id="658"/>
      <w:bookmarkEnd w:id="659"/>
      <w:bookmarkEnd w:id="660"/>
      <w:bookmarkStart w:id="663" w:name="_Toc195622709"/>
      <w:bookmarkStart w:id="664" w:name="_Toc245618753"/>
    </w:p>
    <w:bookmarkEnd w:id="661"/>
    <w:bookmarkEnd w:id="662"/>
    <w:bookmarkEnd w:id="663"/>
    <w:bookmarkEnd w:id="664"/>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bookmarkStart w:id="665" w:name="_Toc195622713"/>
      <w:bookmarkStart w:id="666" w:name="_Toc245618754"/>
      <w:r>
        <w:rPr>
          <w:rFonts w:hint="eastAsia" w:ascii="仿宋_GB2312" w:hAnsi="Calibri" w:eastAsia="仿宋_GB2312"/>
          <w:color w:val="000000" w:themeColor="text1"/>
          <w:spacing w:val="0"/>
          <w:sz w:val="32"/>
          <w:szCs w:val="32"/>
          <w:highlight w:val="none"/>
          <w14:textFill>
            <w14:solidFill>
              <w14:schemeClr w14:val="tx1"/>
            </w14:solidFill>
          </w14:textFill>
        </w:rPr>
        <w:t>（1）各级交通运输主管部门负责水路交通应急救援队伍的组建和日常管理，构建以渡口、</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水运</w:t>
      </w:r>
      <w:r>
        <w:rPr>
          <w:rFonts w:hint="eastAsia" w:ascii="仿宋_GB2312" w:hAnsi="Calibri" w:eastAsia="仿宋_GB2312"/>
          <w:color w:val="000000" w:themeColor="text1"/>
          <w:spacing w:val="0"/>
          <w:sz w:val="32"/>
          <w:szCs w:val="32"/>
          <w:highlight w:val="none"/>
          <w14:textFill>
            <w14:solidFill>
              <w14:schemeClr w14:val="tx1"/>
            </w14:solidFill>
          </w14:textFill>
        </w:rPr>
        <w:t>管理机构为主体的水路交通应急救援队伍。</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（2）各级水路交通突发事件应急指挥机构要建立现场救援、工程抢险等抢险救援队伍。</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bookmarkStart w:id="667" w:name="_Toc195622711"/>
      <w:bookmarkStart w:id="668" w:name="_Toc68886709"/>
      <w:bookmarkStart w:id="669" w:name="_Toc78604043"/>
      <w:r>
        <w:rPr>
          <w:rFonts w:hint="eastAsia" w:ascii="仿宋_GB2312" w:hAnsi="Calibri" w:eastAsia="仿宋_GB2312"/>
          <w:color w:val="000000" w:themeColor="text1"/>
          <w:spacing w:val="0"/>
          <w:sz w:val="32"/>
          <w:szCs w:val="32"/>
          <w:highlight w:val="none"/>
          <w14:textFill>
            <w14:solidFill>
              <w14:schemeClr w14:val="tx1"/>
            </w14:solidFill>
          </w14:textFill>
        </w:rPr>
        <w:t>（3）</w:t>
      </w:r>
      <w:bookmarkEnd w:id="667"/>
      <w:bookmarkEnd w:id="668"/>
      <w:bookmarkEnd w:id="669"/>
      <w:r>
        <w:rPr>
          <w:rFonts w:hint="eastAsia" w:ascii="仿宋_GB2312" w:hAnsi="Calibri" w:eastAsia="仿宋_GB2312"/>
          <w:color w:val="000000" w:themeColor="text1"/>
          <w:spacing w:val="0"/>
          <w:sz w:val="32"/>
          <w:szCs w:val="32"/>
          <w:highlight w:val="none"/>
          <w14:textFill>
            <w14:solidFill>
              <w14:schemeClr w14:val="tx1"/>
            </w14:solidFill>
          </w14:textFill>
        </w:rPr>
        <w:t>在接到突发事件报告并确认事件等级后，各级应急指挥机构根据事件等级向当地人民政府报告，视情动员社会力量参与应急反应。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670" w:name="_Toc68886748"/>
      <w:bookmarkStart w:id="671" w:name="_Toc78604065"/>
      <w:bookmarkStart w:id="672" w:name="_Toc2335"/>
      <w:bookmarkStart w:id="673" w:name="_Toc26793"/>
      <w:bookmarkStart w:id="674" w:name="_Toc24542"/>
      <w:bookmarkStart w:id="675" w:name="_Toc12555"/>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5.2应急物资装备保障</w:t>
      </w:r>
      <w:bookmarkEnd w:id="670"/>
      <w:bookmarkEnd w:id="671"/>
      <w:bookmarkEnd w:id="672"/>
      <w:bookmarkEnd w:id="673"/>
      <w:bookmarkEnd w:id="674"/>
      <w:bookmarkEnd w:id="675"/>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Calibri" w:eastAsia="仿宋_GB2312"/>
          <w:color w:val="000000" w:themeColor="text1"/>
          <w:spacing w:val="0"/>
          <w:sz w:val="32"/>
          <w:szCs w:val="32"/>
          <w:highlight w:val="none"/>
          <w14:textFill>
            <w14:solidFill>
              <w14:schemeClr w14:val="tx1"/>
            </w14:solidFill>
          </w14:textFill>
        </w:rPr>
        <w:t>各级水路交通应急指挥机构应建立健全应急物资储备保障制度，建立必要的应急资源保障机制，加强</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渡口、水上</w:t>
      </w:r>
      <w:r>
        <w:rPr>
          <w:rFonts w:hint="eastAsia" w:ascii="仿宋_GB2312" w:hAnsi="Calibri" w:eastAsia="仿宋_GB2312"/>
          <w:color w:val="000000" w:themeColor="text1"/>
          <w:spacing w:val="0"/>
          <w:sz w:val="32"/>
          <w:szCs w:val="32"/>
          <w:highlight w:val="none"/>
          <w14:textFill>
            <w14:solidFill>
              <w14:schemeClr w14:val="tx1"/>
            </w14:solidFill>
          </w14:textFill>
        </w:rPr>
        <w:t>应急救援物资实物储备，合理增加储备点和储备量，使其逐步覆盖辖区内所有港航设施。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负责指导相关水运企业根据自身特点和需要，储备一定数量救援、防火等应急保障物资。</w:t>
      </w:r>
    </w:p>
    <w:bookmarkEnd w:id="665"/>
    <w:bookmarkEnd w:id="666"/>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pPr>
      <w:bookmarkStart w:id="676" w:name="_Toc26480"/>
      <w:bookmarkStart w:id="677" w:name="_Toc1572"/>
      <w:bookmarkStart w:id="678" w:name="_Toc245618758"/>
      <w:bookmarkStart w:id="679" w:name="_Toc10340"/>
      <w:bookmarkStart w:id="680" w:name="_Toc21943"/>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5.</w:t>
      </w: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sz w:val="32"/>
          <w:szCs w:val="32"/>
          <w:highlight w:val="none"/>
          <w14:textFill>
            <w14:solidFill>
              <w14:schemeClr w14:val="tx1"/>
            </w14:solidFill>
          </w14:textFill>
        </w:rPr>
        <w:t>培训和演练</w:t>
      </w:r>
      <w:bookmarkEnd w:id="676"/>
      <w:bookmarkEnd w:id="677"/>
      <w:bookmarkEnd w:id="678"/>
      <w:bookmarkEnd w:id="679"/>
      <w:bookmarkEnd w:id="680"/>
      <w:bookmarkStart w:id="681" w:name="_Toc245618759"/>
    </w:p>
    <w:bookmarkEnd w:id="681"/>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由</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组织相关应急人员</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参加</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应急管理专题培训、上岗前培训和常规性培训。由</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组织定期或不定期的演练，</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年至少进行一次应急演练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以保证预案的有效实施及完善，提高应急反应能力。</w:t>
      </w:r>
    </w:p>
    <w:p>
      <w:pPr>
        <w:keepNext w:val="0"/>
        <w:pageBreakBefore w:val="0"/>
        <w:widowControl w:val="0"/>
        <w:kinsoku/>
        <w:topLinePunct/>
        <w:bidi w:val="0"/>
        <w:rPr>
          <w:rFonts w:hint="eastAsia" w:ascii="仿宋_GB2312" w:eastAsia="仿宋_GB2312"/>
          <w:color w:val="000000" w:themeColor="text1"/>
          <w:spacing w:val="0"/>
          <w:sz w:val="24"/>
          <w:szCs w:val="24"/>
          <w:highlight w:val="none"/>
          <w14:textFill>
            <w14:solidFill>
              <w14:schemeClr w14:val="tx1"/>
            </w14:solidFill>
          </w14:textFill>
        </w:rPr>
      </w:pPr>
      <w:r>
        <w:rPr>
          <w:rFonts w:hint="eastAsia" w:ascii="仿宋_GB2312" w:eastAsia="仿宋_GB2312"/>
          <w:color w:val="000000" w:themeColor="text1"/>
          <w:spacing w:val="0"/>
          <w:sz w:val="24"/>
          <w:szCs w:val="24"/>
          <w:highlight w:val="none"/>
          <w14:textFill>
            <w14:solidFill>
              <w14:schemeClr w14:val="tx1"/>
            </w14:solidFill>
          </w14:textFill>
        </w:rPr>
        <w:br w:type="page"/>
      </w: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t>水路交通突发事件应急处置流程图</w:t>
      </w:r>
    </w:p>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44"/>
          <w:szCs w:val="44"/>
          <w:highlight w:val="none"/>
          <w:lang w:val="en-US" w:eastAsia="zh-CN"/>
          <w14:textFill>
            <w14:solidFill>
              <w14:schemeClr w14:val="tx1"/>
            </w14:solidFill>
          </w14:textFill>
        </w:rPr>
        <w:drawing>
          <wp:inline distT="0" distB="0" distL="114300" distR="114300">
            <wp:extent cx="5267325" cy="7842885"/>
            <wp:effectExtent l="0" t="0" r="3175" b="5715"/>
            <wp:docPr id="35" name="图片 35" descr="水路运输流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水路运输流程4"/>
                    <pic:cNvPicPr>
                      <a:picLocks noChangeAspect="1"/>
                    </pic:cNvPicPr>
                  </pic:nvPicPr>
                  <pic:blipFill>
                    <a:blip r:embed="rId16"/>
                    <a:stretch>
                      <a:fillRect/>
                    </a:stretch>
                  </pic:blipFill>
                  <pic:spPr>
                    <a:xfrm>
                      <a:off x="0" y="0"/>
                      <a:ext cx="5267325" cy="7842885"/>
                    </a:xfrm>
                    <a:prstGeom prst="rect">
                      <a:avLst/>
                    </a:prstGeom>
                  </pic:spPr>
                </pic:pic>
              </a:graphicData>
            </a:graphic>
          </wp:inline>
        </w:drawing>
      </w:r>
    </w:p>
    <w:p>
      <w:pPr>
        <w:rPr>
          <w:rFonts w:hint="eastAsia" w:ascii="仿宋_GB2312" w:eastAsia="仿宋_GB2312"/>
          <w:color w:val="000000" w:themeColor="text1"/>
          <w:spacing w:val="0"/>
          <w:sz w:val="24"/>
          <w:szCs w:val="24"/>
          <w:highlight w:val="none"/>
          <w14:textFill>
            <w14:solidFill>
              <w14:schemeClr w14:val="tx1"/>
            </w14:solidFill>
          </w14:textFill>
        </w:rPr>
      </w:pPr>
      <w:r>
        <w:rPr>
          <w:rFonts w:hint="eastAsia" w:ascii="仿宋_GB2312" w:eastAsia="仿宋_GB2312"/>
          <w:color w:val="000000" w:themeColor="text1"/>
          <w:spacing w:val="0"/>
          <w:sz w:val="24"/>
          <w:szCs w:val="24"/>
          <w:highlight w:val="none"/>
          <w14:textFill>
            <w14:solidFill>
              <w14:schemeClr w14:val="tx1"/>
            </w14:solidFill>
          </w14:textFill>
        </w:rPr>
        <w:br w:type="page"/>
      </w:r>
    </w:p>
    <w:p>
      <w:pPr>
        <w:keepNext w:val="0"/>
        <w:keepLines w:val="0"/>
        <w:pageBreakBefore w:val="0"/>
        <w:widowControl w:val="0"/>
        <w:numPr>
          <w:ilvl w:val="0"/>
          <w:numId w:val="0"/>
        </w:numPr>
        <w:kinsoku/>
        <w:wordWrap/>
        <w:overflowPunct/>
        <w:topLinePunct/>
        <w:autoSpaceDE/>
        <w:autoSpaceDN/>
        <w:bidi w:val="0"/>
        <w:adjustRightInd/>
        <w:snapToGrid/>
        <w:spacing w:after="313" w:afterLines="100"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682" w:name="_Toc16293"/>
      <w:bookmarkStart w:id="683" w:name="_Toc13004"/>
      <w:bookmarkStart w:id="684" w:name="_Toc20167"/>
      <w:bookmarkStart w:id="685" w:name="_Toc4411"/>
      <w:bookmarkStart w:id="686" w:name="_Toc27700"/>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3、宁夏回族自治区交通运输厅道路运输突发事件应急预案</w:t>
      </w:r>
      <w:bookmarkEnd w:id="682"/>
      <w:bookmarkEnd w:id="683"/>
      <w:bookmarkEnd w:id="684"/>
      <w:bookmarkEnd w:id="685"/>
      <w:bookmarkEnd w:id="686"/>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687" w:name="_Toc16664"/>
      <w:bookmarkStart w:id="688" w:name="_Toc527552407"/>
      <w:bookmarkStart w:id="689" w:name="_Toc489211098"/>
      <w:bookmarkStart w:id="690" w:name="_Toc4792"/>
      <w:bookmarkStart w:id="691" w:name="_Toc11895"/>
      <w:bookmarkStart w:id="692" w:name="_Toc3084"/>
      <w:bookmarkStart w:id="693" w:name="_Toc5645"/>
      <w:bookmarkStart w:id="694" w:name="_Toc7587"/>
      <w:bookmarkStart w:id="695" w:name="_Toc1912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687"/>
      <w:bookmarkEnd w:id="688"/>
      <w:bookmarkEnd w:id="689"/>
      <w:bookmarkEnd w:id="690"/>
      <w:bookmarkEnd w:id="691"/>
      <w:bookmarkEnd w:id="692"/>
      <w:bookmarkEnd w:id="693"/>
      <w:bookmarkEnd w:id="694"/>
      <w:bookmarkEnd w:id="695"/>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696" w:name="_Toc527552408"/>
      <w:bookmarkStart w:id="697" w:name="_Toc489211099"/>
      <w:bookmarkStart w:id="698" w:name="_Toc22694"/>
      <w:bookmarkStart w:id="699" w:name="_Toc31326"/>
      <w:bookmarkStart w:id="700" w:name="_Toc27191"/>
      <w:bookmarkStart w:id="701" w:name="_Toc15801"/>
      <w:r>
        <w:rPr>
          <w:rFonts w:hint="eastAsia" w:ascii="楷体_GB2312" w:hAnsi="仿宋" w:eastAsia="楷体_GB2312" w:cs="Times New Roman"/>
          <w:b/>
          <w:bCs/>
          <w:color w:val="000000" w:themeColor="text1"/>
          <w:spacing w:val="0"/>
          <w:highlight w:val="none"/>
          <w14:textFill>
            <w14:solidFill>
              <w14:schemeClr w14:val="tx1"/>
            </w14:solidFill>
          </w14:textFill>
        </w:rPr>
        <w:t>1.1编制目的</w:t>
      </w:r>
      <w:bookmarkEnd w:id="696"/>
      <w:bookmarkEnd w:id="697"/>
      <w:bookmarkEnd w:id="698"/>
      <w:bookmarkEnd w:id="699"/>
      <w:bookmarkEnd w:id="700"/>
      <w:bookmarkEnd w:id="70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切实提升</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宁夏回族自治区</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交通运输厅（以下简称“交通运输厅”）道路运输突发事件的应急处置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水平</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高效</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完成各类</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道路运输</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应急</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处置</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任务，</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全力</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保障人民群众生命财产安全，及时恢复道路运输正常运行秩序，结合</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道路运输实际，制定本预案。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702" w:name="_Toc4262"/>
      <w:bookmarkStart w:id="703" w:name="_Toc527552409"/>
      <w:bookmarkStart w:id="704" w:name="_Toc19940"/>
      <w:bookmarkStart w:id="705" w:name="_Toc9689"/>
      <w:bookmarkStart w:id="706" w:name="_Toc6736"/>
      <w:bookmarkStart w:id="707" w:name="_Toc489211100"/>
      <w:r>
        <w:rPr>
          <w:rFonts w:hint="eastAsia" w:ascii="楷体_GB2312" w:hAnsi="仿宋" w:eastAsia="楷体_GB2312" w:cs="Times New Roman"/>
          <w:b/>
          <w:bCs/>
          <w:color w:val="000000" w:themeColor="text1"/>
          <w:spacing w:val="0"/>
          <w:highlight w:val="none"/>
          <w14:textFill>
            <w14:solidFill>
              <w14:schemeClr w14:val="tx1"/>
            </w14:solidFill>
          </w14:textFill>
        </w:rPr>
        <w:t>1.2编制依据</w:t>
      </w:r>
      <w:bookmarkEnd w:id="702"/>
      <w:bookmarkEnd w:id="703"/>
      <w:bookmarkEnd w:id="704"/>
      <w:bookmarkEnd w:id="705"/>
      <w:bookmarkEnd w:id="706"/>
      <w:bookmarkEnd w:id="70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依据《中华人民共和国突发事件应对法》《中华人民共和国道路运输条例》《突发事件应急预案管理办法》《关于道路运输应急保障车队建设的指导意见》</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以及《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宁夏回族自治区道路交通运输事故应急预案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综合</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应急预案》</w:t>
      </w:r>
      <w:r>
        <w:rPr>
          <w:rFonts w:hint="eastAsia" w:ascii="仿宋_GB2312" w:hAnsi="仿宋" w:eastAsia="仿宋_GB2312"/>
          <w:color w:val="000000" w:themeColor="text1"/>
          <w:spacing w:val="0"/>
          <w:sz w:val="32"/>
          <w:szCs w:val="32"/>
          <w:highlight w:val="none"/>
          <w14:textFill>
            <w14:solidFill>
              <w14:schemeClr w14:val="tx1"/>
            </w14:solidFill>
          </w14:textFill>
        </w:rPr>
        <w:t>等有关规定。</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708" w:name="_Toc489211102"/>
      <w:bookmarkStart w:id="709" w:name="_Toc5562"/>
      <w:bookmarkStart w:id="710" w:name="_Toc20593"/>
      <w:bookmarkStart w:id="711" w:name="_Toc24864"/>
      <w:bookmarkStart w:id="712" w:name="_Toc9369"/>
      <w:bookmarkStart w:id="713" w:name="_Toc527552411"/>
      <w:bookmarkStart w:id="714" w:name="_Toc527552410"/>
      <w:bookmarkStart w:id="715" w:name="_Toc489211101"/>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适用范围</w:t>
      </w:r>
      <w:bookmarkEnd w:id="708"/>
      <w:bookmarkEnd w:id="709"/>
      <w:bookmarkEnd w:id="710"/>
      <w:bookmarkEnd w:id="711"/>
      <w:bookmarkEnd w:id="712"/>
      <w:bookmarkEnd w:id="713"/>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Calibri" w:eastAsia="仿宋_GB2312"/>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本预案适用于</w:t>
      </w:r>
      <w:r>
        <w:rPr>
          <w:rFonts w:hint="eastAsia" w:ascii="仿宋_GB2312"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仿宋_GB2312" w:hAnsi="Calibri" w:eastAsia="仿宋_GB2312"/>
          <w:color w:val="000000" w:themeColor="text1"/>
          <w:spacing w:val="0"/>
          <w:sz w:val="32"/>
          <w:szCs w:val="32"/>
          <w:highlight w:val="none"/>
          <w14:textFill>
            <w14:solidFill>
              <w14:schemeClr w14:val="tx1"/>
            </w14:solidFill>
          </w14:textFill>
        </w:rPr>
        <w:t>应对自然灾害、道路运输</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及相关业务</w:t>
      </w:r>
      <w:r>
        <w:rPr>
          <w:rFonts w:hint="eastAsia" w:ascii="仿宋_GB2312" w:hAnsi="Calibri" w:eastAsia="仿宋_GB2312"/>
          <w:color w:val="000000" w:themeColor="text1"/>
          <w:spacing w:val="0"/>
          <w:sz w:val="32"/>
          <w:szCs w:val="32"/>
          <w:highlight w:val="none"/>
          <w14:textFill>
            <w14:solidFill>
              <w14:schemeClr w14:val="tx1"/>
            </w14:solidFill>
          </w14:textFill>
        </w:rPr>
        <w:t>生产事故等原因引发</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造成重要</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交通干线</w:t>
      </w:r>
      <w:r>
        <w:rPr>
          <w:rFonts w:hint="eastAsia" w:ascii="仿宋_GB2312" w:hAnsi="Calibri" w:eastAsia="仿宋_GB2312"/>
          <w:color w:val="000000" w:themeColor="text1"/>
          <w:spacing w:val="0"/>
          <w:sz w:val="32"/>
          <w:szCs w:val="32"/>
          <w:highlight w:val="none"/>
          <w14:textFill>
            <w14:solidFill>
              <w14:schemeClr w14:val="tx1"/>
            </w14:solidFill>
          </w14:textFill>
        </w:rPr>
        <w:t>运行中断、人员</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重大</w:t>
      </w:r>
      <w:r>
        <w:rPr>
          <w:rFonts w:hint="eastAsia" w:ascii="仿宋_GB2312" w:hAnsi="Calibri" w:eastAsia="仿宋_GB2312"/>
          <w:color w:val="000000" w:themeColor="text1"/>
          <w:spacing w:val="0"/>
          <w:sz w:val="32"/>
          <w:szCs w:val="32"/>
          <w:highlight w:val="none"/>
          <w14:textFill>
            <w14:solidFill>
              <w14:schemeClr w14:val="tx1"/>
            </w14:solidFill>
          </w14:textFill>
        </w:rPr>
        <w:t>伤亡</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需要组织</w:t>
      </w:r>
      <w:r>
        <w:rPr>
          <w:rFonts w:hint="eastAsia" w:ascii="仿宋_GB2312" w:hAnsi="Calibri" w:eastAsia="仿宋_GB2312"/>
          <w:color w:val="000000" w:themeColor="text1"/>
          <w:spacing w:val="0"/>
          <w:sz w:val="32"/>
          <w:szCs w:val="32"/>
          <w:highlight w:val="none"/>
          <w14:textFill>
            <w14:solidFill>
              <w14:schemeClr w14:val="tx1"/>
            </w14:solidFill>
          </w14:textFill>
        </w:rPr>
        <w:t>疏散人员</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或</w:t>
      </w:r>
      <w:r>
        <w:rPr>
          <w:rFonts w:hint="eastAsia" w:ascii="仿宋_GB2312" w:hAnsi="仿宋_GB2312" w:eastAsia="仿宋_GB2312"/>
          <w:color w:val="000000" w:themeColor="text1"/>
          <w:spacing w:val="0"/>
          <w:sz w:val="32"/>
          <w:szCs w:val="28"/>
          <w:highlight w:val="none"/>
          <w14:textFill>
            <w14:solidFill>
              <w14:schemeClr w14:val="tx1"/>
            </w14:solidFill>
          </w14:textFill>
        </w:rPr>
        <w:t>提供应急运输保障</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等的应急</w:t>
      </w:r>
      <w:r>
        <w:rPr>
          <w:rFonts w:hint="eastAsia" w:ascii="仿宋_GB2312" w:hAnsi="Calibri" w:eastAsia="仿宋_GB2312"/>
          <w:color w:val="000000" w:themeColor="text1"/>
          <w:spacing w:val="0"/>
          <w:sz w:val="32"/>
          <w:szCs w:val="32"/>
          <w:highlight w:val="none"/>
          <w14:textFill>
            <w14:solidFill>
              <w14:schemeClr w14:val="tx1"/>
            </w14:solidFill>
          </w14:textFill>
        </w:rPr>
        <w:t>处置工作</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，以及其他</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交通运输厅认为需要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的应急</w:t>
      </w:r>
      <w:r>
        <w:rPr>
          <w:rFonts w:hint="eastAsia" w:ascii="仿宋_GB2312" w:hAnsi="Calibri" w:eastAsia="仿宋_GB2312"/>
          <w:color w:val="000000" w:themeColor="text1"/>
          <w:spacing w:val="0"/>
          <w:sz w:val="32"/>
          <w:szCs w:val="32"/>
          <w:highlight w:val="none"/>
          <w14:textFill>
            <w14:solidFill>
              <w14:schemeClr w14:val="tx1"/>
            </w14:solidFill>
          </w14:textFill>
        </w:rPr>
        <w:t>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Calibri"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冰冻雨雪、汛期</w:t>
      </w:r>
      <w:r>
        <w:rPr>
          <w:rFonts w:hint="eastAsia" w:ascii="仿宋_GB2312" w:hAnsi="Calibri" w:eastAsia="仿宋_GB2312"/>
          <w:color w:val="000000" w:themeColor="text1"/>
          <w:spacing w:val="0"/>
          <w:sz w:val="32"/>
          <w:szCs w:val="32"/>
          <w:highlight w:val="none"/>
          <w14:textFill>
            <w14:solidFill>
              <w14:schemeClr w14:val="tx1"/>
            </w14:solidFill>
          </w14:textFill>
        </w:rPr>
        <w:t>、地震</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等自然灾害可执行单一类型突发事件应急预案。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716" w:name="_Toc25157"/>
      <w:bookmarkStart w:id="717" w:name="_Toc23859"/>
      <w:bookmarkStart w:id="718" w:name="_Toc8884"/>
      <w:bookmarkStart w:id="719" w:name="_Toc30557"/>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事件分级</w:t>
      </w:r>
      <w:bookmarkEnd w:id="714"/>
      <w:bookmarkEnd w:id="715"/>
      <w:bookmarkEnd w:id="716"/>
      <w:bookmarkEnd w:id="717"/>
      <w:bookmarkEnd w:id="718"/>
      <w:bookmarkEnd w:id="719"/>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ascii="Times New Roman" w:hAnsi="Times New Roman"/>
          <w:color w:val="000000" w:themeColor="text1"/>
          <w:spacing w:val="0"/>
          <w:sz w:val="32"/>
          <w:szCs w:val="28"/>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本预案所称的道路运输突发事件，是指由于自然灾害、道路运输</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及相关业务</w:t>
      </w:r>
      <w:r>
        <w:rPr>
          <w:rFonts w:hint="eastAsia" w:ascii="仿宋_GB2312" w:hAnsi="仿宋_GB2312" w:eastAsia="仿宋_GB2312"/>
          <w:color w:val="000000" w:themeColor="text1"/>
          <w:spacing w:val="0"/>
          <w:sz w:val="32"/>
          <w:szCs w:val="28"/>
          <w:highlight w:val="none"/>
          <w14:textFill>
            <w14:solidFill>
              <w14:schemeClr w14:val="tx1"/>
            </w14:solidFill>
          </w14:textFill>
        </w:rPr>
        <w:t>事故等原因引发，造成或者可能造成重要</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交通枢纽运行</w:t>
      </w:r>
      <w:r>
        <w:rPr>
          <w:rFonts w:hint="eastAsia" w:ascii="仿宋_GB2312" w:hAnsi="仿宋_GB2312" w:eastAsia="仿宋_GB2312"/>
          <w:color w:val="000000" w:themeColor="text1"/>
          <w:spacing w:val="0"/>
          <w:sz w:val="32"/>
          <w:szCs w:val="28"/>
          <w:highlight w:val="none"/>
          <w14:textFill>
            <w14:solidFill>
              <w14:schemeClr w14:val="tx1"/>
            </w14:solidFill>
          </w14:textFill>
        </w:rPr>
        <w:t>中断、</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重大</w:t>
      </w:r>
      <w:r>
        <w:rPr>
          <w:rFonts w:hint="eastAsia" w:ascii="仿宋_GB2312" w:hAnsi="仿宋_GB2312" w:eastAsia="仿宋_GB2312"/>
          <w:color w:val="000000" w:themeColor="text1"/>
          <w:spacing w:val="0"/>
          <w:sz w:val="32"/>
          <w:szCs w:val="28"/>
          <w:highlight w:val="none"/>
          <w14:textFill>
            <w14:solidFill>
              <w14:schemeClr w14:val="tx1"/>
            </w14:solidFill>
          </w14:textFill>
        </w:rPr>
        <w:t>人员伤亡、大量人员需要疏散、生态环境破坏</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或</w:t>
      </w:r>
      <w:r>
        <w:rPr>
          <w:rFonts w:hint="eastAsia" w:ascii="仿宋_GB2312" w:hAnsi="仿宋_GB2312" w:eastAsia="仿宋_GB2312"/>
          <w:color w:val="000000" w:themeColor="text1"/>
          <w:spacing w:val="0"/>
          <w:sz w:val="32"/>
          <w:szCs w:val="28"/>
          <w:highlight w:val="none"/>
          <w14:textFill>
            <w14:solidFill>
              <w14:schemeClr w14:val="tx1"/>
            </w14:solidFill>
          </w14:textFill>
        </w:rPr>
        <w:t>严重社会危害，以及需要交通运输部门提供应急运输保障的紧急事件。</w:t>
      </w:r>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ascii="Times New Roman" w:hAnsi="Times New Roman"/>
          <w:color w:val="000000" w:themeColor="text1"/>
          <w:spacing w:val="0"/>
          <w:sz w:val="32"/>
          <w:szCs w:val="32"/>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道路运输突发事件按照性质类型、严重程度、可控性和影响范围等因素，</w:t>
      </w:r>
      <w:r>
        <w:rPr>
          <w:rFonts w:hint="eastAsia" w:ascii="仿宋_GB2312" w:hAnsi="仿宋_GB2312" w:eastAsia="仿宋_GB2312"/>
          <w:color w:val="000000" w:themeColor="text1"/>
          <w:spacing w:val="0"/>
          <w:sz w:val="32"/>
          <w:szCs w:val="32"/>
          <w:highlight w:val="none"/>
          <w14:textFill>
            <w14:solidFill>
              <w14:schemeClr w14:val="tx1"/>
            </w14:solidFill>
          </w14:textFill>
        </w:rPr>
        <w:t>分为四级：特别重大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（Ⅰ级）</w:t>
      </w:r>
      <w:r>
        <w:rPr>
          <w:rFonts w:hint="eastAsia" w:ascii="仿宋_GB2312" w:hAnsi="仿宋_GB2312" w:eastAsia="仿宋_GB2312"/>
          <w:color w:val="000000" w:themeColor="text1"/>
          <w:spacing w:val="0"/>
          <w:sz w:val="32"/>
          <w:szCs w:val="32"/>
          <w:highlight w:val="none"/>
          <w14:textFill>
            <w14:solidFill>
              <w14:schemeClr w14:val="tx1"/>
            </w14:solidFill>
          </w14:textFill>
        </w:rPr>
        <w:t>、重大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（Ⅱ级）</w:t>
      </w:r>
      <w:r>
        <w:rPr>
          <w:rFonts w:hint="eastAsia" w:ascii="仿宋_GB2312" w:hAnsi="仿宋_GB2312" w:eastAsia="仿宋_GB2312"/>
          <w:color w:val="000000" w:themeColor="text1"/>
          <w:spacing w:val="0"/>
          <w:sz w:val="32"/>
          <w:szCs w:val="32"/>
          <w:highlight w:val="none"/>
          <w14:textFill>
            <w14:solidFill>
              <w14:schemeClr w14:val="tx1"/>
            </w14:solidFill>
          </w14:textFill>
        </w:rPr>
        <w:t>、较大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（Ⅲ级）</w:t>
      </w:r>
      <w:r>
        <w:rPr>
          <w:rFonts w:hint="eastAsia" w:ascii="仿宋_GB2312" w:hAnsi="仿宋_GB2312" w:eastAsia="仿宋_GB2312"/>
          <w:color w:val="000000" w:themeColor="text1"/>
          <w:spacing w:val="0"/>
          <w:sz w:val="32"/>
          <w:szCs w:val="32"/>
          <w:highlight w:val="none"/>
          <w14:textFill>
            <w14:solidFill>
              <w14:schemeClr w14:val="tx1"/>
            </w14:solidFill>
          </w14:textFill>
        </w:rPr>
        <w:t>和一般</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（Ⅳ级）</w:t>
      </w:r>
      <w:r>
        <w:rPr>
          <w:rFonts w:hint="eastAsia" w:ascii="仿宋_GB2312" w:hAnsi="仿宋_GB2312" w:eastAsia="仿宋_GB2312"/>
          <w:color w:val="000000" w:themeColor="text1"/>
          <w:spacing w:val="0"/>
          <w:sz w:val="32"/>
          <w:szCs w:val="32"/>
          <w:highlight w:val="none"/>
          <w14:textFill>
            <w14:solidFill>
              <w14:schemeClr w14:val="tx1"/>
            </w14:solidFill>
          </w14:textFill>
        </w:rPr>
        <w:t>。</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blHeader/>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bookmarkStart w:id="720" w:name="_Toc27160"/>
            <w:bookmarkStart w:id="721" w:name="_Toc13985"/>
            <w:bookmarkStart w:id="722" w:name="_Toc488951332"/>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等级</w:t>
            </w:r>
          </w:p>
        </w:tc>
        <w:tc>
          <w:tcPr>
            <w:tcW w:w="739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事故的严重程度及影响范围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特别重大道路运输突发事件（Ⅰ级）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重要交通枢纽运行中断</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造成或可能造成重要交通枢纽运行中断48小时以上，致使大量旅客滞留，恢复运行需要多部门协调，人员疏散需要跨省组织。导致100人以上重伤；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特别重大道路运输事故</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客运车辆、危险货物运输车辆以及包含</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普通货物运输</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车辆在内的道路运输事故，造成30人以上死亡或失踪，或100人以上重伤的事故</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重要物资道路运输应急保障</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重要物资缺乏、价格大幅波动等原因可能严重影响</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本片区</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经济整体运行和人民正常生活，超出省级交通运输主管部门运力组织能力，需要跨省、跨部门协调</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以上三种情形，交通运输厅难以独立处置，需要协调相关省份、相关部门调动运力疏解，提出跨省域道路运输应急保障请求。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重大道路运输突发事件（Ⅱ级）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重要交通枢纽运行中断</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造成或可能造成重要交通枢纽运行中断24小时以上，致使大量旅客滞留，恢复运行需要多部门协调，人员疏散需要跨市组织。导致50人以上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重大道路运输事故</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客运车辆、危险货物运输车辆以及包含</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普通货物运输</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车辆在内的道路运输事故，造成10人以上、30人以下死亡或失踪，或50人及以上、100人以下重伤的事故</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重要物资道路运输应急保障</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重要物资缺乏、价格大幅波动等原因可能严重影响省域内经济整体运行和人民正常生活，超出事发区域市级交通运输主管部门运力组织能力，需要跨市、跨部门协调</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需要由交通运输厅提供道路运输应急保障的其他突发事件。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较大道路运输突发事件（Ⅲ级）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重要交通枢纽运行中断，造成或可能造成大量旅客滞留，事发地县</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级交通运输主管部门提出跨县域道路运输应急保障请求的</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客运车辆、危险货物运输车辆以及包含</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普通货物运输</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车辆在内的道路运输事故，造成3人以上、10人以下死亡或失踪，或10人及以上、50人以下重伤的事故</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发生因重要物资缺乏、价格大幅波动等原因可能严重影响市域内经济整体运行和人民正常生活，需要紧急安排跨县域道路运输保障的</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需要由市级交通运输主管部门提供道路运输应急保障的其他突发事件。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一般道路运输突发事件（Ⅳ级）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一般交通枢纽运行中断，造成或可能造成旅客滞留；</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客运车辆、危险货物运输车辆以及</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包含</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普通货物运输</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车辆在内的道路运输事故，造成3人以下死亡或失踪，或10人以下重伤的事故；</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需要由县</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级交通运输主管部门提供道路运输应急保障的其他突发事件</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导致道路交通毁坏、中断、阻塞、大量车辆积压、人员滞留，处置时间在12小时以下。</w:t>
            </w:r>
          </w:p>
        </w:tc>
      </w:tr>
      <w:bookmarkEnd w:id="720"/>
      <w:bookmarkEnd w:id="721"/>
      <w:bookmarkEnd w:id="722"/>
    </w:tbl>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kern w:val="0"/>
          <w:sz w:val="32"/>
          <w:szCs w:val="28"/>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0"/>
          <w:sz w:val="32"/>
          <w:szCs w:val="28"/>
          <w:highlight w:val="none"/>
          <w:lang w:val="en-US" w:eastAsia="zh-CN" w:bidi="ar-SA"/>
          <w14:textFill>
            <w14:solidFill>
              <w14:schemeClr w14:val="tx1"/>
            </w14:solidFill>
          </w14:textFill>
        </w:rPr>
        <w:t>注：重要交通枢纽，是指除常规客运场站以外，还包括含两种以上运输方式的综合运输场站。“以上”包含本数及以上，“以下”不包含本数。</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723" w:name="_Toc489211103"/>
      <w:bookmarkStart w:id="724" w:name="_Toc29082"/>
      <w:bookmarkStart w:id="725" w:name="_Toc19314"/>
      <w:bookmarkStart w:id="726" w:name="_Toc527552412"/>
      <w:bookmarkStart w:id="727" w:name="_Toc10569"/>
      <w:bookmarkStart w:id="728" w:name="_Toc13961"/>
      <w:r>
        <w:rPr>
          <w:rFonts w:hint="eastAsia" w:ascii="楷体_GB2312" w:hAnsi="仿宋" w:eastAsia="楷体_GB2312" w:cs="Times New Roman"/>
          <w:b/>
          <w:bCs/>
          <w:color w:val="000000" w:themeColor="text1"/>
          <w:spacing w:val="0"/>
          <w:highlight w:val="none"/>
          <w14:textFill>
            <w14:solidFill>
              <w14:schemeClr w14:val="tx1"/>
            </w14:solidFill>
          </w14:textFill>
        </w:rPr>
        <w:t>1.5工作原则</w:t>
      </w:r>
      <w:bookmarkEnd w:id="723"/>
      <w:bookmarkEnd w:id="724"/>
      <w:bookmarkEnd w:id="725"/>
      <w:bookmarkEnd w:id="726"/>
      <w:bookmarkEnd w:id="727"/>
      <w:bookmarkEnd w:id="728"/>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道路运输</w:t>
      </w:r>
      <w:r>
        <w:rPr>
          <w:rFonts w:hint="eastAsia" w:ascii="仿宋_GB2312" w:hAnsi="微软雅黑" w:eastAsia="仿宋_GB2312" w:cs="宋体"/>
          <w:color w:val="000000" w:themeColor="text1"/>
          <w:spacing w:val="0"/>
          <w:kern w:val="0"/>
          <w:sz w:val="32"/>
          <w:szCs w:val="32"/>
          <w:highlight w:val="none"/>
          <w:lang w:bidi="ar"/>
          <w14:textFill>
            <w14:solidFill>
              <w14:schemeClr w14:val="tx1"/>
            </w14:solidFill>
          </w14:textFill>
        </w:rPr>
        <w:t>突发事件</w:t>
      </w: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处置应坚持</w:t>
      </w:r>
      <w:r>
        <w:rPr>
          <w:rFonts w:hint="eastAsia" w:ascii="仿宋_GB2312" w:hAnsi="仿宋_GB2312" w:eastAsia="仿宋_GB2312"/>
          <w:color w:val="000000" w:themeColor="text1"/>
          <w:spacing w:val="0"/>
          <w:sz w:val="32"/>
          <w:szCs w:val="28"/>
          <w:highlight w:val="none"/>
          <w14:textFill>
            <w14:solidFill>
              <w14:schemeClr w14:val="tx1"/>
            </w14:solidFill>
          </w14:textFill>
        </w:rPr>
        <w:t>统一领导，分级负责</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以人为本，确保安全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预防为主，平急结合</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快速反应、科学处置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的原则</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729" w:name="_Toc14908"/>
      <w:bookmarkStart w:id="730" w:name="_Toc489211105"/>
      <w:bookmarkStart w:id="731" w:name="_Toc14800"/>
      <w:bookmarkStart w:id="732" w:name="_Toc20365"/>
      <w:bookmarkStart w:id="733" w:name="_Toc527552414"/>
      <w:bookmarkStart w:id="734" w:name="_Toc1602"/>
      <w:bookmarkStart w:id="735" w:name="_Toc20439"/>
      <w:bookmarkStart w:id="736" w:name="_Toc2752"/>
      <w:bookmarkStart w:id="737" w:name="_Toc11797"/>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w:t>
      </w:r>
      <w:bookmarkEnd w:id="729"/>
      <w:bookmarkEnd w:id="730"/>
      <w:bookmarkEnd w:id="731"/>
      <w:bookmarkEnd w:id="732"/>
      <w:bookmarkEnd w:id="733"/>
      <w:bookmarkEnd w:id="734"/>
      <w:bookmarkEnd w:id="735"/>
      <w:bookmarkEnd w:id="736"/>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机构与职责</w:t>
      </w:r>
      <w:bookmarkEnd w:id="737"/>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738" w:name="_Toc11334"/>
      <w:bookmarkStart w:id="739" w:name="_Toc14301"/>
      <w:bookmarkStart w:id="740" w:name="_Toc32429"/>
      <w:bookmarkStart w:id="741" w:name="_Toc19843"/>
      <w:bookmarkStart w:id="742" w:name="_Toc31811"/>
      <w:bookmarkStart w:id="743" w:name="_Toc489211106"/>
      <w:bookmarkStart w:id="744" w:name="_Toc527552415"/>
      <w:r>
        <w:rPr>
          <w:rFonts w:hint="eastAsia" w:ascii="楷体_GB2312" w:hAnsi="仿宋" w:eastAsia="楷体_GB2312" w:cs="Times New Roman"/>
          <w:b/>
          <w:bCs/>
          <w:color w:val="000000" w:themeColor="text1"/>
          <w:spacing w:val="0"/>
          <w:highlight w:val="none"/>
          <w14:textFill>
            <w14:solidFill>
              <w14:schemeClr w14:val="tx1"/>
            </w14:solidFill>
          </w14:textFill>
        </w:rPr>
        <w:t>2.1厅</w:t>
      </w:r>
      <w:r>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t>道路运输突发事件</w:t>
      </w:r>
      <w:bookmarkEnd w:id="738"/>
      <w:bookmarkEnd w:id="73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工作指挥机构</w:t>
      </w:r>
      <w:bookmarkEnd w:id="740"/>
      <w:bookmarkEnd w:id="741"/>
      <w:bookmarkEnd w:id="742"/>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成立自治区交通运输厅</w:t>
      </w:r>
      <w:r>
        <w:rPr>
          <w:rFonts w:hint="eastAsia" w:ascii="仿宋_GB2312" w:eastAsia="仿宋_GB2312" w:cs="Times New Roman"/>
          <w:color w:val="000000" w:themeColor="text1"/>
          <w:spacing w:val="0"/>
          <w:sz w:val="32"/>
          <w:szCs w:val="32"/>
          <w:highlight w:val="none"/>
          <w:lang w:val="en-US" w:eastAsia="zh-CN"/>
          <w14:textFill>
            <w14:solidFill>
              <w14:schemeClr w14:val="tx1"/>
            </w14:solidFill>
          </w14:textFill>
        </w:rPr>
        <w:t>道路运输</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突发事件工作指挥机构（以下简称“</w:t>
      </w:r>
      <w:r>
        <w:rPr>
          <w:rFonts w:hint="eastAsia" w:ascii="仿宋_GB2312" w:eastAsia="仿宋_GB2312" w:cs="Times New Roman"/>
          <w:color w:val="000000" w:themeColor="text1"/>
          <w:spacing w:val="0"/>
          <w:sz w:val="32"/>
          <w:szCs w:val="32"/>
          <w:highlight w:val="none"/>
          <w:lang w:val="en-US" w:eastAsia="zh-CN"/>
          <w14:textFill>
            <w14:solidFill>
              <w14:schemeClr w14:val="tx1"/>
            </w14:solidFill>
          </w14:textFill>
        </w:rPr>
        <w:t>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自治区应急指挥部</w:t>
      </w:r>
      <w:r>
        <w:rPr>
          <w:rFonts w:hint="eastAsia" w:ascii="times new rome" w:hAnsi="times new rome" w:eastAsia="仿宋_GB2312"/>
          <w:color w:val="000000" w:themeColor="text1"/>
          <w:spacing w:val="0"/>
          <w:sz w:val="32"/>
          <w:szCs w:val="32"/>
          <w:highlight w:val="none"/>
          <w:lang w:val="en-US" w:eastAsia="zh-CN"/>
          <w14:textFill>
            <w14:solidFill>
              <w14:schemeClr w14:val="tx1"/>
            </w14:solidFill>
          </w14:textFill>
        </w:rPr>
        <w:t>和厅应急领导小组的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指挥下，负责组织、协调、开展</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道路运输突发事件应急处置工作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。特别重大事故（Ⅰ级）、重大事故（Ⅱ级）由厅主要负责人担任指挥长，分管道路运输工作的厅领导任副指挥长；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分管道路运输工作的厅领导担任指挥长，</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负责人担任副指挥长。</w:t>
      </w:r>
    </w:p>
    <w:p>
      <w:pPr>
        <w:keepNext w:val="0"/>
        <w:keepLines w:val="0"/>
        <w:pageBreakBefore w:val="0"/>
        <w:widowControl w:val="0"/>
        <w:kinsoku/>
        <w:wordWrap/>
        <w:overflowPunct/>
        <w:topLinePunct/>
        <w:autoSpaceDE/>
        <w:autoSpaceDN/>
        <w:bidi w:val="0"/>
        <w:snapToGrid/>
        <w:spacing w:line="600" w:lineRule="exact"/>
        <w:ind w:left="0" w:leftChars="0" w:firstLine="640" w:firstLineChars="200"/>
        <w:textAlignment w:val="auto"/>
        <w:rPr>
          <w:rFonts w:hint="eastAsia" w:ascii="仿宋_GB2312" w:hAnsi="Times New Roman" w:eastAsia="仿宋_GB2312" w:cs="Times New Roman"/>
          <w:b w:val="0"/>
          <w:bCs w:val="0"/>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成员由厅</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办公室、</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政策法规处、</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、科技处、交通战备处、物流发展处、</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公路管理中心</w:t>
      </w:r>
      <w:r>
        <w:rPr>
          <w:rFonts w:hint="eastAsia" w:ascii="仿宋_GB2312" w:hAnsi="Times New Roman" w:eastAsia="仿宋_GB2312" w:cs="Times New Roman"/>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事务</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及</w:t>
      </w:r>
      <w:r>
        <w:rPr>
          <w:rFonts w:hint="eastAsia" w:ascii="仿宋_GB2312" w:eastAsia="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等</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处室及所属</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单位负责同志</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组成</w:t>
      </w:r>
      <w:r>
        <w:rPr>
          <w:rFonts w:hint="eastAsia" w:ascii="仿宋_GB2312" w:eastAsia="仿宋_GB2312" w:cs="Times New Roman"/>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厅</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的主要职责：</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贯彻落实上级部门和自治区指挥部关于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应急决策、部署和措施</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仿宋_GB2312" w:hAnsi="仿宋" w:eastAsia="仿宋_GB2312" w:cstheme="minorBidi"/>
          <w:color w:val="000000" w:themeColor="text1"/>
          <w:spacing w:val="0"/>
          <w:sz w:val="32"/>
          <w:szCs w:val="32"/>
          <w:highlight w:val="none"/>
          <w14:textFill>
            <w14:solidFill>
              <w14:schemeClr w14:val="tx1"/>
            </w14:solidFill>
          </w14:textFill>
        </w:rPr>
        <w:t>组织</w:t>
      </w:r>
      <w:r>
        <w:rPr>
          <w:rFonts w:hint="eastAsia" w:ascii="仿宋_GB2312" w:hAnsi="仿宋" w:eastAsia="仿宋_GB2312" w:cstheme="minorBidi"/>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指导、协调交</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通运输厅系统各单位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的应急处置工作</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道路运输突发事件的</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应急响应；</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决定启动、调整、终止交通运输厅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预警状态和应急响应行动</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根据需要，会同</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有关部门，制定和落实应对</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应急处置工作方案；</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视情</w:t>
      </w:r>
      <w:r>
        <w:rPr>
          <w:rFonts w:hint="eastAsia" w:ascii="仿宋_GB2312" w:eastAsia="仿宋_GB2312"/>
          <w:color w:val="000000" w:themeColor="text1"/>
          <w:spacing w:val="0"/>
          <w:sz w:val="32"/>
          <w:szCs w:val="32"/>
          <w:highlight w:val="none"/>
          <w14:textFill>
            <w14:solidFill>
              <w14:schemeClr w14:val="tx1"/>
            </w14:solidFill>
          </w14:textFill>
        </w:rPr>
        <w:t>成立现场工作组，并派往</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事发区域</w:t>
      </w:r>
      <w:r>
        <w:rPr>
          <w:rFonts w:hint="eastAsia" w:ascii="仿宋_GB2312" w:eastAsia="仿宋_GB2312"/>
          <w:color w:val="000000" w:themeColor="text1"/>
          <w:spacing w:val="0"/>
          <w:sz w:val="32"/>
          <w:szCs w:val="32"/>
          <w:highlight w:val="none"/>
          <w14:textFill>
            <w14:solidFill>
              <w14:schemeClr w14:val="tx1"/>
            </w14:solidFill>
          </w14:textFill>
        </w:rPr>
        <w:t>现场指导</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与</w:t>
      </w:r>
      <w:r>
        <w:rPr>
          <w:rFonts w:hint="eastAsia" w:ascii="仿宋_GB2312" w:eastAsia="仿宋_GB2312"/>
          <w:color w:val="000000" w:themeColor="text1"/>
          <w:spacing w:val="0"/>
          <w:sz w:val="32"/>
          <w:szCs w:val="32"/>
          <w:highlight w:val="none"/>
          <w14:textFill>
            <w14:solidFill>
              <w14:schemeClr w14:val="tx1"/>
            </w14:solidFill>
          </w14:textFill>
        </w:rPr>
        <w:t>协调应急处置工作</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负责协调交通运输应急物资和应急队伍的调度及道路运输应急保障工作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）根据自治区人民政府要求或根据应急处置需要，参与地方政府组织开展的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）其他相关重大事项。</w:t>
      </w:r>
    </w:p>
    <w:bookmarkEnd w:id="743"/>
    <w:bookmarkEnd w:id="744"/>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ascii="仿宋_GB2312" w:hAnsi="宋体" w:eastAsia="仿宋_GB2312" w:cs="仿宋_GB2312"/>
          <w:color w:val="000000" w:themeColor="text1"/>
          <w:kern w:val="0"/>
          <w:sz w:val="32"/>
          <w:szCs w:val="32"/>
          <w:highlight w:val="none"/>
          <w14:textFill>
            <w14:solidFill>
              <w14:schemeClr w14:val="tx1"/>
            </w14:solidFill>
          </w14:textFill>
        </w:rPr>
      </w:pPr>
      <w:bookmarkStart w:id="745" w:name="_Toc729"/>
      <w:bookmarkStart w:id="746" w:name="_Toc16278"/>
      <w:bookmarkStart w:id="747" w:name="_Toc488951341"/>
      <w:bookmarkStart w:id="748" w:name="_Toc25471"/>
      <w:bookmarkStart w:id="749" w:name="_Toc10721"/>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办公室设置在厅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ascii="仿宋_GB2312" w:hAnsi="宋体" w:eastAsia="仿宋_GB2312" w:cs="仿宋_GB2312"/>
          <w:color w:val="000000" w:themeColor="text1"/>
          <w:kern w:val="0"/>
          <w:sz w:val="32"/>
          <w:szCs w:val="32"/>
          <w:highlight w:val="none"/>
          <w14:textFill>
            <w14:solidFill>
              <w14:schemeClr w14:val="tx1"/>
            </w14:solidFill>
          </w14:textFill>
        </w:rPr>
        <w:t>，承担</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2"/>
          <w:szCs w:val="32"/>
          <w:highlight w:val="none"/>
          <w14:textFill>
            <w14:solidFill>
              <w14:schemeClr w14:val="tx1"/>
            </w14:solidFill>
          </w14:textFill>
        </w:rPr>
        <w:t>工作</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ascii="仿宋_GB2312" w:hAnsi="宋体" w:eastAsia="仿宋_GB2312" w:cs="仿宋_GB2312"/>
          <w:color w:val="000000" w:themeColor="text1"/>
          <w:kern w:val="0"/>
          <w:sz w:val="32"/>
          <w:szCs w:val="32"/>
          <w:highlight w:val="none"/>
          <w14:textFill>
            <w14:solidFill>
              <w14:schemeClr w14:val="tx1"/>
            </w14:solidFill>
          </w14:textFill>
        </w:rPr>
        <w:t>担任</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2.</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应急工作组</w:t>
      </w:r>
      <w:bookmarkEnd w:id="745"/>
      <w:bookmarkEnd w:id="746"/>
      <w:bookmarkEnd w:id="747"/>
      <w:bookmarkEnd w:id="748"/>
      <w:bookmarkEnd w:id="749"/>
    </w:p>
    <w:p>
      <w:pPr>
        <w:pStyle w:val="21"/>
        <w:keepNext w:val="0"/>
        <w:keepLines w:val="0"/>
        <w:pageBreakBefore w:val="0"/>
        <w:widowControl w:val="0"/>
        <w:kinsoku/>
        <w:wordWrap/>
        <w:overflowPunct/>
        <w:topLinePunct/>
        <w:autoSpaceDE/>
        <w:autoSpaceDN/>
        <w:bidi w:val="0"/>
        <w:spacing w:before="0" w:beforeAutospacing="0" w:after="0" w:afterAutospacing="0" w:line="600" w:lineRule="exact"/>
        <w:ind w:left="0" w:leftChars="0" w:firstLine="640" w:firstLineChars="200"/>
        <w:jc w:val="both"/>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（1）综合协调组</w:t>
      </w:r>
    </w:p>
    <w:p>
      <w:pPr>
        <w:pStyle w:val="21"/>
        <w:keepNext w:val="0"/>
        <w:keepLines w:val="0"/>
        <w:pageBreakBefore w:val="0"/>
        <w:widowControl w:val="0"/>
        <w:kinsoku/>
        <w:wordWrap/>
        <w:overflowPunct/>
        <w:topLinePunct/>
        <w:autoSpaceDE/>
        <w:autoSpaceDN/>
        <w:bidi w:val="0"/>
        <w:spacing w:before="0" w:beforeAutospacing="0" w:after="0" w:afterAutospacing="0"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负责人任组长，</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成员由</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公路管理中心</w:t>
      </w:r>
      <w:r>
        <w:rPr>
          <w:rFonts w:hint="eastAsia" w:ascii="仿宋_GB2312" w:hAnsi="Calibri"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道路运输事务中心</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负责接收、处理应急状态下</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zh-CN"/>
          <w14:textFill>
            <w14:solidFill>
              <w14:schemeClr w14:val="tx1"/>
            </w14:solidFill>
          </w14:textFill>
        </w:rPr>
        <w:t>道路运输突发事件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相关信息，跟踪了解突发事件处置进展，及时向厅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启动预警状态和响应行动建议；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pStyle w:val="21"/>
        <w:keepNext w:val="0"/>
        <w:keepLines w:val="0"/>
        <w:pageBreakBefore w:val="0"/>
        <w:widowControl w:val="0"/>
        <w:kinsoku/>
        <w:wordWrap/>
        <w:overflowPunct/>
        <w:topLinePunct/>
        <w:autoSpaceDE/>
        <w:autoSpaceDN/>
        <w:bidi w:val="0"/>
        <w:spacing w:before="0" w:beforeAutospacing="0" w:after="0" w:afterAutospacing="0" w:line="600" w:lineRule="exact"/>
        <w:ind w:left="0" w:leftChars="0" w:firstLine="640" w:firstLineChars="200"/>
        <w:jc w:val="both"/>
        <w:textAlignment w:val="auto"/>
        <w:rPr>
          <w:rFonts w:hint="eastAsia" w:ascii="仿宋_GB2312" w:hAnsi="仿宋_GB2312" w:eastAsia="仿宋_GB2312"/>
          <w:color w:val="000000" w:themeColor="text1"/>
          <w:spacing w:val="0"/>
          <w:sz w:val="32"/>
          <w:szCs w:val="28"/>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（2）</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运输调度</w:t>
      </w:r>
      <w:r>
        <w:rPr>
          <w:rFonts w:hint="eastAsia" w:ascii="仿宋_GB2312" w:hAnsi="仿宋_GB2312" w:eastAsia="仿宋_GB2312"/>
          <w:color w:val="000000" w:themeColor="text1"/>
          <w:spacing w:val="0"/>
          <w:sz w:val="32"/>
          <w:szCs w:val="28"/>
          <w:highlight w:val="none"/>
          <w14:textFill>
            <w14:solidFill>
              <w14:schemeClr w14:val="tx1"/>
            </w14:solidFill>
          </w14:textFill>
        </w:rPr>
        <w:t>组</w:t>
      </w:r>
    </w:p>
    <w:p>
      <w:pPr>
        <w:pStyle w:val="21"/>
        <w:keepNext w:val="0"/>
        <w:keepLines w:val="0"/>
        <w:pageBreakBefore w:val="0"/>
        <w:widowControl w:val="0"/>
        <w:kinsoku/>
        <w:wordWrap/>
        <w:overflowPunct/>
        <w:topLinePunct/>
        <w:autoSpaceDE/>
        <w:autoSpaceDN/>
        <w:bidi w:val="0"/>
        <w:spacing w:before="0" w:beforeAutospacing="0" w:after="0" w:afterAutospacing="0" w:line="600" w:lineRule="exact"/>
        <w:ind w:left="0" w:leftChars="0" w:firstLine="640" w:firstLineChars="200"/>
        <w:jc w:val="both"/>
        <w:textAlignment w:val="auto"/>
        <w:rPr>
          <w:rFonts w:hint="eastAsia" w:ascii="仿宋_GB2312" w:hAnsi="仿宋_GB2312" w:eastAsia="仿宋_GB2312"/>
          <w:color w:val="000000" w:themeColor="text1"/>
          <w:spacing w:val="0"/>
          <w:sz w:val="32"/>
          <w:szCs w:val="28"/>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olor w:val="000000" w:themeColor="text1"/>
          <w:spacing w:val="0"/>
          <w:sz w:val="32"/>
          <w:szCs w:val="28"/>
          <w:highlight w:val="none"/>
          <w14:textFill>
            <w14:solidFill>
              <w14:schemeClr w14:val="tx1"/>
            </w14:solidFill>
          </w14:textFill>
        </w:rPr>
        <w:t>负责人任组长，成员由</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物流发展处、</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交通运输综合执法监督局</w:t>
      </w:r>
      <w:r>
        <w:rPr>
          <w:rFonts w:hint="eastAsia" w:ascii="仿宋_GB2312" w:hAnsi="仿宋_GB2312" w:eastAsia="仿宋_GB2312"/>
          <w:color w:val="000000" w:themeColor="text1"/>
          <w:spacing w:val="0"/>
          <w:sz w:val="32"/>
          <w:szCs w:val="28"/>
          <w:highlight w:val="none"/>
          <w14:textFill>
            <w14:solidFill>
              <w14:schemeClr w14:val="tx1"/>
            </w14:solidFill>
          </w14:textFill>
        </w:rPr>
        <w:t>、道路运输事务中心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主要职责：</w:t>
      </w:r>
      <w:r>
        <w:rPr>
          <w:rFonts w:hint="eastAsia" w:ascii="仿宋_GB2312" w:hAnsi="仿宋_GB2312" w:eastAsia="仿宋_GB2312"/>
          <w:color w:val="000000" w:themeColor="text1"/>
          <w:spacing w:val="0"/>
          <w:sz w:val="32"/>
          <w:szCs w:val="28"/>
          <w:highlight w:val="none"/>
          <w14:textFill>
            <w14:solidFill>
              <w14:schemeClr w14:val="tx1"/>
            </w14:solidFill>
          </w14:textFill>
        </w:rPr>
        <w:t>协调人员、重要物资的应急运输保障工作；协调与其他运输方式的联运工作；拟定应急运输征用补偿资金补助方案；</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（3）通信保障组</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由路网监测与应急处置中心相关人员组成。</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主要职责：负责应急处置过程中的通信保障工作；承办厅工作指挥机构交办的其他工作。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加强舆情监测分析，传递权威信息；加强舆情引导，完善舆情监测及应对机制，有效化解舆情风险；</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负责对外信息发布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bookmarkStart w:id="750" w:name="_Toc3513"/>
      <w:bookmarkStart w:id="751" w:name="_Toc32209"/>
      <w:bookmarkStart w:id="752" w:name="_Toc5023"/>
      <w:bookmarkStart w:id="753" w:name="_Toc14010"/>
      <w:bookmarkStart w:id="754" w:name="_Toc14473"/>
      <w:bookmarkStart w:id="755" w:name="_Toc19381"/>
      <w:bookmarkStart w:id="756" w:name="_Toc1342"/>
      <w:bookmarkStart w:id="757" w:name="_Toc20979"/>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（5）现场工作组</w:t>
      </w:r>
      <w:bookmarkEnd w:id="750"/>
      <w:bookmarkEnd w:id="751"/>
      <w:bookmarkEnd w:id="752"/>
      <w:bookmarkEnd w:id="75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主要职责：负责传达厅应急工作要求；按照工作指挥机构安排，研判、评估道路运输突发事件情况，参照专家组意见，配合有关部门提出具体处置方案；</w:t>
      </w:r>
      <w:r>
        <w:rPr>
          <w:rFonts w:hint="eastAsia" w:ascii="仿宋_GB2312" w:hAnsi="仿宋" w:eastAsia="仿宋_GB2312"/>
          <w:color w:val="000000" w:themeColor="text1"/>
          <w:spacing w:val="0"/>
          <w:sz w:val="32"/>
          <w:szCs w:val="32"/>
          <w:highlight w:val="none"/>
          <w14:textFill>
            <w14:solidFill>
              <w14:schemeClr w14:val="tx1"/>
            </w14:solidFill>
          </w14:textFill>
        </w:rPr>
        <w:t>协助有关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hAnsi="仿宋" w:eastAsia="仿宋_GB2312"/>
          <w:color w:val="000000" w:themeColor="text1"/>
          <w:spacing w:val="0"/>
          <w:sz w:val="32"/>
          <w:szCs w:val="32"/>
          <w:highlight w:val="none"/>
          <w14:textFill>
            <w14:solidFill>
              <w14:schemeClr w14:val="tx1"/>
            </w14:solidFill>
          </w14:textFill>
        </w:rPr>
        <w:t>开展道路</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运输突发事件</w:t>
      </w:r>
      <w:r>
        <w:rPr>
          <w:rFonts w:hint="eastAsia" w:ascii="仿宋_GB2312" w:hAnsi="仿宋" w:eastAsia="仿宋_GB2312"/>
          <w:color w:val="000000" w:themeColor="text1"/>
          <w:spacing w:val="0"/>
          <w:sz w:val="32"/>
          <w:szCs w:val="32"/>
          <w:highlight w:val="none"/>
          <w14:textFill>
            <w14:solidFill>
              <w14:schemeClr w14:val="tx1"/>
            </w14:solidFill>
          </w14:textFill>
        </w:rPr>
        <w:t>的应急处置工作</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14:textFill>
            <w14:solidFill>
              <w14:schemeClr w14:val="tx1"/>
            </w14:solidFill>
          </w14:textFill>
        </w:rPr>
        <w:t>并根据需要</w:t>
      </w:r>
      <w:r>
        <w:rPr>
          <w:rFonts w:hint="eastAsia" w:eastAsia="仿宋_GB2312"/>
          <w:color w:val="000000" w:themeColor="text1"/>
          <w:spacing w:val="0"/>
          <w:sz w:val="32"/>
          <w:szCs w:val="32"/>
          <w:highlight w:val="none"/>
          <w:lang w:val="en-US" w:eastAsia="zh-CN"/>
          <w14:textFill>
            <w14:solidFill>
              <w14:schemeClr w14:val="tx1"/>
            </w14:solidFill>
          </w14:textFill>
        </w:rPr>
        <w:t>调运运输车辆、应急物资等</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等有关应急工作组报告（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现场情况和应急处置行动进展；</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（6）专家组</w:t>
      </w:r>
      <w:bookmarkEnd w:id="754"/>
      <w:bookmarkEnd w:id="755"/>
      <w:bookmarkEnd w:id="756"/>
      <w:bookmarkEnd w:id="75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工作指挥机构邀请或抽调</w:t>
      </w:r>
      <w:r>
        <w:rPr>
          <w:rFonts w:hint="eastAsia" w:ascii="仿宋_GB2312" w:hAnsi="仿宋_GB2312" w:eastAsia="仿宋_GB2312"/>
          <w:color w:val="000000" w:themeColor="text1"/>
          <w:spacing w:val="0"/>
          <w:sz w:val="32"/>
          <w:szCs w:val="28"/>
          <w:highlight w:val="none"/>
          <w14:textFill>
            <w14:solidFill>
              <w14:schemeClr w14:val="tx1"/>
            </w14:solidFill>
          </w14:textFill>
        </w:rPr>
        <w:t>道路运输行业及相关</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行业</w:t>
      </w:r>
      <w:r>
        <w:rPr>
          <w:rFonts w:hint="eastAsia" w:ascii="仿宋_GB2312" w:hAnsi="仿宋_GB2312" w:eastAsia="仿宋_GB2312"/>
          <w:color w:val="000000" w:themeColor="text1"/>
          <w:spacing w:val="0"/>
          <w:sz w:val="32"/>
          <w:szCs w:val="28"/>
          <w:highlight w:val="none"/>
          <w14:textFill>
            <w14:solidFill>
              <w14:schemeClr w14:val="tx1"/>
            </w14:solidFill>
          </w14:textFill>
        </w:rPr>
        <w:t>技术、科研、管理、法律等方面专家</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组成</w:t>
      </w:r>
      <w:r>
        <w:rPr>
          <w:rFonts w:hint="eastAsia" w:ascii="仿宋_GB2312" w:hAnsi="仿宋_GB2312" w:eastAsia="仿宋_GB2312"/>
          <w:color w:val="000000" w:themeColor="text1"/>
          <w:spacing w:val="0"/>
          <w:sz w:val="32"/>
          <w:szCs w:val="28"/>
          <w:highlight w:val="none"/>
          <w14:textFill>
            <w14:solidFill>
              <w14:schemeClr w14:val="tx1"/>
            </w14:solidFill>
          </w14:textFill>
        </w:rPr>
        <w:t>。</w:t>
      </w:r>
    </w:p>
    <w:p>
      <w:pPr>
        <w:keepNext w:val="0"/>
        <w:keepLines w:val="0"/>
        <w:pageBreakBefore w:val="0"/>
        <w:widowControl w:val="0"/>
        <w:kinsoku/>
        <w:wordWrap/>
        <w:overflowPunct/>
        <w:topLinePunct/>
        <w:bidi w:val="0"/>
        <w:spacing w:beforeAutospacing="0" w:afterAutospacing="0" w:line="600" w:lineRule="exact"/>
        <w:ind w:left="0" w:leftChars="0" w:firstLine="640" w:firstLineChars="200"/>
        <w:jc w:val="both"/>
        <w:rPr>
          <w:rFonts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pPr>
      <w:r>
        <w:rPr>
          <w:rFonts w:hint="eastAsia"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t>主要职责：负责对应急准备以及应急行动方案提供专业咨询和建议，根据需要参加道路运输突发事件的应急处置工作。</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bookmarkStart w:id="758" w:name="_Toc3289"/>
      <w:bookmarkStart w:id="759" w:name="_Toc8064"/>
      <w:bookmarkStart w:id="760" w:name="_Toc1210"/>
      <w:bookmarkStart w:id="761" w:name="_Toc14557"/>
      <w:bookmarkStart w:id="762" w:name="_Toc30040"/>
      <w:bookmarkStart w:id="763" w:name="_Toc18356"/>
      <w:bookmarkStart w:id="764" w:name="_Toc29784"/>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厅道路运输突发事件</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组织机构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before="0" w:after="0" w:line="240" w:lineRule="auto"/>
        <w:ind w:left="0" w:leftChars="0" w:firstLine="0" w:firstLineChars="0"/>
        <w:jc w:val="center"/>
        <w:textAlignment w:val="auto"/>
        <w:outlineLvl w:val="9"/>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drawing>
          <wp:inline distT="0" distB="0" distL="114300" distR="114300">
            <wp:extent cx="5272405" cy="3202940"/>
            <wp:effectExtent l="0" t="0" r="10795" b="10160"/>
            <wp:docPr id="9" name="图片 9" descr="道路运输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道路运输机构"/>
                    <pic:cNvPicPr>
                      <a:picLocks noChangeAspect="1"/>
                    </pic:cNvPicPr>
                  </pic:nvPicPr>
                  <pic:blipFill>
                    <a:blip r:embed="rId17"/>
                    <a:stretch>
                      <a:fillRect/>
                    </a:stretch>
                  </pic:blipFill>
                  <pic:spPr>
                    <a:xfrm>
                      <a:off x="0" y="0"/>
                      <a:ext cx="5272405" cy="3202940"/>
                    </a:xfrm>
                    <a:prstGeom prst="rect">
                      <a:avLst/>
                    </a:prstGeom>
                  </pic:spPr>
                </pic:pic>
              </a:graphicData>
            </a:graphic>
          </wp:inline>
        </w:drawing>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2.</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3应急保障单位</w:t>
      </w:r>
      <w:bookmarkEnd w:id="758"/>
      <w:bookmarkEnd w:id="759"/>
      <w:bookmarkEnd w:id="760"/>
      <w:bookmarkEnd w:id="761"/>
      <w:bookmarkEnd w:id="762"/>
      <w:bookmarkEnd w:id="763"/>
      <w:bookmarkEnd w:id="764"/>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宁夏天豹交运集团有限公司、宁夏石运汽车运输有限公司、宁夏天豹固原汽车运输有限责任公司等</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指定为交通运输厅应急运输保障单位。</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765" w:name="_Toc28111"/>
      <w:bookmarkStart w:id="766" w:name="_Toc29532"/>
      <w:bookmarkStart w:id="767" w:name="_Toc489211108"/>
      <w:bookmarkStart w:id="768" w:name="_Toc14382"/>
      <w:bookmarkStart w:id="769" w:name="_Toc2508"/>
      <w:bookmarkStart w:id="770" w:name="_Toc527552417"/>
      <w:bookmarkStart w:id="771" w:name="_Toc18981"/>
      <w:bookmarkStart w:id="772" w:name="_Toc6889"/>
      <w:bookmarkStart w:id="773" w:name="_Toc536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3.预警</w:t>
      </w:r>
      <w:bookmarkEnd w:id="765"/>
      <w:bookmarkEnd w:id="766"/>
      <w:bookmarkEnd w:id="767"/>
      <w:bookmarkEnd w:id="768"/>
      <w:bookmarkEnd w:id="769"/>
      <w:bookmarkEnd w:id="770"/>
      <w:bookmarkEnd w:id="771"/>
      <w:bookmarkEnd w:id="772"/>
      <w:bookmarkEnd w:id="773"/>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774" w:name="_Toc21685"/>
      <w:bookmarkStart w:id="775" w:name="_Toc2972"/>
      <w:bookmarkStart w:id="776" w:name="_Toc21797"/>
      <w:bookmarkStart w:id="777" w:name="_Toc3037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3.1预警信息收集</w:t>
      </w:r>
      <w:bookmarkEnd w:id="774"/>
      <w:bookmarkEnd w:id="775"/>
      <w:bookmarkEnd w:id="776"/>
      <w:bookmarkEnd w:id="77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涉及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道路运输</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突发事件的预警及相关信息包括：</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宁夏气象局：气象监测、预测、预警信息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山体崩塌、滑坡、泥石流、地面塌陷等地质灾害监测、预测信息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重大恶性交通事故影响信息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社会安全突发事件信息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shd w:val="clear" w:color="auto" w:fill="FFFFFF"/>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道路交通中断、阻塞的监测信息和重要</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交通枢纽</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旅客滞留信息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主要</w:t>
      </w:r>
      <w:r>
        <w:rPr>
          <w:rFonts w:hint="eastAsia" w:ascii="仿宋_GB2312" w:hAnsi="仿宋_GB2312" w:eastAsia="仿宋_GB2312" w:cs="仿宋_GB2312"/>
          <w:color w:val="000000" w:themeColor="text1"/>
          <w:spacing w:val="0"/>
          <w:sz w:val="32"/>
          <w:szCs w:val="32"/>
          <w:highlight w:val="none"/>
          <w:shd w:val="clear" w:color="auto" w:fill="FFFFFF"/>
          <w14:textFill>
            <w14:solidFill>
              <w14:schemeClr w14:val="tx1"/>
            </w14:solidFill>
          </w14:textFill>
        </w:rPr>
        <w:t>包括重要</w:t>
      </w:r>
      <w:r>
        <w:rPr>
          <w:rFonts w:hint="eastAsia" w:ascii="仿宋_GB2312" w:hAnsi="仿宋_GB2312" w:eastAsia="仿宋_GB2312" w:cs="仿宋_GB2312"/>
          <w:color w:val="000000" w:themeColor="text1"/>
          <w:spacing w:val="0"/>
          <w:sz w:val="32"/>
          <w:szCs w:val="32"/>
          <w:highlight w:val="none"/>
          <w:shd w:val="clear" w:color="auto" w:fill="FFFFFF"/>
          <w:lang w:eastAsia="zh-CN"/>
          <w14:textFill>
            <w14:solidFill>
              <w14:schemeClr w14:val="tx1"/>
            </w14:solidFill>
          </w14:textFill>
        </w:rPr>
        <w:t>交通枢纽</w:t>
      </w:r>
      <w:r>
        <w:rPr>
          <w:rFonts w:hint="eastAsia" w:ascii="仿宋_GB2312" w:hAnsi="仿宋_GB2312" w:eastAsia="仿宋_GB2312" w:cs="仿宋_GB2312"/>
          <w:color w:val="000000" w:themeColor="text1"/>
          <w:spacing w:val="0"/>
          <w:sz w:val="32"/>
          <w:szCs w:val="32"/>
          <w:highlight w:val="none"/>
          <w:shd w:val="clear" w:color="auto" w:fill="FFFFFF"/>
          <w14:textFill>
            <w14:solidFill>
              <w14:schemeClr w14:val="tx1"/>
            </w14:solidFill>
          </w14:textFill>
        </w:rPr>
        <w:t>车辆积压、旅客滞留的原因、发生时间、当前滞留人数和积压车辆数及其变化趋势、站内运力情况、应急运力储备与使用情况、已采取的应急管理措施</w:t>
      </w:r>
      <w:r>
        <w:rPr>
          <w:rFonts w:hint="eastAsia" w:ascii="仿宋_GB2312" w:hAnsi="仿宋_GB2312" w:eastAsia="仿宋_GB2312" w:cs="仿宋_GB2312"/>
          <w:b w:val="0"/>
          <w:bCs w:val="0"/>
          <w:color w:val="000000" w:themeColor="text1"/>
          <w:spacing w:val="0"/>
          <w:sz w:val="32"/>
          <w:szCs w:val="32"/>
          <w:highlight w:val="none"/>
          <w:shd w:val="clear" w:color="auto" w:fill="FFFFFF"/>
          <w14:textFill>
            <w14:solidFill>
              <w14:schemeClr w14:val="tx1"/>
            </w14:solidFill>
          </w14:textFill>
        </w:rPr>
        <w:t>、绕行路线等</w:t>
      </w:r>
      <w:r>
        <w:rPr>
          <w:rFonts w:hint="eastAsia" w:ascii="仿宋_GB2312" w:hAnsi="仿宋_GB2312" w:eastAsia="仿宋_GB2312" w:cs="仿宋_GB2312"/>
          <w:color w:val="000000" w:themeColor="text1"/>
          <w:spacing w:val="0"/>
          <w:sz w:val="32"/>
          <w:szCs w:val="32"/>
          <w:highlight w:val="none"/>
          <w:shd w:val="clear" w:color="auto" w:fill="FFFFFF"/>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（6）</w:t>
      </w:r>
      <w:r>
        <w:rPr>
          <w:rFonts w:hint="eastAsia" w:ascii="仿宋_GB2312" w:hAnsi="仿宋_GB2312" w:eastAsia="仿宋_GB2312" w:cs="仿宋_GB2312"/>
          <w:b w:val="0"/>
          <w:bCs w:val="0"/>
          <w:color w:val="000000" w:themeColor="text1"/>
          <w:spacing w:val="0"/>
          <w:sz w:val="32"/>
          <w:szCs w:val="32"/>
          <w:highlight w:val="none"/>
          <w:shd w:val="clear" w:color="auto" w:fill="FFFFFF"/>
          <w14:textFill>
            <w14:solidFill>
              <w14:schemeClr w14:val="tx1"/>
            </w14:solidFill>
          </w14:textFill>
        </w:rPr>
        <w:t>其他需要提供道路交通运输应急保障的紧急</w:t>
      </w:r>
      <w:r>
        <w:rPr>
          <w:rFonts w:hint="eastAsia" w:ascii="仿宋_GB2312" w:hAnsi="仿宋_GB2312" w:eastAsia="仿宋_GB2312" w:cs="仿宋_GB2312"/>
          <w:b w:val="0"/>
          <w:bCs w:val="0"/>
          <w:color w:val="000000" w:themeColor="text1"/>
          <w:spacing w:val="0"/>
          <w:sz w:val="32"/>
          <w:szCs w:val="32"/>
          <w:highlight w:val="none"/>
          <w:shd w:val="clear" w:color="auto" w:fill="FFFFFF"/>
          <w:lang w:eastAsia="zh-CN"/>
          <w14:textFill>
            <w14:solidFill>
              <w14:schemeClr w14:val="tx1"/>
            </w14:solidFill>
          </w14:textFill>
        </w:rPr>
        <w:t>事故</w:t>
      </w:r>
      <w:r>
        <w:rPr>
          <w:rFonts w:hint="eastAsia" w:ascii="仿宋_GB2312" w:hAnsi="仿宋_GB2312" w:eastAsia="仿宋_GB2312" w:cs="仿宋_GB2312"/>
          <w:b w:val="0"/>
          <w:bCs w:val="0"/>
          <w:color w:val="000000" w:themeColor="text1"/>
          <w:spacing w:val="0"/>
          <w:sz w:val="32"/>
          <w:szCs w:val="32"/>
          <w:highlight w:val="none"/>
          <w:shd w:val="clear" w:color="auto" w:fill="FFFFFF"/>
          <w14:textFill>
            <w14:solidFill>
              <w14:schemeClr w14:val="tx1"/>
            </w14:solidFill>
          </w14:textFill>
        </w:rPr>
        <w:t>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778" w:name="_Toc26999"/>
      <w:bookmarkStart w:id="779" w:name="_Toc9557"/>
      <w:bookmarkStart w:id="780" w:name="_Toc4669"/>
      <w:bookmarkStart w:id="781" w:name="_Toc8116"/>
      <w:bookmarkStart w:id="782" w:name="_Toc26798"/>
      <w:bookmarkStart w:id="783" w:name="_Toc48921110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3.2预警信息分级</w:t>
      </w:r>
      <w:bookmarkEnd w:id="778"/>
      <w:bookmarkEnd w:id="779"/>
      <w:bookmarkEnd w:id="780"/>
      <w:bookmarkEnd w:id="781"/>
      <w:bookmarkEnd w:id="78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按照事故的紧急程度、发展势态和可能造成的危害程度分为四级：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一级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（红色）、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二级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（橙色）、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三级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（黄色）、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四级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（蓝色），</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一级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为最高级别。</w:t>
      </w:r>
    </w:p>
    <w:tbl>
      <w:tblPr>
        <w:tblStyle w:val="24"/>
        <w:tblW w:w="8519" w:type="dxa"/>
        <w:tblInd w:w="0" w:type="dxa"/>
        <w:tblLayout w:type="fixed"/>
        <w:tblCellMar>
          <w:top w:w="0" w:type="dxa"/>
          <w:left w:w="108" w:type="dxa"/>
          <w:bottom w:w="0" w:type="dxa"/>
          <w:right w:w="108" w:type="dxa"/>
        </w:tblCellMar>
      </w:tblPr>
      <w:tblGrid>
        <w:gridCol w:w="840"/>
        <w:gridCol w:w="864"/>
        <w:gridCol w:w="779"/>
        <w:gridCol w:w="6036"/>
      </w:tblGrid>
      <w:tr>
        <w:tblPrEx>
          <w:tblCellMar>
            <w:top w:w="0" w:type="dxa"/>
            <w:left w:w="108" w:type="dxa"/>
            <w:bottom w:w="0" w:type="dxa"/>
            <w:right w:w="108" w:type="dxa"/>
          </w:tblCellMar>
        </w:tblPrEx>
        <w:trPr>
          <w:trHeight w:val="737" w:hRule="atLeast"/>
          <w:tblHeader/>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预警级别</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级别</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描述</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颜色标示</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发生可能性较大的</w:t>
            </w:r>
            <w:r>
              <w:rPr>
                <w:rFonts w:hint="eastAsia" w:ascii="仿宋_GB2312" w:hAnsi="仿宋_GB2312" w:eastAsia="仿宋_GB2312" w:cs="仿宋_GB2312"/>
                <w:b/>
                <w:bCs/>
                <w:color w:val="000000" w:themeColor="text1"/>
                <w:spacing w:val="0"/>
                <w:kern w:val="0"/>
                <w:sz w:val="21"/>
                <w:szCs w:val="21"/>
                <w:highlight w:val="none"/>
                <w:lang w:eastAsia="zh-CN" w:bidi="ar"/>
                <w14:textFill>
                  <w14:solidFill>
                    <w14:schemeClr w14:val="tx1"/>
                  </w14:solidFill>
                </w14:textFill>
              </w:rPr>
              <w:t>事故</w:t>
            </w:r>
            <w:r>
              <w:rPr>
                <w:rFonts w:hint="eastAsia" w:ascii="仿宋_GB2312" w:hAnsi="仿宋_GB2312" w:eastAsia="仿宋_GB2312" w:cs="仿宋_GB2312"/>
                <w:b/>
                <w:bCs/>
                <w:color w:val="000000" w:themeColor="text1"/>
                <w:spacing w:val="0"/>
                <w:kern w:val="0"/>
                <w:sz w:val="21"/>
                <w:szCs w:val="21"/>
                <w:highlight w:val="none"/>
                <w:lang w:bidi="ar"/>
                <w14:textFill>
                  <w14:solidFill>
                    <w14:schemeClr w14:val="tx1"/>
                  </w14:solidFill>
                </w14:textFill>
              </w:rPr>
              <w:t>情形</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一</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特别重大</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红色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因事故可能导致重要</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交通枢纽</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运行中断，造成大量旅客滞留，恢复运行及人员疏散预计在48小时</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以上</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其他可能需要由自治区人民政府提供应急保障时。</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二</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橙色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因事故可能导致重要</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交通枢纽</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运行中断，造成大量旅客滞留，恢复运行及人员疏散预计在24小时</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以上</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其他可能需要由自治区人民政府提供应急保障时。</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三</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较大</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黄色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因事故可能导致重要</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交通枢纽</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运行中断，造成大量旅客滞留，恢复运行及人员疏散预计在12小时</w:t>
            </w:r>
            <w:r>
              <w:rPr>
                <w:rFonts w:hint="eastAsia" w:ascii="仿宋_GB2312" w:hAnsi="仿宋_GB2312" w:eastAsia="仿宋_GB2312" w:cs="仿宋_GB2312"/>
                <w:color w:val="000000" w:themeColor="text1"/>
                <w:spacing w:val="0"/>
                <w:kern w:val="0"/>
                <w:sz w:val="21"/>
                <w:szCs w:val="21"/>
                <w:highlight w:val="none"/>
                <w:lang w:eastAsia="zh-CN" w:bidi="ar"/>
                <w14:textFill>
                  <w14:solidFill>
                    <w14:schemeClr w14:val="tx1"/>
                  </w14:solidFill>
                </w14:textFill>
              </w:rPr>
              <w:t>以上</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其他可能需要由市人民政府提供应急保障时。</w:t>
            </w:r>
          </w:p>
        </w:tc>
      </w:tr>
      <w:tr>
        <w:tblPrEx>
          <w:tblCellMar>
            <w:top w:w="0" w:type="dxa"/>
            <w:left w:w="108" w:type="dxa"/>
            <w:bottom w:w="0" w:type="dxa"/>
            <w:right w:w="108" w:type="dxa"/>
          </w:tblCellMar>
        </w:tblPrEx>
        <w:trPr>
          <w:trHeight w:val="170" w:hRule="atLeast"/>
        </w:trPr>
        <w:tc>
          <w:tcPr>
            <w:tcW w:w="8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四</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级</w:t>
            </w:r>
          </w:p>
        </w:tc>
        <w:tc>
          <w:tcPr>
            <w:tcW w:w="8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一般</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蓝色</w:t>
            </w:r>
          </w:p>
        </w:tc>
        <w:tc>
          <w:tcPr>
            <w:tcW w:w="603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2"/>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textAlignment w:val="cente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Ⅳ级预警分级条件</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执行各</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县（区）人民政府</w:t>
            </w:r>
            <w:r>
              <w:rPr>
                <w:rFonts w:hint="eastAsia" w:ascii="仿宋_GB2312" w:hAnsi="仿宋_GB2312" w:eastAsia="仿宋_GB2312" w:cs="仿宋_GB2312"/>
                <w:color w:val="000000" w:themeColor="text1"/>
                <w:spacing w:val="0"/>
                <w:kern w:val="0"/>
                <w:sz w:val="21"/>
                <w:szCs w:val="21"/>
                <w:highlight w:val="none"/>
                <w:lang w:val="en-US" w:eastAsia="zh-CN" w:bidi="ar"/>
                <w14:textFill>
                  <w14:solidFill>
                    <w14:schemeClr w14:val="tx1"/>
                  </w14:solidFill>
                </w14:textFill>
              </w:rPr>
              <w:t>的标准</w:t>
            </w:r>
            <w:r>
              <w:rPr>
                <w:rFonts w:hint="eastAsia" w:ascii="仿宋_GB2312" w:hAnsi="仿宋_GB2312" w:eastAsia="仿宋_GB2312" w:cs="仿宋_GB2312"/>
                <w:color w:val="000000" w:themeColor="text1"/>
                <w:spacing w:val="0"/>
                <w:kern w:val="0"/>
                <w:sz w:val="21"/>
                <w:szCs w:val="21"/>
                <w:highlight w:val="none"/>
                <w:lang w:bidi="ar"/>
                <w14:textFill>
                  <w14:solidFill>
                    <w14:schemeClr w14:val="tx1"/>
                  </w14:solidFill>
                </w14:textFill>
              </w:rPr>
              <w:t>。</w:t>
            </w:r>
          </w:p>
        </w:tc>
      </w:tr>
    </w:tbl>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784" w:name="_Toc25200"/>
      <w:bookmarkStart w:id="785" w:name="_Toc17418"/>
      <w:bookmarkStart w:id="786" w:name="_Toc30636"/>
      <w:bookmarkStart w:id="787" w:name="_Toc21594"/>
      <w:bookmarkStart w:id="788" w:name="_Toc20604"/>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预警</w:t>
      </w:r>
      <w:bookmarkEnd w:id="784"/>
      <w:bookmarkEnd w:id="78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转发及预警行动</w:t>
      </w:r>
      <w:bookmarkEnd w:id="786"/>
      <w:bookmarkEnd w:id="787"/>
      <w:bookmarkEnd w:id="78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收到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预警信息后，根据预警等级进行分级处置。</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一级（红色）、二级（橙色）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由综合协调组拟定实施意见报厅应急办，经厅应急办研判，</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报</w:t>
      </w:r>
      <w:r>
        <w:rPr>
          <w:rFonts w:hint="eastAsia" w:ascii="仿宋_GB2312" w:hAnsi="Calibri" w:eastAsia="仿宋_GB2312"/>
          <w:color w:val="000000" w:themeColor="text1"/>
          <w:spacing w:val="0"/>
          <w:sz w:val="32"/>
          <w:szCs w:val="32"/>
          <w:highlight w:val="none"/>
          <w14:textFill>
            <w14:solidFill>
              <w14:schemeClr w14:val="tx1"/>
            </w14:solidFill>
          </w14:textFill>
        </w:rPr>
        <w:t>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主要负责人同意</w:t>
      </w:r>
      <w:r>
        <w:rPr>
          <w:rFonts w:hint="eastAsia" w:ascii="仿宋_GB2312" w:hAnsi="Calibri" w:eastAsia="仿宋_GB2312"/>
          <w:color w:val="000000" w:themeColor="text1"/>
          <w:spacing w:val="0"/>
          <w:sz w:val="32"/>
          <w:szCs w:val="32"/>
          <w:highlight w:val="none"/>
          <w14:textFill>
            <w14:solidFill>
              <w14:schemeClr w14:val="tx1"/>
            </w14:solidFill>
          </w14:textFill>
        </w:rPr>
        <w:t>后启动预警；</w:t>
      </w:r>
      <w:r>
        <w:rPr>
          <w:rFonts w:hint="eastAsia" w:ascii="仿宋_GB2312" w:eastAsia="仿宋_GB2312"/>
          <w:color w:val="000000" w:themeColor="text1"/>
          <w:spacing w:val="0"/>
          <w:sz w:val="32"/>
          <w:szCs w:val="32"/>
          <w:highlight w:val="none"/>
          <w14:textFill>
            <w14:solidFill>
              <w14:schemeClr w14:val="tx1"/>
            </w14:solidFill>
          </w14:textFill>
        </w:rPr>
        <w:t>预警信息立即传达厅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厅属单位、公路经营管理单位及市、县（区）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等单位；</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hAnsi="Calibri" w:eastAsia="仿宋_GB2312"/>
          <w:color w:val="000000" w:themeColor="text1"/>
          <w:spacing w:val="0"/>
          <w:sz w:val="32"/>
          <w:szCs w:val="32"/>
          <w:highlight w:val="none"/>
          <w14:textFill>
            <w14:solidFill>
              <w14:schemeClr w14:val="tx1"/>
            </w14:solidFill>
          </w14:textFill>
        </w:rPr>
        <w:t>各应急工作组进入待命状态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并采取以下措施：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①组织道路运输应急队伍和</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相关</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人员进入待命状态，做好参加应急处置和救援工作的准备</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②调集道路运输应急处置所需车辆、物资、装备、工具等，确保其处于良好状态，随时投入正常使用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③转移、疏散或者撤离易受突发事件危害的人员，转移重要财产</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instrText xml:space="preserve"> = 4 \* GB3 \* MERGEFORMAT </w:instrTex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配合公安交管部门对</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易受突发事件危害的路段及场所</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进行管制</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instrText xml:space="preserve"> = 5 \* GB3 \* MERGEFORMAT </w:instrTex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规章规定的其他必要的防范性、保护性措施。</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三级（黄色）、四级（蓝色）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由综合协调组拟定实施意见报厅应急办，经厅应急办研判，</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报</w:t>
      </w:r>
      <w:r>
        <w:rPr>
          <w:rFonts w:hint="eastAsia" w:ascii="仿宋_GB2312" w:hAnsi="Calibri" w:eastAsia="仿宋_GB2312"/>
          <w:color w:val="000000" w:themeColor="text1"/>
          <w:spacing w:val="0"/>
          <w:sz w:val="32"/>
          <w:szCs w:val="32"/>
          <w:highlight w:val="none"/>
          <w14:textFill>
            <w14:solidFill>
              <w14:schemeClr w14:val="tx1"/>
            </w14:solidFill>
          </w14:textFill>
        </w:rPr>
        <w:t>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分管厅领导同意</w:t>
      </w:r>
      <w:r>
        <w:rPr>
          <w:rFonts w:hint="eastAsia" w:ascii="仿宋_GB2312" w:hAnsi="Calibri" w:eastAsia="仿宋_GB2312"/>
          <w:color w:val="000000" w:themeColor="text1"/>
          <w:spacing w:val="0"/>
          <w:sz w:val="32"/>
          <w:szCs w:val="32"/>
          <w:highlight w:val="none"/>
          <w14:textFill>
            <w14:solidFill>
              <w14:schemeClr w14:val="tx1"/>
            </w14:solidFill>
          </w14:textFill>
        </w:rPr>
        <w:t>后</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启动预警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将预警信息传达厅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厅属单位、公路经营管理单位及市、县（区）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等单位</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并采取以下措施：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①</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加强监测频次，及时收集、报告有关信息，加强预报和预警工作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②</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根据突发事件种类和预警等级，及时对突发事件预测信息进行分析评估，根据突发事件发生可能性的大小、影响范围组织应对措施</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③</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完善值班值守的组织，为突发事件的处置提供保障。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在预警过程中如发现风险扩大趋势，预警响应可转入应急响应，按照应急响应程序处置。</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789" w:name="_Toc31016"/>
      <w:bookmarkStart w:id="790" w:name="_Toc21145"/>
      <w:bookmarkStart w:id="791" w:name="_Toc20082"/>
      <w:bookmarkStart w:id="792" w:name="_Toc19651"/>
      <w:bookmarkStart w:id="793" w:name="_Toc1451"/>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预警调整与终止</w:t>
      </w:r>
      <w:bookmarkEnd w:id="789"/>
      <w:bookmarkEnd w:id="790"/>
      <w:bookmarkEnd w:id="791"/>
      <w:bookmarkEnd w:id="792"/>
      <w:bookmarkEnd w:id="79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14:textFill>
            <w14:solidFill>
              <w14:schemeClr w14:val="tx1"/>
            </w14:solidFill>
          </w14:textFill>
        </w:rPr>
      </w:pPr>
      <w:bookmarkStart w:id="794" w:name="_Toc5275"/>
      <w:bookmarkStart w:id="795" w:name="_Toc24776"/>
      <w:bookmarkStart w:id="796" w:name="_Toc26020"/>
      <w:bookmarkStart w:id="797" w:name="_Toc13585"/>
      <w:bookmarkStart w:id="798" w:name="_Toc11272"/>
      <w:bookmarkStart w:id="799" w:name="_Toc24009"/>
      <w:bookmarkStart w:id="800" w:name="_Toc527552418"/>
      <w:r>
        <w:rPr>
          <w:rFonts w:hint="eastAsia" w:ascii="仿宋_GB2312" w:eastAsia="仿宋_GB2312"/>
          <w:color w:val="000000" w:themeColor="text1"/>
          <w:spacing w:val="0"/>
          <w:sz w:val="32"/>
          <w:szCs w:val="32"/>
          <w:highlight w:val="none"/>
          <w14:textFill>
            <w14:solidFill>
              <w14:schemeClr w14:val="tx1"/>
            </w14:solidFill>
          </w14:textFill>
        </w:rPr>
        <w:t>根据预警信息变化和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道路运输</w:t>
      </w:r>
      <w:r>
        <w:rPr>
          <w:rFonts w:hint="eastAsia" w:ascii="仿宋_GB2312" w:eastAsia="仿宋_GB2312"/>
          <w:color w:val="000000" w:themeColor="text1"/>
          <w:spacing w:val="0"/>
          <w:sz w:val="32"/>
          <w:szCs w:val="32"/>
          <w:highlight w:val="none"/>
          <w14:textFill>
            <w14:solidFill>
              <w14:schemeClr w14:val="tx1"/>
            </w14:solidFill>
          </w14:textFill>
        </w:rPr>
        <w:t>受影响情况，由</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提出</w:t>
      </w:r>
      <w:r>
        <w:rPr>
          <w:rFonts w:hint="eastAsia" w:ascii="仿宋_GB2312" w:eastAsia="仿宋_GB2312"/>
          <w:b w:val="0"/>
          <w:bCs w:val="0"/>
          <w:color w:val="000000" w:themeColor="text1"/>
          <w:spacing w:val="0"/>
          <w:sz w:val="32"/>
          <w:szCs w:val="32"/>
          <w:highlight w:val="none"/>
          <w14:textFill>
            <w14:solidFill>
              <w14:schemeClr w14:val="tx1"/>
            </w14:solidFill>
          </w14:textFill>
        </w:rPr>
        <w:t>调整、终止</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预警响应的建议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，经厅应急办核准，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。当相关预警解除，且</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受影响趋于消除时，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响应可自动终止。</w:t>
      </w:r>
    </w:p>
    <w:p>
      <w:pPr>
        <w:pStyle w:val="5"/>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1"/>
        <w:rPr>
          <w:rFonts w:hint="eastAsia" w:ascii="黑体" w:hAnsi="黑体" w:eastAsia="黑体"/>
          <w:b/>
          <w:bCs/>
          <w:color w:val="000000" w:themeColor="text1"/>
          <w:spacing w:val="0"/>
          <w:sz w:val="32"/>
          <w:szCs w:val="32"/>
          <w:highlight w:val="none"/>
          <w14:textFill>
            <w14:solidFill>
              <w14:schemeClr w14:val="tx1"/>
            </w14:solidFill>
          </w14:textFill>
        </w:rPr>
      </w:pPr>
      <w:bookmarkStart w:id="801" w:name="_Toc1396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w:t>
      </w:r>
      <w:r>
        <w:rPr>
          <w:rFonts w:hint="eastAsia" w:ascii="黑体" w:hAnsi="黑体" w:eastAsia="黑体"/>
          <w:b/>
          <w:bCs/>
          <w:color w:val="000000" w:themeColor="text1"/>
          <w:spacing w:val="0"/>
          <w:sz w:val="32"/>
          <w:szCs w:val="32"/>
          <w:highlight w:val="none"/>
          <w14:textFill>
            <w14:solidFill>
              <w14:schemeClr w14:val="tx1"/>
            </w14:solidFill>
          </w14:textFill>
        </w:rPr>
        <w:t>应急响应</w:t>
      </w:r>
      <w:bookmarkEnd w:id="783"/>
      <w:bookmarkEnd w:id="794"/>
      <w:bookmarkEnd w:id="795"/>
      <w:bookmarkEnd w:id="796"/>
      <w:bookmarkEnd w:id="797"/>
      <w:bookmarkEnd w:id="798"/>
      <w:bookmarkEnd w:id="799"/>
      <w:bookmarkEnd w:id="800"/>
      <w:bookmarkEnd w:id="801"/>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pPr>
      <w:bookmarkStart w:id="802" w:name="_Toc9588"/>
      <w:bookmarkStart w:id="803" w:name="_Toc1117"/>
      <w:bookmarkStart w:id="804" w:name="_Toc26635"/>
      <w:bookmarkStart w:id="805" w:name="_Toc23472"/>
      <w:bookmarkStart w:id="806" w:name="_Toc11890"/>
      <w:bookmarkStart w:id="807" w:name="_Toc527552419"/>
      <w:bookmarkStart w:id="808" w:name="_Toc489211110"/>
      <w:bookmarkStart w:id="809" w:name="_Toc8927"/>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4.1</w:t>
      </w:r>
      <w:r>
        <w:rPr>
          <w:rFonts w:hint="eastAsia" w:ascii="楷体_GB2312" w:hAnsi="仿宋" w:eastAsia="楷体_GB2312" w:cs="Times New Roman"/>
          <w:b/>
          <w:bCs/>
          <w:color w:val="000000" w:themeColor="text1"/>
          <w:spacing w:val="0"/>
          <w:highlight w:val="none"/>
          <w14:textFill>
            <w14:solidFill>
              <w14:schemeClr w14:val="tx1"/>
            </w14:solidFill>
          </w14:textFill>
        </w:rPr>
        <w:t>信息报告</w:t>
      </w:r>
      <w:bookmarkEnd w:id="802"/>
      <w:bookmarkEnd w:id="803"/>
      <w:bookmarkEnd w:id="804"/>
      <w:bookmarkEnd w:id="805"/>
      <w:bookmarkEnd w:id="806"/>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810" w:name="_Toc12266"/>
      <w:bookmarkStart w:id="811" w:name="_Toc23707"/>
      <w:bookmarkStart w:id="812" w:name="_Toc12795"/>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4.1.1信息报告范围</w:t>
      </w:r>
      <w:bookmarkEnd w:id="810"/>
      <w:bookmarkEnd w:id="811"/>
      <w:bookmarkEnd w:id="81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color w:val="000000" w:themeColor="text1"/>
          <w:spacing w:val="0"/>
          <w:sz w:val="32"/>
          <w:szCs w:val="28"/>
          <w:highlight w:val="none"/>
          <w14:textFill>
            <w14:solidFill>
              <w14:schemeClr w14:val="tx1"/>
            </w14:solidFill>
          </w14:textFill>
        </w:rPr>
      </w:pPr>
      <w:bookmarkStart w:id="813" w:name="_Toc15121"/>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事发地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交通运输主管部门、厅属相关单位及公路管理经营单位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需要重点</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的信息：</w:t>
      </w:r>
      <w:r>
        <w:rPr>
          <w:rFonts w:hint="eastAsia" w:ascii="仿宋_GB2312" w:hAnsi="仿宋_GB2312" w:eastAsia="仿宋_GB2312"/>
          <w:color w:val="000000" w:themeColor="text1"/>
          <w:spacing w:val="0"/>
          <w:sz w:val="32"/>
          <w:szCs w:val="28"/>
          <w:highlight w:val="none"/>
          <w14:textFill>
            <w14:solidFill>
              <w14:schemeClr w14:val="tx1"/>
            </w14:solidFill>
          </w14:textFill>
        </w:rPr>
        <w:t>事件的类型、发生时间、地点、发生原因、影响范围和程度、发生</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事态</w:t>
      </w:r>
      <w:r>
        <w:rPr>
          <w:rFonts w:hint="eastAsia" w:ascii="仿宋_GB2312" w:hAnsi="仿宋_GB2312" w:eastAsia="仿宋_GB2312"/>
          <w:color w:val="000000" w:themeColor="text1"/>
          <w:spacing w:val="0"/>
          <w:sz w:val="32"/>
          <w:szCs w:val="28"/>
          <w:highlight w:val="none"/>
          <w14:textFill>
            <w14:solidFill>
              <w14:schemeClr w14:val="tx1"/>
            </w14:solidFill>
          </w14:textFill>
        </w:rPr>
        <w:t>、受损情况、已采取的应急处置措施和成效、联系人及联系方式等。</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814" w:name="_Toc26463"/>
      <w:bookmarkStart w:id="815" w:name="_Toc25714"/>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4.1.2信息上报</w:t>
      </w:r>
      <w:bookmarkEnd w:id="813"/>
      <w:bookmarkEnd w:id="814"/>
      <w:bookmarkEnd w:id="81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各级交通运输部门和单位按照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《全区交通运输行业突发事件信息管理制度（试行）》等规定，报告道路运输突发事件信息。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接到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按规定程序进行报送。</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应急响应启动后，事发区域</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市、县（区）</w:t>
      </w:r>
      <w:r>
        <w:rPr>
          <w:rFonts w:hint="eastAsia" w:ascii="仿宋_GB2312" w:hAnsi="仿宋_GB2312" w:eastAsia="仿宋_GB2312"/>
          <w:color w:val="000000" w:themeColor="text1"/>
          <w:spacing w:val="0"/>
          <w:sz w:val="32"/>
          <w:szCs w:val="28"/>
          <w:highlight w:val="none"/>
          <w14:textFill>
            <w14:solidFill>
              <w14:schemeClr w14:val="tx1"/>
            </w14:solidFill>
          </w14:textFill>
        </w:rPr>
        <w:t>道路运输主管部门应当将应急处置工作进展情况及时报</w:t>
      </w: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olor w:val="000000" w:themeColor="text1"/>
          <w:spacing w:val="0"/>
          <w:sz w:val="32"/>
          <w:szCs w:val="28"/>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16" w:name="_Toc17927"/>
      <w:bookmarkStart w:id="817" w:name="_Toc2756"/>
      <w:bookmarkStart w:id="818" w:name="_Toc422"/>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分级响应</w:t>
      </w:r>
      <w:bookmarkEnd w:id="807"/>
      <w:bookmarkEnd w:id="808"/>
      <w:bookmarkEnd w:id="809"/>
      <w:bookmarkEnd w:id="816"/>
      <w:bookmarkEnd w:id="817"/>
      <w:bookmarkEnd w:id="81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交通运输厅</w:t>
      </w:r>
      <w:r>
        <w:rPr>
          <w:rFonts w:hint="eastAsia" w:ascii="仿宋_GB2312" w:hAnsi="仿宋_GB2312" w:eastAsia="仿宋_GB2312"/>
          <w:color w:val="000000" w:themeColor="text1"/>
          <w:spacing w:val="0"/>
          <w:sz w:val="32"/>
          <w:szCs w:val="28"/>
          <w:highlight w:val="none"/>
          <w14:textFill>
            <w14:solidFill>
              <w14:schemeClr w14:val="tx1"/>
            </w14:solidFill>
          </w14:textFill>
        </w:rPr>
        <w:t>应急响应一般可分为</w:t>
      </w:r>
      <w:r>
        <w:rPr>
          <w:rFonts w:ascii="仿宋_GB2312" w:hAnsi="仿宋_GB2312" w:eastAsia="仿宋_GB2312"/>
          <w:color w:val="000000" w:themeColor="text1"/>
          <w:spacing w:val="0"/>
          <w:sz w:val="32"/>
          <w:szCs w:val="28"/>
          <w:highlight w:val="none"/>
          <w14:textFill>
            <w14:solidFill>
              <w14:schemeClr w14:val="tx1"/>
            </w14:solidFill>
          </w14:textFill>
        </w:rPr>
        <w:t>Ⅰ</w:t>
      </w:r>
      <w:r>
        <w:rPr>
          <w:rFonts w:hint="eastAsia" w:ascii="仿宋_GB2312" w:hAnsi="仿宋_GB2312" w:eastAsia="仿宋_GB2312"/>
          <w:color w:val="000000" w:themeColor="text1"/>
          <w:spacing w:val="0"/>
          <w:sz w:val="32"/>
          <w:szCs w:val="28"/>
          <w:highlight w:val="none"/>
          <w14:textFill>
            <w14:solidFill>
              <w14:schemeClr w14:val="tx1"/>
            </w14:solidFill>
          </w14:textFill>
        </w:rPr>
        <w:t>级、</w:t>
      </w:r>
      <w:r>
        <w:rPr>
          <w:rFonts w:ascii="仿宋_GB2312" w:hAnsi="仿宋_GB2312" w:eastAsia="仿宋_GB2312"/>
          <w:color w:val="000000" w:themeColor="text1"/>
          <w:spacing w:val="0"/>
          <w:sz w:val="32"/>
          <w:szCs w:val="28"/>
          <w:highlight w:val="none"/>
          <w14:textFill>
            <w14:solidFill>
              <w14:schemeClr w14:val="tx1"/>
            </w14:solidFill>
          </w14:textFill>
        </w:rPr>
        <w:t>Ⅱ</w:t>
      </w:r>
      <w:r>
        <w:rPr>
          <w:rFonts w:hint="eastAsia" w:ascii="仿宋_GB2312" w:hAnsi="仿宋_GB2312" w:eastAsia="仿宋_GB2312"/>
          <w:color w:val="000000" w:themeColor="text1"/>
          <w:spacing w:val="0"/>
          <w:sz w:val="32"/>
          <w:szCs w:val="28"/>
          <w:highlight w:val="none"/>
          <w14:textFill>
            <w14:solidFill>
              <w14:schemeClr w14:val="tx1"/>
            </w14:solidFill>
          </w14:textFill>
        </w:rPr>
        <w:t>级、</w:t>
      </w:r>
      <w:r>
        <w:rPr>
          <w:rFonts w:ascii="仿宋_GB2312" w:hAnsi="仿宋_GB2312" w:eastAsia="仿宋_GB2312"/>
          <w:color w:val="000000" w:themeColor="text1"/>
          <w:spacing w:val="0"/>
          <w:sz w:val="32"/>
          <w:szCs w:val="28"/>
          <w:highlight w:val="none"/>
          <w14:textFill>
            <w14:solidFill>
              <w14:schemeClr w14:val="tx1"/>
            </w14:solidFill>
          </w14:textFill>
        </w:rPr>
        <w:t>Ⅲ</w:t>
      </w:r>
      <w:r>
        <w:rPr>
          <w:rFonts w:hint="eastAsia" w:ascii="仿宋_GB2312" w:hAnsi="仿宋_GB2312" w:eastAsia="仿宋_GB2312"/>
          <w:color w:val="000000" w:themeColor="text1"/>
          <w:spacing w:val="0"/>
          <w:sz w:val="32"/>
          <w:szCs w:val="28"/>
          <w:highlight w:val="none"/>
          <w14:textFill>
            <w14:solidFill>
              <w14:schemeClr w14:val="tx1"/>
            </w14:solidFill>
          </w14:textFill>
        </w:rPr>
        <w:t>级和</w:t>
      </w:r>
      <w:r>
        <w:rPr>
          <w:rFonts w:ascii="仿宋_GB2312" w:hAnsi="仿宋_GB2312" w:eastAsia="仿宋_GB2312"/>
          <w:color w:val="000000" w:themeColor="text1"/>
          <w:spacing w:val="0"/>
          <w:sz w:val="32"/>
          <w:szCs w:val="28"/>
          <w:highlight w:val="none"/>
          <w14:textFill>
            <w14:solidFill>
              <w14:schemeClr w14:val="tx1"/>
            </w14:solidFill>
          </w14:textFill>
        </w:rPr>
        <w:t>Ⅳ</w:t>
      </w:r>
      <w:r>
        <w:rPr>
          <w:rFonts w:hint="eastAsia" w:ascii="仿宋_GB2312" w:hAnsi="仿宋_GB2312" w:eastAsia="仿宋_GB2312"/>
          <w:color w:val="000000" w:themeColor="text1"/>
          <w:spacing w:val="0"/>
          <w:sz w:val="32"/>
          <w:szCs w:val="28"/>
          <w:highlight w:val="none"/>
          <w14:textFill>
            <w14:solidFill>
              <w14:schemeClr w14:val="tx1"/>
            </w14:solidFill>
          </w14:textFill>
        </w:rPr>
        <w:t>级四个等级</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事件分级相匹配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当接到交通运输部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启动Ⅰ级、Ⅱ级应急响应信息后</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或</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特别重大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重大道路运输</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时</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启动Ⅰ级、Ⅱ级应急响应。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发生较大、一般</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，超出事发地市、 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应对能力，经市、</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交通运输主管部门提出，或</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认为必要时，启动Ⅲ级、Ⅳ级应急响应。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819" w:name="_Toc527552420"/>
      <w:bookmarkStart w:id="820" w:name="_Toc7999"/>
      <w:bookmarkStart w:id="821" w:name="_Toc31968"/>
      <w:bookmarkStart w:id="822" w:name="_Toc4540"/>
      <w:bookmarkStart w:id="823" w:name="_Toc489211111"/>
      <w:bookmarkStart w:id="824" w:name="_Toc20662"/>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3应急</w:t>
      </w:r>
      <w:r>
        <w:rPr>
          <w:rFonts w:hint="eastAsia" w:ascii="楷体_GB2312" w:hAnsi="仿宋" w:eastAsia="楷体_GB2312" w:cs="Times New Roman"/>
          <w:b/>
          <w:bCs/>
          <w:color w:val="000000" w:themeColor="text1"/>
          <w:spacing w:val="0"/>
          <w:highlight w:val="none"/>
          <w14:textFill>
            <w14:solidFill>
              <w14:schemeClr w14:val="tx1"/>
            </w14:solidFill>
          </w14:textFill>
        </w:rPr>
        <w:t>响应</w:t>
      </w:r>
      <w:bookmarkEnd w:id="819"/>
      <w:bookmarkEnd w:id="820"/>
      <w:bookmarkEnd w:id="821"/>
      <w:bookmarkEnd w:id="822"/>
      <w:bookmarkEnd w:id="823"/>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及行动</w:t>
      </w:r>
      <w:bookmarkEnd w:id="824"/>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由综合协调组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根据事件影响范围和处置难易程度分析研判，提出启动应急响应建议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，经厅应急办核准，报厅工作指挥机构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拟启动Ⅰ级、Ⅱ级应急响应的，由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w:t>
      </w:r>
      <w:r>
        <w:rPr>
          <w:rFonts w:hint="eastAsia" w:eastAsia="仿宋_GB2312"/>
          <w:color w:val="000000" w:themeColor="text1"/>
          <w:spacing w:val="0"/>
          <w:sz w:val="32"/>
          <w:szCs w:val="32"/>
          <w:highlight w:val="none"/>
          <w14:textFill>
            <w14:solidFill>
              <w14:schemeClr w14:val="tx1"/>
            </w14:solidFill>
          </w14:textFill>
        </w:rPr>
        <w:t>，</w:t>
      </w:r>
      <w:r>
        <w:rPr>
          <w:rFonts w:eastAsia="仿宋_GB2312"/>
          <w:color w:val="000000" w:themeColor="text1"/>
          <w:spacing w:val="0"/>
          <w:sz w:val="32"/>
          <w:szCs w:val="32"/>
          <w:highlight w:val="none"/>
          <w14:textFill>
            <w14:solidFill>
              <w14:schemeClr w14:val="tx1"/>
            </w14:solidFill>
          </w14:textFill>
        </w:rPr>
        <w:t>成立现场工作组，赶赴现场</w:t>
      </w:r>
      <w:r>
        <w:rPr>
          <w:rFonts w:hint="eastAsia" w:eastAsia="仿宋_GB2312"/>
          <w:color w:val="000000" w:themeColor="text1"/>
          <w:spacing w:val="0"/>
          <w:sz w:val="32"/>
          <w:szCs w:val="32"/>
          <w:highlight w:val="none"/>
          <w14:textFill>
            <w14:solidFill>
              <w14:schemeClr w14:val="tx1"/>
            </w14:solidFill>
          </w14:textFill>
        </w:rPr>
        <w:t>，</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事发地交通运输主管部门</w:t>
      </w:r>
      <w:r>
        <w:rPr>
          <w:rFonts w:hint="eastAsia" w:eastAsia="仿宋_GB2312" w:cs="Times New Roman"/>
          <w:color w:val="000000" w:themeColor="text1"/>
          <w:spacing w:val="0"/>
          <w:sz w:val="32"/>
          <w:szCs w:val="32"/>
          <w:highlight w:val="none"/>
          <w:lang w:val="en-US" w:eastAsia="zh-CN"/>
          <w14:textFill>
            <w14:solidFill>
              <w14:schemeClr w14:val="tx1"/>
            </w14:solidFill>
          </w14:textFill>
        </w:rPr>
        <w:t>应急处置</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eastAsia="仿宋_GB2312" w:cs="Times New Roman"/>
          <w:color w:val="000000" w:themeColor="text1"/>
          <w:spacing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将启动Ⅰ级、Ⅱ级应急响应有关信息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和应急处置</w:t>
      </w:r>
      <w:r>
        <w:rPr>
          <w:rFonts w:hint="eastAsia" w:eastAsia="仿宋_GB2312"/>
          <w:color w:val="000000" w:themeColor="text1"/>
          <w:spacing w:val="0"/>
          <w:sz w:val="32"/>
          <w:szCs w:val="32"/>
          <w:highlight w:val="none"/>
          <w14:textFill>
            <w14:solidFill>
              <w14:schemeClr w14:val="tx1"/>
            </w14:solidFill>
          </w14:textFill>
        </w:rPr>
        <w:t>遇到的重大情况</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按规定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报上级单位和自治区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地区的政府部门通报情况</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 w:eastAsia="仿宋_GB2312"/>
          <w:color w:val="000000" w:themeColor="text1"/>
          <w:spacing w:val="0"/>
          <w:sz w:val="32"/>
          <w:szCs w:val="32"/>
          <w:highlight w:val="none"/>
          <w14:textFill>
            <w14:solidFill>
              <w14:schemeClr w14:val="tx1"/>
            </w14:solidFill>
          </w14:textFill>
        </w:rPr>
        <w:t>向社会公布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①</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参加自治区指挥部</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组织的</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会商，</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落实处置要求；</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②派出现场工作组</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专家赶赴现场参加、指导现场应急</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处置；</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default"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③</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配合有关部门制定</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应急处置方案；及时掌握道路运输突发事件应急工作的整体情况</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协调、调运运输车辆做好运力保障；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④及时掌握、研究解决应急工作中出现的问题。</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eastAsia="仿宋_GB2312"/>
          <w:color w:val="000000" w:themeColor="text1"/>
          <w:spacing w:val="0"/>
          <w:sz w:val="32"/>
          <w:szCs w:val="32"/>
          <w:highlight w:val="none"/>
          <w14:textFill>
            <w14:solidFill>
              <w14:schemeClr w14:val="tx1"/>
            </w14:solidFill>
          </w14:textFill>
        </w:rPr>
        <w:t>Ⅲ级、Ⅳ级</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的，由指挥长宣布启动并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指导、协调应急处置工作，主要采取以下措施：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①根据需要参与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属地应急机构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会商，及时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督促、指导属地交通部门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落实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协调运输车辆，保障运力；</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③视情派出现场工作组或专家组给予指导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必要时，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协助地方开展应急处置工作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④密切跟踪事态进展。</w:t>
      </w:r>
    </w:p>
    <w:p>
      <w:pPr>
        <w:pStyle w:val="21"/>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pPr>
      <w:r>
        <w:rPr>
          <w:rFonts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t>（</w:t>
      </w:r>
      <w:r>
        <w:rPr>
          <w:rFonts w:hint="eastAsia"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t>4</w:t>
      </w:r>
      <w:r>
        <w:rPr>
          <w:rFonts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t>）</w:t>
      </w:r>
      <w:r>
        <w:rPr>
          <w:rFonts w:hint="eastAsia" w:ascii="仿宋_GB2312" w:hAnsi="仿宋_GB2312" w:eastAsia="仿宋_GB2312"/>
          <w:color w:val="000000" w:themeColor="text1"/>
          <w:spacing w:val="0"/>
          <w:sz w:val="32"/>
          <w:szCs w:val="28"/>
          <w:highlight w:val="none"/>
          <w14:textFill>
            <w14:solidFill>
              <w14:schemeClr w14:val="tx1"/>
            </w14:solidFill>
          </w14:textFill>
        </w:rPr>
        <w:t>高速公路发生的道路运输突发事件，由</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高速公路经营管理单位</w:t>
      </w:r>
      <w:r>
        <w:rPr>
          <w:rFonts w:hint="eastAsia" w:ascii="仿宋_GB2312" w:hAnsi="仿宋_GB2312" w:eastAsia="仿宋_GB2312"/>
          <w:color w:val="000000" w:themeColor="text1"/>
          <w:spacing w:val="0"/>
          <w:sz w:val="32"/>
          <w:szCs w:val="28"/>
          <w:highlight w:val="none"/>
          <w14:textFill>
            <w14:solidFill>
              <w14:schemeClr w14:val="tx1"/>
            </w14:solidFill>
          </w14:textFill>
        </w:rPr>
        <w:t>，按事件级别启动应急响应。超出本级范围的突发事件，需要上级交通运输主管部门协调处置时，应及时提出请求</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825" w:name="_Toc32246"/>
      <w:bookmarkStart w:id="826" w:name="_Toc527552422"/>
      <w:bookmarkStart w:id="827" w:name="_Toc24609"/>
      <w:bookmarkStart w:id="828" w:name="_Toc489211113"/>
      <w:bookmarkStart w:id="829" w:name="_Toc27235"/>
      <w:bookmarkStart w:id="830" w:name="_Toc1578"/>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4应急</w:t>
      </w:r>
      <w:r>
        <w:rPr>
          <w:rFonts w:hint="eastAsia" w:ascii="楷体_GB2312" w:hAnsi="仿宋" w:eastAsia="楷体_GB2312" w:cs="Times New Roman"/>
          <w:b/>
          <w:bCs/>
          <w:color w:val="000000" w:themeColor="text1"/>
          <w:spacing w:val="0"/>
          <w:highlight w:val="none"/>
          <w14:textFill>
            <w14:solidFill>
              <w14:schemeClr w14:val="tx1"/>
            </w14:solidFill>
          </w14:textFill>
        </w:rPr>
        <w:t>处置</w:t>
      </w:r>
      <w:bookmarkEnd w:id="825"/>
      <w:bookmarkEnd w:id="826"/>
      <w:bookmarkEnd w:id="827"/>
      <w:bookmarkEnd w:id="828"/>
      <w:bookmarkEnd w:id="82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措施</w:t>
      </w:r>
      <w:bookmarkEnd w:id="830"/>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ascii="仿宋_GB2312" w:hAnsi="仿宋_GB2312" w:eastAsia="仿宋_GB2312"/>
          <w:color w:val="000000" w:themeColor="text1"/>
          <w:spacing w:val="0"/>
          <w:sz w:val="32"/>
          <w:szCs w:val="28"/>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启动</w:t>
      </w:r>
      <w:r>
        <w:rPr>
          <w:rFonts w:ascii="仿宋_GB2312" w:hAnsi="仿宋_GB2312" w:eastAsia="仿宋_GB2312"/>
          <w:color w:val="000000" w:themeColor="text1"/>
          <w:spacing w:val="0"/>
          <w:sz w:val="32"/>
          <w:szCs w:val="28"/>
          <w:highlight w:val="none"/>
          <w14:textFill>
            <w14:solidFill>
              <w14:schemeClr w14:val="tx1"/>
            </w14:solidFill>
          </w14:textFill>
        </w:rPr>
        <w:t>Ⅰ</w:t>
      </w:r>
      <w:r>
        <w:rPr>
          <w:rFonts w:hint="eastAsia" w:ascii="仿宋_GB2312" w:hAnsi="仿宋_GB2312" w:eastAsia="仿宋_GB2312"/>
          <w:color w:val="000000" w:themeColor="text1"/>
          <w:spacing w:val="0"/>
          <w:sz w:val="32"/>
          <w:szCs w:val="28"/>
          <w:highlight w:val="none"/>
          <w14:textFill>
            <w14:solidFill>
              <w14:schemeClr w14:val="tx1"/>
            </w14:solidFill>
          </w14:textFill>
        </w:rPr>
        <w:t>级或</w:t>
      </w:r>
      <w:r>
        <w:rPr>
          <w:rFonts w:ascii="仿宋_GB2312" w:hAnsi="仿宋_GB2312" w:eastAsia="仿宋_GB2312"/>
          <w:color w:val="000000" w:themeColor="text1"/>
          <w:spacing w:val="0"/>
          <w:sz w:val="32"/>
          <w:szCs w:val="28"/>
          <w:highlight w:val="none"/>
          <w14:textFill>
            <w14:solidFill>
              <w14:schemeClr w14:val="tx1"/>
            </w14:solidFill>
          </w14:textFill>
        </w:rPr>
        <w:t>Ⅱ</w:t>
      </w:r>
      <w:r>
        <w:rPr>
          <w:rFonts w:hint="eastAsia" w:ascii="仿宋_GB2312" w:hAnsi="仿宋_GB2312" w:eastAsia="仿宋_GB2312"/>
          <w:color w:val="000000" w:themeColor="text1"/>
          <w:spacing w:val="0"/>
          <w:sz w:val="32"/>
          <w:szCs w:val="28"/>
          <w:highlight w:val="none"/>
          <w14:textFill>
            <w14:solidFill>
              <w14:schemeClr w14:val="tx1"/>
            </w14:solidFill>
          </w14:textFill>
        </w:rPr>
        <w:t>级应急响应后，根据事件的不同类别，有效组织采取不同处置措施：</w:t>
      </w:r>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ascii="仿宋_GB2312" w:hAnsi="仿宋_GB2312" w:eastAsia="仿宋_GB2312"/>
          <w:color w:val="000000" w:themeColor="text1"/>
          <w:spacing w:val="0"/>
          <w:sz w:val="32"/>
          <w:szCs w:val="28"/>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（1）应对重要</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交通枢纽</w:t>
      </w:r>
      <w:r>
        <w:rPr>
          <w:rFonts w:hint="eastAsia" w:ascii="仿宋_GB2312" w:hAnsi="仿宋_GB2312" w:eastAsia="仿宋_GB2312"/>
          <w:color w:val="000000" w:themeColor="text1"/>
          <w:spacing w:val="0"/>
          <w:sz w:val="32"/>
          <w:szCs w:val="28"/>
          <w:highlight w:val="none"/>
          <w14:textFill>
            <w14:solidFill>
              <w14:schemeClr w14:val="tx1"/>
            </w14:solidFill>
          </w14:textFill>
        </w:rPr>
        <w:t>运行中断、重要物资道路运输应急保障的突发事件，应按照《关于道路运输应急保障车队建设的指导意见》以及自治区相关规定，指挥</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协调</w:t>
      </w:r>
      <w:r>
        <w:rPr>
          <w:rFonts w:hint="eastAsia" w:ascii="仿宋_GB2312" w:hAnsi="仿宋_GB2312" w:eastAsia="仿宋_GB2312"/>
          <w:color w:val="000000" w:themeColor="text1"/>
          <w:spacing w:val="0"/>
          <w:sz w:val="32"/>
          <w:szCs w:val="28"/>
          <w:highlight w:val="none"/>
          <w14:textFill>
            <w14:solidFill>
              <w14:schemeClr w14:val="tx1"/>
            </w14:solidFill>
          </w14:textFill>
        </w:rPr>
        <w:t>应急</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车辆</w:t>
      </w:r>
      <w:r>
        <w:rPr>
          <w:rFonts w:hint="eastAsia" w:ascii="仿宋_GB2312" w:hAnsi="仿宋_GB2312" w:eastAsia="仿宋_GB2312"/>
          <w:color w:val="000000" w:themeColor="text1"/>
          <w:spacing w:val="0"/>
          <w:sz w:val="32"/>
          <w:szCs w:val="28"/>
          <w:highlight w:val="none"/>
          <w14:textFill>
            <w14:solidFill>
              <w14:schemeClr w14:val="tx1"/>
            </w14:solidFill>
          </w14:textFill>
        </w:rPr>
        <w:t>，完成人员的疏散及重要物资的运输保障。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宋体" w:eastAsia="仿宋_GB2312"/>
          <w:color w:val="000000" w:themeColor="text1"/>
          <w:spacing w:val="0"/>
          <w:sz w:val="32"/>
          <w:szCs w:val="32"/>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启动应急响应后，执行应急运输保障任务的单位，应对应急运输保障车辆和设备进行认真检查，严禁车辆和设备带病操作，并配备相应</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宋体" w:eastAsia="仿宋_GB2312"/>
          <w:color w:val="000000" w:themeColor="text1"/>
          <w:spacing w:val="0"/>
          <w:sz w:val="32"/>
          <w:szCs w:val="32"/>
          <w:highlight w:val="none"/>
          <w14:textFill>
            <w14:solidFill>
              <w14:schemeClr w14:val="tx1"/>
            </w14:solidFill>
          </w14:textFill>
        </w:rPr>
        <w:t>通讯工具。</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仿宋_GB2312" w:eastAsia="仿宋_GB2312"/>
          <w:color w:val="000000" w:themeColor="text1"/>
          <w:spacing w:val="0"/>
          <w:sz w:val="32"/>
          <w:szCs w:val="28"/>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执行应急运输保障任务的单位，同时派出5辆以上车辆或设备执行同一应急运输保障任务时，应由车队队长带队</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10辆以上的，由单位领导带队</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20辆车以上由市级</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交通运输主管部门</w:t>
      </w:r>
      <w:r>
        <w:rPr>
          <w:rFonts w:hint="eastAsia" w:ascii="仿宋_GB2312" w:hAnsi="宋体" w:eastAsia="仿宋_GB2312"/>
          <w:color w:val="000000" w:themeColor="text1"/>
          <w:spacing w:val="0"/>
          <w:sz w:val="32"/>
          <w:szCs w:val="32"/>
          <w:highlight w:val="none"/>
          <w14:textFill>
            <w14:solidFill>
              <w14:schemeClr w14:val="tx1"/>
            </w14:solidFill>
          </w14:textFill>
        </w:rPr>
        <w:t>领导带队</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50辆以上由自治区</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交通运输厅相关</w:t>
      </w:r>
      <w:r>
        <w:rPr>
          <w:rFonts w:hint="eastAsia" w:ascii="仿宋_GB2312" w:hAnsi="宋体" w:eastAsia="仿宋_GB2312"/>
          <w:color w:val="000000" w:themeColor="text1"/>
          <w:spacing w:val="0"/>
          <w:sz w:val="32"/>
          <w:szCs w:val="32"/>
          <w:highlight w:val="none"/>
          <w14:textFill>
            <w14:solidFill>
              <w14:schemeClr w14:val="tx1"/>
            </w14:solidFill>
          </w14:textFill>
        </w:rPr>
        <w:t>领导带队。执行应急运输保障任务的车队应持有通讯设备，保持通讯畅通。途中发生问题（遇到滞留、</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交通</w:t>
      </w:r>
      <w:r>
        <w:rPr>
          <w:rFonts w:hint="eastAsia" w:ascii="仿宋_GB2312" w:hAnsi="宋体" w:eastAsia="仿宋_GB2312"/>
          <w:color w:val="000000" w:themeColor="text1"/>
          <w:spacing w:val="0"/>
          <w:sz w:val="32"/>
          <w:szCs w:val="32"/>
          <w:highlight w:val="none"/>
          <w14:textFill>
            <w14:solidFill>
              <w14:schemeClr w14:val="tx1"/>
            </w14:solidFill>
          </w14:textFill>
        </w:rPr>
        <w:t>事故、物资遭到哄抢或受损、道路受阻</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，以及</w:t>
      </w:r>
      <w:r>
        <w:rPr>
          <w:rFonts w:hint="eastAsia" w:ascii="仿宋_GB2312" w:hAnsi="宋体" w:eastAsia="仿宋_GB2312"/>
          <w:color w:val="000000" w:themeColor="text1"/>
          <w:spacing w:val="0"/>
          <w:sz w:val="32"/>
          <w:szCs w:val="32"/>
          <w:highlight w:val="none"/>
          <w14:textFill>
            <w14:solidFill>
              <w14:schemeClr w14:val="tx1"/>
            </w14:solidFill>
          </w14:textFill>
        </w:rPr>
        <w:t>不可抗力的自然灾害等）</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应由</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带队</w:t>
      </w:r>
      <w:r>
        <w:rPr>
          <w:rFonts w:hint="eastAsia" w:ascii="仿宋_GB2312" w:hAnsi="宋体" w:eastAsia="仿宋_GB2312"/>
          <w:color w:val="000000" w:themeColor="text1"/>
          <w:spacing w:val="0"/>
          <w:sz w:val="32"/>
          <w:szCs w:val="32"/>
          <w:highlight w:val="none"/>
          <w14:textFill>
            <w14:solidFill>
              <w14:schemeClr w14:val="tx1"/>
            </w14:solidFill>
          </w14:textFill>
        </w:rPr>
        <w:t>负责人及时向</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宋体" w:eastAsia="仿宋_GB2312"/>
          <w:color w:val="000000" w:themeColor="text1"/>
          <w:spacing w:val="0"/>
          <w:sz w:val="32"/>
          <w:szCs w:val="32"/>
          <w:highlight w:val="none"/>
          <w14:textFill>
            <w14:solidFill>
              <w14:schemeClr w14:val="tx1"/>
            </w14:solidFill>
          </w14:textFill>
        </w:rPr>
        <w:t>报告。</w:t>
      </w:r>
    </w:p>
    <w:p>
      <w:pPr>
        <w:pStyle w:val="21"/>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pPr>
      <w:r>
        <w:rPr>
          <w:rFonts w:hint="eastAsia"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t>启动</w:t>
      </w:r>
      <w:r>
        <w:rPr>
          <w:rFonts w:hint="eastAsia" w:ascii="仿宋_GB2312" w:eastAsia="仿宋_GB2312"/>
          <w:color w:val="000000" w:themeColor="text1"/>
          <w:spacing w:val="0"/>
          <w:sz w:val="32"/>
          <w:szCs w:val="32"/>
          <w:highlight w:val="none"/>
          <w14:textFill>
            <w14:solidFill>
              <w14:schemeClr w14:val="tx1"/>
            </w14:solidFill>
          </w14:textFill>
        </w:rPr>
        <w:t>Ⅲ级、Ⅳ级</w:t>
      </w:r>
      <w:r>
        <w:rPr>
          <w:rFonts w:hint="eastAsia" w:ascii="仿宋_GB2312" w:hAnsi="仿宋_GB2312" w:eastAsia="仿宋_GB2312" w:cs="Times New Roman"/>
          <w:color w:val="000000" w:themeColor="text1"/>
          <w:spacing w:val="0"/>
          <w:kern w:val="0"/>
          <w:sz w:val="32"/>
          <w:szCs w:val="28"/>
          <w:highlight w:val="none"/>
          <w:lang w:val="en-US" w:eastAsia="zh-CN" w:bidi="ar-SA"/>
          <w14:textFill>
            <w14:solidFill>
              <w14:schemeClr w14:val="tx1"/>
            </w14:solidFill>
          </w14:textFill>
        </w:rPr>
        <w:t>应急响应后，市、县（区） 交通运输部门在本级人民政府的指挥和领导下，按照应急指令，调配相应的应急运力，认真履行职责落实道路运输保障工作，当储备运力无法满足运输保障需求时，应及时向上级交通运输主管部门申请应急运力支援。</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31" w:name="_Toc27906"/>
      <w:bookmarkStart w:id="832" w:name="_Toc18658"/>
      <w:bookmarkStart w:id="833" w:name="_Toc22408"/>
      <w:bookmarkStart w:id="834" w:name="_Toc28573"/>
      <w:bookmarkStart w:id="835" w:name="_Toc30504"/>
      <w:bookmarkStart w:id="836" w:name="_Toc489211114"/>
      <w:bookmarkStart w:id="837" w:name="_Toc527552423"/>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.5信息发布</w:t>
      </w:r>
      <w:bookmarkEnd w:id="831"/>
      <w:bookmarkEnd w:id="832"/>
      <w:bookmarkEnd w:id="833"/>
      <w:bookmarkEnd w:id="834"/>
      <w:bookmarkEnd w:id="83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bookmarkStart w:id="838" w:name="_Toc3615"/>
      <w:bookmarkStart w:id="839" w:name="_Toc11439"/>
      <w:bookmarkStart w:id="840" w:name="_Toc30123"/>
      <w:bookmarkStart w:id="841" w:name="_Toc16931"/>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w:t>
      </w:r>
      <w:r>
        <w:rPr>
          <w:rFonts w:hint="eastAsia" w:eastAsia="仿宋_GB2312"/>
          <w:color w:val="000000" w:themeColor="text1"/>
          <w:spacing w:val="0"/>
          <w:sz w:val="32"/>
          <w:szCs w:val="32"/>
          <w:highlight w:val="none"/>
          <w14:textFill>
            <w14:solidFill>
              <w14:schemeClr w14:val="tx1"/>
            </w14:solidFill>
          </w14:textFill>
        </w:rPr>
        <w:t>突发事件信息发布</w:t>
      </w:r>
      <w:r>
        <w:rPr>
          <w:rFonts w:hint="eastAsia" w:eastAsia="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6</w:t>
      </w:r>
      <w:r>
        <w:rPr>
          <w:rFonts w:hint="eastAsia" w:ascii="楷体_GB2312" w:hAnsi="仿宋" w:eastAsia="楷体_GB2312" w:cs="Times New Roman"/>
          <w:b/>
          <w:bCs/>
          <w:color w:val="000000" w:themeColor="text1"/>
          <w:spacing w:val="0"/>
          <w:highlight w:val="none"/>
          <w14:textFill>
            <w14:solidFill>
              <w14:schemeClr w14:val="tx1"/>
            </w14:solidFill>
          </w14:textFill>
        </w:rPr>
        <w:t>响应终止</w:t>
      </w:r>
      <w:bookmarkEnd w:id="836"/>
      <w:bookmarkEnd w:id="837"/>
      <w:bookmarkEnd w:id="838"/>
      <w:bookmarkEnd w:id="839"/>
      <w:bookmarkEnd w:id="840"/>
      <w:bookmarkEnd w:id="84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当道路交通运输</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达不到本预案级别</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或</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道路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运输突发事件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应急处置工作已经基本完成，次生、衍生事故危害已经基本消除</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经厅应急办核准，报</w:t>
      </w:r>
      <w:r>
        <w:rPr>
          <w:rFonts w:hint="eastAsia" w:ascii="仿宋_GB2312" w:eastAsia="仿宋_GB2312"/>
          <w:b w:val="0"/>
          <w:bCs w:val="0"/>
          <w:color w:val="000000" w:themeColor="text1"/>
          <w:spacing w:val="0"/>
          <w:sz w:val="32"/>
          <w:szCs w:val="32"/>
          <w:highlight w:val="none"/>
          <w14:textFill>
            <w14:solidFill>
              <w14:schemeClr w14:val="tx1"/>
            </w14:solidFill>
          </w14:textFill>
        </w:rPr>
        <w:t>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同意后实施；并</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42" w:name="_Toc1341"/>
      <w:bookmarkStart w:id="843" w:name="_Toc489211115"/>
      <w:bookmarkStart w:id="844" w:name="_Toc527552424"/>
      <w:bookmarkStart w:id="845" w:name="_Toc15834"/>
      <w:bookmarkStart w:id="846" w:name="_Toc12389"/>
      <w:bookmarkStart w:id="847" w:name="_Toc19717"/>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7</w:t>
      </w:r>
      <w:bookmarkEnd w:id="842"/>
      <w:bookmarkEnd w:id="843"/>
      <w:bookmarkEnd w:id="844"/>
      <w:bookmarkStart w:id="848" w:name="_Toc488951360"/>
      <w:bookmarkStart w:id="849" w:name="_Toc2181"/>
      <w:r>
        <w:rPr>
          <w:rFonts w:hint="eastAsia" w:ascii="楷体_GB2312" w:hAnsi="仿宋" w:eastAsia="楷体_GB2312" w:cs="Times New Roman"/>
          <w:b/>
          <w:bCs/>
          <w:color w:val="000000" w:themeColor="text1"/>
          <w:spacing w:val="0"/>
          <w:highlight w:val="none"/>
          <w14:textFill>
            <w14:solidFill>
              <w14:schemeClr w14:val="tx1"/>
            </w14:solidFill>
          </w14:textFill>
        </w:rPr>
        <w:t>善后处置</w:t>
      </w:r>
      <w:bookmarkEnd w:id="845"/>
      <w:bookmarkEnd w:id="846"/>
      <w:bookmarkEnd w:id="847"/>
      <w:bookmarkEnd w:id="848"/>
      <w:bookmarkEnd w:id="84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ˎ̥" w:eastAsia="仿宋_GB2312" w:cs="宋体"/>
          <w:color w:val="000000" w:themeColor="text1"/>
          <w:spacing w:val="0"/>
          <w:kern w:val="0"/>
          <w:sz w:val="32"/>
          <w:szCs w:val="32"/>
          <w:highlight w:val="none"/>
          <w14:textFill>
            <w14:solidFill>
              <w14:schemeClr w14:val="tx1"/>
            </w14:solidFill>
          </w14:textFill>
        </w:rPr>
      </w:pPr>
      <w:r>
        <w:rPr>
          <w:rFonts w:hint="eastAsia" w:ascii="仿宋_GB2312" w:hAnsi="宋体" w:eastAsia="仿宋_GB2312" w:cs="宋体"/>
          <w:color w:val="000000" w:themeColor="text1"/>
          <w:spacing w:val="0"/>
          <w:kern w:val="0"/>
          <w:sz w:val="32"/>
          <w:szCs w:val="32"/>
          <w:highlight w:val="none"/>
          <w14:textFill>
            <w14:solidFill>
              <w14:schemeClr w14:val="tx1"/>
            </w14:solidFill>
          </w14:textFill>
        </w:rPr>
        <w:t>应急运输保障任务结束后，</w:t>
      </w:r>
      <w:r>
        <w:rPr>
          <w:rFonts w:hint="eastAsia" w:ascii="仿宋_GB2312" w:hAnsi="仿宋" w:eastAsia="仿宋_GB2312"/>
          <w:color w:val="000000" w:themeColor="text1"/>
          <w:spacing w:val="0"/>
          <w:sz w:val="32"/>
          <w:szCs w:val="32"/>
          <w:highlight w:val="none"/>
          <w14:textFill>
            <w14:solidFill>
              <w14:schemeClr w14:val="tx1"/>
            </w14:solidFill>
          </w14:textFill>
        </w:rPr>
        <w:t>各级交通运输主管部门负责本地区</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道路运输</w:t>
      </w:r>
      <w:r>
        <w:rPr>
          <w:rFonts w:hint="eastAsia" w:ascii="仿宋_GB2312" w:hAnsi="仿宋" w:eastAsia="仿宋_GB2312"/>
          <w:color w:val="000000" w:themeColor="text1"/>
          <w:spacing w:val="0"/>
          <w:sz w:val="32"/>
          <w:szCs w:val="32"/>
          <w:highlight w:val="none"/>
          <w14:textFill>
            <w14:solidFill>
              <w14:schemeClr w14:val="tx1"/>
            </w14:solidFill>
          </w14:textFill>
        </w:rPr>
        <w:t>应急保障资源的征用补偿工作，并上报</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处</w:t>
      </w:r>
      <w:r>
        <w:rPr>
          <w:rFonts w:hint="eastAsia" w:ascii="仿宋_GB2312" w:hAnsi="仿宋" w:eastAsia="仿宋_GB2312"/>
          <w:color w:val="000000" w:themeColor="text1"/>
          <w:spacing w:val="0"/>
          <w:sz w:val="32"/>
          <w:szCs w:val="32"/>
          <w:highlight w:val="none"/>
          <w14:textFill>
            <w14:solidFill>
              <w14:schemeClr w14:val="tx1"/>
            </w14:solidFill>
          </w14:textFill>
        </w:rPr>
        <w:t>。</w:t>
      </w:r>
      <w:r>
        <w:rPr>
          <w:rFonts w:hint="eastAsia" w:ascii="仿宋_GB2312" w:hAnsi="宋体" w:eastAsia="仿宋_GB2312"/>
          <w:color w:val="000000" w:themeColor="text1"/>
          <w:spacing w:val="0"/>
          <w:sz w:val="32"/>
          <w:szCs w:val="32"/>
          <w:highlight w:val="none"/>
          <w14:textFill>
            <w14:solidFill>
              <w14:schemeClr w14:val="tx1"/>
            </w14:solidFill>
          </w14:textFill>
        </w:rPr>
        <w:t>依据国家相关法规对应急过程中紧急征用的运输车辆给予补偿，被征用运输车辆的单位应提交征用车辆的使用情况报告，主要内容包括：</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宋体" w:eastAsia="仿宋_GB2312"/>
          <w:color w:val="000000" w:themeColor="text1"/>
          <w:spacing w:val="0"/>
          <w:sz w:val="32"/>
          <w:szCs w:val="32"/>
          <w:highlight w:val="none"/>
          <w:lang w:eastAsia="zh-CN"/>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（1）被征用车辆投入使用的时间、地点、日程记录</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宋体" w:eastAsia="仿宋_GB2312"/>
          <w:color w:val="000000" w:themeColor="text1"/>
          <w:spacing w:val="0"/>
          <w:sz w:val="32"/>
          <w:szCs w:val="32"/>
          <w:highlight w:val="none"/>
          <w:lang w:eastAsia="zh-CN"/>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（2）投入的人力、设备、车辆、</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物资</w:t>
      </w:r>
      <w:r>
        <w:rPr>
          <w:rFonts w:hint="eastAsia" w:ascii="仿宋_GB2312" w:hAnsi="宋体" w:eastAsia="仿宋_GB2312"/>
          <w:color w:val="000000" w:themeColor="text1"/>
          <w:spacing w:val="0"/>
          <w:sz w:val="32"/>
          <w:szCs w:val="32"/>
          <w:highlight w:val="none"/>
          <w14:textFill>
            <w14:solidFill>
              <w14:schemeClr w14:val="tx1"/>
            </w14:solidFill>
          </w14:textFill>
        </w:rPr>
        <w:t>的数量、单价、计算方法</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宋体" w:eastAsia="仿宋_GB2312"/>
          <w:color w:val="000000" w:themeColor="text1"/>
          <w:spacing w:val="0"/>
          <w:sz w:val="32"/>
          <w:szCs w:val="32"/>
          <w:highlight w:val="none"/>
          <w:lang w:eastAsia="zh-CN"/>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（3）相应的物资管理费、交通费及其他有关费用</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宋体" w:eastAsia="仿宋_GB2312"/>
          <w:color w:val="000000" w:themeColor="text1"/>
          <w:spacing w:val="0"/>
          <w:sz w:val="32"/>
          <w:szCs w:val="32"/>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（4）其他有关证据和证明材料。</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宋体" w:eastAsia="仿宋_GB2312"/>
          <w:color w:val="000000" w:themeColor="text1"/>
          <w:spacing w:val="0"/>
          <w:sz w:val="32"/>
          <w:szCs w:val="32"/>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被征用车辆单位不能提交上述材料的，按征用车辆单位的记录给予补偿。</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850" w:name="_Toc8864"/>
      <w:bookmarkStart w:id="851" w:name="_Toc1654"/>
      <w:bookmarkStart w:id="852" w:name="_Toc21336"/>
      <w:bookmarkStart w:id="853" w:name="_Toc527552425"/>
      <w:bookmarkStart w:id="854" w:name="_Toc489211116"/>
      <w:bookmarkStart w:id="855" w:name="_Toc13403"/>
      <w:bookmarkStart w:id="856" w:name="_Toc14814"/>
      <w:bookmarkStart w:id="857" w:name="_Toc16903"/>
      <w:bookmarkStart w:id="858" w:name="_Toc3032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5.应急保障</w:t>
      </w:r>
      <w:bookmarkEnd w:id="850"/>
      <w:bookmarkEnd w:id="851"/>
      <w:bookmarkEnd w:id="852"/>
      <w:bookmarkEnd w:id="853"/>
      <w:bookmarkEnd w:id="854"/>
      <w:bookmarkEnd w:id="855"/>
      <w:bookmarkEnd w:id="856"/>
      <w:bookmarkEnd w:id="857"/>
      <w:bookmarkEnd w:id="858"/>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59" w:name="_Toc489211117"/>
      <w:bookmarkStart w:id="860" w:name="_Toc20951"/>
      <w:bookmarkStart w:id="861" w:name="_Toc8393"/>
      <w:bookmarkStart w:id="862" w:name="_Toc2340"/>
      <w:bookmarkStart w:id="863" w:name="_Toc31693"/>
      <w:bookmarkStart w:id="864" w:name="_Toc527552426"/>
      <w:r>
        <w:rPr>
          <w:rFonts w:hint="eastAsia" w:ascii="楷体_GB2312" w:hAnsi="仿宋" w:eastAsia="楷体_GB2312" w:cs="Times New Roman"/>
          <w:b/>
          <w:bCs/>
          <w:color w:val="000000" w:themeColor="text1"/>
          <w:spacing w:val="0"/>
          <w:highlight w:val="none"/>
          <w14:textFill>
            <w14:solidFill>
              <w14:schemeClr w14:val="tx1"/>
            </w14:solidFill>
          </w14:textFill>
        </w:rPr>
        <w:t>5.1队伍保障</w:t>
      </w:r>
      <w:bookmarkEnd w:id="859"/>
      <w:bookmarkEnd w:id="860"/>
      <w:bookmarkEnd w:id="861"/>
      <w:bookmarkEnd w:id="862"/>
      <w:bookmarkEnd w:id="863"/>
      <w:bookmarkEnd w:id="864"/>
    </w:p>
    <w:p>
      <w:pPr>
        <w:pStyle w:val="21"/>
        <w:keepNext w:val="0"/>
        <w:keepLines w:val="0"/>
        <w:pageBreakBefore w:val="0"/>
        <w:widowControl w:val="0"/>
        <w:kinsoku/>
        <w:wordWrap/>
        <w:overflowPunct/>
        <w:topLinePunct/>
        <w:autoSpaceDE/>
        <w:autoSpaceDN/>
        <w:bidi w:val="0"/>
        <w:adjustRightInd/>
        <w:snapToGrid/>
        <w:spacing w:before="0" w:beforeAutospacing="0" w:after="0" w:afterAutospacing="0" w:line="600" w:lineRule="exact"/>
        <w:ind w:left="0" w:leftChars="0" w:firstLine="640" w:firstLineChars="200"/>
        <w:jc w:val="both"/>
        <w:textAlignment w:val="auto"/>
        <w:rPr>
          <w:rFonts w:ascii="仿宋_GB2312" w:hAnsi="仿宋_GB2312" w:eastAsia="仿宋_GB2312"/>
          <w:color w:val="000000" w:themeColor="text1"/>
          <w:spacing w:val="0"/>
          <w:sz w:val="32"/>
          <w:szCs w:val="28"/>
          <w:highlight w:val="none"/>
          <w14:textFill>
            <w14:solidFill>
              <w14:schemeClr w14:val="tx1"/>
            </w14:solidFill>
          </w14:textFill>
        </w:rPr>
      </w:pPr>
      <w:r>
        <w:rPr>
          <w:rFonts w:hint="eastAsia" w:ascii="仿宋_GB2312" w:hAnsi="仿宋_GB2312" w:eastAsia="仿宋_GB2312"/>
          <w:color w:val="000000" w:themeColor="text1"/>
          <w:spacing w:val="0"/>
          <w:sz w:val="32"/>
          <w:szCs w:val="28"/>
          <w:highlight w:val="none"/>
          <w14:textFill>
            <w14:solidFill>
              <w14:schemeClr w14:val="tx1"/>
            </w14:solidFill>
          </w14:textFill>
        </w:rPr>
        <w:t>厅</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运输和海事管理处</w:t>
      </w:r>
      <w:r>
        <w:rPr>
          <w:rFonts w:hint="eastAsia" w:ascii="仿宋_GB2312" w:hAnsi="仿宋_GB2312" w:eastAsia="仿宋_GB2312"/>
          <w:color w:val="000000" w:themeColor="text1"/>
          <w:spacing w:val="0"/>
          <w:sz w:val="32"/>
          <w:szCs w:val="28"/>
          <w:highlight w:val="none"/>
          <w14:textFill>
            <w14:solidFill>
              <w14:schemeClr w14:val="tx1"/>
            </w14:solidFill>
          </w14:textFill>
        </w:rPr>
        <w:t>负责建立道路运输应急保障总队，下设银川、石嘴山、吴忠、固原、中卫和宁东6个应急保障支队，各</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县（区）</w:t>
      </w:r>
      <w:r>
        <w:rPr>
          <w:rFonts w:hint="eastAsia" w:ascii="仿宋_GB2312" w:hAnsi="仿宋_GB2312" w:eastAsia="仿宋_GB2312"/>
          <w:color w:val="000000" w:themeColor="text1"/>
          <w:spacing w:val="0"/>
          <w:sz w:val="32"/>
          <w:szCs w:val="28"/>
          <w:highlight w:val="none"/>
          <w14:textFill>
            <w14:solidFill>
              <w14:schemeClr w14:val="tx1"/>
            </w14:solidFill>
          </w14:textFill>
        </w:rPr>
        <w:t>建立应急运输保障分队。应急保障队伍及装备数量可根据当地实际情况设置，应急保障组织及运力储备情况要逐级报备。</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宋体" w:eastAsia="仿宋_GB2312"/>
          <w:color w:val="000000" w:themeColor="text1"/>
          <w:spacing w:val="0"/>
          <w:sz w:val="32"/>
          <w:szCs w:val="32"/>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各级</w:t>
      </w:r>
      <w:r>
        <w:rPr>
          <w:rFonts w:hint="eastAsia" w:ascii="仿宋_GB2312" w:hAnsi="仿宋_GB2312" w:eastAsia="仿宋_GB2312"/>
          <w:color w:val="000000" w:themeColor="text1"/>
          <w:spacing w:val="0"/>
          <w:sz w:val="32"/>
          <w:szCs w:val="28"/>
          <w:highlight w:val="none"/>
          <w14:textFill>
            <w14:solidFill>
              <w14:schemeClr w14:val="tx1"/>
            </w14:solidFill>
          </w14:textFill>
        </w:rPr>
        <w:t>交通运输</w:t>
      </w:r>
      <w:r>
        <w:rPr>
          <w:rFonts w:hint="eastAsia" w:ascii="仿宋_GB2312" w:hAnsi="宋体" w:eastAsia="仿宋_GB2312"/>
          <w:color w:val="000000" w:themeColor="text1"/>
          <w:spacing w:val="0"/>
          <w:sz w:val="32"/>
          <w:szCs w:val="32"/>
          <w:highlight w:val="none"/>
          <w14:textFill>
            <w14:solidFill>
              <w14:schemeClr w14:val="tx1"/>
            </w14:solidFill>
          </w14:textFill>
        </w:rPr>
        <w:t>应急管理机构可在本辖区内选择有一定规模的道路客、货运输企业、物流企业和大型停车场，同其签订突发事件运力调运协议。在运力选择类型方面，应根据可能发生事件的性质，合理确定大、中型普通货车、平板车和厢式货车等车型，并选调若干客车、成品油罐车和吊车，</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确保</w:t>
      </w:r>
      <w:r>
        <w:rPr>
          <w:rFonts w:hint="eastAsia" w:ascii="仿宋_GB2312" w:hAnsi="宋体" w:eastAsia="仿宋_GB2312"/>
          <w:color w:val="000000" w:themeColor="text1"/>
          <w:spacing w:val="0"/>
          <w:sz w:val="32"/>
          <w:szCs w:val="32"/>
          <w:highlight w:val="none"/>
          <w14:textFill>
            <w14:solidFill>
              <w14:schemeClr w14:val="tx1"/>
            </w14:solidFill>
          </w14:textFill>
        </w:rPr>
        <w:t>车辆技术状况良好，保证能正常投入运输活动。应急运输保障车辆的技术等级</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必须符合要求</w:t>
      </w:r>
      <w:r>
        <w:rPr>
          <w:rFonts w:hint="eastAsia" w:ascii="仿宋_GB2312" w:hAnsi="宋体" w:eastAsia="仿宋_GB2312"/>
          <w:color w:val="000000" w:themeColor="text1"/>
          <w:spacing w:val="0"/>
          <w:sz w:val="32"/>
          <w:szCs w:val="32"/>
          <w:highlight w:val="none"/>
          <w14:textFill>
            <w14:solidFill>
              <w14:schemeClr w14:val="tx1"/>
            </w14:solidFill>
          </w14:textFill>
        </w:rPr>
        <w:t>。应急储备运力单位、运力数量、类型及人员数量和联系方式要逐级报告备案。同时要求物流企业和大型停车场将所停车辆登记联系电话，以备应急需要时临时征用。</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65" w:name="_Toc24302"/>
      <w:bookmarkStart w:id="866" w:name="_Toc489211120"/>
      <w:bookmarkStart w:id="867" w:name="_Toc3153"/>
      <w:bookmarkStart w:id="868" w:name="_Toc527552429"/>
      <w:bookmarkStart w:id="869" w:name="_Toc15311"/>
      <w:bookmarkStart w:id="870" w:name="_Toc16200"/>
      <w:r>
        <w:rPr>
          <w:rFonts w:hint="eastAsia" w:ascii="楷体_GB2312" w:hAnsi="仿宋" w:eastAsia="楷体_GB2312" w:cs="Times New Roman"/>
          <w:b/>
          <w:bCs/>
          <w:color w:val="000000" w:themeColor="text1"/>
          <w:spacing w:val="0"/>
          <w:highlight w:val="none"/>
          <w14:textFill>
            <w14:solidFill>
              <w14:schemeClr w14:val="tx1"/>
            </w14:solidFill>
          </w14:textFill>
        </w:rPr>
        <w:t>5.</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应急演练</w:t>
      </w:r>
      <w:bookmarkEnd w:id="865"/>
      <w:bookmarkEnd w:id="866"/>
      <w:bookmarkEnd w:id="867"/>
      <w:bookmarkEnd w:id="868"/>
      <w:bookmarkEnd w:id="869"/>
      <w:bookmarkEnd w:id="870"/>
    </w:p>
    <w:p>
      <w:pPr>
        <w:keepNext w:val="0"/>
        <w:keepLines w:val="0"/>
        <w:pageBreakBefore w:val="0"/>
        <w:widowControl w:val="0"/>
        <w:kinsoku/>
        <w:wordWrap/>
        <w:overflowPunct/>
        <w:topLinePunct/>
        <w:autoSpaceDE/>
        <w:autoSpaceDN/>
        <w:bidi w:val="0"/>
        <w:adjustRightInd/>
        <w:snapToGrid w:val="0"/>
        <w:spacing w:line="600" w:lineRule="exact"/>
        <w:ind w:left="0" w:leftChars="0" w:firstLine="640" w:firstLineChars="200"/>
        <w:textAlignment w:val="auto"/>
        <w:rPr>
          <w:rFonts w:ascii="仿宋_GB2312" w:hAnsi="宋体" w:eastAsia="仿宋_GB2312"/>
          <w:color w:val="000000" w:themeColor="text1"/>
          <w:spacing w:val="0"/>
          <w:sz w:val="32"/>
          <w:szCs w:val="32"/>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厅</w:t>
      </w:r>
      <w:r>
        <w:rPr>
          <w:rFonts w:hint="eastAsia" w:ascii="仿宋_GB2312" w:hAnsi="宋体" w:eastAsia="仿宋_GB2312"/>
          <w:color w:val="000000" w:themeColor="text1"/>
          <w:spacing w:val="0"/>
          <w:sz w:val="32"/>
          <w:szCs w:val="32"/>
          <w:highlight w:val="none"/>
          <w:lang w:eastAsia="zh-CN"/>
          <w14:textFill>
            <w14:solidFill>
              <w14:schemeClr w14:val="tx1"/>
            </w14:solidFill>
          </w14:textFill>
        </w:rPr>
        <w:t>运输和海事管理处</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年至少进行一次应急演练</w:t>
      </w:r>
      <w:r>
        <w:rPr>
          <w:rFonts w:hint="eastAsia" w:ascii="仿宋_GB2312" w:hAnsi="宋体" w:eastAsia="仿宋_GB2312"/>
          <w:color w:val="000000" w:themeColor="text1"/>
          <w:spacing w:val="0"/>
          <w:sz w:val="32"/>
          <w:szCs w:val="32"/>
          <w:highlight w:val="none"/>
          <w14:textFill>
            <w14:solidFill>
              <w14:schemeClr w14:val="tx1"/>
            </w14:solidFill>
          </w14:textFill>
        </w:rPr>
        <w:t>。</w:t>
      </w:r>
    </w:p>
    <w:p>
      <w:pPr>
        <w:keepNext w:val="0"/>
        <w:pageBreakBefore w:val="0"/>
        <w:widowControl w:val="0"/>
        <w:kinsoku/>
        <w:topLinePunct/>
        <w:bidi w:val="0"/>
        <w:jc w:val="cente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pPr>
      <w:r>
        <w:rPr>
          <w:color w:val="000000" w:themeColor="text1"/>
          <w:spacing w:val="0"/>
          <w:highlight w:val="none"/>
          <w14:textFill>
            <w14:solidFill>
              <w14:schemeClr w14:val="tx1"/>
            </w14:solidFill>
          </w14:textFill>
        </w:rPr>
        <w:br w:type="page"/>
      </w:r>
      <w: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t>道路运输突发事件应急处置流程图</w:t>
      </w:r>
    </w:p>
    <w:p>
      <w:pPr>
        <w:keepNext w:val="0"/>
        <w:pageBreakBefore w:val="0"/>
        <w:widowControl w:val="0"/>
        <w:kinsoku/>
        <w:topLinePunct/>
        <w:bidi w:val="0"/>
        <w:jc w:val="center"/>
        <w:rPr>
          <w:rFonts w:hint="eastAsia" w:eastAsiaTheme="minorEastAsia"/>
          <w:color w:val="000000" w:themeColor="text1"/>
          <w:spacing w:val="0"/>
          <w:highlight w:val="none"/>
          <w:lang w:eastAsia="zh-CN"/>
          <w14:textFill>
            <w14:solidFill>
              <w14:schemeClr w14:val="tx1"/>
            </w14:solidFill>
          </w14:textFill>
        </w:rPr>
      </w:pPr>
      <w:r>
        <w:rPr>
          <w:rFonts w:hint="eastAsia" w:eastAsiaTheme="minorEastAsia"/>
          <w:color w:val="000000" w:themeColor="text1"/>
          <w:spacing w:val="0"/>
          <w:highlight w:val="none"/>
          <w:lang w:eastAsia="zh-CN"/>
          <w14:textFill>
            <w14:solidFill>
              <w14:schemeClr w14:val="tx1"/>
            </w14:solidFill>
          </w14:textFill>
        </w:rPr>
        <w:drawing>
          <wp:inline distT="0" distB="0" distL="114300" distR="114300">
            <wp:extent cx="5267325" cy="7304405"/>
            <wp:effectExtent l="0" t="0" r="3175" b="10795"/>
            <wp:docPr id="32" name="图片 32" descr="道路运输应急流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道路运输应急流程4"/>
                    <pic:cNvPicPr>
                      <a:picLocks noChangeAspect="1"/>
                    </pic:cNvPicPr>
                  </pic:nvPicPr>
                  <pic:blipFill>
                    <a:blip r:embed="rId18"/>
                    <a:stretch>
                      <a:fillRect/>
                    </a:stretch>
                  </pic:blipFill>
                  <pic:spPr>
                    <a:xfrm>
                      <a:off x="0" y="0"/>
                      <a:ext cx="5267325" cy="7304405"/>
                    </a:xfrm>
                    <a:prstGeom prst="rect">
                      <a:avLst/>
                    </a:prstGeom>
                  </pic:spPr>
                </pic:pic>
              </a:graphicData>
            </a:graphic>
          </wp:inline>
        </w:drawing>
      </w:r>
    </w:p>
    <w:p>
      <w:pPr>
        <w:keepNext w:val="0"/>
        <w:pageBreakBefore w:val="0"/>
        <w:widowControl w:val="0"/>
        <w:kinsoku/>
        <w:topLinePunct/>
        <w:bidi w:val="0"/>
        <w:rPr>
          <w:color w:val="000000" w:themeColor="text1"/>
          <w:spacing w:val="0"/>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autoSpaceDE/>
        <w:autoSpaceDN/>
        <w:bidi w:val="0"/>
        <w:adjustRightInd/>
        <w:snapToGrid/>
        <w:spacing w:after="313" w:afterLines="100"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871" w:name="_Toc15173"/>
      <w:bookmarkStart w:id="872" w:name="_Toc9255"/>
      <w:bookmarkStart w:id="873" w:name="_Toc13075"/>
      <w:bookmarkStart w:id="874" w:name="_Toc21960"/>
      <w:bookmarkStart w:id="875" w:name="_Toc9089"/>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4、宁夏回族自治区交通运输厅公路水运工程生产安全事故应急预案</w:t>
      </w:r>
      <w:bookmarkEnd w:id="871"/>
      <w:bookmarkEnd w:id="872"/>
      <w:bookmarkEnd w:id="873"/>
      <w:bookmarkEnd w:id="874"/>
      <w:bookmarkEnd w:id="875"/>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14:textFill>
            <w14:solidFill>
              <w14:schemeClr w14:val="tx1"/>
            </w14:solidFill>
          </w14:textFill>
        </w:rPr>
      </w:pPr>
      <w:bookmarkStart w:id="876" w:name="_Toc21158"/>
      <w:bookmarkStart w:id="877" w:name="_Toc21704"/>
      <w:bookmarkStart w:id="878" w:name="_Toc32667"/>
      <w:bookmarkStart w:id="879" w:name="_Toc8270"/>
      <w:bookmarkStart w:id="880" w:name="_Toc14043"/>
      <w:bookmarkStart w:id="881" w:name="_Toc531781889"/>
      <w:bookmarkStart w:id="882" w:name="_Toc506700046"/>
      <w:bookmarkStart w:id="883" w:name="_Toc16163"/>
      <w:bookmarkStart w:id="884" w:name="_Toc15643"/>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w:t>
      </w:r>
      <w:r>
        <w:rPr>
          <w:rFonts w:hint="eastAsia" w:ascii="黑体" w:hAnsi="黑体" w:eastAsia="黑体"/>
          <w:b/>
          <w:bCs/>
          <w:color w:val="000000" w:themeColor="text1"/>
          <w:spacing w:val="0"/>
          <w:sz w:val="32"/>
          <w:szCs w:val="32"/>
          <w:highlight w:val="none"/>
          <w14:textFill>
            <w14:solidFill>
              <w14:schemeClr w14:val="tx1"/>
            </w14:solidFill>
          </w14:textFill>
        </w:rPr>
        <w:t>总则</w:t>
      </w:r>
      <w:bookmarkEnd w:id="876"/>
      <w:bookmarkEnd w:id="877"/>
      <w:bookmarkEnd w:id="878"/>
      <w:bookmarkEnd w:id="879"/>
      <w:bookmarkEnd w:id="880"/>
      <w:bookmarkEnd w:id="881"/>
      <w:bookmarkEnd w:id="882"/>
      <w:bookmarkEnd w:id="883"/>
      <w:bookmarkEnd w:id="884"/>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85" w:name="_Toc16886"/>
      <w:bookmarkStart w:id="886" w:name="_Toc506700047"/>
      <w:bookmarkStart w:id="887" w:name="_Toc20089"/>
      <w:bookmarkStart w:id="888" w:name="_Toc4274"/>
      <w:bookmarkStart w:id="889" w:name="_Toc16836"/>
      <w:bookmarkStart w:id="890" w:name="_Toc531781890"/>
      <w:r>
        <w:rPr>
          <w:rFonts w:hint="eastAsia" w:ascii="楷体_GB2312" w:hAnsi="仿宋" w:eastAsia="楷体_GB2312" w:cs="Times New Roman"/>
          <w:b/>
          <w:bCs/>
          <w:color w:val="000000" w:themeColor="text1"/>
          <w:spacing w:val="0"/>
          <w:highlight w:val="none"/>
          <w14:textFill>
            <w14:solidFill>
              <w14:schemeClr w14:val="tx1"/>
            </w14:solidFill>
          </w14:textFill>
        </w:rPr>
        <w:t>1.1编制目的</w:t>
      </w:r>
      <w:bookmarkEnd w:id="885"/>
      <w:bookmarkEnd w:id="886"/>
      <w:bookmarkEnd w:id="887"/>
      <w:bookmarkEnd w:id="888"/>
      <w:bookmarkEnd w:id="889"/>
      <w:bookmarkEnd w:id="89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为切实</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提升</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公路水运工程生产安全事故的应急管理</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水平</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仿宋_GB2312" w:eastAsia="仿宋_GB2312"/>
          <w:color w:val="000000" w:themeColor="text1"/>
          <w:spacing w:val="0"/>
          <w:sz w:val="32"/>
          <w:szCs w:val="32"/>
          <w:highlight w:val="none"/>
          <w14:textFill>
            <w14:solidFill>
              <w14:schemeClr w14:val="tx1"/>
            </w14:solidFill>
          </w14:textFill>
        </w:rPr>
        <w:t>各级交通运输主管部门和公路水运工程参建单位</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建立完善应急预案体系，有效应对公路水运工程生产安全事故，保障公路水运工程建设正常</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开展</w:t>
      </w:r>
      <w:r>
        <w:rPr>
          <w:rFonts w:hint="eastAsia" w:ascii="仿宋_GB2312" w:eastAsia="仿宋_GB2312"/>
          <w:color w:val="000000" w:themeColor="text1"/>
          <w:spacing w:val="0"/>
          <w:sz w:val="32"/>
          <w:szCs w:val="32"/>
          <w:highlight w:val="none"/>
          <w14:textFill>
            <w14:solidFill>
              <w14:schemeClr w14:val="tx1"/>
            </w14:solidFill>
          </w14:textFill>
        </w:rPr>
        <w:t>，制定本预案。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91" w:name="_Toc20267"/>
      <w:bookmarkStart w:id="892" w:name="_Toc506700048"/>
      <w:bookmarkStart w:id="893" w:name="_Toc531781891"/>
      <w:bookmarkStart w:id="894" w:name="_Toc3780"/>
      <w:bookmarkStart w:id="895" w:name="_Toc28473"/>
      <w:bookmarkStart w:id="896" w:name="_Toc32651"/>
      <w:r>
        <w:rPr>
          <w:rFonts w:hint="eastAsia" w:ascii="楷体_GB2312" w:hAnsi="仿宋" w:eastAsia="楷体_GB2312" w:cs="Times New Roman"/>
          <w:b/>
          <w:bCs/>
          <w:color w:val="000000" w:themeColor="text1"/>
          <w:spacing w:val="0"/>
          <w:highlight w:val="none"/>
          <w14:textFill>
            <w14:solidFill>
              <w14:schemeClr w14:val="tx1"/>
            </w14:solidFill>
          </w14:textFill>
        </w:rPr>
        <w:t>1.2编制依据</w:t>
      </w:r>
      <w:bookmarkEnd w:id="891"/>
      <w:bookmarkEnd w:id="892"/>
      <w:bookmarkEnd w:id="893"/>
      <w:bookmarkEnd w:id="894"/>
      <w:bookmarkEnd w:id="895"/>
      <w:bookmarkEnd w:id="89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依据</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中华人民共和国突发事件应对法》《中华人民共和国安全生产法》《建设工程安全生产管理条例》《生产安全事故应急条例》《生产安全事故报告和调查处理条例》《生产安全事故应急预案管理办法》《公路水运工程安全生产监督管理办法》《突发事件应急预案管理办法》</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交通运输部</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公路水运工程生产安全事故应急预案》</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《交通运输突发事件应急管理规定》</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《交通运输突发事件信息报告和处理办法》以及《</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综合</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应急预案》等</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有关规定</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897" w:name="_Toc9508"/>
      <w:bookmarkStart w:id="898" w:name="_Toc506700054"/>
      <w:bookmarkStart w:id="899" w:name="_Toc5944"/>
      <w:bookmarkStart w:id="900" w:name="_Toc31274"/>
      <w:bookmarkStart w:id="901" w:name="_Toc531781897"/>
      <w:bookmarkStart w:id="902" w:name="_Toc12885"/>
      <w:bookmarkStart w:id="903" w:name="_Toc531781892"/>
      <w:bookmarkStart w:id="904" w:name="_Toc506700049"/>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适用范围</w:t>
      </w:r>
      <w:bookmarkEnd w:id="897"/>
      <w:bookmarkEnd w:id="898"/>
      <w:bookmarkEnd w:id="899"/>
      <w:bookmarkEnd w:id="900"/>
      <w:bookmarkEnd w:id="901"/>
      <w:bookmarkEnd w:id="90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本预案适用于</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行业</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公路水运工程</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特别</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重大和重大</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生产安全</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事故的应对工作，以及需要由交通运输</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指导、支持处置的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较大</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以下事故的应对工作。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公路日常养护和养护工程的生产安全事故参照本预案执行。</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本预案指导</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厅属单位、各级</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交通运输主管部门</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及</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公路水运工程项目参建单位对公路水运工程生产安全事故的应对工作</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905" w:name="_Toc30650"/>
      <w:bookmarkStart w:id="906" w:name="_Toc7294"/>
      <w:bookmarkStart w:id="907" w:name="_Toc9560"/>
      <w:bookmarkStart w:id="908" w:name="_Toc10978"/>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事故分级</w:t>
      </w:r>
      <w:bookmarkEnd w:id="903"/>
      <w:bookmarkEnd w:id="904"/>
      <w:bookmarkEnd w:id="905"/>
      <w:bookmarkEnd w:id="906"/>
      <w:bookmarkEnd w:id="907"/>
      <w:bookmarkEnd w:id="90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本预案所称公路水运工程生产安全事故，是指经依法审批、核准或者备案的公路水运工程项目新建、改建</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扩建活动中发生的生产安全事故。</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公路水运工程生产安全事故按照人员伤亡（含失踪、失联）、涉险人数、直接经济损失、影响范围等因素，分为四个等级：特别重大事故（I级）、重大事故（Ⅱ级）、较大事故（Ⅲ级）和一般事故（Ⅳ级）。</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blHeader/>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等级</w:t>
            </w:r>
          </w:p>
        </w:tc>
        <w:tc>
          <w:tcPr>
            <w:tcW w:w="739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事故的严重程度及影响范围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特别重大事故（Ⅰ级）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造成30人以上死亡（含失踪</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失联</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），或危及30人以上生命安全；</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100人以上重伤；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1亿元以上直接经济损失；</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党中央、</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国务院责成交通运输部</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组织或参与处置</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的自治区内公路水运工程生产安全事故。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重大事故（Ⅱ级）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造成10人以上30人以下死亡</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含失踪、失联</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或危及10人以上</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30人以下</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生命安全；</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50人以上100人以下重伤；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5000万元以上1亿元以下直接经济损失的事故；</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自治区人民政府责成交通运输厅组织</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或参与</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处置的公路水运工程生产安全事故。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较大</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事故</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（Ⅲ级）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造成3人以上10人以下死亡（含失踪</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失联</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），或危及3人以上</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10人以下</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生命安全；</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10人以上50人以下重伤；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1000万元以上5000万元以下直接经济损失的事故。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一般</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事故</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（Ⅳ级）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造成3人以下死亡（含失踪</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失联</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），或危及3人以下生命安全；</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10人以下重伤；</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000万元以下直接经济损失的事故。</w:t>
            </w:r>
          </w:p>
        </w:tc>
      </w:tr>
    </w:tbl>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本</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表</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所称的“以上”包括本数，“以下”不包括本数。公路水运工程生产安全事故同时符合本条规定的多个分级情形的，按照最高级别认定。</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909" w:name="_Toc7638"/>
      <w:bookmarkStart w:id="910" w:name="_Toc531781898"/>
      <w:bookmarkStart w:id="911" w:name="_Toc26707"/>
      <w:bookmarkStart w:id="912" w:name="_Toc18123"/>
      <w:bookmarkStart w:id="913" w:name="_Toc13534"/>
      <w:bookmarkStart w:id="914" w:name="_Toc506700055"/>
      <w:r>
        <w:rPr>
          <w:rFonts w:hint="eastAsia" w:ascii="楷体_GB2312" w:hAnsi="仿宋" w:eastAsia="楷体_GB2312" w:cs="Times New Roman"/>
          <w:b/>
          <w:bCs/>
          <w:color w:val="000000" w:themeColor="text1"/>
          <w:spacing w:val="0"/>
          <w:highlight w:val="none"/>
          <w14:textFill>
            <w14:solidFill>
              <w14:schemeClr w14:val="tx1"/>
            </w14:solidFill>
          </w14:textFill>
        </w:rPr>
        <w:t>1.5工作原则</w:t>
      </w:r>
      <w:bookmarkEnd w:id="909"/>
      <w:bookmarkEnd w:id="910"/>
      <w:bookmarkEnd w:id="911"/>
      <w:bookmarkEnd w:id="912"/>
      <w:bookmarkEnd w:id="913"/>
      <w:bookmarkEnd w:id="91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公路水运工程生产安全事故应急处置</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坚持以人为本、预防为主，</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以属地为主、分级响应，</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协调联动</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快速反应的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原则。</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default" w:ascii="黑体" w:hAnsi="黑体" w:eastAsia="黑体"/>
          <w:b/>
          <w:bCs/>
          <w:color w:val="000000" w:themeColor="text1"/>
          <w:spacing w:val="0"/>
          <w:sz w:val="32"/>
          <w:szCs w:val="32"/>
          <w:highlight w:val="none"/>
          <w:lang w:val="en-US" w:eastAsia="zh-CN"/>
          <w14:textFill>
            <w14:solidFill>
              <w14:schemeClr w14:val="tx1"/>
            </w14:solidFill>
          </w14:textFill>
        </w:rPr>
      </w:pPr>
      <w:bookmarkStart w:id="915" w:name="_Toc6208"/>
      <w:bookmarkStart w:id="916" w:name="_Toc9944"/>
      <w:bookmarkStart w:id="917" w:name="_Toc29577"/>
      <w:bookmarkStart w:id="918" w:name="_Toc27261"/>
      <w:bookmarkStart w:id="919" w:name="_Toc531781900"/>
      <w:bookmarkStart w:id="920" w:name="_Toc15794"/>
      <w:bookmarkStart w:id="921" w:name="_Toc27436"/>
      <w:bookmarkStart w:id="922" w:name="_Toc506700057"/>
      <w:bookmarkStart w:id="923" w:name="_Toc3260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w:t>
      </w:r>
      <w:bookmarkEnd w:id="915"/>
      <w:bookmarkEnd w:id="916"/>
      <w:bookmarkEnd w:id="917"/>
      <w:bookmarkEnd w:id="918"/>
      <w:bookmarkEnd w:id="919"/>
      <w:bookmarkEnd w:id="920"/>
      <w:bookmarkEnd w:id="921"/>
      <w:bookmarkEnd w:id="92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机构与职责</w:t>
      </w:r>
      <w:bookmarkEnd w:id="92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bookmarkStart w:id="924" w:name="_Toc14639"/>
      <w:bookmarkStart w:id="925" w:name="_Toc6927"/>
      <w:bookmarkStart w:id="926" w:name="_Toc13321"/>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公路水运工程生产安全事故应急组织体系由</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自治区级（</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交通运输</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、地方级</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市</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县级以上地方交通运输主管部门</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项目级</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公路水运工程项目参建单位</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三级应急组织构成</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2.1厅</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公路水运工程生产安全事故工作指挥机构</w:t>
      </w:r>
      <w:bookmarkEnd w:id="924"/>
      <w:bookmarkEnd w:id="925"/>
      <w:bookmarkEnd w:id="926"/>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成立自治区交通运输厅公路水运工程生产安全事故工作指挥机构（以下简称“工作指挥机构”），在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自治区应急指挥部</w:t>
      </w:r>
      <w:r>
        <w:rPr>
          <w:rFonts w:hint="eastAsia" w:ascii="times new rome" w:hAnsi="times new rome" w:eastAsia="仿宋_GB2312"/>
          <w:color w:val="000000" w:themeColor="text1"/>
          <w:spacing w:val="0"/>
          <w:sz w:val="32"/>
          <w:szCs w:val="32"/>
          <w:highlight w:val="none"/>
          <w:lang w:val="en-US" w:eastAsia="zh-CN"/>
          <w14:textFill>
            <w14:solidFill>
              <w14:schemeClr w14:val="tx1"/>
            </w14:solidFill>
          </w14:textFill>
        </w:rPr>
        <w:t>和厅应急领导小组的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指挥下，负责组织、协调、开展</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公路水运工程生产安全事故应急处置工作。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分管公路水运工程的厅领导</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由分管公路水运工程的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厅领导担任指挥长，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建设管理处负责人</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担任副指挥长。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成员由厅办公室、</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政策法规处、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综合规划处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建设管理处、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公路管理处、运输和海事管理处、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安全与质量监督管理处</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公路管理中心、交通运输综合执法监督局、路网监测与应急处置中心、道路运输事务中心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水路发展中心</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处室及所属</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单位负责同志</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组成</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厅</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的主要职责：</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贯彻落实上级部门和自治区指挥部关于</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应急决策、部署和措施</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组织</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、协调</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指导</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各单位</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的应急处置工作</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应急响应；</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决定启动、调整、终止交通运输厅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Ⅲ级、Ⅳ级</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预警状态和应急响应行动</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根据需要，会同</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有关部门，制定和落实应对</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应急处置工作方案；</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视情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成立现场工作组，并派往</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事发现场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与</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协调应急处置工作</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（4）负责协调交通运输应急物资和应急队伍的调度及道路运输应急保障工作</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）根据自治区人民政府要求或根据应急处置需要，参与地方政府组织开展的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公路水运工程生产安全事故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应急处置工作</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6</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）其他相关重大事项。</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ascii="仿宋_GB2312" w:hAnsi="宋体" w:eastAsia="仿宋_GB2312" w:cs="仿宋_GB2312"/>
          <w:color w:val="000000" w:themeColor="text1"/>
          <w:kern w:val="0"/>
          <w:sz w:val="31"/>
          <w:szCs w:val="31"/>
          <w:highlight w:val="none"/>
          <w14:textFill>
            <w14:solidFill>
              <w14:schemeClr w14:val="tx1"/>
            </w14:solidFill>
          </w14:textFill>
        </w:rPr>
      </w:pPr>
      <w:bookmarkStart w:id="927" w:name="_Toc20064"/>
      <w:bookmarkStart w:id="928" w:name="_Toc4340"/>
      <w:bookmarkStart w:id="929" w:name="_Toc16196"/>
      <w:bookmarkStart w:id="930" w:name="_Toc22141"/>
      <w:bookmarkStart w:id="931" w:name="_Toc31902"/>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ascii="仿宋_GB2312" w:hAnsi="宋体" w:eastAsia="仿宋_GB2312" w:cs="仿宋_GB2312"/>
          <w:color w:val="000000" w:themeColor="text1"/>
          <w:kern w:val="0"/>
          <w:sz w:val="31"/>
          <w:szCs w:val="31"/>
          <w:highlight w:val="none"/>
          <w14:textFill>
            <w14:solidFill>
              <w14:schemeClr w14:val="tx1"/>
            </w14:solidFill>
          </w14:textFill>
        </w:rPr>
        <w:t>办公室设置在厅</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建设管理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w:t>
      </w:r>
      <w:r>
        <w:rPr>
          <w:rFonts w:ascii="仿宋_GB2312" w:hAnsi="宋体" w:eastAsia="仿宋_GB2312" w:cs="仿宋_GB2312"/>
          <w:color w:val="000000" w:themeColor="text1"/>
          <w:kern w:val="0"/>
          <w:sz w:val="31"/>
          <w:szCs w:val="31"/>
          <w:highlight w:val="none"/>
          <w14:textFill>
            <w14:solidFill>
              <w14:schemeClr w14:val="tx1"/>
            </w14:solidFill>
          </w14:textFill>
        </w:rPr>
        <w:t>，承担</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1"/>
          <w:szCs w:val="31"/>
          <w:highlight w:val="none"/>
          <w14:textFill>
            <w14:solidFill>
              <w14:schemeClr w14:val="tx1"/>
            </w14:solidFill>
          </w14:textFill>
        </w:rPr>
        <w:t>指挥</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1"/>
          <w:szCs w:val="31"/>
          <w:highlight w:val="none"/>
          <w14:textFill>
            <w14:solidFill>
              <w14:schemeClr w14:val="tx1"/>
            </w14:solidFill>
          </w14:textFill>
        </w:rPr>
        <w:t>工作</w:t>
      </w:r>
      <w:r>
        <w:rPr>
          <w:rFonts w:hint="eastAsia" w:ascii="仿宋_GB2312" w:hAnsi="宋体" w:eastAsia="仿宋_GB2312" w:cs="仿宋_GB2312"/>
          <w:color w:val="000000" w:themeColor="text1"/>
          <w:kern w:val="0"/>
          <w:sz w:val="31"/>
          <w:szCs w:val="31"/>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建设管理处负责人</w:t>
      </w:r>
      <w:r>
        <w:rPr>
          <w:rFonts w:ascii="仿宋_GB2312" w:hAnsi="宋体" w:eastAsia="仿宋_GB2312" w:cs="仿宋_GB2312"/>
          <w:color w:val="000000" w:themeColor="text1"/>
          <w:kern w:val="0"/>
          <w:sz w:val="31"/>
          <w:szCs w:val="31"/>
          <w:highlight w:val="none"/>
          <w14:textFill>
            <w14:solidFill>
              <w14:schemeClr w14:val="tx1"/>
            </w14:solidFill>
          </w14:textFill>
        </w:rPr>
        <w:t>担任</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1"/>
          <w:szCs w:val="31"/>
          <w:highlight w:val="none"/>
          <w14:textFill>
            <w14:solidFill>
              <w14:schemeClr w14:val="tx1"/>
            </w14:solidFill>
          </w14:textFill>
        </w:rPr>
        <w:t>指挥</w:t>
      </w:r>
      <w:r>
        <w:rPr>
          <w:rFonts w:hint="eastAsia" w:ascii="仿宋_GB2312" w:hAnsi="宋体" w:eastAsia="仿宋_GB2312" w:cs="仿宋_GB2312"/>
          <w:color w:val="000000" w:themeColor="text1"/>
          <w:kern w:val="0"/>
          <w:sz w:val="31"/>
          <w:szCs w:val="31"/>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1"/>
          <w:szCs w:val="31"/>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2.2应急工作组</w:t>
      </w:r>
      <w:bookmarkEnd w:id="927"/>
      <w:bookmarkEnd w:id="928"/>
      <w:bookmarkEnd w:id="929"/>
      <w:bookmarkEnd w:id="930"/>
      <w:bookmarkEnd w:id="931"/>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kern w:val="2"/>
          <w:sz w:val="32"/>
          <w:szCs w:val="32"/>
          <w:highlight w:val="none"/>
          <w:lang w:val="en-US" w:eastAsia="zh-CN" w:bidi="ar-SA"/>
          <w14:textFill>
            <w14:solidFill>
              <w14:schemeClr w14:val="tx1"/>
            </w14:solidFill>
          </w14:textFill>
        </w:rPr>
        <w:t>（1）</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综合协调组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厅</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建设管理处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负责人任组长，成员由</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办公室、</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政策法规处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综合规划处、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运输和海事管理处</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科技处、物流发展处、公路管理中心、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交通运输综合执法监督局、路网监测与应急处置中心、</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道路运输事务中心</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水路发展中心</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负责接收、处理应急状态下</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公路水运工程生产安全事故</w:t>
      </w:r>
      <w:r>
        <w:rPr>
          <w:rFonts w:hint="eastAsia" w:ascii="Times New Roman" w:hAnsi="Times New Roman" w:eastAsia="仿宋_GB2312" w:cs="Times New Roman"/>
          <w:color w:val="000000" w:themeColor="text1"/>
          <w:spacing w:val="0"/>
          <w:sz w:val="32"/>
          <w:szCs w:val="32"/>
          <w:highlight w:val="none"/>
          <w:lang w:eastAsia="en-US"/>
          <w14:textFill>
            <w14:solidFill>
              <w14:schemeClr w14:val="tx1"/>
            </w14:solidFill>
          </w14:textFill>
        </w:rPr>
        <w:t>相关信息</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，跟踪了解</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事故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启动预警状态和响应行动建议；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kern w:val="2"/>
          <w:sz w:val="32"/>
          <w:szCs w:val="32"/>
          <w:highlight w:val="none"/>
          <w:lang w:val="en-US" w:eastAsia="zh-CN" w:bidi="ar-SA"/>
          <w14:textFill>
            <w14:solidFill>
              <w14:schemeClr w14:val="tx1"/>
            </w14:solidFill>
          </w14:textFill>
        </w:rPr>
        <w:t>（2）</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抢险</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救援</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建设管理处或运输和海事管理处负责人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任组长，成员由厅公路管理处、公路管理中心、</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交通运输综合执法监督局</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、路网监测与应急处置中心</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、道路运输事务中心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事发地交通运输主管部门、公路水运参建单位相关人员视情参加。</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主要</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职责：负责指导公路水运项目各参建单位开展公路水运工程事故的应急处置等工作</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负责组织拟定工程抢险行动方案；负责组织或配合政府有关部门组织开展抢险救援行动等；负责对救援全过程进行监视，发现险情及时撤离救援人员，防止二次伤害</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承办厅</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kern w:val="2"/>
          <w:sz w:val="32"/>
          <w:szCs w:val="32"/>
          <w:highlight w:val="none"/>
          <w:lang w:val="en-US" w:eastAsia="zh-CN" w:bidi="ar-SA"/>
          <w14:textFill>
            <w14:solidFill>
              <w14:schemeClr w14:val="tx1"/>
            </w14:solidFill>
          </w14:textFill>
        </w:rPr>
        <w:t>（3）</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运输调度组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运输和海事管理处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负责人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任组长，成员由</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物流发展处、</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交通运输综合执法监督局</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、道路运输事务中心</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水路发展中心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负责组织、协调应急救援队伍</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重点物资和应急物资的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调配及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运输工作；负责水路和公路的运输保障；承办厅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）通信保障组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由路网监测与应急处置中心相关人员组成。</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主要职责：负责应急处置过程中的通信保障工作；承办厅工作指挥机构交办的其他工作。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加强舆情监测分析，传递权威信息；加强舆情引导，完善舆情监测及应对机制，有效化解舆情风险；</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负责对外发布信息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bookmarkStart w:id="932" w:name="_Toc6329"/>
      <w:bookmarkStart w:id="933" w:name="_Toc24058"/>
      <w:bookmarkStart w:id="934" w:name="_Toc9981"/>
      <w:bookmarkStart w:id="935" w:name="_Toc531781906"/>
      <w:bookmarkStart w:id="936" w:name="_Toc8706"/>
      <w:bookmarkStart w:id="937" w:name="_Toc506700063"/>
      <w:bookmarkStart w:id="938" w:name="_Toc505422501"/>
      <w:bookmarkStart w:id="939" w:name="_Toc19493"/>
      <w:bookmarkStart w:id="940" w:name="_Toc22842"/>
      <w:bookmarkStart w:id="941" w:name="_Toc16011"/>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（6）现场工作组</w:t>
      </w:r>
      <w:bookmarkEnd w:id="932"/>
      <w:bookmarkEnd w:id="933"/>
      <w:bookmarkEnd w:id="934"/>
      <w:bookmarkEnd w:id="935"/>
      <w:bookmarkEnd w:id="936"/>
      <w:bookmarkEnd w:id="937"/>
      <w:bookmarkEnd w:id="93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公路水运工程生产安全事故的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主要职责：负责传达厅应急工作要求；按照工作指挥机构安排，查看、研判、评估公路水运工程生产安全事故情况，参照专家组意见，配合有关部门提出具体处置方案；</w:t>
      </w:r>
      <w:r>
        <w:rPr>
          <w:rFonts w:hint="eastAsia" w:ascii="仿宋_GB2312" w:hAnsi="仿宋" w:eastAsia="仿宋_GB2312"/>
          <w:color w:val="000000" w:themeColor="text1"/>
          <w:spacing w:val="0"/>
          <w:sz w:val="32"/>
          <w:szCs w:val="32"/>
          <w:highlight w:val="none"/>
          <w14:textFill>
            <w14:solidFill>
              <w14:schemeClr w14:val="tx1"/>
            </w14:solidFill>
          </w14:textFill>
        </w:rPr>
        <w:t>协助有关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单位</w:t>
      </w:r>
      <w:r>
        <w:rPr>
          <w:rFonts w:hint="eastAsia" w:ascii="仿宋_GB2312" w:hAnsi="仿宋" w:eastAsia="仿宋_GB2312"/>
          <w:color w:val="000000" w:themeColor="text1"/>
          <w:spacing w:val="0"/>
          <w:sz w:val="32"/>
          <w:szCs w:val="32"/>
          <w:highlight w:val="none"/>
          <w14:textFill>
            <w14:solidFill>
              <w14:schemeClr w14:val="tx1"/>
            </w14:solidFill>
          </w14:textFill>
        </w:rPr>
        <w:t>开展</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公路水运生产安全事故</w:t>
      </w:r>
      <w:r>
        <w:rPr>
          <w:rFonts w:hint="eastAsia" w:ascii="仿宋_GB2312" w:hAnsi="仿宋" w:eastAsia="仿宋_GB2312"/>
          <w:color w:val="000000" w:themeColor="text1"/>
          <w:spacing w:val="0"/>
          <w:sz w:val="32"/>
          <w:szCs w:val="32"/>
          <w:highlight w:val="none"/>
          <w14:textFill>
            <w14:solidFill>
              <w14:schemeClr w14:val="tx1"/>
            </w14:solidFill>
          </w14:textFill>
        </w:rPr>
        <w:t>的应急处置工作</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14:textFill>
            <w14:solidFill>
              <w14:schemeClr w14:val="tx1"/>
            </w14:solidFill>
          </w14:textFill>
        </w:rPr>
        <w:t>根据需要协调有关方面提供</w:t>
      </w:r>
      <w:r>
        <w:rPr>
          <w:rFonts w:hint="eastAsia" w:eastAsia="仿宋_GB2312"/>
          <w:color w:val="000000" w:themeColor="text1"/>
          <w:spacing w:val="0"/>
          <w:sz w:val="32"/>
          <w:szCs w:val="32"/>
          <w:highlight w:val="none"/>
          <w:lang w:val="en-US" w:eastAsia="zh-CN"/>
          <w14:textFill>
            <w14:solidFill>
              <w14:schemeClr w14:val="tx1"/>
            </w14:solidFill>
          </w14:textFill>
        </w:rPr>
        <w:t>应急队伍</w:t>
      </w:r>
      <w:r>
        <w:rPr>
          <w:rFonts w:hint="eastAsia" w:eastAsia="仿宋_GB2312"/>
          <w:color w:val="000000" w:themeColor="text1"/>
          <w:spacing w:val="0"/>
          <w:sz w:val="32"/>
          <w:szCs w:val="32"/>
          <w:highlight w:val="none"/>
          <w14:textFill>
            <w14:solidFill>
              <w14:schemeClr w14:val="tx1"/>
            </w14:solidFill>
          </w14:textFill>
        </w:rPr>
        <w:t>、物资、技术等支持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等有关应急工作组报告（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现场情况和应急处置行动进展；</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（7）专家组</w:t>
      </w:r>
      <w:bookmarkEnd w:id="939"/>
      <w:bookmarkEnd w:id="940"/>
      <w:bookmarkEnd w:id="94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邀请或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抽调</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公路水运工程及相关行业工程技术、科研、勘察、设计、施工、监理、检测、监督、法律、安全等方面专家</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组成</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主要职责：</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根据需要参加公路水运工程生产安全事故应急咨询服务工作</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对现场施工救援过程中遇到的技术难题及时给予指导，修改、补充、完善和调整救援方案</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预测事态发展趋势，研究事故救援和处置办法</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分析事故原因，评估事故损失和提出恢复重建方案等相关建议。</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bookmarkStart w:id="942" w:name="_Toc17214"/>
      <w:bookmarkStart w:id="943" w:name="_Toc531781914"/>
      <w:bookmarkStart w:id="944" w:name="_Toc506700070"/>
      <w:bookmarkStart w:id="945" w:name="_Toc25844"/>
      <w:bookmarkStart w:id="946" w:name="_Toc27891"/>
      <w:bookmarkStart w:id="947" w:name="_Toc23342"/>
      <w:bookmarkStart w:id="948" w:name="_Toc6980"/>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厅公路水运工程生产安全事故</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组织机构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jc w:val="center"/>
        <w:textAlignment w:val="auto"/>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drawing>
          <wp:inline distT="0" distB="0" distL="114300" distR="114300">
            <wp:extent cx="5260975" cy="3195955"/>
            <wp:effectExtent l="0" t="0" r="9525" b="4445"/>
            <wp:docPr id="10" name="图片 10" descr="公路水运工程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路水运工程机构"/>
                    <pic:cNvPicPr>
                      <a:picLocks noChangeAspect="1"/>
                    </pic:cNvPicPr>
                  </pic:nvPicPr>
                  <pic:blipFill>
                    <a:blip r:embed="rId19"/>
                    <a:stretch>
                      <a:fillRect/>
                    </a:stretch>
                  </pic:blipFill>
                  <pic:spPr>
                    <a:xfrm>
                      <a:off x="0" y="0"/>
                      <a:ext cx="5260975" cy="3195955"/>
                    </a:xfrm>
                    <a:prstGeom prst="rect">
                      <a:avLst/>
                    </a:prstGeom>
                  </pic:spPr>
                </pic:pic>
              </a:graphicData>
            </a:graphic>
          </wp:inline>
        </w:drawing>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2.3地方各级交通运输主管部门应急组织</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县（区）级以上地方交通运输主管部门应当建立健全本级公路水运工程生产安全事故应急管理体系，明确相关岗位职责，落实具体责任人员。在本级地方党委、人民政府的领导和上级交通运输主管部门的指导下，在各自职责范围内做好本行政区域有关公路水运工程生产安全事故应急处置工作的组织、协调、指导和监督，会同本级相关职能部门，建立应急管理预警机制和救援协作机制。</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2.4项目级应急组织</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项目建设单位应设立应急组织机构，明确应急组织机构的组织形式、构成部门及相关人员，协调各合同段施工单位的应急资源，按规定及时向交通、应急等属地有关部门报送事故情况，组织相邻合同段之间的自救互救，控制事故的蔓延和扩大，并保护事故现场。项目建设单位的应急管理工作，应当按照属地政府和直接监管的相关主管部门的有关规定执行。</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2.5响应联动</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各层级预案在应急响应、应急保障等方面应协调一致</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，厅属相关单位及公路水运工程参建单位等</w:t>
      </w: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的应急预案应与本预案相衔接。当上一级应急组织启动响应时，下级应急组织应同时启动相应的应急响应，形成联动。</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项目综合应急预案应与本单位的上级部门、属地政府和直接监管的交通运输主管部门的预案相衔接。同一个项目相邻或邻近合同段的施工专项应急预案应体现预警信息共享</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应急救援互助等要求</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地方交通部门</w:t>
      </w: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的请求，可由</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应急办牵头协调专业或兼职救援队伍参加事故救援工作。救援队伍抵达事故现场后，应接受应急救援现场指挥部指挥、调遣</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949" w:name="_Toc1362"/>
      <w:bookmarkStart w:id="950" w:name="_Toc1831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3.预防与预警</w:t>
      </w:r>
      <w:bookmarkEnd w:id="942"/>
      <w:bookmarkEnd w:id="943"/>
      <w:bookmarkEnd w:id="944"/>
      <w:bookmarkEnd w:id="945"/>
      <w:bookmarkEnd w:id="946"/>
      <w:bookmarkEnd w:id="947"/>
      <w:bookmarkEnd w:id="948"/>
      <w:bookmarkEnd w:id="949"/>
      <w:bookmarkEnd w:id="950"/>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951" w:name="_Toc25079"/>
      <w:bookmarkStart w:id="952" w:name="_Toc31612"/>
      <w:bookmarkStart w:id="953" w:name="_Toc13975"/>
      <w:bookmarkStart w:id="954" w:name="_Toc9302"/>
      <w:bookmarkStart w:id="955" w:name="_Toc20017"/>
      <w:bookmarkStart w:id="956" w:name="_Toc506700071"/>
      <w:bookmarkStart w:id="957" w:name="_Toc53178191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3.1</w:t>
      </w:r>
      <w:bookmarkEnd w:id="951"/>
      <w:bookmarkEnd w:id="95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预警</w:t>
      </w:r>
      <w:bookmarkEnd w:id="953"/>
      <w:bookmarkEnd w:id="954"/>
      <w:bookmarkEnd w:id="95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机制及信息来源</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县（区）级以上地方交通运输主管部门应在日常工作中，按照自治区和交通运输厅相关要求开展对自然资源、水利、气象等部门的预警信息以及公路水运工程生产安全事故相关信息的搜集、接收、分析，针对各种可能发生的公路水运工程生产安全事故特点和危害进行风险辨识和评估，按照相关程序发布预警信息，做到早发现、早报告、早处置。</w:t>
      </w:r>
    </w:p>
    <w:bookmarkEnd w:id="956"/>
    <w:bookmarkEnd w:id="957"/>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eastAsia="zh-CN"/>
          <w14:textFill>
            <w14:solidFill>
              <w14:schemeClr w14:val="tx1"/>
            </w14:solidFill>
          </w14:textFill>
        </w:rPr>
      </w:pPr>
      <w:bookmarkStart w:id="958" w:name="_Toc7640"/>
      <w:bookmarkStart w:id="959" w:name="_Toc6286"/>
      <w:bookmarkStart w:id="960" w:name="_Toc27958"/>
      <w:bookmarkStart w:id="961" w:name="_Toc14862"/>
      <w:bookmarkStart w:id="962" w:name="_Toc7374"/>
      <w:r>
        <w:rPr>
          <w:rFonts w:hint="eastAsia" w:ascii="楷体_GB2312" w:hAnsi="仿宋" w:eastAsia="楷体_GB2312" w:cs="Times New Roman"/>
          <w:b/>
          <w:bCs/>
          <w:color w:val="000000" w:themeColor="text1"/>
          <w:spacing w:val="0"/>
          <w:highlight w:val="none"/>
          <w14:textFill>
            <w14:solidFill>
              <w14:schemeClr w14:val="tx1"/>
            </w14:solidFill>
          </w14:textFill>
        </w:rPr>
        <w:t>3.2预警信息</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分级</w:t>
      </w:r>
      <w:bookmarkEnd w:id="958"/>
      <w:bookmarkEnd w:id="959"/>
      <w:bookmarkEnd w:id="960"/>
      <w:bookmarkEnd w:id="961"/>
      <w:bookmarkEnd w:id="96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按照</w:t>
      </w:r>
      <w:r>
        <w:rPr>
          <w:rFonts w:hint="eastAsia" w:ascii="仿宋_GB2312" w:hAnsi="Calibri" w:eastAsia="仿宋_GB2312"/>
          <w:color w:val="000000" w:themeColor="text1"/>
          <w:spacing w:val="0"/>
          <w:sz w:val="32"/>
          <w:szCs w:val="32"/>
          <w:highlight w:val="none"/>
          <w14:textFill>
            <w14:solidFill>
              <w14:schemeClr w14:val="tx1"/>
            </w14:solidFill>
          </w14:textFill>
        </w:rPr>
        <w:t>紧急程度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危害程度和发展态势等，</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公路水运工程生产安全事故</w:t>
      </w:r>
      <w:r>
        <w:rPr>
          <w:rFonts w:hint="eastAsia" w:ascii="仿宋_GB2312" w:hAnsi="Calibri" w:eastAsia="仿宋_GB2312"/>
          <w:color w:val="000000" w:themeColor="text1"/>
          <w:spacing w:val="0"/>
          <w:sz w:val="32"/>
          <w:szCs w:val="32"/>
          <w:highlight w:val="none"/>
          <w14:textFill>
            <w14:solidFill>
              <w14:schemeClr w14:val="tx1"/>
            </w14:solidFill>
          </w14:textFill>
        </w:rPr>
        <w:t>预警级别分为</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从高到低可分为一级（红色）</w:t>
      </w:r>
      <w:r>
        <w:rPr>
          <w:rFonts w:hint="eastAsia" w:ascii="仿宋_GB2312" w:hAnsi="Calibri" w:eastAsia="仿宋_GB2312"/>
          <w:color w:val="000000" w:themeColor="text1"/>
          <w:spacing w:val="0"/>
          <w:sz w:val="32"/>
          <w:szCs w:val="32"/>
          <w:highlight w:val="none"/>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二级（橙色）</w:t>
      </w:r>
      <w:r>
        <w:rPr>
          <w:rFonts w:hint="eastAsia" w:ascii="仿宋_GB2312" w:hAnsi="Calibri" w:eastAsia="仿宋_GB2312"/>
          <w:color w:val="000000" w:themeColor="text1"/>
          <w:spacing w:val="0"/>
          <w:sz w:val="32"/>
          <w:szCs w:val="32"/>
          <w:highlight w:val="none"/>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三级（黄色）</w:t>
      </w:r>
      <w:r>
        <w:rPr>
          <w:rFonts w:hint="eastAsia" w:ascii="仿宋_GB2312" w:hAnsi="Calibri" w:eastAsia="仿宋_GB2312"/>
          <w:color w:val="000000" w:themeColor="text1"/>
          <w:spacing w:val="0"/>
          <w:sz w:val="32"/>
          <w:szCs w:val="32"/>
          <w:highlight w:val="none"/>
          <w14:textFill>
            <w14:solidFill>
              <w14:schemeClr w14:val="tx1"/>
            </w14:solidFill>
          </w14:textFill>
        </w:rPr>
        <w:t>和</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四级（蓝色）</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表示。</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3.3监测</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pP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县</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（区）</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级以上地方交通运输主管部门应当</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建立健全</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基础信息数据库，督促企业建设相应的自动监测设施、声光电预警设备，建立完善巡查机制，设立可靠的逃生通道和避险平台等设施。指导有通信信号等条件的施工驻地</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平原区30人以上，山区10人以上</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建设</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高秆</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视频监控装置，并将视频接入所属企业及行业监管部门</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963" w:name="_Toc17111"/>
      <w:bookmarkStart w:id="964" w:name="_Toc25369"/>
      <w:bookmarkStart w:id="965" w:name="_Toc596"/>
      <w:bookmarkStart w:id="966" w:name="_Toc26684"/>
      <w:bookmarkStart w:id="967" w:name="_Toc29288"/>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预警</w:t>
      </w:r>
      <w:bookmarkEnd w:id="963"/>
      <w:bookmarkEnd w:id="964"/>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转发与预警行动</w:t>
      </w:r>
      <w:bookmarkEnd w:id="965"/>
      <w:bookmarkEnd w:id="966"/>
      <w:bookmarkEnd w:id="96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收到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预警信息后，根据预警等级进行分级处置。</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一级（红色）</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二级（橙色）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由综合协调组拟定实施意见，报厅应急办研判，</w:t>
      </w:r>
      <w:r>
        <w:rPr>
          <w:rFonts w:hint="eastAsia" w:ascii="仿宋_GB2312" w:hAnsi="Calibri" w:eastAsia="仿宋_GB2312"/>
          <w:color w:val="000000" w:themeColor="text1"/>
          <w:spacing w:val="0"/>
          <w:sz w:val="32"/>
          <w:szCs w:val="32"/>
          <w:highlight w:val="none"/>
          <w14:textFill>
            <w14:solidFill>
              <w14:schemeClr w14:val="tx1"/>
            </w14:solidFill>
          </w14:textFill>
        </w:rPr>
        <w:t>经厅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主要负责人同意</w:t>
      </w:r>
      <w:r>
        <w:rPr>
          <w:rFonts w:hint="eastAsia" w:ascii="仿宋_GB2312" w:hAnsi="Calibri" w:eastAsia="仿宋_GB2312"/>
          <w:color w:val="000000" w:themeColor="text1"/>
          <w:spacing w:val="0"/>
          <w:sz w:val="32"/>
          <w:szCs w:val="32"/>
          <w:highlight w:val="none"/>
          <w14:textFill>
            <w14:solidFill>
              <w14:schemeClr w14:val="tx1"/>
            </w14:solidFill>
          </w14:textFill>
        </w:rPr>
        <w:t>后启动预警；</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eastAsia="仿宋_GB2312"/>
          <w:color w:val="000000" w:themeColor="text1"/>
          <w:spacing w:val="0"/>
          <w:sz w:val="32"/>
          <w:szCs w:val="32"/>
          <w:highlight w:val="none"/>
          <w14:textFill>
            <w14:solidFill>
              <w14:schemeClr w14:val="tx1"/>
            </w14:solidFill>
          </w14:textFill>
        </w:rPr>
        <w:t>将预警信息立即传达所涉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及有关单位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各应急工作组进入待命状态</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①交通行业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应急救援力量应当进入待命状态，做好应急救援准备</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w:t>
      </w:r>
      <w:r>
        <w:rPr>
          <w:rFonts w:hint="eastAsia" w:ascii="仿宋_GB2312" w:eastAsia="仿宋_GB2312"/>
          <w:color w:val="000000" w:themeColor="text1"/>
          <w:spacing w:val="0"/>
          <w:sz w:val="32"/>
          <w:szCs w:val="32"/>
          <w:highlight w:val="none"/>
          <w:lang w:eastAsia="zh-CN"/>
          <w14:textFill>
            <w14:solidFill>
              <w14:schemeClr w14:val="tx1"/>
            </w14:solidFill>
          </w14:textFill>
        </w:rPr>
        <w:t>综合协调组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应督促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地方交通主管部门、建设</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项目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参建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单位对预警信息进行认真分析，做好各项预防工作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，并立即组织对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办公场所、驻地环境、施工现场等进行隐患排查，对发现的重大事故隐患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督促整改；</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③提前采取排险加固等防控措施，及时撤离可能涉险的人员、机械设备等。</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三级（黄色）、四级（蓝色）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由综合协调组拟定实施意见，报厅应急办研判，</w:t>
      </w:r>
      <w:r>
        <w:rPr>
          <w:rFonts w:hint="eastAsia" w:ascii="仿宋_GB2312" w:hAnsi="Calibri" w:eastAsia="仿宋_GB2312"/>
          <w:color w:val="000000" w:themeColor="text1"/>
          <w:spacing w:val="0"/>
          <w:sz w:val="32"/>
          <w:szCs w:val="32"/>
          <w:highlight w:val="none"/>
          <w14:textFill>
            <w14:solidFill>
              <w14:schemeClr w14:val="tx1"/>
            </w14:solidFill>
          </w14:textFill>
        </w:rPr>
        <w:t>经厅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分管领导同意</w:t>
      </w:r>
      <w:r>
        <w:rPr>
          <w:rFonts w:hint="eastAsia" w:ascii="仿宋_GB2312" w:hAnsi="Calibri" w:eastAsia="仿宋_GB2312"/>
          <w:color w:val="000000" w:themeColor="text1"/>
          <w:spacing w:val="0"/>
          <w:sz w:val="32"/>
          <w:szCs w:val="32"/>
          <w:highlight w:val="none"/>
          <w14:textFill>
            <w14:solidFill>
              <w14:schemeClr w14:val="tx1"/>
            </w14:solidFill>
          </w14:textFill>
        </w:rPr>
        <w:t>后</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启动预警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将预警信息传达</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至</w:t>
      </w:r>
      <w:r>
        <w:rPr>
          <w:rFonts w:hint="eastAsia" w:ascii="仿宋_GB2312" w:eastAsia="仿宋_GB2312"/>
          <w:color w:val="000000" w:themeColor="text1"/>
          <w:spacing w:val="0"/>
          <w:sz w:val="32"/>
          <w:szCs w:val="32"/>
          <w:highlight w:val="none"/>
          <w14:textFill>
            <w14:solidFill>
              <w14:schemeClr w14:val="tx1"/>
            </w14:solidFill>
          </w14:textFill>
        </w:rPr>
        <w:t>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eastAsia="仿宋_GB2312"/>
          <w:color w:val="000000" w:themeColor="text1"/>
          <w:spacing w:val="0"/>
          <w:sz w:val="32"/>
          <w:szCs w:val="32"/>
          <w:highlight w:val="none"/>
          <w14:textFill>
            <w14:solidFill>
              <w14:schemeClr w14:val="tx1"/>
            </w14:solidFill>
          </w14:textFill>
        </w:rPr>
        <w:t>督导</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其</w:t>
      </w:r>
      <w:r>
        <w:rPr>
          <w:rFonts w:hint="eastAsia" w:ascii="仿宋_GB2312" w:eastAsia="仿宋_GB2312"/>
          <w:color w:val="000000" w:themeColor="text1"/>
          <w:spacing w:val="0"/>
          <w:sz w:val="32"/>
          <w:szCs w:val="32"/>
          <w:highlight w:val="none"/>
          <w14:textFill>
            <w14:solidFill>
              <w14:schemeClr w14:val="tx1"/>
            </w14:solidFill>
          </w14:textFill>
        </w:rPr>
        <w:t>做好防御准备和防御响应工作。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Calibri" w:eastAsia="仿宋_GB2312"/>
          <w:color w:val="000000" w:themeColor="text1"/>
          <w:spacing w:val="0"/>
          <w:sz w:val="32"/>
          <w:szCs w:val="32"/>
          <w:highlight w:val="none"/>
          <w14:textFill>
            <w14:solidFill>
              <w14:schemeClr w14:val="tx1"/>
            </w14:solidFill>
          </w14:textFill>
        </w:rPr>
        <w:t>）根据需要，</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Calibri" w:eastAsia="仿宋_GB2312"/>
          <w:color w:val="000000" w:themeColor="text1"/>
          <w:spacing w:val="0"/>
          <w:sz w:val="32"/>
          <w:szCs w:val="32"/>
          <w:highlight w:val="none"/>
          <w14:textFill>
            <w14:solidFill>
              <w14:schemeClr w14:val="tx1"/>
            </w14:solidFill>
          </w14:textFill>
        </w:rPr>
        <w:t>将预警信息通报应急协作部门。</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pPr>
      <w:bookmarkStart w:id="968" w:name="_Toc7522"/>
      <w:bookmarkStart w:id="969" w:name="_Toc12268"/>
      <w:bookmarkStart w:id="970" w:name="_Toc7361"/>
      <w:bookmarkStart w:id="971" w:name="_Toc531781921"/>
      <w:bookmarkStart w:id="972" w:name="_Toc506700077"/>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（4）</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县</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（区）</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级以上地方交通运输主管部门应当通过多种途径收集预警信息，按照相关程序传达预警信息，督促、指导项目参建单位及时采取预防措施。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（5）</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项目预警信息由建设单位根据上级预警信息或本级实际情况向施工合同段发布和解除。项目预警信息应包括</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可能发生的生产安全事故类别、起始时间、预警级别、影响范围、影响估计及应对措施、警示事项、从业人员自防自救措施、发布单位等</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（6）</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项目参建单位应指定专人接收预警信息，建立并落实直达班组一线人员的预警</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叫应</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及反馈校核机制，多形式多方式确认人员避险或转移安全，</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实现</w:t>
      </w:r>
      <w:r>
        <w:rPr>
          <w:rFonts w:hint="default"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闭环管理</w:t>
      </w:r>
      <w:r>
        <w:rPr>
          <w:rFonts w:hint="eastAsia" w:ascii="仿宋_GB2312" w:hAnsi="Calibri" w:eastAsia="仿宋_GB2312" w:cs="Times New Roman"/>
          <w:color w:val="000000" w:themeColor="text1"/>
          <w:spacing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highlight w:val="none"/>
          <w14:textFill>
            <w14:solidFill>
              <w14:schemeClr w14:val="tx1"/>
            </w14:solidFill>
          </w14:textFill>
        </w:rPr>
        <w:t>预防工作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jc w:val="both"/>
        <w:textAlignment w:val="auto"/>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t>3.</w:t>
      </w: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t>.1县</w:t>
      </w:r>
      <w:r>
        <w:rPr>
          <w:rFonts w:hint="eastAsia" w:ascii="仿宋_GB2312" w:hAnsi="仿宋_GB2312" w:eastAsia="仿宋_GB2312" w:cs="仿宋_GB2312"/>
          <w:b/>
          <w:bCs/>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b/>
          <w:bCs/>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spacing w:val="0"/>
          <w:sz w:val="32"/>
          <w:szCs w:val="32"/>
          <w:highlight w:val="none"/>
          <w14:textFill>
            <w14:solidFill>
              <w14:schemeClr w14:val="tx1"/>
            </w14:solidFill>
          </w14:textFill>
        </w:rPr>
        <w:t>级以上地方交通运输主管部门预防工作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县</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级以上地方交通运输主管部门应了解辖区内公路水运工程项目重大风险、重大事故隐患的分布情况，督促辖区内重点工程项目建设单位对施工驻地、危险性较大分部分项工程、人员密集场所等开展经常性的隐患排查，改善安全生产条件，对发现的重大事故隐患要督促项目参建单位按规定报备，提前采取排险加固等防控措施，及时撤离可能涉险的人员、船机设备等，做到应停尽停、应关尽关、应撤尽撤</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各级交通运输主管部门应按规定接收自然灾害类预警信息，通过网络、短消息等多种方式及时转发橙色及以上级别的预警信息，提出防范要求，有效督促、指导项目参建单位做好灾害防御工作。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9"/>
        <w:rPr>
          <w:rFonts w:hint="eastAsia"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.2项目参建单位预防工作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项目建设单位应当牵头组织整个项目的事故及有关自然灾害预防工作，督促、指导项目其他参建单位按照职责做好各自的预防工作。项目施工单位应结合事故发生规律，提前深入开展安全风险评估与预控，认真深入排查各类事故隐患，制定重大事故隐患清单并组织专项治理，提前做好各项应对措施。要重点强化施工驻地选址评估，建立健全包保责任制，明确责任人和巡查员、“吹哨人”，确保事故预防各项工作落到实处，到岗到人。</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3.</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6</w:t>
      </w:r>
      <w:r>
        <w:rPr>
          <w:rFonts w:hint="eastAsia" w:ascii="楷体_GB2312" w:hAnsi="仿宋" w:eastAsia="楷体_GB2312" w:cs="Times New Roman"/>
          <w:b/>
          <w:bCs/>
          <w:color w:val="000000" w:themeColor="text1"/>
          <w:spacing w:val="0"/>
          <w:highlight w:val="none"/>
          <w14:textFill>
            <w14:solidFill>
              <w14:schemeClr w14:val="tx1"/>
            </w14:solidFill>
          </w14:textFill>
        </w:rPr>
        <w:t>预警调整与终止</w:t>
      </w:r>
      <w:bookmarkEnd w:id="968"/>
      <w:bookmarkEnd w:id="969"/>
      <w:bookmarkEnd w:id="97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根据预警信息变化和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公路水运工程</w:t>
      </w:r>
      <w:r>
        <w:rPr>
          <w:rFonts w:hint="eastAsia" w:ascii="仿宋_GB2312" w:eastAsia="仿宋_GB2312"/>
          <w:color w:val="000000" w:themeColor="text1"/>
          <w:spacing w:val="0"/>
          <w:sz w:val="32"/>
          <w:szCs w:val="32"/>
          <w:highlight w:val="none"/>
          <w14:textFill>
            <w14:solidFill>
              <w14:schemeClr w14:val="tx1"/>
            </w14:solidFill>
          </w14:textFill>
        </w:rPr>
        <w:t>受影响情况，由</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。降级和终止响应的，需报经启动原响应的领导同意。当相关预警解除，且</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工程水运工程</w:t>
      </w:r>
      <w:r>
        <w:rPr>
          <w:rFonts w:hint="eastAsia" w:ascii="仿宋_GB2312" w:eastAsia="仿宋_GB2312"/>
          <w:color w:val="000000" w:themeColor="text1"/>
          <w:spacing w:val="0"/>
          <w:sz w:val="32"/>
          <w:szCs w:val="32"/>
          <w:highlight w:val="none"/>
          <w14:textFill>
            <w14:solidFill>
              <w14:schemeClr w14:val="tx1"/>
            </w14:solidFill>
          </w14:textFill>
        </w:rPr>
        <w:t>受影响趋于消除时，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响应可自动终止。</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根据预警信息变化和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受影响情况，由</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提出</w:t>
      </w:r>
      <w:r>
        <w:rPr>
          <w:rFonts w:hint="eastAsia" w:ascii="仿宋_GB2312" w:eastAsia="仿宋_GB2312"/>
          <w:b w:val="0"/>
          <w:bCs w:val="0"/>
          <w:color w:val="000000" w:themeColor="text1"/>
          <w:spacing w:val="0"/>
          <w:sz w:val="32"/>
          <w:szCs w:val="32"/>
          <w:highlight w:val="none"/>
          <w14:textFill>
            <w14:solidFill>
              <w14:schemeClr w14:val="tx1"/>
            </w14:solidFill>
          </w14:textFill>
        </w:rPr>
        <w:t>调整、终止</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预警响应的建议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，经厅应急办核准，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。当相关预警解除，且</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受影响趋于消除时，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响应可自动终止。</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973" w:name="_Toc3545"/>
      <w:bookmarkStart w:id="974" w:name="_Toc23400"/>
      <w:bookmarkStart w:id="975" w:name="_Toc21964"/>
      <w:bookmarkStart w:id="976" w:name="_Toc22680"/>
      <w:bookmarkStart w:id="977" w:name="_Toc572"/>
      <w:bookmarkStart w:id="978" w:name="_Toc24521"/>
      <w:bookmarkStart w:id="979" w:name="_Toc20463"/>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4.应急响应</w:t>
      </w:r>
      <w:bookmarkEnd w:id="971"/>
      <w:bookmarkEnd w:id="972"/>
      <w:bookmarkEnd w:id="973"/>
      <w:bookmarkEnd w:id="974"/>
      <w:bookmarkEnd w:id="975"/>
      <w:bookmarkEnd w:id="976"/>
      <w:bookmarkEnd w:id="977"/>
      <w:bookmarkEnd w:id="978"/>
      <w:bookmarkEnd w:id="979"/>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980" w:name="_Toc21185"/>
      <w:bookmarkStart w:id="981" w:name="_Toc2671"/>
      <w:bookmarkStart w:id="982" w:name="_Toc19544"/>
      <w:bookmarkStart w:id="983" w:name="_Toc20566"/>
      <w:bookmarkStart w:id="984" w:name="_Toc15401"/>
      <w:bookmarkStart w:id="985" w:name="_Toc27760"/>
      <w:bookmarkStart w:id="986" w:name="_Toc506700078"/>
      <w:bookmarkStart w:id="987" w:name="_Toc53178192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4.1信息报告</w:t>
      </w:r>
      <w:bookmarkEnd w:id="980"/>
      <w:bookmarkEnd w:id="981"/>
      <w:bookmarkEnd w:id="982"/>
      <w:bookmarkEnd w:id="983"/>
      <w:bookmarkEnd w:id="984"/>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988" w:name="_Toc25237"/>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4.1.1信息报告范围</w:t>
      </w:r>
      <w:bookmarkEnd w:id="98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交通主管部门、建设项目参建单位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公路水运工程生产安全事故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现场信息的采集和报送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报告范围：</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bookmarkStart w:id="989" w:name="_Toc3842"/>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（1）公路水运工程建设施工发生亡人事故或造成2人以上重伤事故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（2）因公路水运工程建设事故造成</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高速公路、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国省干线公路桥梁、隧道以及国、省重点水运设施发生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结构物损坏等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事件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（3）其他任何造成或可能造成重大社会、经济影响或发生在敏感区域、敏感时段的公路水运工程生产安全事故。</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对于重大涉险事件和涉及面广、敏感复杂或处置不当后果严重的生产安全事故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990" w:name="_Toc2275"/>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w:t>
      </w:r>
      <w:bookmarkEnd w:id="98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上报</w:t>
      </w:r>
      <w:bookmarkEnd w:id="99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自治区交通运输厅</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督导相关单位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《全区交通运输行业突发事件信息管理制度（试行）》等规定，报告突发事件信息。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pP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公路水运工程生产安全事故发生后，事故现场有关人员应当立即向本单位项目负责人报告：项目负责人接到报告后，应当1小时内向建设单位、项目直接监管的交通运输主管部门、事故发生地县（</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）级以上地方交通运输主管部门和应急管理部门报告，必要时可越级上报。</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pP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县（</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）级交通运输主管部门应逐级上报至</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交通运输</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厅值班室</w:t>
      </w:r>
      <w:r>
        <w:rPr>
          <w:rFonts w:hint="eastAsia" w:ascii="仿宋_GB2312" w:hAnsi="仿宋_GB2312" w:eastAsia="仿宋_GB2312" w:cs="仿宋_GB2312"/>
          <w:snapToGrid w:val="0"/>
          <w:color w:val="000000" w:themeColor="text1"/>
          <w:spacing w:val="0"/>
          <w:sz w:val="32"/>
          <w:szCs w:val="32"/>
          <w:highlight w:val="none"/>
          <w:lang w:val="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收到</w:t>
      </w:r>
      <w:r>
        <w:rPr>
          <w:rFonts w:hint="eastAsia" w:ascii="仿宋_GB2312" w:hAnsi="仿宋_GB2312" w:eastAsia="仿宋_GB2312" w:cs="仿宋_GB2312"/>
          <w:snapToGrid w:val="0"/>
          <w:color w:val="000000" w:themeColor="text1"/>
          <w:spacing w:val="0"/>
          <w:sz w:val="32"/>
          <w:szCs w:val="32"/>
          <w:highlight w:val="none"/>
          <w:lang w:val="en-US" w:eastAsia="zh-CN"/>
          <w14:textFill>
            <w14:solidFill>
              <w14:schemeClr w14:val="tx1"/>
            </w14:solidFill>
          </w14:textFill>
        </w:rPr>
        <w:t>公路交通突发事件信息</w:t>
      </w:r>
      <w:r>
        <w:rPr>
          <w:rFonts w:hint="eastAsia" w:ascii="仿宋_GB2312" w:eastAsia="仿宋_GB2312"/>
          <w:color w:val="000000" w:themeColor="text1"/>
          <w:spacing w:val="0"/>
          <w:sz w:val="32"/>
          <w:szCs w:val="32"/>
          <w:highlight w:val="none"/>
          <w14:textFill>
            <w14:solidFill>
              <w14:schemeClr w14:val="tx1"/>
            </w14:solidFill>
          </w14:textFill>
        </w:rPr>
        <w:t>后，按照有关规定</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要求报送信息。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991" w:name="_Toc21763"/>
      <w:bookmarkStart w:id="992" w:name="_Toc25320"/>
      <w:bookmarkStart w:id="993" w:name="_Toc586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4.2响应级别</w:t>
      </w:r>
      <w:bookmarkEnd w:id="985"/>
      <w:bookmarkEnd w:id="991"/>
      <w:bookmarkEnd w:id="992"/>
      <w:bookmarkEnd w:id="993"/>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公路水运工程生产安全事故</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应急响应根据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事故</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的级别，分为I级、Ⅱ级、Ⅲ级和Ⅳ级四个响应等级</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自治区总体应急预案</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响应级别相对应。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当接到交通运输部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I级、Ⅱ级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应急响应信息</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或</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特别重大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重大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公路水运工程生产安全事故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或重大涉险事故时</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I级、Ⅱ级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发生较大、一般</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公路水运工程生产安全事故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或较大涉险事故时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，超出事发地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应对能力，经</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交通运输主管部门提出，或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交通运输厅认为必要时，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eastAsia="仿宋_GB2312"/>
          <w:color w:val="000000" w:themeColor="text1"/>
          <w:spacing w:val="0"/>
          <w:sz w:val="32"/>
          <w:szCs w:val="32"/>
          <w:highlight w:val="none"/>
          <w14:textFill>
            <w14:solidFill>
              <w14:schemeClr w14:val="tx1"/>
            </w14:solidFill>
          </w14:textFill>
        </w:rPr>
        <w:t>政府责成处理的</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公路水运工程生产安全事故</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研判后启动相应等级响应。</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级以上地方交通运输主管部门与公路水运工程项目参建单位可以参照本预案，根据实际情况自行确定应急响应级别及程序</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bookmarkEnd w:id="986"/>
    <w:bookmarkEnd w:id="987"/>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994" w:name="_Toc506700080"/>
      <w:bookmarkStart w:id="995" w:name="_Toc25482"/>
      <w:bookmarkStart w:id="996" w:name="_Toc531781924"/>
      <w:bookmarkStart w:id="997" w:name="_Toc31688"/>
      <w:bookmarkStart w:id="998" w:name="_Toc649"/>
      <w:bookmarkStart w:id="999" w:name="_Toc31301"/>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应急响应</w:t>
      </w:r>
      <w:bookmarkEnd w:id="994"/>
      <w:bookmarkEnd w:id="995"/>
      <w:bookmarkEnd w:id="99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及行动</w:t>
      </w:r>
      <w:bookmarkEnd w:id="997"/>
      <w:bookmarkEnd w:id="998"/>
      <w:bookmarkEnd w:id="999"/>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right="0" w:rightChars="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kern w:val="2"/>
          <w:position w:val="0"/>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由综合协调组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经厅应急办研判后，报厅工作指挥机构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I级、Ⅱ级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应急响应的，由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w:t>
      </w:r>
      <w:r>
        <w:rPr>
          <w:rFonts w:hint="eastAsia" w:eastAsia="仿宋_GB2312"/>
          <w:color w:val="000000" w:themeColor="text1"/>
          <w:spacing w:val="0"/>
          <w:sz w:val="32"/>
          <w:szCs w:val="32"/>
          <w:highlight w:val="none"/>
          <w14:textFill>
            <w14:solidFill>
              <w14:schemeClr w14:val="tx1"/>
            </w14:solidFill>
          </w14:textFill>
        </w:rPr>
        <w:t>，</w:t>
      </w:r>
      <w:r>
        <w:rPr>
          <w:rFonts w:eastAsia="仿宋_GB2312"/>
          <w:color w:val="000000" w:themeColor="text1"/>
          <w:spacing w:val="0"/>
          <w:sz w:val="32"/>
          <w:szCs w:val="32"/>
          <w:highlight w:val="none"/>
          <w14:textFill>
            <w14:solidFill>
              <w14:schemeClr w14:val="tx1"/>
            </w14:solidFill>
          </w14:textFill>
        </w:rPr>
        <w:t>成立现场工作组，赶赴现场</w:t>
      </w:r>
      <w:r>
        <w:rPr>
          <w:rFonts w:hint="eastAsia" w:eastAsia="仿宋_GB2312"/>
          <w:color w:val="000000" w:themeColor="text1"/>
          <w:spacing w:val="0"/>
          <w:sz w:val="32"/>
          <w:szCs w:val="32"/>
          <w:highlight w:val="none"/>
          <w14:textFill>
            <w14:solidFill>
              <w14:schemeClr w14:val="tx1"/>
            </w14:solidFill>
          </w14:textFill>
        </w:rPr>
        <w:t>，</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事发地交通运输主管部门配合人民政府</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组织救援</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将启动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I级、Ⅱ级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应急响应有关信息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和应急处置</w:t>
      </w:r>
      <w:r>
        <w:rPr>
          <w:rFonts w:hint="eastAsia" w:eastAsia="仿宋_GB2312"/>
          <w:color w:val="000000" w:themeColor="text1"/>
          <w:spacing w:val="0"/>
          <w:sz w:val="32"/>
          <w:szCs w:val="32"/>
          <w:highlight w:val="none"/>
          <w14:textFill>
            <w14:solidFill>
              <w14:schemeClr w14:val="tx1"/>
            </w14:solidFill>
          </w14:textFill>
        </w:rPr>
        <w:t>遇到的重大情况</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按规定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报上级单位和自治区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事发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地区的政府部门通报情况</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 w:eastAsia="仿宋_GB2312"/>
          <w:color w:val="000000" w:themeColor="text1"/>
          <w:spacing w:val="0"/>
          <w:sz w:val="32"/>
          <w:szCs w:val="32"/>
          <w:highlight w:val="none"/>
          <w14:textFill>
            <w14:solidFill>
              <w14:schemeClr w14:val="tx1"/>
            </w14:solidFill>
          </w14:textFill>
        </w:rPr>
        <w:t>向社会公布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。主要采取以下</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响应行动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参加自治区指挥部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会商，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落实处置要求；</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②派出现场工作组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专家赶赴现场参加、指导现场应急救援，协调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交通领域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专业应急力量增援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配合制定应急抢险方案。</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的，由指挥长宣布启动并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指导、协调应急处置工作，主要采取以下措施：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①根据需要参与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属地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指挥部组织的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会商，及时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督促、指导交通部门、参建单位等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落实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召集各工作组视情研判，遇到重要情况及时召集会商研判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③视情派出现场工作组或专家组给予指导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④密切跟踪事态进展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⑤协助地方开展应急处置工作。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000" w:name="_Toc17798"/>
      <w:bookmarkStart w:id="1001" w:name="_Toc16014"/>
      <w:bookmarkStart w:id="1002" w:name="_Toc14924"/>
      <w:bookmarkStart w:id="1003" w:name="_Toc27025"/>
      <w:bookmarkStart w:id="1004" w:name="_Toc30024"/>
      <w:bookmarkStart w:id="1005" w:name="_Toc506700082"/>
      <w:bookmarkStart w:id="1006" w:name="_Toc505422520"/>
      <w:bookmarkStart w:id="1007" w:name="_Toc531781926"/>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应急处置</w:t>
      </w:r>
      <w:bookmarkEnd w:id="1000"/>
      <w:bookmarkEnd w:id="1001"/>
      <w:bookmarkEnd w:id="1002"/>
      <w:bookmarkEnd w:id="1003"/>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措施</w:t>
      </w:r>
      <w:bookmarkEnd w:id="100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1</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在专业抢险力量到达现场前，项目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参建</w:t>
      </w:r>
      <w:r>
        <w:rPr>
          <w:rFonts w:hint="eastAsia" w:ascii="仿宋_GB2312" w:eastAsia="仿宋_GB2312"/>
          <w:color w:val="000000" w:themeColor="text1"/>
          <w:spacing w:val="0"/>
          <w:sz w:val="32"/>
          <w:szCs w:val="32"/>
          <w:highlight w:val="none"/>
          <w14:textFill>
            <w14:solidFill>
              <w14:schemeClr w14:val="tx1"/>
            </w14:solidFill>
          </w14:textFill>
        </w:rPr>
        <w:t>单位应立即启动本级</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应急预案</w:t>
      </w:r>
      <w:r>
        <w:rPr>
          <w:rFonts w:hint="eastAsia" w:ascii="仿宋_GB2312" w:eastAsia="仿宋_GB2312"/>
          <w:color w:val="000000" w:themeColor="text1"/>
          <w:spacing w:val="0"/>
          <w:sz w:val="32"/>
          <w:szCs w:val="32"/>
          <w:highlight w:val="none"/>
          <w14:textFill>
            <w14:solidFill>
              <w14:schemeClr w14:val="tx1"/>
            </w14:solidFill>
          </w14:textFill>
        </w:rPr>
        <w:t>，组织有关应急救援队伍和工作人员营救遇险人员，疏散、撤离、安置受到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生命</w:t>
      </w:r>
      <w:r>
        <w:rPr>
          <w:rFonts w:hint="eastAsia" w:ascii="仿宋_GB2312" w:eastAsia="仿宋_GB2312"/>
          <w:color w:val="000000" w:themeColor="text1"/>
          <w:spacing w:val="0"/>
          <w:sz w:val="32"/>
          <w:szCs w:val="32"/>
          <w:highlight w:val="none"/>
          <w14:textFill>
            <w14:solidFill>
              <w14:schemeClr w14:val="tx1"/>
            </w14:solidFill>
          </w14:textFill>
        </w:rPr>
        <w:t>威胁的人员，控制危险源，标明危险区域，封锁危险场所，并采取其他防止危害扩大的必要措施，妥善保管有关物证，并按照规定及时报告。</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（2）指导事发地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公路管理中心、</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公路水运工程参建单位组织相关专业技术力量，根据公路、隧道、桥梁、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水运工程和</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安全防护设施等受损情况</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制定相应的应急处置方案，根据实际需要提供相应的技术、专业施工队伍、车辆、船舶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工程机械等支持。</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（3）指导事发地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级交通运输主管部门立即协调、调配事故抢险救灾所需车辆、船舶，保障事故抢险救灾人员和重点物资运输等工作。必要时，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配合公安交管部门开辟绿色通道，保障救援工作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（4）积极配合公安、消防、应急、医疗等有关部门开展应急处置工作。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级以上地方交通运输主管部门在接到生产安全事故报告后，应启动相应应急预案，在本级地方党委、人民政府的领导下参加事故现场应急处置工作，密切跟踪事故发展趋势以及可能造成的危害，派出现场工作组或者有关专家给予指导，根据应急处置需要在装备物资等方面给予协调。</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路水运工程生产安全事故发生后，项目参建单位应立即启动应急响应，迅速组织抢救遇险人员，紧急疏散相关人员，保障应急救援通道畅通，加强现场监测，采取必要措施防止事故危害扩大和次衍生灾害发生。同时妥善保护好事故现场，保存现场重要痕迹、物证。</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008" w:name="_Toc14368"/>
      <w:bookmarkStart w:id="1009" w:name="_Toc21412"/>
      <w:bookmarkStart w:id="1010" w:name="_Toc22536"/>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highlight w:val="none"/>
          <w14:textFill>
            <w14:solidFill>
              <w14:schemeClr w14:val="tx1"/>
            </w14:solidFill>
          </w14:textFill>
        </w:rPr>
        <w:t>信息发布</w:t>
      </w:r>
      <w:bookmarkEnd w:id="1008"/>
      <w:bookmarkEnd w:id="1009"/>
      <w:bookmarkEnd w:id="101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bookmarkStart w:id="1011" w:name="_Toc11770"/>
      <w:bookmarkStart w:id="1012" w:name="_Toc11008"/>
      <w:bookmarkStart w:id="1013" w:name="_Toc30041"/>
      <w:bookmarkStart w:id="1014" w:name="_Toc2563"/>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w:t>
      </w:r>
      <w:r>
        <w:rPr>
          <w:rFonts w:hint="eastAsia" w:eastAsia="仿宋_GB2312"/>
          <w:color w:val="000000" w:themeColor="text1"/>
          <w:spacing w:val="0"/>
          <w:sz w:val="32"/>
          <w:szCs w:val="32"/>
          <w:highlight w:val="none"/>
          <w14:textFill>
            <w14:solidFill>
              <w14:schemeClr w14:val="tx1"/>
            </w14:solidFill>
          </w14:textFill>
        </w:rPr>
        <w:t>突发事件信息发布</w:t>
      </w:r>
      <w:r>
        <w:rPr>
          <w:rFonts w:hint="eastAsia" w:eastAsia="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4.</w:t>
      </w:r>
      <w:bookmarkEnd w:id="1005"/>
      <w:bookmarkEnd w:id="1006"/>
      <w:bookmarkEnd w:id="1007"/>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6</w:t>
      </w:r>
      <w:r>
        <w:rPr>
          <w:rFonts w:hint="eastAsia" w:ascii="楷体_GB2312" w:hAnsi="仿宋" w:eastAsia="楷体_GB2312" w:cs="Times New Roman"/>
          <w:b/>
          <w:bCs/>
          <w:color w:val="000000" w:themeColor="text1"/>
          <w:spacing w:val="0"/>
          <w:highlight w:val="none"/>
          <w14:textFill>
            <w14:solidFill>
              <w14:schemeClr w14:val="tx1"/>
            </w14:solidFill>
          </w14:textFill>
        </w:rPr>
        <w:t>响应级别调整和终止</w:t>
      </w:r>
      <w:bookmarkEnd w:id="1011"/>
      <w:bookmarkEnd w:id="1012"/>
      <w:bookmarkEnd w:id="1013"/>
      <w:bookmarkEnd w:id="101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w:t>
      </w:r>
      <w:r>
        <w:rPr>
          <w:rFonts w:hint="eastAsia" w:ascii="仿宋_GB2312" w:eastAsia="仿宋_GB2312"/>
          <w:color w:val="000000" w:themeColor="text1"/>
          <w:spacing w:val="0"/>
          <w:sz w:val="32"/>
          <w:szCs w:val="32"/>
          <w:highlight w:val="none"/>
          <w14:textFill>
            <w14:solidFill>
              <w14:schemeClr w14:val="tx1"/>
            </w14:solidFill>
          </w14:textFill>
        </w:rPr>
        <w:t>应急响应至少符合下列条件方可终止</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1</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经论证人员无生还可能</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2</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现场应急救援工作已经结束</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险情得到控制，涉险人员安全离开危险区域并得到安置</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4</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次生灾害基本消除</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5</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有关人民政府解除应急</w:t>
      </w:r>
      <w:r>
        <w:rPr>
          <w:rFonts w:hint="eastAsia" w:ascii="仿宋_GB2312" w:eastAsia="仿宋_GB2312"/>
          <w:color w:val="000000" w:themeColor="text1"/>
          <w:spacing w:val="0"/>
          <w:sz w:val="32"/>
          <w:szCs w:val="32"/>
          <w:highlight w:val="none"/>
          <w:lang w:eastAsia="zh-CN"/>
          <w14:textFill>
            <w14:solidFill>
              <w14:schemeClr w14:val="tx1"/>
            </w14:solidFill>
          </w14:textFill>
        </w:rPr>
        <w:t>响应。</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满足响应终止条件时，由综合协调组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经厅应急办核准，报</w:t>
      </w:r>
      <w:r>
        <w:rPr>
          <w:rFonts w:hint="eastAsia" w:ascii="仿宋_GB2312" w:eastAsia="仿宋_GB2312"/>
          <w:b w:val="0"/>
          <w:bCs w:val="0"/>
          <w:color w:val="000000" w:themeColor="text1"/>
          <w:spacing w:val="0"/>
          <w:sz w:val="32"/>
          <w:szCs w:val="32"/>
          <w:highlight w:val="none"/>
          <w14:textFill>
            <w14:solidFill>
              <w14:schemeClr w14:val="tx1"/>
            </w14:solidFill>
          </w14:textFill>
        </w:rPr>
        <w:t>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同意后实施；并</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 w:eastAsia="仿宋_GB2312"/>
          <w:color w:val="000000" w:themeColor="text1"/>
          <w:spacing w:val="0"/>
          <w:sz w:val="32"/>
          <w:szCs w:val="32"/>
          <w:highlight w:val="none"/>
          <w14:textFill>
            <w14:solidFill>
              <w14:schemeClr w14:val="tx1"/>
            </w14:solidFill>
          </w14:textFill>
        </w:rPr>
        <w:t>县</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区</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级以上地方交通运输主管部门与公路水运工程项目参建单位根据本地区与本项目实际情况，自行制定应急响应终止程序</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015" w:name="_Toc2997"/>
      <w:bookmarkStart w:id="1016" w:name="_Toc21495"/>
      <w:bookmarkStart w:id="1017" w:name="_Toc31710"/>
      <w:bookmarkStart w:id="1018" w:name="_Toc31092"/>
      <w:bookmarkStart w:id="1019" w:name="_Toc506700085"/>
      <w:bookmarkStart w:id="1020" w:name="_Toc531781929"/>
      <w:r>
        <w:rPr>
          <w:rFonts w:hint="eastAsia" w:ascii="楷体_GB2312" w:hAnsi="仿宋" w:eastAsia="楷体_GB2312" w:cs="Times New Roman"/>
          <w:b/>
          <w:bCs/>
          <w:color w:val="000000" w:themeColor="text1"/>
          <w:spacing w:val="0"/>
          <w:highlight w:val="none"/>
          <w14:textFill>
            <w14:solidFill>
              <w14:schemeClr w14:val="tx1"/>
            </w14:solidFill>
          </w14:textFill>
        </w:rPr>
        <w:t>4.</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7后期处置</w:t>
      </w:r>
      <w:bookmarkEnd w:id="1015"/>
      <w:bookmarkEnd w:id="1016"/>
      <w:bookmarkEnd w:id="1017"/>
      <w:bookmarkEnd w:id="1018"/>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021" w:name="_Toc14750"/>
      <w:bookmarkStart w:id="1022" w:name="_Toc2636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4.7.1善后处置</w:t>
      </w:r>
      <w:bookmarkEnd w:id="1019"/>
      <w:bookmarkEnd w:id="1020"/>
      <w:bookmarkEnd w:id="1021"/>
      <w:bookmarkEnd w:id="102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各级交通运输主管部门按职责分工做好</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善后处置</w:t>
      </w:r>
      <w:r>
        <w:rPr>
          <w:rFonts w:hint="eastAsia" w:ascii="仿宋_GB2312" w:eastAsia="仿宋_GB2312"/>
          <w:color w:val="000000" w:themeColor="text1"/>
          <w:spacing w:val="0"/>
          <w:sz w:val="32"/>
          <w:szCs w:val="32"/>
          <w:highlight w:val="none"/>
          <w14:textFill>
            <w14:solidFill>
              <w14:schemeClr w14:val="tx1"/>
            </w14:solidFill>
          </w14:textFill>
        </w:rPr>
        <w:t>工作；同时督促项目参建单位对事故引发的各种潜在危害要组织安全风险评估</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对主要结构物进行监测，在此基础上制定相应的专项施工方案，防止盲目复工，导致次生事故的发生</w:t>
      </w:r>
      <w:bookmarkStart w:id="1023" w:name="_Toc22449"/>
      <w:bookmarkStart w:id="1024" w:name="_Toc2512"/>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4.7.2总结评估</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9"/>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4.7.2.1评估总体要求</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（1）</w:t>
      </w: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应急响应终止后，事发地交通运输主管部门应结合项目上报的应急工作总结，及时总结分析评估，编写应急工作总结、事故应急评估报告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（2）</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Ⅰ级、Ⅱ级</w:t>
      </w: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应急响应终止后，</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厅应急办</w:t>
      </w: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应根据事发地交通运输主管部门的应急工作总结、事故应急评估报告及现场督导情况，编制</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交通运输厅级</w:t>
      </w: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应急总结评估报告，评估应急工作情况，总结经验教训，提出预案改进建议。</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9"/>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r>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w:t>
      </w: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2.2</w:t>
      </w:r>
      <w:r>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评估内容和程序</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（1）</w:t>
      </w: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评估内容</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在充分分析工程风险因素、事故起因、救援经过的基础上，重点评估以下内容</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①预防预警和预控措施；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②项目应急自救效果及能力；</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③信息报送的时效性与准确性；</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instrText xml:space="preserve"> = 4 \* GB3 \* MERGEFORMAT </w:instrTex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事故救援组织机构设置及运行；</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instrText xml:space="preserve"> = 5 \* GB3 \* MERGEFORMAT </w:instrTex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⑤</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现场救援决策、指挥、协调机制及效率；</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instrText xml:space="preserve"> = 6 \* GB3 \* MERGEFORMAT </w:instrTex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⑥</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技术方案及实施情况；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instrText xml:space="preserve"> = 7 \* GB3 \* MERGEFORMAT </w:instrTex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⑦</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应急协作及应急保障。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（2）</w:t>
      </w:r>
      <w:r>
        <w:rPr>
          <w:rFonts w:hint="default"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评估程序</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①搜集评估信息；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②邀请专家协助开展评估；</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③事发地交通运输主管部门编写事故应急评估报告，发生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Ⅲ级</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以上事故，或交通运输厅启动应急响应时，市级交通运输主管部门应于应急响应终止后的30个工作日内将本级部门的应急工作总结、事故应急评估报告向厅应急办报备。</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4.7.3事故调查</w:t>
      </w:r>
      <w:bookmarkEnd w:id="1023"/>
      <w:bookmarkEnd w:id="102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参与事故调查时，应注重从技术调查入手，提供技术咨询，促进事故技术调查更加深入，并为行业监管提供借鉴。重点分析事故发生的工程质量、技术管理等方面的主观因素，以及工程地质、水文、气象等方面的客观因素，并提出行业监管的改进建议等。</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各级交通运输主管部门应当</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积极配合</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各级政府组织的事故调查工作，选派相应的技术专家和应急管理人员参加事故调查工作。</w:t>
      </w:r>
      <w:bookmarkStart w:id="1025" w:name="_Toc506700090"/>
      <w:bookmarkStart w:id="1026" w:name="_Toc531781931"/>
      <w:bookmarkStart w:id="1027" w:name="_Toc50542252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Ⅲ级</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以上事故调查完毕后</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个工作日内，</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市级</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交通运输主管部门应向</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厅应急办</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提交有关技术分析总结材料。</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厅应急办</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应定期收集汇总公路水运工程生产安全事故应急救援典型案例，加强应急救援经验共享，强化警示学习教育</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p>
    <w:bookmarkEnd w:id="1025"/>
    <w:bookmarkEnd w:id="1026"/>
    <w:bookmarkEnd w:id="1027"/>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028" w:name="_Toc531781935"/>
      <w:bookmarkStart w:id="1029" w:name="_Toc18988"/>
      <w:bookmarkStart w:id="1030" w:name="_Toc4107"/>
      <w:bookmarkStart w:id="1031" w:name="_Toc25694"/>
      <w:bookmarkStart w:id="1032" w:name="_Toc16012"/>
      <w:bookmarkStart w:id="1033" w:name="_Toc1776"/>
      <w:bookmarkStart w:id="1034" w:name="_Toc4381"/>
      <w:bookmarkStart w:id="1035" w:name="_Toc836"/>
      <w:bookmarkStart w:id="1036" w:name="_Toc50670009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5.应急保障</w:t>
      </w:r>
      <w:bookmarkEnd w:id="1028"/>
      <w:bookmarkEnd w:id="1029"/>
      <w:bookmarkEnd w:id="1030"/>
      <w:bookmarkEnd w:id="1031"/>
      <w:bookmarkEnd w:id="1032"/>
      <w:bookmarkEnd w:id="1033"/>
      <w:bookmarkEnd w:id="1034"/>
      <w:bookmarkEnd w:id="1035"/>
      <w:bookmarkEnd w:id="1036"/>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037" w:name="_Toc29545"/>
      <w:bookmarkStart w:id="1038" w:name="_Toc4836"/>
      <w:bookmarkStart w:id="1039" w:name="_Toc16023"/>
      <w:bookmarkStart w:id="1040" w:name="_Toc6686"/>
      <w:bookmarkStart w:id="1041" w:name="_Toc531781936"/>
      <w:bookmarkStart w:id="1042" w:name="_Hlk85726168"/>
      <w:bookmarkStart w:id="1043" w:name="_Toc506700095"/>
      <w:r>
        <w:rPr>
          <w:rFonts w:hint="eastAsia" w:ascii="楷体_GB2312" w:hAnsi="仿宋" w:eastAsia="楷体_GB2312" w:cs="Times New Roman"/>
          <w:b/>
          <w:bCs/>
          <w:color w:val="000000" w:themeColor="text1"/>
          <w:spacing w:val="0"/>
          <w:highlight w:val="none"/>
          <w14:textFill>
            <w14:solidFill>
              <w14:schemeClr w14:val="tx1"/>
            </w14:solidFill>
          </w14:textFill>
        </w:rPr>
        <w:t>5.1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应急队伍保障</w:t>
      </w:r>
      <w:bookmarkEnd w:id="1037"/>
      <w:bookmarkEnd w:id="1038"/>
      <w:bookmarkEnd w:id="1039"/>
      <w:bookmarkEnd w:id="104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交通运输厅指导</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交通运输行业应急力量建设，组织开展应急救援队伍和应急装备调查，完善应急资源信息数据库。</w:t>
      </w:r>
    </w:p>
    <w:bookmarkEnd w:id="1041"/>
    <w:bookmarkEnd w:id="1042"/>
    <w:bookmarkEnd w:id="1043"/>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公路水运工程应急救援队伍建设遵循“专兼结合、上下联动”的原则。建设单位应发挥施工单位的自救能力，充分了解本项目可调配的应急救援人力和物力，建立</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专职或</w:t>
      </w:r>
      <w:r>
        <w:rPr>
          <w:rFonts w:hint="eastAsia" w:ascii="仿宋_GB2312" w:eastAsia="仿宋_GB2312"/>
          <w:color w:val="000000" w:themeColor="text1"/>
          <w:spacing w:val="0"/>
          <w:sz w:val="32"/>
          <w:szCs w:val="32"/>
          <w:highlight w:val="none"/>
          <w14:textFill>
            <w14:solidFill>
              <w14:schemeClr w14:val="tx1"/>
            </w14:solidFill>
          </w14:textFill>
        </w:rPr>
        <w:t>兼职的抢险救援队伍和救援设备力量，或与社会专业救援队伍签订救援协议。</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县</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区</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级以上地方交通运输主管部门应建立应急值班制度配备应急值班人员。重视公路水运工程应急技术专家库、应急救援队伍建设与管理</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应急技术专家：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eastAsia="仿宋_GB2312"/>
          <w:color w:val="000000" w:themeColor="text1"/>
          <w:spacing w:val="0"/>
          <w:sz w:val="32"/>
          <w:szCs w:val="32"/>
          <w:highlight w:val="none"/>
          <w:lang w:eastAsia="zh-CN"/>
          <w14:textFill>
            <w14:solidFill>
              <w14:schemeClr w14:val="tx1"/>
            </w14:solidFill>
          </w14:textFill>
        </w:rPr>
        <w:t>组建公路水运工程建设领域安全生产应急专家库，由从事科研、勘察、设计、施工、监理、安全等专业的技术专家组成，</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eastAsia="仿宋_GB2312"/>
          <w:color w:val="000000" w:themeColor="text1"/>
          <w:spacing w:val="0"/>
          <w:sz w:val="32"/>
          <w:szCs w:val="32"/>
          <w:highlight w:val="none"/>
          <w:lang w:eastAsia="zh-CN"/>
          <w14:textFill>
            <w14:solidFill>
              <w14:schemeClr w14:val="tx1"/>
            </w14:solidFill>
          </w14:textFill>
        </w:rPr>
        <w:t>建立应急专家会商机制；应急技术专家按照</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应急专家工作规则的要求，为事故分析评估、现场应急救援及灾后恢复重建等提供咨询意见。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各级</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交通运输主管部门根据应急处置需求可提请</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厅应急办</w:t>
      </w:r>
      <w:r>
        <w:rPr>
          <w:rFonts w:hint="eastAsia" w:ascii="仿宋_GB2312" w:eastAsia="仿宋_GB2312"/>
          <w:color w:val="000000" w:themeColor="text1"/>
          <w:spacing w:val="0"/>
          <w:sz w:val="32"/>
          <w:szCs w:val="32"/>
          <w:highlight w:val="none"/>
          <w:lang w:eastAsia="zh-CN"/>
          <w14:textFill>
            <w14:solidFill>
              <w14:schemeClr w14:val="tx1"/>
            </w14:solidFill>
          </w14:textFill>
        </w:rPr>
        <w:t>协助选派</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应急专家。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自治区交通运输厅可提请部安质司协助选派部应急专家。</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default" w:ascii="仿宋_GB2312"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（2）</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应急救援队伍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县</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（区）</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级以上地方交通运输主管部门根据本地区公路水运工程特点及存在的主要风险</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生产安全事故应急工作的实际需要，应有针对性地了解、掌握本地区及邻近地区的专业</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兼职</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抢险救援队伍分布情况，结合工作实际组织建立或依托有条件的公路水运工程项目参建单位、社会组织共同建立应急救援队伍。公路水运工程项目参建单位应建立应急救援队伍，或指定兼职的应急救援人员，并且可以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邻近</w:t>
      </w:r>
      <w:r>
        <w:rPr>
          <w:rFonts w:hint="default" w:ascii="仿宋_GB2312" w:eastAsia="仿宋_GB2312"/>
          <w:color w:val="000000" w:themeColor="text1"/>
          <w:spacing w:val="0"/>
          <w:sz w:val="32"/>
          <w:szCs w:val="32"/>
          <w:highlight w:val="none"/>
          <w:lang w:val="en-US" w:eastAsia="zh-CN"/>
          <w14:textFill>
            <w14:solidFill>
              <w14:schemeClr w14:val="tx1"/>
            </w14:solidFill>
          </w14:textFill>
        </w:rPr>
        <w:t>应急救援队伍签订应急救援协议。</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044" w:name="_Toc25682"/>
      <w:bookmarkStart w:id="1045" w:name="_Toc713"/>
      <w:bookmarkStart w:id="1046" w:name="_Toc1365"/>
      <w:bookmarkStart w:id="1047" w:name="_Toc327"/>
      <w:bookmarkStart w:id="1048" w:name="_Toc7885"/>
      <w:bookmarkStart w:id="1049" w:name="_Toc531781937"/>
      <w:bookmarkStart w:id="1050" w:name="_Toc506700096"/>
      <w:r>
        <w:rPr>
          <w:rFonts w:hint="eastAsia" w:ascii="楷体_GB2312" w:hAnsi="仿宋" w:eastAsia="楷体_GB2312" w:cs="Times New Roman"/>
          <w:b/>
          <w:bCs/>
          <w:color w:val="000000" w:themeColor="text1"/>
          <w:spacing w:val="0"/>
          <w:highlight w:val="none"/>
          <w14:textFill>
            <w14:solidFill>
              <w14:schemeClr w14:val="tx1"/>
            </w14:solidFill>
          </w14:textFill>
        </w:rPr>
        <w:t>5.</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应急资金保障</w:t>
      </w:r>
      <w:bookmarkEnd w:id="1044"/>
      <w:bookmarkEnd w:id="1045"/>
      <w:bookmarkEnd w:id="1046"/>
      <w:bookmarkEnd w:id="1047"/>
      <w:bookmarkEnd w:id="1048"/>
    </w:p>
    <w:bookmarkEnd w:id="1049"/>
    <w:bookmarkEnd w:id="1050"/>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1</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各级交通运输主管部门应按规定使用和管理好应急专项资金和费用，编制应急资金年度预算</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2</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项目建设、施工单位应建立应急资金保障制度，健全完善转移避险资金补助办法，按照国家有关规定设立、提取和使用安全生产专项费用。监理单位应加强对施工单位应急资金使用台账的审核</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3</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县</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区</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级以上地方交通运输主管部门和项目参建单位应为其组建的应急救援队伍购买人身意外伤害保险，配备必要的防护装备和器材，防范和减少应急救援人员的人身伤害风险</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051" w:name="_Toc7950"/>
      <w:bookmarkStart w:id="1052" w:name="_Toc20539"/>
      <w:bookmarkStart w:id="1053" w:name="_Toc29567"/>
      <w:bookmarkStart w:id="1054" w:name="_Toc2560"/>
      <w:bookmarkStart w:id="1055" w:name="_Toc531781938"/>
      <w:bookmarkStart w:id="1056" w:name="_Toc506700097"/>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highlight w:val="none"/>
          <w14:textFill>
            <w14:solidFill>
              <w14:schemeClr w14:val="tx1"/>
            </w14:solidFill>
          </w14:textFill>
        </w:rPr>
        <w:t>.</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应急物资</w:t>
      </w:r>
      <w:bookmarkEnd w:id="1051"/>
      <w:bookmarkEnd w:id="1052"/>
      <w:bookmarkEnd w:id="1053"/>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各级交通运输主管部门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和公路管理中心</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要建立应急物资装备信息数据库，明确物资装备的类型、数量、性能和存放位置，建立相应的维护、保养和调用制度，确保事发时能够应急使用。</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县</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区</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级以上地方交通运输主管部门应指导、督促项目建立应急物资配置清单，根据项目可能发生的生产安全事故的特点和危害，配备必要的灭火、排水、通风等应急救援器材、设备和物资，并进行经常性维护、保养，保证正常运转。鼓励公路水运工程项目加强对应急监测、预防预警、应急救援先进技术的研发和推广应用，提高应急处置能力水平</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p>
    <w:bookmarkEnd w:id="1054"/>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057" w:name="_Toc30033"/>
      <w:bookmarkStart w:id="1058" w:name="_Toc29320"/>
      <w:bookmarkStart w:id="1059" w:name="_Toc18511"/>
      <w:bookmarkStart w:id="1060" w:name="_Toc32352"/>
      <w:r>
        <w:rPr>
          <w:rFonts w:hint="eastAsia" w:ascii="楷体_GB2312" w:hAnsi="仿宋" w:eastAsia="楷体_GB2312" w:cs="Times New Roman"/>
          <w:b/>
          <w:bCs/>
          <w:color w:val="000000" w:themeColor="text1"/>
          <w:spacing w:val="0"/>
          <w:highlight w:val="none"/>
          <w14:textFill>
            <w14:solidFill>
              <w14:schemeClr w14:val="tx1"/>
            </w14:solidFill>
          </w14:textFill>
        </w:rPr>
        <w:t>5.</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r>
        <w:rPr>
          <w:rFonts w:hint="eastAsia" w:ascii="楷体_GB2312" w:hAnsi="仿宋" w:eastAsia="楷体_GB2312" w:cs="Times New Roman"/>
          <w:b/>
          <w:bCs/>
          <w:color w:val="000000" w:themeColor="text1"/>
          <w:spacing w:val="0"/>
          <w:highlight w:val="none"/>
          <w14:textFill>
            <w14:solidFill>
              <w14:schemeClr w14:val="tx1"/>
            </w14:solidFill>
          </w14:textFill>
        </w:rPr>
        <w:t>培训</w:t>
      </w:r>
      <w:bookmarkEnd w:id="1055"/>
      <w:bookmarkEnd w:id="105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和演练</w:t>
      </w:r>
      <w:bookmarkEnd w:id="1057"/>
      <w:bookmarkEnd w:id="1058"/>
      <w:bookmarkEnd w:id="1059"/>
      <w:bookmarkEnd w:id="1060"/>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061" w:name="_Toc245618760"/>
      <w:bookmarkStart w:id="1062" w:name="_Toc15478"/>
      <w:bookmarkStart w:id="1063" w:name="_Toc21647"/>
      <w:bookmarkStart w:id="1064" w:name="_Toc2713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5.4.1培训</w:t>
      </w:r>
      <w:bookmarkEnd w:id="1061"/>
      <w:bookmarkEnd w:id="1062"/>
      <w:bookmarkEnd w:id="1063"/>
      <w:bookmarkEnd w:id="106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bookmarkStart w:id="1065" w:name="_Toc245618761"/>
      <w:r>
        <w:rPr>
          <w:rFonts w:hint="eastAsia" w:ascii="仿宋_GB2312" w:eastAsia="仿宋_GB2312"/>
          <w:color w:val="000000" w:themeColor="text1"/>
          <w:spacing w:val="0"/>
          <w:sz w:val="32"/>
          <w:szCs w:val="32"/>
          <w:highlight w:val="none"/>
          <w14:textFill>
            <w14:solidFill>
              <w14:schemeClr w14:val="tx1"/>
            </w14:solidFill>
          </w14:textFill>
        </w:rPr>
        <w:t>项目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参建单位</w:t>
      </w:r>
      <w:r>
        <w:rPr>
          <w:rFonts w:hint="eastAsia" w:ascii="仿宋_GB2312" w:eastAsia="仿宋_GB2312"/>
          <w:color w:val="000000" w:themeColor="text1"/>
          <w:spacing w:val="0"/>
          <w:sz w:val="32"/>
          <w:szCs w:val="32"/>
          <w:highlight w:val="none"/>
          <w14:textFill>
            <w14:solidFill>
              <w14:schemeClr w14:val="tx1"/>
            </w14:solidFill>
          </w14:textFill>
        </w:rPr>
        <w:t>应将应急培训纳入项目年度培训计划，有计划地对管理人员，尤其是施工一线工人进行培训，提高其专业技能</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有效开展应急知识培训宣传教育，切实提高一线人员的应急逃生及避险技能。</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066" w:name="_Toc22823"/>
      <w:bookmarkStart w:id="1067" w:name="_Toc8658"/>
      <w:bookmarkStart w:id="1068" w:name="_Toc21603"/>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5.4.2演练</w:t>
      </w:r>
      <w:bookmarkEnd w:id="1065"/>
      <w:bookmarkEnd w:id="1066"/>
      <w:bookmarkEnd w:id="1067"/>
      <w:bookmarkEnd w:id="106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县</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区</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级以上交通运输主管部门应</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w:t>
      </w:r>
      <w:r>
        <w:rPr>
          <w:rFonts w:hint="eastAsia" w:ascii="仿宋_GB2312" w:hAnsi="Calibri" w:eastAsia="仿宋_GB2312"/>
          <w:color w:val="000000" w:themeColor="text1"/>
          <w:spacing w:val="0"/>
          <w:sz w:val="32"/>
          <w:szCs w:val="32"/>
          <w:highlight w:val="none"/>
          <w14:textFill>
            <w14:solidFill>
              <w14:schemeClr w14:val="tx1"/>
            </w14:solidFill>
          </w14:textFill>
        </w:rPr>
        <w:t>公路水运工程生产安全事故应急预案演练，加强对本区域内重点项目的生产安全事故应急预案演练进行抽查，发现演练不符合要求的，应责令限期改正。</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color w:val="000000" w:themeColor="text1"/>
          <w:spacing w:val="0"/>
          <w:sz w:val="32"/>
          <w:szCs w:val="32"/>
          <w:highlight w:val="none"/>
          <w14:textFill>
            <w14:solidFill>
              <w14:schemeClr w14:val="tx1"/>
            </w14:solidFill>
          </w14:textFill>
        </w:rPr>
      </w:pPr>
      <w:r>
        <w:rPr>
          <w:rFonts w:hint="eastAsia" w:ascii="仿宋_GB2312" w:hAnsi="Calibri" w:eastAsia="仿宋_GB2312"/>
          <w:color w:val="000000" w:themeColor="text1"/>
          <w:spacing w:val="0"/>
          <w:sz w:val="32"/>
          <w:szCs w:val="32"/>
          <w:highlight w:val="none"/>
          <w14:textFill>
            <w14:solidFill>
              <w14:schemeClr w14:val="tx1"/>
            </w14:solidFill>
          </w14:textFill>
        </w:rPr>
        <w:t>项目参建单位应每半年至少组织1次公路水运工程生产安全事故应急预案演练，并将演练情况报送项目直接监管的交通运输主管部门、项目所在地县</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区</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color w:val="000000" w:themeColor="text1"/>
          <w:spacing w:val="0"/>
          <w:sz w:val="32"/>
          <w:szCs w:val="32"/>
          <w:highlight w:val="none"/>
          <w14:textFill>
            <w14:solidFill>
              <w14:schemeClr w14:val="tx1"/>
            </w14:solidFill>
          </w14:textFill>
        </w:rPr>
        <w:t>级以上地方交通运输主管部门。</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069" w:name="_Toc17346"/>
      <w:bookmarkStart w:id="1070" w:name="_Toc2728"/>
      <w:bookmarkStart w:id="1071" w:name="_Toc23567"/>
      <w:bookmarkStart w:id="1072" w:name="_Toc8415"/>
      <w:bookmarkStart w:id="1073" w:name="_Toc17545"/>
      <w:bookmarkStart w:id="1074" w:name="_Toc13165"/>
      <w:bookmarkStart w:id="1075" w:name="_Toc97"/>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6.附则</w:t>
      </w:r>
      <w:bookmarkEnd w:id="1069"/>
      <w:bookmarkEnd w:id="1070"/>
      <w:bookmarkEnd w:id="1071"/>
      <w:bookmarkEnd w:id="1072"/>
      <w:bookmarkEnd w:id="1073"/>
      <w:bookmarkEnd w:id="1074"/>
      <w:bookmarkEnd w:id="1075"/>
      <w:bookmarkStart w:id="1076" w:name="_Toc27476"/>
      <w:bookmarkStart w:id="1077" w:name="_Toc506700102"/>
      <w:bookmarkStart w:id="1078" w:name="_Toc6137"/>
      <w:bookmarkStart w:id="1079" w:name="_Toc15576"/>
      <w:bookmarkStart w:id="1080" w:name="_Toc30637"/>
      <w:bookmarkStart w:id="1081" w:name="_Toc531781943"/>
    </w:p>
    <w:p>
      <w:pPr>
        <w:pStyle w:val="6"/>
        <w:keepNext w:val="0"/>
        <w:keepLines w:val="0"/>
        <w:pageBreakBefore w:val="0"/>
        <w:widowControl w:val="0"/>
        <w:numPr>
          <w:ilvl w:val="0"/>
          <w:numId w:val="0"/>
        </w:numPr>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6.1预案评审</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项目</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应急预案应根据工程实际情况</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组织开展应急预案评审。评审可邀请工程技术、安全生产、应急管理等有关专家参加。预案评审时应考虑应急预案的实用性、基本要素的完整性、组织体系的科学性、响应程序的可操作性、主要事故风险分析的合理性、应急预案间的衔接性、应急资源配置的全面性、应急措施的针对性、应急预案管理要求符合性等</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内容。</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项目综合应急预案应与本单位的上级部门、属地政府和直接监管的交通运输主管部门的预案相衔接。同一个项目相邻或邻近合同段的施工专项应急预案应体现预警信息共享和应急救援互助等要求。</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6.</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r>
        <w:rPr>
          <w:rFonts w:hint="eastAsia" w:ascii="楷体_GB2312" w:hAnsi="仿宋" w:eastAsia="楷体_GB2312" w:cs="Times New Roman"/>
          <w:b/>
          <w:bCs/>
          <w:color w:val="000000" w:themeColor="text1"/>
          <w:spacing w:val="0"/>
          <w:highlight w:val="none"/>
          <w14:textFill>
            <w14:solidFill>
              <w14:schemeClr w14:val="tx1"/>
            </w14:solidFill>
          </w14:textFill>
        </w:rPr>
        <w:t>预案备案</w:t>
      </w:r>
      <w:bookmarkEnd w:id="1076"/>
      <w:bookmarkEnd w:id="1077"/>
      <w:bookmarkEnd w:id="1078"/>
      <w:bookmarkEnd w:id="1079"/>
      <w:bookmarkEnd w:id="1080"/>
      <w:bookmarkEnd w:id="108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公路水运工程项目综合应急预案按规定向直接监管的交通运输管理部门和项目所在地县</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区</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级以上地方交通运输主管部门备案。</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施工单位制定的合同段施工专项应急预案和现场处置方案应向项目建设单位及其上级单位备案。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082" w:name="_Toc4334"/>
      <w:bookmarkStart w:id="1083" w:name="_Toc32463"/>
      <w:bookmarkStart w:id="1084" w:name="_Toc28961"/>
      <w:bookmarkStart w:id="1085" w:name="_Toc637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6.3涉险事故定义</w:t>
      </w:r>
      <w:bookmarkEnd w:id="1082"/>
      <w:bookmarkEnd w:id="1083"/>
      <w:bookmarkEnd w:id="1084"/>
      <w:bookmarkEnd w:id="108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）重大、较大涉险事故依据原国家安全监管总局《安全生产信息报告和统计工作规范》进行分级。</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大涉险事故：涉险10人以上的事故；造成10人以上被困或下落不明的事故；紧急疏散人员5000人以上和住院观察50人以上的事故；可能升级为重大事故的较大事故；有可能造成5000万元以上直接经济损失的事故；其他重大涉险事故。</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）较大涉险事故：涉险3人以上10人以下的事故；造成3人以上10人以下被困或下落不明的事故；紧急疏散人员500人以上5000人以下和住院观察10人以上50人以下的事故；其他较大涉险事故。</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“以上”包括本数，“以下”不包括本数。</w:t>
      </w:r>
    </w:p>
    <w:p>
      <w:pPr>
        <w:keepNext w:val="0"/>
        <w:pageBreakBefore w:val="0"/>
        <w:widowControl w:val="0"/>
        <w:kinsoku/>
        <w:topLinePunct/>
        <w:bidi w:val="0"/>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br w:type="page"/>
      </w:r>
    </w:p>
    <w:p>
      <w:pPr>
        <w:keepNext w:val="0"/>
        <w:pageBreakBefore w:val="0"/>
        <w:widowControl w:val="0"/>
        <w:kinsoku/>
        <w:topLinePunct/>
        <w:bidi w:val="0"/>
        <w:jc w:val="cente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t>公路水运工程生产安全事故应急处置流程</w:t>
      </w:r>
    </w:p>
    <w:p>
      <w:pPr>
        <w:keepNext w:val="0"/>
        <w:pageBreakBefore w:val="0"/>
        <w:widowControl w:val="0"/>
        <w:kinsoku/>
        <w:topLinePunct/>
        <w:bidi w:val="0"/>
        <w:jc w:val="cente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drawing>
          <wp:inline distT="0" distB="0" distL="114300" distR="114300">
            <wp:extent cx="5267325" cy="7028180"/>
            <wp:effectExtent l="0" t="0" r="3175" b="7620"/>
            <wp:docPr id="39" name="图片 39" descr="公路水运工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路水运工程流程"/>
                    <pic:cNvPicPr>
                      <a:picLocks noChangeAspect="1"/>
                    </pic:cNvPicPr>
                  </pic:nvPicPr>
                  <pic:blipFill>
                    <a:blip r:embed="rId20"/>
                    <a:stretch>
                      <a:fillRect/>
                    </a:stretch>
                  </pic:blipFill>
                  <pic:spPr>
                    <a:xfrm>
                      <a:off x="0" y="0"/>
                      <a:ext cx="5267325" cy="7028180"/>
                    </a:xfrm>
                    <a:prstGeom prst="rect">
                      <a:avLst/>
                    </a:prstGeom>
                  </pic:spPr>
                </pic:pic>
              </a:graphicData>
            </a:graphic>
          </wp:inline>
        </w:drawing>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sectPr>
          <w:footerReference r:id="rId7" w:type="default"/>
          <w:pgSz w:w="11906" w:h="16838"/>
          <w:pgMar w:top="1440" w:right="1803" w:bottom="1440" w:left="1803" w:header="851" w:footer="992" w:gutter="0"/>
          <w:pgNumType w:fmt="numberInDash"/>
          <w:cols w:space="0" w:num="1"/>
          <w:rtlGutter w:val="0"/>
          <w:docGrid w:type="lines" w:linePitch="322" w:charSpace="0"/>
        </w:sectPr>
      </w:pPr>
      <w:bookmarkStart w:id="1086" w:name="_Toc19053"/>
      <w:bookmarkStart w:id="1087" w:name="_Toc6707"/>
      <w:bookmarkStart w:id="1088" w:name="_Toc29891"/>
      <w:bookmarkStart w:id="1089" w:name="_Toc27950"/>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1090" w:name="_Toc4517"/>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5、</w:t>
      </w:r>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宁夏回族自治区交通运输厅低温雨雪冰冻</w:t>
      </w:r>
      <w:bookmarkEnd w:id="1090"/>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仿宋_GB2312" w:hAnsi="仿宋_GB2312" w:eastAsia="仿宋_GB2312" w:cs="仿宋_GB2312"/>
          <w:b w:val="0"/>
          <w:bCs/>
          <w:color w:val="000000" w:themeColor="text1"/>
          <w:spacing w:val="0"/>
          <w:sz w:val="44"/>
          <w:szCs w:val="44"/>
          <w:highlight w:val="none"/>
          <w:lang w:val="en-US" w:eastAsia="zh-CN"/>
          <w14:textFill>
            <w14:solidFill>
              <w14:schemeClr w14:val="tx1"/>
            </w14:solidFill>
          </w14:textFill>
        </w:rPr>
      </w:pPr>
      <w:bookmarkStart w:id="1091" w:name="_Toc32099"/>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天气应急预案</w:t>
      </w:r>
      <w:bookmarkEnd w:id="1086"/>
      <w:bookmarkEnd w:id="1091"/>
    </w:p>
    <w:p>
      <w:pPr>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9"/>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092" w:name="_Toc23725"/>
      <w:bookmarkStart w:id="1093" w:name="_Toc26345"/>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094" w:name="_Toc2710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1092"/>
      <w:bookmarkEnd w:id="1093"/>
      <w:bookmarkEnd w:id="1094"/>
    </w:p>
    <w:p>
      <w:pPr>
        <w:pStyle w:val="6"/>
        <w:keepNext w:val="0"/>
        <w:keepLines w:val="0"/>
        <w:pageBreakBefore w:val="0"/>
        <w:widowControl w:val="0"/>
        <w:kinsoku/>
        <w:wordWrap/>
        <w:overflowPunct w:val="0"/>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sz w:val="32"/>
          <w:szCs w:val="32"/>
          <w:highlight w:val="none"/>
          <w14:textFill>
            <w14:solidFill>
              <w14:schemeClr w14:val="tx1"/>
            </w14:solidFill>
          </w14:textFill>
        </w:rPr>
      </w:pPr>
      <w:bookmarkStart w:id="1095" w:name="_Toc11286"/>
      <w:bookmarkStart w:id="1096" w:name="_Toc21961"/>
      <w:bookmarkStart w:id="1097" w:name="_Toc32597"/>
      <w:bookmarkStart w:id="1098" w:name="_Toc30448"/>
      <w:bookmarkStart w:id="1099" w:name="_Toc15715"/>
      <w:bookmarkStart w:id="1100" w:name="_Toc31427"/>
      <w:bookmarkStart w:id="1101" w:name="_Toc170914121"/>
      <w:bookmarkStart w:id="1102" w:name="_Toc16722"/>
      <w:r>
        <w:rPr>
          <w:rFonts w:ascii="楷体_GB2312" w:hAnsi="仿宋" w:eastAsia="楷体_GB2312"/>
          <w:color w:val="000000" w:themeColor="text1"/>
          <w:sz w:val="32"/>
          <w:szCs w:val="32"/>
          <w:highlight w:val="none"/>
          <w14:textFill>
            <w14:solidFill>
              <w14:schemeClr w14:val="tx1"/>
            </w14:solidFill>
          </w14:textFill>
        </w:rPr>
        <w:t>1.1</w:t>
      </w:r>
      <w:r>
        <w:rPr>
          <w:rFonts w:hint="eastAsia" w:ascii="楷体_GB2312" w:hAnsi="仿宋" w:eastAsia="楷体_GB2312"/>
          <w:color w:val="000000" w:themeColor="text1"/>
          <w:sz w:val="32"/>
          <w:szCs w:val="32"/>
          <w:highlight w:val="none"/>
          <w14:textFill>
            <w14:solidFill>
              <w14:schemeClr w14:val="tx1"/>
            </w14:solidFill>
          </w14:textFill>
        </w:rPr>
        <w:t>指导思想</w:t>
      </w:r>
      <w:bookmarkEnd w:id="1095"/>
      <w:bookmarkEnd w:id="1096"/>
      <w:bookmarkEnd w:id="1097"/>
      <w:bookmarkEnd w:id="1098"/>
      <w:bookmarkEnd w:id="1099"/>
      <w:bookmarkEnd w:id="1100"/>
      <w:bookmarkEnd w:id="1101"/>
      <w:bookmarkEnd w:id="1102"/>
    </w:p>
    <w:p>
      <w:pPr>
        <w:keepNext w:val="0"/>
        <w:keepLines w:val="0"/>
        <w:pageBreakBefore w:val="0"/>
        <w:widowControl w:val="0"/>
        <w:numPr>
          <w:ilvl w:val="255"/>
          <w:numId w:val="0"/>
        </w:numPr>
        <w:kinsoku/>
        <w:wordWrap/>
        <w:overflowPunct w:val="0"/>
        <w:topLinePunct/>
        <w:autoSpaceDE/>
        <w:autoSpaceDN/>
        <w:bidi w:val="0"/>
        <w:adjustRightInd/>
        <w:snapToGrid/>
        <w:spacing w:line="600" w:lineRule="exact"/>
        <w:ind w:firstLine="640" w:firstLineChars="200"/>
        <w:jc w:val="both"/>
        <w:textAlignment w:val="auto"/>
        <w:rPr>
          <w:rFonts w:ascii="黑体" w:hAnsi="黑体" w:eastAsia="黑体"/>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以习近平新时代中国特色社会主义思想为指导，坚定不移贯彻习近平总书记关于防灾减灾救灾的重要论述，按照党中央、国务院决策部署，坚持以人民为中心，坚持人民至上、生命至上。</w:t>
      </w:r>
    </w:p>
    <w:p>
      <w:pPr>
        <w:pStyle w:val="6"/>
        <w:keepNext w:val="0"/>
        <w:keepLines w:val="0"/>
        <w:pageBreakBefore w:val="0"/>
        <w:widowControl w:val="0"/>
        <w:kinsoku/>
        <w:wordWrap/>
        <w:overflowPunct w:val="0"/>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sz w:val="32"/>
          <w:szCs w:val="32"/>
          <w:highlight w:val="none"/>
          <w14:textFill>
            <w14:solidFill>
              <w14:schemeClr w14:val="tx1"/>
            </w14:solidFill>
          </w14:textFill>
        </w:rPr>
      </w:pPr>
      <w:bookmarkStart w:id="1103" w:name="_Toc8249"/>
      <w:bookmarkStart w:id="1104" w:name="_Toc531771733"/>
      <w:bookmarkStart w:id="1105" w:name="_Toc12782"/>
      <w:bookmarkStart w:id="1106" w:name="_Toc506699880"/>
      <w:bookmarkStart w:id="1107" w:name="_Toc22238"/>
      <w:bookmarkStart w:id="1108" w:name="_Toc170914122"/>
      <w:bookmarkStart w:id="1109" w:name="_Toc22010"/>
      <w:bookmarkStart w:id="1110" w:name="_Toc15042"/>
      <w:bookmarkStart w:id="1111" w:name="_Toc18975"/>
      <w:bookmarkStart w:id="1112" w:name="_Toc1172"/>
      <w:bookmarkStart w:id="1113" w:name="_Toc15808"/>
      <w:bookmarkStart w:id="1114" w:name="_Toc30820"/>
      <w:bookmarkStart w:id="1115" w:name="_Toc24258"/>
      <w:r>
        <w:rPr>
          <w:rFonts w:ascii="楷体_GB2312" w:hAnsi="仿宋" w:eastAsia="楷体_GB2312"/>
          <w:color w:val="000000" w:themeColor="text1"/>
          <w:sz w:val="32"/>
          <w:szCs w:val="32"/>
          <w:highlight w:val="none"/>
          <w14:textFill>
            <w14:solidFill>
              <w14:schemeClr w14:val="tx1"/>
            </w14:solidFill>
          </w14:textFill>
        </w:rPr>
        <w:t>1.</w:t>
      </w:r>
      <w:r>
        <w:rPr>
          <w:rFonts w:hint="eastAsia" w:ascii="楷体_GB2312" w:hAnsi="仿宋" w:eastAsia="楷体_GB2312"/>
          <w:color w:val="000000" w:themeColor="text1"/>
          <w:sz w:val="32"/>
          <w:szCs w:val="32"/>
          <w:highlight w:val="none"/>
          <w14:textFill>
            <w14:solidFill>
              <w14:schemeClr w14:val="tx1"/>
            </w14:solidFill>
          </w14:textFill>
        </w:rPr>
        <w:t>2编制目的</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为规范和加强宁夏对公路交通低温雨雪冰冻灾害的应急管理工作，建立完善应急管理体制和机制，提高突发事件应对和处置能力，控制、减轻和消除公路交通低温雨雪冰冻灾害引起的严重社会危害，维护公路交通正常运行，保障公路畅通，制定本预案。</w:t>
      </w:r>
    </w:p>
    <w:p>
      <w:pPr>
        <w:pStyle w:val="6"/>
        <w:keepNext w:val="0"/>
        <w:keepLines w:val="0"/>
        <w:pageBreakBefore w:val="0"/>
        <w:widowControl w:val="0"/>
        <w:kinsoku/>
        <w:wordWrap/>
        <w:overflowPunct w:val="0"/>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sz w:val="32"/>
          <w:szCs w:val="32"/>
          <w:highlight w:val="none"/>
          <w14:textFill>
            <w14:solidFill>
              <w14:schemeClr w14:val="tx1"/>
            </w14:solidFill>
          </w14:textFill>
        </w:rPr>
      </w:pPr>
      <w:bookmarkStart w:id="1116" w:name="_Toc3593"/>
      <w:bookmarkStart w:id="1117" w:name="_Toc6084"/>
      <w:bookmarkStart w:id="1118" w:name="_Toc18781"/>
      <w:bookmarkStart w:id="1119" w:name="_Toc25042"/>
      <w:bookmarkStart w:id="1120" w:name="_Toc170914123"/>
      <w:bookmarkStart w:id="1121" w:name="_Toc708"/>
      <w:bookmarkStart w:id="1122" w:name="_Toc430"/>
      <w:bookmarkStart w:id="1123" w:name="_Toc24435"/>
      <w:bookmarkStart w:id="1124" w:name="_Toc29917"/>
      <w:bookmarkStart w:id="1125" w:name="_Toc18928"/>
      <w:bookmarkStart w:id="1126" w:name="_Toc17140"/>
      <w:r>
        <w:rPr>
          <w:rFonts w:ascii="楷体_GB2312" w:hAnsi="仿宋" w:eastAsia="楷体_GB2312"/>
          <w:color w:val="000000" w:themeColor="text1"/>
          <w:sz w:val="32"/>
          <w:szCs w:val="32"/>
          <w:highlight w:val="none"/>
          <w14:textFill>
            <w14:solidFill>
              <w14:schemeClr w14:val="tx1"/>
            </w14:solidFill>
          </w14:textFill>
        </w:rPr>
        <w:t>1.</w:t>
      </w:r>
      <w:r>
        <w:rPr>
          <w:rFonts w:hint="eastAsia" w:ascii="楷体_GB2312" w:hAnsi="仿宋" w:eastAsia="楷体_GB2312"/>
          <w:color w:val="000000" w:themeColor="text1"/>
          <w:sz w:val="32"/>
          <w:szCs w:val="32"/>
          <w:highlight w:val="none"/>
          <w14:textFill>
            <w14:solidFill>
              <w14:schemeClr w14:val="tx1"/>
            </w14:solidFill>
          </w14:textFill>
        </w:rPr>
        <w:t>3编制依据</w:t>
      </w:r>
      <w:bookmarkEnd w:id="1116"/>
      <w:bookmarkEnd w:id="1117"/>
      <w:bookmarkEnd w:id="1118"/>
      <w:bookmarkEnd w:id="1119"/>
      <w:bookmarkEnd w:id="1120"/>
      <w:bookmarkEnd w:id="1121"/>
      <w:bookmarkEnd w:id="1122"/>
      <w:bookmarkEnd w:id="1123"/>
      <w:bookmarkEnd w:id="1124"/>
      <w:bookmarkEnd w:id="1125"/>
      <w:bookmarkEnd w:id="1126"/>
    </w:p>
    <w:p>
      <w:pPr>
        <w:keepNext w:val="0"/>
        <w:keepLines w:val="0"/>
        <w:pageBreakBefore w:val="0"/>
        <w:widowControl w:val="0"/>
        <w:kinsoku/>
        <w:wordWrap/>
        <w:overflowPunct w:val="0"/>
        <w:topLinePunct/>
        <w:autoSpaceDE/>
        <w:autoSpaceDN/>
        <w:bidi w:val="0"/>
        <w:adjustRightInd w:val="0"/>
        <w:snapToGrid w:val="0"/>
        <w:spacing w:line="600" w:lineRule="exact"/>
        <w:ind w:firstLine="642" w:firstLineChars="200"/>
        <w:jc w:val="both"/>
        <w:textAlignment w:val="auto"/>
        <w:outlineLvl w:val="9"/>
        <w:rPr>
          <w:rFonts w:eastAsia="楷体_GB2312"/>
          <w:b/>
          <w:bCs/>
          <w:color w:val="000000" w:themeColor="text1"/>
          <w:sz w:val="32"/>
          <w:szCs w:val="32"/>
          <w:highlight w:val="none"/>
          <w14:textFill>
            <w14:solidFill>
              <w14:schemeClr w14:val="tx1"/>
            </w14:solidFill>
          </w14:textFill>
        </w:rPr>
      </w:pPr>
      <w:bookmarkStart w:id="1127" w:name="_Toc15512"/>
      <w:bookmarkStart w:id="1128" w:name="_Toc18293"/>
      <w:bookmarkStart w:id="1129" w:name="_Toc23845"/>
      <w:bookmarkStart w:id="1130" w:name="_Toc3204"/>
      <w:bookmarkStart w:id="1131" w:name="_Toc2665"/>
      <w:bookmarkStart w:id="1132" w:name="_Toc32045"/>
      <w:bookmarkStart w:id="1133" w:name="_Toc27457"/>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ascii="仿宋_GB2312" w:hAnsi="仿宋_GB2312" w:eastAsia="仿宋_GB2312" w:cs="仿宋_GB2312"/>
          <w:b/>
          <w:bCs/>
          <w:color w:val="000000" w:themeColor="text1"/>
          <w:sz w:val="32"/>
          <w:szCs w:val="32"/>
          <w:highlight w:val="none"/>
          <w14:textFill>
            <w14:solidFill>
              <w14:schemeClr w14:val="tx1"/>
            </w14:solidFill>
          </w14:textFill>
        </w:rPr>
        <w:t>1）法律法规</w:t>
      </w:r>
      <w:bookmarkEnd w:id="1127"/>
      <w:bookmarkEnd w:id="1128"/>
      <w:bookmarkEnd w:id="1129"/>
      <w:bookmarkEnd w:id="1130"/>
      <w:bookmarkEnd w:id="1131"/>
      <w:bookmarkEnd w:id="1132"/>
      <w:bookmarkEnd w:id="1133"/>
    </w:p>
    <w:p>
      <w:pPr>
        <w:keepNext w:val="0"/>
        <w:keepLines w:val="0"/>
        <w:pageBreakBefore w:val="0"/>
        <w:widowControl w:val="0"/>
        <w:kinsoku/>
        <w:wordWrap/>
        <w:overflowPunct w:val="0"/>
        <w:topLinePunct/>
        <w:autoSpaceDE/>
        <w:autoSpaceDN/>
        <w:bidi w:val="0"/>
        <w:adjustRightInd w:val="0"/>
        <w:snapToGrid w:val="0"/>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依据《中华人民共和国安全生产法》《中华人民共和国突发事件应对法》《中华人民共和国道路交通安全法》《中华人民共和国公路法》《中华人民共和国公路安全保护条例》《宁夏回族自治区突发事件应对条例》</w:t>
      </w:r>
      <w:r>
        <w:rPr>
          <w:rFonts w:hint="eastAsia" w:ascii="仿宋_GB2312" w:hAnsi="仿宋_GB2312" w:eastAsia="仿宋_GB2312" w:cs="仿宋_GB2312"/>
          <w:color w:val="000000" w:themeColor="text1"/>
          <w:sz w:val="32"/>
          <w:szCs w:val="32"/>
          <w:highlight w:val="none"/>
          <w14:textFill>
            <w14:solidFill>
              <w14:schemeClr w14:val="tx1"/>
            </w14:solidFill>
          </w14:textFill>
        </w:rPr>
        <w:t>《宁夏回族自治区安全生产条例》</w:t>
      </w:r>
      <w:r>
        <w:rPr>
          <w:rFonts w:hint="eastAsia" w:ascii="仿宋_GB2312" w:hAnsi="仿宋" w:eastAsia="仿宋_GB2312"/>
          <w:color w:val="000000" w:themeColor="text1"/>
          <w:sz w:val="32"/>
          <w:szCs w:val="32"/>
          <w:highlight w:val="none"/>
          <w14:textFill>
            <w14:solidFill>
              <w14:schemeClr w14:val="tx1"/>
            </w14:solidFill>
          </w14:textFill>
        </w:rPr>
        <w:t>《交通运输突发事件信息报告和处理办法》《交通运输突发事件应急管理规定》等有关法律法规规定。</w:t>
      </w:r>
    </w:p>
    <w:p>
      <w:pPr>
        <w:keepNext w:val="0"/>
        <w:keepLines w:val="0"/>
        <w:pageBreakBefore w:val="0"/>
        <w:widowControl w:val="0"/>
        <w:kinsoku/>
        <w:wordWrap/>
        <w:overflowPunct w:val="0"/>
        <w:topLinePunct/>
        <w:autoSpaceDE/>
        <w:autoSpaceDN/>
        <w:bidi w:val="0"/>
        <w:adjustRightInd w:val="0"/>
        <w:snapToGrid w:val="0"/>
        <w:spacing w:line="600" w:lineRule="exact"/>
        <w:ind w:firstLine="642" w:firstLineChars="200"/>
        <w:jc w:val="both"/>
        <w:textAlignment w:val="auto"/>
        <w:outlineLvl w:val="9"/>
        <w:rPr>
          <w:rFonts w:hint="eastAsia" w:ascii="仿宋_GB2312" w:hAnsi="仿宋_GB2312" w:eastAsia="仿宋_GB2312" w:cs="仿宋_GB2312"/>
          <w:b/>
          <w:bCs/>
          <w:color w:val="000000" w:themeColor="text1"/>
          <w:sz w:val="32"/>
          <w:szCs w:val="32"/>
          <w:highlight w:val="none"/>
          <w14:textFill>
            <w14:solidFill>
              <w14:schemeClr w14:val="tx1"/>
            </w14:solidFill>
          </w14:textFill>
        </w:rPr>
      </w:pPr>
      <w:bookmarkStart w:id="1134" w:name="_Toc1293"/>
      <w:bookmarkStart w:id="1135" w:name="_Toc31824"/>
      <w:bookmarkStart w:id="1136" w:name="_Toc4600"/>
      <w:bookmarkStart w:id="1137" w:name="_Toc18958"/>
      <w:bookmarkStart w:id="1138" w:name="_Toc17061"/>
      <w:bookmarkStart w:id="1139" w:name="_Toc20178"/>
      <w:bookmarkStart w:id="1140" w:name="_Toc16691"/>
      <w:r>
        <w:rPr>
          <w:rFonts w:hint="eastAsia" w:ascii="仿宋_GB2312" w:hAnsi="仿宋_GB2312" w:eastAsia="仿宋_GB2312" w:cs="仿宋_GB2312"/>
          <w:b/>
          <w:bCs/>
          <w:color w:val="000000" w:themeColor="text1"/>
          <w:sz w:val="32"/>
          <w:szCs w:val="32"/>
          <w:highlight w:val="none"/>
          <w14:textFill>
            <w14:solidFill>
              <w14:schemeClr w14:val="tx1"/>
            </w14:solidFill>
          </w14:textFill>
        </w:rPr>
        <w:t>（2）规章规范</w:t>
      </w:r>
      <w:bookmarkEnd w:id="1134"/>
      <w:bookmarkEnd w:id="1135"/>
      <w:bookmarkEnd w:id="1136"/>
      <w:bookmarkEnd w:id="1137"/>
      <w:bookmarkEnd w:id="1138"/>
      <w:bookmarkEnd w:id="1139"/>
      <w:bookmarkEnd w:id="1140"/>
    </w:p>
    <w:p>
      <w:pPr>
        <w:keepNext w:val="0"/>
        <w:keepLines w:val="0"/>
        <w:pageBreakBefore w:val="0"/>
        <w:widowControl w:val="0"/>
        <w:kinsoku/>
        <w:wordWrap/>
        <w:overflowPunct w:val="0"/>
        <w:topLinePunct/>
        <w:autoSpaceDE/>
        <w:autoSpaceDN/>
        <w:bidi w:val="0"/>
        <w:adjustRightInd w:val="0"/>
        <w:snapToGrid w:val="0"/>
        <w:spacing w:line="600" w:lineRule="exact"/>
        <w:ind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《突发事件应急预案管理办法》</w:t>
      </w:r>
      <w:r>
        <w:rPr>
          <w:rFonts w:hint="eastAsia" w:ascii="仿宋_GB2312" w:hAnsi="仿宋_GB2312" w:eastAsia="仿宋_GB2312" w:cs="仿宋_GB2312"/>
          <w:color w:val="000000" w:themeColor="text1"/>
          <w:sz w:val="32"/>
          <w:szCs w:val="32"/>
          <w:highlight w:val="none"/>
          <w14:textFill>
            <w14:solidFill>
              <w14:schemeClr w14:val="tx1"/>
            </w14:solidFill>
          </w14:textFill>
        </w:rPr>
        <w:t>《宁夏回族自治区突发事件应急预案管理办法》</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《宁夏回族自治区道路交通安全条例》</w:t>
      </w:r>
      <w:r>
        <w:rPr>
          <w:rFonts w:hint="eastAsia" w:ascii="仿宋_GB2312" w:hAnsi="仿宋_GB2312" w:eastAsia="仿宋_GB2312" w:cs="仿宋_GB2312"/>
          <w:color w:val="000000" w:themeColor="text1"/>
          <w:sz w:val="32"/>
          <w:szCs w:val="32"/>
          <w:highlight w:val="none"/>
          <w14:textFill>
            <w14:solidFill>
              <w14:schemeClr w14:val="tx1"/>
            </w14:solidFill>
          </w14:textFill>
        </w:rPr>
        <w:t>《生产经营单位生产安全事故应急预案编制导则》等</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val="0"/>
        <w:topLinePunct/>
        <w:autoSpaceDE/>
        <w:autoSpaceDN/>
        <w:bidi w:val="0"/>
        <w:adjustRightInd w:val="0"/>
        <w:snapToGrid w:val="0"/>
        <w:spacing w:line="600" w:lineRule="exact"/>
        <w:ind w:firstLine="642" w:firstLineChars="200"/>
        <w:jc w:val="both"/>
        <w:textAlignment w:val="auto"/>
        <w:outlineLvl w:val="9"/>
        <w:rPr>
          <w:rFonts w:hint="eastAsia" w:ascii="仿宋_GB2312" w:hAnsi="仿宋_GB2312" w:eastAsia="仿宋_GB2312" w:cs="仿宋_GB2312"/>
          <w:b/>
          <w:bCs/>
          <w:color w:val="000000" w:themeColor="text1"/>
          <w:sz w:val="32"/>
          <w:szCs w:val="32"/>
          <w:highlight w:val="none"/>
          <w14:textFill>
            <w14:solidFill>
              <w14:schemeClr w14:val="tx1"/>
            </w14:solidFill>
          </w14:textFill>
        </w:rPr>
      </w:pPr>
      <w:bookmarkStart w:id="1141" w:name="_Toc29932"/>
      <w:bookmarkStart w:id="1142" w:name="_Toc18051"/>
      <w:bookmarkStart w:id="1143" w:name="_Toc13172"/>
      <w:bookmarkStart w:id="1144" w:name="_Toc6856"/>
      <w:bookmarkStart w:id="1145" w:name="_Toc19407"/>
      <w:bookmarkStart w:id="1146" w:name="_Toc24145"/>
      <w:bookmarkStart w:id="1147" w:name="_Toc7233"/>
      <w:r>
        <w:rPr>
          <w:rFonts w:hint="eastAsia" w:ascii="仿宋_GB2312" w:hAnsi="仿宋_GB2312" w:eastAsia="仿宋_GB2312" w:cs="仿宋_GB2312"/>
          <w:b/>
          <w:bCs/>
          <w:color w:val="000000" w:themeColor="text1"/>
          <w:sz w:val="32"/>
          <w:szCs w:val="32"/>
          <w:highlight w:val="none"/>
          <w14:textFill>
            <w14:solidFill>
              <w14:schemeClr w14:val="tx1"/>
            </w14:solidFill>
          </w14:textFill>
        </w:rPr>
        <w:t>（3）应急预案</w:t>
      </w:r>
      <w:bookmarkEnd w:id="1141"/>
      <w:bookmarkEnd w:id="1142"/>
      <w:bookmarkEnd w:id="1143"/>
      <w:bookmarkEnd w:id="1144"/>
      <w:bookmarkEnd w:id="1145"/>
      <w:bookmarkEnd w:id="1146"/>
      <w:bookmarkEnd w:id="1147"/>
    </w:p>
    <w:p>
      <w:pPr>
        <w:keepNext w:val="0"/>
        <w:keepLines w:val="0"/>
        <w:pageBreakBefore w:val="0"/>
        <w:widowControl w:val="0"/>
        <w:kinsoku/>
        <w:wordWrap/>
        <w:overflowPunct w:val="0"/>
        <w:topLinePunct/>
        <w:autoSpaceDE/>
        <w:autoSpaceDN/>
        <w:bidi w:val="0"/>
        <w:adjustRightInd w:val="0"/>
        <w:snapToGrid w:val="0"/>
        <w:spacing w:line="600" w:lineRule="exact"/>
        <w:ind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shd w:val="clear" w:color="auto" w:fill="FFFFFF"/>
          <w14:textFill>
            <w14:solidFill>
              <w14:schemeClr w14:val="tx1"/>
            </w14:solidFill>
          </w14:textFill>
        </w:rPr>
        <w:t>《国家突发公共事件总体应急预案》</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《国家安全生产事故灾难应急预案》</w:t>
      </w:r>
      <w:r>
        <w:rPr>
          <w:rFonts w:hint="eastAsia" w:ascii="仿宋_GB2312" w:hAnsi="仿宋" w:eastAsia="仿宋_GB2312"/>
          <w:color w:val="000000" w:themeColor="text1"/>
          <w:sz w:val="32"/>
          <w:szCs w:val="32"/>
          <w:highlight w:val="none"/>
          <w14:textFill>
            <w14:solidFill>
              <w14:schemeClr w14:val="tx1"/>
            </w14:solidFill>
          </w14:textFill>
        </w:rPr>
        <w:t>《宁夏回族自治区突发事件总体应急预案》《宁夏回族自治区气象灾害应急预案》</w:t>
      </w:r>
      <w:r>
        <w:rPr>
          <w:rFonts w:hint="eastAsia" w:ascii="仿宋_GB2312" w:hAnsi="仿宋_GB2312" w:eastAsia="仿宋_GB2312" w:cs="仿宋_GB2312"/>
          <w:bCs/>
          <w:color w:val="000000" w:themeColor="text1"/>
          <w:sz w:val="32"/>
          <w:szCs w:val="32"/>
          <w:highlight w:val="none"/>
          <w:shd w:val="clear" w:color="auto" w:fill="FFFFFF"/>
          <w14:textFill>
            <w14:solidFill>
              <w14:schemeClr w14:val="tx1"/>
            </w14:solidFill>
          </w14:textFill>
        </w:rPr>
        <w:t>《交通运输综合应急预案》</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shd w:val="clear" w:color="auto" w:fill="FFFFFF"/>
          <w14:textFill>
            <w14:solidFill>
              <w14:schemeClr w14:val="tx1"/>
            </w14:solidFill>
          </w14:textFill>
        </w:rPr>
        <w:t>道路运输突发事件应急预案</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公路突发事件</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应急预案》和</w:t>
      </w:r>
      <w:r>
        <w:rPr>
          <w:rFonts w:hint="eastAsia" w:ascii="仿宋_GB2312" w:hAnsi="仿宋_GB2312" w:eastAsia="仿宋_GB2312" w:cs="仿宋_GB2312"/>
          <w:color w:val="000000" w:themeColor="text1"/>
          <w:sz w:val="32"/>
          <w:szCs w:val="32"/>
          <w:highlight w:val="none"/>
          <w14:textFill>
            <w14:solidFill>
              <w14:schemeClr w14:val="tx1"/>
            </w14:solidFill>
          </w14:textFill>
        </w:rPr>
        <w:t>交通运输部</w:t>
      </w:r>
      <w:r>
        <w:rPr>
          <w:rFonts w:hint="eastAsia" w:ascii="仿宋_GB2312" w:hAnsi="仿宋" w:eastAsia="仿宋_GB2312"/>
          <w:color w:val="000000" w:themeColor="text1"/>
          <w:sz w:val="32"/>
          <w:szCs w:val="32"/>
          <w:highlight w:val="none"/>
          <w14:textFill>
            <w14:solidFill>
              <w14:schemeClr w14:val="tx1"/>
            </w14:solidFill>
          </w14:textFill>
        </w:rPr>
        <w:t>《雨雪冰冻突发事件应急预案》</w:t>
      </w:r>
      <w:r>
        <w:rPr>
          <w:rFonts w:hint="eastAsia" w:ascii="仿宋_GB2312" w:hAnsi="仿宋_GB2312" w:eastAsia="仿宋_GB2312" w:cs="仿宋_GB2312"/>
          <w:color w:val="000000" w:themeColor="text1"/>
          <w:sz w:val="32"/>
          <w:szCs w:val="32"/>
          <w:highlight w:val="none"/>
          <w14:textFill>
            <w14:solidFill>
              <w14:schemeClr w14:val="tx1"/>
            </w14:solidFill>
          </w14:textFill>
        </w:rPr>
        <w:t>等</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p>
    <w:p>
      <w:pPr>
        <w:pStyle w:val="6"/>
        <w:keepNext w:val="0"/>
        <w:keepLines w:val="0"/>
        <w:pageBreakBefore w:val="0"/>
        <w:widowControl w:val="0"/>
        <w:kinsoku/>
        <w:wordWrap/>
        <w:overflowPunct w:val="0"/>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sz w:val="32"/>
          <w:szCs w:val="32"/>
          <w:highlight w:val="none"/>
          <w14:textFill>
            <w14:solidFill>
              <w14:schemeClr w14:val="tx1"/>
            </w14:solidFill>
          </w14:textFill>
        </w:rPr>
      </w:pPr>
      <w:bookmarkStart w:id="1148" w:name="_Toc25927"/>
      <w:bookmarkStart w:id="1149" w:name="_Toc170914124"/>
      <w:bookmarkStart w:id="1150" w:name="_Toc26332"/>
      <w:bookmarkStart w:id="1151" w:name="_Toc4676"/>
      <w:bookmarkStart w:id="1152" w:name="_Toc4602"/>
      <w:bookmarkStart w:id="1153" w:name="_Toc30929"/>
      <w:bookmarkStart w:id="1154" w:name="_Toc18924"/>
      <w:bookmarkStart w:id="1155" w:name="_Toc25006"/>
      <w:bookmarkStart w:id="1156" w:name="_Toc19879"/>
      <w:r>
        <w:rPr>
          <w:rFonts w:ascii="楷体_GB2312" w:hAnsi="仿宋" w:eastAsia="楷体_GB2312"/>
          <w:color w:val="000000" w:themeColor="text1"/>
          <w:sz w:val="32"/>
          <w:szCs w:val="32"/>
          <w:highlight w:val="none"/>
          <w14:textFill>
            <w14:solidFill>
              <w14:schemeClr w14:val="tx1"/>
            </w14:solidFill>
          </w14:textFill>
        </w:rPr>
        <w:t>1.4</w:t>
      </w:r>
      <w:r>
        <w:rPr>
          <w:rFonts w:hint="eastAsia" w:ascii="楷体_GB2312" w:hAnsi="仿宋" w:eastAsia="楷体_GB2312"/>
          <w:color w:val="000000" w:themeColor="text1"/>
          <w:sz w:val="32"/>
          <w:szCs w:val="32"/>
          <w:highlight w:val="none"/>
          <w14:textFill>
            <w14:solidFill>
              <w14:schemeClr w14:val="tx1"/>
            </w14:solidFill>
          </w14:textFill>
        </w:rPr>
        <w:t>适用范围</w:t>
      </w:r>
      <w:bookmarkEnd w:id="1148"/>
      <w:bookmarkEnd w:id="1149"/>
      <w:bookmarkEnd w:id="1150"/>
      <w:bookmarkEnd w:id="1151"/>
      <w:bookmarkEnd w:id="1152"/>
      <w:bookmarkEnd w:id="1153"/>
      <w:bookmarkEnd w:id="1154"/>
      <w:bookmarkEnd w:id="1155"/>
      <w:bookmarkEnd w:id="1156"/>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本预案适用于发生在宁夏回族自治区内，由自治区人民政府或交通运输部牵头处置，需由自治区交通运输公路领域负责处置的低温雨雪冰冻灾害事件</w:t>
      </w:r>
      <w:r>
        <w:rPr>
          <w:rFonts w:hint="eastAsia" w:ascii="仿宋_GB2312" w:hAnsi="仿宋" w:eastAsia="仿宋_GB2312"/>
          <w:color w:val="000000" w:themeColor="text1"/>
          <w:sz w:val="32"/>
          <w:szCs w:val="32"/>
          <w:highlight w:val="none"/>
          <w:lang w:eastAsia="zh-CN"/>
          <w14:textFill>
            <w14:solidFill>
              <w14:schemeClr w14:val="tx1"/>
            </w14:solidFill>
          </w14:textFill>
        </w:rPr>
        <w:t>，以及</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交通运输厅认为需要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应急响应的其他</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w:t>
      </w:r>
      <w:bookmarkStart w:id="1157" w:name="_Toc29315"/>
      <w:bookmarkStart w:id="1158" w:name="_Toc11649"/>
      <w:bookmarkStart w:id="1159" w:name="_Toc10908"/>
      <w:bookmarkStart w:id="1160" w:name="_Toc10273"/>
      <w:bookmarkStart w:id="1161" w:name="_Toc16885"/>
      <w:bookmarkStart w:id="1162" w:name="_Toc19279"/>
      <w:bookmarkStart w:id="1163" w:name="_Toc19075"/>
      <w:bookmarkStart w:id="1164" w:name="_Toc17378"/>
      <w:bookmarkStart w:id="1165" w:name="_Toc22703"/>
      <w:bookmarkStart w:id="1166" w:name="_Toc170914125"/>
    </w:p>
    <w:p>
      <w:pPr>
        <w:pStyle w:val="6"/>
        <w:keepNext w:val="0"/>
        <w:keepLines w:val="0"/>
        <w:pageBreakBefore w:val="0"/>
        <w:widowControl w:val="0"/>
        <w:kinsoku/>
        <w:wordWrap/>
        <w:overflowPunct w:val="0"/>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sz w:val="32"/>
          <w:szCs w:val="32"/>
          <w:highlight w:val="none"/>
          <w14:textFill>
            <w14:solidFill>
              <w14:schemeClr w14:val="tx1"/>
            </w14:solidFill>
          </w14:textFill>
        </w:rPr>
      </w:pPr>
      <w:r>
        <w:rPr>
          <w:rFonts w:ascii="楷体_GB2312" w:hAnsi="仿宋" w:eastAsia="楷体_GB2312"/>
          <w:color w:val="000000" w:themeColor="text1"/>
          <w:sz w:val="32"/>
          <w:szCs w:val="32"/>
          <w:highlight w:val="none"/>
          <w14:textFill>
            <w14:solidFill>
              <w14:schemeClr w14:val="tx1"/>
            </w14:solidFill>
          </w14:textFill>
        </w:rPr>
        <w:t>1.5</w:t>
      </w:r>
      <w:r>
        <w:rPr>
          <w:rFonts w:hint="eastAsia" w:ascii="楷体_GB2312" w:hAnsi="仿宋" w:eastAsia="楷体_GB2312"/>
          <w:color w:val="000000" w:themeColor="text1"/>
          <w:sz w:val="32"/>
          <w:szCs w:val="32"/>
          <w:highlight w:val="none"/>
          <w14:textFill>
            <w14:solidFill>
              <w14:schemeClr w14:val="tx1"/>
            </w14:solidFill>
          </w14:textFill>
        </w:rPr>
        <w:t>工作原则</w:t>
      </w:r>
      <w:bookmarkEnd w:id="1157"/>
      <w:bookmarkEnd w:id="1158"/>
      <w:bookmarkEnd w:id="1159"/>
      <w:bookmarkEnd w:id="1160"/>
      <w:bookmarkEnd w:id="1161"/>
      <w:bookmarkEnd w:id="1162"/>
      <w:bookmarkEnd w:id="1163"/>
      <w:bookmarkEnd w:id="1164"/>
      <w:bookmarkEnd w:id="1165"/>
      <w:bookmarkEnd w:id="1166"/>
    </w:p>
    <w:p>
      <w:pPr>
        <w:keepNext w:val="0"/>
        <w:keepLines w:val="0"/>
        <w:pageBreakBefore w:val="0"/>
        <w:widowControl w:val="0"/>
        <w:kinsoku/>
        <w:wordWrap/>
        <w:overflowPunct w:val="0"/>
        <w:topLinePunct/>
        <w:autoSpaceDE/>
        <w:autoSpaceDN/>
        <w:bidi w:val="0"/>
        <w:adjustRightInd/>
        <w:snapToGrid/>
        <w:spacing w:line="600" w:lineRule="exact"/>
        <w:ind w:firstLine="642" w:firstLineChars="200"/>
        <w:jc w:val="both"/>
        <w:textAlignment w:val="auto"/>
        <w:outlineLvl w:val="9"/>
        <w:rPr>
          <w:rFonts w:hint="eastAsia" w:ascii="仿宋_GB2312" w:hAnsi="仿宋_GB2312" w:eastAsia="仿宋_GB2312" w:cs="仿宋_GB2312"/>
          <w:b/>
          <w:bCs/>
          <w:color w:val="000000" w:themeColor="text1"/>
          <w:sz w:val="32"/>
          <w:szCs w:val="32"/>
          <w:highlight w:val="none"/>
          <w14:textFill>
            <w14:solidFill>
              <w14:schemeClr w14:val="tx1"/>
            </w14:solidFill>
          </w14:textFill>
        </w:rPr>
      </w:pPr>
      <w:bookmarkStart w:id="1167" w:name="_Toc14263"/>
      <w:bookmarkStart w:id="1168" w:name="_Toc170"/>
      <w:bookmarkStart w:id="1169" w:name="_Toc4512"/>
      <w:bookmarkStart w:id="1170" w:name="_Toc19284"/>
      <w:bookmarkStart w:id="1171" w:name="_Toc4666"/>
      <w:bookmarkStart w:id="1172" w:name="_Toc3455"/>
      <w:bookmarkStart w:id="1173" w:name="_Toc25160"/>
      <w:r>
        <w:rPr>
          <w:rFonts w:hint="eastAsia" w:ascii="仿宋_GB2312" w:hAnsi="仿宋_GB2312" w:eastAsia="仿宋_GB2312" w:cs="仿宋_GB2312"/>
          <w:b/>
          <w:bCs/>
          <w:color w:val="000000" w:themeColor="text1"/>
          <w:sz w:val="32"/>
          <w:szCs w:val="32"/>
          <w:highlight w:val="none"/>
          <w14:textFill>
            <w14:solidFill>
              <w14:schemeClr w14:val="tx1"/>
            </w14:solidFill>
          </w14:textFill>
        </w:rPr>
        <w:t>（1）以人为本，预防为主</w:t>
      </w:r>
      <w:bookmarkEnd w:id="1167"/>
      <w:bookmarkEnd w:id="1168"/>
      <w:bookmarkEnd w:id="1169"/>
      <w:bookmarkEnd w:id="1170"/>
      <w:bookmarkEnd w:id="1171"/>
      <w:bookmarkEnd w:id="1172"/>
      <w:bookmarkEnd w:id="1173"/>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切实履行政府的社会管理和公共服务职能，把保障人民群众生命财产安全作为首要任务。低温雨雪冰冻天气事件应对要坚持以人民为中心的发展思想，严格按照国家相关法律法规要求，不断提高应急科技水平，坚持预防与应急相结合，</w:t>
      </w:r>
      <w:r>
        <w:rPr>
          <w:rFonts w:hint="eastAsia" w:ascii="仿宋_GB2312" w:hAnsi="仿宋" w:eastAsia="仿宋_GB2312"/>
          <w:color w:val="000000" w:themeColor="text1"/>
          <w:sz w:val="32"/>
          <w:szCs w:val="32"/>
          <w:highlight w:val="none"/>
          <w:lang w:eastAsia="zh-CN"/>
          <w14:textFill>
            <w14:solidFill>
              <w14:schemeClr w14:val="tx1"/>
            </w14:solidFill>
          </w14:textFill>
        </w:rPr>
        <w:t>增强</w:t>
      </w:r>
      <w:r>
        <w:rPr>
          <w:rFonts w:hint="eastAsia" w:ascii="仿宋_GB2312" w:hAnsi="仿宋" w:eastAsia="仿宋_GB2312"/>
          <w:color w:val="000000" w:themeColor="text1"/>
          <w:sz w:val="32"/>
          <w:szCs w:val="32"/>
          <w:highlight w:val="none"/>
          <w14:textFill>
            <w14:solidFill>
              <w14:schemeClr w14:val="tx1"/>
            </w14:solidFill>
          </w14:textFill>
        </w:rPr>
        <w:t>防范意识，做好预案演练、宣传和培训等各项保障工作。</w:t>
      </w:r>
    </w:p>
    <w:p>
      <w:pPr>
        <w:keepNext w:val="0"/>
        <w:keepLines w:val="0"/>
        <w:pageBreakBefore w:val="0"/>
        <w:widowControl w:val="0"/>
        <w:kinsoku/>
        <w:wordWrap/>
        <w:overflowPunct w:val="0"/>
        <w:topLinePunct/>
        <w:autoSpaceDE/>
        <w:autoSpaceDN/>
        <w:bidi w:val="0"/>
        <w:adjustRightInd/>
        <w:snapToGrid/>
        <w:spacing w:line="600" w:lineRule="exact"/>
        <w:ind w:firstLine="642" w:firstLineChars="200"/>
        <w:jc w:val="both"/>
        <w:textAlignment w:val="auto"/>
        <w:outlineLvl w:val="9"/>
        <w:rPr>
          <w:rFonts w:hint="eastAsia" w:ascii="仿宋_GB2312" w:hAnsi="仿宋_GB2312" w:eastAsia="仿宋_GB2312" w:cs="仿宋_GB2312"/>
          <w:b/>
          <w:bCs/>
          <w:color w:val="000000" w:themeColor="text1"/>
          <w:sz w:val="32"/>
          <w:szCs w:val="32"/>
          <w:highlight w:val="none"/>
          <w14:textFill>
            <w14:solidFill>
              <w14:schemeClr w14:val="tx1"/>
            </w14:solidFill>
          </w14:textFill>
        </w:rPr>
      </w:pPr>
      <w:bookmarkStart w:id="1174" w:name="_Toc27575"/>
      <w:bookmarkStart w:id="1175" w:name="_Toc10194"/>
      <w:bookmarkStart w:id="1176" w:name="_Toc23444"/>
      <w:bookmarkStart w:id="1177" w:name="_Toc164"/>
      <w:bookmarkStart w:id="1178" w:name="_Toc26727"/>
      <w:bookmarkStart w:id="1179" w:name="_Toc20193"/>
      <w:bookmarkStart w:id="1180" w:name="_Toc23136"/>
      <w:r>
        <w:rPr>
          <w:rFonts w:hint="eastAsia" w:ascii="仿宋_GB2312" w:hAnsi="仿宋_GB2312" w:eastAsia="仿宋_GB2312" w:cs="仿宋_GB2312"/>
          <w:b/>
          <w:bCs/>
          <w:color w:val="000000" w:themeColor="text1"/>
          <w:sz w:val="32"/>
          <w:szCs w:val="32"/>
          <w:highlight w:val="none"/>
          <w14:textFill>
            <w14:solidFill>
              <w14:schemeClr w14:val="tx1"/>
            </w14:solidFill>
          </w14:textFill>
        </w:rPr>
        <w:t>（2）统一领导，分级负责</w:t>
      </w:r>
      <w:bookmarkEnd w:id="1174"/>
      <w:bookmarkEnd w:id="1175"/>
      <w:bookmarkEnd w:id="1176"/>
      <w:bookmarkEnd w:id="1177"/>
      <w:bookmarkEnd w:id="1178"/>
      <w:bookmarkEnd w:id="1179"/>
      <w:bookmarkEnd w:id="1180"/>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天气事件应对以属地管理为主，在各级人民政府的统一领导下，各高速公路、国省干线、农村公路养护管理单位按照职责权限划分情况具体负责。建立健全责任明确、分级响应、条块结合、保障有力的应急管理体系，充分发挥各级公路交通应急管理机构的作用。</w:t>
      </w:r>
    </w:p>
    <w:p>
      <w:pPr>
        <w:keepNext w:val="0"/>
        <w:keepLines w:val="0"/>
        <w:pageBreakBefore w:val="0"/>
        <w:widowControl w:val="0"/>
        <w:kinsoku/>
        <w:wordWrap/>
        <w:overflowPunct w:val="0"/>
        <w:topLinePunct/>
        <w:autoSpaceDE/>
        <w:autoSpaceDN/>
        <w:bidi w:val="0"/>
        <w:adjustRightInd/>
        <w:snapToGrid/>
        <w:spacing w:line="600" w:lineRule="exact"/>
        <w:ind w:firstLine="642" w:firstLineChars="200"/>
        <w:jc w:val="both"/>
        <w:textAlignment w:val="auto"/>
        <w:outlineLvl w:val="9"/>
        <w:rPr>
          <w:rFonts w:hint="eastAsia" w:ascii="仿宋_GB2312" w:hAnsi="仿宋_GB2312" w:eastAsia="仿宋_GB2312" w:cs="仿宋_GB2312"/>
          <w:b/>
          <w:bCs/>
          <w:color w:val="000000" w:themeColor="text1"/>
          <w:sz w:val="32"/>
          <w:szCs w:val="32"/>
          <w:highlight w:val="none"/>
          <w14:textFill>
            <w14:solidFill>
              <w14:schemeClr w14:val="tx1"/>
            </w14:solidFill>
          </w14:textFill>
        </w:rPr>
      </w:pPr>
      <w:bookmarkStart w:id="1181" w:name="_Toc31447"/>
      <w:bookmarkStart w:id="1182" w:name="_Toc21687"/>
      <w:bookmarkStart w:id="1183" w:name="_Toc29571"/>
      <w:bookmarkStart w:id="1184" w:name="_Toc519"/>
      <w:bookmarkStart w:id="1185" w:name="_Toc19265"/>
      <w:bookmarkStart w:id="1186" w:name="_Toc12911"/>
      <w:bookmarkStart w:id="1187" w:name="_Toc22230"/>
      <w:r>
        <w:rPr>
          <w:rFonts w:hint="eastAsia" w:ascii="仿宋_GB2312" w:hAnsi="仿宋_GB2312" w:eastAsia="仿宋_GB2312" w:cs="仿宋_GB2312"/>
          <w:b/>
          <w:bCs/>
          <w:color w:val="000000" w:themeColor="text1"/>
          <w:sz w:val="32"/>
          <w:szCs w:val="32"/>
          <w:highlight w:val="none"/>
          <w14:textFill>
            <w14:solidFill>
              <w14:schemeClr w14:val="tx1"/>
            </w14:solidFill>
          </w14:textFill>
        </w:rPr>
        <w:t>（3）规范有序，协调联动</w:t>
      </w:r>
      <w:bookmarkEnd w:id="1181"/>
      <w:bookmarkEnd w:id="1182"/>
      <w:bookmarkEnd w:id="1183"/>
      <w:bookmarkEnd w:id="1184"/>
      <w:bookmarkEnd w:id="1185"/>
      <w:bookmarkEnd w:id="1186"/>
      <w:bookmarkEnd w:id="1187"/>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outlineLvl w:val="9"/>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建立统一指挥、分工明确、反应灵敏、协调有序、运转高效的应急响应程序，实现应急管理工作的制度化、规范化。加强部门协作，形成优势互补、资源共享的低温雨雪冰冻天气事件应急处置机制，提高应对突发事件的科学决策和指挥能力。</w:t>
      </w:r>
    </w:p>
    <w:p>
      <w:pPr>
        <w:pStyle w:val="6"/>
        <w:keepNext w:val="0"/>
        <w:keepLines w:val="0"/>
        <w:pageBreakBefore w:val="0"/>
        <w:widowControl w:val="0"/>
        <w:kinsoku/>
        <w:wordWrap/>
        <w:overflowPunct w:val="0"/>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sz w:val="32"/>
          <w:szCs w:val="32"/>
          <w:highlight w:val="none"/>
          <w14:textFill>
            <w14:solidFill>
              <w14:schemeClr w14:val="tx1"/>
            </w14:solidFill>
          </w14:textFill>
        </w:rPr>
      </w:pPr>
      <w:bookmarkStart w:id="1188" w:name="_Toc12708"/>
      <w:bookmarkStart w:id="1189" w:name="_Toc29065"/>
      <w:bookmarkStart w:id="1190" w:name="_Toc25384"/>
      <w:bookmarkStart w:id="1191" w:name="_Toc21601"/>
      <w:bookmarkStart w:id="1192" w:name="_Toc20219"/>
      <w:bookmarkStart w:id="1193" w:name="_Toc31409"/>
      <w:bookmarkStart w:id="1194" w:name="_Toc9507"/>
      <w:bookmarkStart w:id="1195" w:name="_Toc170914126"/>
      <w:bookmarkStart w:id="1196" w:name="_Toc9654"/>
      <w:bookmarkStart w:id="1197" w:name="_Toc991"/>
      <w:r>
        <w:rPr>
          <w:rFonts w:ascii="楷体_GB2312" w:hAnsi="仿宋" w:eastAsia="楷体_GB2312"/>
          <w:color w:val="000000" w:themeColor="text1"/>
          <w:sz w:val="32"/>
          <w:szCs w:val="32"/>
          <w:highlight w:val="none"/>
          <w14:textFill>
            <w14:solidFill>
              <w14:schemeClr w14:val="tx1"/>
            </w14:solidFill>
          </w14:textFill>
        </w:rPr>
        <w:t>1.</w:t>
      </w:r>
      <w:r>
        <w:rPr>
          <w:rFonts w:hint="eastAsia" w:ascii="楷体_GB2312" w:hAnsi="仿宋" w:eastAsia="楷体_GB2312"/>
          <w:color w:val="000000" w:themeColor="text1"/>
          <w:sz w:val="32"/>
          <w:szCs w:val="32"/>
          <w:highlight w:val="none"/>
          <w14:textFill>
            <w14:solidFill>
              <w14:schemeClr w14:val="tx1"/>
            </w14:solidFill>
          </w14:textFill>
        </w:rPr>
        <w:t>6事件分级</w:t>
      </w:r>
      <w:bookmarkEnd w:id="1188"/>
      <w:bookmarkEnd w:id="1189"/>
      <w:bookmarkEnd w:id="1190"/>
      <w:bookmarkEnd w:id="1191"/>
      <w:bookmarkEnd w:id="1192"/>
      <w:bookmarkEnd w:id="1193"/>
      <w:bookmarkEnd w:id="1194"/>
      <w:bookmarkEnd w:id="1195"/>
      <w:bookmarkEnd w:id="1196"/>
      <w:bookmarkEnd w:id="1197"/>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本预案所称低温雨雪冰冻天气事件，是指由于低温雨雪冰冻天气等原因引发，造成或者可能造成高速公路、普通国省干线、县乡道路公路交通运行中断、阻塞，需要及时进行抢修保通、恢复通行能力的，以及由于重要物资、人员运输特殊要求，需要提供公路应急通行保障的紧急事件。</w:t>
      </w:r>
    </w:p>
    <w:p>
      <w:pPr>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本预案所称</w:t>
      </w:r>
      <w:r>
        <w:rPr>
          <w:rFonts w:hint="eastAsia" w:ascii="仿宋_GB2312" w:hAnsi="仿宋" w:eastAsia="仿宋_GB2312"/>
          <w:color w:val="000000" w:themeColor="text1"/>
          <w:sz w:val="32"/>
          <w:szCs w:val="32"/>
          <w:highlight w:val="none"/>
          <w14:textFill>
            <w14:solidFill>
              <w14:schemeClr w14:val="tx1"/>
            </w14:solidFill>
          </w14:textFill>
        </w:rPr>
        <w:t>低温雨雪冰冻天气事件按照其性质、严重程度、可控性和影响范围等因素，</w:t>
      </w:r>
      <w:r>
        <w:rPr>
          <w:rFonts w:hint="eastAsia" w:ascii="仿宋_GB2312" w:hAnsi="仿宋_GB2312" w:eastAsia="仿宋_GB2312" w:cs="仿宋_GB2312"/>
          <w:color w:val="000000" w:themeColor="text1"/>
          <w:sz w:val="32"/>
          <w:szCs w:val="32"/>
          <w:highlight w:val="none"/>
          <w14:textFill>
            <w14:solidFill>
              <w14:schemeClr w14:val="tx1"/>
            </w14:solidFill>
          </w14:textFill>
        </w:rPr>
        <w:t>分为特别重大突发事件（Ⅰ级）、重大突发事件（Ⅱ级）、较大突发事件（Ⅲ级）和一般突发事件（Ⅳ级）四级。</w:t>
      </w:r>
    </w:p>
    <w:p>
      <w:pPr>
        <w:keepNext w:val="0"/>
        <w:keepLines w:val="0"/>
        <w:pageBreakBefore w:val="0"/>
        <w:widowControl w:val="0"/>
        <w:kinsoku/>
        <w:wordWrap/>
        <w:overflowPunct w:val="0"/>
        <w:topLinePunct/>
        <w:autoSpaceDE/>
        <w:autoSpaceDN/>
        <w:bidi w:val="0"/>
        <w:adjustRightInd/>
        <w:snapToGrid/>
        <w:spacing w:line="600" w:lineRule="exact"/>
        <w:ind w:firstLine="642" w:firstLineChars="200"/>
        <w:jc w:val="both"/>
        <w:textAlignment w:val="auto"/>
        <w:outlineLvl w:val="3"/>
        <w:rPr>
          <w:b/>
          <w:bCs/>
          <w:color w:val="000000" w:themeColor="text1"/>
          <w:sz w:val="32"/>
          <w:szCs w:val="32"/>
          <w:highlight w:val="none"/>
          <w14:textFill>
            <w14:solidFill>
              <w14:schemeClr w14:val="tx1"/>
            </w14:solidFill>
          </w14:textFill>
        </w:rPr>
      </w:pPr>
      <w:bookmarkStart w:id="1198" w:name="_Toc7730"/>
      <w:bookmarkStart w:id="1199" w:name="_Toc24048"/>
      <w:bookmarkStart w:id="1200" w:name="_Toc1430"/>
      <w:bookmarkStart w:id="1201" w:name="_Toc8830"/>
      <w:bookmarkStart w:id="1202" w:name="_Toc170914127"/>
      <w:bookmarkStart w:id="1203" w:name="_Toc15438"/>
      <w:bookmarkStart w:id="1204" w:name="_Toc24199"/>
      <w:bookmarkStart w:id="1205" w:name="_Toc23992"/>
      <w:r>
        <w:rPr>
          <w:rFonts w:ascii="楷体" w:hAnsi="楷体" w:eastAsia="楷体" w:cs="楷体"/>
          <w:b/>
          <w:bCs/>
          <w:color w:val="000000" w:themeColor="text1"/>
          <w:kern w:val="0"/>
          <w:sz w:val="32"/>
          <w:szCs w:val="32"/>
          <w:highlight w:val="none"/>
          <w14:textFill>
            <w14:solidFill>
              <w14:schemeClr w14:val="tx1"/>
            </w14:solidFill>
          </w14:textFill>
        </w:rPr>
        <w:t>1.6.1特别重大突发事件</w:t>
      </w:r>
      <w:r>
        <w:rPr>
          <w:rFonts w:hint="eastAsia" w:ascii="楷体" w:hAnsi="楷体" w:eastAsia="楷体" w:cs="楷体"/>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Ⅰ级</w:t>
      </w:r>
      <w:r>
        <w:rPr>
          <w:rFonts w:hint="eastAsia" w:ascii="楷体" w:hAnsi="楷体" w:eastAsia="楷体" w:cs="楷体"/>
          <w:b/>
          <w:bCs/>
          <w:color w:val="000000" w:themeColor="text1"/>
          <w:kern w:val="0"/>
          <w:sz w:val="32"/>
          <w:szCs w:val="32"/>
          <w:highlight w:val="none"/>
          <w14:textFill>
            <w14:solidFill>
              <w14:schemeClr w14:val="tx1"/>
            </w14:solidFill>
          </w14:textFill>
        </w:rPr>
        <w:t>）</w:t>
      </w:r>
      <w:bookmarkEnd w:id="1198"/>
      <w:bookmarkEnd w:id="1199"/>
      <w:bookmarkEnd w:id="1200"/>
      <w:bookmarkEnd w:id="1201"/>
      <w:bookmarkEnd w:id="1202"/>
      <w:bookmarkEnd w:id="1203"/>
      <w:bookmarkEnd w:id="1204"/>
      <w:bookmarkEnd w:id="1205"/>
    </w:p>
    <w:p>
      <w:pPr>
        <w:pStyle w:val="3"/>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pPr>
      <w:bookmarkStart w:id="1206" w:name="_Toc17727"/>
      <w:bookmarkStart w:id="1207" w:name="_Toc16815"/>
      <w:bookmarkStart w:id="1208" w:name="_Toc3073"/>
      <w:bookmarkStart w:id="1209" w:name="_Toc18675"/>
      <w:r>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t>事态非常复杂，已经或可能造成特别重大人员伤亡、特别重大财产损失，需上报交通运输部组织协调系统内多方面力量和资源进行应急处置的公路低温雨雪冰冻天气事件。</w:t>
      </w:r>
    </w:p>
    <w:p>
      <w:pPr>
        <w:keepNext w:val="0"/>
        <w:keepLines w:val="0"/>
        <w:pageBreakBefore w:val="0"/>
        <w:widowControl w:val="0"/>
        <w:kinsoku/>
        <w:wordWrap/>
        <w:overflowPunct w:val="0"/>
        <w:topLinePunct/>
        <w:autoSpaceDE/>
        <w:autoSpaceDN/>
        <w:bidi w:val="0"/>
        <w:adjustRightInd/>
        <w:snapToGrid/>
        <w:spacing w:line="600" w:lineRule="exact"/>
        <w:ind w:firstLine="642" w:firstLineChars="200"/>
        <w:jc w:val="both"/>
        <w:textAlignment w:val="auto"/>
        <w:outlineLvl w:val="3"/>
        <w:rPr>
          <w:rFonts w:ascii="楷体" w:hAnsi="楷体" w:eastAsia="楷体" w:cs="楷体"/>
          <w:b/>
          <w:bCs/>
          <w:color w:val="000000" w:themeColor="text1"/>
          <w:kern w:val="0"/>
          <w:sz w:val="32"/>
          <w:szCs w:val="32"/>
          <w:highlight w:val="none"/>
          <w14:textFill>
            <w14:solidFill>
              <w14:schemeClr w14:val="tx1"/>
            </w14:solidFill>
          </w14:textFill>
        </w:rPr>
      </w:pPr>
      <w:bookmarkStart w:id="1210" w:name="_Toc12781"/>
      <w:bookmarkStart w:id="1211" w:name="_Toc12832"/>
      <w:bookmarkStart w:id="1212" w:name="_Toc5271"/>
      <w:r>
        <w:rPr>
          <w:rFonts w:ascii="楷体" w:hAnsi="楷体" w:eastAsia="楷体" w:cs="楷体"/>
          <w:b/>
          <w:bCs/>
          <w:color w:val="000000" w:themeColor="text1"/>
          <w:kern w:val="0"/>
          <w:sz w:val="32"/>
          <w:szCs w:val="32"/>
          <w:highlight w:val="none"/>
          <w14:textFill>
            <w14:solidFill>
              <w14:schemeClr w14:val="tx1"/>
            </w14:solidFill>
          </w14:textFill>
        </w:rPr>
        <w:t>1.6.2</w:t>
      </w:r>
      <w:r>
        <w:rPr>
          <w:rFonts w:hint="eastAsia" w:ascii="楷体" w:hAnsi="楷体" w:eastAsia="楷体" w:cs="楷体"/>
          <w:b/>
          <w:bCs/>
          <w:color w:val="000000" w:themeColor="text1"/>
          <w:kern w:val="0"/>
          <w:sz w:val="32"/>
          <w:szCs w:val="32"/>
          <w:highlight w:val="none"/>
          <w14:textFill>
            <w14:solidFill>
              <w14:schemeClr w14:val="tx1"/>
            </w14:solidFill>
          </w14:textFill>
        </w:rPr>
        <w:t>重大突发事件（Ⅱ级）</w:t>
      </w:r>
      <w:bookmarkEnd w:id="1206"/>
      <w:bookmarkEnd w:id="1207"/>
      <w:bookmarkEnd w:id="1208"/>
      <w:bookmarkEnd w:id="1209"/>
      <w:bookmarkEnd w:id="1210"/>
      <w:bookmarkEnd w:id="1211"/>
      <w:bookmarkEnd w:id="1212"/>
    </w:p>
    <w:p>
      <w:pPr>
        <w:pStyle w:val="3"/>
        <w:keepNext w:val="0"/>
        <w:keepLines w:val="0"/>
        <w:pageBreakBefore w:val="0"/>
        <w:widowControl w:val="0"/>
        <w:kinsoku/>
        <w:wordWrap/>
        <w:overflowPunct w:val="0"/>
        <w:topLinePunct/>
        <w:autoSpaceDE/>
        <w:autoSpaceDN/>
        <w:bidi w:val="0"/>
        <w:adjustRightInd/>
        <w:snapToGrid/>
        <w:spacing w:line="600" w:lineRule="exact"/>
        <w:ind w:firstLine="640" w:firstLineChars="200"/>
        <w:jc w:val="both"/>
        <w:textAlignment w:val="auto"/>
        <w:rPr>
          <w:rFonts w:hint="eastAsia"/>
          <w:color w:val="000000" w:themeColor="text1"/>
          <w:sz w:val="32"/>
          <w:szCs w:val="32"/>
          <w:highlight w:val="none"/>
          <w14:textFill>
            <w14:solidFill>
              <w14:schemeClr w14:val="tx1"/>
            </w14:solidFill>
          </w14:textFill>
        </w:rPr>
      </w:pPr>
      <w:bookmarkStart w:id="1213" w:name="_Toc17079"/>
      <w:bookmarkStart w:id="1214" w:name="_Toc170914129"/>
      <w:bookmarkStart w:id="1215" w:name="_Toc10816"/>
      <w:bookmarkStart w:id="1216" w:name="_Toc14940"/>
      <w:bookmarkStart w:id="1217" w:name="_Toc29102"/>
      <w:r>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t>事态复杂，已经或可能造成重大人员伤亡、重大财产损失，需自治区交通运输厅组织协调系统内多方面力量和资源进行应急处置的公路低温雨雪冰冻天气事件。</w:t>
      </w:r>
    </w:p>
    <w:p>
      <w:pPr>
        <w:keepNext w:val="0"/>
        <w:keepLines w:val="0"/>
        <w:pageBreakBefore w:val="0"/>
        <w:widowControl w:val="0"/>
        <w:kinsoku/>
        <w:wordWrap/>
        <w:overflowPunct w:val="0"/>
        <w:topLinePunct/>
        <w:autoSpaceDE/>
        <w:autoSpaceDN/>
        <w:bidi w:val="0"/>
        <w:adjustRightInd/>
        <w:snapToGrid/>
        <w:spacing w:line="600" w:lineRule="exact"/>
        <w:ind w:firstLine="642" w:firstLineChars="200"/>
        <w:jc w:val="both"/>
        <w:textAlignment w:val="auto"/>
        <w:outlineLvl w:val="3"/>
        <w:rPr>
          <w:rFonts w:ascii="楷体" w:hAnsi="楷体" w:eastAsia="楷体" w:cs="楷体"/>
          <w:b/>
          <w:bCs/>
          <w:color w:val="000000" w:themeColor="text1"/>
          <w:kern w:val="0"/>
          <w:sz w:val="32"/>
          <w:szCs w:val="32"/>
          <w:highlight w:val="none"/>
          <w14:textFill>
            <w14:solidFill>
              <w14:schemeClr w14:val="tx1"/>
            </w14:solidFill>
          </w14:textFill>
        </w:rPr>
      </w:pPr>
      <w:bookmarkStart w:id="1218" w:name="_Toc28739"/>
      <w:bookmarkStart w:id="1219" w:name="_Toc16440"/>
      <w:bookmarkStart w:id="1220" w:name="_Toc100"/>
      <w:r>
        <w:rPr>
          <w:rFonts w:ascii="楷体" w:hAnsi="楷体" w:eastAsia="楷体" w:cs="楷体"/>
          <w:b/>
          <w:bCs/>
          <w:color w:val="000000" w:themeColor="text1"/>
          <w:kern w:val="0"/>
          <w:sz w:val="32"/>
          <w:szCs w:val="32"/>
          <w:highlight w:val="none"/>
          <w14:textFill>
            <w14:solidFill>
              <w14:schemeClr w14:val="tx1"/>
            </w14:solidFill>
          </w14:textFill>
        </w:rPr>
        <w:t>1.6.3</w:t>
      </w:r>
      <w:r>
        <w:rPr>
          <w:rFonts w:hint="eastAsia" w:ascii="楷体" w:hAnsi="楷体" w:eastAsia="楷体" w:cs="楷体"/>
          <w:b/>
          <w:bCs/>
          <w:color w:val="000000" w:themeColor="text1"/>
          <w:kern w:val="0"/>
          <w:sz w:val="32"/>
          <w:szCs w:val="32"/>
          <w:highlight w:val="none"/>
          <w14:textFill>
            <w14:solidFill>
              <w14:schemeClr w14:val="tx1"/>
            </w14:solidFill>
          </w14:textFill>
        </w:rPr>
        <w:t>较大突发事件（Ⅲ级）</w:t>
      </w:r>
      <w:bookmarkEnd w:id="1213"/>
      <w:bookmarkEnd w:id="1214"/>
      <w:bookmarkEnd w:id="1215"/>
      <w:bookmarkEnd w:id="1216"/>
      <w:bookmarkEnd w:id="1217"/>
      <w:bookmarkEnd w:id="1218"/>
      <w:bookmarkEnd w:id="1219"/>
      <w:bookmarkEnd w:id="1220"/>
    </w:p>
    <w:p>
      <w:pPr>
        <w:pStyle w:val="3"/>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pPr>
      <w:bookmarkStart w:id="1221" w:name="_Toc43"/>
      <w:bookmarkStart w:id="1222" w:name="_Toc16573"/>
      <w:bookmarkStart w:id="1223" w:name="_Toc170914130"/>
      <w:bookmarkStart w:id="1224" w:name="_Toc17801"/>
      <w:r>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t>事态较为复杂，已经或可能造成较大人员伤亡、较大财产损失，需市级交通运输主管部门组织协调系统内多方面力量和资源进行应急处置的公路低温雨雪冰冻天气事件。</w:t>
      </w:r>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225" w:name="_Toc8888"/>
      <w:bookmarkStart w:id="1226" w:name="_Toc12153"/>
      <w:bookmarkStart w:id="1227" w:name="_Toc8136"/>
      <w:r>
        <w:rPr>
          <w:rFonts w:ascii="楷体" w:hAnsi="楷体" w:eastAsia="楷体" w:cs="楷体"/>
          <w:b/>
          <w:bCs/>
          <w:color w:val="000000" w:themeColor="text1"/>
          <w:kern w:val="0"/>
          <w:sz w:val="31"/>
          <w:szCs w:val="31"/>
          <w:highlight w:val="none"/>
          <w14:textFill>
            <w14:solidFill>
              <w14:schemeClr w14:val="tx1"/>
            </w14:solidFill>
          </w14:textFill>
        </w:rPr>
        <w:t>1.6.4</w:t>
      </w:r>
      <w:r>
        <w:rPr>
          <w:rFonts w:hint="eastAsia" w:ascii="楷体" w:hAnsi="楷体" w:eastAsia="楷体" w:cs="楷体"/>
          <w:b/>
          <w:bCs/>
          <w:color w:val="000000" w:themeColor="text1"/>
          <w:kern w:val="0"/>
          <w:sz w:val="31"/>
          <w:szCs w:val="31"/>
          <w:highlight w:val="none"/>
          <w14:textFill>
            <w14:solidFill>
              <w14:schemeClr w14:val="tx1"/>
            </w14:solidFill>
          </w14:textFill>
        </w:rPr>
        <w:t>一般突发事件（Ⅳ级）</w:t>
      </w:r>
      <w:bookmarkEnd w:id="1221"/>
      <w:bookmarkEnd w:id="1222"/>
      <w:bookmarkEnd w:id="1223"/>
      <w:bookmarkEnd w:id="1224"/>
      <w:bookmarkEnd w:id="1225"/>
      <w:bookmarkEnd w:id="1226"/>
      <w:bookmarkEnd w:id="1227"/>
    </w:p>
    <w:p>
      <w:pPr>
        <w:pStyle w:val="3"/>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pPr>
      <w:bookmarkStart w:id="1228" w:name="_Toc8787"/>
      <w:bookmarkStart w:id="1229" w:name="_Toc7740"/>
      <w:bookmarkStart w:id="1230" w:name="_Toc3280"/>
      <w:bookmarkStart w:id="1231" w:name="_Toc31143"/>
      <w:bookmarkStart w:id="1232" w:name="_Toc170914131"/>
      <w:r>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t>事态比较简单，已经或可能造成人员伤亡、财产损失，需县级交通运输主管部门组织协调系统内多方面力量和资源进行应急处置的公路低温雨雪冰冻天气事件。</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233" w:name="_Toc17737"/>
      <w:bookmarkStart w:id="1234" w:name="_Toc7826"/>
      <w:bookmarkStart w:id="1235" w:name="_Toc1352"/>
      <w:bookmarkStart w:id="1236" w:name="_Toc12012"/>
      <w:bookmarkStart w:id="1237" w:name="_Toc27770"/>
      <w:r>
        <w:rPr>
          <w:rFonts w:ascii="楷体_GB2312" w:hAnsi="仿宋" w:eastAsia="楷体_GB2312"/>
          <w:color w:val="000000" w:themeColor="text1"/>
          <w:highlight w:val="none"/>
          <w14:textFill>
            <w14:solidFill>
              <w14:schemeClr w14:val="tx1"/>
            </w14:solidFill>
          </w14:textFill>
        </w:rPr>
        <w:t>1.</w:t>
      </w:r>
      <w:r>
        <w:rPr>
          <w:rFonts w:hint="eastAsia" w:ascii="楷体_GB2312" w:hAnsi="仿宋" w:eastAsia="楷体_GB2312"/>
          <w:color w:val="000000" w:themeColor="text1"/>
          <w:highlight w:val="none"/>
          <w14:textFill>
            <w14:solidFill>
              <w14:schemeClr w14:val="tx1"/>
            </w14:solidFill>
          </w14:textFill>
        </w:rPr>
        <w:t>7应急预案体系</w:t>
      </w:r>
      <w:bookmarkEnd w:id="1228"/>
      <w:bookmarkEnd w:id="1229"/>
      <w:bookmarkEnd w:id="1230"/>
      <w:bookmarkEnd w:id="1231"/>
      <w:bookmarkEnd w:id="1232"/>
      <w:bookmarkEnd w:id="1233"/>
      <w:bookmarkEnd w:id="1234"/>
      <w:bookmarkEnd w:id="1235"/>
      <w:bookmarkEnd w:id="1236"/>
      <w:bookmarkEnd w:id="1237"/>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自治区交通运输厅低温雨雪冰冻天气事件应急预案体系分为自治区、市、县（区）交通部门和各高速公路运营管理单位应急预案。各级交通运输主管部门和各级公路管养单位应当根据各级低温雨雪冰冻天气事件应急预案的要求，结合自身实际，为及时应对可能发生的低温雨雪冰冻灾害天气制定应急预案，定期演练并修订预案。</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238" w:name="_Toc170914132"/>
      <w:bookmarkStart w:id="1239" w:name="_Toc30735"/>
      <w:bookmarkStart w:id="1240" w:name="_Toc5987"/>
      <w:bookmarkStart w:id="1241" w:name="_Toc1254"/>
      <w:bookmarkStart w:id="1242" w:name="_Toc11651"/>
      <w:bookmarkStart w:id="1243" w:name="_Toc25499"/>
      <w:bookmarkStart w:id="1244" w:name="_Toc16575"/>
      <w:bookmarkStart w:id="1245" w:name="_Toc9185"/>
      <w:bookmarkStart w:id="1246" w:name="_Toc18857"/>
      <w:bookmarkStart w:id="1247" w:name="_Toc1417"/>
      <w:bookmarkStart w:id="1248" w:name="_Toc733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2.组织机构与职责</w:t>
      </w:r>
      <w:bookmarkEnd w:id="1238"/>
      <w:bookmarkEnd w:id="1239"/>
      <w:bookmarkEnd w:id="1240"/>
      <w:bookmarkEnd w:id="1241"/>
      <w:bookmarkEnd w:id="1242"/>
      <w:bookmarkEnd w:id="1243"/>
      <w:bookmarkEnd w:id="1244"/>
      <w:bookmarkEnd w:id="1245"/>
      <w:bookmarkEnd w:id="1246"/>
      <w:bookmarkEnd w:id="1247"/>
      <w:bookmarkEnd w:id="1248"/>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249" w:name="_Toc5110"/>
      <w:bookmarkStart w:id="1250" w:name="_Toc16527"/>
      <w:bookmarkStart w:id="1251" w:name="_Toc2670"/>
      <w:bookmarkStart w:id="1252" w:name="_Toc170914133"/>
      <w:bookmarkStart w:id="1253" w:name="_Toc13712"/>
      <w:bookmarkStart w:id="1254" w:name="_Toc30181"/>
      <w:bookmarkStart w:id="1255" w:name="_Toc21558"/>
      <w:bookmarkStart w:id="1256" w:name="_Toc31253"/>
      <w:bookmarkStart w:id="1257" w:name="_Toc2987"/>
      <w:bookmarkStart w:id="1258" w:name="_Toc23561"/>
      <w:bookmarkStart w:id="1259" w:name="_Toc23739"/>
      <w:r>
        <w:rPr>
          <w:rFonts w:ascii="楷体_GB2312" w:hAnsi="仿宋" w:eastAsia="楷体_GB2312"/>
          <w:color w:val="000000" w:themeColor="text1"/>
          <w:highlight w:val="none"/>
          <w14:textFill>
            <w14:solidFill>
              <w14:schemeClr w14:val="tx1"/>
            </w14:solidFill>
          </w14:textFill>
        </w:rPr>
        <w:t>2.1</w:t>
      </w:r>
      <w:r>
        <w:rPr>
          <w:rFonts w:hint="eastAsia" w:ascii="楷体_GB2312" w:hAnsi="仿宋" w:eastAsia="楷体_GB2312"/>
          <w:color w:val="000000" w:themeColor="text1"/>
          <w:highlight w:val="none"/>
          <w14:textFill>
            <w14:solidFill>
              <w14:schemeClr w14:val="tx1"/>
            </w14:solidFill>
          </w14:textFill>
        </w:rPr>
        <w:t>应急</w:t>
      </w:r>
      <w:bookmarkEnd w:id="1249"/>
      <w:r>
        <w:rPr>
          <w:rFonts w:hint="eastAsia" w:ascii="楷体_GB2312" w:hAnsi="仿宋" w:eastAsia="楷体_GB2312"/>
          <w:color w:val="000000" w:themeColor="text1"/>
          <w:highlight w:val="none"/>
          <w14:textFill>
            <w14:solidFill>
              <w14:schemeClr w14:val="tx1"/>
            </w14:solidFill>
          </w14:textFill>
        </w:rPr>
        <w:t>指挥体系</w:t>
      </w:r>
      <w:bookmarkEnd w:id="1250"/>
      <w:bookmarkEnd w:id="1251"/>
      <w:bookmarkEnd w:id="1252"/>
      <w:bookmarkEnd w:id="1253"/>
      <w:bookmarkEnd w:id="1254"/>
      <w:bookmarkEnd w:id="1255"/>
      <w:bookmarkEnd w:id="1256"/>
      <w:bookmarkEnd w:id="1257"/>
      <w:bookmarkEnd w:id="1258"/>
      <w:bookmarkEnd w:id="1259"/>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260" w:name="_Toc531771741"/>
      <w:bookmarkStart w:id="1261" w:name="_Toc19433"/>
      <w:bookmarkStart w:id="1262" w:name="_Toc506699888"/>
      <w:bookmarkStart w:id="1263" w:name="_Toc11796"/>
      <w:bookmarkStart w:id="1264" w:name="_Toc15644"/>
      <w:bookmarkStart w:id="1265" w:name="_Toc24354"/>
      <w:bookmarkStart w:id="1266" w:name="_Toc23426"/>
      <w:bookmarkStart w:id="1267" w:name="_Toc9"/>
      <w:bookmarkStart w:id="1268" w:name="_Toc170914134"/>
      <w:bookmarkStart w:id="1269" w:name="_Toc3229"/>
      <w:bookmarkStart w:id="1270" w:name="_Toc22799"/>
      <w:r>
        <w:rPr>
          <w:rFonts w:ascii="楷体" w:hAnsi="楷体" w:eastAsia="楷体" w:cs="楷体"/>
          <w:b/>
          <w:bCs/>
          <w:color w:val="000000" w:themeColor="text1"/>
          <w:kern w:val="0"/>
          <w:sz w:val="31"/>
          <w:szCs w:val="31"/>
          <w:highlight w:val="none"/>
          <w14:textFill>
            <w14:solidFill>
              <w14:schemeClr w14:val="tx1"/>
            </w14:solidFill>
          </w14:textFill>
        </w:rPr>
        <w:t>2.1.1应急</w:t>
      </w:r>
      <w:bookmarkEnd w:id="1260"/>
      <w:bookmarkEnd w:id="1261"/>
      <w:bookmarkEnd w:id="1262"/>
      <w:r>
        <w:rPr>
          <w:rFonts w:hint="eastAsia" w:ascii="楷体" w:hAnsi="楷体" w:eastAsia="楷体" w:cs="楷体"/>
          <w:b/>
          <w:bCs/>
          <w:color w:val="000000" w:themeColor="text1"/>
          <w:kern w:val="0"/>
          <w:sz w:val="31"/>
          <w:szCs w:val="31"/>
          <w:highlight w:val="none"/>
          <w14:textFill>
            <w14:solidFill>
              <w14:schemeClr w14:val="tx1"/>
            </w14:solidFill>
          </w14:textFill>
        </w:rPr>
        <w:t>指挥部</w:t>
      </w:r>
      <w:bookmarkEnd w:id="1263"/>
      <w:bookmarkEnd w:id="1264"/>
      <w:bookmarkEnd w:id="1265"/>
      <w:bookmarkEnd w:id="1266"/>
      <w:bookmarkEnd w:id="1267"/>
      <w:bookmarkEnd w:id="1268"/>
      <w:bookmarkEnd w:id="1269"/>
      <w:bookmarkEnd w:id="1270"/>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自治区交通运输厅成立公路领域防范应对低温雨雪冰冻灾害指挥部（以下简称指挥部），组织协调全区公路领域低温雨雪冰冻灾害应对工作。</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指挥长：自治区交通运输厅</w:t>
      </w:r>
      <w:r>
        <w:rPr>
          <w:rFonts w:hint="eastAsia" w:ascii="仿宋_GB2312" w:hAnsi="仿宋" w:eastAsia="仿宋_GB2312"/>
          <w:color w:val="000000" w:themeColor="text1"/>
          <w:sz w:val="32"/>
          <w:szCs w:val="32"/>
          <w:highlight w:val="none"/>
          <w:lang w:eastAsia="zh-CN"/>
          <w14:textFill>
            <w14:solidFill>
              <w14:schemeClr w14:val="tx1"/>
            </w14:solidFill>
          </w14:textFill>
        </w:rPr>
        <w:t>主要负责人</w:t>
      </w:r>
      <w:r>
        <w:rPr>
          <w:rFonts w:hint="eastAsia" w:ascii="仿宋_GB2312" w:hAnsi="仿宋" w:eastAsia="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副指挥长：分管应急</w:t>
      </w:r>
      <w:r>
        <w:rPr>
          <w:rFonts w:hint="eastAsia" w:ascii="仿宋_GB2312" w:hAnsi="仿宋" w:eastAsia="仿宋_GB2312"/>
          <w:color w:val="000000" w:themeColor="text1"/>
          <w:sz w:val="32"/>
          <w:szCs w:val="32"/>
          <w:highlight w:val="none"/>
          <w:lang w:eastAsia="zh-CN"/>
          <w14:textFill>
            <w14:solidFill>
              <w14:schemeClr w14:val="tx1"/>
            </w14:solidFill>
          </w14:textFill>
        </w:rPr>
        <w:t>管理工作</w:t>
      </w:r>
      <w:r>
        <w:rPr>
          <w:rFonts w:hint="eastAsia" w:ascii="仿宋_GB2312" w:hAnsi="仿宋" w:eastAsia="仿宋_GB2312"/>
          <w:color w:val="000000" w:themeColor="text1"/>
          <w:sz w:val="32"/>
          <w:szCs w:val="32"/>
          <w:highlight w:val="none"/>
          <w14:textFill>
            <w14:solidFill>
              <w14:schemeClr w14:val="tx1"/>
            </w14:solidFill>
          </w14:textFill>
        </w:rPr>
        <w:t>的</w:t>
      </w:r>
      <w:r>
        <w:rPr>
          <w:rFonts w:hint="eastAsia" w:ascii="仿宋_GB2312" w:hAnsi="仿宋" w:eastAsia="仿宋_GB2312"/>
          <w:color w:val="000000" w:themeColor="text1"/>
          <w:sz w:val="32"/>
          <w:szCs w:val="32"/>
          <w:highlight w:val="none"/>
          <w:lang w:eastAsia="zh-CN"/>
          <w14:textFill>
            <w14:solidFill>
              <w14:schemeClr w14:val="tx1"/>
            </w14:solidFill>
          </w14:textFill>
        </w:rPr>
        <w:t>厅领导</w:t>
      </w:r>
      <w:r>
        <w:rPr>
          <w:rFonts w:hint="eastAsia" w:ascii="仿宋_GB2312" w:hAnsi="仿宋" w:eastAsia="仿宋_GB2312"/>
          <w:color w:val="000000" w:themeColor="text1"/>
          <w:sz w:val="32"/>
          <w:szCs w:val="32"/>
          <w:highlight w:val="none"/>
          <w14:textFill>
            <w14:solidFill>
              <w14:schemeClr w14:val="tx1"/>
            </w14:solidFill>
          </w14:textFill>
        </w:rPr>
        <w:t>或由指挥长根据应急</w:t>
      </w:r>
    </w:p>
    <w:p>
      <w:pPr>
        <w:keepNext w:val="0"/>
        <w:keepLines w:val="0"/>
        <w:pageBreakBefore w:val="0"/>
        <w:widowControl w:val="0"/>
        <w:kinsoku/>
        <w:wordWrap/>
        <w:overflowPunct/>
        <w:topLinePunct/>
        <w:autoSpaceDE/>
        <w:autoSpaceDN/>
        <w:bidi w:val="0"/>
        <w:adjustRightInd/>
        <w:snapToGrid/>
        <w:spacing w:line="600" w:lineRule="exact"/>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工作需要任命的相关厅领导。</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color w:val="000000" w:themeColor="text1"/>
          <w:sz w:val="32"/>
          <w:szCs w:val="32"/>
          <w:highlight w:val="none"/>
          <w14:textFill>
            <w14:solidFill>
              <w14:schemeClr w14:val="tx1"/>
            </w14:solidFill>
          </w14:textFill>
        </w:rPr>
      </w:pPr>
      <w:r>
        <w:rPr>
          <w:rFonts w:ascii="仿宋_GB2312" w:hAnsi="宋体" w:eastAsia="仿宋_GB2312" w:cs="仿宋_GB2312"/>
          <w:color w:val="000000" w:themeColor="text1"/>
          <w:kern w:val="0"/>
          <w:sz w:val="32"/>
          <w:szCs w:val="32"/>
          <w:highlight w:val="none"/>
          <w14:textFill>
            <w14:solidFill>
              <w14:schemeClr w14:val="tx1"/>
            </w14:solidFill>
          </w14:textFill>
        </w:rPr>
        <w:t>指挥部办公室设置在厅</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公路管理处</w:t>
      </w:r>
      <w:r>
        <w:rPr>
          <w:rFonts w:ascii="仿宋_GB2312" w:hAnsi="宋体" w:eastAsia="仿宋_GB2312" w:cs="仿宋_GB2312"/>
          <w:color w:val="000000" w:themeColor="text1"/>
          <w:kern w:val="0"/>
          <w:sz w:val="32"/>
          <w:szCs w:val="32"/>
          <w:highlight w:val="none"/>
          <w14:textFill>
            <w14:solidFill>
              <w14:schemeClr w14:val="tx1"/>
            </w14:solidFill>
          </w14:textFill>
        </w:rPr>
        <w:t>，承担厅指挥部日常工作。厅</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公路管理</w:t>
      </w:r>
      <w:r>
        <w:rPr>
          <w:rFonts w:ascii="仿宋_GB2312" w:hAnsi="宋体" w:eastAsia="仿宋_GB2312" w:cs="仿宋_GB2312"/>
          <w:color w:val="000000" w:themeColor="text1"/>
          <w:kern w:val="0"/>
          <w:sz w:val="32"/>
          <w:szCs w:val="32"/>
          <w:highlight w:val="none"/>
          <w14:textFill>
            <w14:solidFill>
              <w14:schemeClr w14:val="tx1"/>
            </w14:solidFill>
          </w14:textFill>
        </w:rPr>
        <w:t>处主要负责人担任指挥部办公室主任。</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color w:val="000000" w:themeColor="text1"/>
          <w:sz w:val="32"/>
          <w:szCs w:val="32"/>
          <w:highlight w:val="none"/>
          <w14:textFill>
            <w14:solidFill>
              <w14:schemeClr w14:val="tx1"/>
            </w14:solidFill>
          </w14:textFill>
        </w:rPr>
      </w:pPr>
      <w:r>
        <w:rPr>
          <w:rFonts w:ascii="仿宋_GB2312" w:hAnsi="宋体" w:eastAsia="仿宋_GB2312" w:cs="仿宋_GB2312"/>
          <w:color w:val="000000" w:themeColor="text1"/>
          <w:kern w:val="0"/>
          <w:sz w:val="32"/>
          <w:szCs w:val="32"/>
          <w:highlight w:val="none"/>
          <w14:textFill>
            <w14:solidFill>
              <w14:schemeClr w14:val="tx1"/>
            </w14:solidFill>
          </w14:textFill>
        </w:rPr>
        <w:t>成员：</w:t>
      </w:r>
      <w:r>
        <w:rPr>
          <w:rFonts w:hint="eastAsia" w:ascii="仿宋_GB2312" w:hAnsi="仿宋" w:eastAsia="仿宋_GB2312"/>
          <w:color w:val="000000" w:themeColor="text1"/>
          <w:sz w:val="32"/>
          <w:szCs w:val="32"/>
          <w:highlight w:val="none"/>
          <w:lang w:eastAsia="zh-CN"/>
          <w14:textFill>
            <w14:solidFill>
              <w14:schemeClr w14:val="tx1"/>
            </w14:solidFill>
          </w14:textFill>
        </w:rPr>
        <w:t>厅机关党委、厅办公室、厅政策法规处、厅综合规划处、厅财务审计处、厅建设管理处、厅科技处、厅安全与质量监督管理处、厅运输和海事管理处、交通战备处、宁夏公路管理中心、自治区交通宣传事务中心、自治区道路运输事务中心、自治区联网收费清分结算中心、宁夏交通投资集团有限公司、宁夏回族自治区交通运输综合执法监督局及宁夏路网监测与应急处置中心主要负责人。厅指挥部成员单位及职责见附件1。</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eastAsia="仿宋_GB2312"/>
          <w:color w:val="000000" w:themeColor="text1"/>
          <w:sz w:val="32"/>
          <w:szCs w:val="32"/>
          <w:highlight w:val="none"/>
          <w14:textFill>
            <w14:solidFill>
              <w14:schemeClr w14:val="tx1"/>
            </w14:solidFill>
          </w14:textFill>
        </w:rPr>
      </w:pPr>
      <w:r>
        <w:rPr>
          <w:rFonts w:ascii="仿宋_GB2312" w:hAnsi="宋体" w:eastAsia="仿宋_GB2312" w:cs="仿宋_GB2312"/>
          <w:color w:val="000000" w:themeColor="text1"/>
          <w:kern w:val="0"/>
          <w:sz w:val="32"/>
          <w:szCs w:val="32"/>
          <w:highlight w:val="none"/>
          <w14:textFill>
            <w14:solidFill>
              <w14:schemeClr w14:val="tx1"/>
            </w14:solidFill>
          </w14:textFill>
        </w:rPr>
        <w:t>厅指挥部设</w:t>
      </w:r>
      <w:r>
        <w:rPr>
          <w:rFonts w:hint="eastAsia" w:ascii="仿宋_GB2312" w:hAnsi="仿宋" w:eastAsia="仿宋_GB2312"/>
          <w:color w:val="000000" w:themeColor="text1"/>
          <w:sz w:val="32"/>
          <w:szCs w:val="32"/>
          <w:highlight w:val="none"/>
          <w14:textFill>
            <w14:solidFill>
              <w14:schemeClr w14:val="tx1"/>
            </w14:solidFill>
          </w14:textFill>
        </w:rPr>
        <w:t>综合协调组、公路畅通保障组、交通运输保障组、通信保障组、新闻宣传组、专家组、现场工作组、灾情评估组等应急工作组，工作组组成及职责见附件2。</w:t>
      </w:r>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271" w:name="_Toc29752"/>
      <w:bookmarkStart w:id="1272" w:name="_Toc7481"/>
      <w:bookmarkStart w:id="1273" w:name="_Toc16712"/>
      <w:bookmarkStart w:id="1274" w:name="_Toc15113"/>
      <w:bookmarkStart w:id="1275" w:name="_Toc30275"/>
      <w:bookmarkStart w:id="1276" w:name="_Toc170914135"/>
      <w:bookmarkStart w:id="1277" w:name="_Toc8900"/>
      <w:bookmarkStart w:id="1278" w:name="_Toc531771747"/>
      <w:bookmarkStart w:id="1279" w:name="_Toc9288"/>
      <w:r>
        <w:rPr>
          <w:rFonts w:ascii="楷体" w:hAnsi="楷体" w:eastAsia="楷体" w:cs="楷体"/>
          <w:b/>
          <w:bCs/>
          <w:color w:val="000000" w:themeColor="text1"/>
          <w:kern w:val="0"/>
          <w:sz w:val="31"/>
          <w:szCs w:val="31"/>
          <w:highlight w:val="none"/>
          <w14:textFill>
            <w14:solidFill>
              <w14:schemeClr w14:val="tx1"/>
            </w14:solidFill>
          </w14:textFill>
        </w:rPr>
        <w:t>2.1.</w:t>
      </w:r>
      <w:r>
        <w:rPr>
          <w:rFonts w:hint="eastAsia" w:ascii="楷体" w:hAnsi="楷体" w:eastAsia="楷体" w:cs="楷体"/>
          <w:b/>
          <w:bCs/>
          <w:color w:val="000000" w:themeColor="text1"/>
          <w:kern w:val="0"/>
          <w:sz w:val="31"/>
          <w:szCs w:val="31"/>
          <w:highlight w:val="none"/>
          <w14:textFill>
            <w14:solidFill>
              <w14:schemeClr w14:val="tx1"/>
            </w14:solidFill>
          </w14:textFill>
        </w:rPr>
        <w:t>2</w:t>
      </w:r>
      <w:r>
        <w:rPr>
          <w:rFonts w:ascii="楷体" w:hAnsi="楷体" w:eastAsia="楷体" w:cs="楷体"/>
          <w:b/>
          <w:bCs/>
          <w:color w:val="000000" w:themeColor="text1"/>
          <w:kern w:val="0"/>
          <w:sz w:val="31"/>
          <w:szCs w:val="31"/>
          <w:highlight w:val="none"/>
          <w14:textFill>
            <w14:solidFill>
              <w14:schemeClr w14:val="tx1"/>
            </w14:solidFill>
          </w14:textFill>
        </w:rPr>
        <w:t>应急协助部门</w:t>
      </w:r>
      <w:bookmarkEnd w:id="1271"/>
      <w:bookmarkEnd w:id="1272"/>
      <w:bookmarkEnd w:id="1273"/>
      <w:bookmarkEnd w:id="1274"/>
      <w:bookmarkEnd w:id="1275"/>
      <w:bookmarkEnd w:id="1276"/>
      <w:bookmarkEnd w:id="1277"/>
      <w:bookmarkEnd w:id="1278"/>
      <w:bookmarkEnd w:id="1279"/>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default" w:ascii="仿宋_GB2312" w:hAnsi="仿宋" w:eastAsia="仿宋_GB2312"/>
          <w:color w:val="000000" w:themeColor="text1"/>
          <w:sz w:val="32"/>
          <w:szCs w:val="32"/>
          <w:highlight w:val="none"/>
          <w:lang w:val="en-US" w:eastAsia="zh-CN"/>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天气事件预警和处置，需要与自治区公安厅、自治区气象局、自治区应急管理厅等部门共同实施。在低温雨雪冰冻天气事件应急响应中，根据突发事件的级别和类型，在交通运输厅的领导下，由厅安委办负责协调相关部门参加应急协作，各协作部门的应急任务分工依据其职责而定。</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280" w:name="_Toc170914136"/>
      <w:bookmarkStart w:id="1281" w:name="_Toc32088"/>
      <w:bookmarkStart w:id="1282" w:name="_Toc28845"/>
      <w:bookmarkStart w:id="1283" w:name="_Toc22273"/>
      <w:bookmarkStart w:id="1284" w:name="_Toc414"/>
      <w:bookmarkStart w:id="1285" w:name="_Toc531771748"/>
      <w:bookmarkStart w:id="1286" w:name="_Toc506699894"/>
      <w:bookmarkStart w:id="1287" w:name="_Toc7091"/>
      <w:bookmarkStart w:id="1288" w:name="_Toc21216"/>
      <w:bookmarkStart w:id="1289" w:name="_Toc2982"/>
      <w:bookmarkStart w:id="1290" w:name="_Toc18188"/>
      <w:bookmarkStart w:id="1291" w:name="_Toc9791"/>
      <w:r>
        <w:rPr>
          <w:rFonts w:ascii="楷体_GB2312" w:hAnsi="仿宋" w:eastAsia="楷体_GB2312"/>
          <w:color w:val="000000" w:themeColor="text1"/>
          <w:highlight w:val="none"/>
          <w14:textFill>
            <w14:solidFill>
              <w14:schemeClr w14:val="tx1"/>
            </w14:solidFill>
          </w14:textFill>
        </w:rPr>
        <w:t>2.2</w:t>
      </w:r>
      <w:r>
        <w:rPr>
          <w:rFonts w:hint="eastAsia" w:ascii="楷体_GB2312" w:hAnsi="仿宋" w:eastAsia="楷体_GB2312"/>
          <w:color w:val="000000" w:themeColor="text1"/>
          <w:highlight w:val="none"/>
          <w14:textFill>
            <w14:solidFill>
              <w14:schemeClr w14:val="tx1"/>
            </w14:solidFill>
          </w14:textFill>
        </w:rPr>
        <w:t>各单位</w:t>
      </w:r>
      <w:r>
        <w:rPr>
          <w:rFonts w:ascii="楷体_GB2312" w:hAnsi="仿宋" w:eastAsia="楷体_GB2312"/>
          <w:color w:val="000000" w:themeColor="text1"/>
          <w:highlight w:val="none"/>
          <w14:textFill>
            <w14:solidFill>
              <w14:schemeClr w14:val="tx1"/>
            </w14:solidFill>
          </w14:textFill>
        </w:rPr>
        <w:t>应急组织机构</w:t>
      </w:r>
      <w:bookmarkEnd w:id="1280"/>
      <w:bookmarkEnd w:id="1281"/>
      <w:bookmarkEnd w:id="1282"/>
      <w:bookmarkEnd w:id="1283"/>
      <w:bookmarkEnd w:id="1284"/>
      <w:bookmarkEnd w:id="1285"/>
      <w:bookmarkEnd w:id="1286"/>
      <w:bookmarkEnd w:id="1287"/>
      <w:bookmarkEnd w:id="1288"/>
      <w:bookmarkEnd w:id="1289"/>
      <w:bookmarkEnd w:id="1290"/>
      <w:bookmarkEnd w:id="1291"/>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各级交通运输主管部门和各级公路管养单位可参照本预案，根据本单位实际情况成立相应的低温雨雪冰冻天气事件应急组织机构，明确相关职责，处理相应的灾害事件。</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292" w:name="_Toc2870"/>
      <w:bookmarkStart w:id="1293" w:name="_Toc180"/>
      <w:bookmarkStart w:id="1294" w:name="_Toc24598"/>
      <w:bookmarkStart w:id="1295" w:name="_Toc170914137"/>
      <w:bookmarkStart w:id="1296" w:name="_Toc28502"/>
      <w:bookmarkStart w:id="1297" w:name="_Toc20695"/>
      <w:bookmarkStart w:id="1298" w:name="_Toc10666"/>
      <w:bookmarkStart w:id="1299" w:name="_Toc26681"/>
      <w:bookmarkStart w:id="1300" w:name="_Toc3165"/>
      <w:bookmarkStart w:id="1301" w:name="_Toc1395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3.预防与预警</w:t>
      </w:r>
      <w:bookmarkEnd w:id="1292"/>
      <w:bookmarkEnd w:id="1293"/>
      <w:bookmarkEnd w:id="1294"/>
      <w:bookmarkEnd w:id="1295"/>
      <w:bookmarkEnd w:id="1296"/>
      <w:bookmarkEnd w:id="1297"/>
      <w:bookmarkEnd w:id="1298"/>
      <w:bookmarkEnd w:id="1299"/>
      <w:bookmarkEnd w:id="1300"/>
      <w:bookmarkEnd w:id="1301"/>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302" w:name="_Toc170914138"/>
      <w:bookmarkStart w:id="1303" w:name="_Toc30113"/>
      <w:bookmarkStart w:id="1304" w:name="_Toc16773"/>
      <w:bookmarkStart w:id="1305" w:name="_Toc2645"/>
      <w:bookmarkStart w:id="1306" w:name="_Toc1944"/>
      <w:bookmarkStart w:id="1307" w:name="_Toc31823"/>
      <w:bookmarkStart w:id="1308" w:name="_Toc506699896"/>
      <w:bookmarkStart w:id="1309" w:name="_Toc27388"/>
      <w:bookmarkStart w:id="1310" w:name="_Toc531771750"/>
      <w:bookmarkStart w:id="1311" w:name="_Toc949"/>
      <w:bookmarkStart w:id="1312" w:name="_Toc13634"/>
      <w:bookmarkStart w:id="1313" w:name="_Toc30153"/>
      <w:bookmarkStart w:id="1314" w:name="_Toc11335"/>
      <w:r>
        <w:rPr>
          <w:rFonts w:ascii="楷体_GB2312" w:hAnsi="仿宋" w:eastAsia="楷体_GB2312"/>
          <w:color w:val="000000" w:themeColor="text1"/>
          <w:highlight w:val="none"/>
          <w14:textFill>
            <w14:solidFill>
              <w14:schemeClr w14:val="tx1"/>
            </w14:solidFill>
          </w14:textFill>
        </w:rPr>
        <w:t>3.1</w:t>
      </w:r>
      <w:r>
        <w:rPr>
          <w:rFonts w:hint="eastAsia" w:ascii="楷体_GB2312" w:hAnsi="仿宋" w:eastAsia="楷体_GB2312"/>
          <w:color w:val="000000" w:themeColor="text1"/>
          <w:highlight w:val="none"/>
          <w14:textFill>
            <w14:solidFill>
              <w14:schemeClr w14:val="tx1"/>
            </w14:solidFill>
          </w14:textFill>
        </w:rPr>
        <w:t>预警机制</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自治区各级交通运输主管部门和各级公路管养单位应在日常工作中开展预警预防工作，重点做好对气象、水利、自然资源等部门的预警信息以及相关信息的搜集、接收、整理和风险分析工作，开展预防预警、防御响应。针对各种可能对公路交通运行产生影响的情况，按照相关程序转发或者联合发布预警信息，做好预防与应对准备工作，并及时向公众发布出行服务信息和提示信息。</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315" w:name="_Toc21337"/>
      <w:bookmarkStart w:id="1316" w:name="_Toc13009"/>
      <w:bookmarkStart w:id="1317" w:name="_Toc3094"/>
      <w:bookmarkStart w:id="1318" w:name="_Toc31692"/>
      <w:bookmarkStart w:id="1319" w:name="_Toc12423"/>
      <w:bookmarkStart w:id="1320" w:name="_Toc170914139"/>
      <w:bookmarkStart w:id="1321" w:name="_Toc7650"/>
      <w:bookmarkStart w:id="1322" w:name="_Toc21445"/>
      <w:bookmarkStart w:id="1323" w:name="_Toc1894"/>
      <w:r>
        <w:rPr>
          <w:rFonts w:ascii="楷体_GB2312" w:hAnsi="仿宋" w:eastAsia="楷体_GB2312"/>
          <w:color w:val="000000" w:themeColor="text1"/>
          <w:highlight w:val="none"/>
          <w14:textFill>
            <w14:solidFill>
              <w14:schemeClr w14:val="tx1"/>
            </w14:solidFill>
          </w14:textFill>
        </w:rPr>
        <w:t>3.2预警</w:t>
      </w:r>
      <w:r>
        <w:rPr>
          <w:rFonts w:hint="eastAsia" w:ascii="楷体_GB2312" w:hAnsi="仿宋" w:eastAsia="楷体_GB2312"/>
          <w:color w:val="000000" w:themeColor="text1"/>
          <w:highlight w:val="none"/>
          <w14:textFill>
            <w14:solidFill>
              <w14:schemeClr w14:val="tx1"/>
            </w14:solidFill>
          </w14:textFill>
        </w:rPr>
        <w:t>分级</w:t>
      </w:r>
      <w:bookmarkEnd w:id="1315"/>
      <w:bookmarkEnd w:id="1316"/>
      <w:bookmarkEnd w:id="1317"/>
      <w:bookmarkEnd w:id="1318"/>
      <w:bookmarkEnd w:id="1319"/>
      <w:bookmarkEnd w:id="1320"/>
      <w:bookmarkEnd w:id="1321"/>
      <w:bookmarkEnd w:id="1322"/>
      <w:bookmarkEnd w:id="1323"/>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324" w:name="_Toc3716"/>
      <w:bookmarkStart w:id="1325" w:name="_Toc23900"/>
      <w:bookmarkStart w:id="1326" w:name="_Toc9010"/>
      <w:bookmarkStart w:id="1327" w:name="_Toc30307"/>
      <w:bookmarkStart w:id="1328" w:name="_Toc28268"/>
      <w:bookmarkStart w:id="1329" w:name="_Toc1481"/>
      <w:bookmarkStart w:id="1330" w:name="_Toc15909"/>
      <w:bookmarkStart w:id="1331" w:name="_Toc170914140"/>
      <w:r>
        <w:rPr>
          <w:rFonts w:ascii="楷体" w:hAnsi="楷体" w:eastAsia="楷体" w:cs="楷体"/>
          <w:b/>
          <w:bCs/>
          <w:color w:val="000000" w:themeColor="text1"/>
          <w:kern w:val="0"/>
          <w:sz w:val="31"/>
          <w:szCs w:val="31"/>
          <w:highlight w:val="none"/>
          <w14:textFill>
            <w14:solidFill>
              <w14:schemeClr w14:val="tx1"/>
            </w14:solidFill>
          </w14:textFill>
        </w:rPr>
        <w:t>3.2.1</w:t>
      </w:r>
      <w:r>
        <w:rPr>
          <w:rFonts w:hint="eastAsia" w:ascii="楷体" w:hAnsi="楷体" w:eastAsia="楷体" w:cs="楷体"/>
          <w:b/>
          <w:bCs/>
          <w:color w:val="000000" w:themeColor="text1"/>
          <w:kern w:val="0"/>
          <w:sz w:val="31"/>
          <w:szCs w:val="31"/>
          <w:highlight w:val="none"/>
          <w:lang w:val="en-US" w:eastAsia="zh-CN"/>
          <w14:textFill>
            <w14:solidFill>
              <w14:schemeClr w14:val="tx1"/>
            </w14:solidFill>
          </w14:textFill>
        </w:rPr>
        <w:t>一级</w:t>
      </w:r>
      <w:r>
        <w:rPr>
          <w:rFonts w:hint="eastAsia" w:ascii="楷体" w:hAnsi="楷体" w:eastAsia="楷体" w:cs="楷体"/>
          <w:b/>
          <w:bCs/>
          <w:color w:val="000000" w:themeColor="text1"/>
          <w:kern w:val="0"/>
          <w:sz w:val="31"/>
          <w:szCs w:val="31"/>
          <w:highlight w:val="none"/>
          <w14:textFill>
            <w14:solidFill>
              <w14:schemeClr w14:val="tx1"/>
            </w14:solidFill>
          </w14:textFill>
        </w:rPr>
        <w:t>预警</w:t>
      </w:r>
      <w:bookmarkEnd w:id="1324"/>
      <w:bookmarkEnd w:id="1325"/>
      <w:bookmarkEnd w:id="1326"/>
      <w:bookmarkEnd w:id="1327"/>
      <w:bookmarkEnd w:id="1328"/>
      <w:bookmarkEnd w:id="1329"/>
      <w:bookmarkEnd w:id="1330"/>
      <w:bookmarkEnd w:id="1331"/>
    </w:p>
    <w:p>
      <w:pPr>
        <w:keepNext w:val="0"/>
        <w:pageBreakBefore w:val="0"/>
        <w:widowControl w:val="0"/>
        <w:kinsoku/>
        <w:wordWrap/>
        <w:overflowPunct/>
        <w:topLinePunct/>
        <w:bidi w:val="0"/>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暴雪：3个以上设区的市气象台发布市级暴雪红色预警信号。</w:t>
      </w:r>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332" w:name="_Toc24561"/>
      <w:bookmarkStart w:id="1333" w:name="_Toc19128"/>
      <w:bookmarkStart w:id="1334" w:name="_Toc170914141"/>
      <w:bookmarkStart w:id="1335" w:name="_Toc18476"/>
      <w:bookmarkStart w:id="1336" w:name="_Toc29231"/>
      <w:bookmarkStart w:id="1337" w:name="_Toc5211"/>
      <w:bookmarkStart w:id="1338" w:name="_Toc30212"/>
      <w:r>
        <w:rPr>
          <w:rFonts w:ascii="楷体" w:hAnsi="楷体" w:eastAsia="楷体" w:cs="楷体"/>
          <w:b/>
          <w:bCs/>
          <w:color w:val="000000" w:themeColor="text1"/>
          <w:kern w:val="0"/>
          <w:sz w:val="31"/>
          <w:szCs w:val="31"/>
          <w:highlight w:val="none"/>
          <w14:textFill>
            <w14:solidFill>
              <w14:schemeClr w14:val="tx1"/>
            </w14:solidFill>
          </w14:textFill>
        </w:rPr>
        <w:t>3.2.2</w:t>
      </w:r>
      <w:r>
        <w:rPr>
          <w:rFonts w:hint="eastAsia" w:ascii="楷体" w:hAnsi="楷体" w:eastAsia="楷体" w:cs="楷体"/>
          <w:b/>
          <w:bCs/>
          <w:color w:val="000000" w:themeColor="text1"/>
          <w:kern w:val="0"/>
          <w:sz w:val="31"/>
          <w:szCs w:val="31"/>
          <w:highlight w:val="none"/>
          <w:lang w:val="en-US" w:eastAsia="zh-CN"/>
          <w14:textFill>
            <w14:solidFill>
              <w14:schemeClr w14:val="tx1"/>
            </w14:solidFill>
          </w14:textFill>
        </w:rPr>
        <w:t>二级</w:t>
      </w:r>
      <w:r>
        <w:rPr>
          <w:rFonts w:hint="eastAsia" w:ascii="楷体" w:hAnsi="楷体" w:eastAsia="楷体" w:cs="楷体"/>
          <w:b/>
          <w:bCs/>
          <w:color w:val="000000" w:themeColor="text1"/>
          <w:kern w:val="0"/>
          <w:sz w:val="31"/>
          <w:szCs w:val="31"/>
          <w:highlight w:val="none"/>
          <w14:textFill>
            <w14:solidFill>
              <w14:schemeClr w14:val="tx1"/>
            </w14:solidFill>
          </w14:textFill>
        </w:rPr>
        <w:t>预警</w:t>
      </w:r>
      <w:bookmarkEnd w:id="1332"/>
      <w:bookmarkEnd w:id="1333"/>
      <w:bookmarkEnd w:id="1334"/>
      <w:bookmarkEnd w:id="1335"/>
      <w:bookmarkEnd w:id="1336"/>
      <w:bookmarkEnd w:id="1337"/>
      <w:bookmarkEnd w:id="1338"/>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暴雪</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2个以上设区的市气象台发布暴雪红色预警信号。</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寒潮</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3个以上设区的市气象台发布市级寒潮红色预警信号。</w:t>
      </w:r>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339" w:name="_Toc170914142"/>
      <w:bookmarkStart w:id="1340" w:name="_Toc19232"/>
      <w:bookmarkStart w:id="1341" w:name="_Toc9931"/>
      <w:bookmarkStart w:id="1342" w:name="_Toc5749"/>
      <w:bookmarkStart w:id="1343" w:name="_Toc17854"/>
      <w:bookmarkStart w:id="1344" w:name="_Toc7199"/>
      <w:bookmarkStart w:id="1345" w:name="_Toc10869"/>
      <w:bookmarkStart w:id="1346" w:name="_Toc26235"/>
      <w:r>
        <w:rPr>
          <w:rFonts w:ascii="楷体" w:hAnsi="楷体" w:eastAsia="楷体" w:cs="楷体"/>
          <w:b/>
          <w:bCs/>
          <w:color w:val="000000" w:themeColor="text1"/>
          <w:kern w:val="0"/>
          <w:sz w:val="31"/>
          <w:szCs w:val="31"/>
          <w:highlight w:val="none"/>
          <w14:textFill>
            <w14:solidFill>
              <w14:schemeClr w14:val="tx1"/>
            </w14:solidFill>
          </w14:textFill>
        </w:rPr>
        <w:t>3.2.3</w:t>
      </w:r>
      <w:r>
        <w:rPr>
          <w:rFonts w:hint="eastAsia" w:ascii="楷体" w:hAnsi="楷体" w:eastAsia="楷体" w:cs="楷体"/>
          <w:b/>
          <w:bCs/>
          <w:color w:val="000000" w:themeColor="text1"/>
          <w:kern w:val="0"/>
          <w:sz w:val="31"/>
          <w:szCs w:val="31"/>
          <w:highlight w:val="none"/>
          <w:lang w:val="en-US" w:eastAsia="zh-CN"/>
          <w14:textFill>
            <w14:solidFill>
              <w14:schemeClr w14:val="tx1"/>
            </w14:solidFill>
          </w14:textFill>
        </w:rPr>
        <w:t>三级</w:t>
      </w:r>
      <w:r>
        <w:rPr>
          <w:rFonts w:hint="eastAsia" w:ascii="楷体" w:hAnsi="楷体" w:eastAsia="楷体" w:cs="楷体"/>
          <w:b/>
          <w:bCs/>
          <w:color w:val="000000" w:themeColor="text1"/>
          <w:kern w:val="0"/>
          <w:sz w:val="31"/>
          <w:szCs w:val="31"/>
          <w:highlight w:val="none"/>
          <w14:textFill>
            <w14:solidFill>
              <w14:schemeClr w14:val="tx1"/>
            </w14:solidFill>
          </w14:textFill>
        </w:rPr>
        <w:t>预警</w:t>
      </w:r>
      <w:bookmarkEnd w:id="1339"/>
      <w:bookmarkEnd w:id="1340"/>
      <w:bookmarkEnd w:id="1341"/>
      <w:bookmarkEnd w:id="1342"/>
      <w:bookmarkEnd w:id="1343"/>
      <w:bookmarkEnd w:id="1344"/>
      <w:bookmarkEnd w:id="1345"/>
      <w:bookmarkEnd w:id="1346"/>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暴雪：3个以上设区的市气象台发布暴雪橙色预警信号。</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寒潮：2个以上设区的市气象台发布市级寒潮红色预警信号。</w:t>
      </w:r>
    </w:p>
    <w:p>
      <w:pPr>
        <w:keepNext w:val="0"/>
        <w:keepLines w:val="0"/>
        <w:pageBreakBefore w:val="0"/>
        <w:widowControl w:val="0"/>
        <w:kinsoku/>
        <w:wordWrap/>
        <w:overflowPunct/>
        <w:topLinePunct/>
        <w:autoSpaceDE/>
        <w:autoSpaceDN/>
        <w:bidi w:val="0"/>
        <w:adjustRightInd/>
        <w:snapToGrid/>
        <w:spacing w:line="600" w:lineRule="exact"/>
        <w:ind w:firstLine="622" w:firstLineChars="200"/>
        <w:jc w:val="both"/>
        <w:textAlignment w:val="auto"/>
        <w:outlineLvl w:val="3"/>
        <w:rPr>
          <w:rFonts w:ascii="楷体" w:hAnsi="楷体" w:eastAsia="楷体" w:cs="楷体"/>
          <w:b/>
          <w:bCs/>
          <w:color w:val="000000" w:themeColor="text1"/>
          <w:kern w:val="0"/>
          <w:sz w:val="31"/>
          <w:szCs w:val="31"/>
          <w:highlight w:val="none"/>
          <w14:textFill>
            <w14:solidFill>
              <w14:schemeClr w14:val="tx1"/>
            </w14:solidFill>
          </w14:textFill>
        </w:rPr>
      </w:pPr>
      <w:bookmarkStart w:id="1347" w:name="_Toc5717"/>
      <w:bookmarkStart w:id="1348" w:name="_Toc11237"/>
      <w:bookmarkStart w:id="1349" w:name="_Toc15328"/>
      <w:bookmarkStart w:id="1350" w:name="_Toc21640"/>
      <w:bookmarkStart w:id="1351" w:name="_Toc170914143"/>
      <w:bookmarkStart w:id="1352" w:name="_Toc27126"/>
      <w:bookmarkStart w:id="1353" w:name="_Toc3857"/>
      <w:r>
        <w:rPr>
          <w:rFonts w:ascii="楷体" w:hAnsi="楷体" w:eastAsia="楷体" w:cs="楷体"/>
          <w:b/>
          <w:bCs/>
          <w:color w:val="000000" w:themeColor="text1"/>
          <w:kern w:val="0"/>
          <w:sz w:val="31"/>
          <w:szCs w:val="31"/>
          <w:highlight w:val="none"/>
          <w14:textFill>
            <w14:solidFill>
              <w14:schemeClr w14:val="tx1"/>
            </w14:solidFill>
          </w14:textFill>
        </w:rPr>
        <w:t>3.2.4</w:t>
      </w:r>
      <w:r>
        <w:rPr>
          <w:rFonts w:hint="eastAsia" w:ascii="楷体" w:hAnsi="楷体" w:eastAsia="楷体" w:cs="楷体"/>
          <w:b/>
          <w:bCs/>
          <w:color w:val="000000" w:themeColor="text1"/>
          <w:kern w:val="0"/>
          <w:sz w:val="31"/>
          <w:szCs w:val="31"/>
          <w:highlight w:val="none"/>
          <w:lang w:val="en-US" w:eastAsia="zh-CN"/>
          <w14:textFill>
            <w14:solidFill>
              <w14:schemeClr w14:val="tx1"/>
            </w14:solidFill>
          </w14:textFill>
        </w:rPr>
        <w:t>四级</w:t>
      </w:r>
      <w:r>
        <w:rPr>
          <w:rFonts w:hint="eastAsia" w:ascii="楷体" w:hAnsi="楷体" w:eastAsia="楷体" w:cs="楷体"/>
          <w:b/>
          <w:bCs/>
          <w:color w:val="000000" w:themeColor="text1"/>
          <w:kern w:val="0"/>
          <w:sz w:val="31"/>
          <w:szCs w:val="31"/>
          <w:highlight w:val="none"/>
          <w14:textFill>
            <w14:solidFill>
              <w14:schemeClr w14:val="tx1"/>
            </w14:solidFill>
          </w14:textFill>
        </w:rPr>
        <w:t>预警</w:t>
      </w:r>
      <w:bookmarkEnd w:id="1347"/>
      <w:bookmarkEnd w:id="1348"/>
      <w:bookmarkEnd w:id="1349"/>
      <w:bookmarkEnd w:id="1350"/>
      <w:bookmarkEnd w:id="1351"/>
      <w:bookmarkEnd w:id="1352"/>
      <w:bookmarkEnd w:id="1353"/>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暴雪：2个以上设区的市气象台发布暴雪橙色预警信号或1个以上设区的市气象台发布暴雪红色预警信号。</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寒潮：1个以上设区的市气象台发布市级寒潮红色预警信号。</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霜冻：3个以上设区的市气象台发布市级霜冻橙色预警信号且预计持续3天以上。</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道路结冰：2个以上设区的市气象台发布道路结冰橙色预警信号或1个以上设区的市气象台发布道路结冰红色预警信号。</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354" w:name="_Toc26096"/>
      <w:bookmarkStart w:id="1355" w:name="_Toc14370"/>
      <w:bookmarkStart w:id="1356" w:name="_Toc23399"/>
      <w:bookmarkStart w:id="1357" w:name="_Toc26546"/>
      <w:bookmarkStart w:id="1358" w:name="_Toc19194"/>
      <w:bookmarkStart w:id="1359" w:name="_Toc170914144"/>
      <w:bookmarkStart w:id="1360" w:name="_Toc7358"/>
      <w:bookmarkStart w:id="1361" w:name="_Toc29183"/>
      <w:bookmarkStart w:id="1362" w:name="_Toc21738"/>
      <w:bookmarkStart w:id="1363" w:name="_Toc18802"/>
      <w:bookmarkStart w:id="1364" w:name="_Toc29355"/>
      <w:r>
        <w:rPr>
          <w:rFonts w:ascii="楷体_GB2312" w:hAnsi="仿宋" w:eastAsia="楷体_GB2312"/>
          <w:color w:val="000000" w:themeColor="text1"/>
          <w:highlight w:val="none"/>
          <w14:textFill>
            <w14:solidFill>
              <w14:schemeClr w14:val="tx1"/>
            </w14:solidFill>
          </w14:textFill>
        </w:rPr>
        <w:t>3.</w:t>
      </w:r>
      <w:r>
        <w:rPr>
          <w:rFonts w:hint="eastAsia" w:ascii="楷体_GB2312" w:hAnsi="仿宋" w:eastAsia="楷体_GB2312"/>
          <w:color w:val="000000" w:themeColor="text1"/>
          <w:highlight w:val="none"/>
          <w14:textFill>
            <w14:solidFill>
              <w14:schemeClr w14:val="tx1"/>
            </w14:solidFill>
          </w14:textFill>
        </w:rPr>
        <w:t>3预警信息收集</w:t>
      </w:r>
      <w:bookmarkEnd w:id="1354"/>
      <w:bookmarkEnd w:id="1355"/>
      <w:bookmarkEnd w:id="1356"/>
      <w:bookmarkEnd w:id="1357"/>
      <w:bookmarkEnd w:id="1358"/>
      <w:bookmarkEnd w:id="1359"/>
      <w:bookmarkEnd w:id="1360"/>
      <w:bookmarkEnd w:id="1361"/>
      <w:bookmarkEnd w:id="1362"/>
      <w:bookmarkEnd w:id="1363"/>
      <w:bookmarkEnd w:id="1364"/>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涉及低温雨雪冰冻天气事件的预警及相关信息包括：</w:t>
      </w:r>
    </w:p>
    <w:p>
      <w:pPr>
        <w:keepNext w:val="0"/>
        <w:keepLines w:val="0"/>
        <w:pageBreakBefore w:val="0"/>
        <w:widowControl w:val="0"/>
        <w:kinsoku/>
        <w:wordWrap/>
        <w:overflowPunct/>
        <w:topLinePunct/>
        <w:autoSpaceDE/>
        <w:autoSpaceDN/>
        <w:bidi w:val="0"/>
        <w:adjustRightInd/>
        <w:snapToGrid/>
        <w:spacing w:line="600" w:lineRule="exact"/>
        <w:ind w:firstLine="642" w:firstLineChars="200"/>
        <w:jc w:val="both"/>
        <w:textAlignment w:val="auto"/>
        <w:outlineLvl w:val="9"/>
        <w:rPr>
          <w:rFonts w:ascii="仿宋_GB2312" w:hAnsi="仿宋" w:eastAsia="仿宋_GB2312"/>
          <w:b/>
          <w:bCs/>
          <w:color w:val="000000" w:themeColor="text1"/>
          <w:sz w:val="32"/>
          <w:szCs w:val="32"/>
          <w:highlight w:val="none"/>
          <w14:textFill>
            <w14:solidFill>
              <w14:schemeClr w14:val="tx1"/>
            </w14:solidFill>
          </w14:textFill>
        </w:rPr>
      </w:pPr>
      <w:bookmarkStart w:id="1365" w:name="_Toc850"/>
      <w:bookmarkStart w:id="1366" w:name="_Toc32524"/>
      <w:bookmarkStart w:id="1367" w:name="_Toc4950"/>
      <w:r>
        <w:rPr>
          <w:rFonts w:hint="eastAsia" w:ascii="仿宋_GB2312" w:hAnsi="仿宋" w:eastAsia="仿宋_GB2312"/>
          <w:b/>
          <w:bCs/>
          <w:color w:val="000000" w:themeColor="text1"/>
          <w:sz w:val="32"/>
          <w:szCs w:val="32"/>
          <w:highlight w:val="none"/>
          <w14:textFill>
            <w14:solidFill>
              <w14:schemeClr w14:val="tx1"/>
            </w14:solidFill>
          </w14:textFill>
        </w:rPr>
        <w:t>（</w:t>
      </w:r>
      <w:r>
        <w:rPr>
          <w:rFonts w:ascii="仿宋_GB2312" w:hAnsi="仿宋" w:eastAsia="仿宋_GB2312"/>
          <w:b/>
          <w:bCs/>
          <w:color w:val="000000" w:themeColor="text1"/>
          <w:sz w:val="32"/>
          <w:szCs w:val="32"/>
          <w:highlight w:val="none"/>
          <w14:textFill>
            <w14:solidFill>
              <w14:schemeClr w14:val="tx1"/>
            </w14:solidFill>
          </w14:textFill>
        </w:rPr>
        <w:t>1）气象监测、预测、预警信息</w:t>
      </w:r>
      <w:bookmarkEnd w:id="1365"/>
      <w:bookmarkEnd w:id="1366"/>
      <w:bookmarkEnd w:id="1367"/>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每日24小时全国降水实况图及图示最严重区域降水、温度、湿度等监测天气要素平均值和最大值；</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72小时内短时天气预报（含图示），天气中期趋势预报（含图示），气象灾害集中时期（汛期、冬季等）天气长期态势预报；</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各类气象灾害周期预警信息专报（包括主要气象灾害周期的天气类型、预计发生时间、预计持续时间、影响范围、预计强度等）和气象主管部门已发布的雪灾、道路结冰预警信息。</w:t>
      </w:r>
    </w:p>
    <w:p>
      <w:pPr>
        <w:keepNext w:val="0"/>
        <w:keepLines w:val="0"/>
        <w:pageBreakBefore w:val="0"/>
        <w:widowControl w:val="0"/>
        <w:kinsoku/>
        <w:wordWrap/>
        <w:overflowPunct/>
        <w:topLinePunct/>
        <w:autoSpaceDE/>
        <w:autoSpaceDN/>
        <w:bidi w:val="0"/>
        <w:adjustRightInd/>
        <w:snapToGrid/>
        <w:spacing w:line="600" w:lineRule="exact"/>
        <w:ind w:firstLine="642" w:firstLineChars="200"/>
        <w:jc w:val="both"/>
        <w:textAlignment w:val="auto"/>
        <w:outlineLvl w:val="9"/>
        <w:rPr>
          <w:rFonts w:hint="eastAsia" w:ascii="仿宋_GB2312" w:hAnsi="仿宋" w:eastAsia="仿宋_GB2312"/>
          <w:b/>
          <w:bCs/>
          <w:color w:val="000000" w:themeColor="text1"/>
          <w:sz w:val="32"/>
          <w:szCs w:val="32"/>
          <w:highlight w:val="none"/>
          <w14:textFill>
            <w14:solidFill>
              <w14:schemeClr w14:val="tx1"/>
            </w14:solidFill>
          </w14:textFill>
        </w:rPr>
      </w:pPr>
      <w:bookmarkStart w:id="1368" w:name="_Toc5337"/>
      <w:bookmarkStart w:id="1369" w:name="_Toc4000"/>
      <w:bookmarkStart w:id="1370" w:name="_Toc2049"/>
      <w:r>
        <w:rPr>
          <w:rFonts w:hint="eastAsia" w:ascii="仿宋_GB2312" w:hAnsi="仿宋" w:eastAsia="仿宋_GB2312"/>
          <w:b/>
          <w:bCs/>
          <w:color w:val="000000" w:themeColor="text1"/>
          <w:sz w:val="32"/>
          <w:szCs w:val="32"/>
          <w:highlight w:val="none"/>
          <w14:textFill>
            <w14:solidFill>
              <w14:schemeClr w14:val="tx1"/>
            </w14:solidFill>
          </w14:textFill>
        </w:rPr>
        <w:t>（2）公路中断、阻塞信息和重要客运枢纽旅客滞留信息</w:t>
      </w:r>
      <w:bookmarkEnd w:id="1368"/>
      <w:bookmarkEnd w:id="1369"/>
      <w:bookmarkEnd w:id="1370"/>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公路中断、阻塞的原因、发生时间、起止位置和桩号、预计恢复时间、已造成道路基础设施直接损失、已滞留和积压的车辆数量和排队长度、已采取的应急管理措施、绕行路线等。</w:t>
      </w:r>
    </w:p>
    <w:p>
      <w:pPr>
        <w:keepNext w:val="0"/>
        <w:keepLines w:val="0"/>
        <w:pageBreakBefore w:val="0"/>
        <w:widowControl w:val="0"/>
        <w:kinsoku/>
        <w:wordWrap/>
        <w:overflowPunct/>
        <w:topLinePunct/>
        <w:autoSpaceDE/>
        <w:autoSpaceDN/>
        <w:bidi w:val="0"/>
        <w:adjustRightInd/>
        <w:snapToGrid/>
        <w:spacing w:line="600" w:lineRule="exact"/>
        <w:ind w:firstLine="642" w:firstLineChars="200"/>
        <w:jc w:val="both"/>
        <w:textAlignment w:val="auto"/>
        <w:outlineLvl w:val="9"/>
        <w:rPr>
          <w:rFonts w:hint="eastAsia" w:ascii="仿宋_GB2312" w:hAnsi="仿宋" w:eastAsia="仿宋_GB2312"/>
          <w:b/>
          <w:bCs/>
          <w:color w:val="000000" w:themeColor="text1"/>
          <w:sz w:val="32"/>
          <w:szCs w:val="32"/>
          <w:highlight w:val="none"/>
          <w14:textFill>
            <w14:solidFill>
              <w14:schemeClr w14:val="tx1"/>
            </w14:solidFill>
          </w14:textFill>
        </w:rPr>
      </w:pPr>
      <w:bookmarkStart w:id="1371" w:name="_Toc20467"/>
      <w:bookmarkStart w:id="1372" w:name="_Toc1366"/>
      <w:bookmarkStart w:id="1373" w:name="_Toc14228"/>
      <w:r>
        <w:rPr>
          <w:rFonts w:hint="eastAsia" w:ascii="仿宋_GB2312" w:hAnsi="仿宋" w:eastAsia="仿宋_GB2312"/>
          <w:b/>
          <w:bCs/>
          <w:color w:val="000000" w:themeColor="text1"/>
          <w:sz w:val="32"/>
          <w:szCs w:val="32"/>
          <w:highlight w:val="none"/>
          <w14:textFill>
            <w14:solidFill>
              <w14:schemeClr w14:val="tx1"/>
            </w14:solidFill>
          </w14:textFill>
        </w:rPr>
        <w:t>（3）其他</w:t>
      </w:r>
      <w:bookmarkEnd w:id="1371"/>
      <w:bookmarkEnd w:id="1372"/>
      <w:bookmarkEnd w:id="1373"/>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其他需要各级交通运输主管部门和各级公路管养单位提供应急保障的紧急事件信息、预警信息及出行服务信息来源包括：</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1374" w:name="_Toc562"/>
      <w:bookmarkStart w:id="1375" w:name="_Toc23847"/>
      <w:bookmarkStart w:id="1376" w:name="_Toc9489"/>
      <w:r>
        <w:rPr>
          <w:rFonts w:hint="eastAsia" w:ascii="仿宋_GB2312" w:hAnsi="仿宋_GB2312" w:eastAsia="仿宋_GB2312" w:cs="仿宋_GB2312"/>
          <w:color w:val="000000" w:themeColor="text1"/>
          <w:sz w:val="32"/>
          <w:szCs w:val="32"/>
          <w:highlight w:val="none"/>
          <w14:textFill>
            <w14:solidFill>
              <w14:schemeClr w14:val="tx1"/>
            </w14:solidFill>
          </w14:textFill>
        </w:rPr>
        <w:t>①自然资源部门提供的有关地质灾害的监测、预报信息；</w:t>
      </w:r>
      <w:bookmarkEnd w:id="1374"/>
      <w:bookmarkEnd w:id="1375"/>
      <w:bookmarkEnd w:id="1376"/>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②气象部门提供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地对</w:t>
      </w:r>
      <w:r>
        <w:rPr>
          <w:rFonts w:hint="eastAsia" w:ascii="仿宋_GB2312" w:hAnsi="仿宋_GB2312" w:eastAsia="仿宋_GB2312" w:cs="仿宋_GB2312"/>
          <w:color w:val="000000" w:themeColor="text1"/>
          <w:sz w:val="32"/>
          <w:szCs w:val="32"/>
          <w:highlight w:val="none"/>
          <w14:textFill>
            <w14:solidFill>
              <w14:schemeClr w14:val="tx1"/>
            </w14:solidFill>
          </w14:textFill>
        </w:rPr>
        <w:t>天气进行监测和气象灾害预报的信息；预报可能引起雨雪冰冻突发事件的信息；</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③发展改革委提供的有关国家重点或紧急物资应急运输需求的信息；</w:t>
      </w:r>
    </w:p>
    <w:p>
      <w:pPr>
        <w:pStyle w:val="3"/>
        <w:keepNext w:val="0"/>
        <w:keepLines w:val="0"/>
        <w:pageBreakBefore w:val="0"/>
        <w:widowControl w:val="0"/>
        <w:kinsoku/>
        <w:wordWrap/>
        <w:overflowPunct/>
        <w:topLinePunct/>
        <w:autoSpaceDE/>
        <w:autoSpaceDN/>
        <w:bidi w:val="0"/>
        <w:adjustRightInd/>
        <w:snapToGrid/>
        <w:spacing w:after="0" w:line="60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14:textFill>
            <w14:solidFill>
              <w14:schemeClr w14:val="tx1"/>
            </w14:solidFill>
          </w14:textFill>
        </w:rPr>
        <w:t>公安交管部门提供的道路临时封闭、交通管制等通行管控信息；</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1377" w:name="_Toc23822"/>
      <w:bookmarkStart w:id="1378" w:name="_Toc20501"/>
      <w:bookmarkStart w:id="1379" w:name="_Toc21005"/>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14:textFill>
            <w14:solidFill>
              <w14:schemeClr w14:val="tx1"/>
            </w14:solidFill>
          </w14:textFill>
        </w:rPr>
        <w:instrText xml:space="preserve"> = 5 \* GB3 \* MERGEFORMAT </w:instrTex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⑤</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14:textFill>
            <w14:solidFill>
              <w14:schemeClr w14:val="tx1"/>
            </w14:solidFill>
          </w14:textFill>
        </w:rPr>
        <w:t>公众举报和反映的可能发生雨雪冰冻突发事件的预警信息；</w:t>
      </w:r>
      <w:bookmarkEnd w:id="1377"/>
      <w:bookmarkEnd w:id="1378"/>
      <w:bookmarkEnd w:id="1379"/>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14:textFill>
            <w14:solidFill>
              <w14:schemeClr w14:val="tx1"/>
            </w14:solidFill>
          </w14:textFill>
        </w:rPr>
        <w:instrText xml:space="preserve"> = 6 \* GB3 \* MERGEFORMAT </w:instrTex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⑥</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14:textFill>
            <w14:solidFill>
              <w14:schemeClr w14:val="tx1"/>
            </w14:solidFill>
          </w14:textFill>
        </w:rPr>
        <w:t>各级交通应急机构负责监测可能引起雨雪冰冻突发事件的预警信息。</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380" w:name="_Toc369"/>
      <w:bookmarkStart w:id="1381" w:name="_Toc9440"/>
      <w:bookmarkStart w:id="1382" w:name="_Toc32182"/>
      <w:bookmarkStart w:id="1383" w:name="_Toc170914145"/>
      <w:bookmarkStart w:id="1384" w:name="_Toc18846"/>
      <w:bookmarkStart w:id="1385" w:name="_Toc25263"/>
      <w:bookmarkStart w:id="1386" w:name="_Toc6385"/>
      <w:bookmarkStart w:id="1387" w:name="_Toc4148"/>
      <w:bookmarkStart w:id="1388" w:name="_Toc15781"/>
      <w:bookmarkStart w:id="1389" w:name="_Toc27779"/>
      <w:bookmarkStart w:id="1390" w:name="_Toc12600"/>
      <w:r>
        <w:rPr>
          <w:rFonts w:ascii="楷体_GB2312" w:hAnsi="仿宋" w:eastAsia="楷体_GB2312"/>
          <w:color w:val="000000" w:themeColor="text1"/>
          <w:highlight w:val="none"/>
          <w14:textFill>
            <w14:solidFill>
              <w14:schemeClr w14:val="tx1"/>
            </w14:solidFill>
          </w14:textFill>
        </w:rPr>
        <w:t>3.4</w:t>
      </w:r>
      <w:r>
        <w:rPr>
          <w:rFonts w:hint="eastAsia" w:ascii="楷体_GB2312" w:hAnsi="仿宋" w:eastAsia="楷体_GB2312"/>
          <w:color w:val="000000" w:themeColor="text1"/>
          <w:highlight w:val="none"/>
          <w14:textFill>
            <w14:solidFill>
              <w14:schemeClr w14:val="tx1"/>
            </w14:solidFill>
          </w14:textFill>
        </w:rPr>
        <w:t>预警信息</w:t>
      </w:r>
      <w:bookmarkEnd w:id="1380"/>
      <w:r>
        <w:rPr>
          <w:rFonts w:hint="eastAsia" w:ascii="楷体_GB2312" w:hAnsi="仿宋" w:eastAsia="楷体_GB2312"/>
          <w:color w:val="000000" w:themeColor="text1"/>
          <w:highlight w:val="none"/>
          <w14:textFill>
            <w14:solidFill>
              <w14:schemeClr w14:val="tx1"/>
            </w14:solidFill>
          </w14:textFill>
        </w:rPr>
        <w:t>发布</w:t>
      </w:r>
      <w:bookmarkEnd w:id="1381"/>
      <w:bookmarkEnd w:id="1382"/>
      <w:bookmarkEnd w:id="1383"/>
      <w:bookmarkEnd w:id="1384"/>
      <w:bookmarkEnd w:id="1385"/>
      <w:bookmarkEnd w:id="1386"/>
      <w:bookmarkEnd w:id="1387"/>
      <w:bookmarkEnd w:id="1388"/>
      <w:bookmarkEnd w:id="1389"/>
      <w:bookmarkEnd w:id="1390"/>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自治区人民政府有关部门和交通运输部通报的预警信息，宁夏路网监测与应急处置中心将向系统内和高速公路运营管理单位及时发布。预警信息转发程序如下：当接到预警信息后，宁夏路网监测与应急处置中心视情况采取电话、短信、自媒体、视频会议等一种或多种形式向可能受到影响地区的各单位发布预警信息，提示做好相应防范和准备工作。内容包括：可能发生的低温雨雪冰冻事件情形、起始时间、影响范围、影响估计及应对措施、警示事项等。</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预警信息发布后，需要变更预警内容的，应当及时发布变更公告。</w:t>
      </w:r>
      <w:r>
        <w:rPr>
          <w:rFonts w:hint="eastAsia" w:ascii="仿宋_GB2312" w:eastAsia="仿宋_GB2312"/>
          <w:color w:val="000000" w:themeColor="text1"/>
          <w:sz w:val="32"/>
          <w:szCs w:val="32"/>
          <w:highlight w:val="none"/>
          <w:lang w:eastAsia="zh-CN"/>
          <w14:textFill>
            <w14:solidFill>
              <w14:schemeClr w14:val="tx1"/>
            </w14:solidFill>
          </w14:textFill>
        </w:rPr>
        <w:t>法律法规</w:t>
      </w:r>
      <w:r>
        <w:rPr>
          <w:rFonts w:hint="eastAsia" w:ascii="仿宋_GB2312" w:eastAsia="仿宋_GB2312"/>
          <w:color w:val="000000" w:themeColor="text1"/>
          <w:sz w:val="32"/>
          <w:szCs w:val="32"/>
          <w:highlight w:val="none"/>
          <w14:textFill>
            <w14:solidFill>
              <w14:schemeClr w14:val="tx1"/>
            </w14:solidFill>
          </w14:textFill>
        </w:rPr>
        <w:t>对低温雨雪冰冻事件预警级别和发布另有明确规定的，从其规定。在预警过程中如发现风险扩大，超出本级防御能力，应及时上报上级应急指挥机构，建议提高预警等级。</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391" w:name="_Toc160876982"/>
      <w:bookmarkStart w:id="1392" w:name="_Toc23789"/>
      <w:bookmarkStart w:id="1393" w:name="_Toc22352"/>
      <w:bookmarkStart w:id="1394" w:name="_Toc1424"/>
      <w:bookmarkStart w:id="1395" w:name="_Toc3582"/>
      <w:bookmarkStart w:id="1396" w:name="_Toc4502"/>
      <w:bookmarkStart w:id="1397" w:name="_Toc29430"/>
      <w:bookmarkStart w:id="1398" w:name="_Toc11861"/>
      <w:bookmarkStart w:id="1399" w:name="_Toc24647"/>
      <w:bookmarkStart w:id="1400" w:name="_Toc11521"/>
      <w:bookmarkStart w:id="1401" w:name="_Toc11789"/>
      <w:bookmarkStart w:id="1402" w:name="_Toc170914147"/>
      <w:r>
        <w:rPr>
          <w:rFonts w:ascii="楷体_GB2312" w:hAnsi="仿宋" w:eastAsia="楷体_GB2312"/>
          <w:color w:val="000000" w:themeColor="text1"/>
          <w:highlight w:val="none"/>
          <w14:textFill>
            <w14:solidFill>
              <w14:schemeClr w14:val="tx1"/>
            </w14:solidFill>
          </w14:textFill>
        </w:rPr>
        <w:t>3.5防御响应</w:t>
      </w:r>
      <w:bookmarkEnd w:id="1391"/>
      <w:bookmarkEnd w:id="1392"/>
      <w:bookmarkEnd w:id="1393"/>
      <w:bookmarkEnd w:id="1394"/>
      <w:bookmarkEnd w:id="1395"/>
      <w:bookmarkEnd w:id="1396"/>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403" w:name="_Toc506699899"/>
      <w:bookmarkStart w:id="1404" w:name="_Toc160876983"/>
      <w:bookmarkStart w:id="1405" w:name="_Toc13770"/>
      <w:bookmarkStart w:id="1406" w:name="_Toc531771754"/>
      <w:bookmarkStart w:id="1407" w:name="_Toc23310"/>
      <w:bookmarkStart w:id="1408" w:name="_Toc445"/>
      <w:r>
        <w:rPr>
          <w:rFonts w:ascii="仿宋_GB2312" w:hAnsi="仿宋" w:eastAsia="仿宋_GB2312"/>
          <w:color w:val="000000" w:themeColor="text1"/>
          <w:sz w:val="32"/>
          <w:szCs w:val="32"/>
          <w:highlight w:val="none"/>
          <w14:textFill>
            <w14:solidFill>
              <w14:schemeClr w14:val="tx1"/>
            </w14:solidFill>
          </w14:textFill>
        </w:rPr>
        <w:t>3.5.1防御响应程序</w:t>
      </w:r>
      <w:bookmarkEnd w:id="1403"/>
      <w:bookmarkEnd w:id="1404"/>
      <w:bookmarkEnd w:id="1405"/>
      <w:bookmarkEnd w:id="1406"/>
      <w:bookmarkEnd w:id="1407"/>
      <w:bookmarkEnd w:id="1408"/>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1）</w:t>
      </w:r>
      <w:r>
        <w:rPr>
          <w:rFonts w:hint="eastAsia" w:ascii="仿宋_GB2312" w:hAnsi="仿宋" w:eastAsia="仿宋_GB2312"/>
          <w:color w:val="000000" w:themeColor="text1"/>
          <w:sz w:val="32"/>
          <w:szCs w:val="32"/>
          <w:highlight w:val="none"/>
          <w14:textFill>
            <w14:solidFill>
              <w14:schemeClr w14:val="tx1"/>
            </w14:solidFill>
          </w14:textFill>
        </w:rPr>
        <w:t>各</w:t>
      </w:r>
      <w:r>
        <w:rPr>
          <w:rFonts w:hint="eastAsia" w:ascii="仿宋_GB2312" w:hAnsi="仿宋" w:eastAsia="仿宋_GB2312"/>
          <w:color w:val="000000" w:themeColor="text1"/>
          <w:sz w:val="32"/>
          <w:szCs w:val="32"/>
          <w:highlight w:val="none"/>
          <w:lang w:eastAsia="zh-CN"/>
          <w14:textFill>
            <w14:solidFill>
              <w14:schemeClr w14:val="tx1"/>
            </w14:solidFill>
          </w14:textFill>
        </w:rPr>
        <w:t>级公路管养</w:t>
      </w:r>
      <w:r>
        <w:rPr>
          <w:rFonts w:hint="eastAsia" w:ascii="仿宋_GB2312" w:hAnsi="仿宋" w:eastAsia="仿宋_GB2312"/>
          <w:color w:val="000000" w:themeColor="text1"/>
          <w:sz w:val="32"/>
          <w:szCs w:val="32"/>
          <w:highlight w:val="none"/>
          <w14:textFill>
            <w14:solidFill>
              <w14:schemeClr w14:val="tx1"/>
            </w14:solidFill>
          </w14:textFill>
        </w:rPr>
        <w:t>单位接到预计大范围</w:t>
      </w:r>
      <w:r>
        <w:rPr>
          <w:rFonts w:hint="eastAsia" w:ascii="仿宋_GB2312" w:hAnsi="仿宋" w:eastAsia="仿宋_GB2312"/>
          <w:color w:val="000000" w:themeColor="text1"/>
          <w:sz w:val="32"/>
          <w:szCs w:val="32"/>
          <w:highlight w:val="none"/>
          <w:lang w:eastAsia="zh-CN"/>
          <w14:textFill>
            <w14:solidFill>
              <w14:schemeClr w14:val="tx1"/>
            </w14:solidFill>
          </w14:textFill>
        </w:rPr>
        <w:t>低温</w:t>
      </w:r>
      <w:r>
        <w:rPr>
          <w:rFonts w:hint="eastAsia" w:ascii="仿宋_GB2312" w:hAnsi="仿宋" w:eastAsia="仿宋_GB2312"/>
          <w:color w:val="000000" w:themeColor="text1"/>
          <w:sz w:val="32"/>
          <w:szCs w:val="32"/>
          <w:highlight w:val="none"/>
          <w14:textFill>
            <w14:solidFill>
              <w14:schemeClr w14:val="tx1"/>
            </w14:solidFill>
          </w14:textFill>
        </w:rPr>
        <w:t>雨雪冰冻等天气，且对公路交通可能造成严重影响的信息时，及时核实有关情况，报</w:t>
      </w:r>
      <w:r>
        <w:rPr>
          <w:rFonts w:hint="eastAsia" w:ascii="仿宋_GB2312" w:hAnsi="仿宋" w:eastAsia="仿宋_GB2312"/>
          <w:color w:val="000000" w:themeColor="text1"/>
          <w:sz w:val="32"/>
          <w:szCs w:val="32"/>
          <w:highlight w:val="none"/>
          <w:lang w:eastAsia="zh-CN"/>
          <w14:textFill>
            <w14:solidFill>
              <w14:schemeClr w14:val="tx1"/>
            </w14:solidFill>
          </w14:textFill>
        </w:rPr>
        <w:t>厅安全生产委员会办公室。</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（2）</w:t>
      </w:r>
      <w:r>
        <w:rPr>
          <w:rFonts w:hint="eastAsia" w:ascii="仿宋_GB2312" w:hAnsi="仿宋" w:eastAsia="仿宋_GB2312"/>
          <w:color w:val="000000" w:themeColor="text1"/>
          <w:sz w:val="32"/>
          <w:szCs w:val="32"/>
          <w:highlight w:val="none"/>
          <w:lang w:eastAsia="zh-CN"/>
          <w14:textFill>
            <w14:solidFill>
              <w14:schemeClr w14:val="tx1"/>
            </w14:solidFill>
          </w14:textFill>
        </w:rPr>
        <w:t>厅</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应急办</w:t>
      </w:r>
      <w:r>
        <w:rPr>
          <w:rFonts w:hint="eastAsia" w:ascii="仿宋_GB2312" w:hAnsi="仿宋" w:eastAsia="仿宋_GB2312"/>
          <w:color w:val="000000" w:themeColor="text1"/>
          <w:sz w:val="32"/>
          <w:szCs w:val="32"/>
          <w:highlight w:val="none"/>
          <w14:textFill>
            <w14:solidFill>
              <w14:schemeClr w14:val="tx1"/>
            </w14:solidFill>
          </w14:textFill>
        </w:rPr>
        <w:t>提出启动防御响应建议。</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 w:eastAsia="仿宋_GB2312"/>
          <w:color w:val="000000" w:themeColor="text1"/>
          <w:sz w:val="32"/>
          <w:szCs w:val="32"/>
          <w:highlight w:val="none"/>
          <w:lang w:eastAsia="zh-CN"/>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（3）拟启动Ⅰ级</w:t>
      </w:r>
      <w:r>
        <w:rPr>
          <w:rFonts w:hint="eastAsia" w:ascii="仿宋_GB2312" w:hAnsi="仿宋" w:eastAsia="仿宋_GB2312"/>
          <w:color w:val="000000" w:themeColor="text1"/>
          <w:sz w:val="32"/>
          <w:szCs w:val="32"/>
          <w:highlight w:val="none"/>
          <w:lang w:eastAsia="zh-CN"/>
          <w14:textFill>
            <w14:solidFill>
              <w14:schemeClr w14:val="tx1"/>
            </w14:solidFill>
          </w14:textFill>
        </w:rPr>
        <w:t>和</w:t>
      </w:r>
      <w:r>
        <w:rPr>
          <w:rFonts w:hint="eastAsia" w:ascii="仿宋_GB2312" w:hAnsi="仿宋" w:eastAsia="仿宋_GB2312"/>
          <w:color w:val="000000" w:themeColor="text1"/>
          <w:sz w:val="32"/>
          <w:szCs w:val="32"/>
          <w:highlight w:val="none"/>
          <w14:textFill>
            <w14:solidFill>
              <w14:schemeClr w14:val="tx1"/>
            </w14:solidFill>
          </w14:textFill>
        </w:rPr>
        <w:t>Ⅱ级防御响应的，经分管厅领导</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核准</w:t>
      </w:r>
      <w:r>
        <w:rPr>
          <w:rFonts w:hint="eastAsia" w:ascii="仿宋_GB2312" w:hAnsi="仿宋" w:eastAsia="仿宋_GB2312"/>
          <w:color w:val="000000" w:themeColor="text1"/>
          <w:sz w:val="32"/>
          <w:szCs w:val="32"/>
          <w:highlight w:val="none"/>
          <w14:textFill>
            <w14:solidFill>
              <w14:schemeClr w14:val="tx1"/>
            </w14:solidFill>
          </w14:textFill>
        </w:rPr>
        <w:t>，报请</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厅主要负责人同意</w:t>
      </w:r>
      <w:r>
        <w:rPr>
          <w:rFonts w:hint="eastAsia" w:ascii="仿宋_GB2312" w:hAnsi="仿宋" w:eastAsia="仿宋_GB2312"/>
          <w:color w:val="000000" w:themeColor="text1"/>
          <w:sz w:val="32"/>
          <w:szCs w:val="32"/>
          <w:highlight w:val="none"/>
          <w14:textFill>
            <w14:solidFill>
              <w14:schemeClr w14:val="tx1"/>
            </w14:solidFill>
          </w14:textFill>
        </w:rPr>
        <w:t>后启动；</w:t>
      </w:r>
      <w:r>
        <w:rPr>
          <w:rFonts w:hint="eastAsia" w:ascii="仿宋_GB2312" w:hAnsi="仿宋" w:eastAsia="仿宋_GB2312"/>
          <w:color w:val="000000" w:themeColor="text1"/>
          <w:sz w:val="32"/>
          <w:szCs w:val="32"/>
          <w:highlight w:val="none"/>
          <w:lang w:eastAsia="zh-CN"/>
          <w14:textFill>
            <w14:solidFill>
              <w14:schemeClr w14:val="tx1"/>
            </w14:solidFill>
          </w14:textFill>
        </w:rPr>
        <w:t>报自治区人民政府和交通运输部。</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 w:eastAsia="仿宋_GB2312"/>
          <w:color w:val="000000" w:themeColor="text1"/>
          <w:sz w:val="32"/>
          <w:szCs w:val="32"/>
          <w:highlight w:val="none"/>
          <w:lang w:eastAsia="zh-CN"/>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（4）Ⅲ级和Ⅳ级防御</w:t>
      </w:r>
      <w:r>
        <w:rPr>
          <w:rFonts w:hint="eastAsia" w:ascii="仿宋_GB2312" w:hAnsi="仿宋" w:eastAsia="仿宋_GB2312"/>
          <w:color w:val="000000" w:themeColor="text1"/>
          <w:sz w:val="32"/>
          <w:szCs w:val="32"/>
          <w:highlight w:val="none"/>
          <w:lang w:eastAsia="zh-CN"/>
          <w14:textFill>
            <w14:solidFill>
              <w14:schemeClr w14:val="tx1"/>
            </w14:solidFill>
          </w14:textFill>
        </w:rPr>
        <w:t>响应，</w:t>
      </w:r>
      <w:r>
        <w:rPr>
          <w:rFonts w:hint="eastAsia" w:ascii="仿宋_GB2312" w:hAnsi="仿宋" w:eastAsia="仿宋_GB2312"/>
          <w:color w:val="000000" w:themeColor="text1"/>
          <w:sz w:val="32"/>
          <w:szCs w:val="32"/>
          <w:highlight w:val="none"/>
          <w14:textFill>
            <w14:solidFill>
              <w14:schemeClr w14:val="tx1"/>
            </w14:solidFill>
          </w14:textFill>
        </w:rPr>
        <w:t>应经分管厅领导</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同意</w:t>
      </w:r>
      <w:r>
        <w:rPr>
          <w:rFonts w:hint="eastAsia" w:ascii="仿宋_GB2312" w:hAnsi="仿宋" w:eastAsia="仿宋_GB2312"/>
          <w:color w:val="000000" w:themeColor="text1"/>
          <w:sz w:val="32"/>
          <w:szCs w:val="32"/>
          <w:highlight w:val="none"/>
          <w14:textFill>
            <w14:solidFill>
              <w14:schemeClr w14:val="tx1"/>
            </w14:solidFill>
          </w14:textFill>
        </w:rPr>
        <w:t>后启动；由</w:t>
      </w:r>
      <w:r>
        <w:rPr>
          <w:rFonts w:hint="eastAsia" w:ascii="仿宋_GB2312" w:hAnsi="仿宋" w:eastAsia="仿宋_GB2312"/>
          <w:color w:val="000000" w:themeColor="text1"/>
          <w:sz w:val="32"/>
          <w:szCs w:val="32"/>
          <w:highlight w:val="none"/>
          <w:lang w:eastAsia="zh-CN"/>
          <w14:textFill>
            <w14:solidFill>
              <w14:schemeClr w14:val="tx1"/>
            </w14:solidFill>
          </w14:textFill>
        </w:rPr>
        <w:t>宁夏公路管理中心、</w:t>
      </w:r>
      <w:r>
        <w:rPr>
          <w:rFonts w:hint="eastAsia" w:ascii="仿宋_GB2312" w:hAnsi="仿宋" w:eastAsia="仿宋_GB2312"/>
          <w:color w:val="000000" w:themeColor="text1"/>
          <w:sz w:val="32"/>
          <w:szCs w:val="32"/>
          <w:highlight w:val="none"/>
          <w14:textFill>
            <w14:solidFill>
              <w14:schemeClr w14:val="tx1"/>
            </w14:solidFill>
          </w14:textFill>
        </w:rPr>
        <w:t>各市、县交通运输主管部门、各高速公路运营管理单位启动防御响应的指令</w:t>
      </w:r>
      <w:r>
        <w:rPr>
          <w:rFonts w:hint="eastAsia" w:ascii="仿宋_GB2312" w:hAnsi="仿宋" w:eastAsia="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5）</w:t>
      </w:r>
      <w:r>
        <w:rPr>
          <w:rFonts w:hint="eastAsia" w:ascii="仿宋_GB2312" w:hAnsi="仿宋" w:eastAsia="仿宋_GB2312"/>
          <w:color w:val="000000" w:themeColor="text1"/>
          <w:sz w:val="32"/>
          <w:szCs w:val="32"/>
          <w:highlight w:val="none"/>
          <w14:textFill>
            <w14:solidFill>
              <w14:schemeClr w14:val="tx1"/>
            </w14:solidFill>
          </w14:textFill>
        </w:rPr>
        <w:t>根据</w:t>
      </w:r>
      <w:r>
        <w:rPr>
          <w:rFonts w:hint="eastAsia" w:ascii="仿宋_GB2312" w:eastAsia="仿宋_GB2312"/>
          <w:color w:val="000000" w:themeColor="text1"/>
          <w:sz w:val="32"/>
          <w:szCs w:val="32"/>
          <w:highlight w:val="none"/>
          <w:lang w:eastAsia="zh-CN"/>
          <w14:textFill>
            <w14:solidFill>
              <w14:schemeClr w14:val="tx1"/>
            </w14:solidFill>
          </w14:textFill>
        </w:rPr>
        <w:t>低温雨雪冰冻</w:t>
      </w:r>
      <w:r>
        <w:rPr>
          <w:rFonts w:hint="eastAsia" w:ascii="仿宋_GB2312" w:hAnsi="仿宋" w:eastAsia="仿宋_GB2312"/>
          <w:color w:val="000000" w:themeColor="text1"/>
          <w:sz w:val="32"/>
          <w:szCs w:val="32"/>
          <w:highlight w:val="none"/>
          <w14:textFill>
            <w14:solidFill>
              <w14:schemeClr w14:val="tx1"/>
            </w14:solidFill>
          </w14:textFill>
        </w:rPr>
        <w:t>事件发展态势，防御响应可转入应急响应，按照应急响应程序处置。</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6</w:t>
      </w:r>
      <w:r>
        <w:rPr>
          <w:rFonts w:hint="eastAsia" w:ascii="仿宋_GB2312" w:hAnsi="仿宋" w:eastAsia="仿宋_GB2312"/>
          <w:color w:val="000000" w:themeColor="text1"/>
          <w:sz w:val="32"/>
          <w:szCs w:val="32"/>
          <w:highlight w:val="none"/>
          <w14:textFill>
            <w14:solidFill>
              <w14:schemeClr w14:val="tx1"/>
            </w14:solidFill>
          </w14:textFill>
        </w:rPr>
        <w:t>）当预计的天气情况未对公路交通造成影响，或天气预警降低为蓝色（一般）级别或解除时，防御响应自动结束。</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409" w:name="_Toc505421625"/>
      <w:bookmarkStart w:id="1410" w:name="_Toc160876984"/>
      <w:bookmarkStart w:id="1411" w:name="_Toc506699903"/>
      <w:bookmarkStart w:id="1412" w:name="_Toc24311"/>
      <w:bookmarkStart w:id="1413" w:name="_Toc2062"/>
      <w:bookmarkStart w:id="1414" w:name="_Toc10959"/>
      <w:bookmarkStart w:id="1415" w:name="_Toc531771755"/>
      <w:r>
        <w:rPr>
          <w:rFonts w:ascii="仿宋_GB2312" w:hAnsi="仿宋" w:eastAsia="仿宋_GB2312"/>
          <w:color w:val="000000" w:themeColor="text1"/>
          <w:sz w:val="32"/>
          <w:szCs w:val="32"/>
          <w:highlight w:val="none"/>
          <w14:textFill>
            <w14:solidFill>
              <w14:schemeClr w14:val="tx1"/>
            </w14:solidFill>
          </w14:textFill>
        </w:rPr>
        <w:t>3.5.</w:t>
      </w:r>
      <w:r>
        <w:rPr>
          <w:rFonts w:hint="eastAsia" w:ascii="仿宋_GB2312" w:hAnsi="仿宋" w:eastAsia="仿宋_GB2312"/>
          <w:color w:val="000000" w:themeColor="text1"/>
          <w:sz w:val="32"/>
          <w:szCs w:val="32"/>
          <w:highlight w:val="none"/>
          <w14:textFill>
            <w14:solidFill>
              <w14:schemeClr w14:val="tx1"/>
            </w14:solidFill>
          </w14:textFill>
        </w:rPr>
        <w:t>2防御响应</w:t>
      </w:r>
      <w:bookmarkEnd w:id="1409"/>
      <w:r>
        <w:rPr>
          <w:rFonts w:hint="eastAsia" w:ascii="仿宋_GB2312" w:hAnsi="仿宋" w:eastAsia="仿宋_GB2312"/>
          <w:color w:val="000000" w:themeColor="text1"/>
          <w:sz w:val="32"/>
          <w:szCs w:val="32"/>
          <w:highlight w:val="none"/>
          <w14:textFill>
            <w14:solidFill>
              <w14:schemeClr w14:val="tx1"/>
            </w14:solidFill>
          </w14:textFill>
        </w:rPr>
        <w:t>措施</w:t>
      </w:r>
      <w:bookmarkEnd w:id="1410"/>
      <w:bookmarkEnd w:id="1411"/>
      <w:bookmarkEnd w:id="1412"/>
      <w:bookmarkEnd w:id="1413"/>
      <w:bookmarkEnd w:id="1414"/>
      <w:bookmarkEnd w:id="1415"/>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1）Ⅰ级和Ⅱ级防御响应措施：</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（1）由厅长或经厅长授权的分管厅领导启动防御响应，并在第一时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间上</w:t>
      </w:r>
      <w:r>
        <w:rPr>
          <w:rFonts w:hint="eastAsia" w:ascii="仿宋_GB2312" w:hAnsi="仿宋_GB2312" w:eastAsia="仿宋_GB2312" w:cs="仿宋_GB2312"/>
          <w:color w:val="000000" w:themeColor="text1"/>
          <w:sz w:val="32"/>
          <w:szCs w:val="32"/>
          <w:highlight w:val="none"/>
          <w14:textFill>
            <w14:solidFill>
              <w14:schemeClr w14:val="tx1"/>
            </w14:solidFill>
          </w14:textFill>
        </w:rPr>
        <w:t>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交通运输部和</w:t>
      </w:r>
      <w:r>
        <w:rPr>
          <w:rFonts w:hint="eastAsia" w:ascii="仿宋_GB2312" w:hAnsi="仿宋_GB2312" w:eastAsia="仿宋_GB2312" w:cs="仿宋_GB2312"/>
          <w:color w:val="000000" w:themeColor="text1"/>
          <w:sz w:val="32"/>
          <w:szCs w:val="32"/>
          <w:highlight w:val="none"/>
          <w14:textFill>
            <w14:solidFill>
              <w14:schemeClr w14:val="tx1"/>
            </w14:solidFill>
          </w14:textFill>
        </w:rPr>
        <w:t>自治区应急管理厅，同时下达应急指令。</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（2）由厅领导负责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统一指挥</w:t>
      </w:r>
      <w:r>
        <w:rPr>
          <w:rFonts w:hint="eastAsia" w:ascii="仿宋_GB2312" w:hAnsi="仿宋_GB2312" w:eastAsia="仿宋_GB2312" w:cs="仿宋_GB2312"/>
          <w:color w:val="000000" w:themeColor="text1"/>
          <w:sz w:val="32"/>
          <w:szCs w:val="32"/>
          <w:highlight w:val="none"/>
          <w14:textFill>
            <w14:solidFill>
              <w14:schemeClr w14:val="tx1"/>
            </w14:solidFill>
          </w14:textFill>
        </w:rPr>
        <w:t>，组织调配各级应急保障队伍的人员、物资、机械设备进行抢修。</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级公路管养</w:t>
      </w:r>
      <w:r>
        <w:rPr>
          <w:rFonts w:hint="eastAsia" w:ascii="仿宋_GB2312" w:hAnsi="仿宋_GB2312" w:eastAsia="仿宋_GB2312" w:cs="仿宋_GB2312"/>
          <w:color w:val="000000" w:themeColor="text1"/>
          <w:sz w:val="32"/>
          <w:szCs w:val="32"/>
          <w:highlight w:val="none"/>
          <w14:textFill>
            <w14:solidFill>
              <w14:schemeClr w14:val="tx1"/>
            </w14:solidFill>
          </w14:textFill>
        </w:rPr>
        <w:t>单位负责通过</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宁夏公路公众号、</w:t>
      </w:r>
      <w:r>
        <w:rPr>
          <w:rFonts w:hint="eastAsia" w:ascii="仿宋_GB2312" w:hAnsi="仿宋_GB2312" w:eastAsia="仿宋_GB2312" w:cs="仿宋_GB2312"/>
          <w:color w:val="000000" w:themeColor="text1"/>
          <w:sz w:val="32"/>
          <w:szCs w:val="32"/>
          <w:highlight w:val="none"/>
          <w14:textFill>
            <w14:solidFill>
              <w14:schemeClr w14:val="tx1"/>
            </w14:solidFill>
          </w14:textFill>
        </w:rPr>
        <w:t>“FM98.4”广播、导航软件、直播平台、收费站入口信息显示屏、高速公路可变情报板等向全区通报路况情况。</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2）Ⅲ级和Ⅳ级防御响应措施：</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（1）由</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宁夏公路管理中心、</w:t>
      </w:r>
      <w:r>
        <w:rPr>
          <w:rFonts w:hint="eastAsia" w:ascii="仿宋_GB2312" w:hAnsi="仿宋_GB2312" w:eastAsia="仿宋_GB2312" w:cs="仿宋_GB2312"/>
          <w:color w:val="000000" w:themeColor="text1"/>
          <w:sz w:val="32"/>
          <w:szCs w:val="32"/>
          <w:highlight w:val="none"/>
          <w14:textFill>
            <w14:solidFill>
              <w14:schemeClr w14:val="tx1"/>
            </w14:solidFill>
          </w14:textFill>
        </w:rPr>
        <w:t>各市、县交通运输主管部门、各高速公路运营管理单位下达防御响应的指令。</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（2）由</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宁夏公路管理中心、</w:t>
      </w:r>
      <w:r>
        <w:rPr>
          <w:rFonts w:hint="eastAsia" w:ascii="仿宋_GB2312" w:hAnsi="仿宋_GB2312" w:eastAsia="仿宋_GB2312" w:cs="仿宋_GB2312"/>
          <w:color w:val="000000" w:themeColor="text1"/>
          <w:sz w:val="32"/>
          <w:szCs w:val="32"/>
          <w:highlight w:val="none"/>
          <w14:textFill>
            <w14:solidFill>
              <w14:schemeClr w14:val="tx1"/>
            </w14:solidFill>
          </w14:textFill>
        </w:rPr>
        <w:t>各市、县交通运输主管部门、各高速公路运营单位负责组织调配各应急保障队伍的人员、物资、机械设备进行抢修。</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级公路管养</w:t>
      </w:r>
      <w:r>
        <w:rPr>
          <w:rFonts w:hint="eastAsia" w:ascii="仿宋_GB2312" w:hAnsi="仿宋_GB2312" w:eastAsia="仿宋_GB2312" w:cs="仿宋_GB2312"/>
          <w:color w:val="000000" w:themeColor="text1"/>
          <w:sz w:val="32"/>
          <w:szCs w:val="32"/>
          <w:highlight w:val="none"/>
          <w14:textFill>
            <w14:solidFill>
              <w14:schemeClr w14:val="tx1"/>
            </w14:solidFill>
          </w14:textFill>
        </w:rPr>
        <w:t>单位负责通过</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宁夏公路公众号、</w:t>
      </w:r>
      <w:r>
        <w:rPr>
          <w:rFonts w:hint="eastAsia" w:ascii="仿宋_GB2312" w:hAnsi="仿宋_GB2312" w:eastAsia="仿宋_GB2312" w:cs="仿宋_GB2312"/>
          <w:color w:val="000000" w:themeColor="text1"/>
          <w:sz w:val="32"/>
          <w:szCs w:val="32"/>
          <w:highlight w:val="none"/>
          <w14:textFill>
            <w14:solidFill>
              <w14:schemeClr w14:val="tx1"/>
            </w14:solidFill>
          </w14:textFill>
        </w:rPr>
        <w:t>“FM98.4”广播、导航软件、直播平台、收费站入口信息显示屏、高速公路可变情报板等向全区通报路况情况。</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3）通用性防御措施</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（1）建立预警预防日常值班制度，加强与气象等部门的联系和协调。</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（2）督促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各级公路管养</w:t>
      </w:r>
      <w:r>
        <w:rPr>
          <w:rFonts w:hint="eastAsia" w:ascii="仿宋_GB2312" w:hAnsi="仿宋_GB2312" w:eastAsia="仿宋_GB2312" w:cs="仿宋_GB2312"/>
          <w:color w:val="000000" w:themeColor="text1"/>
          <w:sz w:val="32"/>
          <w:szCs w:val="32"/>
          <w:highlight w:val="none"/>
          <w14:textFill>
            <w14:solidFill>
              <w14:schemeClr w14:val="tx1"/>
            </w14:solidFill>
          </w14:textFill>
        </w:rPr>
        <w:t>单位对重点部位进行排查，明确易冻易滑的地段，做好应对防范工作。</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（3）通过自媒体、可变情报板或收费站信息显示屏等方式告知低温雨雪冰冻影响区域和注意事项。</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（4）当高速公路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和普通国省干线</w:t>
      </w:r>
      <w:r>
        <w:rPr>
          <w:rFonts w:hint="eastAsia" w:ascii="仿宋_GB2312" w:hAnsi="仿宋_GB2312" w:eastAsia="仿宋_GB2312" w:cs="仿宋_GB2312"/>
          <w:color w:val="000000" w:themeColor="text1"/>
          <w:sz w:val="32"/>
          <w:szCs w:val="32"/>
          <w:highlight w:val="none"/>
          <w14:textFill>
            <w14:solidFill>
              <w14:schemeClr w14:val="tx1"/>
            </w14:solidFill>
          </w14:textFill>
        </w:rPr>
        <w:t>通行条件难以保证交通安全时，根据应急需要，配合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交管</w:t>
      </w:r>
      <w:r>
        <w:rPr>
          <w:rFonts w:hint="eastAsia" w:ascii="仿宋_GB2312" w:hAnsi="仿宋_GB2312" w:eastAsia="仿宋_GB2312" w:cs="仿宋_GB2312"/>
          <w:color w:val="000000" w:themeColor="text1"/>
          <w:sz w:val="32"/>
          <w:szCs w:val="32"/>
          <w:highlight w:val="none"/>
          <w14:textFill>
            <w14:solidFill>
              <w14:schemeClr w14:val="tx1"/>
            </w14:solidFill>
          </w14:textFill>
        </w:rPr>
        <w:t>部门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实施交通管制</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（5）低温雨雪冰冻天气结束后，组织</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各</w:t>
      </w:r>
      <w:r>
        <w:rPr>
          <w:rFonts w:hint="eastAsia" w:ascii="仿宋_GB2312" w:hAnsi="仿宋_GB2312" w:eastAsia="仿宋_GB2312" w:cs="仿宋_GB2312"/>
          <w:color w:val="000000" w:themeColor="text1"/>
          <w:sz w:val="32"/>
          <w:szCs w:val="32"/>
          <w:highlight w:val="none"/>
          <w14:textFill>
            <w14:solidFill>
              <w14:schemeClr w14:val="tx1"/>
            </w14:solidFill>
          </w14:textFill>
        </w:rPr>
        <w:t>部门配合公安</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交管部门</w:t>
      </w:r>
      <w:r>
        <w:rPr>
          <w:rFonts w:hint="eastAsia" w:ascii="仿宋_GB2312" w:hAnsi="仿宋_GB2312" w:eastAsia="仿宋_GB2312" w:cs="仿宋_GB2312"/>
          <w:color w:val="000000" w:themeColor="text1"/>
          <w:sz w:val="32"/>
          <w:szCs w:val="32"/>
          <w:highlight w:val="none"/>
          <w14:textFill>
            <w14:solidFill>
              <w14:schemeClr w14:val="tx1"/>
            </w14:solidFill>
          </w14:textFill>
        </w:rPr>
        <w:t>尽快恢复道路通行能力。因低温雨雪冰冻导致道路交通中断后，督促养护部门进行除雪除冰作业，积极配合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交管、交通执法</w:t>
      </w:r>
      <w:r>
        <w:rPr>
          <w:rFonts w:hint="eastAsia" w:ascii="仿宋_GB2312" w:hAnsi="仿宋_GB2312" w:eastAsia="仿宋_GB2312" w:cs="仿宋_GB2312"/>
          <w:color w:val="000000" w:themeColor="text1"/>
          <w:sz w:val="32"/>
          <w:szCs w:val="32"/>
          <w:highlight w:val="none"/>
          <w14:textFill>
            <w14:solidFill>
              <w14:schemeClr w14:val="tx1"/>
            </w14:solidFill>
          </w14:textFill>
        </w:rPr>
        <w:t>部门开展滞留车辆的疏导工作。</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jc w:val="both"/>
        <w:textAlignment w:val="auto"/>
        <w:outlineLvl w:val="2"/>
        <w:rPr>
          <w:rFonts w:ascii="楷体_GB2312" w:hAnsi="仿宋" w:eastAsia="楷体_GB2312"/>
          <w:color w:val="000000" w:themeColor="text1"/>
          <w:highlight w:val="none"/>
          <w14:textFill>
            <w14:solidFill>
              <w14:schemeClr w14:val="tx1"/>
            </w14:solidFill>
          </w14:textFill>
        </w:rPr>
      </w:pPr>
      <w:bookmarkStart w:id="1416" w:name="_Toc27450"/>
      <w:bookmarkStart w:id="1417" w:name="_Toc29770"/>
      <w:bookmarkStart w:id="1418" w:name="_Toc14261"/>
      <w:bookmarkStart w:id="1419" w:name="_Toc160876985"/>
      <w:bookmarkStart w:id="1420" w:name="_Toc23543"/>
      <w:bookmarkStart w:id="1421" w:name="_Toc31926"/>
      <w:r>
        <w:rPr>
          <w:rFonts w:ascii="楷体_GB2312" w:hAnsi="仿宋" w:eastAsia="楷体_GB2312"/>
          <w:color w:val="000000" w:themeColor="text1"/>
          <w:highlight w:val="none"/>
          <w14:textFill>
            <w14:solidFill>
              <w14:schemeClr w14:val="tx1"/>
            </w14:solidFill>
          </w14:textFill>
        </w:rPr>
        <w:t>3.6</w:t>
      </w:r>
      <w:r>
        <w:rPr>
          <w:rFonts w:hint="eastAsia" w:ascii="楷体_GB2312" w:hAnsi="仿宋" w:eastAsia="楷体_GB2312"/>
          <w:color w:val="000000" w:themeColor="text1"/>
          <w:highlight w:val="none"/>
          <w14:textFill>
            <w14:solidFill>
              <w14:schemeClr w14:val="tx1"/>
            </w14:solidFill>
          </w14:textFill>
        </w:rPr>
        <w:t>防御响应结束</w:t>
      </w:r>
      <w:bookmarkEnd w:id="1416"/>
      <w:bookmarkEnd w:id="1417"/>
      <w:bookmarkEnd w:id="1418"/>
      <w:bookmarkEnd w:id="1419"/>
      <w:bookmarkEnd w:id="1420"/>
      <w:bookmarkEnd w:id="1421"/>
    </w:p>
    <w:p>
      <w:pPr>
        <w:keepNext w:val="0"/>
        <w:keepLines w:val="0"/>
        <w:pageBreakBefore w:val="0"/>
        <w:widowControl w:val="0"/>
        <w:kinsoku/>
        <w:wordWrap/>
        <w:overflowPunct/>
        <w:topLinePunct/>
        <w:autoSpaceDE w:val="0"/>
        <w:autoSpaceDN w:val="0"/>
        <w:bidi w:val="0"/>
        <w:adjustRightInd w:val="0"/>
        <w:snapToGrid/>
        <w:spacing w:line="600" w:lineRule="exact"/>
        <w:ind w:firstLine="640" w:firstLineChars="200"/>
        <w:jc w:val="both"/>
        <w:textAlignment w:val="auto"/>
        <w:rPr>
          <w:rFonts w:ascii="仿宋_GB2312" w:hAnsi="Times New Roman" w:eastAsia="仿宋_GB2312" w:cs="仿宋_GB2312"/>
          <w:color w:val="000000" w:themeColor="text1"/>
          <w:kern w:val="0"/>
          <w:sz w:val="32"/>
          <w:szCs w:val="32"/>
          <w:highlight w:val="none"/>
          <w14:textFill>
            <w14:solidFill>
              <w14:schemeClr w14:val="tx1"/>
            </w14:solidFill>
          </w14:textFill>
        </w:rPr>
      </w:pPr>
      <w:r>
        <w:rPr>
          <w:rFonts w:hint="eastAsia" w:ascii="仿宋_GB2312" w:hAnsi="Times New Roman" w:eastAsia="仿宋_GB2312" w:cs="仿宋_GB2312"/>
          <w:color w:val="000000" w:themeColor="text1"/>
          <w:kern w:val="0"/>
          <w:sz w:val="32"/>
          <w:szCs w:val="32"/>
          <w:highlight w:val="none"/>
          <w14:textFill>
            <w14:solidFill>
              <w14:schemeClr w14:val="tx1"/>
            </w14:solidFill>
          </w14:textFill>
        </w:rPr>
        <w:t>当低温雨雪冰冻天气对高速</w:t>
      </w:r>
      <w:r>
        <w:rPr>
          <w:rFonts w:hint="eastAsia" w:ascii="仿宋_GB2312" w:hAnsi="Times New Roman" w:eastAsia="仿宋_GB2312" w:cs="仿宋_GB2312"/>
          <w:color w:val="000000" w:themeColor="text1"/>
          <w:kern w:val="0"/>
          <w:sz w:val="32"/>
          <w:szCs w:val="32"/>
          <w:highlight w:val="none"/>
          <w:lang w:eastAsia="zh-CN"/>
          <w14:textFill>
            <w14:solidFill>
              <w14:schemeClr w14:val="tx1"/>
            </w14:solidFill>
          </w14:textFill>
        </w:rPr>
        <w:t>公路</w:t>
      </w:r>
      <w:r>
        <w:rPr>
          <w:rFonts w:hint="eastAsia" w:ascii="仿宋_GB2312" w:hAnsi="Times New Roman" w:eastAsia="仿宋_GB2312" w:cs="仿宋_GB2312"/>
          <w:color w:val="000000" w:themeColor="text1"/>
          <w:kern w:val="0"/>
          <w:sz w:val="32"/>
          <w:szCs w:val="32"/>
          <w:highlight w:val="none"/>
          <w14:textFill>
            <w14:solidFill>
              <w14:schemeClr w14:val="tx1"/>
            </w14:solidFill>
          </w14:textFill>
        </w:rPr>
        <w:t>、</w:t>
      </w:r>
      <w:r>
        <w:rPr>
          <w:rFonts w:hint="eastAsia" w:ascii="仿宋_GB2312" w:hAnsi="Times New Roman" w:eastAsia="仿宋_GB2312" w:cs="仿宋_GB2312"/>
          <w:color w:val="000000" w:themeColor="text1"/>
          <w:kern w:val="0"/>
          <w:sz w:val="32"/>
          <w:szCs w:val="32"/>
          <w:highlight w:val="none"/>
          <w:lang w:eastAsia="zh-CN"/>
          <w14:textFill>
            <w14:solidFill>
              <w14:schemeClr w14:val="tx1"/>
            </w14:solidFill>
          </w14:textFill>
        </w:rPr>
        <w:t>普通</w:t>
      </w:r>
      <w:r>
        <w:rPr>
          <w:rFonts w:hint="eastAsia" w:ascii="仿宋_GB2312" w:hAnsi="Times New Roman" w:eastAsia="仿宋_GB2312" w:cs="仿宋_GB2312"/>
          <w:color w:val="000000" w:themeColor="text1"/>
          <w:kern w:val="0"/>
          <w:sz w:val="32"/>
          <w:szCs w:val="32"/>
          <w:highlight w:val="none"/>
          <w14:textFill>
            <w14:solidFill>
              <w14:schemeClr w14:val="tx1"/>
            </w14:solidFill>
          </w14:textFill>
        </w:rPr>
        <w:t>国省干线公路</w:t>
      </w:r>
      <w:r>
        <w:rPr>
          <w:rFonts w:hint="eastAsia" w:ascii="仿宋_GB2312" w:hAnsi="Times New Roman" w:eastAsia="仿宋_GB2312" w:cs="仿宋_GB2312"/>
          <w:color w:val="000000" w:themeColor="text1"/>
          <w:kern w:val="0"/>
          <w:sz w:val="32"/>
          <w:szCs w:val="32"/>
          <w:highlight w:val="none"/>
          <w:lang w:eastAsia="zh-CN"/>
          <w14:textFill>
            <w14:solidFill>
              <w14:schemeClr w14:val="tx1"/>
            </w14:solidFill>
          </w14:textFill>
        </w:rPr>
        <w:t>、县乡重要道路</w:t>
      </w:r>
      <w:r>
        <w:rPr>
          <w:rFonts w:hint="eastAsia" w:ascii="仿宋_GB2312" w:hAnsi="Times New Roman" w:eastAsia="仿宋_GB2312" w:cs="仿宋_GB2312"/>
          <w:color w:val="000000" w:themeColor="text1"/>
          <w:kern w:val="0"/>
          <w:sz w:val="32"/>
          <w:szCs w:val="32"/>
          <w:highlight w:val="none"/>
          <w14:textFill>
            <w14:solidFill>
              <w14:schemeClr w14:val="tx1"/>
            </w14:solidFill>
          </w14:textFill>
        </w:rPr>
        <w:t>运行无影响后，防御响应结束。</w:t>
      </w:r>
    </w:p>
    <w:p>
      <w:pPr>
        <w:keepNext w:val="0"/>
        <w:keepLines w:val="0"/>
        <w:pageBreakBefore w:val="0"/>
        <w:widowControl w:val="0"/>
        <w:kinsoku/>
        <w:wordWrap/>
        <w:overflowPunct/>
        <w:topLinePunct/>
        <w:autoSpaceDE w:val="0"/>
        <w:autoSpaceDN w:val="0"/>
        <w:bidi w:val="0"/>
        <w:adjustRightInd w:val="0"/>
        <w:snapToGrid/>
        <w:spacing w:line="600" w:lineRule="exact"/>
        <w:ind w:firstLine="640" w:firstLineChars="200"/>
        <w:jc w:val="both"/>
        <w:textAlignment w:val="auto"/>
        <w:rPr>
          <w:color w:val="000000" w:themeColor="text1"/>
          <w:highlight w:val="none"/>
          <w14:textFill>
            <w14:solidFill>
              <w14:schemeClr w14:val="tx1"/>
            </w14:solidFill>
          </w14:textFill>
        </w:rPr>
      </w:pPr>
      <w:r>
        <w:rPr>
          <w:rFonts w:hint="eastAsia" w:ascii="仿宋_GB2312" w:hAnsi="Times New Roman" w:eastAsia="仿宋_GB2312" w:cs="仿宋_GB2312"/>
          <w:color w:val="000000" w:themeColor="text1"/>
          <w:kern w:val="0"/>
          <w:sz w:val="32"/>
          <w:szCs w:val="32"/>
          <w:highlight w:val="none"/>
          <w14:textFill>
            <w14:solidFill>
              <w14:schemeClr w14:val="tx1"/>
            </w14:solidFill>
          </w14:textFill>
        </w:rPr>
        <w:t>防御响应期间发生了突发事件，则按照相应的突发事件应急预案启动响应，开展应急处置工作。</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422" w:name="_Toc27420"/>
      <w:bookmarkStart w:id="1423" w:name="_Toc23000"/>
      <w:bookmarkStart w:id="1424" w:name="_Toc28238"/>
      <w:bookmarkStart w:id="1425" w:name="_Toc12626"/>
      <w:bookmarkStart w:id="1426" w:name="_Toc1674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4.应急处置</w:t>
      </w:r>
      <w:bookmarkEnd w:id="1397"/>
      <w:bookmarkEnd w:id="1398"/>
      <w:bookmarkEnd w:id="1399"/>
      <w:bookmarkEnd w:id="1400"/>
      <w:bookmarkEnd w:id="1401"/>
      <w:bookmarkEnd w:id="1402"/>
      <w:bookmarkEnd w:id="1422"/>
      <w:bookmarkEnd w:id="1423"/>
      <w:bookmarkEnd w:id="1424"/>
      <w:bookmarkEnd w:id="1425"/>
      <w:bookmarkEnd w:id="1426"/>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427" w:name="_Toc5163"/>
      <w:bookmarkStart w:id="1428" w:name="_Toc10437"/>
      <w:bookmarkStart w:id="1429" w:name="_Toc13881"/>
      <w:bookmarkStart w:id="1430" w:name="_Toc29293"/>
      <w:bookmarkStart w:id="1431" w:name="_Toc170914148"/>
      <w:bookmarkStart w:id="1432" w:name="_Toc10996"/>
      <w:bookmarkStart w:id="1433" w:name="_Toc28910"/>
      <w:bookmarkStart w:id="1434" w:name="_Toc22081"/>
      <w:bookmarkStart w:id="1435" w:name="_Toc5122"/>
      <w:bookmarkStart w:id="1436" w:name="_Toc8896"/>
      <w:bookmarkStart w:id="1437" w:name="_Toc9542"/>
      <w:r>
        <w:rPr>
          <w:rFonts w:hint="eastAsia" w:ascii="楷体_GB2312" w:hAnsi="仿宋" w:eastAsia="楷体_GB2312"/>
          <w:color w:val="000000" w:themeColor="text1"/>
          <w:highlight w:val="none"/>
          <w14:textFill>
            <w14:solidFill>
              <w14:schemeClr w14:val="tx1"/>
            </w14:solidFill>
          </w14:textFill>
        </w:rPr>
        <w:t>4</w:t>
      </w:r>
      <w:r>
        <w:rPr>
          <w:rFonts w:ascii="楷体_GB2312" w:hAnsi="仿宋" w:eastAsia="楷体_GB2312"/>
          <w:color w:val="000000" w:themeColor="text1"/>
          <w:highlight w:val="none"/>
          <w14:textFill>
            <w14:solidFill>
              <w14:schemeClr w14:val="tx1"/>
            </w14:solidFill>
          </w14:textFill>
        </w:rPr>
        <w:t>.1信息报送</w:t>
      </w:r>
      <w:bookmarkEnd w:id="1427"/>
      <w:r>
        <w:rPr>
          <w:rFonts w:hint="eastAsia" w:ascii="楷体_GB2312" w:hAnsi="仿宋" w:eastAsia="楷体_GB2312"/>
          <w:color w:val="000000" w:themeColor="text1"/>
          <w:highlight w:val="none"/>
          <w14:textFill>
            <w14:solidFill>
              <w14:schemeClr w14:val="tx1"/>
            </w14:solidFill>
          </w14:textFill>
        </w:rPr>
        <w:t>与处理</w:t>
      </w:r>
      <w:bookmarkEnd w:id="1428"/>
      <w:bookmarkEnd w:id="1429"/>
      <w:bookmarkEnd w:id="1430"/>
      <w:bookmarkEnd w:id="1431"/>
      <w:bookmarkEnd w:id="1432"/>
      <w:bookmarkEnd w:id="1433"/>
      <w:bookmarkEnd w:id="1434"/>
      <w:bookmarkEnd w:id="1435"/>
      <w:bookmarkEnd w:id="1436"/>
      <w:bookmarkEnd w:id="1437"/>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各级交通运输主管部门和各级公路管养单位应及时收集整理和分析由相关监测部门监测到的可能引起低温雨雪冰冻事件的信息，按照规定的级别和权限及时报告；应通过各种渠道对接到的信息加以记录和核实。发生低温雨雪冰冻事件后，立即向属地相关单位和厅安委办报告。厅安委办在接到上报的低温雨雪冰冻事件信息后，应按事件影响程度报送至交通运输部和自治区安委办；</w:t>
      </w:r>
      <w:r>
        <w:rPr>
          <w:rFonts w:hint="eastAsia" w:ascii="仿宋_GB2312" w:hAnsi="仿宋" w:eastAsia="仿宋_GB2312"/>
          <w:color w:val="000000" w:themeColor="text1"/>
          <w:sz w:val="32"/>
          <w:szCs w:val="32"/>
          <w:highlight w:val="none"/>
          <w14:textFill>
            <w14:solidFill>
              <w14:schemeClr w14:val="tx1"/>
            </w14:solidFill>
          </w14:textFill>
        </w:rPr>
        <w:t>应及时收集整理和分析可能引起低温雨雪冰冻事件的预警信息，按照规定的级别和权限及时报告。</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较大以上预警信息发布和应急响应启动后，低温雨雪冰冻事件所涉及的各单位应急机构应当将进展情况及时上报厅指挥部办公室，并按照“零报告”制度，形成每日情况简报。厅指挥部办公室及时将进展信息汇总形成每日低温雨雪冰冻突发事件情况简报，上报厅指挥部，并通报各应急工作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级交通运输主管部门和各级公路管养单位在发现或接到社会公众报告的低温雨雪冰冻事件后，经核实后，应依据职责分工，立即组织调集力量开展应急处置工作，全力控制事态发展，并在2小时内向交通运输厅报告。</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信息报告内容包括：低温雨雪冰冻事件的类型、发生时间、地点、影响范围和程度、已采取的应急处置措施和成效。</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438" w:name="_Toc25631"/>
      <w:bookmarkStart w:id="1439" w:name="_Toc12244"/>
      <w:bookmarkStart w:id="1440" w:name="_Toc13844"/>
      <w:bookmarkStart w:id="1441" w:name="_Toc28462"/>
      <w:bookmarkStart w:id="1442" w:name="_Toc26647"/>
      <w:bookmarkStart w:id="1443" w:name="_Toc5965"/>
      <w:bookmarkStart w:id="1444" w:name="_Toc3825"/>
      <w:bookmarkStart w:id="1445" w:name="_Toc31195"/>
      <w:bookmarkStart w:id="1446" w:name="_Toc170914149"/>
      <w:bookmarkStart w:id="1447" w:name="_Toc19294"/>
      <w:bookmarkStart w:id="1448" w:name="_Toc18745"/>
      <w:r>
        <w:rPr>
          <w:rFonts w:ascii="楷体_GB2312" w:hAnsi="仿宋" w:eastAsia="楷体_GB2312"/>
          <w:color w:val="000000" w:themeColor="text1"/>
          <w:highlight w:val="none"/>
          <w14:textFill>
            <w14:solidFill>
              <w14:schemeClr w14:val="tx1"/>
            </w14:solidFill>
          </w14:textFill>
        </w:rPr>
        <w:t>4.2</w:t>
      </w:r>
      <w:r>
        <w:rPr>
          <w:rFonts w:hint="eastAsia" w:ascii="楷体_GB2312" w:hAnsi="仿宋" w:eastAsia="楷体_GB2312"/>
          <w:color w:val="000000" w:themeColor="text1"/>
          <w:highlight w:val="none"/>
          <w14:textFill>
            <w14:solidFill>
              <w14:schemeClr w14:val="tx1"/>
            </w14:solidFill>
          </w14:textFill>
        </w:rPr>
        <w:t>响应分级</w:t>
      </w:r>
      <w:bookmarkEnd w:id="1438"/>
      <w:bookmarkEnd w:id="1439"/>
      <w:bookmarkEnd w:id="1440"/>
      <w:bookmarkEnd w:id="1441"/>
      <w:bookmarkEnd w:id="1442"/>
      <w:bookmarkEnd w:id="1443"/>
      <w:bookmarkEnd w:id="1444"/>
      <w:bookmarkEnd w:id="1445"/>
      <w:bookmarkEnd w:id="1446"/>
      <w:bookmarkEnd w:id="1447"/>
      <w:bookmarkEnd w:id="1448"/>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lang w:eastAsia="zh-CN"/>
          <w14:textFill>
            <w14:solidFill>
              <w14:schemeClr w14:val="tx1"/>
            </w14:solidFill>
          </w14:textFill>
        </w:rPr>
        <w:t>公路</w:t>
      </w:r>
      <w:r>
        <w:rPr>
          <w:rFonts w:hint="eastAsia" w:ascii="仿宋_GB2312" w:hAnsi="仿宋" w:eastAsia="仿宋_GB2312"/>
          <w:color w:val="000000" w:themeColor="text1"/>
          <w:sz w:val="32"/>
          <w:szCs w:val="32"/>
          <w:highlight w:val="none"/>
          <w14:textFill>
            <w14:solidFill>
              <w14:schemeClr w14:val="tx1"/>
            </w14:solidFill>
          </w14:textFill>
        </w:rPr>
        <w:t>低温雨雪冰冻事件发生后，厅指挥部办公室根据初判级别、应急能力以及预判后果，综合研判本层级响应级别。</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厅</w:t>
      </w:r>
      <w:r>
        <w:rPr>
          <w:rFonts w:hint="eastAsia" w:ascii="仿宋_GB2312" w:hAnsi="仿宋" w:eastAsia="仿宋_GB2312"/>
          <w:color w:val="000000" w:themeColor="text1"/>
          <w:sz w:val="32"/>
          <w:szCs w:val="32"/>
          <w:highlight w:val="none"/>
          <w14:textFill>
            <w14:solidFill>
              <w14:schemeClr w14:val="tx1"/>
            </w14:solidFill>
          </w14:textFill>
        </w:rPr>
        <w:t>指挥部办公室按照本预案1.6事件分级对照响应</w:t>
      </w: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s="Times New Roman"/>
          <w:color w:val="000000" w:themeColor="text1"/>
          <w:sz w:val="32"/>
          <w:szCs w:val="32"/>
          <w:highlight w:val="none"/>
          <w14:textFill>
            <w14:solidFill>
              <w14:schemeClr w14:val="tx1"/>
            </w14:solidFill>
          </w14:textFill>
        </w:rPr>
        <w:t>公路交通突发事件应急响应分为部、省、市、县四级部门响应。交通运输部应急响应分I级和Ⅱ级</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w:t>
      </w:r>
      <w:r>
        <w:rPr>
          <w:rFonts w:hint="eastAsia" w:ascii="仿宋_GB2312" w:hAnsi="仿宋" w:eastAsia="仿宋_GB2312" w:cs="Times New Roman"/>
          <w:color w:val="000000" w:themeColor="text1"/>
          <w:sz w:val="32"/>
          <w:szCs w:val="32"/>
          <w:highlight w:val="none"/>
          <w14:textFill>
            <w14:solidFill>
              <w14:schemeClr w14:val="tx1"/>
            </w14:solidFill>
          </w14:textFill>
        </w:rPr>
        <w:t>省、市、县级部门应急响应分为I级、Ⅱ级、Ⅲ级和</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Ⅳ级</w:t>
      </w:r>
      <w:r>
        <w:rPr>
          <w:rFonts w:hint="eastAsia" w:ascii="仿宋_GB2312" w:hAnsi="仿宋" w:eastAsia="仿宋_GB2312" w:cs="Times New Roman"/>
          <w:color w:val="000000" w:themeColor="text1"/>
          <w:sz w:val="32"/>
          <w:szCs w:val="32"/>
          <w:highlight w:val="none"/>
          <w14:textFill>
            <w14:solidFill>
              <w14:schemeClr w14:val="tx1"/>
            </w14:solidFill>
          </w14:textFill>
        </w:rPr>
        <w:t>四个等级。</w:t>
      </w:r>
      <w:r>
        <w:rPr>
          <w:rFonts w:hint="eastAsia" w:ascii="仿宋_GB2312" w:hAnsi="仿宋" w:eastAsia="仿宋_GB2312"/>
          <w:color w:val="000000" w:themeColor="text1"/>
          <w:sz w:val="32"/>
          <w:szCs w:val="32"/>
          <w:highlight w:val="none"/>
          <w14:textFill>
            <w14:solidFill>
              <w14:schemeClr w14:val="tx1"/>
            </w14:solidFill>
          </w14:textFill>
        </w:rPr>
        <w:t>各单位可参考响应分级确定本级响应等级。</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449" w:name="_Toc14645"/>
      <w:bookmarkStart w:id="1450" w:name="_Toc2554"/>
      <w:bookmarkStart w:id="1451" w:name="_Toc26443"/>
      <w:bookmarkStart w:id="1452" w:name="_Toc24413"/>
      <w:bookmarkStart w:id="1453" w:name="_Toc11558"/>
      <w:bookmarkStart w:id="1454" w:name="_Toc32399"/>
      <w:bookmarkStart w:id="1455" w:name="_Toc7390"/>
      <w:bookmarkStart w:id="1456" w:name="_Toc7357"/>
      <w:bookmarkStart w:id="1457" w:name="_Toc170914150"/>
      <w:bookmarkStart w:id="1458" w:name="_Toc23846"/>
      <w:bookmarkStart w:id="1459" w:name="_Toc25009"/>
      <w:r>
        <w:rPr>
          <w:rFonts w:ascii="楷体_GB2312" w:hAnsi="仿宋" w:eastAsia="楷体_GB2312"/>
          <w:color w:val="000000" w:themeColor="text1"/>
          <w:highlight w:val="none"/>
          <w14:textFill>
            <w14:solidFill>
              <w14:schemeClr w14:val="tx1"/>
            </w14:solidFill>
          </w14:textFill>
        </w:rPr>
        <w:t>4.3响应程序</w:t>
      </w:r>
      <w:bookmarkEnd w:id="1449"/>
      <w:bookmarkEnd w:id="1450"/>
      <w:bookmarkEnd w:id="1451"/>
      <w:bookmarkEnd w:id="1452"/>
      <w:bookmarkEnd w:id="1453"/>
      <w:bookmarkEnd w:id="1454"/>
      <w:bookmarkEnd w:id="1455"/>
      <w:bookmarkEnd w:id="1456"/>
      <w:bookmarkEnd w:id="1457"/>
      <w:bookmarkEnd w:id="1458"/>
      <w:bookmarkEnd w:id="1459"/>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460" w:name="_Toc170914151"/>
      <w:bookmarkStart w:id="1461" w:name="_Toc16667"/>
      <w:bookmarkStart w:id="1462" w:name="_Toc8472"/>
      <w:bookmarkStart w:id="1463" w:name="_Toc6332"/>
      <w:bookmarkStart w:id="1464" w:name="_Toc22544"/>
      <w:bookmarkStart w:id="1465" w:name="_Toc24356"/>
      <w:bookmarkStart w:id="1466" w:name="_Toc27885"/>
      <w:bookmarkStart w:id="1467" w:name="_Toc11078"/>
      <w:r>
        <w:rPr>
          <w:rFonts w:hint="eastAsia" w:ascii="仿宋_GB2312" w:hAnsi="仿宋" w:eastAsia="仿宋_GB2312"/>
          <w:color w:val="000000" w:themeColor="text1"/>
          <w:sz w:val="32"/>
          <w:szCs w:val="32"/>
          <w:highlight w:val="none"/>
          <w14:textFill>
            <w14:solidFill>
              <w14:schemeClr w14:val="tx1"/>
            </w14:solidFill>
          </w14:textFill>
        </w:rPr>
        <w:t>4</w:t>
      </w:r>
      <w:r>
        <w:rPr>
          <w:rFonts w:ascii="仿宋_GB2312" w:hAnsi="仿宋" w:eastAsia="仿宋_GB2312"/>
          <w:color w:val="000000" w:themeColor="text1"/>
          <w:sz w:val="32"/>
          <w:szCs w:val="32"/>
          <w:highlight w:val="none"/>
          <w14:textFill>
            <w14:solidFill>
              <w14:schemeClr w14:val="tx1"/>
            </w14:solidFill>
          </w14:textFill>
        </w:rPr>
        <w:t>.3.1响应程序</w:t>
      </w:r>
      <w:bookmarkEnd w:id="1460"/>
      <w:bookmarkEnd w:id="1461"/>
      <w:bookmarkEnd w:id="1462"/>
      <w:bookmarkEnd w:id="1463"/>
      <w:bookmarkEnd w:id="1464"/>
      <w:bookmarkEnd w:id="1465"/>
      <w:bookmarkEnd w:id="1466"/>
      <w:bookmarkEnd w:id="1467"/>
    </w:p>
    <w:p>
      <w:pPr>
        <w:pStyle w:val="3"/>
        <w:keepNext w:val="0"/>
        <w:keepLines w:val="0"/>
        <w:pageBreakBefore w:val="0"/>
        <w:widowControl w:val="0"/>
        <w:kinsoku/>
        <w:wordWrap/>
        <w:overflowPunct/>
        <w:topLinePunct/>
        <w:autoSpaceDE/>
        <w:autoSpaceDN/>
        <w:bidi w:val="0"/>
        <w:adjustRightInd/>
        <w:snapToGrid/>
        <w:spacing w:after="0" w:line="600" w:lineRule="exact"/>
        <w:ind w:firstLine="640" w:firstLineChars="200"/>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Ⅰ</w:t>
      </w:r>
      <w:r>
        <w:rPr>
          <w:rFonts w:ascii="仿宋_GB2312" w:hAnsi="仿宋" w:eastAsia="仿宋_GB2312"/>
          <w:color w:val="000000" w:themeColor="text1"/>
          <w:sz w:val="32"/>
          <w:szCs w:val="32"/>
          <w:highlight w:val="none"/>
          <w14:textFill>
            <w14:solidFill>
              <w14:schemeClr w14:val="tx1"/>
            </w14:solidFill>
          </w14:textFill>
        </w:rPr>
        <w:t>级</w:t>
      </w:r>
      <w:r>
        <w:rPr>
          <w:rFonts w:hint="eastAsia" w:ascii="仿宋_GB2312" w:hAnsi="仿宋" w:eastAsia="仿宋_GB2312"/>
          <w:color w:val="000000" w:themeColor="text1"/>
          <w:sz w:val="32"/>
          <w:szCs w:val="32"/>
          <w:highlight w:val="none"/>
          <w14:textFill>
            <w14:solidFill>
              <w14:schemeClr w14:val="tx1"/>
            </w14:solidFill>
          </w14:textFill>
        </w:rPr>
        <w:t>响应：由交通运输厅报</w:t>
      </w:r>
      <w:r>
        <w:rPr>
          <w:rFonts w:hint="eastAsia" w:ascii="仿宋_GB2312" w:hAnsi="仿宋" w:eastAsia="仿宋_GB2312"/>
          <w:color w:val="000000" w:themeColor="text1"/>
          <w:sz w:val="32"/>
          <w:szCs w:val="32"/>
          <w:highlight w:val="none"/>
          <w:lang w:eastAsia="zh-CN"/>
          <w14:textFill>
            <w14:solidFill>
              <w14:schemeClr w14:val="tx1"/>
            </w14:solidFill>
          </w14:textFill>
        </w:rPr>
        <w:t>交通运输部</w:t>
      </w:r>
      <w:r>
        <w:rPr>
          <w:rFonts w:hint="eastAsia" w:ascii="仿宋_GB2312" w:hAnsi="仿宋" w:eastAsia="仿宋_GB2312"/>
          <w:color w:val="000000" w:themeColor="text1"/>
          <w:sz w:val="32"/>
          <w:szCs w:val="32"/>
          <w:highlight w:val="none"/>
          <w14:textFill>
            <w14:solidFill>
              <w14:schemeClr w14:val="tx1"/>
            </w14:solidFill>
          </w14:textFill>
        </w:rPr>
        <w:t>，</w:t>
      </w:r>
      <w:r>
        <w:rPr>
          <w:rFonts w:hint="eastAsia" w:ascii="仿宋_GB2312" w:hAnsi="仿宋" w:eastAsia="仿宋_GB2312"/>
          <w:color w:val="000000" w:themeColor="text1"/>
          <w:sz w:val="32"/>
          <w:szCs w:val="32"/>
          <w:highlight w:val="none"/>
          <w:lang w:eastAsia="zh-CN"/>
          <w14:textFill>
            <w14:solidFill>
              <w14:schemeClr w14:val="tx1"/>
            </w14:solidFill>
          </w14:textFill>
        </w:rPr>
        <w:t>由交通运输部</w:t>
      </w:r>
      <w:r>
        <w:rPr>
          <w:rFonts w:hint="eastAsia" w:ascii="仿宋_GB2312" w:hAnsi="仿宋" w:eastAsia="仿宋_GB2312"/>
          <w:color w:val="000000" w:themeColor="text1"/>
          <w:sz w:val="32"/>
          <w:szCs w:val="32"/>
          <w:highlight w:val="none"/>
          <w14:textFill>
            <w14:solidFill>
              <w14:schemeClr w14:val="tx1"/>
            </w14:solidFill>
          </w14:textFill>
        </w:rPr>
        <w:t>启动并实施本级应急响应。</w:t>
      </w:r>
      <w:r>
        <w:rPr>
          <w:rFonts w:hint="eastAsia" w:ascii="仿宋_GB2312" w:hAnsi="仿宋" w:eastAsia="仿宋_GB2312"/>
          <w:color w:val="000000" w:themeColor="text1"/>
          <w:sz w:val="32"/>
          <w:szCs w:val="32"/>
          <w:highlight w:val="none"/>
          <w:lang w:eastAsia="zh-CN"/>
          <w14:textFill>
            <w14:solidFill>
              <w14:schemeClr w14:val="tx1"/>
            </w14:solidFill>
          </w14:textFill>
        </w:rPr>
        <w:t>自治区交通运输厅和相关市、县</w:t>
      </w:r>
      <w:r>
        <w:rPr>
          <w:rFonts w:hint="eastAsia" w:ascii="仿宋_GB2312" w:hAnsi="仿宋" w:eastAsia="仿宋_GB2312"/>
          <w:color w:val="000000" w:themeColor="text1"/>
          <w:sz w:val="32"/>
          <w:szCs w:val="32"/>
          <w:highlight w:val="none"/>
          <w14:textFill>
            <w14:solidFill>
              <w14:schemeClr w14:val="tx1"/>
            </w14:solidFill>
          </w14:textFill>
        </w:rPr>
        <w:t>级交通运输主管部门、各级公路管养单位要及时准确地向</w:t>
      </w:r>
      <w:r>
        <w:rPr>
          <w:rFonts w:hint="eastAsia" w:ascii="仿宋_GB2312" w:hAnsi="仿宋" w:eastAsia="仿宋_GB2312"/>
          <w:color w:val="000000" w:themeColor="text1"/>
          <w:sz w:val="32"/>
          <w:szCs w:val="32"/>
          <w:highlight w:val="none"/>
          <w:lang w:eastAsia="zh-CN"/>
          <w14:textFill>
            <w14:solidFill>
              <w14:schemeClr w14:val="tx1"/>
            </w14:solidFill>
          </w14:textFill>
        </w:rPr>
        <w:t>部</w:t>
      </w:r>
      <w:r>
        <w:rPr>
          <w:rFonts w:hint="eastAsia" w:ascii="仿宋_GB2312" w:hAnsi="仿宋" w:eastAsia="仿宋_GB2312"/>
          <w:color w:val="000000" w:themeColor="text1"/>
          <w:sz w:val="32"/>
          <w:szCs w:val="32"/>
          <w:highlight w:val="none"/>
          <w14:textFill>
            <w14:solidFill>
              <w14:schemeClr w14:val="tx1"/>
            </w14:solidFill>
          </w14:textFill>
        </w:rPr>
        <w:t>报告事件</w:t>
      </w:r>
      <w:r>
        <w:rPr>
          <w:rFonts w:hint="eastAsia" w:ascii="仿宋_GB2312" w:hAnsi="仿宋" w:eastAsia="仿宋_GB2312"/>
          <w:color w:val="000000" w:themeColor="text1"/>
          <w:sz w:val="32"/>
          <w:szCs w:val="32"/>
          <w:highlight w:val="none"/>
          <w:lang w:eastAsia="zh-CN"/>
          <w14:textFill>
            <w14:solidFill>
              <w14:schemeClr w14:val="tx1"/>
            </w14:solidFill>
          </w14:textFill>
        </w:rPr>
        <w:t>情况</w:t>
      </w:r>
      <w:r>
        <w:rPr>
          <w:rFonts w:hint="eastAsia" w:ascii="仿宋_GB2312" w:hAnsi="仿宋" w:eastAsia="仿宋_GB2312"/>
          <w:color w:val="000000" w:themeColor="text1"/>
          <w:sz w:val="32"/>
          <w:szCs w:val="32"/>
          <w:highlight w:val="none"/>
          <w14:textFill>
            <w14:solidFill>
              <w14:schemeClr w14:val="tx1"/>
            </w14:solidFill>
          </w14:textFill>
        </w:rPr>
        <w:t>，并启动</w:t>
      </w:r>
      <w:r>
        <w:rPr>
          <w:rFonts w:hint="eastAsia" w:ascii="仿宋_GB2312" w:hAnsi="仿宋" w:eastAsia="仿宋_GB2312"/>
          <w:color w:val="000000" w:themeColor="text1"/>
          <w:sz w:val="32"/>
          <w:szCs w:val="32"/>
          <w:highlight w:val="none"/>
          <w:lang w:eastAsia="zh-CN"/>
          <w14:textFill>
            <w14:solidFill>
              <w14:schemeClr w14:val="tx1"/>
            </w14:solidFill>
          </w14:textFill>
        </w:rPr>
        <w:t>本级部</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门I级应</w:t>
      </w:r>
      <w:r>
        <w:rPr>
          <w:rFonts w:hint="eastAsia" w:ascii="仿宋_GB2312" w:hAnsi="仿宋" w:eastAsia="仿宋_GB2312"/>
          <w:color w:val="000000" w:themeColor="text1"/>
          <w:sz w:val="32"/>
          <w:szCs w:val="32"/>
          <w:highlight w:val="none"/>
          <w14:textFill>
            <w14:solidFill>
              <w14:schemeClr w14:val="tx1"/>
            </w14:solidFill>
          </w14:textFill>
        </w:rPr>
        <w:t>急响应。</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Ⅱ级响应：由交通运输厅确认启动并实施本级应急响应，同时报</w:t>
      </w:r>
      <w:r>
        <w:rPr>
          <w:rFonts w:hint="eastAsia" w:ascii="仿宋_GB2312" w:hAnsi="仿宋" w:eastAsia="仿宋_GB2312"/>
          <w:color w:val="000000" w:themeColor="text1"/>
          <w:sz w:val="32"/>
          <w:szCs w:val="32"/>
          <w:highlight w:val="none"/>
          <w:lang w:eastAsia="zh-CN"/>
          <w14:textFill>
            <w14:solidFill>
              <w14:schemeClr w14:val="tx1"/>
            </w14:solidFill>
          </w14:textFill>
        </w:rPr>
        <w:t>自治区人民政府和</w:t>
      </w:r>
      <w:r>
        <w:rPr>
          <w:rFonts w:hint="eastAsia" w:ascii="仿宋_GB2312" w:hAnsi="仿宋" w:eastAsia="仿宋_GB2312"/>
          <w:color w:val="000000" w:themeColor="text1"/>
          <w:sz w:val="32"/>
          <w:szCs w:val="32"/>
          <w:highlight w:val="none"/>
          <w14:textFill>
            <w14:solidFill>
              <w14:schemeClr w14:val="tx1"/>
            </w14:solidFill>
          </w14:textFill>
        </w:rPr>
        <w:t>交通运输部备案。相关市、县级交通运输主管部门分别启动并实施本级部门应急响应且响应级别不应低于</w:t>
      </w:r>
      <w:r>
        <w:rPr>
          <w:rFonts w:hint="eastAsia" w:ascii="仿宋_GB2312" w:hAnsi="仿宋" w:eastAsia="仿宋_GB2312"/>
          <w:color w:val="000000" w:themeColor="text1"/>
          <w:sz w:val="32"/>
          <w:szCs w:val="32"/>
          <w:highlight w:val="none"/>
          <w:lang w:eastAsia="zh-CN"/>
          <w14:textFill>
            <w14:solidFill>
              <w14:schemeClr w14:val="tx1"/>
            </w14:solidFill>
          </w14:textFill>
        </w:rPr>
        <w:t>自治区交通运输厅</w:t>
      </w:r>
      <w:r>
        <w:rPr>
          <w:rFonts w:hint="eastAsia" w:ascii="仿宋_GB2312" w:hAnsi="仿宋" w:eastAsia="仿宋_GB2312"/>
          <w:color w:val="000000" w:themeColor="text1"/>
          <w:sz w:val="32"/>
          <w:szCs w:val="32"/>
          <w:highlight w:val="none"/>
          <w14:textFill>
            <w14:solidFill>
              <w14:schemeClr w14:val="tx1"/>
            </w14:solidFill>
          </w14:textFill>
        </w:rPr>
        <w:t>应急响应级别。各级交通运输主管部门，各级公路管养单位要及时、准确地向厅指挥部报告，并启动应急响应。</w:t>
      </w:r>
    </w:p>
    <w:p>
      <w:pPr>
        <w:pStyle w:val="3"/>
        <w:keepNext w:val="0"/>
        <w:keepLines w:val="0"/>
        <w:pageBreakBefore w:val="0"/>
        <w:widowControl w:val="0"/>
        <w:kinsoku/>
        <w:wordWrap/>
        <w:overflowPunct/>
        <w:topLinePunct/>
        <w:autoSpaceDE/>
        <w:autoSpaceDN/>
        <w:bidi w:val="0"/>
        <w:adjustRightInd/>
        <w:snapToGrid/>
        <w:spacing w:after="0"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Ⅲ级响应：当发生较大低温雨雪冰冻事件时，</w:t>
      </w:r>
      <w:r>
        <w:rPr>
          <w:rFonts w:hint="eastAsia" w:ascii="仿宋_GB2312" w:hAnsi="仿宋" w:eastAsia="仿宋_GB2312"/>
          <w:color w:val="000000" w:themeColor="text1"/>
          <w:sz w:val="32"/>
          <w:szCs w:val="32"/>
          <w:highlight w:val="none"/>
          <w:lang w:eastAsia="zh-CN"/>
          <w14:textFill>
            <w14:solidFill>
              <w14:schemeClr w14:val="tx1"/>
            </w14:solidFill>
          </w14:textFill>
        </w:rPr>
        <w:t>由市级交通运输主管部门启动并实施市级部门应急响应，</w:t>
      </w:r>
      <w:r>
        <w:rPr>
          <w:rFonts w:hint="eastAsia" w:ascii="仿宋_GB2312" w:eastAsia="仿宋_GB2312"/>
          <w:color w:val="000000" w:themeColor="text1"/>
          <w:sz w:val="32"/>
          <w:szCs w:val="32"/>
          <w:highlight w:val="none"/>
          <w:lang w:eastAsia="zh-CN"/>
          <w14:textFill>
            <w14:solidFill>
              <w14:schemeClr w14:val="tx1"/>
            </w14:solidFill>
          </w14:textFill>
        </w:rPr>
        <w:t>并向自治区交通运输</w:t>
      </w:r>
      <w:r>
        <w:rPr>
          <w:rFonts w:hint="eastAsia" w:ascii="仿宋_GB2312" w:hAnsi="仿宋" w:eastAsia="仿宋_GB2312"/>
          <w:color w:val="000000" w:themeColor="text1"/>
          <w:sz w:val="32"/>
          <w:szCs w:val="32"/>
          <w:highlight w:val="none"/>
          <w14:textFill>
            <w14:solidFill>
              <w14:schemeClr w14:val="tx1"/>
            </w14:solidFill>
          </w14:textFill>
        </w:rPr>
        <w:t>厅报告</w:t>
      </w:r>
      <w:r>
        <w:rPr>
          <w:rFonts w:hint="eastAsia" w:ascii="仿宋_GB2312" w:hAnsi="仿宋" w:eastAsia="仿宋_GB2312"/>
          <w:color w:val="000000" w:themeColor="text1"/>
          <w:sz w:val="32"/>
          <w:szCs w:val="32"/>
          <w:highlight w:val="none"/>
          <w:lang w:eastAsia="zh-CN"/>
          <w14:textFill>
            <w14:solidFill>
              <w14:schemeClr w14:val="tx1"/>
            </w14:solidFill>
          </w14:textFill>
        </w:rPr>
        <w:t>。厅指挥部</w:t>
      </w:r>
      <w:r>
        <w:rPr>
          <w:rFonts w:hint="eastAsia" w:ascii="仿宋_GB2312" w:hAnsi="仿宋" w:eastAsia="仿宋_GB2312"/>
          <w:color w:val="000000" w:themeColor="text1"/>
          <w:sz w:val="32"/>
          <w:szCs w:val="32"/>
          <w:highlight w:val="none"/>
          <w14:textFill>
            <w14:solidFill>
              <w14:schemeClr w14:val="tx1"/>
            </w14:solidFill>
          </w14:textFill>
        </w:rPr>
        <w:t>及时掌握事态进展情况，由相应应急工作组指导事发地应急组织机构、相关应急救援机构开展应急处置</w:t>
      </w: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s="Times New Roman"/>
          <w:color w:val="000000" w:themeColor="text1"/>
          <w:sz w:val="32"/>
          <w:szCs w:val="32"/>
          <w:highlight w:val="none"/>
          <w14:textFill>
            <w14:solidFill>
              <w14:schemeClr w14:val="tx1"/>
            </w14:solidFill>
          </w14:textFill>
        </w:rPr>
        <w:t>相关县级交通运输主管部门启动并实施县级部门应急响应且响应级别不应低于市级部门应急响应级别。</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Ⅳ级响应：当发生一般低温雨雪冰冻事件时，由事发地</w:t>
      </w:r>
      <w:r>
        <w:rPr>
          <w:rFonts w:hint="eastAsia" w:ascii="仿宋_GB2312" w:hAnsi="仿宋" w:eastAsia="仿宋_GB2312"/>
          <w:color w:val="000000" w:themeColor="text1"/>
          <w:sz w:val="32"/>
          <w:szCs w:val="32"/>
          <w:highlight w:val="none"/>
          <w:lang w:eastAsia="zh-CN"/>
          <w14:textFill>
            <w14:solidFill>
              <w14:schemeClr w14:val="tx1"/>
            </w14:solidFill>
          </w14:textFill>
        </w:rPr>
        <w:t>县级交通运输主管部门</w:t>
      </w:r>
      <w:r>
        <w:rPr>
          <w:rFonts w:hint="eastAsia" w:ascii="仿宋_GB2312" w:hAnsi="仿宋" w:eastAsia="仿宋_GB2312"/>
          <w:color w:val="000000" w:themeColor="text1"/>
          <w:sz w:val="32"/>
          <w:szCs w:val="32"/>
          <w:highlight w:val="none"/>
          <w14:textFill>
            <w14:solidFill>
              <w14:schemeClr w14:val="tx1"/>
            </w14:solidFill>
          </w14:textFill>
        </w:rPr>
        <w:t>启动Ⅳ级响应并指挥。厅指挥部办公室及时掌握事态进展情况，由相应应急工作组指导事发地应急组织机构、相关专业应急救援机构开展应急处置。</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当灾害事件的可控性和影响范围超出属地单位的应急能力时，可请求上一级应急机构援助。</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由属地人民政府启动响应的，交通系统各相关单位按照自治区交通运输厅《关于加强交通运输应急救援体系建设的实施意见》配合响应。</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468" w:name="_Toc170914152"/>
      <w:bookmarkStart w:id="1469" w:name="_Toc20272"/>
      <w:bookmarkStart w:id="1470" w:name="_Toc5405"/>
      <w:bookmarkStart w:id="1471" w:name="_Toc18864"/>
      <w:bookmarkStart w:id="1472" w:name="_Toc25810"/>
      <w:bookmarkStart w:id="1473" w:name="_Toc30545"/>
      <w:bookmarkStart w:id="1474" w:name="_Toc17901"/>
      <w:bookmarkStart w:id="1475" w:name="_Toc17883"/>
      <w:bookmarkStart w:id="1476" w:name="_Toc531771760"/>
      <w:bookmarkStart w:id="1477" w:name="_Toc27520"/>
      <w:r>
        <w:rPr>
          <w:rFonts w:hint="eastAsia" w:ascii="仿宋_GB2312" w:hAnsi="仿宋" w:eastAsia="仿宋_GB2312"/>
          <w:color w:val="000000" w:themeColor="text1"/>
          <w:sz w:val="32"/>
          <w:szCs w:val="32"/>
          <w:highlight w:val="none"/>
          <w14:textFill>
            <w14:solidFill>
              <w14:schemeClr w14:val="tx1"/>
            </w14:solidFill>
          </w14:textFill>
        </w:rPr>
        <w:t>4.</w:t>
      </w:r>
      <w:r>
        <w:rPr>
          <w:rFonts w:ascii="仿宋_GB2312" w:hAnsi="仿宋" w:eastAsia="仿宋_GB2312"/>
          <w:color w:val="000000" w:themeColor="text1"/>
          <w:sz w:val="32"/>
          <w:szCs w:val="32"/>
          <w:highlight w:val="none"/>
          <w14:textFill>
            <w14:solidFill>
              <w14:schemeClr w14:val="tx1"/>
            </w14:solidFill>
          </w14:textFill>
        </w:rPr>
        <w:t>3</w:t>
      </w:r>
      <w:r>
        <w:rPr>
          <w:rFonts w:hint="eastAsia" w:ascii="仿宋_GB2312" w:hAnsi="仿宋" w:eastAsia="仿宋_GB2312"/>
          <w:color w:val="000000" w:themeColor="text1"/>
          <w:sz w:val="32"/>
          <w:szCs w:val="32"/>
          <w:highlight w:val="none"/>
          <w14:textFill>
            <w14:solidFill>
              <w14:schemeClr w14:val="tx1"/>
            </w14:solidFill>
          </w14:textFill>
        </w:rPr>
        <w:t>.2指挥协调</w:t>
      </w:r>
      <w:bookmarkEnd w:id="1468"/>
      <w:bookmarkEnd w:id="1469"/>
      <w:bookmarkEnd w:id="1470"/>
      <w:bookmarkEnd w:id="1471"/>
      <w:bookmarkEnd w:id="1472"/>
      <w:bookmarkEnd w:id="1473"/>
      <w:bookmarkEnd w:id="1474"/>
      <w:bookmarkEnd w:id="1475"/>
      <w:bookmarkEnd w:id="1476"/>
      <w:bookmarkEnd w:id="1477"/>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（1）路网协调与指挥</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当发生低温雨雪冰冻事件时，厅指挥部办公室和事发地应急组织机构进入24小时应急值班状态，确保应急管理机构的信息畅通。</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（2）部门间协调</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厅安委办</w:t>
      </w:r>
      <w:r>
        <w:rPr>
          <w:rFonts w:hint="eastAsia" w:ascii="仿宋_GB2312" w:hAnsi="仿宋" w:eastAsia="仿宋_GB2312"/>
          <w:color w:val="000000" w:themeColor="text1"/>
          <w:sz w:val="32"/>
          <w:szCs w:val="32"/>
          <w:highlight w:val="none"/>
          <w:lang w:eastAsia="zh-CN"/>
          <w14:textFill>
            <w14:solidFill>
              <w14:schemeClr w14:val="tx1"/>
            </w14:solidFill>
          </w14:textFill>
        </w:rPr>
        <w:t>协调交通运输综合执法机构</w:t>
      </w:r>
      <w:r>
        <w:rPr>
          <w:rFonts w:hint="eastAsia" w:ascii="仿宋_GB2312" w:hAnsi="仿宋" w:eastAsia="仿宋_GB2312"/>
          <w:color w:val="000000" w:themeColor="text1"/>
          <w:sz w:val="32"/>
          <w:szCs w:val="32"/>
          <w:highlight w:val="none"/>
          <w14:textFill>
            <w14:solidFill>
              <w14:schemeClr w14:val="tx1"/>
            </w14:solidFill>
          </w14:textFill>
        </w:rPr>
        <w:t>与公安交警等部门建立协调机制，当发生低温雨雪冰冻事件时，按照职责分工，加强协作，共同开展应急处置工作，实现路警“联合指挥、联合巡逻、联合执法、联合施救”。</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（3）现场指挥协调</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现场工作组负责指导、协调低温雨雪冰冻事件现场的应急处置工作，并及时收集、掌握相关信息，根据应急物资的特性及其分布、受灾地点、区域路网结构及其损坏程度、天气条件等，优化措施，研究备选方案，及时上报最新事态和运输保障情况。</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478" w:name="_Toc1938"/>
      <w:bookmarkStart w:id="1479" w:name="_Toc15638"/>
      <w:bookmarkStart w:id="1480" w:name="_Toc170914153"/>
      <w:bookmarkStart w:id="1481" w:name="_Toc506699908"/>
      <w:bookmarkStart w:id="1482" w:name="_Toc16583"/>
      <w:bookmarkStart w:id="1483" w:name="_Toc24632"/>
      <w:bookmarkStart w:id="1484" w:name="_Toc19172"/>
      <w:bookmarkStart w:id="1485" w:name="_Toc531771761"/>
      <w:bookmarkStart w:id="1486" w:name="_Toc30414"/>
      <w:bookmarkStart w:id="1487" w:name="_Toc17993"/>
      <w:r>
        <w:rPr>
          <w:rFonts w:hint="eastAsia" w:ascii="仿宋_GB2312" w:hAnsi="仿宋" w:eastAsia="仿宋_GB2312"/>
          <w:color w:val="000000" w:themeColor="text1"/>
          <w:sz w:val="32"/>
          <w:szCs w:val="32"/>
          <w:highlight w:val="none"/>
          <w14:textFill>
            <w14:solidFill>
              <w14:schemeClr w14:val="tx1"/>
            </w14:solidFill>
          </w14:textFill>
        </w:rPr>
        <w:t>4.</w:t>
      </w:r>
      <w:r>
        <w:rPr>
          <w:rFonts w:ascii="仿宋_GB2312" w:hAnsi="仿宋" w:eastAsia="仿宋_GB2312"/>
          <w:color w:val="000000" w:themeColor="text1"/>
          <w:sz w:val="32"/>
          <w:szCs w:val="32"/>
          <w:highlight w:val="none"/>
          <w14:textFill>
            <w14:solidFill>
              <w14:schemeClr w14:val="tx1"/>
            </w14:solidFill>
          </w14:textFill>
        </w:rPr>
        <w:t>3</w:t>
      </w:r>
      <w:r>
        <w:rPr>
          <w:rFonts w:hint="eastAsia" w:ascii="仿宋_GB2312" w:hAnsi="仿宋" w:eastAsia="仿宋_GB2312"/>
          <w:color w:val="000000" w:themeColor="text1"/>
          <w:sz w:val="32"/>
          <w:szCs w:val="32"/>
          <w:highlight w:val="none"/>
          <w14:textFill>
            <w14:solidFill>
              <w14:schemeClr w14:val="tx1"/>
            </w14:solidFill>
          </w14:textFill>
        </w:rPr>
        <w:t>.3响应措施</w:t>
      </w:r>
      <w:bookmarkEnd w:id="1478"/>
      <w:bookmarkEnd w:id="1479"/>
      <w:bookmarkEnd w:id="1480"/>
      <w:bookmarkEnd w:id="1481"/>
      <w:bookmarkEnd w:id="1482"/>
      <w:bookmarkEnd w:id="1483"/>
      <w:bookmarkEnd w:id="1484"/>
      <w:bookmarkEnd w:id="1485"/>
      <w:bookmarkEnd w:id="1486"/>
      <w:bookmarkEnd w:id="1487"/>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1）</w:t>
      </w:r>
      <w:r>
        <w:rPr>
          <w:rFonts w:hint="eastAsia" w:ascii="仿宋_GB2312" w:hAnsi="仿宋" w:eastAsia="仿宋_GB2312"/>
          <w:color w:val="000000" w:themeColor="text1"/>
          <w:sz w:val="32"/>
          <w:szCs w:val="32"/>
          <w:highlight w:val="none"/>
          <w14:textFill>
            <w14:solidFill>
              <w14:schemeClr w14:val="tx1"/>
            </w14:solidFill>
          </w14:textFill>
        </w:rPr>
        <w:t>应急值班室设在交通运输厅</w:t>
      </w:r>
      <w:r>
        <w:rPr>
          <w:rFonts w:hint="eastAsia" w:ascii="仿宋_GB2312" w:hAnsi="仿宋" w:eastAsia="仿宋_GB2312"/>
          <w:color w:val="000000" w:themeColor="text1"/>
          <w:sz w:val="32"/>
          <w:szCs w:val="32"/>
          <w:highlight w:val="none"/>
          <w:lang w:eastAsia="zh-CN"/>
          <w14:textFill>
            <w14:solidFill>
              <w14:schemeClr w14:val="tx1"/>
            </w14:solidFill>
          </w14:textFill>
        </w:rPr>
        <w:t>应急指挥中心</w:t>
      </w:r>
      <w:r>
        <w:rPr>
          <w:rFonts w:hint="eastAsia" w:ascii="仿宋_GB2312" w:hAnsi="仿宋" w:eastAsia="仿宋_GB2312"/>
          <w:color w:val="000000" w:themeColor="text1"/>
          <w:sz w:val="32"/>
          <w:szCs w:val="32"/>
          <w:highlight w:val="none"/>
          <w14:textFill>
            <w14:solidFill>
              <w14:schemeClr w14:val="tx1"/>
            </w14:solidFill>
          </w14:textFill>
        </w:rPr>
        <w:t>，负责</w:t>
      </w:r>
      <w:r>
        <w:rPr>
          <w:rFonts w:ascii="仿宋_GB2312" w:hAnsi="仿宋" w:eastAsia="仿宋_GB2312"/>
          <w:color w:val="000000" w:themeColor="text1"/>
          <w:sz w:val="32"/>
          <w:szCs w:val="32"/>
          <w:highlight w:val="none"/>
          <w14:textFill>
            <w14:solidFill>
              <w14:schemeClr w14:val="tx1"/>
            </w14:solidFill>
          </w14:textFill>
        </w:rPr>
        <w:t>与突发事件处置现场指挥部保持联系，收集整理突发事件的信息，传达</w:t>
      </w:r>
      <w:r>
        <w:rPr>
          <w:rFonts w:hint="eastAsia" w:ascii="仿宋_GB2312" w:hAnsi="仿宋" w:eastAsia="仿宋_GB2312"/>
          <w:color w:val="000000" w:themeColor="text1"/>
          <w:sz w:val="32"/>
          <w:szCs w:val="32"/>
          <w:highlight w:val="none"/>
          <w14:textFill>
            <w14:solidFill>
              <w14:schemeClr w14:val="tx1"/>
            </w14:solidFill>
          </w14:textFill>
        </w:rPr>
        <w:t>厅指挥部</w:t>
      </w:r>
      <w:r>
        <w:rPr>
          <w:rFonts w:ascii="仿宋_GB2312" w:hAnsi="仿宋" w:eastAsia="仿宋_GB2312"/>
          <w:color w:val="000000" w:themeColor="text1"/>
          <w:sz w:val="32"/>
          <w:szCs w:val="32"/>
          <w:highlight w:val="none"/>
          <w14:textFill>
            <w14:solidFill>
              <w14:schemeClr w14:val="tx1"/>
            </w14:solidFill>
          </w14:textFill>
        </w:rPr>
        <w:t>的指令，及时向自治区人民政府</w:t>
      </w: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交通运输部上报有关信息；</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2）</w:t>
      </w:r>
      <w:r>
        <w:rPr>
          <w:rFonts w:hint="eastAsia" w:ascii="仿宋_GB2312" w:hAnsi="仿宋" w:eastAsia="仿宋_GB2312"/>
          <w:color w:val="000000" w:themeColor="text1"/>
          <w:sz w:val="32"/>
          <w:szCs w:val="32"/>
          <w:highlight w:val="none"/>
          <w14:textFill>
            <w14:solidFill>
              <w14:schemeClr w14:val="tx1"/>
            </w14:solidFill>
          </w14:textFill>
        </w:rPr>
        <w:t>厅指挥部根据需要可派出现场工作组，现场指挥公路交通应急处置工作；</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3）指挥协调</w:t>
      </w:r>
      <w:r>
        <w:rPr>
          <w:rFonts w:hint="eastAsia" w:ascii="仿宋_GB2312" w:hAnsi="仿宋" w:eastAsia="仿宋_GB2312"/>
          <w:color w:val="000000" w:themeColor="text1"/>
          <w:sz w:val="32"/>
          <w:szCs w:val="32"/>
          <w:highlight w:val="none"/>
          <w14:textFill>
            <w14:solidFill>
              <w14:schemeClr w14:val="tx1"/>
            </w14:solidFill>
          </w14:textFill>
        </w:rPr>
        <w:t>各市县（区）交通运输主管部门、各级公路管养</w:t>
      </w:r>
      <w:r>
        <w:rPr>
          <w:rFonts w:ascii="仿宋_GB2312" w:hAnsi="仿宋" w:eastAsia="仿宋_GB2312"/>
          <w:color w:val="000000" w:themeColor="text1"/>
          <w:sz w:val="32"/>
          <w:szCs w:val="32"/>
          <w:highlight w:val="none"/>
          <w14:textFill>
            <w14:solidFill>
              <w14:schemeClr w14:val="tx1"/>
            </w14:solidFill>
          </w14:textFill>
        </w:rPr>
        <w:t>单位对受损公路</w:t>
      </w:r>
      <w:r>
        <w:rPr>
          <w:rFonts w:hint="eastAsia" w:ascii="仿宋_GB2312" w:hAnsi="仿宋" w:eastAsia="仿宋_GB2312"/>
          <w:color w:val="000000" w:themeColor="text1"/>
          <w:sz w:val="32"/>
          <w:szCs w:val="32"/>
          <w:highlight w:val="none"/>
          <w14:textFill>
            <w14:solidFill>
              <w14:schemeClr w14:val="tx1"/>
            </w14:solidFill>
          </w14:textFill>
        </w:rPr>
        <w:t>进行</w:t>
      </w:r>
      <w:r>
        <w:rPr>
          <w:rFonts w:ascii="仿宋_GB2312" w:hAnsi="仿宋" w:eastAsia="仿宋_GB2312"/>
          <w:color w:val="000000" w:themeColor="text1"/>
          <w:sz w:val="32"/>
          <w:szCs w:val="32"/>
          <w:highlight w:val="none"/>
          <w14:textFill>
            <w14:solidFill>
              <w14:schemeClr w14:val="tx1"/>
            </w14:solidFill>
          </w14:textFill>
        </w:rPr>
        <w:t>抢修、保通，</w:t>
      </w:r>
      <w:r>
        <w:rPr>
          <w:rFonts w:hint="eastAsia" w:ascii="仿宋_GB2312" w:hAnsi="仿宋" w:eastAsia="仿宋_GB2312"/>
          <w:color w:val="000000" w:themeColor="text1"/>
          <w:sz w:val="32"/>
          <w:szCs w:val="32"/>
          <w:highlight w:val="none"/>
          <w14:textFill>
            <w14:solidFill>
              <w14:schemeClr w14:val="tx1"/>
            </w14:solidFill>
          </w14:textFill>
        </w:rPr>
        <w:t>受灾线路管养单位</w:t>
      </w:r>
      <w:r>
        <w:rPr>
          <w:rFonts w:ascii="仿宋_GB2312" w:hAnsi="仿宋" w:eastAsia="仿宋_GB2312"/>
          <w:color w:val="000000" w:themeColor="text1"/>
          <w:sz w:val="32"/>
          <w:szCs w:val="32"/>
          <w:highlight w:val="none"/>
          <w14:textFill>
            <w14:solidFill>
              <w14:schemeClr w14:val="tx1"/>
            </w14:solidFill>
          </w14:textFill>
        </w:rPr>
        <w:t>力量不足时，组织</w:t>
      </w:r>
      <w:r>
        <w:rPr>
          <w:rFonts w:hint="eastAsia" w:ascii="仿宋_GB2312" w:hAnsi="仿宋" w:eastAsia="仿宋_GB2312"/>
          <w:color w:val="000000" w:themeColor="text1"/>
          <w:sz w:val="32"/>
          <w:szCs w:val="32"/>
          <w:highlight w:val="none"/>
          <w:lang w:eastAsia="zh-CN"/>
          <w14:textFill>
            <w14:solidFill>
              <w14:schemeClr w14:val="tx1"/>
            </w14:solidFill>
          </w14:textFill>
        </w:rPr>
        <w:t>其他</w:t>
      </w:r>
      <w:r>
        <w:rPr>
          <w:rFonts w:ascii="仿宋_GB2312" w:hAnsi="仿宋" w:eastAsia="仿宋_GB2312"/>
          <w:color w:val="000000" w:themeColor="text1"/>
          <w:sz w:val="32"/>
          <w:szCs w:val="32"/>
          <w:highlight w:val="none"/>
          <w14:textFill>
            <w14:solidFill>
              <w14:schemeClr w14:val="tx1"/>
            </w14:solidFill>
          </w14:textFill>
        </w:rPr>
        <w:t>地区的力量支援</w:t>
      </w: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具体可采取如下措施：</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①加强与</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公安</w:t>
      </w:r>
      <w:r>
        <w:rPr>
          <w:rFonts w:hint="eastAsia" w:ascii="仿宋_GB2312" w:hAnsi="仿宋" w:eastAsia="仿宋_GB2312"/>
          <w:color w:val="000000" w:themeColor="text1"/>
          <w:sz w:val="32"/>
          <w:szCs w:val="32"/>
          <w:highlight w:val="none"/>
          <w14:textFill>
            <w14:solidFill>
              <w14:schemeClr w14:val="tx1"/>
            </w14:solidFill>
          </w14:textFill>
        </w:rPr>
        <w:t>交管部门的沟通协作，采取警车带道、间断放行、车辆分流等措施，保障道路畅通。</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②配合交管部门做好交通管制、交通事故现场快速勘查处理工作，尽量避免或减轻公路阻塞。</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③组织力量及时清除路面积雪、碎冰，对可能或已经结冰的路段，特别是隧道出入口、桥梁、坡道、弯道，及时采取撒布融雪剂、防滑砂等措施。</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④加强隧道出入口、桥梁、坡道、弯道等重要节点的巡查，及时与公安等部门互通信息，发布公路路网运行信息。</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⑤组织力量对事故车辆实施救援，协助公安部门维持交通秩序。</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⑥对于难以在短期内铲除冰冻的公路，报请当地政府救灾指挥机构协调政府部门工作人员、驻地部队、武警等力量进行除冰。</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4）根据需要，组织调用跨市的应急运力进行抢运；</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5）根据需要，发布有关处置应急事件的措施；</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6）根据事态的进展，决定降低应急响应级别或解除应急状态。</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低温雨雪冰冻事件发生后，相关交通运输主管部门在本级人民政府的统一领导下，开展各项处置工作。</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488" w:name="_Toc31105"/>
      <w:bookmarkStart w:id="1489" w:name="_Toc26091"/>
      <w:bookmarkStart w:id="1490" w:name="_Toc9498"/>
      <w:bookmarkStart w:id="1491" w:name="_Toc170914154"/>
      <w:bookmarkStart w:id="1492" w:name="_Toc3476"/>
      <w:bookmarkStart w:id="1493" w:name="_Toc26787"/>
      <w:bookmarkStart w:id="1494" w:name="_Toc22773"/>
      <w:bookmarkStart w:id="1495" w:name="_Toc26216"/>
      <w:bookmarkStart w:id="1496" w:name="_Toc25361"/>
      <w:bookmarkStart w:id="1497" w:name="_Toc531771762"/>
      <w:r>
        <w:rPr>
          <w:rFonts w:hint="eastAsia" w:ascii="仿宋_GB2312" w:hAnsi="仿宋" w:eastAsia="仿宋_GB2312"/>
          <w:color w:val="000000" w:themeColor="text1"/>
          <w:sz w:val="32"/>
          <w:szCs w:val="32"/>
          <w:highlight w:val="none"/>
          <w14:textFill>
            <w14:solidFill>
              <w14:schemeClr w14:val="tx1"/>
            </w14:solidFill>
          </w14:textFill>
        </w:rPr>
        <w:t>4.3.4跨省支援</w:t>
      </w:r>
      <w:bookmarkEnd w:id="1488"/>
      <w:bookmarkEnd w:id="1489"/>
      <w:bookmarkEnd w:id="1490"/>
      <w:bookmarkEnd w:id="1491"/>
      <w:bookmarkEnd w:id="1492"/>
      <w:bookmarkEnd w:id="1493"/>
      <w:bookmarkEnd w:id="1494"/>
      <w:bookmarkEnd w:id="1495"/>
      <w:bookmarkEnd w:id="1496"/>
      <w:bookmarkEnd w:id="1497"/>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在交通运输部协调下，建立省部级信息快速通报与联动响应机制，明确各方应急管理机构名称和联络方式，确定不同类别预警与应急信息的通报部门，建立信息快速沟通渠道，规定各类信息的通报与反馈时限。建立省际应急资源互助机制，合理利用各省级应急物资储备和应急处置力量，以就近原则，统筹协调各地区应急力量支援行动。</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498" w:name="_Toc21125"/>
      <w:bookmarkStart w:id="1499" w:name="_Toc11251"/>
      <w:bookmarkStart w:id="1500" w:name="_Toc20520"/>
      <w:bookmarkStart w:id="1501" w:name="_Toc3394"/>
      <w:bookmarkStart w:id="1502" w:name="_Toc18180"/>
      <w:bookmarkStart w:id="1503" w:name="_Toc170914155"/>
      <w:bookmarkStart w:id="1504" w:name="_Toc19906"/>
      <w:bookmarkStart w:id="1505" w:name="_Toc3055"/>
      <w:bookmarkStart w:id="1506" w:name="_Toc21900"/>
      <w:bookmarkStart w:id="1507" w:name="_Toc23904"/>
      <w:bookmarkStart w:id="1508" w:name="_Toc8264"/>
      <w:r>
        <w:rPr>
          <w:rFonts w:ascii="楷体_GB2312" w:hAnsi="仿宋" w:eastAsia="楷体_GB2312"/>
          <w:color w:val="000000" w:themeColor="text1"/>
          <w:highlight w:val="none"/>
          <w14:textFill>
            <w14:solidFill>
              <w14:schemeClr w14:val="tx1"/>
            </w14:solidFill>
          </w14:textFill>
        </w:rPr>
        <w:t>4.</w:t>
      </w:r>
      <w:r>
        <w:rPr>
          <w:rFonts w:hint="eastAsia" w:ascii="楷体_GB2312" w:hAnsi="仿宋" w:eastAsia="楷体_GB2312"/>
          <w:color w:val="000000" w:themeColor="text1"/>
          <w:highlight w:val="none"/>
          <w14:textFill>
            <w14:solidFill>
              <w14:schemeClr w14:val="tx1"/>
            </w14:solidFill>
          </w14:textFill>
        </w:rPr>
        <w:t>4</w:t>
      </w:r>
      <w:bookmarkEnd w:id="1498"/>
      <w:bookmarkEnd w:id="1499"/>
      <w:bookmarkEnd w:id="1500"/>
      <w:bookmarkStart w:id="1509" w:name="_Toc18621"/>
      <w:bookmarkStart w:id="1510" w:name="_Toc17696"/>
      <w:bookmarkStart w:id="1511" w:name="_Toc17025"/>
      <w:r>
        <w:rPr>
          <w:rFonts w:hint="eastAsia" w:ascii="楷体_GB2312" w:hAnsi="仿宋" w:eastAsia="楷体_GB2312"/>
          <w:color w:val="000000" w:themeColor="text1"/>
          <w:highlight w:val="none"/>
          <w14:textFill>
            <w14:solidFill>
              <w14:schemeClr w14:val="tx1"/>
            </w14:solidFill>
          </w14:textFill>
        </w:rPr>
        <w:t>响应终止程序</w:t>
      </w:r>
      <w:bookmarkEnd w:id="1501"/>
      <w:bookmarkEnd w:id="1502"/>
      <w:bookmarkEnd w:id="1503"/>
      <w:bookmarkEnd w:id="1504"/>
      <w:bookmarkEnd w:id="1505"/>
      <w:bookmarkEnd w:id="1506"/>
      <w:bookmarkEnd w:id="1507"/>
      <w:bookmarkEnd w:id="1508"/>
      <w:bookmarkEnd w:id="1509"/>
      <w:bookmarkEnd w:id="1510"/>
      <w:bookmarkEnd w:id="1511"/>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（1）厅指挥部办公室结合宁夏路网监测与应急处置中心掌握的信息，并向事发地公路管养单位核实公路交通基本恢复运行或者低温雨雪冰冻事件得到控制后，报厅指挥部。</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 w:eastAsia="仿宋_GB2312"/>
          <w:color w:val="000000" w:themeColor="text1"/>
          <w:sz w:val="32"/>
          <w:szCs w:val="32"/>
          <w:highlight w:val="none"/>
          <w:lang w:eastAsia="zh-CN"/>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（2）厅指挥部办公室向厅指挥部提出终止Ⅰ级或Ⅱ级应急响应建议和后续处理意见</w:t>
      </w:r>
      <w:r>
        <w:rPr>
          <w:rFonts w:hint="eastAsia" w:ascii="仿宋_GB2312" w:hAnsi="仿宋" w:eastAsia="仿宋_GB2312"/>
          <w:color w:val="000000" w:themeColor="text1"/>
          <w:sz w:val="32"/>
          <w:szCs w:val="32"/>
          <w:highlight w:val="none"/>
          <w:lang w:eastAsia="zh-CN"/>
          <w14:textFill>
            <w14:solidFill>
              <w14:schemeClr w14:val="tx1"/>
            </w14:solidFill>
          </w14:textFill>
        </w:rPr>
        <w:t>，由自治区交通运输厅报交通运输部。</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（3）拟终止Ⅰ级应急响应的，经</w:t>
      </w:r>
      <w:r>
        <w:rPr>
          <w:rFonts w:hint="eastAsia" w:ascii="仿宋_GB2312" w:hAnsi="仿宋" w:eastAsia="仿宋_GB2312"/>
          <w:color w:val="000000" w:themeColor="text1"/>
          <w:sz w:val="32"/>
          <w:szCs w:val="32"/>
          <w:highlight w:val="none"/>
          <w:lang w:eastAsia="zh-CN"/>
          <w14:textFill>
            <w14:solidFill>
              <w14:schemeClr w14:val="tx1"/>
            </w14:solidFill>
          </w14:textFill>
        </w:rPr>
        <w:t>交通运输部</w:t>
      </w:r>
      <w:r>
        <w:rPr>
          <w:rFonts w:hint="eastAsia" w:ascii="仿宋_GB2312" w:hAnsi="仿宋" w:eastAsia="仿宋_GB2312"/>
          <w:color w:val="000000" w:themeColor="text1"/>
          <w:sz w:val="32"/>
          <w:szCs w:val="32"/>
          <w:highlight w:val="none"/>
          <w14:textFill>
            <w14:solidFill>
              <w14:schemeClr w14:val="tx1"/>
            </w14:solidFill>
          </w14:textFill>
        </w:rPr>
        <w:t>同意后终止，或者将Ⅰ级降低为Ⅱ级应急响应。</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eastAsia" w:ascii="仿宋_GB2312" w:hAnsi="仿宋" w:eastAsia="仿宋_GB2312"/>
          <w:color w:val="000000" w:themeColor="text1"/>
          <w:sz w:val="32"/>
          <w:szCs w:val="32"/>
          <w:highlight w:val="none"/>
          <w:lang w:eastAsia="zh-CN"/>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（4）拟终止Ⅱ级应急响应的，经厅指挥长同意后终止</w:t>
      </w: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或者将Ⅱ级降低为</w:t>
      </w:r>
      <w:r>
        <w:rPr>
          <w:rFonts w:hint="eastAsia" w:ascii="仿宋_GB2312" w:hAnsi="仿宋" w:eastAsia="仿宋_GB2312" w:cs="Times New Roman"/>
          <w:color w:val="000000" w:themeColor="text1"/>
          <w:sz w:val="32"/>
          <w:szCs w:val="32"/>
          <w:highlight w:val="none"/>
          <w14:textFill>
            <w14:solidFill>
              <w14:schemeClr w14:val="tx1"/>
            </w14:solidFill>
          </w14:textFill>
        </w:rPr>
        <w:t>Ⅲ</w:t>
      </w:r>
      <w:r>
        <w:rPr>
          <w:rFonts w:hint="eastAsia" w:ascii="仿宋_GB2312" w:hAnsi="仿宋" w:eastAsia="仿宋_GB2312"/>
          <w:color w:val="000000" w:themeColor="text1"/>
          <w:sz w:val="32"/>
          <w:szCs w:val="32"/>
          <w:highlight w:val="none"/>
          <w14:textFill>
            <w14:solidFill>
              <w14:schemeClr w14:val="tx1"/>
            </w14:solidFill>
          </w14:textFill>
        </w:rPr>
        <w:t>级应急响应，转入相应等级的应急响应工作程序，同步调整厅指挥部及下设工作组。</w:t>
      </w:r>
    </w:p>
    <w:p>
      <w:pPr>
        <w:pStyle w:val="3"/>
        <w:keepNext w:val="0"/>
        <w:keepLines w:val="0"/>
        <w:pageBreakBefore w:val="0"/>
        <w:widowControl w:val="0"/>
        <w:kinsoku/>
        <w:wordWrap/>
        <w:overflowPunct/>
        <w:topLinePunct/>
        <w:autoSpaceDE/>
        <w:autoSpaceDN/>
        <w:bidi w:val="0"/>
        <w:adjustRightInd/>
        <w:snapToGrid/>
        <w:spacing w:after="0"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（5）</w:t>
      </w:r>
      <w:r>
        <w:rPr>
          <w:rFonts w:hint="eastAsia" w:ascii="仿宋_GB2312" w:hAnsi="仿宋" w:eastAsia="仿宋_GB2312" w:cstheme="minorBidi"/>
          <w:color w:val="000000" w:themeColor="text1"/>
          <w:kern w:val="2"/>
          <w:sz w:val="32"/>
          <w:szCs w:val="32"/>
          <w:highlight w:val="none"/>
          <w:lang w:val="en-US" w:eastAsia="zh-CN" w:bidi="ar-SA"/>
          <w14:textFill>
            <w14:solidFill>
              <w14:schemeClr w14:val="tx1"/>
            </w14:solidFill>
          </w14:textFill>
        </w:rPr>
        <w:t>Ⅲ、Ⅳ级响应由各市、县级交通运输主管部门根据本地区实际情况进行响应终止程序，并报自治区交通运输厅。</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（6）新闻宣传组负责向社会宣布应急响应结束，说明已经采取的措施和效果以及应急响应终止后将采取的各项措施。</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512" w:name="_Toc23102"/>
      <w:bookmarkStart w:id="1513" w:name="_Toc465"/>
      <w:bookmarkStart w:id="1514" w:name="_Toc9053"/>
      <w:bookmarkStart w:id="1515" w:name="_Toc13441"/>
      <w:bookmarkStart w:id="1516" w:name="_Toc32383"/>
      <w:bookmarkStart w:id="1517" w:name="_Toc170914156"/>
      <w:bookmarkStart w:id="1518" w:name="_Toc22229"/>
      <w:bookmarkStart w:id="1519" w:name="_Toc11523"/>
      <w:r>
        <w:rPr>
          <w:rFonts w:ascii="楷体_GB2312" w:hAnsi="仿宋" w:eastAsia="楷体_GB2312"/>
          <w:color w:val="000000" w:themeColor="text1"/>
          <w:highlight w:val="none"/>
          <w14:textFill>
            <w14:solidFill>
              <w14:schemeClr w14:val="tx1"/>
            </w14:solidFill>
          </w14:textFill>
        </w:rPr>
        <w:t>4.</w:t>
      </w:r>
      <w:r>
        <w:rPr>
          <w:rFonts w:hint="eastAsia" w:ascii="楷体_GB2312" w:hAnsi="仿宋" w:eastAsia="楷体_GB2312"/>
          <w:color w:val="000000" w:themeColor="text1"/>
          <w:highlight w:val="none"/>
          <w14:textFill>
            <w14:solidFill>
              <w14:schemeClr w14:val="tx1"/>
            </w14:solidFill>
          </w14:textFill>
        </w:rPr>
        <w:t>5后期处置</w:t>
      </w:r>
      <w:bookmarkEnd w:id="1512"/>
      <w:bookmarkEnd w:id="1513"/>
      <w:bookmarkEnd w:id="1514"/>
      <w:bookmarkEnd w:id="1515"/>
      <w:bookmarkEnd w:id="1516"/>
      <w:bookmarkEnd w:id="1517"/>
      <w:bookmarkEnd w:id="1518"/>
      <w:bookmarkEnd w:id="1519"/>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520" w:name="_Toc31615"/>
      <w:bookmarkStart w:id="1521" w:name="_Toc29641"/>
      <w:bookmarkStart w:id="1522" w:name="_Toc7189"/>
      <w:bookmarkStart w:id="1523" w:name="_Toc170914157"/>
      <w:bookmarkStart w:id="1524" w:name="_Toc27818"/>
      <w:bookmarkStart w:id="1525" w:name="_Toc3454"/>
      <w:bookmarkStart w:id="1526" w:name="_Toc30221"/>
      <w:bookmarkStart w:id="1527" w:name="_Toc7834"/>
      <w:bookmarkStart w:id="1528" w:name="_Toc19143"/>
      <w:r>
        <w:rPr>
          <w:rFonts w:ascii="仿宋_GB2312" w:hAnsi="仿宋" w:eastAsia="仿宋_GB2312"/>
          <w:color w:val="000000" w:themeColor="text1"/>
          <w:sz w:val="32"/>
          <w:szCs w:val="32"/>
          <w:highlight w:val="none"/>
          <w14:textFill>
            <w14:solidFill>
              <w14:schemeClr w14:val="tx1"/>
            </w14:solidFill>
          </w14:textFill>
        </w:rPr>
        <w:t>4.</w:t>
      </w:r>
      <w:r>
        <w:rPr>
          <w:rFonts w:hint="eastAsia" w:ascii="仿宋_GB2312" w:hAnsi="仿宋" w:eastAsia="仿宋_GB2312"/>
          <w:color w:val="000000" w:themeColor="text1"/>
          <w:sz w:val="32"/>
          <w:szCs w:val="32"/>
          <w:highlight w:val="none"/>
          <w14:textFill>
            <w14:solidFill>
              <w14:schemeClr w14:val="tx1"/>
            </w14:solidFill>
          </w14:textFill>
        </w:rPr>
        <w:t>5</w:t>
      </w:r>
      <w:r>
        <w:rPr>
          <w:rFonts w:ascii="仿宋_GB2312" w:hAnsi="仿宋" w:eastAsia="仿宋_GB2312"/>
          <w:color w:val="000000" w:themeColor="text1"/>
          <w:sz w:val="32"/>
          <w:szCs w:val="32"/>
          <w:highlight w:val="none"/>
          <w14:textFill>
            <w14:solidFill>
              <w14:schemeClr w14:val="tx1"/>
            </w14:solidFill>
          </w14:textFill>
        </w:rPr>
        <w:t>.1善后处置</w:t>
      </w:r>
      <w:bookmarkEnd w:id="1520"/>
      <w:bookmarkEnd w:id="1521"/>
      <w:bookmarkEnd w:id="1522"/>
      <w:bookmarkEnd w:id="1523"/>
      <w:bookmarkEnd w:id="1524"/>
      <w:bookmarkEnd w:id="1525"/>
      <w:bookmarkEnd w:id="1526"/>
      <w:bookmarkEnd w:id="1527"/>
      <w:bookmarkEnd w:id="1528"/>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（1）人员安置</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低温雨雪冰冻事件发生后，当地人员需要安置时，由厅指挥部协调属地的相关部门开展有关人员的安置工作。事故中的受伤人员由指定医疗机构实施抢救，直至脱离危险并安全出院。</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（2）抚恤和补助</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市、县（区）交通运输主管部门和各高速公路运营管理单位配合属地人民政府，对参加应急处置的有关人员按照有关规定，给予补助；对因参与应急处理工作致病、致残、死亡的人员，按照国家有关规定，给予相应的补助和抚恤，并提供相关心理和司法援助。</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529" w:name="_Toc9021"/>
      <w:bookmarkStart w:id="1530" w:name="_Toc12869"/>
      <w:bookmarkStart w:id="1531" w:name="_Toc21911"/>
      <w:bookmarkStart w:id="1532" w:name="_Toc29372"/>
      <w:bookmarkStart w:id="1533" w:name="_Toc506699913"/>
      <w:bookmarkStart w:id="1534" w:name="_Toc531771767"/>
      <w:bookmarkStart w:id="1535" w:name="_Toc505421636"/>
      <w:bookmarkStart w:id="1536" w:name="_Toc32734"/>
      <w:bookmarkStart w:id="1537" w:name="_Toc8047"/>
      <w:bookmarkStart w:id="1538" w:name="_Toc170914158"/>
      <w:bookmarkStart w:id="1539" w:name="_Toc4551"/>
      <w:r>
        <w:rPr>
          <w:rFonts w:ascii="仿宋_GB2312" w:hAnsi="仿宋" w:eastAsia="仿宋_GB2312"/>
          <w:color w:val="000000" w:themeColor="text1"/>
          <w:sz w:val="32"/>
          <w:szCs w:val="32"/>
          <w:highlight w:val="none"/>
          <w14:textFill>
            <w14:solidFill>
              <w14:schemeClr w14:val="tx1"/>
            </w14:solidFill>
          </w14:textFill>
        </w:rPr>
        <w:t>4.</w:t>
      </w:r>
      <w:r>
        <w:rPr>
          <w:rFonts w:hint="eastAsia" w:ascii="仿宋_GB2312" w:hAnsi="仿宋" w:eastAsia="仿宋_GB2312"/>
          <w:color w:val="000000" w:themeColor="text1"/>
          <w:sz w:val="32"/>
          <w:szCs w:val="32"/>
          <w:highlight w:val="none"/>
          <w14:textFill>
            <w14:solidFill>
              <w14:schemeClr w14:val="tx1"/>
            </w14:solidFill>
          </w14:textFill>
        </w:rPr>
        <w:t>5</w:t>
      </w:r>
      <w:r>
        <w:rPr>
          <w:rFonts w:ascii="仿宋_GB2312" w:hAnsi="仿宋" w:eastAsia="仿宋_GB2312"/>
          <w:color w:val="000000" w:themeColor="text1"/>
          <w:sz w:val="32"/>
          <w:szCs w:val="32"/>
          <w:highlight w:val="none"/>
          <w14:textFill>
            <w14:solidFill>
              <w14:schemeClr w14:val="tx1"/>
            </w14:solidFill>
          </w14:textFill>
        </w:rPr>
        <w:t>.2社会救助</w:t>
      </w:r>
      <w:bookmarkEnd w:id="1529"/>
      <w:bookmarkEnd w:id="1530"/>
      <w:bookmarkEnd w:id="1531"/>
      <w:bookmarkEnd w:id="1532"/>
      <w:bookmarkEnd w:id="1533"/>
      <w:bookmarkEnd w:id="1534"/>
      <w:bookmarkEnd w:id="1535"/>
      <w:bookmarkEnd w:id="1536"/>
      <w:bookmarkEnd w:id="1537"/>
      <w:bookmarkEnd w:id="1538"/>
      <w:bookmarkEnd w:id="1539"/>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各市、县（区）交通运输主管部门和高速</w:t>
      </w:r>
      <w:r>
        <w:rPr>
          <w:rFonts w:hint="eastAsia" w:ascii="仿宋_GB2312" w:hAnsi="仿宋" w:eastAsia="仿宋_GB2312"/>
          <w:color w:val="000000" w:themeColor="text1"/>
          <w:sz w:val="32"/>
          <w:szCs w:val="32"/>
          <w:highlight w:val="none"/>
          <w:lang w:eastAsia="zh-CN"/>
          <w14:textFill>
            <w14:solidFill>
              <w14:schemeClr w14:val="tx1"/>
            </w14:solidFill>
          </w14:textFill>
        </w:rPr>
        <w:t>公路</w:t>
      </w:r>
      <w:r>
        <w:rPr>
          <w:rFonts w:hint="eastAsia" w:ascii="仿宋_GB2312" w:hAnsi="仿宋" w:eastAsia="仿宋_GB2312"/>
          <w:color w:val="000000" w:themeColor="text1"/>
          <w:sz w:val="32"/>
          <w:szCs w:val="32"/>
          <w:highlight w:val="none"/>
          <w14:textFill>
            <w14:solidFill>
              <w14:schemeClr w14:val="tx1"/>
            </w14:solidFill>
          </w14:textFill>
        </w:rPr>
        <w:t>运营单位配合应急管理部门、民政部门及时组织救灾物资、生活必需品和社会捐赠物品的运送，保障困难群众基本生活。</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540" w:name="_Toc29447"/>
      <w:bookmarkStart w:id="1541" w:name="_Toc17036"/>
      <w:bookmarkStart w:id="1542" w:name="_Toc28067"/>
      <w:bookmarkStart w:id="1543" w:name="_Toc32757"/>
      <w:bookmarkStart w:id="1544" w:name="_Toc506699914"/>
      <w:bookmarkStart w:id="1545" w:name="_Toc23688"/>
      <w:bookmarkStart w:id="1546" w:name="_Toc2058"/>
      <w:bookmarkStart w:id="1547" w:name="_Toc170914159"/>
      <w:bookmarkStart w:id="1548" w:name="_Toc505421637"/>
      <w:bookmarkStart w:id="1549" w:name="_Toc531771768"/>
      <w:bookmarkStart w:id="1550" w:name="_Toc4014"/>
      <w:r>
        <w:rPr>
          <w:rFonts w:ascii="仿宋_GB2312" w:hAnsi="仿宋" w:eastAsia="仿宋_GB2312"/>
          <w:color w:val="000000" w:themeColor="text1"/>
          <w:sz w:val="32"/>
          <w:szCs w:val="32"/>
          <w:highlight w:val="none"/>
          <w14:textFill>
            <w14:solidFill>
              <w14:schemeClr w14:val="tx1"/>
            </w14:solidFill>
          </w14:textFill>
        </w:rPr>
        <w:t>4.</w:t>
      </w:r>
      <w:r>
        <w:rPr>
          <w:rFonts w:hint="eastAsia" w:ascii="仿宋_GB2312" w:hAnsi="仿宋" w:eastAsia="仿宋_GB2312"/>
          <w:color w:val="000000" w:themeColor="text1"/>
          <w:sz w:val="32"/>
          <w:szCs w:val="32"/>
          <w:highlight w:val="none"/>
          <w14:textFill>
            <w14:solidFill>
              <w14:schemeClr w14:val="tx1"/>
            </w14:solidFill>
          </w14:textFill>
        </w:rPr>
        <w:t>5</w:t>
      </w:r>
      <w:r>
        <w:rPr>
          <w:rFonts w:ascii="仿宋_GB2312" w:hAnsi="仿宋" w:eastAsia="仿宋_GB2312"/>
          <w:color w:val="000000" w:themeColor="text1"/>
          <w:sz w:val="32"/>
          <w:szCs w:val="32"/>
          <w:highlight w:val="none"/>
          <w14:textFill>
            <w14:solidFill>
              <w14:schemeClr w14:val="tx1"/>
            </w14:solidFill>
          </w14:textFill>
        </w:rPr>
        <w:t>.3保险</w:t>
      </w:r>
      <w:bookmarkEnd w:id="1540"/>
      <w:bookmarkEnd w:id="1541"/>
      <w:bookmarkEnd w:id="1542"/>
      <w:bookmarkEnd w:id="1543"/>
      <w:bookmarkEnd w:id="1544"/>
      <w:bookmarkEnd w:id="1545"/>
      <w:bookmarkEnd w:id="1546"/>
      <w:bookmarkEnd w:id="1547"/>
      <w:bookmarkEnd w:id="1548"/>
      <w:bookmarkEnd w:id="1549"/>
      <w:bookmarkEnd w:id="1550"/>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保险包括应急救援人员保险和受灾人员保险。</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1）</w:t>
      </w:r>
      <w:r>
        <w:rPr>
          <w:rFonts w:hint="eastAsia" w:ascii="仿宋_GB2312" w:hAnsi="仿宋" w:eastAsia="仿宋_GB2312"/>
          <w:color w:val="000000" w:themeColor="text1"/>
          <w:sz w:val="32"/>
          <w:szCs w:val="32"/>
          <w:highlight w:val="none"/>
          <w14:textFill>
            <w14:solidFill>
              <w14:schemeClr w14:val="tx1"/>
            </w14:solidFill>
          </w14:textFill>
        </w:rPr>
        <w:t>应急救援人员的保险</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应急救援人员的保险应由其所在单位进行投保。</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w:t>
      </w:r>
      <w:r>
        <w:rPr>
          <w:rFonts w:ascii="仿宋_GB2312" w:hAnsi="仿宋" w:eastAsia="仿宋_GB2312"/>
          <w:color w:val="000000" w:themeColor="text1"/>
          <w:sz w:val="32"/>
          <w:szCs w:val="32"/>
          <w:highlight w:val="none"/>
          <w14:textFill>
            <w14:solidFill>
              <w14:schemeClr w14:val="tx1"/>
            </w14:solidFill>
          </w14:textFill>
        </w:rPr>
        <w:t>2）</w:t>
      </w:r>
      <w:r>
        <w:rPr>
          <w:rFonts w:hint="eastAsia" w:ascii="仿宋_GB2312" w:hAnsi="仿宋" w:eastAsia="仿宋_GB2312"/>
          <w:color w:val="000000" w:themeColor="text1"/>
          <w:sz w:val="32"/>
          <w:szCs w:val="32"/>
          <w:highlight w:val="none"/>
          <w14:textFill>
            <w14:solidFill>
              <w14:schemeClr w14:val="tx1"/>
            </w14:solidFill>
          </w14:textFill>
        </w:rPr>
        <w:t>受灾人员的保险</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低温雨雪冰冻事件发生后，相关保险公司要迅速组织人员，深入灾区调查灾情，及时确定理赔方案，尽快实施保险赔付。</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551" w:name="_Toc13080"/>
      <w:bookmarkStart w:id="1552" w:name="_Toc17167"/>
      <w:bookmarkStart w:id="1553" w:name="_Toc15634"/>
      <w:bookmarkStart w:id="1554" w:name="_Toc31643"/>
      <w:bookmarkStart w:id="1555" w:name="_Toc25252"/>
      <w:bookmarkStart w:id="1556" w:name="_Toc23219"/>
      <w:bookmarkStart w:id="1557" w:name="_Toc24066"/>
      <w:bookmarkStart w:id="1558" w:name="_Toc5623"/>
      <w:bookmarkStart w:id="1559" w:name="_Toc23396"/>
      <w:bookmarkStart w:id="1560" w:name="_Toc9607"/>
      <w:bookmarkStart w:id="1561" w:name="_Toc170914160"/>
      <w:r>
        <w:rPr>
          <w:rFonts w:ascii="楷体_GB2312" w:hAnsi="仿宋" w:eastAsia="楷体_GB2312"/>
          <w:color w:val="000000" w:themeColor="text1"/>
          <w:highlight w:val="none"/>
          <w14:textFill>
            <w14:solidFill>
              <w14:schemeClr w14:val="tx1"/>
            </w14:solidFill>
          </w14:textFill>
        </w:rPr>
        <w:t>4.</w:t>
      </w:r>
      <w:r>
        <w:rPr>
          <w:rFonts w:hint="eastAsia" w:ascii="楷体_GB2312" w:hAnsi="仿宋" w:eastAsia="楷体_GB2312"/>
          <w:color w:val="000000" w:themeColor="text1"/>
          <w:highlight w:val="none"/>
          <w14:textFill>
            <w14:solidFill>
              <w14:schemeClr w14:val="tx1"/>
            </w14:solidFill>
          </w14:textFill>
        </w:rPr>
        <w:t>6</w:t>
      </w:r>
      <w:r>
        <w:rPr>
          <w:rFonts w:ascii="楷体_GB2312" w:hAnsi="仿宋" w:eastAsia="楷体_GB2312"/>
          <w:color w:val="000000" w:themeColor="text1"/>
          <w:highlight w:val="none"/>
          <w14:textFill>
            <w14:solidFill>
              <w14:schemeClr w14:val="tx1"/>
            </w14:solidFill>
          </w14:textFill>
        </w:rPr>
        <w:t>总结评估</w:t>
      </w:r>
      <w:bookmarkEnd w:id="1551"/>
      <w:bookmarkEnd w:id="1552"/>
      <w:bookmarkEnd w:id="1553"/>
      <w:bookmarkEnd w:id="1554"/>
      <w:bookmarkEnd w:id="1555"/>
      <w:bookmarkEnd w:id="1556"/>
      <w:bookmarkEnd w:id="1557"/>
      <w:bookmarkEnd w:id="1558"/>
      <w:bookmarkEnd w:id="1559"/>
      <w:bookmarkEnd w:id="1560"/>
      <w:bookmarkEnd w:id="1561"/>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事件应急状态解除后，厅指挥部办公室应尽快做出应急事件调查报告。调查报告包括事件发生的原因、造成的损失、事件处理的经验教训、灾后恢复和重建的建议等，调查报告报厅指挥部，由厅安委办报上级相关部门。厅指挥部应依据调查报告对本预案进行修改和完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由国家或自治区有关部门组成的调查组在对低温雨雪冰冻事件进行调查、处理、监测和后果评估时，参加应急救援行动的有关部门应积极协助调查组的工作，认真答复与事件有关的询问，如实提供各种记录。</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562" w:name="_Toc12214"/>
      <w:bookmarkStart w:id="1563" w:name="_Toc24207"/>
      <w:bookmarkStart w:id="1564" w:name="_Toc27642"/>
      <w:bookmarkStart w:id="1565" w:name="_Toc170914161"/>
      <w:bookmarkStart w:id="1566" w:name="_Toc2816"/>
      <w:bookmarkStart w:id="1567" w:name="_Toc12298"/>
      <w:bookmarkStart w:id="1568" w:name="_Toc14870"/>
      <w:bookmarkStart w:id="1569" w:name="_Toc12187"/>
      <w:bookmarkStart w:id="1570" w:name="_Toc25562"/>
      <w:bookmarkStart w:id="1571" w:name="_Toc18477"/>
      <w:bookmarkStart w:id="1572" w:name="_Toc2611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5.应急保障</w:t>
      </w:r>
      <w:bookmarkEnd w:id="1562"/>
      <w:bookmarkEnd w:id="1563"/>
      <w:bookmarkEnd w:id="1564"/>
      <w:bookmarkEnd w:id="1565"/>
      <w:bookmarkEnd w:id="1566"/>
      <w:bookmarkEnd w:id="1567"/>
      <w:bookmarkEnd w:id="1568"/>
      <w:bookmarkEnd w:id="1569"/>
      <w:bookmarkEnd w:id="1570"/>
      <w:bookmarkEnd w:id="1571"/>
      <w:bookmarkEnd w:id="1572"/>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573" w:name="_Toc11744"/>
      <w:bookmarkStart w:id="1574" w:name="_Toc31010"/>
      <w:bookmarkStart w:id="1575" w:name="_Toc8454"/>
      <w:bookmarkStart w:id="1576" w:name="_Toc170914162"/>
      <w:bookmarkStart w:id="1577" w:name="_Toc20288"/>
      <w:bookmarkStart w:id="1578" w:name="_Toc506699917"/>
      <w:bookmarkStart w:id="1579" w:name="_Toc531771771"/>
      <w:bookmarkStart w:id="1580" w:name="_Toc8364"/>
      <w:bookmarkStart w:id="1581" w:name="_Toc14581"/>
      <w:bookmarkStart w:id="1582" w:name="_Toc20902"/>
      <w:bookmarkStart w:id="1583" w:name="_Toc21425"/>
      <w:bookmarkStart w:id="1584" w:name="_Toc2584"/>
      <w:bookmarkStart w:id="1585" w:name="_Toc8716"/>
      <w:r>
        <w:rPr>
          <w:rFonts w:ascii="楷体_GB2312" w:hAnsi="仿宋" w:eastAsia="楷体_GB2312"/>
          <w:color w:val="000000" w:themeColor="text1"/>
          <w:highlight w:val="none"/>
          <w14:textFill>
            <w14:solidFill>
              <w14:schemeClr w14:val="tx1"/>
            </w14:solidFill>
          </w14:textFill>
        </w:rPr>
        <w:t>5.1</w:t>
      </w:r>
      <w:r>
        <w:rPr>
          <w:rFonts w:hint="eastAsia" w:ascii="楷体_GB2312" w:hAnsi="仿宋" w:eastAsia="楷体_GB2312"/>
          <w:color w:val="000000" w:themeColor="text1"/>
          <w:highlight w:val="none"/>
          <w14:textFill>
            <w14:solidFill>
              <w14:schemeClr w14:val="tx1"/>
            </w14:solidFill>
          </w14:textFill>
        </w:rPr>
        <w:t>队伍保障</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按照“平急结合、因地制宜，分类建设、分级负责，统一指挥、协调运转”的原则建立低温雨雪冰冻事件应急队伍。</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586" w:name="_Toc20784"/>
      <w:bookmarkStart w:id="1587" w:name="_Toc28378"/>
      <w:bookmarkStart w:id="1588" w:name="_Toc16250"/>
      <w:bookmarkStart w:id="1589" w:name="_Toc11659"/>
      <w:bookmarkStart w:id="1590" w:name="_Toc31257"/>
      <w:bookmarkStart w:id="1591" w:name="_Toc28842"/>
      <w:bookmarkStart w:id="1592" w:name="_Toc170914163"/>
      <w:bookmarkStart w:id="1593" w:name="_Toc30289"/>
      <w:r>
        <w:rPr>
          <w:rFonts w:hint="eastAsia" w:ascii="仿宋_GB2312" w:hAnsi="仿宋" w:eastAsia="仿宋_GB2312"/>
          <w:color w:val="000000" w:themeColor="text1"/>
          <w:sz w:val="32"/>
          <w:szCs w:val="32"/>
          <w:highlight w:val="none"/>
          <w14:textFill>
            <w14:solidFill>
              <w14:schemeClr w14:val="tx1"/>
            </w14:solidFill>
          </w14:textFill>
        </w:rPr>
        <w:t>5.1.1公路交通应急抢险保通队伍</w:t>
      </w:r>
      <w:bookmarkEnd w:id="1586"/>
      <w:bookmarkEnd w:id="1587"/>
      <w:bookmarkEnd w:id="1588"/>
      <w:bookmarkEnd w:id="1589"/>
      <w:bookmarkEnd w:id="1590"/>
      <w:bookmarkEnd w:id="1591"/>
      <w:bookmarkEnd w:id="1592"/>
      <w:bookmarkEnd w:id="1593"/>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市、县（区）交通运输主管部门结合本辖区交通运输行业实际，在现有资源的基础上整合辖区内公路管养部门、执法部门、高速公路建设及运营管理单位、规模以上交通运输企业等应急救援队伍资源，组建交通运输专业应急救援队伍。具体方案按照自治区交通运输厅《关于加强交通运输应急救援体系建设的实施意见》</w:t>
      </w:r>
      <w:r>
        <w:rPr>
          <w:rFonts w:hint="eastAsia" w:ascii="仿宋_GB2312" w:hAnsi="仿宋" w:eastAsia="仿宋_GB2312"/>
          <w:color w:val="000000" w:themeColor="text1"/>
          <w:sz w:val="32"/>
          <w:szCs w:val="32"/>
          <w:highlight w:val="none"/>
          <w:lang w:eastAsia="zh-CN"/>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宁交办发</w:t>
      </w:r>
      <w:r>
        <w:rPr>
          <w:rFonts w:hint="eastAsia" w:ascii="仿宋_GB2312" w:hAnsi="仿宋" w:eastAsia="仿宋_GB2312"/>
          <w:color w:val="000000" w:themeColor="text1"/>
          <w:sz w:val="32"/>
          <w:szCs w:val="32"/>
          <w:highlight w:val="none"/>
          <w:lang w:eastAsia="zh-CN"/>
          <w14:textFill>
            <w14:solidFill>
              <w14:schemeClr w14:val="tx1"/>
            </w14:solidFill>
          </w14:textFill>
        </w:rPr>
        <w:t>〔2022〕83号）</w:t>
      </w:r>
      <w:r>
        <w:rPr>
          <w:rFonts w:hint="eastAsia" w:ascii="仿宋_GB2312" w:hAnsi="仿宋" w:eastAsia="仿宋_GB2312"/>
          <w:color w:val="000000" w:themeColor="text1"/>
          <w:sz w:val="32"/>
          <w:szCs w:val="32"/>
          <w:highlight w:val="none"/>
          <w14:textFill>
            <w14:solidFill>
              <w14:schemeClr w14:val="tx1"/>
            </w14:solidFill>
          </w14:textFill>
        </w:rPr>
        <w:t>文件执行。</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594" w:name="_Toc18392"/>
      <w:bookmarkStart w:id="1595" w:name="_Toc12403"/>
      <w:bookmarkStart w:id="1596" w:name="_Toc8677"/>
      <w:bookmarkStart w:id="1597" w:name="_Toc16555"/>
      <w:bookmarkStart w:id="1598" w:name="_Toc170914164"/>
      <w:bookmarkStart w:id="1599" w:name="_Toc10339"/>
      <w:bookmarkStart w:id="1600" w:name="_Toc23538"/>
      <w:bookmarkStart w:id="1601" w:name="_Toc19403"/>
      <w:r>
        <w:rPr>
          <w:rFonts w:hint="eastAsia" w:ascii="仿宋_GB2312" w:hAnsi="仿宋" w:eastAsia="仿宋_GB2312"/>
          <w:color w:val="000000" w:themeColor="text1"/>
          <w:sz w:val="32"/>
          <w:szCs w:val="32"/>
          <w:highlight w:val="none"/>
          <w14:textFill>
            <w14:solidFill>
              <w14:schemeClr w14:val="tx1"/>
            </w14:solidFill>
          </w14:textFill>
        </w:rPr>
        <w:t>5.1.2应急人员安全</w:t>
      </w:r>
      <w:bookmarkEnd w:id="1594"/>
      <w:r>
        <w:rPr>
          <w:rFonts w:hint="eastAsia" w:ascii="仿宋_GB2312" w:hAnsi="仿宋" w:eastAsia="仿宋_GB2312"/>
          <w:color w:val="000000" w:themeColor="text1"/>
          <w:sz w:val="32"/>
          <w:szCs w:val="32"/>
          <w:highlight w:val="none"/>
          <w14:textFill>
            <w14:solidFill>
              <w14:schemeClr w14:val="tx1"/>
            </w14:solidFill>
          </w14:textFill>
        </w:rPr>
        <w:t>保障</w:t>
      </w:r>
      <w:bookmarkEnd w:id="1595"/>
      <w:bookmarkEnd w:id="1596"/>
      <w:bookmarkEnd w:id="1597"/>
      <w:bookmarkEnd w:id="1598"/>
      <w:bookmarkEnd w:id="1599"/>
      <w:bookmarkEnd w:id="1600"/>
      <w:bookmarkEnd w:id="1601"/>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应急人员所在单位应为参与应急处置的工作人员投保人身意外险。</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602" w:name="_Toc25955"/>
      <w:bookmarkStart w:id="1603" w:name="_Toc31855"/>
      <w:bookmarkStart w:id="1604" w:name="_Toc2362"/>
      <w:bookmarkStart w:id="1605" w:name="_Toc9133"/>
      <w:bookmarkStart w:id="1606" w:name="_Toc7068"/>
      <w:bookmarkStart w:id="1607" w:name="_Toc20838"/>
      <w:bookmarkStart w:id="1608" w:name="_Toc531771772"/>
      <w:bookmarkStart w:id="1609" w:name="_Toc506699918"/>
      <w:bookmarkStart w:id="1610" w:name="_Toc7853"/>
      <w:bookmarkStart w:id="1611" w:name="_Toc170914165"/>
      <w:bookmarkStart w:id="1612" w:name="_Toc3525"/>
      <w:bookmarkStart w:id="1613" w:name="_Toc9765"/>
      <w:r>
        <w:rPr>
          <w:rFonts w:ascii="楷体_GB2312" w:hAnsi="仿宋" w:eastAsia="楷体_GB2312"/>
          <w:color w:val="000000" w:themeColor="text1"/>
          <w:highlight w:val="none"/>
          <w14:textFill>
            <w14:solidFill>
              <w14:schemeClr w14:val="tx1"/>
            </w14:solidFill>
          </w14:textFill>
        </w:rPr>
        <w:t>5.2</w:t>
      </w:r>
      <w:r>
        <w:rPr>
          <w:rFonts w:hint="eastAsia" w:ascii="楷体_GB2312" w:hAnsi="仿宋" w:eastAsia="楷体_GB2312"/>
          <w:color w:val="000000" w:themeColor="text1"/>
          <w:highlight w:val="none"/>
          <w14:textFill>
            <w14:solidFill>
              <w14:schemeClr w14:val="tx1"/>
            </w14:solidFill>
          </w14:textFill>
        </w:rPr>
        <w:t>物资保障</w:t>
      </w:r>
      <w:bookmarkEnd w:id="1602"/>
      <w:bookmarkEnd w:id="1603"/>
      <w:bookmarkEnd w:id="1604"/>
      <w:bookmarkEnd w:id="1605"/>
      <w:bookmarkEnd w:id="1606"/>
      <w:bookmarkEnd w:id="1607"/>
      <w:bookmarkEnd w:id="1608"/>
      <w:bookmarkEnd w:id="1609"/>
      <w:bookmarkEnd w:id="1610"/>
      <w:bookmarkEnd w:id="1611"/>
      <w:bookmarkEnd w:id="1612"/>
      <w:bookmarkEnd w:id="1613"/>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各级交通运输主管部门、各级公路管养单位应根据当地实际情况，</w:t>
      </w:r>
      <w:r>
        <w:rPr>
          <w:rFonts w:hint="eastAsia" w:ascii="仿宋_GB2312" w:hAnsi="仿宋" w:eastAsia="仿宋_GB2312"/>
          <w:color w:val="000000" w:themeColor="text1"/>
          <w:sz w:val="32"/>
          <w:szCs w:val="32"/>
          <w:highlight w:val="none"/>
          <w:lang w:eastAsia="zh-CN"/>
          <w14:textFill>
            <w14:solidFill>
              <w14:schemeClr w14:val="tx1"/>
            </w14:solidFill>
          </w14:textFill>
        </w:rPr>
        <w:t>设立本级应急保障机构，</w:t>
      </w:r>
      <w:r>
        <w:rPr>
          <w:rFonts w:hint="eastAsia" w:ascii="仿宋_GB2312" w:hAnsi="仿宋" w:eastAsia="仿宋_GB2312"/>
          <w:color w:val="000000" w:themeColor="text1"/>
          <w:sz w:val="32"/>
          <w:szCs w:val="32"/>
          <w:highlight w:val="none"/>
          <w14:textFill>
            <w14:solidFill>
              <w14:schemeClr w14:val="tx1"/>
            </w14:solidFill>
          </w14:textFill>
        </w:rPr>
        <w:t>做好公路抢修的物资、机械等储备工作。</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614" w:name="_Toc2426"/>
      <w:bookmarkStart w:id="1615" w:name="_Toc29157"/>
      <w:bookmarkStart w:id="1616" w:name="_Toc1709"/>
      <w:bookmarkStart w:id="1617" w:name="_Toc9659"/>
      <w:bookmarkStart w:id="1618" w:name="_Toc27529"/>
      <w:bookmarkStart w:id="1619" w:name="_Toc18049"/>
      <w:bookmarkStart w:id="1620" w:name="_Toc14763"/>
      <w:bookmarkStart w:id="1621" w:name="_Toc170914166"/>
      <w:bookmarkStart w:id="1622" w:name="_Toc16588"/>
      <w:r>
        <w:rPr>
          <w:rFonts w:hint="eastAsia" w:ascii="仿宋_GB2312" w:hAnsi="仿宋" w:eastAsia="仿宋_GB2312"/>
          <w:color w:val="000000" w:themeColor="text1"/>
          <w:sz w:val="32"/>
          <w:szCs w:val="32"/>
          <w:highlight w:val="none"/>
          <w14:textFill>
            <w14:solidFill>
              <w14:schemeClr w14:val="tx1"/>
            </w14:solidFill>
          </w14:textFill>
        </w:rPr>
        <w:t>5.2.1应急物资设备种类</w:t>
      </w:r>
      <w:bookmarkEnd w:id="1614"/>
      <w:bookmarkEnd w:id="1615"/>
      <w:bookmarkEnd w:id="1616"/>
      <w:bookmarkEnd w:id="1617"/>
      <w:bookmarkEnd w:id="1618"/>
      <w:bookmarkEnd w:id="1619"/>
      <w:bookmarkEnd w:id="1620"/>
      <w:bookmarkEnd w:id="1621"/>
      <w:bookmarkEnd w:id="1622"/>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应急物资包括公路抢通物资和救援物资两类。公路抢通物资主要包括沥青、碎石、砂石、水泥、钢桥、钢板、木材、编织袋、融雪剂、防滑料、吸油材料等；救援物资设备包括方便食品、饮水、防护衣物及装备、医药、照明、发电、帐篷、燃料、安全标志、车辆防护器材及常用维修工具、应急救援车辆等。</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建立实物储备与商业储备相结合、生产能力储备与技术储备相结合、政府采购与政府补贴相结合的应急物资储备方式，强化应急物资储备能力。</w:t>
      </w:r>
    </w:p>
    <w:p>
      <w:pPr>
        <w:pStyle w:val="7"/>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3"/>
        <w:rPr>
          <w:rFonts w:ascii="仿宋_GB2312" w:hAnsi="仿宋" w:eastAsia="仿宋_GB2312"/>
          <w:color w:val="000000" w:themeColor="text1"/>
          <w:sz w:val="32"/>
          <w:szCs w:val="32"/>
          <w:highlight w:val="none"/>
          <w14:textFill>
            <w14:solidFill>
              <w14:schemeClr w14:val="tx1"/>
            </w14:solidFill>
          </w14:textFill>
        </w:rPr>
      </w:pPr>
      <w:bookmarkStart w:id="1623" w:name="_Toc3182"/>
      <w:bookmarkStart w:id="1624" w:name="_Toc1825"/>
      <w:bookmarkStart w:id="1625" w:name="_Toc170914167"/>
      <w:bookmarkStart w:id="1626" w:name="_Toc10574"/>
      <w:bookmarkStart w:id="1627" w:name="_Toc9269"/>
      <w:bookmarkStart w:id="1628" w:name="_Toc24355"/>
      <w:bookmarkStart w:id="1629" w:name="_Toc26130"/>
      <w:bookmarkStart w:id="1630" w:name="_Toc24270"/>
      <w:bookmarkStart w:id="1631" w:name="_Toc27286"/>
      <w:r>
        <w:rPr>
          <w:rFonts w:hint="eastAsia" w:ascii="仿宋_GB2312" w:hAnsi="仿宋" w:eastAsia="仿宋_GB2312"/>
          <w:color w:val="000000" w:themeColor="text1"/>
          <w:sz w:val="32"/>
          <w:szCs w:val="32"/>
          <w:highlight w:val="none"/>
          <w14:textFill>
            <w14:solidFill>
              <w14:schemeClr w14:val="tx1"/>
            </w14:solidFill>
          </w14:textFill>
        </w:rPr>
        <w:t>5.2.2应急物资设备储备体系</w:t>
      </w:r>
      <w:bookmarkEnd w:id="1623"/>
      <w:bookmarkEnd w:id="1624"/>
      <w:bookmarkEnd w:id="1625"/>
      <w:bookmarkEnd w:id="1626"/>
      <w:bookmarkEnd w:id="1627"/>
      <w:bookmarkEnd w:id="1628"/>
      <w:bookmarkEnd w:id="1629"/>
      <w:bookmarkEnd w:id="1630"/>
      <w:bookmarkEnd w:id="1631"/>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根据公路的分布情况，确保应急物资调运的时效性和覆盖区域的合理性，以“因地制宜、规模适当、合理分布、有效利用”为原则，结合各地区的气候与地质条件，建立若干公路交通应急物资储备点。</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632" w:name="_Toc26534"/>
      <w:bookmarkStart w:id="1633" w:name="_Toc17686"/>
      <w:bookmarkStart w:id="1634" w:name="_Toc15201"/>
      <w:bookmarkStart w:id="1635" w:name="_Toc31248"/>
      <w:bookmarkStart w:id="1636" w:name="_Toc15637"/>
      <w:bookmarkStart w:id="1637" w:name="_Toc29569"/>
      <w:bookmarkStart w:id="1638" w:name="_Toc531771774"/>
      <w:bookmarkStart w:id="1639" w:name="_Toc12868"/>
      <w:bookmarkStart w:id="1640" w:name="_Toc26893"/>
      <w:bookmarkStart w:id="1641" w:name="_Toc170914168"/>
      <w:bookmarkStart w:id="1642" w:name="_Toc16016"/>
      <w:bookmarkStart w:id="1643" w:name="_Toc506699920"/>
      <w:bookmarkStart w:id="1644" w:name="_Toc8382"/>
      <w:r>
        <w:rPr>
          <w:rFonts w:ascii="楷体_GB2312" w:hAnsi="仿宋" w:eastAsia="楷体_GB2312"/>
          <w:color w:val="000000" w:themeColor="text1"/>
          <w:highlight w:val="none"/>
          <w14:textFill>
            <w14:solidFill>
              <w14:schemeClr w14:val="tx1"/>
            </w14:solidFill>
          </w14:textFill>
        </w:rPr>
        <w:t>5.</w:t>
      </w:r>
      <w:r>
        <w:rPr>
          <w:rFonts w:hint="eastAsia" w:ascii="楷体_GB2312" w:hAnsi="仿宋" w:eastAsia="楷体_GB2312"/>
          <w:color w:val="000000" w:themeColor="text1"/>
          <w:highlight w:val="none"/>
          <w14:textFill>
            <w14:solidFill>
              <w14:schemeClr w14:val="tx1"/>
            </w14:solidFill>
          </w14:textFill>
        </w:rPr>
        <w:t>3资金保障</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低温雨雪冰冻灾害应急保障所需的各项经费，应按照现行事权、财权划分原则，分级负担。按照相关制度规范的要求列入各级交通运输主管部门年度财政预算中。</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645" w:name="_Toc3726"/>
      <w:bookmarkStart w:id="1646" w:name="_Toc170914169"/>
      <w:bookmarkStart w:id="1647" w:name="_Toc16241"/>
      <w:bookmarkStart w:id="1648" w:name="_Toc30920"/>
      <w:bookmarkStart w:id="1649" w:name="_Toc26208"/>
      <w:bookmarkStart w:id="1650" w:name="_Toc26889"/>
      <w:bookmarkStart w:id="1651" w:name="_Toc31342"/>
      <w:bookmarkStart w:id="1652" w:name="_Toc9709"/>
      <w:bookmarkStart w:id="1653" w:name="_Toc675"/>
      <w:bookmarkStart w:id="1654" w:name="_Toc1655"/>
      <w:r>
        <w:rPr>
          <w:rFonts w:ascii="楷体_GB2312" w:hAnsi="仿宋" w:eastAsia="楷体_GB2312"/>
          <w:color w:val="000000" w:themeColor="text1"/>
          <w:highlight w:val="none"/>
          <w14:textFill>
            <w14:solidFill>
              <w14:schemeClr w14:val="tx1"/>
            </w14:solidFill>
          </w14:textFill>
        </w:rPr>
        <w:t>5.</w:t>
      </w:r>
      <w:r>
        <w:rPr>
          <w:rFonts w:hint="eastAsia" w:ascii="楷体_GB2312" w:hAnsi="仿宋" w:eastAsia="楷体_GB2312"/>
          <w:color w:val="000000" w:themeColor="text1"/>
          <w:highlight w:val="none"/>
          <w14:textFill>
            <w14:solidFill>
              <w14:schemeClr w14:val="tx1"/>
            </w14:solidFill>
          </w14:textFill>
        </w:rPr>
        <w:t>4应急演练</w:t>
      </w:r>
      <w:bookmarkEnd w:id="1645"/>
      <w:bookmarkEnd w:id="1646"/>
      <w:bookmarkEnd w:id="1647"/>
      <w:bookmarkEnd w:id="1648"/>
      <w:bookmarkEnd w:id="1649"/>
      <w:bookmarkEnd w:id="1650"/>
      <w:bookmarkEnd w:id="1651"/>
      <w:bookmarkEnd w:id="1652"/>
      <w:bookmarkEnd w:id="1653"/>
      <w:bookmarkEnd w:id="1654"/>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各级交通运输主管部门和各级公路管养单位要结合所辖区域实际，有计划、有重点地组织应急演练。低温雨雪冰冻事件应急演练至少每年进行一次，低温雨雪冰冻事件易发地应当经常组织开展应急演练。应急演练结束后，演练组织单位应当及时组织演练评估。鼓励委托第三方进行演练评估。</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655" w:name="_Toc7200"/>
      <w:bookmarkStart w:id="1656" w:name="_Toc27127"/>
      <w:bookmarkStart w:id="1657" w:name="_Toc23288"/>
      <w:bookmarkStart w:id="1658" w:name="_Toc21708"/>
      <w:bookmarkStart w:id="1659" w:name="_Toc531771777"/>
      <w:bookmarkStart w:id="1660" w:name="_Toc3675"/>
      <w:bookmarkStart w:id="1661" w:name="_Toc506699923"/>
      <w:bookmarkStart w:id="1662" w:name="_Toc12075"/>
      <w:bookmarkStart w:id="1663" w:name="_Toc170914170"/>
      <w:bookmarkStart w:id="1664" w:name="_Toc30094"/>
      <w:bookmarkStart w:id="1665" w:name="_Toc26777"/>
      <w:bookmarkStart w:id="1666" w:name="_Toc18190"/>
      <w:bookmarkStart w:id="1667" w:name="_Toc4548"/>
      <w:r>
        <w:rPr>
          <w:rFonts w:ascii="楷体_GB2312" w:hAnsi="仿宋" w:eastAsia="楷体_GB2312"/>
          <w:color w:val="000000" w:themeColor="text1"/>
          <w:highlight w:val="none"/>
          <w14:textFill>
            <w14:solidFill>
              <w14:schemeClr w14:val="tx1"/>
            </w14:solidFill>
          </w14:textFill>
        </w:rPr>
        <w:t>5.</w:t>
      </w:r>
      <w:r>
        <w:rPr>
          <w:rFonts w:hint="eastAsia" w:ascii="楷体_GB2312" w:hAnsi="仿宋" w:eastAsia="楷体_GB2312"/>
          <w:color w:val="000000" w:themeColor="text1"/>
          <w:highlight w:val="none"/>
          <w14:textFill>
            <w14:solidFill>
              <w14:schemeClr w14:val="tx1"/>
            </w14:solidFill>
          </w14:textFill>
        </w:rPr>
        <w:t>5责任与奖惩</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对低温雨雪冰冻事件应对工作中做出突出贡献的集体和个人要</w:t>
      </w:r>
      <w:r>
        <w:rPr>
          <w:rFonts w:hint="eastAsia" w:ascii="仿宋_GB2312" w:hAnsi="仿宋" w:eastAsia="仿宋_GB2312"/>
          <w:color w:val="000000" w:themeColor="text1"/>
          <w:sz w:val="32"/>
          <w:szCs w:val="32"/>
          <w:highlight w:val="none"/>
          <w:lang w:eastAsia="zh-CN"/>
          <w14:textFill>
            <w14:solidFill>
              <w14:schemeClr w14:val="tx1"/>
            </w14:solidFill>
          </w14:textFill>
        </w:rPr>
        <w:t>及时通报表扬</w:t>
      </w:r>
      <w:r>
        <w:rPr>
          <w:rFonts w:hint="eastAsia" w:ascii="仿宋_GB2312" w:hAnsi="仿宋" w:eastAsia="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对迟报、谎报、瞒报和漏报重要信息或者应急管理工作有其他失职、渎职行为的，按照有关规定处理。</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668" w:name="_Toc531771778"/>
      <w:bookmarkStart w:id="1669" w:name="_Toc22236"/>
      <w:bookmarkStart w:id="1670" w:name="_Toc506699924"/>
      <w:bookmarkStart w:id="1671" w:name="_Toc15951"/>
      <w:bookmarkStart w:id="1672" w:name="_Toc9422"/>
      <w:bookmarkStart w:id="1673" w:name="_Toc18566"/>
      <w:bookmarkStart w:id="1674" w:name="_Toc14384"/>
      <w:bookmarkStart w:id="1675" w:name="_Toc19448"/>
      <w:bookmarkStart w:id="1676" w:name="_Toc170914171"/>
      <w:bookmarkStart w:id="1677" w:name="_Toc20194"/>
      <w:bookmarkStart w:id="1678" w:name="_Toc211"/>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6.</w:t>
      </w:r>
      <w:bookmarkEnd w:id="1668"/>
      <w:bookmarkEnd w:id="1669"/>
      <w:bookmarkEnd w:id="1670"/>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预案管理</w:t>
      </w:r>
      <w:bookmarkEnd w:id="1671"/>
      <w:bookmarkEnd w:id="1672"/>
      <w:bookmarkEnd w:id="1673"/>
      <w:bookmarkEnd w:id="1674"/>
      <w:bookmarkEnd w:id="1675"/>
      <w:bookmarkEnd w:id="1676"/>
      <w:bookmarkEnd w:id="1677"/>
      <w:bookmarkEnd w:id="1678"/>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679" w:name="_Toc24509"/>
      <w:bookmarkStart w:id="1680" w:name="_Toc12102"/>
      <w:bookmarkStart w:id="1681" w:name="_Toc26850"/>
      <w:bookmarkStart w:id="1682" w:name="_Toc11819"/>
      <w:bookmarkStart w:id="1683" w:name="_Toc6750"/>
      <w:bookmarkStart w:id="1684" w:name="_Toc6961"/>
      <w:bookmarkStart w:id="1685" w:name="_Toc170914172"/>
      <w:bookmarkStart w:id="1686" w:name="_Toc9675"/>
      <w:bookmarkStart w:id="1687" w:name="_Toc9810"/>
      <w:bookmarkStart w:id="1688" w:name="_Toc40"/>
      <w:bookmarkStart w:id="1689" w:name="_Toc8078"/>
      <w:bookmarkStart w:id="1690" w:name="_Toc531771779"/>
      <w:bookmarkStart w:id="1691" w:name="_Toc506699925"/>
      <w:r>
        <w:rPr>
          <w:rFonts w:hint="eastAsia" w:ascii="楷体_GB2312" w:hAnsi="仿宋" w:eastAsia="楷体_GB2312"/>
          <w:color w:val="000000" w:themeColor="text1"/>
          <w:highlight w:val="none"/>
          <w14:textFill>
            <w14:solidFill>
              <w14:schemeClr w14:val="tx1"/>
            </w14:solidFill>
          </w14:textFill>
        </w:rPr>
        <w:t>6</w:t>
      </w:r>
      <w:r>
        <w:rPr>
          <w:rFonts w:ascii="楷体_GB2312" w:hAnsi="仿宋" w:eastAsia="楷体_GB2312"/>
          <w:color w:val="000000" w:themeColor="text1"/>
          <w:highlight w:val="none"/>
          <w14:textFill>
            <w14:solidFill>
              <w14:schemeClr w14:val="tx1"/>
            </w14:solidFill>
          </w14:textFill>
        </w:rPr>
        <w:t>.1</w:t>
      </w:r>
      <w:r>
        <w:rPr>
          <w:rFonts w:hint="eastAsia" w:ascii="楷体_GB2312" w:hAnsi="仿宋" w:eastAsia="楷体_GB2312"/>
          <w:color w:val="000000" w:themeColor="text1"/>
          <w:highlight w:val="none"/>
          <w14:textFill>
            <w14:solidFill>
              <w14:schemeClr w14:val="tx1"/>
            </w14:solidFill>
          </w14:textFill>
        </w:rPr>
        <w:t>预案修订与备案</w:t>
      </w:r>
      <w:bookmarkEnd w:id="1679"/>
      <w:bookmarkEnd w:id="1680"/>
      <w:bookmarkEnd w:id="1681"/>
      <w:bookmarkEnd w:id="1682"/>
      <w:bookmarkEnd w:id="1683"/>
      <w:bookmarkEnd w:id="1684"/>
      <w:bookmarkEnd w:id="1685"/>
      <w:bookmarkEnd w:id="1686"/>
      <w:bookmarkEnd w:id="1687"/>
      <w:bookmarkEnd w:id="1688"/>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本预案由厅</w:t>
      </w:r>
      <w:r>
        <w:rPr>
          <w:rFonts w:hint="eastAsia" w:ascii="仿宋_GB2312" w:hAnsi="仿宋" w:eastAsia="仿宋_GB2312"/>
          <w:color w:val="000000" w:themeColor="text1"/>
          <w:sz w:val="32"/>
          <w:szCs w:val="32"/>
          <w:highlight w:val="none"/>
          <w:lang w:eastAsia="zh-CN"/>
          <w14:textFill>
            <w14:solidFill>
              <w14:schemeClr w14:val="tx1"/>
            </w14:solidFill>
          </w14:textFill>
        </w:rPr>
        <w:t>公路管理处</w:t>
      </w:r>
      <w:r>
        <w:rPr>
          <w:rFonts w:hint="eastAsia" w:ascii="仿宋_GB2312" w:hAnsi="仿宋" w:eastAsia="仿宋_GB2312"/>
          <w:color w:val="000000" w:themeColor="text1"/>
          <w:sz w:val="32"/>
          <w:szCs w:val="32"/>
          <w:highlight w:val="none"/>
          <w14:textFill>
            <w14:solidFill>
              <w14:schemeClr w14:val="tx1"/>
            </w14:solidFill>
          </w14:textFill>
        </w:rPr>
        <w:t>负责管理，及时组织预案评估，适时修订完善，并报自治区政府、交通运输部、自治区应急厅备案。</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预案修订工作至少每三年开展一次，有下列情形之一的，应及时修订应急预案：</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（1）有关</w:t>
      </w:r>
      <w:r>
        <w:rPr>
          <w:rFonts w:hint="eastAsia" w:ascii="仿宋_GB2312" w:hAnsi="仿宋" w:eastAsia="仿宋_GB2312"/>
          <w:color w:val="000000" w:themeColor="text1"/>
          <w:sz w:val="32"/>
          <w:szCs w:val="32"/>
          <w:highlight w:val="none"/>
          <w:lang w:eastAsia="zh-CN"/>
          <w14:textFill>
            <w14:solidFill>
              <w14:schemeClr w14:val="tx1"/>
            </w14:solidFill>
          </w14:textFill>
        </w:rPr>
        <w:t>法律法规</w:t>
      </w:r>
      <w:r>
        <w:rPr>
          <w:rFonts w:hint="eastAsia" w:ascii="仿宋_GB2312" w:hAnsi="仿宋" w:eastAsia="仿宋_GB2312"/>
          <w:color w:val="000000" w:themeColor="text1"/>
          <w:sz w:val="32"/>
          <w:szCs w:val="32"/>
          <w:highlight w:val="none"/>
          <w14:textFill>
            <w14:solidFill>
              <w14:schemeClr w14:val="tx1"/>
            </w14:solidFill>
          </w14:textFill>
        </w:rPr>
        <w:t>、规章、标准、上位预案中的有关规定发生变化的；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（2）应急指挥机构及其职责发生重大调整的；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（3）面临的风险、应急资源发生重大变化的；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（4）在灾害实际应对和应急演练中发现问题需要</w:t>
      </w:r>
      <w:r>
        <w:rPr>
          <w:rFonts w:hint="eastAsia" w:ascii="仿宋_GB2312" w:hAnsi="仿宋" w:eastAsia="仿宋_GB2312"/>
          <w:color w:val="000000" w:themeColor="text1"/>
          <w:sz w:val="32"/>
          <w:szCs w:val="32"/>
          <w:highlight w:val="none"/>
          <w:lang w:eastAsia="zh-CN"/>
          <w14:textFill>
            <w14:solidFill>
              <w14:schemeClr w14:val="tx1"/>
            </w14:solidFill>
          </w14:textFill>
        </w:rPr>
        <w:t>做</w:t>
      </w:r>
      <w:r>
        <w:rPr>
          <w:rFonts w:hint="eastAsia" w:ascii="仿宋_GB2312" w:hAnsi="仿宋" w:eastAsia="仿宋_GB2312"/>
          <w:color w:val="000000" w:themeColor="text1"/>
          <w:sz w:val="32"/>
          <w:szCs w:val="32"/>
          <w:highlight w:val="none"/>
          <w14:textFill>
            <w14:solidFill>
              <w14:schemeClr w14:val="tx1"/>
            </w14:solidFill>
          </w14:textFill>
        </w:rPr>
        <w:t>出重大调整的；</w:t>
      </w:r>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bookmarkStart w:id="1692" w:name="_Toc14821"/>
      <w:bookmarkStart w:id="1693" w:name="_Toc23366"/>
      <w:bookmarkStart w:id="1694" w:name="_Toc16709"/>
      <w:r>
        <w:rPr>
          <w:rFonts w:hint="eastAsia" w:ascii="仿宋_GB2312" w:hAnsi="仿宋" w:eastAsia="仿宋_GB2312"/>
          <w:color w:val="000000" w:themeColor="text1"/>
          <w:sz w:val="32"/>
          <w:szCs w:val="32"/>
          <w:highlight w:val="none"/>
          <w14:textFill>
            <w14:solidFill>
              <w14:schemeClr w14:val="tx1"/>
            </w14:solidFill>
          </w14:textFill>
        </w:rPr>
        <w:t>（5）其他需要修订应急预案的情况。</w:t>
      </w:r>
      <w:bookmarkEnd w:id="1692"/>
      <w:bookmarkEnd w:id="1693"/>
      <w:bookmarkEnd w:id="1694"/>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695" w:name="_Toc29515"/>
      <w:bookmarkStart w:id="1696" w:name="_Toc170914173"/>
      <w:bookmarkStart w:id="1697" w:name="_Toc584"/>
      <w:bookmarkStart w:id="1698" w:name="_Toc29982"/>
      <w:bookmarkStart w:id="1699" w:name="_Toc20202"/>
      <w:bookmarkStart w:id="1700" w:name="_Toc9534"/>
      <w:bookmarkStart w:id="1701" w:name="_Toc25908"/>
      <w:bookmarkStart w:id="1702" w:name="_Toc118"/>
      <w:bookmarkStart w:id="1703" w:name="_Toc10522"/>
      <w:r>
        <w:rPr>
          <w:rFonts w:hint="eastAsia" w:ascii="楷体_GB2312" w:hAnsi="仿宋" w:eastAsia="楷体_GB2312"/>
          <w:color w:val="000000" w:themeColor="text1"/>
          <w:highlight w:val="none"/>
          <w14:textFill>
            <w14:solidFill>
              <w14:schemeClr w14:val="tx1"/>
            </w14:solidFill>
          </w14:textFill>
        </w:rPr>
        <w:t>6</w:t>
      </w:r>
      <w:r>
        <w:rPr>
          <w:rFonts w:ascii="楷体_GB2312" w:hAnsi="仿宋" w:eastAsia="楷体_GB2312"/>
          <w:color w:val="000000" w:themeColor="text1"/>
          <w:highlight w:val="none"/>
          <w14:textFill>
            <w14:solidFill>
              <w14:schemeClr w14:val="tx1"/>
            </w14:solidFill>
          </w14:textFill>
        </w:rPr>
        <w:t>.2</w:t>
      </w:r>
      <w:r>
        <w:rPr>
          <w:rFonts w:hint="eastAsia" w:ascii="楷体_GB2312" w:hAnsi="仿宋" w:eastAsia="楷体_GB2312"/>
          <w:color w:val="000000" w:themeColor="text1"/>
          <w:highlight w:val="none"/>
          <w14:textFill>
            <w14:solidFill>
              <w14:schemeClr w14:val="tx1"/>
            </w14:solidFill>
          </w14:textFill>
        </w:rPr>
        <w:t>预案培训</w:t>
      </w:r>
      <w:bookmarkEnd w:id="1695"/>
      <w:bookmarkEnd w:id="1696"/>
      <w:bookmarkEnd w:id="1697"/>
      <w:bookmarkEnd w:id="1698"/>
      <w:bookmarkEnd w:id="1699"/>
      <w:bookmarkEnd w:id="1700"/>
      <w:bookmarkEnd w:id="1701"/>
      <w:bookmarkEnd w:id="1702"/>
      <w:bookmarkEnd w:id="1703"/>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厅</w:t>
      </w:r>
      <w:r>
        <w:rPr>
          <w:rFonts w:hint="eastAsia" w:ascii="仿宋_GB2312" w:hAnsi="仿宋" w:eastAsia="仿宋_GB2312"/>
          <w:color w:val="000000" w:themeColor="text1"/>
          <w:sz w:val="32"/>
          <w:szCs w:val="32"/>
          <w:highlight w:val="none"/>
          <w:lang w:eastAsia="zh-CN"/>
          <w14:textFill>
            <w14:solidFill>
              <w14:schemeClr w14:val="tx1"/>
            </w14:solidFill>
          </w14:textFill>
        </w:rPr>
        <w:t>公路管理处</w:t>
      </w:r>
      <w:r>
        <w:rPr>
          <w:rFonts w:hint="eastAsia" w:ascii="仿宋_GB2312" w:hAnsi="仿宋" w:eastAsia="仿宋_GB2312"/>
          <w:color w:val="000000" w:themeColor="text1"/>
          <w:sz w:val="32"/>
          <w:szCs w:val="32"/>
          <w:highlight w:val="none"/>
          <w14:textFill>
            <w14:solidFill>
              <w14:schemeClr w14:val="tx1"/>
            </w14:solidFill>
          </w14:textFill>
        </w:rPr>
        <w:t>组织本预案相关培训工作。培训工作应结合实际，可采取多种组织形式，每年冬季前至少培训一次。培训要科学合理，有针对性地提升风险防范意识和应急处置能力。</w:t>
      </w:r>
    </w:p>
    <w:bookmarkEnd w:id="1689"/>
    <w:bookmarkEnd w:id="1690"/>
    <w:bookmarkEnd w:id="1691"/>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704" w:name="_Toc8307"/>
      <w:bookmarkStart w:id="1705" w:name="_Toc3222"/>
      <w:bookmarkStart w:id="1706" w:name="_Toc13070"/>
      <w:bookmarkStart w:id="1707" w:name="_Toc19816"/>
      <w:bookmarkStart w:id="1708" w:name="_Toc506699927"/>
      <w:bookmarkStart w:id="1709" w:name="_Toc531771781"/>
      <w:bookmarkStart w:id="1710" w:name="_Toc170914174"/>
      <w:bookmarkStart w:id="1711" w:name="_Toc18542"/>
      <w:bookmarkStart w:id="1712" w:name="_Toc32389"/>
      <w:bookmarkStart w:id="1713" w:name="_Toc6185"/>
      <w:bookmarkStart w:id="1714" w:name="_Toc21038"/>
      <w:bookmarkStart w:id="1715" w:name="_Toc11784"/>
      <w:r>
        <w:rPr>
          <w:rFonts w:ascii="楷体_GB2312" w:hAnsi="仿宋" w:eastAsia="楷体_GB2312"/>
          <w:color w:val="000000" w:themeColor="text1"/>
          <w:highlight w:val="none"/>
          <w14:textFill>
            <w14:solidFill>
              <w14:schemeClr w14:val="tx1"/>
            </w14:solidFill>
          </w14:textFill>
        </w:rPr>
        <w:t>6.3</w:t>
      </w:r>
      <w:r>
        <w:rPr>
          <w:rFonts w:hint="eastAsia" w:ascii="楷体_GB2312" w:hAnsi="仿宋" w:eastAsia="楷体_GB2312"/>
          <w:color w:val="000000" w:themeColor="text1"/>
          <w:highlight w:val="none"/>
          <w14:textFill>
            <w14:solidFill>
              <w14:schemeClr w14:val="tx1"/>
            </w14:solidFill>
          </w14:textFill>
        </w:rPr>
        <w:t>预案制定与解释</w:t>
      </w:r>
      <w:bookmarkEnd w:id="1704"/>
      <w:bookmarkEnd w:id="1705"/>
      <w:bookmarkEnd w:id="1706"/>
      <w:bookmarkEnd w:id="1707"/>
      <w:bookmarkEnd w:id="1708"/>
      <w:bookmarkEnd w:id="1709"/>
      <w:bookmarkEnd w:id="1710"/>
      <w:bookmarkEnd w:id="1711"/>
      <w:bookmarkEnd w:id="1712"/>
      <w:bookmarkEnd w:id="1713"/>
      <w:bookmarkEnd w:id="1714"/>
      <w:bookmarkEnd w:id="1715"/>
    </w:p>
    <w:p>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本预案由交通运输厅负责制定、组织实施和解释。</w:t>
      </w:r>
    </w:p>
    <w:p>
      <w:pPr>
        <w:pStyle w:val="6"/>
        <w:keepNext w:val="0"/>
        <w:keepLines/>
        <w:pageBreakBefore w:val="0"/>
        <w:widowControl w:val="0"/>
        <w:kinsoku/>
        <w:wordWrap/>
        <w:overflowPunct/>
        <w:topLinePunct/>
        <w:autoSpaceDE/>
        <w:autoSpaceDN/>
        <w:bidi w:val="0"/>
        <w:adjustRightInd/>
        <w:snapToGrid/>
        <w:spacing w:before="0" w:after="0" w:line="600" w:lineRule="exact"/>
        <w:ind w:firstLine="642" w:firstLineChars="200"/>
        <w:textAlignment w:val="auto"/>
        <w:outlineLvl w:val="2"/>
        <w:rPr>
          <w:rFonts w:ascii="楷体_GB2312" w:hAnsi="仿宋" w:eastAsia="楷体_GB2312"/>
          <w:color w:val="000000" w:themeColor="text1"/>
          <w:highlight w:val="none"/>
          <w14:textFill>
            <w14:solidFill>
              <w14:schemeClr w14:val="tx1"/>
            </w14:solidFill>
          </w14:textFill>
        </w:rPr>
      </w:pPr>
      <w:bookmarkStart w:id="1716" w:name="_Toc2218"/>
      <w:bookmarkStart w:id="1717" w:name="_Toc1763"/>
      <w:bookmarkStart w:id="1718" w:name="_Toc25703"/>
      <w:bookmarkStart w:id="1719" w:name="_Toc16093"/>
      <w:bookmarkStart w:id="1720" w:name="_Toc27229"/>
      <w:bookmarkStart w:id="1721" w:name="_Toc506699928"/>
      <w:bookmarkStart w:id="1722" w:name="_Toc18987"/>
      <w:bookmarkStart w:id="1723" w:name="_Toc24210"/>
      <w:bookmarkStart w:id="1724" w:name="_Toc9723"/>
      <w:bookmarkStart w:id="1725" w:name="_Toc531771782"/>
      <w:bookmarkStart w:id="1726" w:name="_Toc24768"/>
      <w:bookmarkStart w:id="1727" w:name="_Toc11654"/>
      <w:bookmarkStart w:id="1728" w:name="_Toc170914175"/>
      <w:r>
        <w:rPr>
          <w:rFonts w:ascii="楷体_GB2312" w:hAnsi="仿宋" w:eastAsia="楷体_GB2312"/>
          <w:color w:val="000000" w:themeColor="text1"/>
          <w:highlight w:val="none"/>
          <w14:textFill>
            <w14:solidFill>
              <w14:schemeClr w14:val="tx1"/>
            </w14:solidFill>
          </w14:textFill>
        </w:rPr>
        <w:t>6.4</w:t>
      </w:r>
      <w:r>
        <w:rPr>
          <w:rFonts w:hint="eastAsia" w:ascii="楷体_GB2312" w:hAnsi="仿宋" w:eastAsia="楷体_GB2312"/>
          <w:color w:val="000000" w:themeColor="text1"/>
          <w:highlight w:val="none"/>
          <w14:textFill>
            <w14:solidFill>
              <w14:schemeClr w14:val="tx1"/>
            </w14:solidFill>
          </w14:textFill>
        </w:rPr>
        <w:t>预案实施时间</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keepNext w:val="0"/>
        <w:pageBreakBefore w:val="0"/>
        <w:widowControl w:val="0"/>
        <w:kinsoku/>
        <w:wordWrap/>
        <w:overflowPunct/>
        <w:topLinePunct/>
        <w:autoSpaceDE/>
        <w:autoSpaceDN/>
        <w:bidi w:val="0"/>
        <w:adjustRightInd/>
        <w:snapToGrid/>
        <w:spacing w:line="600" w:lineRule="exact"/>
        <w:ind w:firstLine="640" w:firstLineChars="200"/>
        <w:textAlignment w:val="auto"/>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本预案自发布之日起实施。</w:t>
      </w:r>
    </w:p>
    <w:p>
      <w:pPr>
        <w:keepNext w:val="0"/>
        <w:pageBreakBefore w:val="0"/>
        <w:widowControl w:val="0"/>
        <w:kinsoku/>
        <w:topLinePunct/>
        <w:bidi w:val="0"/>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br w:type="page"/>
      </w:r>
    </w:p>
    <w:p>
      <w:pPr>
        <w:keepNext w:val="0"/>
        <w:pageBreakBefore w:val="0"/>
        <w:widowControl w:val="0"/>
        <w:kinsoku/>
        <w:topLinePunct/>
        <w:bidi w:val="0"/>
        <w:jc w:val="left"/>
        <w:outlineLvl w:val="2"/>
        <w:rPr>
          <w:rFonts w:ascii="黑体" w:hAnsi="宋体" w:eastAsia="黑体" w:cs="黑体"/>
          <w:color w:val="000000" w:themeColor="text1"/>
          <w:kern w:val="0"/>
          <w:sz w:val="31"/>
          <w:szCs w:val="31"/>
          <w:highlight w:val="none"/>
          <w14:textFill>
            <w14:solidFill>
              <w14:schemeClr w14:val="tx1"/>
            </w14:solidFill>
          </w14:textFill>
        </w:rPr>
      </w:pPr>
      <w:bookmarkStart w:id="1729" w:name="_Toc7034"/>
      <w:bookmarkStart w:id="1730" w:name="_Toc170914176"/>
      <w:bookmarkStart w:id="1731" w:name="_Toc13971"/>
      <w:bookmarkStart w:id="1732" w:name="_Toc26237"/>
      <w:bookmarkStart w:id="1733" w:name="_Toc24956"/>
      <w:bookmarkStart w:id="1734" w:name="_Toc14078"/>
      <w:bookmarkStart w:id="1735" w:name="_Toc12252"/>
      <w:r>
        <w:rPr>
          <w:rFonts w:ascii="黑体" w:hAnsi="宋体" w:eastAsia="黑体" w:cs="黑体"/>
          <w:color w:val="000000" w:themeColor="text1"/>
          <w:kern w:val="0"/>
          <w:sz w:val="31"/>
          <w:szCs w:val="31"/>
          <w:highlight w:val="none"/>
          <w14:textFill>
            <w14:solidFill>
              <w14:schemeClr w14:val="tx1"/>
            </w14:solidFill>
          </w14:textFill>
        </w:rPr>
        <w:t>附件 1：</w:t>
      </w:r>
      <w:bookmarkEnd w:id="1729"/>
      <w:bookmarkEnd w:id="1730"/>
      <w:bookmarkEnd w:id="1731"/>
      <w:bookmarkEnd w:id="1732"/>
      <w:bookmarkEnd w:id="1733"/>
      <w:bookmarkEnd w:id="1734"/>
      <w:bookmarkEnd w:id="1735"/>
    </w:p>
    <w:p>
      <w:pPr>
        <w:keepNext w:val="0"/>
        <w:pageBreakBefore w:val="0"/>
        <w:widowControl w:val="0"/>
        <w:kinsoku/>
        <w:topLinePunct/>
        <w:bidi w:val="0"/>
        <w:jc w:val="center"/>
        <w:rPr>
          <w:color w:val="000000" w:themeColor="text1"/>
          <w:highlight w:val="none"/>
          <w14:textFill>
            <w14:solidFill>
              <w14:schemeClr w14:val="tx1"/>
            </w14:solidFill>
          </w14:textFill>
        </w:rPr>
      </w:pPr>
      <w:r>
        <w:rPr>
          <w:rFonts w:ascii="方正小标宋_GBK" w:hAnsi="方正小标宋_GBK" w:eastAsia="方正小标宋_GBK" w:cs="方正小标宋_GBK"/>
          <w:b/>
          <w:bCs/>
          <w:color w:val="000000" w:themeColor="text1"/>
          <w:kern w:val="0"/>
          <w:sz w:val="43"/>
          <w:szCs w:val="43"/>
          <w:highlight w:val="none"/>
          <w14:textFill>
            <w14:solidFill>
              <w14:schemeClr w14:val="tx1"/>
            </w14:solidFill>
          </w14:textFill>
        </w:rPr>
        <w:t>厅指挥部成员单位及工作职责</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厅办公室：</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负责厅指挥部公路领域防范低温雨雪冰冻灾害综合协调工作；贯彻和落实厅指挥部有关要求；负责督促落实厅24小时值班制度；负责厅指挥部相关重要文稿起草、审核把关等工作；负责甄别舆情信息，研判舆情风险，提出应对措施，回应社会关切；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厅政策法规处：</w:t>
      </w:r>
      <w:r>
        <w:rPr>
          <w:rFonts w:ascii="仿宋_GB2312" w:hAnsi="宋体" w:eastAsia="仿宋_GB2312" w:cs="仿宋_GB2312"/>
          <w:color w:val="000000" w:themeColor="text1"/>
          <w:kern w:val="0"/>
          <w:sz w:val="31"/>
          <w:szCs w:val="31"/>
          <w:highlight w:val="none"/>
          <w14:textFill>
            <w14:solidFill>
              <w14:schemeClr w14:val="tx1"/>
            </w14:solidFill>
          </w14:textFill>
        </w:rPr>
        <w:t>负责提供低温雨雪冰冻灾害应急处置相关法律法规支持；负责低温雨雪冰冻灾害应急处置中对相关单位进行法律法规方向指导；负责突发事件应急相关规范性文件的合法性审核工作；承办厅指挥部交办的其他事项。</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厅综合规划处：</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负责制定公路设施毁损修复计划；承办厅指挥部交办的其他事项。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厅财务审计处：</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负责防范低温雨雪冰冻灾害资金落实，足额拨付公路设施毁损修复资金；根据上级指令，免征公路突发事件应急运输通行费；承办厅指挥部交办的其他事项。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厅建设管理处：</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指导公路水路工程在建项目的低温雨雪冰冻灾害应急处置工作；指导公路水路基础设施毁损修复工作；承办厅指挥部交办的其他事项。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厅科技处：</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负责组织协调提供有关防范低温雨雪冰冻灾害应急科技信息与技术支持；负责低温雨雪冰冻灾害应急处置过程中网络安全信息保障；负责联络应急科技资源；负责协调指导低温雨雪冰冻灾害应急事件处置过程中的环境保护工作；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厅安全与质量监督管理处（应急办）：</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负责</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按照程序向厅指挥部报告突发事件信息；负责落实厅指挥部指令批示；具体承担防范低温雨雪冰冻灾害的组织协调工作；负责组织厅防范低温雨雪冰冻灾害应急预案的修订、演练与评估；负责信息接收、处理、核实、研判，按规定开展信息报送工作；协调各方应急支援力量参与抢险救灾工作；进行突发事件应对工作记录；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厅公路管理处：</w:t>
      </w:r>
      <w:r>
        <w:rPr>
          <w:rFonts w:ascii="仿宋_GB2312" w:hAnsi="宋体" w:eastAsia="仿宋_GB2312" w:cs="仿宋_GB2312"/>
          <w:color w:val="000000" w:themeColor="text1"/>
          <w:kern w:val="0"/>
          <w:sz w:val="31"/>
          <w:szCs w:val="31"/>
          <w:highlight w:val="none"/>
          <w14:textFill>
            <w14:solidFill>
              <w14:schemeClr w14:val="tx1"/>
            </w14:solidFill>
          </w14:textFill>
        </w:rPr>
        <w:t>负责全</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区</w:t>
      </w:r>
      <w:r>
        <w:rPr>
          <w:rFonts w:ascii="仿宋_GB2312" w:hAnsi="宋体" w:eastAsia="仿宋_GB2312" w:cs="仿宋_GB2312"/>
          <w:color w:val="000000" w:themeColor="text1"/>
          <w:kern w:val="0"/>
          <w:sz w:val="31"/>
          <w:szCs w:val="31"/>
          <w:highlight w:val="none"/>
          <w14:textFill>
            <w14:solidFill>
              <w14:schemeClr w14:val="tx1"/>
            </w14:solidFill>
          </w14:textFill>
        </w:rPr>
        <w:t>高速</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、普通</w:t>
      </w:r>
      <w:r>
        <w:rPr>
          <w:rFonts w:ascii="仿宋_GB2312" w:hAnsi="宋体" w:eastAsia="仿宋_GB2312" w:cs="仿宋_GB2312"/>
          <w:color w:val="000000" w:themeColor="text1"/>
          <w:kern w:val="0"/>
          <w:sz w:val="31"/>
          <w:szCs w:val="31"/>
          <w:highlight w:val="none"/>
          <w14:textFill>
            <w14:solidFill>
              <w14:schemeClr w14:val="tx1"/>
            </w14:solidFill>
          </w14:textFill>
        </w:rPr>
        <w:t>公路低温雨雪冰冻灾害应急工作；督导全</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区</w:t>
      </w:r>
      <w:r>
        <w:rPr>
          <w:rFonts w:ascii="仿宋_GB2312" w:hAnsi="宋体" w:eastAsia="仿宋_GB2312" w:cs="仿宋_GB2312"/>
          <w:color w:val="000000" w:themeColor="text1"/>
          <w:kern w:val="0"/>
          <w:sz w:val="31"/>
          <w:szCs w:val="31"/>
          <w:highlight w:val="none"/>
          <w14:textFill>
            <w14:solidFill>
              <w14:schemeClr w14:val="tx1"/>
            </w14:solidFill>
          </w14:textFill>
        </w:rPr>
        <w:t>高速</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、普通</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公路路网运行监测和出行信息服务；督导高速公路经营单位完善应急预案，组建抢险救援队伍，落实防范低温雨雪冰冻灾害机械、物资储备，按要求进行抢险救灾；承办厅指挥部交办的其他事项。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厅运输和海事管理处：</w:t>
      </w:r>
      <w:r>
        <w:rPr>
          <w:rFonts w:ascii="仿宋_GB2312" w:hAnsi="宋体" w:eastAsia="仿宋_GB2312" w:cs="仿宋_GB2312"/>
          <w:color w:val="000000" w:themeColor="text1"/>
          <w:kern w:val="0"/>
          <w:sz w:val="31"/>
          <w:szCs w:val="31"/>
          <w:highlight w:val="none"/>
          <w14:textFill>
            <w14:solidFill>
              <w14:schemeClr w14:val="tx1"/>
            </w14:solidFill>
          </w14:textFill>
        </w:rPr>
        <w:t>负责协调指导全</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区</w:t>
      </w:r>
      <w:r>
        <w:rPr>
          <w:rFonts w:ascii="仿宋_GB2312" w:hAnsi="宋体" w:eastAsia="仿宋_GB2312" w:cs="仿宋_GB2312"/>
          <w:color w:val="000000" w:themeColor="text1"/>
          <w:kern w:val="0"/>
          <w:sz w:val="31"/>
          <w:szCs w:val="31"/>
          <w:highlight w:val="none"/>
          <w14:textFill>
            <w14:solidFill>
              <w14:schemeClr w14:val="tx1"/>
            </w14:solidFill>
          </w14:textFill>
        </w:rPr>
        <w:t>道路客运、货运及客货运站场低温雨雪冰冻灾害应急处置工作；指导各市</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、县</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交通运输主管部门建立应急运输队伍，协调督促抢险救灾重点物资运输和紧急客货运输；承办厅指挥部交办的其他事项。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rFonts w:ascii="仿宋_GB2312" w:hAnsi="宋体" w:eastAsia="仿宋_GB2312" w:cs="仿宋_GB2312"/>
          <w:color w:val="000000" w:themeColor="text1"/>
          <w:kern w:val="0"/>
          <w:sz w:val="31"/>
          <w:szCs w:val="3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厅机关党委：</w:t>
      </w:r>
      <w:r>
        <w:rPr>
          <w:rFonts w:ascii="仿宋_GB2312" w:hAnsi="宋体" w:eastAsia="仿宋_GB2312" w:cs="仿宋_GB2312"/>
          <w:color w:val="000000" w:themeColor="text1"/>
          <w:kern w:val="0"/>
          <w:sz w:val="31"/>
          <w:szCs w:val="31"/>
          <w:highlight w:val="none"/>
          <w14:textFill>
            <w14:solidFill>
              <w14:schemeClr w14:val="tx1"/>
            </w14:solidFill>
          </w14:textFill>
        </w:rPr>
        <w:t>指导厅属各单位强化党建引领，在应急处置中发挥党组织的战斗堡垒和党员的先锋模范作用；配合参与突发事件应急处置工作现场职工权益保障；配合参与厅机关因工伤亡事故和其他严重危害职工健康问题的调查处理；配合参与厅机关伤亡职工家属的慰问、抚恤工作；对在应急处置工作中表现突出的集体和个人，依据有关规定提出给予表彰和奖励的建议。</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厅交通战备处：</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负责组织协调应对公路领域低温雨雪冰冻灾害条件下的交通战备事宜。</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rFonts w:ascii="仿宋_GB2312" w:hAnsi="宋体" w:eastAsia="仿宋_GB2312" w:cs="仿宋_GB2312"/>
          <w:color w:val="000000" w:themeColor="text1"/>
          <w:kern w:val="0"/>
          <w:sz w:val="31"/>
          <w:szCs w:val="3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自治区交通宣传事务中心：</w:t>
      </w:r>
      <w:r>
        <w:rPr>
          <w:rFonts w:ascii="仿宋_GB2312" w:hAnsi="宋体" w:eastAsia="仿宋_GB2312" w:cs="仿宋_GB2312"/>
          <w:color w:val="000000" w:themeColor="text1"/>
          <w:kern w:val="0"/>
          <w:sz w:val="31"/>
          <w:szCs w:val="31"/>
          <w:highlight w:val="none"/>
          <w14:textFill>
            <w14:solidFill>
              <w14:schemeClr w14:val="tx1"/>
            </w14:solidFill>
          </w14:textFill>
        </w:rPr>
        <w:t>负责组织协调应急处置的宣传报道</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工作，配合</w:t>
      </w:r>
      <w:r>
        <w:rPr>
          <w:rFonts w:hint="eastAsia" w:ascii="仿宋_GB2312" w:hAnsi="宋体" w:eastAsia="仿宋_GB2312" w:cs="仿宋_GB2312"/>
          <w:color w:val="000000" w:themeColor="text1"/>
          <w:kern w:val="0"/>
          <w:sz w:val="31"/>
          <w:szCs w:val="31"/>
          <w:highlight w:val="none"/>
          <w:lang w:eastAsia="zh-CN"/>
          <w14:textFill>
            <w14:solidFill>
              <w14:schemeClr w14:val="tx1"/>
            </w14:solidFill>
          </w14:textFill>
        </w:rPr>
        <w:t>厅</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办公室开展</w:t>
      </w:r>
      <w:r>
        <w:rPr>
          <w:rFonts w:ascii="仿宋_GB2312" w:hAnsi="宋体" w:eastAsia="仿宋_GB2312" w:cs="仿宋_GB2312"/>
          <w:color w:val="000000" w:themeColor="text1"/>
          <w:kern w:val="0"/>
          <w:sz w:val="31"/>
          <w:szCs w:val="31"/>
          <w:highlight w:val="none"/>
          <w14:textFill>
            <w14:solidFill>
              <w14:schemeClr w14:val="tx1"/>
            </w14:solidFill>
          </w14:textFill>
        </w:rPr>
        <w:t>舆情收集</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和处置</w:t>
      </w:r>
      <w:r>
        <w:rPr>
          <w:rFonts w:ascii="仿宋_GB2312" w:hAnsi="宋体" w:eastAsia="仿宋_GB2312" w:cs="仿宋_GB2312"/>
          <w:color w:val="000000" w:themeColor="text1"/>
          <w:kern w:val="0"/>
          <w:sz w:val="31"/>
          <w:szCs w:val="31"/>
          <w:highlight w:val="none"/>
          <w14:textFill>
            <w14:solidFill>
              <w14:schemeClr w14:val="tx1"/>
            </w14:solidFill>
          </w14:textFill>
        </w:rPr>
        <w:t>工作；承担各级媒体采访对接工作，协助厅指挥部开展应急处置信息发布工作。</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宁夏交通投资集团有限公司：</w:t>
      </w:r>
      <w:r>
        <w:rPr>
          <w:rFonts w:ascii="仿宋_GB2312" w:hAnsi="宋体" w:eastAsia="仿宋_GB2312" w:cs="仿宋_GB2312"/>
          <w:color w:val="000000" w:themeColor="text1"/>
          <w:kern w:val="0"/>
          <w:sz w:val="31"/>
          <w:szCs w:val="31"/>
          <w:highlight w:val="none"/>
          <w14:textFill>
            <w14:solidFill>
              <w14:schemeClr w14:val="tx1"/>
            </w14:solidFill>
          </w14:textFill>
        </w:rPr>
        <w:t>承担全</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区高速公路</w:t>
      </w:r>
      <w:r>
        <w:rPr>
          <w:rFonts w:ascii="仿宋_GB2312" w:hAnsi="宋体" w:eastAsia="仿宋_GB2312" w:cs="仿宋_GB2312"/>
          <w:color w:val="000000" w:themeColor="text1"/>
          <w:kern w:val="0"/>
          <w:sz w:val="31"/>
          <w:szCs w:val="31"/>
          <w:highlight w:val="none"/>
          <w14:textFill>
            <w14:solidFill>
              <w14:schemeClr w14:val="tx1"/>
            </w14:solidFill>
          </w14:textFill>
        </w:rPr>
        <w:t>低温雨雪冰冻灾害应急工作，组织协调公路抢修保通等工作，负责组织抢修损毁公路交通基础设施；组织实施公路应急处置工作，督促指导</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高速公路运营管养单位</w:t>
      </w:r>
      <w:r>
        <w:rPr>
          <w:rFonts w:ascii="仿宋_GB2312" w:hAnsi="宋体" w:eastAsia="仿宋_GB2312" w:cs="仿宋_GB2312"/>
          <w:color w:val="000000" w:themeColor="text1"/>
          <w:kern w:val="0"/>
          <w:sz w:val="31"/>
          <w:szCs w:val="31"/>
          <w:highlight w:val="none"/>
          <w14:textFill>
            <w14:solidFill>
              <w14:schemeClr w14:val="tx1"/>
            </w14:solidFill>
          </w14:textFill>
        </w:rPr>
        <w:t>建立健全公路抢险救援队伍，落实防范低温雨雪冰冻灾害物资储备，完善防范低温雨雪冰冻灾害应急预案，加强公路及其附属设施的维修养护，组织</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本级</w:t>
      </w:r>
      <w:r>
        <w:rPr>
          <w:rFonts w:ascii="仿宋_GB2312" w:hAnsi="宋体" w:eastAsia="仿宋_GB2312" w:cs="仿宋_GB2312"/>
          <w:color w:val="000000" w:themeColor="text1"/>
          <w:kern w:val="0"/>
          <w:sz w:val="31"/>
          <w:szCs w:val="31"/>
          <w:highlight w:val="none"/>
          <w14:textFill>
            <w14:solidFill>
              <w14:schemeClr w14:val="tx1"/>
            </w14:solidFill>
          </w14:textFill>
        </w:rPr>
        <w:t>抢险救援队伍的组建；组织对易受低温雨雪冰冻灾害影响部位的隐患排查和预防性整治；负责</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本级</w:t>
      </w:r>
      <w:r>
        <w:rPr>
          <w:rFonts w:ascii="仿宋_GB2312" w:hAnsi="宋体" w:eastAsia="仿宋_GB2312" w:cs="仿宋_GB2312"/>
          <w:color w:val="000000" w:themeColor="text1"/>
          <w:kern w:val="0"/>
          <w:sz w:val="31"/>
          <w:szCs w:val="31"/>
          <w:highlight w:val="none"/>
          <w14:textFill>
            <w14:solidFill>
              <w14:schemeClr w14:val="tx1"/>
            </w14:solidFill>
          </w14:textFill>
        </w:rPr>
        <w:t>公路抢险救援装备、物资、器材、设备的更新、维护和管养，根据上级要求及时调动设施设备进行抢险救灾；承办厅指挥部交办的其他事项。</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宁夏公路管理中心：</w:t>
      </w:r>
      <w:r>
        <w:rPr>
          <w:rFonts w:ascii="仿宋_GB2312" w:hAnsi="宋体" w:eastAsia="仿宋_GB2312" w:cs="仿宋_GB2312"/>
          <w:color w:val="000000" w:themeColor="text1"/>
          <w:kern w:val="0"/>
          <w:sz w:val="31"/>
          <w:szCs w:val="31"/>
          <w:highlight w:val="none"/>
          <w14:textFill>
            <w14:solidFill>
              <w14:schemeClr w14:val="tx1"/>
            </w14:solidFill>
          </w14:textFill>
        </w:rPr>
        <w:t>承担全</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区</w:t>
      </w:r>
      <w:r>
        <w:rPr>
          <w:rFonts w:ascii="仿宋_GB2312" w:hAnsi="宋体" w:eastAsia="仿宋_GB2312" w:cs="仿宋_GB2312"/>
          <w:color w:val="000000" w:themeColor="text1"/>
          <w:kern w:val="0"/>
          <w:sz w:val="31"/>
          <w:szCs w:val="31"/>
          <w:highlight w:val="none"/>
          <w14:textFill>
            <w14:solidFill>
              <w14:schemeClr w14:val="tx1"/>
            </w14:solidFill>
          </w14:textFill>
        </w:rPr>
        <w:t>普通</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国省干线公路</w:t>
      </w:r>
      <w:r>
        <w:rPr>
          <w:rFonts w:ascii="仿宋_GB2312" w:hAnsi="宋体" w:eastAsia="仿宋_GB2312" w:cs="仿宋_GB2312"/>
          <w:color w:val="000000" w:themeColor="text1"/>
          <w:kern w:val="0"/>
          <w:sz w:val="31"/>
          <w:szCs w:val="31"/>
          <w:highlight w:val="none"/>
          <w14:textFill>
            <w14:solidFill>
              <w14:schemeClr w14:val="tx1"/>
            </w14:solidFill>
          </w14:textFill>
        </w:rPr>
        <w:t>低温雨雪冰冻灾害应急工作，组织协调公路抢修保通等工作，负责组织抢修损毁公路交通基础设施；组织实施公路应急处置工作，督促指导各市</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、县</w:t>
      </w:r>
      <w:r>
        <w:rPr>
          <w:rFonts w:ascii="仿宋_GB2312" w:hAnsi="宋体" w:eastAsia="仿宋_GB2312" w:cs="仿宋_GB2312"/>
          <w:color w:val="000000" w:themeColor="text1"/>
          <w:kern w:val="0"/>
          <w:sz w:val="31"/>
          <w:szCs w:val="31"/>
          <w:highlight w:val="none"/>
          <w14:textFill>
            <w14:solidFill>
              <w14:schemeClr w14:val="tx1"/>
            </w14:solidFill>
          </w14:textFill>
        </w:rPr>
        <w:t>公路管理部门建立健全公路抢险救援队伍，落实防范低温雨雪冰冻灾害物资储备，完善防范低温雨雪冰冻灾害应急预案，加强公路及其附属设施的维修养护，组织</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本级</w:t>
      </w:r>
      <w:r>
        <w:rPr>
          <w:rFonts w:ascii="仿宋_GB2312" w:hAnsi="宋体" w:eastAsia="仿宋_GB2312" w:cs="仿宋_GB2312"/>
          <w:color w:val="000000" w:themeColor="text1"/>
          <w:kern w:val="0"/>
          <w:sz w:val="31"/>
          <w:szCs w:val="31"/>
          <w:highlight w:val="none"/>
          <w14:textFill>
            <w14:solidFill>
              <w14:schemeClr w14:val="tx1"/>
            </w14:solidFill>
          </w14:textFill>
        </w:rPr>
        <w:t>抢险救援队伍的组建；组织对易受低温雨雪冰冻灾害影响部位的隐患排查和预防性整治；负责</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本级</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公路抢险救援装备、物资、器材、设备的更新、维护和管养，根据上级要求及时调动设施设备进行抢险救灾；承办厅指挥部交办的其他事项。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自治区道路运输事务中心：</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承担全省道路运输防范低温雨雪冰冻灾害应急保障事务性工作；配合开展应急运输保障队伍建设及应急客货运输车辆、驾驶员等应急力量储备相关工作；负责协调突发事件道路运输应急运力；配合转移、疏散或撤离易受突发事件危害的人员；督促公路水路重点工程项目建设单位完善应急预案和现场处置方案，储备应急物资，强化应急演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ascii="仿宋_GB2312" w:hAnsi="宋体" w:eastAsia="仿宋_GB2312" w:cs="仿宋_GB2312"/>
          <w:color w:val="000000" w:themeColor="text1"/>
          <w:kern w:val="0"/>
          <w:sz w:val="31"/>
          <w:szCs w:val="31"/>
          <w:highlight w:val="none"/>
          <w14:textFill>
            <w14:solidFill>
              <w14:schemeClr w14:val="tx1"/>
            </w14:solidFill>
          </w14:textFill>
        </w:rPr>
        <w:t xml:space="preserve">练；负责开展突发事件预警和应急处置期间公路水路重点工程建设项目安全生产监督检查工作；配合开展公路水路工程建设项目的低温雨雪冰冻灾害应急工作；配合开展公路水路工程建设项目安全生产监督检查和信息上报工作；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自治区交通运输综合执法监督局：</w:t>
      </w:r>
      <w:r>
        <w:rPr>
          <w:rFonts w:ascii="仿宋_GB2312" w:hAnsi="宋体" w:eastAsia="仿宋_GB2312" w:cs="仿宋_GB2312"/>
          <w:color w:val="000000" w:themeColor="text1"/>
          <w:kern w:val="0"/>
          <w:sz w:val="31"/>
          <w:szCs w:val="31"/>
          <w:highlight w:val="none"/>
          <w14:textFill>
            <w14:solidFill>
              <w14:schemeClr w14:val="tx1"/>
            </w14:solidFill>
          </w14:textFill>
        </w:rPr>
        <w:t>提前分析研判低温雨雪冰冻灾害形势，视情连线各地交通运输综合执法</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监督</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机构了解现场情况，提出应急处置措施建议；及时收集、分析、基层执法部门突发事件信息、路况信息和应急处置工作情况；督促相关经营单位应急队伍、装备、物资、专家赶赴现场开展应急处置工作；参与交通管制的组织协调工作，协助维护受灾路段现场交通秩序，开展安全监管工作；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路网监测与应急处置中心：</w:t>
      </w:r>
      <w:r>
        <w:rPr>
          <w:rFonts w:ascii="仿宋_GB2312" w:hAnsi="宋体" w:eastAsia="仿宋_GB2312" w:cs="仿宋_GB2312"/>
          <w:color w:val="000000" w:themeColor="text1"/>
          <w:kern w:val="0"/>
          <w:sz w:val="31"/>
          <w:szCs w:val="31"/>
          <w:highlight w:val="none"/>
          <w14:textFill>
            <w14:solidFill>
              <w14:schemeClr w14:val="tx1"/>
            </w14:solidFill>
          </w14:textFill>
        </w:rPr>
        <w:t>负责为突发事件应急处置工作现场提供应急指挥、通信保障等技术支撑工作；负责公路路网运行监测、调度、数据分析工作，做好 12</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328</w:t>
      </w:r>
      <w:r>
        <w:rPr>
          <w:rFonts w:ascii="仿宋_GB2312" w:hAnsi="宋体" w:eastAsia="仿宋_GB2312" w:cs="仿宋_GB2312"/>
          <w:color w:val="000000" w:themeColor="text1"/>
          <w:kern w:val="0"/>
          <w:sz w:val="31"/>
          <w:szCs w:val="31"/>
          <w:highlight w:val="none"/>
          <w14:textFill>
            <w14:solidFill>
              <w14:schemeClr w14:val="tx1"/>
            </w14:solidFill>
          </w14:textFill>
        </w:rPr>
        <w:t xml:space="preserve"> 投诉咨询服务工作；承办厅指挥部交办的其他事项。 </w:t>
      </w:r>
    </w:p>
    <w:p>
      <w:pPr>
        <w:keepNext w:val="0"/>
        <w:keepLines w:val="0"/>
        <w:pageBreakBefore w:val="0"/>
        <w:widowControl w:val="0"/>
        <w:kinsoku/>
        <w:wordWrap/>
        <w:overflowPunct/>
        <w:topLinePunct/>
        <w:autoSpaceDE/>
        <w:autoSpaceDN/>
        <w:bidi w:val="0"/>
        <w:adjustRightInd/>
        <w:snapToGrid/>
        <w:spacing w:line="600" w:lineRule="exact"/>
        <w:ind w:firstLine="620" w:firstLineChars="200"/>
        <w:jc w:val="both"/>
        <w:textAlignment w:val="auto"/>
        <w:rPr>
          <w:rFonts w:ascii="仿宋_GB2312" w:hAnsi="宋体" w:eastAsia="仿宋_GB2312" w:cs="仿宋_GB2312"/>
          <w:color w:val="000000" w:themeColor="text1"/>
          <w:kern w:val="0"/>
          <w:sz w:val="31"/>
          <w:szCs w:val="31"/>
          <w:highlight w:val="none"/>
          <w14:textFill>
            <w14:solidFill>
              <w14:schemeClr w14:val="tx1"/>
            </w14:solidFill>
          </w14:textFill>
        </w:rPr>
      </w:pPr>
      <w:r>
        <w:rPr>
          <w:rFonts w:hint="eastAsia" w:ascii="黑体" w:hAnsi="宋体" w:eastAsia="黑体" w:cs="黑体"/>
          <w:color w:val="000000" w:themeColor="text1"/>
          <w:kern w:val="0"/>
          <w:sz w:val="31"/>
          <w:szCs w:val="31"/>
          <w:highlight w:val="none"/>
          <w14:textFill>
            <w14:solidFill>
              <w14:schemeClr w14:val="tx1"/>
            </w14:solidFill>
          </w14:textFill>
        </w:rPr>
        <w:t>自治区联网收费清分结算中心：</w:t>
      </w:r>
      <w:r>
        <w:rPr>
          <w:rFonts w:ascii="仿宋_GB2312" w:hAnsi="宋体" w:eastAsia="仿宋_GB2312" w:cs="仿宋_GB2312"/>
          <w:color w:val="000000" w:themeColor="text1"/>
          <w:kern w:val="0"/>
          <w:sz w:val="31"/>
          <w:szCs w:val="31"/>
          <w:highlight w:val="none"/>
          <w14:textFill>
            <w14:solidFill>
              <w14:schemeClr w14:val="tx1"/>
            </w14:solidFill>
          </w14:textFill>
        </w:rPr>
        <w:t>负责</w:t>
      </w:r>
      <w:r>
        <w:rPr>
          <w:rFonts w:hint="eastAsia" w:ascii="仿宋_GB2312" w:hAnsi="宋体" w:eastAsia="仿宋_GB2312" w:cs="仿宋_GB2312"/>
          <w:color w:val="000000" w:themeColor="text1"/>
          <w:kern w:val="0"/>
          <w:sz w:val="31"/>
          <w:szCs w:val="31"/>
          <w:highlight w:val="none"/>
          <w14:textFill>
            <w14:solidFill>
              <w14:schemeClr w14:val="tx1"/>
            </w14:solidFill>
          </w14:textFill>
        </w:rPr>
        <w:t>全区</w:t>
      </w:r>
      <w:r>
        <w:rPr>
          <w:rFonts w:ascii="仿宋_GB2312" w:hAnsi="宋体" w:eastAsia="仿宋_GB2312" w:cs="仿宋_GB2312"/>
          <w:color w:val="000000" w:themeColor="text1"/>
          <w:kern w:val="0"/>
          <w:sz w:val="31"/>
          <w:szCs w:val="31"/>
          <w:highlight w:val="none"/>
          <w14:textFill>
            <w14:solidFill>
              <w14:schemeClr w14:val="tx1"/>
            </w14:solidFill>
          </w14:textFill>
        </w:rPr>
        <w:t>高速公路路网流量监测，开展高速公路车辆通行数据分析；负责开通应急救援 “绿色通道”，确保应急指挥、抢险救援、物资运输车辆高效通行；做好高速公路 12122 投诉咨询服务工作；承办厅指挥部交办的其他事项。</w:t>
      </w:r>
    </w:p>
    <w:p>
      <w:pPr>
        <w:rPr>
          <w:rFonts w:ascii="仿宋_GB2312" w:hAnsi="宋体" w:eastAsia="仿宋_GB2312" w:cs="仿宋_GB2312"/>
          <w:color w:val="000000" w:themeColor="text1"/>
          <w:kern w:val="0"/>
          <w:sz w:val="31"/>
          <w:szCs w:val="31"/>
          <w:highlight w:val="none"/>
          <w14:textFill>
            <w14:solidFill>
              <w14:schemeClr w14:val="tx1"/>
            </w14:solidFill>
          </w14:textFill>
        </w:rPr>
      </w:pPr>
      <w:r>
        <w:rPr>
          <w:rFonts w:ascii="仿宋_GB2312" w:hAnsi="宋体" w:eastAsia="仿宋_GB2312" w:cs="仿宋_GB2312"/>
          <w:color w:val="000000" w:themeColor="text1"/>
          <w:kern w:val="0"/>
          <w:sz w:val="31"/>
          <w:szCs w:val="31"/>
          <w:highlight w:val="none"/>
          <w14:textFill>
            <w14:solidFill>
              <w14:schemeClr w14:val="tx1"/>
            </w14:solidFill>
          </w14:textFill>
        </w:rPr>
        <w:br w:type="page"/>
      </w:r>
    </w:p>
    <w:p>
      <w:pPr>
        <w:keepNext w:val="0"/>
        <w:pageBreakBefore w:val="0"/>
        <w:widowControl w:val="0"/>
        <w:kinsoku/>
        <w:topLinePunct/>
        <w:bidi w:val="0"/>
        <w:jc w:val="left"/>
        <w:outlineLvl w:val="2"/>
        <w:rPr>
          <w:rFonts w:ascii="黑体" w:hAnsi="宋体" w:eastAsia="黑体" w:cs="黑体"/>
          <w:color w:val="000000" w:themeColor="text1"/>
          <w:kern w:val="0"/>
          <w:sz w:val="31"/>
          <w:szCs w:val="31"/>
          <w:highlight w:val="none"/>
          <w14:textFill>
            <w14:solidFill>
              <w14:schemeClr w14:val="tx1"/>
            </w14:solidFill>
          </w14:textFill>
        </w:rPr>
      </w:pPr>
      <w:bookmarkStart w:id="1736" w:name="_Toc3439"/>
      <w:bookmarkStart w:id="1737" w:name="_Toc23510"/>
      <w:bookmarkStart w:id="1738" w:name="_Toc4774"/>
      <w:bookmarkStart w:id="1739" w:name="_Toc170914177"/>
      <w:bookmarkStart w:id="1740" w:name="_Toc22162"/>
      <w:bookmarkStart w:id="1741" w:name="_Toc25280"/>
      <w:bookmarkStart w:id="1742" w:name="_Toc16314"/>
      <w:bookmarkStart w:id="1743" w:name="_Toc14587"/>
      <w:bookmarkStart w:id="1744" w:name="_Toc27429"/>
      <w:r>
        <w:rPr>
          <w:rFonts w:ascii="黑体" w:hAnsi="宋体" w:eastAsia="黑体" w:cs="黑体"/>
          <w:color w:val="000000" w:themeColor="text1"/>
          <w:kern w:val="0"/>
          <w:sz w:val="31"/>
          <w:szCs w:val="31"/>
          <w:highlight w:val="none"/>
          <w14:textFill>
            <w14:solidFill>
              <w14:schemeClr w14:val="tx1"/>
            </w14:solidFill>
          </w14:textFill>
        </w:rPr>
        <w:t>附件 2：</w:t>
      </w:r>
      <w:bookmarkEnd w:id="1736"/>
      <w:bookmarkEnd w:id="1737"/>
      <w:bookmarkEnd w:id="1738"/>
      <w:bookmarkEnd w:id="1739"/>
      <w:bookmarkEnd w:id="1740"/>
      <w:bookmarkEnd w:id="1741"/>
      <w:bookmarkEnd w:id="1742"/>
      <w:bookmarkEnd w:id="1743"/>
      <w:bookmarkEnd w:id="1744"/>
    </w:p>
    <w:p>
      <w:pPr>
        <w:keepNext w:val="0"/>
        <w:pageBreakBefore w:val="0"/>
        <w:widowControl w:val="0"/>
        <w:kinsoku/>
        <w:topLinePunct/>
        <w:bidi w:val="0"/>
        <w:jc w:val="center"/>
        <w:rPr>
          <w:color w:val="000000" w:themeColor="text1"/>
          <w:highlight w:val="none"/>
          <w14:textFill>
            <w14:solidFill>
              <w14:schemeClr w14:val="tx1"/>
            </w14:solidFill>
          </w14:textFill>
        </w:rPr>
      </w:pPr>
      <w:r>
        <w:rPr>
          <w:rFonts w:ascii="方正小标宋_GBK" w:hAnsi="方正小标宋_GBK" w:eastAsia="方正小标宋_GBK" w:cs="方正小标宋_GBK"/>
          <w:b/>
          <w:bCs/>
          <w:color w:val="000000" w:themeColor="text1"/>
          <w:kern w:val="0"/>
          <w:sz w:val="43"/>
          <w:szCs w:val="43"/>
          <w:highlight w:val="none"/>
          <w14:textFill>
            <w14:solidFill>
              <w14:schemeClr w14:val="tx1"/>
            </w14:solidFill>
          </w14:textFill>
        </w:rPr>
        <w:t>厅指挥部应急处置工作组组成及职责</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45" w:name="_Toc21385"/>
      <w:bookmarkStart w:id="1746" w:name="_Toc2713"/>
      <w:bookmarkStart w:id="1747" w:name="_Toc24828"/>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一、</w:t>
      </w:r>
      <w:r>
        <w:rPr>
          <w:rFonts w:hint="eastAsia" w:ascii="黑体" w:hAnsi="黑体" w:eastAsia="黑体" w:cs="黑体"/>
          <w:color w:val="000000" w:themeColor="text1"/>
          <w:sz w:val="32"/>
          <w:szCs w:val="32"/>
          <w:highlight w:val="none"/>
          <w14:textFill>
            <w14:solidFill>
              <w14:schemeClr w14:val="tx1"/>
            </w14:solidFill>
          </w14:textFill>
        </w:rPr>
        <w:t>综合协调组</w:t>
      </w:r>
      <w:bookmarkEnd w:id="1745"/>
      <w:bookmarkEnd w:id="1746"/>
      <w:bookmarkEnd w:id="1747"/>
    </w:p>
    <w:p>
      <w:pPr>
        <w:keepNext w:val="0"/>
        <w:keepLines w:val="0"/>
        <w:pageBreakBefore w:val="0"/>
        <w:widowControl w:val="0"/>
        <w:numPr>
          <w:ilvl w:val="255"/>
          <w:numId w:val="0"/>
        </w:numPr>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厅办公室主任任组长，成员由厅办公室、厅安全与质量监督管理处组成。主要职责为负责起草厅指挥部工作会议纪要、明传电报、重要报告、综合类文件；根据厅指挥部的要求，统一向自治区人民政府、交通运输部和相关部门报送应急工作文件；协助厅指挥部落实党中央和国务院领导同志以及交通运输部、自治区领导的有关要求；承办厅指挥部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48" w:name="_Toc6862"/>
      <w:bookmarkStart w:id="1749" w:name="_Toc25535"/>
      <w:bookmarkStart w:id="1750" w:name="_Toc30132"/>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二、</w:t>
      </w:r>
      <w:r>
        <w:rPr>
          <w:rFonts w:hint="eastAsia" w:ascii="黑体" w:hAnsi="黑体" w:eastAsia="黑体" w:cs="黑体"/>
          <w:color w:val="000000" w:themeColor="text1"/>
          <w:sz w:val="32"/>
          <w:szCs w:val="32"/>
          <w:highlight w:val="none"/>
          <w14:textFill>
            <w14:solidFill>
              <w14:schemeClr w14:val="tx1"/>
            </w14:solidFill>
          </w14:textFill>
        </w:rPr>
        <w:t>公路畅通保障组</w:t>
      </w:r>
      <w:bookmarkEnd w:id="1748"/>
      <w:bookmarkEnd w:id="1749"/>
      <w:bookmarkEnd w:id="1750"/>
    </w:p>
    <w:p>
      <w:pPr>
        <w:keepNext w:val="0"/>
        <w:keepLines w:val="0"/>
        <w:pageBreakBefore w:val="0"/>
        <w:widowControl w:val="0"/>
        <w:numPr>
          <w:ilvl w:val="255"/>
          <w:numId w:val="0"/>
        </w:numPr>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厅公路管理处处长任组长，厅机关相关处和厅属事业单位、高速公路运营管理单位人员组成。主要职责为负责组织公路抢修及保通工作，根据需要组织、协调区内和跨区应急队伍调度和应急机械及物资调配；拟定跨区公路绕行方案并组织实施；负责协调社会力量参与公路抢通工作；承办厅指挥部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51" w:name="_Toc7437"/>
      <w:bookmarkStart w:id="1752" w:name="_Toc27713"/>
      <w:bookmarkStart w:id="1753" w:name="_Toc31455"/>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三、</w:t>
      </w:r>
      <w:r>
        <w:rPr>
          <w:rFonts w:hint="eastAsia" w:ascii="黑体" w:hAnsi="黑体" w:eastAsia="黑体" w:cs="黑体"/>
          <w:color w:val="000000" w:themeColor="text1"/>
          <w:sz w:val="32"/>
          <w:szCs w:val="32"/>
          <w:highlight w:val="none"/>
          <w14:textFill>
            <w14:solidFill>
              <w14:schemeClr w14:val="tx1"/>
            </w14:solidFill>
          </w14:textFill>
        </w:rPr>
        <w:t>交通运输保障组</w:t>
      </w:r>
      <w:bookmarkEnd w:id="1751"/>
      <w:bookmarkEnd w:id="1752"/>
      <w:bookmarkEnd w:id="1753"/>
    </w:p>
    <w:p>
      <w:pPr>
        <w:keepNext w:val="0"/>
        <w:keepLines w:val="0"/>
        <w:pageBreakBefore w:val="0"/>
        <w:widowControl w:val="0"/>
        <w:numPr>
          <w:ilvl w:val="255"/>
          <w:numId w:val="0"/>
        </w:numPr>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由厅运输和海事管理处处长任组长，由厅机关相关处和厅属事业单位、高速公路运营管理单位人员任成员。主要职责为负责</w:t>
      </w:r>
      <w:r>
        <w:rPr>
          <w:rFonts w:ascii="仿宋_GB2312" w:hAnsi="仿宋" w:eastAsia="仿宋_GB2312"/>
          <w:color w:val="000000" w:themeColor="text1"/>
          <w:sz w:val="32"/>
          <w:szCs w:val="32"/>
          <w:highlight w:val="none"/>
          <w14:textFill>
            <w14:solidFill>
              <w14:schemeClr w14:val="tx1"/>
            </w14:solidFill>
          </w14:textFill>
        </w:rPr>
        <w:t>保障</w:t>
      </w:r>
      <w:r>
        <w:rPr>
          <w:rFonts w:hint="eastAsia" w:ascii="仿宋_GB2312" w:hAnsi="仿宋" w:eastAsia="仿宋_GB2312"/>
          <w:color w:val="000000" w:themeColor="text1"/>
          <w:sz w:val="32"/>
          <w:szCs w:val="32"/>
          <w:highlight w:val="none"/>
          <w14:textFill>
            <w14:solidFill>
              <w14:schemeClr w14:val="tx1"/>
            </w14:solidFill>
          </w14:textFill>
        </w:rPr>
        <w:t>因</w:t>
      </w:r>
      <w:r>
        <w:rPr>
          <w:rFonts w:ascii="仿宋_GB2312" w:hAnsi="仿宋" w:eastAsia="仿宋_GB2312"/>
          <w:color w:val="000000" w:themeColor="text1"/>
          <w:sz w:val="32"/>
          <w:szCs w:val="32"/>
          <w:highlight w:val="none"/>
          <w14:textFill>
            <w14:solidFill>
              <w14:schemeClr w14:val="tx1"/>
            </w14:solidFill>
          </w14:textFill>
        </w:rPr>
        <w:t>突发事件或紧急情况急需调用的大</w:t>
      </w:r>
      <w:r>
        <w:rPr>
          <w:rFonts w:hint="eastAsia" w:ascii="仿宋_GB2312" w:hAnsi="仿宋" w:eastAsia="仿宋_GB2312"/>
          <w:color w:val="000000" w:themeColor="text1"/>
          <w:sz w:val="32"/>
          <w:szCs w:val="32"/>
          <w:highlight w:val="none"/>
          <w14:textFill>
            <w14:solidFill>
              <w14:schemeClr w14:val="tx1"/>
            </w14:solidFill>
          </w14:textFill>
        </w:rPr>
        <w:t>宗物资所需的车辆运输力量；在</w:t>
      </w:r>
      <w:r>
        <w:rPr>
          <w:rFonts w:ascii="仿宋_GB2312" w:hAnsi="仿宋" w:eastAsia="仿宋_GB2312"/>
          <w:color w:val="000000" w:themeColor="text1"/>
          <w:sz w:val="32"/>
          <w:szCs w:val="32"/>
          <w:highlight w:val="none"/>
          <w14:textFill>
            <w14:solidFill>
              <w14:schemeClr w14:val="tx1"/>
            </w14:solidFill>
          </w14:textFill>
        </w:rPr>
        <w:t>有关部门</w:t>
      </w:r>
      <w:r>
        <w:rPr>
          <w:rFonts w:hint="eastAsia" w:ascii="仿宋_GB2312" w:hAnsi="仿宋" w:eastAsia="仿宋_GB2312"/>
          <w:color w:val="000000" w:themeColor="text1"/>
          <w:sz w:val="32"/>
          <w:szCs w:val="32"/>
          <w:highlight w:val="none"/>
          <w14:textFill>
            <w14:solidFill>
              <w14:schemeClr w14:val="tx1"/>
            </w14:solidFill>
          </w14:textFill>
        </w:rPr>
        <w:t>牵头下</w:t>
      </w:r>
      <w:r>
        <w:rPr>
          <w:rFonts w:ascii="仿宋_GB2312" w:hAnsi="仿宋" w:eastAsia="仿宋_GB2312"/>
          <w:color w:val="000000" w:themeColor="text1"/>
          <w:sz w:val="32"/>
          <w:szCs w:val="32"/>
          <w:highlight w:val="none"/>
          <w14:textFill>
            <w14:solidFill>
              <w14:schemeClr w14:val="tx1"/>
            </w14:solidFill>
          </w14:textFill>
        </w:rPr>
        <w:t>参与调查处置交通运输安全责任事故；按照应急综合客货运输的要求，实现高速公路的综合优化快速运输，满足各类突发公共事件紧急处置的需要</w:t>
      </w:r>
      <w:r>
        <w:rPr>
          <w:rFonts w:hint="eastAsia" w:ascii="仿宋_GB2312" w:hAnsi="仿宋" w:eastAsia="仿宋_GB2312"/>
          <w:color w:val="000000" w:themeColor="text1"/>
          <w:sz w:val="32"/>
          <w:szCs w:val="32"/>
          <w:highlight w:val="none"/>
          <w14:textFill>
            <w14:solidFill>
              <w14:schemeClr w14:val="tx1"/>
            </w14:solidFill>
          </w14:textFill>
        </w:rPr>
        <w:t>；承办厅指挥部交办的其他工作</w:t>
      </w:r>
      <w:r>
        <w:rPr>
          <w:rFonts w:ascii="仿宋_GB2312" w:hAnsi="仿宋" w:eastAsia="仿宋_GB2312"/>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54" w:name="_Toc23303"/>
      <w:bookmarkStart w:id="1755" w:name="_Toc8468"/>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四、</w:t>
      </w:r>
      <w:r>
        <w:rPr>
          <w:rFonts w:hint="eastAsia" w:ascii="黑体" w:hAnsi="黑体" w:eastAsia="黑体" w:cs="黑体"/>
          <w:color w:val="000000" w:themeColor="text1"/>
          <w:sz w:val="32"/>
          <w:szCs w:val="32"/>
          <w:highlight w:val="none"/>
          <w14:textFill>
            <w14:solidFill>
              <w14:schemeClr w14:val="tx1"/>
            </w14:solidFill>
          </w14:textFill>
        </w:rPr>
        <w:t>通信保障组</w:t>
      </w:r>
      <w:bookmarkEnd w:id="1754"/>
      <w:bookmarkEnd w:id="1755"/>
    </w:p>
    <w:p>
      <w:pPr>
        <w:keepNext w:val="0"/>
        <w:keepLines w:val="0"/>
        <w:pageBreakBefore w:val="0"/>
        <w:widowControl w:val="0"/>
        <w:numPr>
          <w:ilvl w:val="255"/>
          <w:numId w:val="0"/>
        </w:numPr>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由宁夏路网监测与应急处置中心主任任组长，宁夏路网监测与应急处置中心有关科室负责人为成员。主要职责为</w:t>
      </w:r>
      <w:r>
        <w:rPr>
          <w:rFonts w:ascii="仿宋_GB2312" w:hAnsi="仿宋" w:eastAsia="仿宋_GB2312"/>
          <w:color w:val="000000" w:themeColor="text1"/>
          <w:sz w:val="32"/>
          <w:szCs w:val="32"/>
          <w:highlight w:val="none"/>
          <w14:textFill>
            <w14:solidFill>
              <w14:schemeClr w14:val="tx1"/>
            </w14:solidFill>
          </w14:textFill>
        </w:rPr>
        <w:t>负责</w:t>
      </w:r>
      <w:r>
        <w:rPr>
          <w:rFonts w:hint="eastAsia" w:ascii="仿宋_GB2312" w:hAnsi="仿宋" w:eastAsia="仿宋_GB2312"/>
          <w:color w:val="000000" w:themeColor="text1"/>
          <w:sz w:val="32"/>
          <w:szCs w:val="32"/>
          <w:highlight w:val="none"/>
          <w14:textFill>
            <w14:solidFill>
              <w14:schemeClr w14:val="tx1"/>
            </w14:solidFill>
          </w14:textFill>
        </w:rPr>
        <w:t>交通运输</w:t>
      </w:r>
      <w:r>
        <w:rPr>
          <w:rFonts w:ascii="仿宋_GB2312" w:hAnsi="仿宋" w:eastAsia="仿宋_GB2312"/>
          <w:color w:val="000000" w:themeColor="text1"/>
          <w:sz w:val="32"/>
          <w:szCs w:val="32"/>
          <w:highlight w:val="none"/>
          <w14:textFill>
            <w14:solidFill>
              <w14:schemeClr w14:val="tx1"/>
            </w14:solidFill>
          </w14:textFill>
        </w:rPr>
        <w:t>信息系统</w:t>
      </w:r>
      <w:r>
        <w:rPr>
          <w:rFonts w:hint="eastAsia" w:ascii="仿宋_GB2312" w:hAnsi="仿宋" w:eastAsia="仿宋_GB2312"/>
          <w:color w:val="000000" w:themeColor="text1"/>
          <w:sz w:val="32"/>
          <w:szCs w:val="32"/>
          <w:highlight w:val="none"/>
          <w14:textFill>
            <w14:solidFill>
              <w14:schemeClr w14:val="tx1"/>
            </w14:solidFill>
          </w14:textFill>
        </w:rPr>
        <w:t>通信</w:t>
      </w:r>
      <w:r>
        <w:rPr>
          <w:rFonts w:ascii="仿宋_GB2312" w:hAnsi="仿宋" w:eastAsia="仿宋_GB2312"/>
          <w:color w:val="000000" w:themeColor="text1"/>
          <w:sz w:val="32"/>
          <w:szCs w:val="32"/>
          <w:highlight w:val="none"/>
          <w14:textFill>
            <w14:solidFill>
              <w14:schemeClr w14:val="tx1"/>
            </w14:solidFill>
          </w14:textFill>
        </w:rPr>
        <w:t>保障工作；负责电视电话会议</w:t>
      </w:r>
      <w:r>
        <w:rPr>
          <w:rFonts w:hint="eastAsia" w:ascii="仿宋_GB2312" w:hAnsi="仿宋" w:eastAsia="仿宋_GB2312"/>
          <w:color w:val="000000" w:themeColor="text1"/>
          <w:sz w:val="32"/>
          <w:szCs w:val="32"/>
          <w:highlight w:val="none"/>
          <w14:textFill>
            <w14:solidFill>
              <w14:schemeClr w14:val="tx1"/>
            </w14:solidFill>
          </w14:textFill>
        </w:rPr>
        <w:t>等通信保障工作；保障应急通信链路畅通；承办厅指挥部交办的其他工作。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56" w:name="_Toc4995"/>
      <w:bookmarkStart w:id="1757" w:name="_Toc4227"/>
      <w:bookmarkStart w:id="1758" w:name="_Toc26398"/>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五、</w:t>
      </w:r>
      <w:r>
        <w:rPr>
          <w:rFonts w:hint="eastAsia" w:ascii="黑体" w:hAnsi="黑体" w:eastAsia="黑体" w:cs="黑体"/>
          <w:color w:val="000000" w:themeColor="text1"/>
          <w:sz w:val="32"/>
          <w:szCs w:val="32"/>
          <w:highlight w:val="none"/>
          <w14:textFill>
            <w14:solidFill>
              <w14:schemeClr w14:val="tx1"/>
            </w14:solidFill>
          </w14:textFill>
        </w:rPr>
        <w:t>新闻宣传组</w:t>
      </w:r>
      <w:bookmarkEnd w:id="1756"/>
      <w:bookmarkEnd w:id="1757"/>
      <w:bookmarkEnd w:id="1758"/>
    </w:p>
    <w:p>
      <w:pPr>
        <w:keepNext w:val="0"/>
        <w:keepLines w:val="0"/>
        <w:pageBreakBefore w:val="0"/>
        <w:widowControl w:val="0"/>
        <w:numPr>
          <w:ilvl w:val="255"/>
          <w:numId w:val="0"/>
        </w:numPr>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由厅政策法规处处长任组长，厅政策法规处、办公室、公路管理处、自治区交通宣传事务中心、交通报驻宁记者站等相关工作人员为成员。主要职责为</w:t>
      </w:r>
      <w:r>
        <w:rPr>
          <w:rFonts w:ascii="仿宋_GB2312" w:hAnsi="仿宋" w:eastAsia="仿宋_GB2312"/>
          <w:color w:val="000000" w:themeColor="text1"/>
          <w:sz w:val="32"/>
          <w:szCs w:val="32"/>
          <w:highlight w:val="none"/>
          <w14:textFill>
            <w14:solidFill>
              <w14:schemeClr w14:val="tx1"/>
            </w14:solidFill>
          </w14:textFill>
        </w:rPr>
        <w:t>负责收集、处理相关新闻报道，及时消除不实报道带来的负面影响；按照</w:t>
      </w:r>
      <w:r>
        <w:rPr>
          <w:rFonts w:hint="eastAsia" w:ascii="仿宋_GB2312" w:hAnsi="仿宋" w:eastAsia="仿宋_GB2312"/>
          <w:color w:val="000000" w:themeColor="text1"/>
          <w:sz w:val="32"/>
          <w:szCs w:val="32"/>
          <w:highlight w:val="none"/>
          <w14:textFill>
            <w14:solidFill>
              <w14:schemeClr w14:val="tx1"/>
            </w14:solidFill>
          </w14:textFill>
        </w:rPr>
        <w:t>厅指挥部</w:t>
      </w:r>
      <w:r>
        <w:rPr>
          <w:rFonts w:ascii="仿宋_GB2312" w:hAnsi="仿宋" w:eastAsia="仿宋_GB2312"/>
          <w:color w:val="000000" w:themeColor="text1"/>
          <w:sz w:val="32"/>
          <w:szCs w:val="32"/>
          <w:highlight w:val="none"/>
          <w14:textFill>
            <w14:solidFill>
              <w14:schemeClr w14:val="tx1"/>
            </w14:solidFill>
          </w14:textFill>
        </w:rPr>
        <w:t>要求，筹备召开新闻发布会，向社会通报突发事件影响及应急处置工作进展情况；</w:t>
      </w:r>
      <w:r>
        <w:rPr>
          <w:rFonts w:hint="eastAsia" w:ascii="仿宋_GB2312" w:hAnsi="仿宋" w:eastAsia="仿宋_GB2312"/>
          <w:color w:val="000000" w:themeColor="text1"/>
          <w:sz w:val="32"/>
          <w:szCs w:val="32"/>
          <w:highlight w:val="none"/>
          <w14:textFill>
            <w14:solidFill>
              <w14:schemeClr w14:val="tx1"/>
            </w14:solidFill>
          </w14:textFill>
        </w:rPr>
        <w:t>负责组织有关新闻媒体，宣传报道应急处置工作中涌现出的先进事迹与典型；指导地方、各高速</w:t>
      </w:r>
      <w:r>
        <w:rPr>
          <w:rFonts w:hint="eastAsia" w:ascii="仿宋_GB2312" w:hAnsi="仿宋" w:eastAsia="仿宋_GB2312"/>
          <w:color w:val="000000" w:themeColor="text1"/>
          <w:sz w:val="32"/>
          <w:szCs w:val="32"/>
          <w:highlight w:val="none"/>
          <w:lang w:eastAsia="zh-CN"/>
          <w14:textFill>
            <w14:solidFill>
              <w14:schemeClr w14:val="tx1"/>
            </w14:solidFill>
          </w14:textFill>
        </w:rPr>
        <w:t>公路</w:t>
      </w:r>
      <w:r>
        <w:rPr>
          <w:rFonts w:hint="eastAsia" w:ascii="仿宋_GB2312" w:hAnsi="仿宋" w:eastAsia="仿宋_GB2312"/>
          <w:color w:val="000000" w:themeColor="text1"/>
          <w:sz w:val="32"/>
          <w:szCs w:val="32"/>
          <w:highlight w:val="none"/>
          <w14:textFill>
            <w14:solidFill>
              <w14:schemeClr w14:val="tx1"/>
            </w14:solidFill>
          </w14:textFill>
        </w:rPr>
        <w:t>运营管理单位低温雨雪冰冻天气事件应急管理机构新闻宣传工作；</w:t>
      </w:r>
      <w:r>
        <w:rPr>
          <w:rFonts w:ascii="仿宋_GB2312" w:hAnsi="仿宋" w:eastAsia="仿宋_GB2312"/>
          <w:color w:val="000000" w:themeColor="text1"/>
          <w:sz w:val="32"/>
          <w:szCs w:val="32"/>
          <w:highlight w:val="none"/>
          <w14:textFill>
            <w14:solidFill>
              <w14:schemeClr w14:val="tx1"/>
            </w14:solidFill>
          </w14:textFill>
        </w:rPr>
        <w:t>承办</w:t>
      </w:r>
      <w:r>
        <w:rPr>
          <w:rFonts w:hint="eastAsia" w:ascii="仿宋_GB2312" w:hAnsi="仿宋" w:eastAsia="仿宋_GB2312"/>
          <w:color w:val="000000" w:themeColor="text1"/>
          <w:sz w:val="32"/>
          <w:szCs w:val="32"/>
          <w:highlight w:val="none"/>
          <w14:textFill>
            <w14:solidFill>
              <w14:schemeClr w14:val="tx1"/>
            </w14:solidFill>
          </w14:textFill>
        </w:rPr>
        <w:t>厅指挥部</w:t>
      </w:r>
      <w:r>
        <w:rPr>
          <w:rFonts w:ascii="仿宋_GB2312" w:hAnsi="仿宋" w:eastAsia="仿宋_GB2312"/>
          <w:color w:val="000000" w:themeColor="text1"/>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59" w:name="_Toc10083"/>
      <w:bookmarkStart w:id="1760" w:name="_Toc26799"/>
      <w:bookmarkStart w:id="1761" w:name="_Toc5915"/>
      <w:bookmarkStart w:id="1762" w:name="_Toc14542"/>
      <w:bookmarkStart w:id="1763" w:name="_Toc24896"/>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六、</w:t>
      </w:r>
      <w:r>
        <w:rPr>
          <w:rFonts w:hint="eastAsia" w:ascii="黑体" w:hAnsi="黑体" w:eastAsia="黑体" w:cs="黑体"/>
          <w:color w:val="000000" w:themeColor="text1"/>
          <w:sz w:val="32"/>
          <w:szCs w:val="32"/>
          <w:highlight w:val="none"/>
          <w14:textFill>
            <w14:solidFill>
              <w14:schemeClr w14:val="tx1"/>
            </w14:solidFill>
          </w14:textFill>
        </w:rPr>
        <w:t>专家组</w:t>
      </w:r>
      <w:bookmarkEnd w:id="1759"/>
      <w:bookmarkEnd w:id="1760"/>
      <w:bookmarkEnd w:id="1761"/>
      <w:bookmarkEnd w:id="1762"/>
      <w:bookmarkEnd w:id="1763"/>
    </w:p>
    <w:p>
      <w:pPr>
        <w:keepNext w:val="0"/>
        <w:keepLines w:val="0"/>
        <w:pageBreakBefore w:val="0"/>
        <w:widowControl w:val="0"/>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专家组由厅专家库中与事件处置有关的公路交通行业及其他相关行业工程技术、安全应急、气象、科研、管理、法律等方面专家组成，成员由厅指挥部确定。主要职责为负责对应急准备以及应急行动方案提供专业咨询和建议；负责对应急响应终止和后期分析评估提出咨询意见；根据需要参加低温雨雪冰冻天气事件的应急处置工作；承办厅指挥部委托的其他事项。</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64" w:name="_Toc14592"/>
      <w:bookmarkStart w:id="1765" w:name="_Toc11383"/>
      <w:bookmarkStart w:id="1766" w:name="_Toc6969"/>
      <w:bookmarkStart w:id="1767" w:name="_Toc18886"/>
      <w:bookmarkStart w:id="1768" w:name="_Toc30616"/>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七、</w:t>
      </w:r>
      <w:r>
        <w:rPr>
          <w:rFonts w:hint="eastAsia" w:ascii="黑体" w:hAnsi="黑体" w:eastAsia="黑体" w:cs="黑体"/>
          <w:color w:val="000000" w:themeColor="text1"/>
          <w:sz w:val="32"/>
          <w:szCs w:val="32"/>
          <w:highlight w:val="none"/>
          <w14:textFill>
            <w14:solidFill>
              <w14:schemeClr w14:val="tx1"/>
            </w14:solidFill>
          </w14:textFill>
        </w:rPr>
        <w:t>现场工作组</w:t>
      </w:r>
      <w:bookmarkEnd w:id="1764"/>
      <w:bookmarkEnd w:id="1765"/>
      <w:bookmarkEnd w:id="1766"/>
      <w:bookmarkEnd w:id="1767"/>
      <w:bookmarkEnd w:id="1768"/>
    </w:p>
    <w:p>
      <w:pPr>
        <w:keepNext w:val="0"/>
        <w:keepLines w:val="0"/>
        <w:pageBreakBefore w:val="0"/>
        <w:widowControl w:val="0"/>
        <w:kinsoku/>
        <w:wordWrap/>
        <w:overflowPunct/>
        <w:topLinePunct/>
        <w:autoSpaceDE/>
        <w:autoSpaceDN/>
        <w:bidi w:val="0"/>
        <w:adjustRightInd/>
        <w:snapToGrid/>
        <w:spacing w:line="600" w:lineRule="exact"/>
        <w:ind w:left="0" w:firstLine="640" w:firstLineChars="200"/>
        <w:textAlignment w:val="auto"/>
        <w:outlineLvl w:val="9"/>
        <w:rPr>
          <w:rFonts w:ascii="仿宋_GB2312" w:hAnsi="仿宋" w:eastAsia="仿宋_GB2312"/>
          <w:b/>
          <w:bCs/>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现场工作组按照交通运输部、自治区政府、交通运输厅要求，或启动交通运输低温雨雪冰冻天气事件Ⅰ级或Ⅱ级响应时，或根据地方交通运输主管部门请求，指定成立并派往事发地，在突发事件现场指导开展应急处置工作，并及时向厅指挥部报告现场有关情况。现场工作组由分管公路建设养护的厅领导带队，厅机关相关处</w:t>
      </w:r>
      <w:r>
        <w:rPr>
          <w:rFonts w:hint="eastAsia" w:ascii="仿宋_GB2312" w:hAnsi="仿宋" w:eastAsia="仿宋_GB2312"/>
          <w:color w:val="000000" w:themeColor="text1"/>
          <w:sz w:val="32"/>
          <w:szCs w:val="32"/>
          <w:highlight w:val="none"/>
          <w:lang w:eastAsia="zh-CN"/>
          <w14:textFill>
            <w14:solidFill>
              <w14:schemeClr w14:val="tx1"/>
            </w14:solidFill>
          </w14:textFill>
        </w:rPr>
        <w:t>室</w:t>
      </w:r>
      <w:r>
        <w:rPr>
          <w:rFonts w:hint="eastAsia" w:ascii="仿宋_GB2312" w:hAnsi="仿宋" w:eastAsia="仿宋_GB2312"/>
          <w:color w:val="000000" w:themeColor="text1"/>
          <w:sz w:val="32"/>
          <w:szCs w:val="32"/>
          <w:highlight w:val="none"/>
          <w14:textFill>
            <w14:solidFill>
              <w14:schemeClr w14:val="tx1"/>
            </w14:solidFill>
          </w14:textFill>
        </w:rPr>
        <w:t>及厅属事业单位人员组成。主要职责为负责自治区和跨区域高速、国省干线公路交通应急队伍的现场协助指挥和调度，并保障作业安全；提供公路交通运输方面技术支持；协助有关部门开展低温雨雪冰冻天气的应急处置工作；承办厅指挥部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ascii="黑体" w:hAnsi="黑体" w:eastAsia="黑体" w:cs="黑体"/>
          <w:color w:val="000000" w:themeColor="text1"/>
          <w:sz w:val="32"/>
          <w:szCs w:val="32"/>
          <w:highlight w:val="none"/>
          <w14:textFill>
            <w14:solidFill>
              <w14:schemeClr w14:val="tx1"/>
            </w14:solidFill>
          </w14:textFill>
        </w:rPr>
      </w:pPr>
      <w:bookmarkStart w:id="1769" w:name="_Toc15107"/>
      <w:bookmarkStart w:id="1770" w:name="_Toc29268"/>
      <w:bookmarkStart w:id="1771" w:name="_Toc28792"/>
      <w:bookmarkStart w:id="1772" w:name="_Toc21458"/>
      <w:bookmarkStart w:id="1773" w:name="_Toc15863"/>
      <w:r>
        <w:rPr>
          <w:rFonts w:hint="eastAsia" w:ascii="黑体" w:hAnsi="黑体" w:eastAsia="黑体" w:cs="黑体"/>
          <w:color w:val="000000" w:themeColor="text1"/>
          <w:kern w:val="2"/>
          <w:sz w:val="32"/>
          <w:szCs w:val="32"/>
          <w:highlight w:val="none"/>
          <w:lang w:val="en-US" w:eastAsia="zh-CN" w:bidi="ar-SA"/>
          <w14:textFill>
            <w14:solidFill>
              <w14:schemeClr w14:val="tx1"/>
            </w14:solidFill>
          </w14:textFill>
        </w:rPr>
        <w:t>八、</w:t>
      </w:r>
      <w:r>
        <w:rPr>
          <w:rFonts w:ascii="黑体" w:hAnsi="黑体" w:eastAsia="黑体" w:cs="黑体"/>
          <w:color w:val="000000" w:themeColor="text1"/>
          <w:sz w:val="32"/>
          <w:szCs w:val="32"/>
          <w:highlight w:val="none"/>
          <w14:textFill>
            <w14:solidFill>
              <w14:schemeClr w14:val="tx1"/>
            </w14:solidFill>
          </w14:textFill>
        </w:rPr>
        <w:t>灾情评估组</w:t>
      </w:r>
      <w:bookmarkEnd w:id="1769"/>
      <w:bookmarkEnd w:id="1770"/>
      <w:bookmarkEnd w:id="1771"/>
      <w:bookmarkEnd w:id="1772"/>
      <w:bookmarkEnd w:id="1773"/>
    </w:p>
    <w:p>
      <w:pPr>
        <w:keepNext w:val="0"/>
        <w:keepLines w:val="0"/>
        <w:pageBreakBefore w:val="0"/>
        <w:widowControl w:val="0"/>
        <w:kinsoku/>
        <w:wordWrap/>
        <w:overflowPunct/>
        <w:topLinePunct/>
        <w:autoSpaceDE/>
        <w:autoSpaceDN/>
        <w:bidi w:val="0"/>
        <w:adjustRightInd/>
        <w:snapToGrid/>
        <w:spacing w:line="600" w:lineRule="exact"/>
        <w:ind w:left="0" w:firstLine="640" w:firstLineChars="200"/>
        <w:jc w:val="both"/>
        <w:textAlignment w:val="auto"/>
        <w:outlineLvl w:val="9"/>
        <w:rPr>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灾情评估组由厅总工程师任组长，根据需要由厅机关相关处</w:t>
      </w:r>
      <w:r>
        <w:rPr>
          <w:rFonts w:hint="eastAsia" w:ascii="仿宋_GB2312" w:hAnsi="仿宋" w:eastAsia="仿宋_GB2312"/>
          <w:color w:val="000000" w:themeColor="text1"/>
          <w:sz w:val="32"/>
          <w:szCs w:val="32"/>
          <w:highlight w:val="none"/>
          <w:lang w:eastAsia="zh-CN"/>
          <w14:textFill>
            <w14:solidFill>
              <w14:schemeClr w14:val="tx1"/>
            </w14:solidFill>
          </w14:textFill>
        </w:rPr>
        <w:t>室</w:t>
      </w:r>
      <w:r>
        <w:rPr>
          <w:rFonts w:hint="eastAsia" w:ascii="仿宋_GB2312" w:hAnsi="仿宋" w:eastAsia="仿宋_GB2312"/>
          <w:color w:val="000000" w:themeColor="text1"/>
          <w:sz w:val="32"/>
          <w:szCs w:val="32"/>
          <w:highlight w:val="none"/>
          <w14:textFill>
            <w14:solidFill>
              <w14:schemeClr w14:val="tx1"/>
            </w14:solidFill>
          </w14:textFill>
        </w:rPr>
        <w:t>和厅属单位组成。负责组织灾后调查工作，指导拟定公路灾后恢复重建方案，对突发事件情况、应急处置措施、取得成效、存在的主要问题等进行总结评估；承办厅指挥部交办的其他工作。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sectPr>
          <w:footerReference r:id="rId8" w:type="default"/>
          <w:pgSz w:w="11906" w:h="16838"/>
          <w:pgMar w:top="2098" w:right="1474" w:bottom="1985" w:left="1588"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1774" w:name="_Toc17532"/>
      <w:bookmarkStart w:id="1775" w:name="_Toc25028"/>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6、宁夏回族自治区交通运输厅</w:t>
      </w:r>
      <w:bookmarkEnd w:id="1774"/>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1776" w:name="_Toc32629"/>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防汛抢险应急预案</w:t>
      </w:r>
      <w:bookmarkEnd w:id="1087"/>
      <w:bookmarkEnd w:id="1088"/>
      <w:bookmarkEnd w:id="1089"/>
      <w:bookmarkEnd w:id="1775"/>
      <w:bookmarkEnd w:id="1776"/>
    </w:p>
    <w:p>
      <w:pPr>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outlineLvl w:val="9"/>
        <w:rPr>
          <w:rFonts w:hint="eastAsia" w:ascii="黑体" w:hAnsi="黑体" w:eastAsia="黑体"/>
          <w:b w:val="0"/>
          <w:bCs w:val="0"/>
          <w:color w:val="000000" w:themeColor="text1"/>
          <w:spacing w:val="0"/>
          <w:sz w:val="32"/>
          <w:szCs w:val="32"/>
          <w:highlight w:val="none"/>
          <w:lang w:val="en-US" w:eastAsia="zh-CN"/>
          <w14:textFill>
            <w14:solidFill>
              <w14:schemeClr w14:val="tx1"/>
            </w14:solidFill>
          </w14:textFill>
        </w:rPr>
      </w:pPr>
      <w:bookmarkStart w:id="1777" w:name="_Toc25885"/>
      <w:bookmarkStart w:id="1778" w:name="_Toc27695"/>
      <w:bookmarkStart w:id="1779" w:name="_Toc503"/>
      <w:bookmarkStart w:id="1780" w:name="_Toc32103"/>
      <w:bookmarkStart w:id="1781" w:name="_Toc17817"/>
      <w:bookmarkStart w:id="1782" w:name="_Toc10792"/>
      <w:bookmarkStart w:id="1783" w:name="_Toc10078"/>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784" w:name="_Toc4206"/>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1777"/>
      <w:bookmarkEnd w:id="1778"/>
      <w:bookmarkEnd w:id="1779"/>
      <w:bookmarkEnd w:id="1780"/>
      <w:bookmarkEnd w:id="1781"/>
      <w:bookmarkEnd w:id="1782"/>
      <w:bookmarkEnd w:id="1783"/>
      <w:bookmarkEnd w:id="1784"/>
    </w:p>
    <w:p>
      <w:pPr>
        <w:pStyle w:val="6"/>
        <w:keepNext w:val="0"/>
        <w:keepLines w:val="0"/>
        <w:pageBreakBefore w:val="0"/>
        <w:widowControl w:val="0"/>
        <w:kinsoku/>
        <w:wordWrap/>
        <w:overflowPunct/>
        <w:topLinePunct/>
        <w:autoSpaceDE/>
        <w:autoSpaceDN/>
        <w:bidi w:val="0"/>
        <w:adjustRightInd/>
        <w:snapToGrid/>
        <w:spacing w:before="0" w:after="0" w:line="58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785" w:name="_Toc1675"/>
      <w:bookmarkStart w:id="1786" w:name="_Toc7790"/>
      <w:bookmarkStart w:id="1787" w:name="_Toc32485"/>
      <w:bookmarkStart w:id="1788" w:name="_Toc8765"/>
      <w:bookmarkStart w:id="1789" w:name="_Toc30052"/>
      <w:r>
        <w:rPr>
          <w:rFonts w:hint="eastAsia" w:ascii="楷体_GB2312" w:hAnsi="仿宋" w:eastAsia="楷体_GB2312" w:cs="Times New Roman"/>
          <w:b/>
          <w:bCs/>
          <w:color w:val="000000" w:themeColor="text1"/>
          <w:spacing w:val="0"/>
          <w:highlight w:val="none"/>
          <w14:textFill>
            <w14:solidFill>
              <w14:schemeClr w14:val="tx1"/>
            </w14:solidFill>
          </w14:textFill>
        </w:rPr>
        <w:t>1.1编制目的</w:t>
      </w:r>
      <w:bookmarkEnd w:id="1785"/>
      <w:bookmarkEnd w:id="1786"/>
      <w:bookmarkEnd w:id="1787"/>
      <w:bookmarkEnd w:id="1788"/>
      <w:bookmarkEnd w:id="178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规范和加强</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宁夏回族自治区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交通运输厅（以下简称“</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交通运输厅”）防汛</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抢险</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应急准备和处置工作，保证</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交通运输厅迅速、有序、高效</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地</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组织协调处置汛情灾害引发的突发事件</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制定本预案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ascii="仿宋_GB2312" w:hAnsi="Times New Roman" w:eastAsia="仿宋_GB2312" w:cs="Times New Roman"/>
          <w:color w:val="000000" w:themeColor="text1"/>
          <w:spacing w:val="0"/>
          <w:sz w:val="32"/>
          <w:szCs w:val="32"/>
          <w:highlight w:val="none"/>
          <w14:textFill>
            <w14:solidFill>
              <w14:schemeClr w14:val="tx1"/>
            </w14:solidFill>
          </w14:textFill>
        </w:rPr>
        <w:t xml:space="preserve"> </w:t>
      </w:r>
    </w:p>
    <w:p>
      <w:pPr>
        <w:pStyle w:val="6"/>
        <w:keepNext w:val="0"/>
        <w:keepLines w:val="0"/>
        <w:pageBreakBefore w:val="0"/>
        <w:widowControl w:val="0"/>
        <w:kinsoku/>
        <w:wordWrap/>
        <w:overflowPunct/>
        <w:topLinePunct/>
        <w:autoSpaceDE/>
        <w:autoSpaceDN/>
        <w:bidi w:val="0"/>
        <w:adjustRightInd/>
        <w:snapToGrid/>
        <w:spacing w:before="0" w:after="0" w:line="58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790" w:name="_Toc7897"/>
      <w:bookmarkStart w:id="1791" w:name="_Toc11990"/>
      <w:bookmarkStart w:id="1792" w:name="_Toc31031"/>
      <w:bookmarkStart w:id="1793" w:name="_Toc31391"/>
      <w:bookmarkStart w:id="1794" w:name="_Toc286"/>
      <w:r>
        <w:rPr>
          <w:rFonts w:hint="eastAsia" w:ascii="楷体_GB2312" w:hAnsi="仿宋" w:eastAsia="楷体_GB2312" w:cs="Times New Roman"/>
          <w:b/>
          <w:bCs/>
          <w:color w:val="000000" w:themeColor="text1"/>
          <w:spacing w:val="0"/>
          <w:highlight w:val="none"/>
          <w14:textFill>
            <w14:solidFill>
              <w14:schemeClr w14:val="tx1"/>
            </w14:solidFill>
          </w14:textFill>
        </w:rPr>
        <w:t>1.2编制依据</w:t>
      </w:r>
      <w:bookmarkEnd w:id="1790"/>
      <w:bookmarkEnd w:id="1791"/>
      <w:bookmarkEnd w:id="1792"/>
      <w:bookmarkEnd w:id="1793"/>
      <w:bookmarkEnd w:id="179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依据《中华人民共和国突发事件应对法》《突发事件应急预案管理办法》《宁夏回族自治区突发事件应对条例》《宁夏回族自治区防汛抗旱应急预案》《宁夏回族自治区交通运输厅突发事件综合应急预案》等有关规定。</w:t>
      </w:r>
    </w:p>
    <w:p>
      <w:pPr>
        <w:pStyle w:val="6"/>
        <w:keepNext w:val="0"/>
        <w:keepLines w:val="0"/>
        <w:pageBreakBefore w:val="0"/>
        <w:widowControl w:val="0"/>
        <w:kinsoku/>
        <w:wordWrap/>
        <w:overflowPunct/>
        <w:topLinePunct/>
        <w:autoSpaceDE/>
        <w:autoSpaceDN/>
        <w:bidi w:val="0"/>
        <w:adjustRightInd/>
        <w:snapToGrid/>
        <w:spacing w:before="0" w:after="0" w:line="58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bookmarkStart w:id="1795" w:name="_Toc385"/>
      <w:bookmarkStart w:id="1796" w:name="_Toc21539"/>
      <w:bookmarkStart w:id="1797" w:name="_Toc7556"/>
      <w:bookmarkStart w:id="1798" w:name="_Toc4564"/>
      <w:bookmarkStart w:id="1799" w:name="_Toc26837"/>
      <w:r>
        <w:rPr>
          <w:rFonts w:hint="eastAsia" w:ascii="楷体_GB2312" w:hAnsi="仿宋" w:eastAsia="楷体_GB2312" w:cs="Times New Roman"/>
          <w:b/>
          <w:bCs/>
          <w:color w:val="000000" w:themeColor="text1"/>
          <w:spacing w:val="0"/>
          <w:highlight w:val="none"/>
          <w14:textFill>
            <w14:solidFill>
              <w14:schemeClr w14:val="tx1"/>
            </w14:solidFill>
          </w14:textFill>
        </w:rPr>
        <w:t>1.3适用范围</w:t>
      </w:r>
      <w:bookmarkEnd w:id="1795"/>
      <w:bookmarkEnd w:id="1796"/>
      <w:bookmarkEnd w:id="1797"/>
      <w:bookmarkEnd w:id="1798"/>
      <w:bookmarkEnd w:id="179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本预案适用于山洪灾害（指由降雨引发的山洪、泥石流灾害）等引发的次生衍生灾害，导致自治区公路水运工程人员伤亡及财产损失、公路交通中断、损毁等特别重大和重大突发事件，以及超出事发地交通运输主管部门及相关单位处置能力的应对工作和</w:t>
      </w:r>
      <w:r>
        <w:rPr>
          <w:rFonts w:hint="eastAsia" w:ascii="仿宋_GB2312" w:eastAsia="仿宋_GB2312"/>
          <w:color w:val="000000" w:themeColor="text1"/>
          <w:spacing w:val="0"/>
          <w:sz w:val="32"/>
          <w:szCs w:val="32"/>
          <w:highlight w:val="none"/>
          <w:lang w:eastAsia="zh-CN"/>
          <w14:textFill>
            <w14:solidFill>
              <w14:schemeClr w14:val="tx1"/>
            </w14:solidFill>
          </w14:textFill>
        </w:rPr>
        <w:t>交通运输厅认为需要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应急响应的其他</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突发事件。</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sectPr>
          <w:pgSz w:w="11906" w:h="16838"/>
          <w:pgMar w:top="2098" w:right="1474" w:bottom="1985" w:left="1588" w:header="851" w:footer="992" w:gutter="0"/>
          <w:pgNumType w:fmt="numberInDash"/>
          <w:cols w:space="425" w:num="1"/>
          <w:docGrid w:type="lines" w:linePitch="312" w:charSpace="0"/>
        </w:sectPr>
      </w:pPr>
      <w:bookmarkStart w:id="1800" w:name="_Toc16476"/>
      <w:bookmarkStart w:id="1801" w:name="_Toc18927"/>
      <w:bookmarkStart w:id="1802" w:name="_Toc3015"/>
      <w:bookmarkStart w:id="1803" w:name="_Toc3521"/>
      <w:bookmarkStart w:id="1804" w:name="_Toc2471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1.4事件响应分级</w:t>
      </w:r>
    </w:p>
    <w:tbl>
      <w:tblPr>
        <w:tblStyle w:val="24"/>
        <w:tblW w:w="85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7" w:type="dxa"/>
          <w:left w:w="57" w:type="dxa"/>
          <w:bottom w:w="17" w:type="dxa"/>
          <w:right w:w="57" w:type="dxa"/>
        </w:tblCellMar>
      </w:tblPr>
      <w:tblGrid>
        <w:gridCol w:w="1053"/>
        <w:gridCol w:w="1772"/>
        <w:gridCol w:w="1872"/>
        <w:gridCol w:w="2059"/>
        <w:gridCol w:w="18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7" w:type="dxa"/>
            <w:left w:w="57" w:type="dxa"/>
            <w:bottom w:w="17" w:type="dxa"/>
            <w:right w:w="57" w:type="dxa"/>
          </w:tblCellMar>
        </w:tblPrEx>
        <w:trPr>
          <w:trHeight w:val="23" w:hRule="atLeast"/>
          <w:tblHeader/>
          <w:jc w:val="center"/>
        </w:trPr>
        <w:tc>
          <w:tcPr>
            <w:tcW w:w="10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t>等级</w:t>
            </w:r>
          </w:p>
        </w:tc>
        <w:tc>
          <w:tcPr>
            <w:tcW w:w="17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t>暴雨（受影响区域）</w:t>
            </w:r>
          </w:p>
        </w:tc>
        <w:tc>
          <w:tcPr>
            <w:tcW w:w="18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t>人员伤亡（伤亡人数）</w:t>
            </w:r>
          </w:p>
        </w:tc>
        <w:tc>
          <w:tcPr>
            <w:tcW w:w="20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t>黄河洪水（水情、工情）</w:t>
            </w:r>
          </w:p>
        </w:tc>
        <w:tc>
          <w:tcPr>
            <w:tcW w:w="18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lang w:val="en-US" w:eastAsia="zh-CN"/>
                <w14:textFill>
                  <w14:solidFill>
                    <w14:schemeClr w14:val="tx1"/>
                  </w14:solidFill>
                </w14:textFill>
              </w:rPr>
              <w:t>黄河凌汛（凌情、工情）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7" w:type="dxa"/>
            <w:left w:w="57" w:type="dxa"/>
            <w:bottom w:w="17" w:type="dxa"/>
            <w:right w:w="57" w:type="dxa"/>
          </w:tblCellMar>
        </w:tblPrEx>
        <w:trPr>
          <w:trHeight w:val="23" w:hRule="atLeast"/>
          <w:jc w:val="center"/>
        </w:trPr>
        <w:tc>
          <w:tcPr>
            <w:tcW w:w="1053"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特别重大（Ⅰ级）</w:t>
            </w: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3个以上设区的市气象台发布暴雨红色预警信号。</w:t>
            </w:r>
          </w:p>
        </w:tc>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30人以上死亡，或者100人以上重伤。</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黄河宁夏段可能或已经发生洪峰流量5620立方米/秒以上，黄河堤防出现决口，威胁青铜峡、沙坡头水库大坝安全。</w:t>
            </w:r>
          </w:p>
        </w:tc>
        <w:tc>
          <w:tcPr>
            <w:tcW w:w="1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封河期或开河期，黄河堤防出现漫堤、决口。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7" w:type="dxa"/>
            <w:left w:w="57" w:type="dxa"/>
            <w:bottom w:w="17" w:type="dxa"/>
            <w:right w:w="57" w:type="dxa"/>
          </w:tblCellMar>
        </w:tblPrEx>
        <w:trPr>
          <w:trHeight w:val="23" w:hRule="atLeast"/>
          <w:jc w:val="center"/>
        </w:trPr>
        <w:tc>
          <w:tcPr>
            <w:tcW w:w="1053"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重大</w:t>
            </w:r>
          </w:p>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（Ⅱ级）</w:t>
            </w:r>
          </w:p>
        </w:tc>
        <w:tc>
          <w:tcPr>
            <w:tcW w:w="17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2个以上设区的市气象台发布暴雨红色预警信号。</w:t>
            </w:r>
          </w:p>
        </w:tc>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10人以上、30人以下死亡，或者50人以上、100人以下重伤。</w:t>
            </w:r>
          </w:p>
        </w:tc>
        <w:tc>
          <w:tcPr>
            <w:tcW w:w="20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黄河宁夏段可能或已经发生洪峰流量4500立方米/秒-5620立方米/秒，黄河堤防出现险情。</w:t>
            </w:r>
          </w:p>
        </w:tc>
        <w:tc>
          <w:tcPr>
            <w:tcW w:w="18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封河期或开河期出现冰坝险情，黄河堤防部分河段可能出现漫堤、决口的风险。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7" w:type="dxa"/>
            <w:left w:w="57" w:type="dxa"/>
            <w:bottom w:w="17" w:type="dxa"/>
            <w:right w:w="57" w:type="dxa"/>
          </w:tblCellMar>
        </w:tblPrEx>
        <w:trPr>
          <w:trHeight w:val="23" w:hRule="atLeast"/>
          <w:jc w:val="center"/>
        </w:trPr>
        <w:tc>
          <w:tcPr>
            <w:tcW w:w="1053"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较大</w:t>
            </w:r>
          </w:p>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（Ⅲ级）</w:t>
            </w:r>
          </w:p>
        </w:tc>
        <w:tc>
          <w:tcPr>
            <w:tcW w:w="17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3个以上设区的市气象台发布暴雨橙色预警信号。</w:t>
            </w:r>
          </w:p>
        </w:tc>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3人以上、10人以下死亡，或者10人以上、50人以下重伤。</w:t>
            </w:r>
          </w:p>
        </w:tc>
        <w:tc>
          <w:tcPr>
            <w:tcW w:w="20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黄河宁夏段可能或已经发生洪峰流量</w:t>
            </w:r>
          </w:p>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3500立方米/秒-4500立方米/秒，防洪工程出现较大险情。</w:t>
            </w:r>
          </w:p>
        </w:tc>
        <w:tc>
          <w:tcPr>
            <w:tcW w:w="18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封河期或开河期出现冰塞险情，严重威胁上下游防洪工程安全。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7" w:type="dxa"/>
            <w:left w:w="57" w:type="dxa"/>
            <w:bottom w:w="17" w:type="dxa"/>
            <w:right w:w="57" w:type="dxa"/>
          </w:tblCellMar>
        </w:tblPrEx>
        <w:trPr>
          <w:trHeight w:val="23" w:hRule="atLeast"/>
          <w:jc w:val="center"/>
        </w:trPr>
        <w:tc>
          <w:tcPr>
            <w:tcW w:w="10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一般</w:t>
            </w:r>
          </w:p>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center"/>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21"/>
                <w:szCs w:val="21"/>
                <w:highlight w:val="none"/>
                <w:lang w:val="en-US" w:eastAsia="zh-CN"/>
                <w14:textFill>
                  <w14:solidFill>
                    <w14:schemeClr w14:val="tx1"/>
                  </w14:solidFill>
                </w14:textFill>
              </w:rPr>
              <w:t>（Ⅳ级）</w:t>
            </w:r>
          </w:p>
        </w:tc>
        <w:tc>
          <w:tcPr>
            <w:tcW w:w="17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2个以上设区的市气象台发布暴雨橙色预警信号或1个以上设区的市气象台发布暴雨红色预警信号。</w:t>
            </w:r>
          </w:p>
        </w:tc>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3人以下死亡，或者10人以下重伤。</w:t>
            </w:r>
          </w:p>
        </w:tc>
        <w:tc>
          <w:tcPr>
            <w:tcW w:w="20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黄河宁夏段可能或已经发生洪峰流量为2500立方米/秒-3500立方米/秒，影响防洪工程安全运行。</w:t>
            </w:r>
          </w:p>
        </w:tc>
        <w:tc>
          <w:tcPr>
            <w:tcW w:w="18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jc w:val="both"/>
              <w:textAlignment w:val="auto"/>
              <w:outlineLvl w:val="9"/>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lang w:val="en-US" w:eastAsia="zh-CN"/>
                <w14:textFill>
                  <w14:solidFill>
                    <w14:schemeClr w14:val="tx1"/>
                  </w14:solidFill>
                </w14:textFill>
              </w:rPr>
              <w:t>封河期、开河期水位上涨，凌汛洪水造成堤防偎水、洪水倒灌、坝垛护岸出现险情。</w:t>
            </w:r>
          </w:p>
        </w:tc>
      </w:tr>
    </w:tbl>
    <w:p>
      <w:pPr>
        <w:keepNext w:val="0"/>
        <w:keepLines w:val="0"/>
        <w:pageBreakBefore w:val="0"/>
        <w:widowControl w:val="0"/>
        <w:kinsoku/>
        <w:wordWrap/>
        <w:overflowPunct/>
        <w:topLinePunct/>
        <w:autoSpaceDE/>
        <w:autoSpaceDN/>
        <w:bidi w:val="0"/>
        <w:adjustRightInd/>
        <w:snapToGrid/>
        <w:ind w:left="0" w:leftChars="0" w:firstLine="64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本</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表</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所称的“以上”包括本数，“以下”不包括本数。</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1.</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w:t>
      </w:r>
      <w:r>
        <w:rPr>
          <w:rFonts w:hint="eastAsia" w:ascii="楷体_GB2312" w:hAnsi="仿宋" w:eastAsia="楷体_GB2312" w:cs="Times New Roman"/>
          <w:b/>
          <w:bCs/>
          <w:color w:val="000000" w:themeColor="text1"/>
          <w:spacing w:val="0"/>
          <w:highlight w:val="none"/>
          <w14:textFill>
            <w14:solidFill>
              <w14:schemeClr w14:val="tx1"/>
            </w14:solidFill>
          </w14:textFill>
        </w:rPr>
        <w:t>工作原则</w:t>
      </w:r>
      <w:bookmarkEnd w:id="1800"/>
      <w:bookmarkEnd w:id="1801"/>
      <w:bookmarkEnd w:id="1802"/>
      <w:bookmarkEnd w:id="1803"/>
      <w:bookmarkEnd w:id="180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防汛抢险应急处置坚持</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统一指挥、属地管理，分级负责；坚持以人为本、安全第一，以防为主、科学调度、综合应对原则。</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805" w:name="_Toc10241"/>
      <w:bookmarkStart w:id="1806" w:name="_Toc25234"/>
      <w:bookmarkStart w:id="1807" w:name="_Toc23112"/>
      <w:bookmarkStart w:id="1808" w:name="_Toc5919"/>
      <w:bookmarkStart w:id="1809" w:name="_Toc5058"/>
      <w:bookmarkStart w:id="1810" w:name="_Toc23264"/>
      <w:bookmarkStart w:id="1811" w:name="_Toc1553"/>
      <w:bookmarkStart w:id="1812" w:name="_Toc1243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2.组织机构与职责</w:t>
      </w:r>
      <w:bookmarkEnd w:id="1805"/>
      <w:bookmarkEnd w:id="1806"/>
      <w:bookmarkEnd w:id="1807"/>
      <w:bookmarkEnd w:id="1808"/>
      <w:bookmarkEnd w:id="1809"/>
      <w:bookmarkEnd w:id="1810"/>
      <w:bookmarkEnd w:id="1811"/>
      <w:bookmarkEnd w:id="1812"/>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813" w:name="_Toc22031"/>
      <w:bookmarkStart w:id="1814" w:name="_Toc26303"/>
      <w:bookmarkStart w:id="1815" w:name="_Toc31932"/>
      <w:bookmarkStart w:id="1816" w:name="_Toc3604"/>
      <w:bookmarkStart w:id="1817" w:name="_Toc23628"/>
      <w:bookmarkStart w:id="1818" w:name="_Toc1503"/>
      <w:bookmarkStart w:id="1819" w:name="_Toc31448"/>
      <w:bookmarkStart w:id="1820" w:name="_Toc80473124"/>
      <w:r>
        <w:rPr>
          <w:rFonts w:hint="eastAsia" w:ascii="楷体_GB2312" w:hAnsi="仿宋" w:eastAsia="楷体_GB2312" w:cs="Times New Roman"/>
          <w:b/>
          <w:bCs/>
          <w:color w:val="000000" w:themeColor="text1"/>
          <w:spacing w:val="0"/>
          <w:highlight w:val="none"/>
          <w14:textFill>
            <w14:solidFill>
              <w14:schemeClr w14:val="tx1"/>
            </w14:solidFill>
          </w14:textFill>
        </w:rPr>
        <w:t>2.1厅</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防汛</w:t>
      </w:r>
      <w:bookmarkEnd w:id="1813"/>
      <w:bookmarkEnd w:id="1814"/>
      <w:bookmarkEnd w:id="1815"/>
      <w:bookmarkEnd w:id="181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抢险工作指挥机构</w:t>
      </w:r>
      <w:bookmarkEnd w:id="1817"/>
      <w:bookmarkEnd w:id="1818"/>
      <w:bookmarkEnd w:id="1819"/>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成立自治区交通运输厅防汛抢险工作指挥机构（以下简称“工作指挥机构”），在自治区防汛抗旱指挥部和厅应急领导小组的指挥下，负责组织、协调、开展交通运输系统防汛抢险工作。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特别重大事故（Ⅰ级）、重大事故（Ⅱ级）由厅主要负责人担任指挥长，分管应急管理工作的厅领导任副指挥长；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分管应急管理工作的厅领导担任指挥长，</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负责人担任副指挥长。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成员由厅办公室、</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综合规划处、建设管理处、公路管理处、运输和海事管理处、安全与质量监督管理处、</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科技处、物流发展处、交通战备处、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公路管理中心、交通运输综合执法监督局、路网监测与应急处置中心、道路运输事务中心、公路</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水路发展中心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交通宣传事务中心等</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处室及所属</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单位负责同志</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组成</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p>
    <w:bookmarkEnd w:id="1820"/>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防汛工作指挥机构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主要职责如下：</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贯彻落实上级部门和自治区指挥部关于</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防汛工作</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的应急决策、部署和措施</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组织</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、协调</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指导</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交</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通运输厅系统各单位</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防汛的应急处置工作</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防汛抢险</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应急响应；</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决定启动、调整、终止交通运输厅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Ⅲ级、Ⅳ级</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防汛抢险</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预警状态和应急响应行动</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了解掌握</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汛期</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相关情况，启动</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防汛</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应急预案，</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根据需要会同</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有关部门，制定和落实应对防汛</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工作的交</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通运输应急处置工作方案</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负责组织开展高速公路、普通国</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省</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干线公路等的抢通抢修和应急物资</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人员转运等工作。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指导</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厅属各单位、公路经营管理单位及</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市</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县</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区</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交通部门进行</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防汛</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工作。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上级部门和自治区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防汛</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交办的其他工作。</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ascii="仿宋_GB2312" w:hAnsi="宋体" w:eastAsia="仿宋_GB2312" w:cs="仿宋_GB2312"/>
          <w:color w:val="000000" w:themeColor="text1"/>
          <w:kern w:val="0"/>
          <w:sz w:val="32"/>
          <w:szCs w:val="32"/>
          <w:highlight w:val="none"/>
          <w14:textFill>
            <w14:solidFill>
              <w14:schemeClr w14:val="tx1"/>
            </w14:solidFill>
          </w14:textFill>
        </w:rPr>
      </w:pPr>
      <w:bookmarkStart w:id="1821" w:name="_Toc17317"/>
      <w:bookmarkStart w:id="1822" w:name="_Toc29598"/>
      <w:bookmarkStart w:id="1823" w:name="_Toc18681"/>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办公室设置在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安全与质量监督管理处</w:t>
      </w:r>
      <w:r>
        <w:rPr>
          <w:rFonts w:ascii="仿宋_GB2312" w:hAnsi="宋体" w:eastAsia="仿宋_GB2312" w:cs="仿宋_GB2312"/>
          <w:color w:val="000000" w:themeColor="text1"/>
          <w:kern w:val="0"/>
          <w:sz w:val="32"/>
          <w:szCs w:val="32"/>
          <w:highlight w:val="none"/>
          <w14:textFill>
            <w14:solidFill>
              <w14:schemeClr w14:val="tx1"/>
            </w14:solidFill>
          </w14:textFill>
        </w:rPr>
        <w:t>，承担</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2"/>
          <w:szCs w:val="32"/>
          <w:highlight w:val="none"/>
          <w14:textFill>
            <w14:solidFill>
              <w14:schemeClr w14:val="tx1"/>
            </w14:solidFill>
          </w14:textFill>
        </w:rPr>
        <w:t>工作</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w:t>
      </w:r>
      <w:r>
        <w:rPr>
          <w:rFonts w:ascii="仿宋_GB2312" w:hAnsi="宋体" w:eastAsia="仿宋_GB2312" w:cs="仿宋_GB2312"/>
          <w:color w:val="000000" w:themeColor="text1"/>
          <w:kern w:val="0"/>
          <w:sz w:val="32"/>
          <w:szCs w:val="32"/>
          <w:highlight w:val="none"/>
          <w14:textFill>
            <w14:solidFill>
              <w14:schemeClr w14:val="tx1"/>
            </w14:solidFill>
          </w14:textFill>
        </w:rPr>
        <w:t>担任</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2.2应急工作组</w:t>
      </w:r>
      <w:bookmarkEnd w:id="1821"/>
      <w:bookmarkEnd w:id="1822"/>
      <w:bookmarkEnd w:id="182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1</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）综合协调组</w:t>
      </w:r>
    </w:p>
    <w:p>
      <w:pPr>
        <w:keepNext w:val="0"/>
        <w:keepLines w:val="0"/>
        <w:pageBreakBefore w:val="0"/>
        <w:widowControl w:val="0"/>
        <w:kinsoku/>
        <w:wordWrap/>
        <w:overflowPunct/>
        <w:topLinePunct/>
        <w:autoSpaceDE/>
        <w:autoSpaceDN/>
        <w:bidi w:val="0"/>
        <w:adjustRightIn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安全与质量监督管理处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负责人任组长</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成员由</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政策</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综合规划处、建设管理处、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公路管理处、</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运输和海事管理处</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科技处、物流发展处、公路管理中心</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道路运输事务中心、公路</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水路发展中心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负责接收、处理应急状态下</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防汛抢险</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信息，跟踪了解</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洪涝灾害</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启动预警状态和响应行动建议；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pacing w:line="600" w:lineRule="exact"/>
        <w:ind w:left="0" w:leftChars="0" w:right="0" w:firstLine="640" w:firstLineChars="200"/>
        <w:textAlignment w:val="auto"/>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2</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抢修</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保通组</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公路管理处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负责人任组长，成员由</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建设管理处、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公路管理中心、</w:t>
      </w: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公路水路发展中心</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相关公路经营</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负责组织开展公路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水运</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设施</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洪涝</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灾害排查</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对</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洪涝灾害</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公路受损状况进行技术评估，</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提出应急处置及预防措施</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加强对交通基础设施的动态监测和预防</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组织、</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指导</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协调</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相关单位对洪涝灾害破坏的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高速公路</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国省干线</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进行</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抢修保通工作；</w:t>
      </w:r>
      <w:r>
        <w:rPr>
          <w:rFonts w:ascii="仿宋_GB2312" w:hAnsi="仿宋" w:eastAsia="仿宋_GB2312"/>
          <w:color w:val="000000" w:themeColor="text1"/>
          <w:spacing w:val="0"/>
          <w:sz w:val="32"/>
          <w:szCs w:val="32"/>
          <w:highlight w:val="none"/>
          <w14:textFill>
            <w14:solidFill>
              <w14:schemeClr w14:val="tx1"/>
            </w14:solidFill>
          </w14:textFill>
        </w:rPr>
        <w:t>保障突发事件或紧急情况急需、调用的大宗物资在公路上顺畅通行</w:t>
      </w:r>
      <w:r>
        <w:rPr>
          <w:rFonts w:hint="eastAsia" w:ascii="仿宋_GB2312" w:hAnsi="仿宋" w:eastAsia="仿宋_GB2312"/>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配合公安交管等有关部门</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拟定公路中断路段绕行方案和组织实施等工作；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指导、协调各市、县（区）农村公路的抢修保通工作；</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防汛工作指挥机构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pacing w:line="600" w:lineRule="exact"/>
        <w:ind w:left="0" w:leftChars="0" w:right="0" w:firstLine="640" w:firstLineChars="200"/>
        <w:textAlignment w:val="auto"/>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3</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）运输</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调度</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组</w:t>
      </w:r>
    </w:p>
    <w:p>
      <w:pPr>
        <w:keepNext w:val="0"/>
        <w:keepLines w:val="0"/>
        <w:pageBreakBefore w:val="0"/>
        <w:widowControl w:val="0"/>
        <w:kinsoku/>
        <w:wordWrap/>
        <w:overflowPunct/>
        <w:topLinePunct/>
        <w:autoSpaceDE/>
        <w:autoSpaceDN/>
        <w:bidi w:val="0"/>
        <w:adjustRightIn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厅运输和海事管理处负责人任组长，成员由</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物流发展处、</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道路运输事务中心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、公路</w:t>
      </w:r>
      <w:r>
        <w:rPr>
          <w:rFonts w:hint="eastAsia" w:ascii="仿宋_GB2312" w:eastAsia="仿宋_GB2312"/>
          <w:b w:val="0"/>
          <w:bCs w:val="0"/>
          <w:color w:val="000000" w:themeColor="text1"/>
          <w:spacing w:val="0"/>
          <w:sz w:val="32"/>
          <w:szCs w:val="32"/>
          <w:highlight w:val="none"/>
          <w14:textFill>
            <w14:solidFill>
              <w14:schemeClr w14:val="tx1"/>
            </w14:solidFill>
          </w14:textFill>
        </w:rPr>
        <w:t>水路发展中心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主要职责：负责指导协调</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市、县（区）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主管部门加强城市公共汽电车、危险货物运输、道路旅客运输等领域的防汛管理；协助征调防汛抢险救灾所需车辆和队伍；指导加强运力储备管理，组织调度运力，保障救灾人员和重点物资运输等工作；负责突发事件</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道路运输</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信息收集报送；</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防汛工作指挥机构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）工程建设应急组</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建设管理处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负责人任组长，成员由</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综合规划处、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公路管理中心、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及工程项目参建单位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督导相关单位</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加强对</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公路水运工程</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动态监测和预防，防止次生灾害发生</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指导、</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协调公路水运在建工程防汛</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抢险</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应急处置工作，协调社会力量参与应急救援；</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督导</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在建交通工程防汛</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抢险</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措施落实、参与应急救援、受灾情况等工作；承办厅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防汛工作指挥机构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ascii="仿宋_GB2312" w:hAnsi="Times New Roman" w:eastAsia="仿宋_GB2312" w:cs="Times New Roman"/>
          <w:color w:val="000000" w:themeColor="text1"/>
          <w:spacing w:val="0"/>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通信保障组</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相关人员组成。</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负责交通运输厅应急工作指</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挥系</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统通信保障和维护工作。厅属各单位和公路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，负责做好本单位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防汛</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应急通信保障工作。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加强舆情监测分析，传递权威信息；加强舆情引导，完善舆情监测及应对机制，</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有效化解舆情风险；</w:t>
      </w:r>
      <w:r>
        <w:rPr>
          <w:rFonts w:hint="eastAsia" w:eastAsia="仿宋_GB2312"/>
          <w:color w:val="000000" w:themeColor="text1"/>
          <w:spacing w:val="0"/>
          <w:sz w:val="32"/>
          <w:szCs w:val="32"/>
          <w:highlight w:val="none"/>
          <w:lang w:val="en-US" w:eastAsia="zh-CN"/>
          <w14:textFill>
            <w14:solidFill>
              <w14:schemeClr w14:val="tx1"/>
            </w14:solidFill>
          </w14:textFill>
        </w:rPr>
        <w:t>负责突发事件信息发布</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加大先进典型人物挖掘和宣传报道；</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防汛工作指挥机构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bookmarkStart w:id="1824" w:name="_Toc29866"/>
      <w:bookmarkStart w:id="1825" w:name="_Toc24817"/>
      <w:bookmarkStart w:id="1826" w:name="_Toc24298"/>
      <w:bookmarkStart w:id="1827" w:name="_Toc10963"/>
      <w:bookmarkStart w:id="1828" w:name="_Toc25041"/>
      <w:r>
        <w:rPr>
          <w:rFonts w:hint="eastAsia" w:ascii="仿宋_GB2312" w:eastAsia="仿宋_GB2312"/>
          <w:color w:val="000000" w:themeColor="text1"/>
          <w:spacing w:val="0"/>
          <w:sz w:val="32"/>
          <w:szCs w:val="32"/>
          <w:highlight w:val="none"/>
          <w:lang w:val="en-US" w:eastAsia="zh-CN"/>
          <w14:textFill>
            <w14:solidFill>
              <w14:schemeClr w14:val="tx1"/>
            </w14:solidFill>
          </w14:textFill>
        </w:rPr>
        <w:t>（7）现场工作组</w:t>
      </w:r>
      <w:bookmarkEnd w:id="1824"/>
      <w:bookmarkEnd w:id="1825"/>
      <w:bookmarkEnd w:id="1826"/>
      <w:bookmarkEnd w:id="1827"/>
      <w:bookmarkEnd w:id="182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防汛抢险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主要职责：负责传达厅应急工作要求；按照工作指挥机构安排，查看、研判、评估洪涝灾害情况，参照专家组意见，配合有关部门提出具体处置方案；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交通运输领域的防汛抢险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14:textFill>
            <w14:solidFill>
              <w14:schemeClr w14:val="tx1"/>
            </w14:solidFill>
          </w14:textFill>
        </w:rPr>
        <w:t>并根据需要协调有关方面提供</w:t>
      </w:r>
      <w:r>
        <w:rPr>
          <w:rFonts w:hint="eastAsia" w:eastAsia="仿宋_GB2312"/>
          <w:color w:val="000000" w:themeColor="text1"/>
          <w:spacing w:val="0"/>
          <w:sz w:val="32"/>
          <w:szCs w:val="32"/>
          <w:highlight w:val="none"/>
          <w:lang w:val="en-US" w:eastAsia="zh-CN"/>
          <w14:textFill>
            <w14:solidFill>
              <w14:schemeClr w14:val="tx1"/>
            </w14:solidFill>
          </w14:textFill>
        </w:rPr>
        <w:t>应急队伍</w:t>
      </w:r>
      <w:r>
        <w:rPr>
          <w:rFonts w:hint="eastAsia" w:eastAsia="仿宋_GB2312"/>
          <w:color w:val="000000" w:themeColor="text1"/>
          <w:spacing w:val="0"/>
          <w:sz w:val="32"/>
          <w:szCs w:val="32"/>
          <w:highlight w:val="none"/>
          <w14:textFill>
            <w14:solidFill>
              <w14:schemeClr w14:val="tx1"/>
            </w14:solidFill>
          </w14:textFill>
        </w:rPr>
        <w:t>、物资、技术等支持</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等有关应急工作组报告（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现场情况和应急处置行动进展；</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eastAsia="仿宋_GB2312"/>
          <w:color w:val="000000" w:themeColor="text1"/>
          <w:spacing w:val="0"/>
          <w:sz w:val="32"/>
          <w:szCs w:val="32"/>
          <w:highlight w:val="none"/>
          <w:lang w:val="en-US" w:eastAsia="zh-CN"/>
          <w14:textFill>
            <w14:solidFill>
              <w14:schemeClr w14:val="tx1"/>
            </w14:solidFill>
          </w14:textFill>
        </w:rPr>
      </w:pPr>
      <w:bookmarkStart w:id="1829" w:name="_Toc12936"/>
      <w:bookmarkStart w:id="1830" w:name="_Toc30198"/>
      <w:bookmarkStart w:id="1831" w:name="_Toc19343"/>
      <w:r>
        <w:rPr>
          <w:rFonts w:hint="eastAsia" w:ascii="仿宋_GB2312" w:eastAsia="仿宋_GB2312"/>
          <w:color w:val="000000" w:themeColor="text1"/>
          <w:spacing w:val="0"/>
          <w:sz w:val="32"/>
          <w:szCs w:val="32"/>
          <w:highlight w:val="none"/>
          <w:lang w:val="en-US" w:eastAsia="zh-CN"/>
          <w14:textFill>
            <w14:solidFill>
              <w14:schemeClr w14:val="tx1"/>
            </w14:solidFill>
          </w14:textFill>
        </w:rPr>
        <w:t>（8）专家组</w:t>
      </w:r>
      <w:bookmarkEnd w:id="1829"/>
      <w:bookmarkEnd w:id="1830"/>
      <w:bookmarkEnd w:id="1831"/>
    </w:p>
    <w:p>
      <w:pPr>
        <w:keepNext w:val="0"/>
        <w:keepLines w:val="0"/>
        <w:pageBreakBefore w:val="0"/>
        <w:widowControl w:val="0"/>
        <w:kinsoku/>
        <w:wordWrap/>
        <w:overflowPunct/>
        <w:topLinePunct/>
        <w:autoSpaceDE/>
        <w:autoSpaceDN/>
        <w:bidi w:val="0"/>
        <w:adjustRightInd/>
        <w:snapToGrid w:val="0"/>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根据应急处置工作需要从专家库中选择或邀请</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工程技术、道路运输、应急等方面的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组成</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val="0"/>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主要职责：现场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查看</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、评估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洪涝</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灾害对公路、桥梁、隧道等交通基础设施的破坏程度，分析研判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受灾</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区域公路通行状况，</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为应急处置工作提供咨询和建议，为科学处置险情和及时救援提供专业技术支撑。</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bookmarkStart w:id="1832" w:name="_Toc429"/>
      <w:bookmarkStart w:id="1833" w:name="_Toc12081"/>
      <w:bookmarkStart w:id="1834" w:name="_Toc6484"/>
      <w:bookmarkStart w:id="1835" w:name="_Toc5146"/>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厅防汛抢险</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应急组织</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before="0" w:after="0" w:line="240" w:lineRule="auto"/>
        <w:ind w:left="0" w:leftChars="0" w:firstLine="0" w:firstLineChars="0"/>
        <w:jc w:val="center"/>
        <w:textAlignment w:val="auto"/>
        <w:outlineLvl w:val="9"/>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drawing>
          <wp:inline distT="0" distB="0" distL="114300" distR="114300">
            <wp:extent cx="5272405" cy="3246120"/>
            <wp:effectExtent l="0" t="0" r="10795" b="5080"/>
            <wp:docPr id="15" name="图片 15" descr="防汛抢险组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防汛抢险组机构"/>
                    <pic:cNvPicPr>
                      <a:picLocks noChangeAspect="1"/>
                    </pic:cNvPicPr>
                  </pic:nvPicPr>
                  <pic:blipFill>
                    <a:blip r:embed="rId21"/>
                    <a:stretch>
                      <a:fillRect/>
                    </a:stretch>
                  </pic:blipFill>
                  <pic:spPr>
                    <a:xfrm>
                      <a:off x="0" y="0"/>
                      <a:ext cx="5272405" cy="3246120"/>
                    </a:xfrm>
                    <a:prstGeom prst="rect">
                      <a:avLst/>
                    </a:prstGeom>
                  </pic:spPr>
                </pic:pic>
              </a:graphicData>
            </a:graphic>
          </wp:inline>
        </w:drawing>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2.3应急保障单位</w:t>
      </w:r>
      <w:bookmarkEnd w:id="1832"/>
      <w:bookmarkEnd w:id="1833"/>
      <w:bookmarkEnd w:id="1834"/>
      <w:bookmarkEnd w:id="1835"/>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宁夏公路管理中心及所属分中心</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公路经营管理单位</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指定为交通运输厅</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防汛</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应急抢修保通单位。</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宁夏天豹交运集团有限公司、宁夏石运汽车运输有限公司、宁夏天豹固原汽车运输有限责任公司等</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指定为交通运输厅</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防汛</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应急运输保障单位。</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836" w:name="_Toc31066"/>
      <w:bookmarkStart w:id="1837" w:name="_Toc32217"/>
      <w:bookmarkStart w:id="1838" w:name="_Toc13737"/>
      <w:bookmarkStart w:id="1839" w:name="_Toc4418"/>
      <w:bookmarkStart w:id="1840" w:name="_Toc25089"/>
      <w:bookmarkStart w:id="1841" w:name="_Toc16234"/>
      <w:bookmarkStart w:id="1842" w:name="_Toc32740"/>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3.预防与预警</w:t>
      </w:r>
      <w:bookmarkEnd w:id="1836"/>
      <w:bookmarkEnd w:id="1837"/>
      <w:bookmarkEnd w:id="1838"/>
      <w:bookmarkEnd w:id="1839"/>
      <w:bookmarkEnd w:id="1840"/>
      <w:bookmarkEnd w:id="1841"/>
      <w:bookmarkEnd w:id="1842"/>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843" w:name="_Toc720"/>
      <w:bookmarkStart w:id="1844" w:name="_Toc5878"/>
      <w:bookmarkStart w:id="1845" w:name="_Toc29108"/>
      <w:bookmarkStart w:id="1846" w:name="_Toc22610"/>
      <w:bookmarkStart w:id="1847" w:name="_Toc20262"/>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3.1汛前准备</w:t>
      </w:r>
      <w:bookmarkEnd w:id="1843"/>
      <w:bookmarkEnd w:id="1844"/>
      <w:bookmarkEnd w:id="1845"/>
      <w:bookmarkEnd w:id="1846"/>
      <w:bookmarkEnd w:id="184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交通运输厅负责指导、督促</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厅属各单位、公路经营管理单位及市、县（区）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交通运输主管部门修订完善防汛应急预案，开展汛前培训和演练；做好物资储备，落实调运措施；组织开展汛前检查，查找薄弱环节，限期整改，消除隐患，确保度汛责任和措施落实到位。</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848" w:name="_Toc18863"/>
      <w:bookmarkStart w:id="1849" w:name="_Toc20745"/>
      <w:bookmarkStart w:id="1850" w:name="_Toc10453"/>
      <w:bookmarkStart w:id="1851" w:name="_Toc22002"/>
      <w:bookmarkStart w:id="1852" w:name="_Toc564"/>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3.2预警</w:t>
      </w:r>
      <w:bookmarkEnd w:id="1848"/>
      <w:bookmarkEnd w:id="1849"/>
      <w:bookmarkEnd w:id="1850"/>
      <w:bookmarkEnd w:id="1851"/>
      <w:bookmarkEnd w:id="1852"/>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53" w:name="_Toc27933"/>
      <w:bookmarkStart w:id="1854" w:name="_Toc525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3.2.1预警信息收集</w:t>
      </w:r>
      <w:bookmarkEnd w:id="1853"/>
      <w:bookmarkEnd w:id="1854"/>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b w:val="0"/>
          <w:bCs w:val="0"/>
          <w:color w:val="000000" w:themeColor="text1"/>
          <w:spacing w:val="0"/>
          <w:sz w:val="32"/>
          <w:szCs w:val="32"/>
          <w:highlight w:val="none"/>
          <w14:textFill>
            <w14:solidFill>
              <w14:schemeClr w14:val="tx1"/>
            </w14:solidFill>
          </w14:textFill>
        </w:rPr>
      </w:pP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路网监测与应急处置中心负责接收</w:t>
      </w:r>
      <w:r>
        <w:rPr>
          <w:rFonts w:hint="eastAsia" w:ascii="仿宋_GB2312" w:eastAsia="仿宋_GB2312"/>
          <w:color w:val="000000" w:themeColor="text1"/>
          <w:spacing w:val="0"/>
          <w:sz w:val="32"/>
          <w:szCs w:val="32"/>
          <w:highlight w:val="none"/>
          <w14:textFill>
            <w14:solidFill>
              <w14:schemeClr w14:val="tx1"/>
            </w14:solidFill>
          </w14:textFill>
        </w:rPr>
        <w:t>预警</w:t>
      </w:r>
      <w:r>
        <w:rPr>
          <w:rFonts w:hint="eastAsia" w:ascii="仿宋_GB2312" w:eastAsia="仿宋_GB2312"/>
          <w:b w:val="0"/>
          <w:bCs w:val="0"/>
          <w:color w:val="000000" w:themeColor="text1"/>
          <w:spacing w:val="0"/>
          <w:sz w:val="32"/>
          <w:szCs w:val="32"/>
          <w:highlight w:val="none"/>
          <w14:textFill>
            <w14:solidFill>
              <w14:schemeClr w14:val="tx1"/>
            </w14:solidFill>
          </w14:textFill>
        </w:rPr>
        <w:t>信息，及时收集气象、水文、地质灾害等自然灾害信息。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55" w:name="_Toc32481"/>
      <w:bookmarkStart w:id="1856" w:name="_Toc1370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3.2.2预警分级</w:t>
      </w:r>
      <w:bookmarkEnd w:id="1855"/>
      <w:bookmarkEnd w:id="185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eastAsia="仿宋_GB2312"/>
          <w:snapToGrid w:val="0"/>
          <w:color w:val="000000" w:themeColor="text1"/>
          <w:spacing w:val="0"/>
          <w:sz w:val="32"/>
          <w:szCs w:val="32"/>
          <w:highlight w:val="none"/>
          <w:lang w:val="zh-CN"/>
          <w14:textFill>
            <w14:solidFill>
              <w14:schemeClr w14:val="tx1"/>
            </w14:solidFill>
          </w14:textFill>
        </w:rPr>
      </w:pPr>
      <w:r>
        <w:rPr>
          <w:rFonts w:hint="eastAsia" w:eastAsia="仿宋_GB2312"/>
          <w:snapToGrid w:val="0"/>
          <w:color w:val="000000" w:themeColor="text1"/>
          <w:spacing w:val="0"/>
          <w:sz w:val="32"/>
          <w:szCs w:val="32"/>
          <w:highlight w:val="none"/>
          <w:lang w:val="en-US" w:eastAsia="zh-CN"/>
          <w14:textFill>
            <w14:solidFill>
              <w14:schemeClr w14:val="tx1"/>
            </w14:solidFill>
          </w14:textFill>
        </w:rPr>
        <w:t>涉及交通运输领域的</w:t>
      </w:r>
      <w:r>
        <w:rPr>
          <w:rFonts w:hint="eastAsia" w:eastAsia="仿宋_GB2312"/>
          <w:snapToGrid w:val="0"/>
          <w:color w:val="000000" w:themeColor="text1"/>
          <w:spacing w:val="0"/>
          <w:sz w:val="32"/>
          <w:szCs w:val="32"/>
          <w:highlight w:val="none"/>
          <w:lang w:val="zh-CN"/>
          <w14:textFill>
            <w14:solidFill>
              <w14:schemeClr w14:val="tx1"/>
            </w14:solidFill>
          </w14:textFill>
        </w:rPr>
        <w:t>防汛预警</w:t>
      </w:r>
      <w:r>
        <w:rPr>
          <w:rFonts w:hint="eastAsia" w:eastAsia="仿宋_GB2312"/>
          <w:snapToGrid w:val="0"/>
          <w:color w:val="000000" w:themeColor="text1"/>
          <w:spacing w:val="0"/>
          <w:sz w:val="32"/>
          <w:szCs w:val="32"/>
          <w:highlight w:val="none"/>
          <w:lang w:val="en-US" w:eastAsia="zh-CN"/>
          <w14:textFill>
            <w14:solidFill>
              <w14:schemeClr w14:val="tx1"/>
            </w14:solidFill>
          </w14:textFill>
        </w:rPr>
        <w:t>从高到低</w:t>
      </w:r>
      <w:r>
        <w:rPr>
          <w:rFonts w:eastAsia="仿宋_GB2312"/>
          <w:snapToGrid w:val="0"/>
          <w:color w:val="000000" w:themeColor="text1"/>
          <w:spacing w:val="0"/>
          <w:sz w:val="32"/>
          <w:szCs w:val="32"/>
          <w:highlight w:val="none"/>
          <w:lang w:val="zh-CN"/>
          <w14:textFill>
            <w14:solidFill>
              <w14:schemeClr w14:val="tx1"/>
            </w14:solidFill>
          </w14:textFill>
        </w:rPr>
        <w:t>分为</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一级</w:t>
      </w:r>
      <w:r>
        <w:rPr>
          <w:rFonts w:hint="eastAsia" w:ascii="仿宋_GB2312" w:eastAsia="仿宋_GB2312"/>
          <w:color w:val="000000" w:themeColor="text1"/>
          <w:spacing w:val="0"/>
          <w:sz w:val="32"/>
          <w:szCs w:val="32"/>
          <w:highlight w:val="none"/>
          <w14:textFill>
            <w14:solidFill>
              <w14:schemeClr w14:val="tx1"/>
            </w14:solidFill>
          </w14:textFill>
        </w:rPr>
        <w:t>（红色）、</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二级</w:t>
      </w:r>
      <w:r>
        <w:rPr>
          <w:rFonts w:hint="eastAsia" w:ascii="仿宋_GB2312" w:eastAsia="仿宋_GB2312"/>
          <w:color w:val="000000" w:themeColor="text1"/>
          <w:spacing w:val="0"/>
          <w:sz w:val="32"/>
          <w:szCs w:val="32"/>
          <w:highlight w:val="none"/>
          <w14:textFill>
            <w14:solidFill>
              <w14:schemeClr w14:val="tx1"/>
            </w14:solidFill>
          </w14:textFill>
        </w:rPr>
        <w:t>（橙色）、</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w:t>
      </w:r>
      <w:r>
        <w:rPr>
          <w:rFonts w:hint="eastAsia" w:ascii="仿宋_GB2312" w:eastAsia="仿宋_GB2312"/>
          <w:color w:val="000000" w:themeColor="text1"/>
          <w:spacing w:val="0"/>
          <w:sz w:val="32"/>
          <w:szCs w:val="32"/>
          <w:highlight w:val="none"/>
          <w14:textFill>
            <w14:solidFill>
              <w14:schemeClr w14:val="tx1"/>
            </w14:solidFill>
          </w14:textFill>
        </w:rPr>
        <w:t>（黄色）、</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四级</w:t>
      </w:r>
      <w:r>
        <w:rPr>
          <w:rFonts w:hint="eastAsia" w:ascii="仿宋_GB2312" w:eastAsia="仿宋_GB2312"/>
          <w:color w:val="000000" w:themeColor="text1"/>
          <w:spacing w:val="0"/>
          <w:sz w:val="32"/>
          <w:szCs w:val="32"/>
          <w:highlight w:val="none"/>
          <w14:textFill>
            <w14:solidFill>
              <w14:schemeClr w14:val="tx1"/>
            </w14:solidFill>
          </w14:textFill>
        </w:rPr>
        <w:t>（蓝色）</w:t>
      </w:r>
      <w:r>
        <w:rPr>
          <w:rFonts w:eastAsia="仿宋_GB2312"/>
          <w:snapToGrid w:val="0"/>
          <w:color w:val="000000" w:themeColor="text1"/>
          <w:spacing w:val="0"/>
          <w:sz w:val="32"/>
          <w:szCs w:val="32"/>
          <w:highlight w:val="none"/>
          <w:lang w:val="zh-CN"/>
          <w14:textFill>
            <w14:solidFill>
              <w14:schemeClr w14:val="tx1"/>
            </w14:solidFill>
          </w14:textFill>
        </w:rPr>
        <w:t>。</w:t>
      </w:r>
      <w:bookmarkStart w:id="1857" w:name="_Toc26843"/>
      <w:bookmarkStart w:id="1858" w:name="_Toc3552"/>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t>一级（红色）</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暴雨：3个以上设区的市气象台发布市级暴雨红色预警信号。</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t>（2）二级（橙色）</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暴雨：2个以上设区的市气象台发布暴雨红色预警信号。</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t>（3） 三级（黄色）</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暴雨：3个以上设区的市气象台发布暴雨橙色预警信号。</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pacing w:val="0"/>
          <w:kern w:val="2"/>
          <w:sz w:val="32"/>
          <w:szCs w:val="32"/>
          <w:highlight w:val="none"/>
          <w:lang w:val="en-US" w:eastAsia="zh-CN" w:bidi="ar-SA"/>
          <w14:textFill>
            <w14:solidFill>
              <w14:schemeClr w14:val="tx1"/>
            </w14:solidFill>
          </w14:textFill>
        </w:rPr>
        <w:t>（4）</w:t>
      </w:r>
      <w:r>
        <w:rPr>
          <w:rFonts w:hint="eastAsia" w:ascii="仿宋_GB2312" w:hAnsi="仿宋_GB2312" w:eastAsia="仿宋_GB2312" w:cs="仿宋_GB2312"/>
          <w:b w:val="0"/>
          <w:bCs/>
          <w:color w:val="000000" w:themeColor="text1"/>
          <w:spacing w:val="0"/>
          <w:sz w:val="32"/>
          <w:szCs w:val="32"/>
          <w:highlight w:val="none"/>
          <w:lang w:val="en-US" w:eastAsia="zh-CN"/>
          <w14:textFill>
            <w14:solidFill>
              <w14:schemeClr w14:val="tx1"/>
            </w14:solidFill>
          </w14:textFill>
        </w:rPr>
        <w:t>四级（蓝色）</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暴雨：2个以上设区的市气象台发布暴雨橙色预警信号或1个以上设区的市气象台发布暴雨红色预警信号。</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强对流天气：3个以上设区的市气象台发布市级雷电橙色预警信号或3个以上设区的市气象台发布冰雹橙色预警信号且预计持续6小时以上。</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3.2.3预警</w:t>
      </w:r>
      <w:bookmarkEnd w:id="1857"/>
      <w:bookmarkEnd w:id="185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行动</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color w:val="000000" w:themeColor="text1"/>
          <w:spacing w:val="0"/>
          <w:sz w:val="32"/>
          <w:szCs w:val="32"/>
          <w:highlight w:val="none"/>
          <w14:textFill>
            <w14:solidFill>
              <w14:schemeClr w14:val="tx1"/>
            </w14:solidFill>
          </w14:textFill>
        </w:rPr>
        <w:t>收到预警信息后，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按程序报告。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根据事件发展态势，</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预警响应</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可转入相应等级应急响应，按照应急响应程序处置。</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一级（红色）</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二级（橙色）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由综合协调组拟定实施意见，报厅应急办研判，</w:t>
      </w:r>
      <w:r>
        <w:rPr>
          <w:rFonts w:hint="eastAsia" w:ascii="仿宋_GB2312" w:hAnsi="Calibri" w:eastAsia="仿宋_GB2312"/>
          <w:color w:val="000000" w:themeColor="text1"/>
          <w:spacing w:val="0"/>
          <w:sz w:val="32"/>
          <w:szCs w:val="32"/>
          <w:highlight w:val="none"/>
          <w14:textFill>
            <w14:solidFill>
              <w14:schemeClr w14:val="tx1"/>
            </w14:solidFill>
          </w14:textFill>
        </w:rPr>
        <w:t>经厅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主要负责人同意</w:t>
      </w:r>
      <w:r>
        <w:rPr>
          <w:rFonts w:hint="eastAsia" w:ascii="仿宋_GB2312" w:hAnsi="Calibri" w:eastAsia="仿宋_GB2312"/>
          <w:color w:val="000000" w:themeColor="text1"/>
          <w:spacing w:val="0"/>
          <w:sz w:val="32"/>
          <w:szCs w:val="32"/>
          <w:highlight w:val="none"/>
          <w14:textFill>
            <w14:solidFill>
              <w14:schemeClr w14:val="tx1"/>
            </w14:solidFill>
          </w14:textFill>
        </w:rPr>
        <w:t>后启动预警；</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eastAsia="仿宋_GB2312"/>
          <w:color w:val="000000" w:themeColor="text1"/>
          <w:spacing w:val="0"/>
          <w:sz w:val="32"/>
          <w:szCs w:val="32"/>
          <w:highlight w:val="none"/>
          <w14:textFill>
            <w14:solidFill>
              <w14:schemeClr w14:val="tx1"/>
            </w14:solidFill>
          </w14:textFill>
        </w:rPr>
        <w:t>将预警信息立即传达</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及有关单位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hAnsi="Calibri" w:eastAsia="仿宋_GB2312"/>
          <w:color w:val="000000" w:themeColor="text1"/>
          <w:spacing w:val="0"/>
          <w:sz w:val="32"/>
          <w:szCs w:val="32"/>
          <w:highlight w:val="none"/>
          <w14:textFill>
            <w14:solidFill>
              <w14:schemeClr w14:val="tx1"/>
            </w14:solidFill>
          </w14:textFill>
        </w:rPr>
        <w:t>各应急工作组进入待命状态</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做好启动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Ⅰ级、Ⅱ级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准备，一旦发生相应险情，及时启动应急响应。随时组织紧急会商或专题会商，做出防汛救灾工作部署，根据需要派出工作组和专家组赴一线检查督导防汛救灾工作。强化值班值守，全面收集整理灾情和防汛工作动态，充分做好防汛应急保障队伍、物资调度准备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ascii="仿宋_GB2312" w:eastAsia="仿宋_GB2312"/>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2</w:t>
      </w:r>
      <w:r>
        <w:rPr>
          <w:rFonts w:ascii="仿宋_GB2312" w:eastAsia="仿宋_GB2312"/>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三级（黄色）、四级（蓝色）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由综合协调组拟定实施意见，报厅应急办研判，</w:t>
      </w:r>
      <w:r>
        <w:rPr>
          <w:rFonts w:hint="eastAsia" w:ascii="仿宋_GB2312" w:hAnsi="Calibri" w:eastAsia="仿宋_GB2312"/>
          <w:color w:val="000000" w:themeColor="text1"/>
          <w:spacing w:val="0"/>
          <w:sz w:val="32"/>
          <w:szCs w:val="32"/>
          <w:highlight w:val="none"/>
          <w14:textFill>
            <w14:solidFill>
              <w14:schemeClr w14:val="tx1"/>
            </w14:solidFill>
          </w14:textFill>
        </w:rPr>
        <w:t>经厅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分管厅领导同意</w:t>
      </w:r>
      <w:r>
        <w:rPr>
          <w:rFonts w:hint="eastAsia" w:ascii="仿宋_GB2312" w:hAnsi="Calibri" w:eastAsia="仿宋_GB2312"/>
          <w:color w:val="000000" w:themeColor="text1"/>
          <w:spacing w:val="0"/>
          <w:sz w:val="32"/>
          <w:szCs w:val="32"/>
          <w:highlight w:val="none"/>
          <w14:textFill>
            <w14:solidFill>
              <w14:schemeClr w14:val="tx1"/>
            </w14:solidFill>
          </w14:textFill>
        </w:rPr>
        <w:t>后</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启动预警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将预警信息传达</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至工作指挥机构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督导相关单位做好防御响应工作</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指导、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督促灾情涉及</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应急响应准备，一旦发生相应险情，及时启动应急响应。并视情派出工作组赴一线检查督导防汛救灾工作。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具体防御措施：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①</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指导协调涉及公路管理中心、公路经营管理单位及市县（区）交通运输主管部门加强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交通基础设施的动态监测和预防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②</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负责指导督促灾情所涉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相关单位等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加强公路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水运渡口等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巡查和风险管控，排查隐患，及时发现险情，采取应急处置措施；做好行洪河道内桥梁、受洪水威胁重要交通</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设施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的巡查、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监测</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，河</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道</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洪水、山洪灾害危险区内道路通行安全提示；</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及时将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发现的险情信息报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厅防汛工作指挥机构；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③</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负责指导督促灾情所涉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加强道路运输、城市客运巡查和风险管控，排查隐患，及时发现险情，采取应急处置措施，对不具备通行条件的道路</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配合交通管制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；做好应急运输车辆、人员等的调度与准备工作，研究制定疏散滞留人员、运输应急物资的具体方案</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负责指导督促灾情所涉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加强在建工程、施工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机械</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、仓库、宿舍等的安全巡查和风险管控；排查隐患，及时发现险情，采取应急处置措施，对不具备施工条件的，及时实施停工；做好滑坡、塌方等现场安全防范。</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59" w:name="_Toc19533"/>
      <w:bookmarkStart w:id="1860" w:name="_Toc10424"/>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3.2.4预警调整与解除</w:t>
      </w:r>
      <w:bookmarkEnd w:id="1859"/>
      <w:bookmarkEnd w:id="186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eastAsia="仿宋_GB2312"/>
          <w:color w:val="000000" w:themeColor="text1"/>
          <w:spacing w:val="0"/>
          <w:sz w:val="32"/>
          <w:szCs w:val="32"/>
          <w:highlight w:val="none"/>
          <w14:textFill>
            <w14:solidFill>
              <w14:schemeClr w14:val="tx1"/>
            </w14:solidFill>
          </w14:textFill>
        </w:rPr>
        <w:t>防汛抗旱指挥部及水利、自然资源、气象</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等</w:t>
      </w:r>
      <w:r>
        <w:rPr>
          <w:rFonts w:hint="eastAsia" w:ascii="仿宋_GB2312" w:eastAsia="仿宋_GB2312"/>
          <w:color w:val="000000" w:themeColor="text1"/>
          <w:spacing w:val="0"/>
          <w:sz w:val="32"/>
          <w:szCs w:val="32"/>
          <w:highlight w:val="none"/>
          <w14:textFill>
            <w14:solidFill>
              <w14:schemeClr w14:val="tx1"/>
            </w14:solidFill>
          </w14:textFill>
        </w:rPr>
        <w:t>部门调整或解除预警，或</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由综合协调组分析</w:t>
      </w:r>
      <w:r>
        <w:rPr>
          <w:rFonts w:hint="eastAsia" w:ascii="仿宋_GB2312" w:eastAsia="仿宋_GB2312"/>
          <w:color w:val="000000" w:themeColor="text1"/>
          <w:spacing w:val="0"/>
          <w:sz w:val="32"/>
          <w:szCs w:val="32"/>
          <w:highlight w:val="none"/>
          <w14:textFill>
            <w14:solidFill>
              <w14:schemeClr w14:val="tx1"/>
            </w14:solidFill>
          </w14:textFill>
        </w:rPr>
        <w:t>研判汛情对交通运输</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行业</w:t>
      </w:r>
      <w:r>
        <w:rPr>
          <w:rFonts w:hint="eastAsia" w:ascii="仿宋_GB2312" w:eastAsia="仿宋_GB2312"/>
          <w:color w:val="000000" w:themeColor="text1"/>
          <w:spacing w:val="0"/>
          <w:sz w:val="32"/>
          <w:szCs w:val="32"/>
          <w:highlight w:val="none"/>
          <w14:textFill>
            <w14:solidFill>
              <w14:schemeClr w14:val="tx1"/>
            </w14:solidFill>
          </w14:textFill>
        </w:rPr>
        <w:t>无影响或影响可以控制后，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提出</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实施建议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报厅应急办，经厅应急办核准</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。当相关预警解除，且</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水路交通</w:t>
      </w:r>
      <w:r>
        <w:rPr>
          <w:rFonts w:hint="eastAsia" w:ascii="仿宋_GB2312" w:eastAsia="仿宋_GB2312"/>
          <w:color w:val="000000" w:themeColor="text1"/>
          <w:spacing w:val="0"/>
          <w:sz w:val="32"/>
          <w:szCs w:val="32"/>
          <w:highlight w:val="none"/>
          <w14:textFill>
            <w14:solidFill>
              <w14:schemeClr w14:val="tx1"/>
            </w14:solidFill>
          </w14:textFill>
        </w:rPr>
        <w:t>受影响趋于消除时，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w:t>
      </w:r>
      <w:r>
        <w:rPr>
          <w:rFonts w:hint="eastAsia" w:ascii="仿宋_GB2312" w:eastAsia="仿宋_GB2312"/>
          <w:color w:val="000000" w:themeColor="text1"/>
          <w:spacing w:val="0"/>
          <w:sz w:val="32"/>
          <w:szCs w:val="32"/>
          <w:highlight w:val="none"/>
          <w14:textFill>
            <w14:solidFill>
              <w14:schemeClr w14:val="tx1"/>
            </w14:solidFill>
          </w14:textFill>
        </w:rPr>
        <w:t>响应可自动终止。</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861" w:name="_Toc25922"/>
      <w:bookmarkStart w:id="1862" w:name="_Toc15484"/>
      <w:bookmarkStart w:id="1863" w:name="_Toc9859"/>
      <w:bookmarkStart w:id="1864" w:name="_Toc22996"/>
      <w:bookmarkStart w:id="1865" w:name="_Toc29971"/>
      <w:bookmarkStart w:id="1866" w:name="_Toc27905"/>
      <w:bookmarkStart w:id="1867" w:name="_Toc15646"/>
      <w:bookmarkStart w:id="1868" w:name="_Toc22340"/>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4.应急响应</w:t>
      </w:r>
      <w:bookmarkEnd w:id="1861"/>
      <w:bookmarkEnd w:id="1862"/>
      <w:bookmarkEnd w:id="1863"/>
      <w:bookmarkEnd w:id="1864"/>
      <w:bookmarkEnd w:id="1865"/>
      <w:bookmarkEnd w:id="1866"/>
      <w:bookmarkEnd w:id="1867"/>
      <w:bookmarkEnd w:id="1868"/>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869" w:name="_Toc2479"/>
      <w:bookmarkStart w:id="1870" w:name="_Toc12669"/>
      <w:bookmarkStart w:id="1871" w:name="_Toc24055"/>
      <w:bookmarkStart w:id="1872" w:name="_Toc32563"/>
      <w:bookmarkStart w:id="1873" w:name="_Toc28893"/>
      <w:bookmarkStart w:id="1874" w:name="_Toc9902"/>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4.1信息报告</w:t>
      </w:r>
      <w:bookmarkEnd w:id="1869"/>
      <w:bookmarkEnd w:id="1870"/>
      <w:bookmarkEnd w:id="1871"/>
      <w:bookmarkEnd w:id="1872"/>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75" w:name="_Toc1011"/>
      <w:bookmarkStart w:id="1876" w:name="_Toc27143"/>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4.1.1信息采集</w:t>
      </w:r>
      <w:bookmarkEnd w:id="1875"/>
      <w:bookmarkEnd w:id="187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防汛信息主要包括：雨情、水情、风情、汛情、灾情，抢险救灾进展情况，防汛人力调集、物资情况，人员转移及安置等情况。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77" w:name="_Toc30628"/>
      <w:bookmarkStart w:id="1878" w:name="_Toc32302"/>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w:t>
      </w:r>
      <w:bookmarkEnd w:id="1877"/>
      <w:bookmarkEnd w:id="187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上报</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各级交通运输部门和单位按照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《全区交通运输行业突发事件信息管理制度（试行）》等规定，报告突发事件信息。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eastAsia="仿宋_GB2312"/>
          <w:color w:val="000000" w:themeColor="text1"/>
          <w:spacing w:val="0"/>
          <w:sz w:val="32"/>
          <w:szCs w:val="32"/>
          <w:highlight w:val="none"/>
          <w14:textFill>
            <w14:solidFill>
              <w14:schemeClr w14:val="tx1"/>
            </w14:solidFill>
          </w14:textFill>
        </w:rPr>
        <w:t>信息后，按照有关规定要求报送信息。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879" w:name="_Toc3878"/>
      <w:bookmarkStart w:id="1880" w:name="_Toc19547"/>
      <w:bookmarkStart w:id="1881" w:name="_Toc1690"/>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4.2响应分级</w:t>
      </w:r>
      <w:bookmarkEnd w:id="1873"/>
      <w:bookmarkEnd w:id="1874"/>
      <w:bookmarkEnd w:id="1879"/>
      <w:bookmarkEnd w:id="1880"/>
      <w:bookmarkEnd w:id="188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交通运输厅防汛应急响应行动分为</w:t>
      </w:r>
      <w:r>
        <w:rPr>
          <w:rFonts w:hint="eastAsia" w:ascii="仿宋_GB2312" w:eastAsia="仿宋_GB2312"/>
          <w:color w:val="000000" w:themeColor="text1"/>
          <w:spacing w:val="0"/>
          <w:sz w:val="32"/>
          <w:szCs w:val="32"/>
          <w:highlight w:val="none"/>
          <w:lang w:eastAsia="zh-CN"/>
          <w14:textFill>
            <w14:solidFill>
              <w14:schemeClr w14:val="tx1"/>
            </w14:solidFill>
          </w14:textFill>
        </w:rPr>
        <w:t>Ⅰ级、Ⅱ级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eastAsia="zh-CN"/>
          <w14:textFill>
            <w14:solidFill>
              <w14:schemeClr w14:val="tx1"/>
            </w14:solidFill>
          </w14:textFill>
        </w:rPr>
        <w:t>Ⅲ级、Ⅳ级</w:t>
      </w:r>
      <w:r>
        <w:rPr>
          <w:rFonts w:hint="eastAsia" w:ascii="仿宋_GB2312"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outlineLvl w:val="9"/>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pPr>
      <w:bookmarkStart w:id="1882" w:name="_Toc31858"/>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当接到交通运输部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自治区指挥部</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防汛</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应急响应信息</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或</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发生特别重大、重大</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洪涝灾害后</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启动</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发生较大、一般</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洪涝灾害后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 xml:space="preserve">，超出事发地市、 </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应对能力，经市、</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交通运输主管部门提出，或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认为必要时启动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应急响应。</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eastAsia="仿宋_GB2312"/>
          <w:color w:val="000000" w:themeColor="text1"/>
          <w:spacing w:val="0"/>
          <w:sz w:val="32"/>
          <w:szCs w:val="32"/>
          <w:highlight w:val="none"/>
          <w14:textFill>
            <w14:solidFill>
              <w14:schemeClr w14:val="tx1"/>
            </w14:solidFill>
          </w14:textFill>
        </w:rPr>
        <w:t>政府责成处理的</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洪涝灾害</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eastAsia="zh-CN"/>
          <w14:textFill>
            <w14:solidFill>
              <w14:schemeClr w14:val="tx1"/>
            </w14:solidFill>
          </w14:textFill>
        </w:rPr>
        <w:t>厅工作指挥机构</w:t>
      </w:r>
      <w:r>
        <w:rPr>
          <w:rFonts w:hint="eastAsia" w:ascii="仿宋_GB2312" w:eastAsia="仿宋_GB2312"/>
          <w:color w:val="000000" w:themeColor="text1"/>
          <w:spacing w:val="0"/>
          <w:sz w:val="32"/>
          <w:szCs w:val="32"/>
          <w:highlight w:val="none"/>
          <w14:textFill>
            <w14:solidFill>
              <w14:schemeClr w14:val="tx1"/>
            </w14:solidFill>
          </w14:textFill>
        </w:rPr>
        <w:t>研判后启动相应等级响应。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883" w:name="_Toc12658"/>
      <w:bookmarkStart w:id="1884" w:name="_Toc5865"/>
      <w:bookmarkStart w:id="1885" w:name="_Toc9143"/>
      <w:bookmarkStart w:id="1886" w:name="_Toc7633"/>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4.3应急响应及措施</w:t>
      </w:r>
      <w:bookmarkEnd w:id="1882"/>
      <w:bookmarkEnd w:id="1883"/>
      <w:bookmarkEnd w:id="1884"/>
      <w:bookmarkEnd w:id="1885"/>
      <w:bookmarkEnd w:id="1886"/>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87" w:name="_Toc14207"/>
      <w:bookmarkStart w:id="1888" w:name="_Toc10305"/>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4.3.1厅防汛工作指挥机构响应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经综合协调组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报厅应急办，经应急办分析研判后，报厅工作指挥机构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bookmarkEnd w:id="1887"/>
    <w:bookmarkEnd w:id="1888"/>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Ⅰ级、Ⅱ级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宣布启动，负责指导、协调应急处置工作，主要采取以下措施：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①及时传达并响应</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防汛抗旱指挥部宣布进入紧急防汛期或部分地区进入紧急防汛</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期的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召集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加强研判，重要情况随时会商研判，研判事态发展，做出防汛救灾工作部署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③强化应急值班值守，全面收集整理灾情和防汛工作动态，加强防汛工作督查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厅防汛工作指挥机构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视情派出相关现场工作组和专家赶赴现场开展应急救援，指导调度灾情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涉及</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做好应急队伍、车辆和船舶准备，及时抢修加固受损的交通运输基础设施等保障工作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⑤遇有超出</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厅防汛工作指挥机构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应急处置能力的灾情，及时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的，由指挥长宣布启动并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指导、协调应急处置工作，主要采取以下措施：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①根据需要参与</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防汛抗旱指挥部组织的防汛会商，及时落实</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防汛抗旱指挥部工作部署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②视情派出现场工作组或专家组给予指导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③实行值班值守，密切跟踪事态进展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④协助地方开展应急处置工作。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889" w:name="_Toc21180"/>
      <w:bookmarkStart w:id="1890" w:name="_Toc2482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4.3.2应急响应措施</w:t>
      </w:r>
      <w:bookmarkEnd w:id="1889"/>
      <w:bookmarkEnd w:id="189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工作指挥机构组织、协调、指导相关单位开展以下工作：</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对已中断交通或危及通行安全的道路、桥梁、隧道等设施，设立警示标志，</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并采取</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搭建临时通行设施</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限载、限速、封闭通行等措施。对严重受损的道路、桥梁、隧道等设施，安排专人看守。</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配合公安部门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制定分流方案</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设置交通导改标志疏导交通，避免社会车辆驶入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水毁路段</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通过广播、公告板、公路可变情报板等方式向社会通报路况情况。</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组织制定方案，</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保护路基和桥基不被进一步的破坏；充分考虑水泡导致的土壤承载力丧失；及时恢复和加固遭水毁边坡、挡土墙和其他遭水毁的设施，施工中不妨碍排水和泄洪。</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负责指导对重要交通枢纽等风险管控，迅速采取措施，设置挡水板、码放防水沙袋，及时排水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如道路、桥面积水过深、水泵排水速度赶不上汇水速度，增加应急水泵。如果积水过深、车辆不能通行时，要立即</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配合公安部门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采取封路措施，同时向</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报告。</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eastAsia="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负责指导督促灾情所涉及</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做好应急车辆、船舶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队伍等的调度与运输保障工作，科学配置应急运输力量，保证紧急情况下的优先安排、优先调度、优先放行，在紧急情况下依法征用社会交通运输工具，确保应急运输安全畅通；根据应急处置需要，配合公安部门对现场及相关通道实行交通管制，开设应急救援“绿色通道”，保证应急救援工作的顺利开展</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按照“先重点后一般、先干线后支线、先抢通后修复”原则，优先抢通灾民疏散、救灾物资、救灾人员运输的通行路线，重点确保</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高速公路、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国道和主要省道干线及灾区进出口的交通通畅。</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7</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负责组织协调灾情所涉及厅直管交通工程项目</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的风险管控，</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受困</w:t>
      </w:r>
      <w:r>
        <w:rPr>
          <w:rFonts w:ascii="仿宋_GB2312" w:hAnsi="Times New Roman" w:eastAsia="仿宋_GB2312" w:cs="Times New Roman"/>
          <w:color w:val="000000" w:themeColor="text1"/>
          <w:spacing w:val="0"/>
          <w:sz w:val="32"/>
          <w:szCs w:val="32"/>
          <w:highlight w:val="none"/>
          <w14:textFill>
            <w14:solidFill>
              <w14:schemeClr w14:val="tx1"/>
            </w14:solidFill>
          </w14:textFill>
        </w:rPr>
        <w:t>人员疏散</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撤离</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指导督促灾情所涉及</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交通运输主管部门开展其他交通工程项目受困</w:t>
      </w:r>
      <w:r>
        <w:rPr>
          <w:rFonts w:ascii="仿宋_GB2312" w:hAnsi="Times New Roman" w:eastAsia="仿宋_GB2312" w:cs="Times New Roman"/>
          <w:color w:val="000000" w:themeColor="text1"/>
          <w:spacing w:val="0"/>
          <w:sz w:val="32"/>
          <w:szCs w:val="32"/>
          <w:highlight w:val="none"/>
          <w14:textFill>
            <w14:solidFill>
              <w14:schemeClr w14:val="tx1"/>
            </w14:solidFill>
          </w14:textFill>
        </w:rPr>
        <w:t>人员疏散</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/撤离</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并对</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在建交通工程和施工设备进行</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安全</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管控。</w:t>
      </w:r>
      <w:r>
        <w:rPr>
          <w:rFonts w:ascii="仿宋_GB2312" w:hAnsi="Times New Roman" w:eastAsia="仿宋_GB2312" w:cs="Times New Roman"/>
          <w:color w:val="000000" w:themeColor="text1"/>
          <w:spacing w:val="0"/>
          <w:sz w:val="32"/>
          <w:szCs w:val="32"/>
          <w:highlight w:val="none"/>
          <w14:textFill>
            <w14:solidFill>
              <w14:schemeClr w14:val="tx1"/>
            </w14:solidFill>
          </w14:textFill>
        </w:rPr>
        <w:t xml:space="preserve"> </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（8）指导相关单位加强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渡口构筑和加固防洪堤，并加强巡查维护。</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加强对“两客一危”车辆的重点监控，发生危险货物泄漏、爆炸时，及时配合消防、应急等部门进行处置。</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891" w:name="_Toc8566"/>
      <w:bookmarkStart w:id="1892" w:name="_Toc1992"/>
      <w:bookmarkStart w:id="1893" w:name="_Toc21553"/>
      <w:bookmarkStart w:id="1894" w:name="_Toc14447"/>
      <w:bookmarkStart w:id="1895" w:name="_Toc1021"/>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4.4信息发布</w:t>
      </w:r>
      <w:bookmarkEnd w:id="1891"/>
      <w:bookmarkEnd w:id="1892"/>
      <w:bookmarkEnd w:id="1893"/>
      <w:bookmarkEnd w:id="1894"/>
      <w:bookmarkEnd w:id="189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bookmarkStart w:id="1896" w:name="_Toc5448"/>
      <w:bookmarkStart w:id="1897" w:name="_Toc15868"/>
      <w:bookmarkStart w:id="1898" w:name="_Toc26527"/>
      <w:bookmarkStart w:id="1899" w:name="_Toc3596"/>
      <w:bookmarkStart w:id="1900" w:name="_Toc7125"/>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w:t>
      </w:r>
      <w:r>
        <w:rPr>
          <w:rFonts w:hint="eastAsia" w:eastAsia="仿宋_GB2312"/>
          <w:color w:val="000000" w:themeColor="text1"/>
          <w:spacing w:val="0"/>
          <w:sz w:val="32"/>
          <w:szCs w:val="32"/>
          <w:highlight w:val="none"/>
          <w14:textFill>
            <w14:solidFill>
              <w14:schemeClr w14:val="tx1"/>
            </w14:solidFill>
          </w14:textFill>
        </w:rPr>
        <w:t>突发事件信息发布</w:t>
      </w:r>
      <w:r>
        <w:rPr>
          <w:rFonts w:hint="eastAsia" w:eastAsia="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4.5响应级别调整和终止</w:t>
      </w:r>
      <w:bookmarkEnd w:id="1896"/>
      <w:bookmarkEnd w:id="1897"/>
      <w:bookmarkEnd w:id="1898"/>
      <w:bookmarkEnd w:id="1899"/>
      <w:bookmarkEnd w:id="190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14:textFill>
            <w14:solidFill>
              <w14:schemeClr w14:val="tx1"/>
            </w14:solidFill>
          </w14:textFill>
        </w:rPr>
      </w:pPr>
      <w:r>
        <w:rPr>
          <w:rFonts w:ascii="仿宋_GB2312" w:hAnsi="Times New Roman" w:eastAsia="仿宋_GB2312" w:cs="Times New Roman"/>
          <w:color w:val="000000" w:themeColor="text1"/>
          <w:spacing w:val="0"/>
          <w:sz w:val="32"/>
          <w:szCs w:val="32"/>
          <w:highlight w:val="none"/>
          <w14:textFill>
            <w14:solidFill>
              <w14:schemeClr w14:val="tx1"/>
            </w14:solidFill>
          </w14:textFill>
        </w:rPr>
        <w:t>在确认突发事件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应急处置工作已经基本完成，次生、衍生事故危害已经基本消除</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经厅应急办核准，报</w:t>
      </w:r>
      <w:r>
        <w:rPr>
          <w:rFonts w:hint="eastAsia" w:ascii="仿宋_GB2312" w:eastAsia="仿宋_GB2312"/>
          <w:b w:val="0"/>
          <w:bCs w:val="0"/>
          <w:color w:val="000000" w:themeColor="text1"/>
          <w:spacing w:val="0"/>
          <w:sz w:val="32"/>
          <w:szCs w:val="32"/>
          <w:highlight w:val="none"/>
          <w14:textFill>
            <w14:solidFill>
              <w14:schemeClr w14:val="tx1"/>
            </w14:solidFill>
          </w14:textFill>
        </w:rPr>
        <w:t>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同意后实施，并</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901" w:name="_Toc30816"/>
      <w:bookmarkStart w:id="1902" w:name="_Toc8208"/>
      <w:bookmarkStart w:id="1903" w:name="_Toc29257"/>
      <w:bookmarkStart w:id="1904" w:name="_Toc13784"/>
      <w:bookmarkStart w:id="1905" w:name="_Toc14966"/>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4.6后期处置</w:t>
      </w:r>
      <w:bookmarkEnd w:id="1901"/>
      <w:bookmarkEnd w:id="1902"/>
      <w:bookmarkEnd w:id="1903"/>
      <w:bookmarkEnd w:id="1904"/>
      <w:bookmarkEnd w:id="1905"/>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906" w:name="_Toc14495"/>
      <w:bookmarkStart w:id="1907" w:name="_Toc3786"/>
      <w:bookmarkStart w:id="1908" w:name="_Toc30471"/>
      <w:bookmarkStart w:id="1909" w:name="_Toc480"/>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4.6.1次生灾害防范和社会风险管控</w:t>
      </w:r>
      <w:bookmarkEnd w:id="1906"/>
      <w:bookmarkEnd w:id="1907"/>
      <w:bookmarkEnd w:id="1908"/>
      <w:bookmarkEnd w:id="190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交通运输厅应密切监测分析重特大灾害对</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交通运输厅直管行业可能引发的次生灾害，及时采取预防和应对措施；及时防范化解重特大灾害可能引发的社会风险，加强舆情监测和管控，维护社会稳定和社会秩序。</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default"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1910" w:name="_Toc4106"/>
      <w:bookmarkStart w:id="1911" w:name="_Toc17291"/>
      <w:bookmarkStart w:id="1912" w:name="_Toc14816"/>
      <w:bookmarkStart w:id="1913" w:name="_Toc24522"/>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4.6.2恢复与重建</w:t>
      </w:r>
      <w:bookmarkEnd w:id="1910"/>
      <w:bookmarkEnd w:id="1911"/>
      <w:bookmarkEnd w:id="1912"/>
      <w:bookmarkEnd w:id="1913"/>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宁夏公路管理中心和公路经营</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等相关单位，要按照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各自职责，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实施高速公路和普通国省干线公路的恢复重建工作。</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914" w:name="_Toc5723"/>
      <w:bookmarkStart w:id="1915" w:name="_Toc9394"/>
      <w:bookmarkStart w:id="1916" w:name="_Toc321"/>
      <w:bookmarkStart w:id="1917" w:name="_Toc15622"/>
      <w:bookmarkStart w:id="1918" w:name="_Toc2780"/>
      <w:bookmarkStart w:id="1919" w:name="_Toc9462"/>
      <w:bookmarkStart w:id="1920" w:name="_Toc26146"/>
      <w:bookmarkStart w:id="1921" w:name="_Toc2783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5.保障措施</w:t>
      </w:r>
      <w:bookmarkEnd w:id="1914"/>
      <w:bookmarkEnd w:id="1915"/>
      <w:bookmarkEnd w:id="1916"/>
      <w:bookmarkEnd w:id="1917"/>
      <w:bookmarkEnd w:id="1918"/>
      <w:bookmarkEnd w:id="1919"/>
      <w:bookmarkEnd w:id="1920"/>
      <w:bookmarkEnd w:id="1921"/>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922" w:name="_Toc9565"/>
      <w:bookmarkStart w:id="1923" w:name="_Toc18421"/>
      <w:bookmarkStart w:id="1924" w:name="_Toc11187"/>
      <w:bookmarkStart w:id="1925" w:name="_Toc22872"/>
      <w:bookmarkStart w:id="1926" w:name="_Toc29652"/>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5.1交通运力保障</w:t>
      </w:r>
      <w:bookmarkEnd w:id="1922"/>
      <w:bookmarkEnd w:id="1923"/>
      <w:bookmarkEnd w:id="1924"/>
      <w:bookmarkEnd w:id="1925"/>
      <w:bookmarkEnd w:id="192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自治区</w:t>
      </w:r>
      <w:r>
        <w:rPr>
          <w:rFonts w:hint="eastAsia" w:ascii="仿宋_GB2312" w:eastAsia="仿宋_GB2312"/>
          <w:color w:val="000000" w:themeColor="text1"/>
          <w:spacing w:val="0"/>
          <w:sz w:val="32"/>
          <w:szCs w:val="32"/>
          <w:highlight w:val="none"/>
          <w14:textFill>
            <w14:solidFill>
              <w14:schemeClr w14:val="tx1"/>
            </w14:solidFill>
          </w14:textFill>
        </w:rPr>
        <w:t>交通运输厅应协调公安部门优先保证防汛工作应急车辆的通行，保障抗洪抢险人员、群众安全转移、防汛救灾物资的运输；做好抢险救灾所需车辆、船舶运力储备和公路通畅、渡口保运等工作。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pPr>
      <w:bookmarkStart w:id="1927" w:name="_Toc31166"/>
      <w:bookmarkStart w:id="1928" w:name="_Toc31073"/>
      <w:bookmarkStart w:id="1929" w:name="_Toc2453"/>
      <w:bookmarkStart w:id="1930" w:name="_Toc27437"/>
      <w:bookmarkStart w:id="1931" w:name="_Toc19233"/>
      <w:r>
        <w:rPr>
          <w:rFonts w:hint="eastAsia" w:ascii="楷体_GB2312" w:hAnsi="仿宋" w:eastAsia="楷体_GB2312" w:cs="Times New Roman"/>
          <w:b/>
          <w:bCs/>
          <w:color w:val="000000" w:themeColor="text1"/>
          <w:spacing w:val="0"/>
          <w:sz w:val="32"/>
          <w:szCs w:val="32"/>
          <w:highlight w:val="none"/>
          <w:lang w:val="en-US" w:eastAsia="zh-CN"/>
          <w14:textFill>
            <w14:solidFill>
              <w14:schemeClr w14:val="tx1"/>
            </w14:solidFill>
          </w14:textFill>
        </w:rPr>
        <w:t>5.2专家技术保障</w:t>
      </w:r>
      <w:bookmarkEnd w:id="1927"/>
      <w:bookmarkEnd w:id="1928"/>
      <w:bookmarkEnd w:id="1929"/>
      <w:bookmarkEnd w:id="1930"/>
      <w:bookmarkEnd w:id="193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lang w:eastAsia="zh-CN"/>
          <w14:textFill>
            <w14:solidFill>
              <w14:schemeClr w14:val="tx1"/>
            </w14:solidFill>
          </w14:textFill>
        </w:rPr>
        <w:t>自治区</w:t>
      </w:r>
      <w:r>
        <w:rPr>
          <w:rFonts w:ascii="仿宋_GB2312" w:eastAsia="仿宋_GB2312"/>
          <w:color w:val="000000" w:themeColor="text1"/>
          <w:spacing w:val="0"/>
          <w:sz w:val="32"/>
          <w:szCs w:val="32"/>
          <w:highlight w:val="none"/>
          <w14:textFill>
            <w14:solidFill>
              <w14:schemeClr w14:val="tx1"/>
            </w14:solidFill>
          </w14:textFill>
        </w:rPr>
        <w:t>交通运输厅应不断</w:t>
      </w:r>
      <w:r>
        <w:rPr>
          <w:rFonts w:hint="eastAsia" w:ascii="仿宋_GB2312" w:eastAsia="仿宋_GB2312"/>
          <w:color w:val="000000" w:themeColor="text1"/>
          <w:spacing w:val="0"/>
          <w:sz w:val="32"/>
          <w:szCs w:val="32"/>
          <w:highlight w:val="none"/>
          <w14:textFill>
            <w14:solidFill>
              <w14:schemeClr w14:val="tx1"/>
            </w14:solidFill>
          </w14:textFill>
        </w:rPr>
        <w:t>完善防汛</w:t>
      </w:r>
      <w:r>
        <w:rPr>
          <w:rFonts w:ascii="仿宋_GB2312" w:eastAsia="仿宋_GB2312"/>
          <w:color w:val="000000" w:themeColor="text1"/>
          <w:spacing w:val="0"/>
          <w:sz w:val="32"/>
          <w:szCs w:val="32"/>
          <w:highlight w:val="none"/>
          <w14:textFill>
            <w14:solidFill>
              <w14:schemeClr w14:val="tx1"/>
            </w14:solidFill>
          </w14:textFill>
        </w:rPr>
        <w:t>专家库，根据</w:t>
      </w:r>
      <w:r>
        <w:rPr>
          <w:rFonts w:hint="eastAsia" w:ascii="仿宋_GB2312" w:eastAsia="仿宋_GB2312"/>
          <w:color w:val="000000" w:themeColor="text1"/>
          <w:spacing w:val="0"/>
          <w:sz w:val="32"/>
          <w:szCs w:val="32"/>
          <w:highlight w:val="none"/>
          <w14:textFill>
            <w14:solidFill>
              <w14:schemeClr w14:val="tx1"/>
            </w14:solidFill>
          </w14:textFill>
        </w:rPr>
        <w:t>应急处置</w:t>
      </w:r>
      <w:r>
        <w:rPr>
          <w:rFonts w:ascii="仿宋_GB2312" w:eastAsia="仿宋_GB2312"/>
          <w:color w:val="000000" w:themeColor="text1"/>
          <w:spacing w:val="0"/>
          <w:sz w:val="32"/>
          <w:szCs w:val="32"/>
          <w:highlight w:val="none"/>
          <w14:textFill>
            <w14:solidFill>
              <w14:schemeClr w14:val="tx1"/>
            </w14:solidFill>
          </w14:textFill>
        </w:rPr>
        <w:t>需要，</w:t>
      </w:r>
      <w:r>
        <w:rPr>
          <w:rFonts w:hint="eastAsia" w:ascii="仿宋_GB2312" w:eastAsia="仿宋_GB2312"/>
          <w:color w:val="000000" w:themeColor="text1"/>
          <w:spacing w:val="0"/>
          <w:sz w:val="32"/>
          <w:szCs w:val="32"/>
          <w:highlight w:val="none"/>
          <w14:textFill>
            <w14:solidFill>
              <w14:schemeClr w14:val="tx1"/>
            </w14:solidFill>
          </w14:textFill>
        </w:rPr>
        <w:t>组织</w:t>
      </w:r>
      <w:r>
        <w:rPr>
          <w:rFonts w:ascii="仿宋_GB2312" w:eastAsia="仿宋_GB2312"/>
          <w:color w:val="000000" w:themeColor="text1"/>
          <w:spacing w:val="0"/>
          <w:sz w:val="32"/>
          <w:szCs w:val="32"/>
          <w:highlight w:val="none"/>
          <w14:textFill>
            <w14:solidFill>
              <w14:schemeClr w14:val="tx1"/>
            </w14:solidFill>
          </w14:textFill>
        </w:rPr>
        <w:t>专家参与救援</w:t>
      </w:r>
      <w:r>
        <w:rPr>
          <w:rFonts w:hint="eastAsia" w:ascii="仿宋_GB2312"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5.</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应急演练</w:t>
      </w:r>
    </w:p>
    <w:p>
      <w:pPr>
        <w:keepNext w:val="0"/>
        <w:keepLines w:val="0"/>
        <w:pageBreakBefore w:val="0"/>
        <w:widowControl w:val="0"/>
        <w:kinsoku/>
        <w:wordWrap/>
        <w:overflowPunct/>
        <w:topLinePunct/>
        <w:autoSpaceDE/>
        <w:autoSpaceDN/>
        <w:bidi w:val="0"/>
        <w:adjustRightInd/>
        <w:snapToGrid w:val="0"/>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安全与质量监督管理</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年至少进行一次应急演练</w:t>
      </w:r>
      <w:r>
        <w:rPr>
          <w:rFonts w:hint="eastAsia" w:ascii="仿宋_GB2312" w:hAnsi="宋体"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p>
    <w:p>
      <w:pPr>
        <w:keepNext w:val="0"/>
        <w:pageBreakBefore w:val="0"/>
        <w:widowControl w:val="0"/>
        <w:kinsoku/>
        <w:topLinePunct/>
        <w:bidi w:val="0"/>
        <w:jc w:val="cente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br w:type="page"/>
      </w:r>
      <w: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t>防汛抢险应急处置流程图</w:t>
      </w:r>
    </w:p>
    <w:p>
      <w:pPr>
        <w:keepNext w:val="0"/>
        <w:pageBreakBefore w:val="0"/>
        <w:widowControl w:val="0"/>
        <w:kinsoku/>
        <w:topLinePunct/>
        <w:bidi w:val="0"/>
        <w:jc w:val="cente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0"/>
          <w:sz w:val="44"/>
          <w:szCs w:val="44"/>
          <w:highlight w:val="none"/>
          <w:lang w:val="en-US" w:eastAsia="zh-CN"/>
          <w14:textFill>
            <w14:solidFill>
              <w14:schemeClr w14:val="tx1"/>
            </w14:solidFill>
          </w14:textFill>
        </w:rPr>
        <w:drawing>
          <wp:inline distT="0" distB="0" distL="114300" distR="114300">
            <wp:extent cx="5267325" cy="7311390"/>
            <wp:effectExtent l="0" t="0" r="3175" b="3810"/>
            <wp:docPr id="37" name="图片 37" descr="防汛抢险流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防汛抢险流程4"/>
                    <pic:cNvPicPr>
                      <a:picLocks noChangeAspect="1"/>
                    </pic:cNvPicPr>
                  </pic:nvPicPr>
                  <pic:blipFill>
                    <a:blip r:embed="rId14"/>
                    <a:stretch>
                      <a:fillRect/>
                    </a:stretch>
                  </pic:blipFill>
                  <pic:spPr>
                    <a:xfrm>
                      <a:off x="0" y="0"/>
                      <a:ext cx="5267325" cy="7311390"/>
                    </a:xfrm>
                    <a:prstGeom prst="rect">
                      <a:avLst/>
                    </a:prstGeom>
                  </pic:spPr>
                </pic:pic>
              </a:graphicData>
            </a:graphic>
          </wp:inline>
        </w:drawing>
      </w:r>
    </w:p>
    <w:p>
      <w:pPr>
        <w:keepNext w:val="0"/>
        <w:pageBreakBefore w:val="0"/>
        <w:widowControl w:val="0"/>
        <w:kinsoku/>
        <w:topLinePunct/>
        <w:bidi w:val="0"/>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br w:type="page"/>
      </w:r>
    </w:p>
    <w:p>
      <w:pPr>
        <w:keepNext w:val="0"/>
        <w:keepLines w:val="0"/>
        <w:pageBreakBefore w:val="0"/>
        <w:widowControl w:val="0"/>
        <w:kinsoku/>
        <w:overflowPunct/>
        <w:topLinePunct/>
        <w:bidi w:val="0"/>
        <w:ind w:left="0" w:leftChars="0"/>
        <w:rPr>
          <w:rFonts w:hint="eastAsia" w:ascii="仿宋_GB2312" w:eastAsia="仿宋_GB2312"/>
          <w:color w:val="000000" w:themeColor="text1"/>
          <w:spacing w:val="0"/>
          <w:sz w:val="32"/>
          <w:szCs w:val="32"/>
          <w:highlight w:val="none"/>
          <w14:textFill>
            <w14:solidFill>
              <w14:schemeClr w14:val="tx1"/>
            </w14:solidFill>
          </w14:textFill>
        </w:r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1932" w:name="_Toc32361"/>
      <w:bookmarkStart w:id="1933" w:name="_Toc25597"/>
      <w:bookmarkStart w:id="1934" w:name="_Toc21459"/>
      <w:bookmarkStart w:id="1935" w:name="_Toc14155"/>
      <w:bookmarkStart w:id="1936" w:name="_Toc26789"/>
      <w:bookmarkStart w:id="1937" w:name="_Toc527553030"/>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7、宁夏回族自治区交通运输厅</w:t>
      </w:r>
      <w:bookmarkEnd w:id="1932"/>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1938" w:name="_Toc23346"/>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地震应急预案</w:t>
      </w:r>
      <w:bookmarkEnd w:id="1938"/>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Chars="0"/>
        <w:jc w:val="center"/>
        <w:textAlignment w:val="auto"/>
        <w:outlineLvl w:val="0"/>
        <w:rPr>
          <w:rFonts w:hint="eastAsia" w:ascii="方正楷体_GBK" w:hAnsi="方正楷体_GBK" w:eastAsia="方正楷体_GBK" w:cs="方正楷体_GBK"/>
          <w:b w:val="0"/>
          <w:bCs/>
          <w:color w:val="000000" w:themeColor="text1"/>
          <w:spacing w:val="0"/>
          <w:sz w:val="32"/>
          <w:szCs w:val="32"/>
          <w:highlight w:val="none"/>
          <w:lang w:val="en-US" w:eastAsia="zh-CN"/>
          <w14:textFill>
            <w14:solidFill>
              <w14:schemeClr w14:val="tx1"/>
            </w14:solidFill>
          </w14:textFill>
        </w:rPr>
      </w:pPr>
      <w:bookmarkStart w:id="1939" w:name="_Toc14139"/>
      <w:r>
        <w:rPr>
          <w:rFonts w:hint="eastAsia" w:ascii="方正楷体_GBK" w:hAnsi="方正楷体_GBK" w:eastAsia="方正楷体_GBK" w:cs="方正楷体_GBK"/>
          <w:b w:val="0"/>
          <w:bCs/>
          <w:color w:val="000000" w:themeColor="text1"/>
          <w:spacing w:val="0"/>
          <w:sz w:val="32"/>
          <w:szCs w:val="32"/>
          <w:highlight w:val="none"/>
          <w:lang w:val="en-US" w:eastAsia="zh-CN"/>
          <w14:textFill>
            <w14:solidFill>
              <w14:schemeClr w14:val="tx1"/>
            </w14:solidFill>
          </w14:textFill>
        </w:rPr>
        <w:t>（已发布）</w:t>
      </w:r>
      <w:bookmarkEnd w:id="1933"/>
      <w:bookmarkEnd w:id="1939"/>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jc w:val="center"/>
        <w:textAlignment w:val="auto"/>
        <w:outlineLvl w:val="9"/>
        <w:rPr>
          <w:rFonts w:hint="eastAsia" w:ascii="微软雅黑" w:hAnsi="Times New Roman" w:eastAsia="微软雅黑" w:cs="Times New Roman"/>
          <w:b/>
          <w:color w:val="000000" w:themeColor="text1"/>
          <w:spacing w:val="0"/>
          <w:sz w:val="44"/>
          <w:szCs w:val="44"/>
          <w:highlight w:val="none"/>
          <w:lang w:val="en-US"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ind w:left="0" w:leftChars="0"/>
        <w:textAlignment w:val="auto"/>
        <w:outlineLvl w:val="9"/>
        <w:rPr>
          <w:rFonts w:hint="eastAsia"/>
          <w:color w:val="000000" w:themeColor="text1"/>
          <w:highlight w:val="none"/>
          <w:lang w:val="en-US" w:eastAsia="zh-CN"/>
          <w14:textFill>
            <w14:solidFill>
              <w14:schemeClr w14:val="tx1"/>
            </w14:solidFill>
          </w14:textFill>
        </w:rPr>
        <w:sectPr>
          <w:footerReference r:id="rId9" w:type="default"/>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1940" w:name="_Toc16867"/>
      <w:bookmarkStart w:id="1941" w:name="_Toc20861"/>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8、宁夏回族自治区交通运输厅城市公共</w:t>
      </w:r>
      <w:bookmarkEnd w:id="1940"/>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1942" w:name="_Toc9171"/>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汽电车突发事件应急预案</w:t>
      </w:r>
      <w:bookmarkEnd w:id="1934"/>
      <w:bookmarkEnd w:id="1935"/>
      <w:bookmarkEnd w:id="1936"/>
      <w:bookmarkEnd w:id="1941"/>
      <w:bookmarkEnd w:id="1942"/>
    </w:p>
    <w:bookmarkEnd w:id="1937"/>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黑体" w:hAnsi="黑体" w:eastAsia="黑体"/>
          <w:b w:val="0"/>
          <w:bCs w:val="0"/>
          <w:color w:val="000000" w:themeColor="text1"/>
          <w:spacing w:val="0"/>
          <w:sz w:val="32"/>
          <w:szCs w:val="32"/>
          <w:highlight w:val="none"/>
          <w:lang w:val="en-US" w:eastAsia="zh-CN"/>
          <w14:textFill>
            <w14:solidFill>
              <w14:schemeClr w14:val="tx1"/>
            </w14:solidFill>
          </w14:textFill>
        </w:rPr>
      </w:pPr>
      <w:bookmarkStart w:id="1943" w:name="_Toc527553033"/>
      <w:bookmarkStart w:id="1944" w:name="_Toc488926833"/>
      <w:bookmarkStart w:id="1945" w:name="_Toc9661"/>
      <w:bookmarkStart w:id="1946" w:name="_Toc22515"/>
      <w:bookmarkStart w:id="1947" w:name="_Toc7813"/>
      <w:bookmarkStart w:id="1948" w:name="_Toc31538"/>
      <w:bookmarkStart w:id="1949" w:name="_Toc31473"/>
      <w:bookmarkStart w:id="1950" w:name="_Toc1042"/>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951" w:name="_Toc760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1943"/>
      <w:bookmarkEnd w:id="1944"/>
      <w:bookmarkEnd w:id="1945"/>
      <w:bookmarkEnd w:id="1946"/>
      <w:bookmarkEnd w:id="1947"/>
      <w:bookmarkEnd w:id="1948"/>
      <w:bookmarkEnd w:id="1949"/>
      <w:bookmarkEnd w:id="1950"/>
      <w:bookmarkEnd w:id="1951"/>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952" w:name="_Toc29980"/>
      <w:bookmarkStart w:id="1953" w:name="_Toc24054"/>
      <w:bookmarkStart w:id="1954" w:name="_Toc488926834"/>
      <w:bookmarkStart w:id="1955" w:name="_Toc527553034"/>
      <w:bookmarkStart w:id="1956" w:name="_Toc22613"/>
      <w:bookmarkStart w:id="1957" w:name="_Toc17947"/>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1.1编制目的</w:t>
      </w:r>
      <w:bookmarkEnd w:id="1952"/>
      <w:bookmarkEnd w:id="1953"/>
      <w:bookmarkEnd w:id="1954"/>
      <w:bookmarkEnd w:id="1955"/>
      <w:bookmarkEnd w:id="1956"/>
      <w:bookmarkEnd w:id="195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eastAsia="仿宋_GB2312"/>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为规范和加强</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宁夏回族自治区</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交通运输厅（以下简称</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自治区</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城市公共汽电车突发事件的应急管理工作，有效应对城市公共汽电车突发事件，及时保障、恢复城市公共汽电车正常运行秩序</w:t>
      </w:r>
      <w:r>
        <w:rPr>
          <w:rFonts w:hint="eastAsia" w:eastAsia="仿宋_GB2312"/>
          <w:color w:val="000000" w:themeColor="text1"/>
          <w:spacing w:val="0"/>
          <w:sz w:val="32"/>
          <w:szCs w:val="32"/>
          <w:highlight w:val="none"/>
          <w14:textFill>
            <w14:solidFill>
              <w14:schemeClr w14:val="tx1"/>
            </w14:solidFill>
          </w14:textFill>
        </w:rPr>
        <w:t>，制定本预案。</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958" w:name="_Toc4878"/>
      <w:bookmarkStart w:id="1959" w:name="_Toc18127"/>
      <w:bookmarkStart w:id="1960" w:name="_Toc409"/>
      <w:bookmarkStart w:id="1961" w:name="_Toc488926835"/>
      <w:bookmarkStart w:id="1962" w:name="_Toc527553035"/>
      <w:bookmarkStart w:id="1963" w:name="_Toc1223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1.2编制依据</w:t>
      </w:r>
      <w:bookmarkEnd w:id="1958"/>
      <w:bookmarkEnd w:id="1959"/>
      <w:bookmarkEnd w:id="1960"/>
      <w:bookmarkEnd w:id="1961"/>
      <w:bookmarkEnd w:id="1962"/>
      <w:bookmarkEnd w:id="1963"/>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eastAsia="仿宋_GB2312"/>
          <w:color w:val="000000" w:themeColor="text1"/>
          <w:spacing w:val="0"/>
          <w:sz w:val="32"/>
          <w:szCs w:val="32"/>
          <w:highlight w:val="none"/>
          <w14:textFill>
            <w14:solidFill>
              <w14:schemeClr w14:val="tx1"/>
            </w14:solidFill>
          </w14:textFill>
        </w:rPr>
      </w:pPr>
      <w:r>
        <w:rPr>
          <w:rFonts w:hint="eastAsia" w:eastAsia="仿宋_GB2312"/>
          <w:color w:val="000000" w:themeColor="text1"/>
          <w:spacing w:val="0"/>
          <w:sz w:val="32"/>
          <w:szCs w:val="32"/>
          <w:highlight w:val="none"/>
          <w14:textFill>
            <w14:solidFill>
              <w14:schemeClr w14:val="tx1"/>
            </w14:solidFill>
          </w14:textFill>
        </w:rPr>
        <w:t>依据</w:t>
      </w:r>
      <w:r>
        <w:rPr>
          <w:rFonts w:eastAsia="仿宋_GB2312"/>
          <w:color w:val="000000" w:themeColor="text1"/>
          <w:spacing w:val="0"/>
          <w:sz w:val="32"/>
          <w:szCs w:val="32"/>
          <w:highlight w:val="none"/>
          <w14:textFill>
            <w14:solidFill>
              <w14:schemeClr w14:val="tx1"/>
            </w14:solidFill>
          </w14:textFill>
        </w:rPr>
        <w:t>《中华人民共和国突发事件应对法》</w:t>
      </w:r>
      <w:r>
        <w:rPr>
          <w:rFonts w:hint="eastAsia" w:eastAsia="仿宋_GB2312"/>
          <w:color w:val="000000" w:themeColor="text1"/>
          <w:spacing w:val="0"/>
          <w:sz w:val="32"/>
          <w:szCs w:val="32"/>
          <w:highlight w:val="none"/>
          <w14:textFill>
            <w14:solidFill>
              <w14:schemeClr w14:val="tx1"/>
            </w14:solidFill>
          </w14:textFill>
        </w:rPr>
        <w:t>《突发事件应急预案管理办法》《交通运输突发事件应急管理规定》</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《交通运输部</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城市公共汽电车突发事件应急预案</w:t>
      </w:r>
      <w:r>
        <w:rPr>
          <w:rFonts w:hint="eastAsia" w:ascii="仿宋_GB2312"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宁夏回族自治区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交通运输厅突发事件</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综合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应急预案》</w:t>
      </w:r>
      <w:r>
        <w:rPr>
          <w:rFonts w:hint="eastAsia" w:eastAsia="仿宋_GB2312"/>
          <w:color w:val="000000" w:themeColor="text1"/>
          <w:spacing w:val="0"/>
          <w:sz w:val="32"/>
          <w:szCs w:val="32"/>
          <w:highlight w:val="none"/>
          <w14:textFill>
            <w14:solidFill>
              <w14:schemeClr w14:val="tx1"/>
            </w14:solidFill>
          </w14:textFill>
        </w:rPr>
        <w:t>等相关规定。</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964" w:name="_Toc29613"/>
      <w:bookmarkStart w:id="1965" w:name="_Toc527553037"/>
      <w:bookmarkStart w:id="1966" w:name="_Toc18544"/>
      <w:bookmarkStart w:id="1967" w:name="_Toc24712"/>
      <w:bookmarkStart w:id="1968" w:name="_Toc488926841"/>
      <w:bookmarkStart w:id="1969" w:name="_Toc9196"/>
      <w:bookmarkStart w:id="1970" w:name="_Toc15265"/>
      <w:bookmarkStart w:id="1971" w:name="_Toc488926836"/>
      <w:bookmarkStart w:id="1972" w:name="_Toc52755303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1.3适用范围</w:t>
      </w:r>
      <w:bookmarkEnd w:id="1964"/>
      <w:bookmarkEnd w:id="1965"/>
      <w:bookmarkEnd w:id="1966"/>
      <w:bookmarkEnd w:id="1967"/>
      <w:bookmarkEnd w:id="1968"/>
      <w:bookmarkEnd w:id="196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ascii="Times New Roman" w:hAnsi="Times New Roman" w:eastAsia="仿宋_GB2312" w:cs="Times New Roman"/>
          <w:color w:val="000000" w:themeColor="text1"/>
          <w:spacing w:val="0"/>
          <w:sz w:val="32"/>
          <w:szCs w:val="32"/>
          <w:highlight w:val="none"/>
          <w14:textFill>
            <w14:solidFill>
              <w14:schemeClr w14:val="tx1"/>
            </w14:solidFill>
          </w14:textFill>
        </w:rPr>
        <w:t>本预案适用于</w:t>
      </w: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交通运输厅职责范围内发生的</w:t>
      </w:r>
      <w:r>
        <w:rPr>
          <w:rFonts w:hint="eastAsia" w:ascii="仿宋_GB2312" w:hAnsi="仿宋_GB2312" w:eastAsia="仿宋_GB2312"/>
          <w:color w:val="000000" w:themeColor="text1"/>
          <w:spacing w:val="0"/>
          <w:sz w:val="32"/>
          <w:szCs w:val="28"/>
          <w:highlight w:val="none"/>
          <w14:textFill>
            <w14:solidFill>
              <w14:schemeClr w14:val="tx1"/>
            </w14:solidFill>
          </w14:textFill>
        </w:rPr>
        <w:t>特别重大和重大</w:t>
      </w:r>
      <w:r>
        <w:rPr>
          <w:rFonts w:ascii="仿宋_GB2312" w:hAnsi="仿宋_GB2312" w:eastAsia="仿宋_GB2312"/>
          <w:color w:val="000000" w:themeColor="text1"/>
          <w:spacing w:val="0"/>
          <w:sz w:val="32"/>
          <w:szCs w:val="28"/>
          <w:highlight w:val="none"/>
          <w14:textFill>
            <w14:solidFill>
              <w14:schemeClr w14:val="tx1"/>
            </w14:solidFill>
          </w14:textFill>
        </w:rPr>
        <w:t>城市公共汽电车突发事件</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，以及超出事发地交通运输主管部门及</w:t>
      </w:r>
      <w:r>
        <w:rPr>
          <w:rFonts w:hint="eastAsia" w:ascii="仿宋_GB2312" w:hAnsi="仿宋_GB2312" w:eastAsia="仿宋_GB2312"/>
          <w:color w:val="000000" w:themeColor="text1"/>
          <w:spacing w:val="0"/>
          <w:sz w:val="32"/>
          <w:szCs w:val="28"/>
          <w:highlight w:val="none"/>
          <w:lang w:val="en-US" w:eastAsia="zh-CN"/>
          <w14:textFill>
            <w14:solidFill>
              <w14:schemeClr w14:val="tx1"/>
            </w14:solidFill>
          </w14:textFill>
        </w:rPr>
        <w:t>相关</w:t>
      </w:r>
      <w:r>
        <w:rPr>
          <w:rFonts w:hint="eastAsia" w:ascii="仿宋_GB2312" w:hAnsi="仿宋_GB2312" w:eastAsia="仿宋_GB2312"/>
          <w:color w:val="000000" w:themeColor="text1"/>
          <w:spacing w:val="0"/>
          <w:sz w:val="32"/>
          <w:szCs w:val="28"/>
          <w:highlight w:val="none"/>
          <w:lang w:eastAsia="zh-CN"/>
          <w14:textFill>
            <w14:solidFill>
              <w14:schemeClr w14:val="tx1"/>
            </w14:solidFill>
          </w14:textFill>
        </w:rPr>
        <w:t>单位处置能力的应对工作。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973" w:name="_Toc2194"/>
      <w:bookmarkStart w:id="1974" w:name="_Toc14225"/>
      <w:bookmarkStart w:id="1975" w:name="_Toc976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1.4事件分级</w:t>
      </w:r>
      <w:bookmarkEnd w:id="1970"/>
      <w:bookmarkEnd w:id="1971"/>
      <w:bookmarkEnd w:id="1972"/>
      <w:bookmarkEnd w:id="1973"/>
      <w:bookmarkEnd w:id="1974"/>
      <w:bookmarkEnd w:id="197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1976" w:name="_Hlk85727472"/>
      <w:r>
        <w:rPr>
          <w:rFonts w:hint="eastAsia" w:ascii="仿宋_GB2312" w:hAnsi="仿宋_GB2312" w:eastAsia="仿宋_GB2312" w:cs="仿宋_GB2312"/>
          <w:color w:val="000000" w:themeColor="text1"/>
          <w:spacing w:val="0"/>
          <w:sz w:val="32"/>
          <w:szCs w:val="28"/>
          <w:highlight w:val="none"/>
          <w14:textFill>
            <w14:solidFill>
              <w14:schemeClr w14:val="tx1"/>
            </w14:solidFill>
          </w14:textFill>
        </w:rPr>
        <w:t>本预案所称城市公共汽电车突发事件，是指由于城市公共汽电车运营事故、城市公交场站内或公共汽电车车辆上遭受极端暴力袭击等原因引发，造成或者可能造成人员伤亡、大量人员需要疏散和严重社会危害的紧急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其中汛情、地震、公共卫生</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造成的城市公共汽电车突发事件应急处置分别参照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交通运输厅相关应急预案执行。</w:t>
      </w:r>
    </w:p>
    <w:bookmarkEnd w:id="1976"/>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根据《交通运输部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城市公共汽电车突发事件应急预案</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》城市公共汽电车突发事件分为特别重大、重大、较大和一般共四个等级。</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blHeader/>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bookmarkStart w:id="1977" w:name="_Toc15796"/>
            <w:bookmarkStart w:id="1978" w:name="_Toc488926837"/>
            <w:bookmarkStart w:id="1979" w:name="_Toc5687"/>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等级</w:t>
            </w:r>
          </w:p>
        </w:tc>
        <w:tc>
          <w:tcPr>
            <w:tcW w:w="739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b/>
                <w:bCs/>
                <w:color w:val="000000" w:themeColor="text1"/>
                <w:spacing w:val="0"/>
                <w:sz w:val="21"/>
                <w:szCs w:val="21"/>
                <w:highlight w:val="none"/>
                <w14:textFill>
                  <w14:solidFill>
                    <w14:schemeClr w14:val="tx1"/>
                  </w14:solidFill>
                </w14:textFill>
              </w:rPr>
              <w:t>事故的严重程度及影响范围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特别重大城市公共汽电车突发事件（Ⅰ级）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城市公交场站内或公共汽电车车辆上发生严重危及人员生命安全的运营事故，造成或可能造成30人以上死亡或失踪，或危及30人以上生命安全的；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城市公交场站内或公共汽电车车辆上遭受恐怖袭击或极端暴力袭击，造成或可能造成30人以上死亡或失踪，或危及30人以上生命安全的；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其他可能造成特别重大损失的城市公共汽电车突发事件。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重大城市公共汽电车突发事件（Ⅱ级）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城市公交场站内或公共汽电车车辆上发生严重危及人员生命安全事件，造成或可能造成10人以上、30人以下死亡或失踪的，或危及10人以上、30人以下生命安全的；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城市公交场站内或公共汽电车车辆上遭受恐怖袭击或极端暴力袭击，造成或可能造成10人以上、30人以下死亡或失踪的，或危及10人以上、30人以下生命安全的；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其他可能造成重大损失的城市公共汽电车突发事件。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较大城市公共汽电车突发事件（Ⅲ级）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城市公交场站内或公共汽电车车辆上发生严重危及人员生命安全事件，造成或可能造成3人以上、10人以下死亡或失踪的，或危及3人以上、10人以下生命安全的；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城市公交场站内或公共汽电车车辆上遭受恐怖袭击或极端暴力袭击，造成或可能造成3人以上、10人以下死亡或失踪的，或危及3人以上、10人以下生命安全的；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其他可能造成较大损失的城市公共汽电车突发事件。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pPr>
              <w:keepNext w:val="0"/>
              <w:keepLines w:val="0"/>
              <w:pageBreakBefore w:val="0"/>
              <w:widowControl w:val="0"/>
              <w:suppressLineNumbers w:val="0"/>
              <w:kinsoku/>
              <w:wordWrap/>
              <w:overflowPunct/>
              <w:topLinePunct/>
              <w:autoSpaceDE/>
              <w:autoSpaceDN/>
              <w:bidi w:val="0"/>
              <w:spacing w:before="0"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一般城市公共汽电车突发事件（Ⅳ级）</w:t>
            </w:r>
          </w:p>
        </w:tc>
        <w:tc>
          <w:tcPr>
            <w:tcW w:w="7391" w:type="dxa"/>
            <w:vAlign w:val="center"/>
          </w:tcPr>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城市公交场站内或公共汽电车车辆上发生危及人员生命安</w:t>
            </w:r>
            <w:r>
              <w:rPr>
                <w:rFonts w:hint="eastAsia" w:ascii="仿宋_GB2312" w:hAnsi="仿宋_GB2312" w:eastAsia="仿宋_GB2312" w:cs="仿宋_GB2312"/>
                <w:color w:val="000000" w:themeColor="text1"/>
                <w:spacing w:val="0"/>
                <w:sz w:val="21"/>
                <w:szCs w:val="21"/>
                <w:highlight w:val="none"/>
                <w:lang w:eastAsia="zh-CN"/>
                <w14:textFill>
                  <w14:solidFill>
                    <w14:schemeClr w14:val="tx1"/>
                  </w14:solidFill>
                </w14:textFill>
              </w:rPr>
              <w:t>全的</w:t>
            </w: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事件，造成或可能造成3人以下死亡或失踪的，或危及3人以下生命安全的；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城市公交场站内或公共汽电车车辆上遭受恐怖袭击或极端暴力袭击，造成或可能造成3人以下死亡或失踪的，或危及3人以下生命安全的；</w:t>
            </w:r>
          </w:p>
          <w:p>
            <w:pPr>
              <w:keepNext w:val="0"/>
              <w:keepLines w:val="0"/>
              <w:pageBreakBefore w:val="0"/>
              <w:widowControl w:val="0"/>
              <w:numPr>
                <w:ilvl w:val="0"/>
                <w:numId w:val="1"/>
              </w:numPr>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420" w:firstLineChars="200"/>
              <w:jc w:val="left"/>
              <w:textAlignment w:val="auto"/>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pacing w:val="0"/>
                <w:sz w:val="21"/>
                <w:szCs w:val="21"/>
                <w:highlight w:val="none"/>
                <w14:textFill>
                  <w14:solidFill>
                    <w14:schemeClr w14:val="tx1"/>
                  </w14:solidFill>
                </w14:textFill>
              </w:rPr>
              <w:t>其他可能造成一般损失的城市公共汽电车突发事件。</w:t>
            </w:r>
          </w:p>
        </w:tc>
      </w:tr>
      <w:bookmarkEnd w:id="1977"/>
      <w:bookmarkEnd w:id="1978"/>
      <w:bookmarkEnd w:id="1979"/>
    </w:tbl>
    <w:p>
      <w:pPr>
        <w:keepNext w:val="0"/>
        <w:keepLines w:val="0"/>
        <w:pageBreakBefore w:val="0"/>
        <w:widowControl w:val="0"/>
        <w:kinsoku/>
        <w:wordWrap/>
        <w:overflowPunct/>
        <w:topLinePunct/>
        <w:autoSpaceDE/>
        <w:autoSpaceDN/>
        <w:bidi w:val="0"/>
        <w:adjustRightInd/>
        <w:snapToGrid/>
        <w:ind w:left="0" w:leftChars="0" w:firstLine="640" w:firstLineChars="200"/>
        <w:textAlignment w:val="auto"/>
        <w:rPr>
          <w:rFonts w:hint="default"/>
          <w:color w:val="000000" w:themeColor="text1"/>
          <w:highlight w:val="none"/>
          <w:lang w:val="en-US" w:eastAsia="zh-CN"/>
          <w14:textFill>
            <w14:solidFill>
              <w14:schemeClr w14:val="tx1"/>
            </w14:solidFill>
          </w14:textFill>
        </w:rPr>
      </w:pPr>
      <w:bookmarkStart w:id="1980" w:name="_Toc527553038"/>
      <w:bookmarkStart w:id="1981" w:name="_Toc488926842"/>
      <w:bookmarkStart w:id="1982" w:name="_Toc29669"/>
      <w:bookmarkStart w:id="1983" w:name="_Toc15753"/>
      <w:bookmarkStart w:id="1984" w:name="_Toc26070"/>
      <w:bookmarkStart w:id="1985" w:name="_Toc11281"/>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本</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表</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所称的“以上”包括本数，“以下”不包括本数。</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1.5工作原则</w:t>
      </w:r>
      <w:bookmarkEnd w:id="1980"/>
      <w:bookmarkEnd w:id="1981"/>
      <w:bookmarkEnd w:id="1982"/>
      <w:bookmarkEnd w:id="1983"/>
      <w:bookmarkEnd w:id="1984"/>
      <w:bookmarkEnd w:id="198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微软雅黑" w:hAnsi="微软雅黑" w:eastAsia="微软雅黑" w:cs="宋体"/>
          <w:color w:val="000000" w:themeColor="text1"/>
          <w:spacing w:val="0"/>
          <w:kern w:val="0"/>
          <w:sz w:val="32"/>
          <w:szCs w:val="32"/>
          <w:highlight w:val="none"/>
          <w14:textFill>
            <w14:solidFill>
              <w14:schemeClr w14:val="tx1"/>
            </w14:solidFill>
          </w14:textFill>
        </w:rPr>
      </w:pPr>
      <w:bookmarkStart w:id="1986" w:name="_Toc488926843"/>
      <w:bookmarkStart w:id="1987" w:name="_Toc527553039"/>
      <w:r>
        <w:rPr>
          <w:rFonts w:hint="eastAsia" w:ascii="仿宋_GB2312" w:hAnsi="微软雅黑" w:eastAsia="仿宋_GB2312" w:cs="宋体"/>
          <w:color w:val="000000" w:themeColor="text1"/>
          <w:spacing w:val="0"/>
          <w:kern w:val="0"/>
          <w:sz w:val="32"/>
          <w:szCs w:val="32"/>
          <w:highlight w:val="none"/>
          <w:lang w:val="en-US" w:eastAsia="zh-CN" w:bidi="ar"/>
          <w14:textFill>
            <w14:solidFill>
              <w14:schemeClr w14:val="tx1"/>
            </w14:solidFill>
          </w14:textFill>
        </w:rPr>
        <w:t>城市公共汽电车突发事件应急处置</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坚持人民至上、生命至上；统一领导、协调联动；分级负责、属地为主；快速反应、高效应对的原则。</w:t>
      </w:r>
    </w:p>
    <w:bookmarkEnd w:id="1986"/>
    <w:bookmarkEnd w:id="1987"/>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1988" w:name="_Toc12605"/>
      <w:bookmarkStart w:id="1989" w:name="_Toc488926844"/>
      <w:bookmarkStart w:id="1990" w:name="_Toc527553040"/>
      <w:bookmarkStart w:id="1991" w:name="_Toc14589"/>
      <w:bookmarkStart w:id="1992" w:name="_Toc14243"/>
      <w:bookmarkStart w:id="1993" w:name="_Toc28609"/>
      <w:bookmarkStart w:id="1994" w:name="_Toc4750"/>
      <w:bookmarkStart w:id="1995" w:name="_Toc11159"/>
      <w:bookmarkStart w:id="1996" w:name="_Toc8370"/>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2.组织</w:t>
      </w:r>
      <w:bookmarkEnd w:id="1988"/>
      <w:bookmarkEnd w:id="1989"/>
      <w:bookmarkEnd w:id="1990"/>
      <w:bookmarkEnd w:id="1991"/>
      <w:bookmarkEnd w:id="1992"/>
      <w:bookmarkEnd w:id="1993"/>
      <w:bookmarkEnd w:id="1994"/>
      <w:bookmarkEnd w:id="199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机构与职责</w:t>
      </w:r>
      <w:bookmarkEnd w:id="1996"/>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1997" w:name="_Toc527553041"/>
      <w:bookmarkStart w:id="1998" w:name="_Toc488926845"/>
      <w:bookmarkStart w:id="1999" w:name="_Toc11137"/>
      <w:bookmarkStart w:id="2000" w:name="_Toc1605"/>
      <w:bookmarkStart w:id="2001" w:name="_Toc8920"/>
      <w:bookmarkStart w:id="2002" w:name="_Toc104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w:t>
      </w:r>
      <w:bookmarkEnd w:id="1997"/>
      <w:bookmarkEnd w:id="199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1厅公共汽电车</w:t>
      </w:r>
      <w:bookmarkEnd w:id="199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工作指挥机构</w:t>
      </w:r>
      <w:bookmarkEnd w:id="2000"/>
      <w:bookmarkEnd w:id="2001"/>
      <w:bookmarkEnd w:id="2002"/>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成立自治区交通运输厅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公共汽电车突发事件</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（以下简称“</w:t>
      </w:r>
      <w:r>
        <w:rPr>
          <w:rFonts w:hint="eastAsia" w:ascii="仿宋_GB2312" w:eastAsia="仿宋_GB2312" w:cs="Times New Roman"/>
          <w:color w:val="000000" w:themeColor="text1"/>
          <w:spacing w:val="0"/>
          <w:sz w:val="32"/>
          <w:szCs w:val="32"/>
          <w:highlight w:val="none"/>
          <w:lang w:val="en-US" w:eastAsia="zh-CN"/>
          <w14:textFill>
            <w14:solidFill>
              <w14:schemeClr w14:val="tx1"/>
            </w14:solidFill>
          </w14:textFill>
        </w:rPr>
        <w:t>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自治区应急指挥部</w:t>
      </w:r>
      <w:r>
        <w:rPr>
          <w:rFonts w:hint="eastAsia" w:ascii="times new rome" w:hAnsi="times new rome" w:eastAsia="仿宋_GB2312"/>
          <w:color w:val="000000" w:themeColor="text1"/>
          <w:spacing w:val="0"/>
          <w:sz w:val="32"/>
          <w:szCs w:val="32"/>
          <w:highlight w:val="none"/>
          <w:lang w:val="en-US" w:eastAsia="zh-CN"/>
          <w14:textFill>
            <w14:solidFill>
              <w14:schemeClr w14:val="tx1"/>
            </w14:solidFill>
          </w14:textFill>
        </w:rPr>
        <w:t>和厅应急领导小组的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指挥下，负责组织、协调、开展</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全区城市公共汽电车突发事件应急处置工作。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特别重大事故（Ⅰ级）、重大事故（Ⅱ级）由厅主要负责人担任指挥长，分管道路运输工作的厅领导任副指挥长；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分管道路运输工作的厅领导担任指挥长，</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负责人担任副指挥长。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Times New Roman" w:eastAsia="仿宋_GB2312" w:cs="Times New Roman"/>
          <w:b w:val="0"/>
          <w:bCs w:val="0"/>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成员由</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厅办公室、</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政策法规处、</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处、</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科技处、</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公路管理中心</w:t>
      </w:r>
      <w:r>
        <w:rPr>
          <w:rFonts w:hint="eastAsia" w:ascii="仿宋_GB2312" w:hAnsi="Times New Roman" w:eastAsia="仿宋_GB2312" w:cs="Times New Roman"/>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事务</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及</w:t>
      </w:r>
      <w:r>
        <w:rPr>
          <w:rFonts w:hint="eastAsia" w:ascii="仿宋_GB2312" w:eastAsia="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等</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处室及所属</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单位负责同志</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组成</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贯彻落实上级部门和自治区</w:t>
      </w:r>
      <w:r>
        <w:rPr>
          <w:rFonts w:hint="eastAsia" w:ascii="仿宋_GB2312" w:hAnsi="仿宋_GB2312" w:eastAsia="仿宋_GB2312" w:cs="仿宋_GB2312"/>
          <w:color w:val="000000" w:themeColor="text1"/>
          <w:spacing w:val="0"/>
          <w:position w:val="0"/>
          <w:sz w:val="32"/>
          <w:szCs w:val="32"/>
          <w:highlight w:val="none"/>
          <w:lang w:val="en-US" w:eastAsia="zh-CN"/>
          <w14:textFill>
            <w14:solidFill>
              <w14:schemeClr w14:val="tx1"/>
            </w14:solidFill>
          </w14:textFill>
        </w:rPr>
        <w:t>关于</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公共汽电车突发事件</w:t>
      </w:r>
      <w:r>
        <w:rPr>
          <w:rFonts w:hint="eastAsia" w:ascii="仿宋_GB2312" w:hAnsi="仿宋_GB2312" w:eastAsia="仿宋_GB2312" w:cs="仿宋_GB2312"/>
          <w:color w:val="000000" w:themeColor="text1"/>
          <w:spacing w:val="0"/>
          <w:position w:val="0"/>
          <w:sz w:val="32"/>
          <w:szCs w:val="32"/>
          <w:highlight w:val="none"/>
          <w14:textFill>
            <w14:solidFill>
              <w14:schemeClr w14:val="tx1"/>
            </w14:solidFill>
          </w14:textFill>
        </w:rPr>
        <w:t>的应急决策、部署和措施</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指导、协调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城市公共汽电车突发事件的应急处置工作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城市公共汽电车突发事件</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应急响应；</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决定启动、调整、终止交通运输厅</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交通运输厅城市公共汽电车突发事件预警状态和应急响应行动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bookmarkStart w:id="2003" w:name="_Hlk85727950"/>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上级部门和自治区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要求或应急处置需要，成立现场工作组，派往突发事件现场开展应急处置指导工作。</w:t>
      </w:r>
      <w:bookmarkEnd w:id="2003"/>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组织、协调车辆，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保障乘客转运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应急处置人员和应急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物资运输等工作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）根据需要会同政府有关部门，制定和落实应对城市公共汽电车突发事件的联合行动方案。</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）其他相关重大事项。</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ascii="仿宋_GB2312" w:hAnsi="宋体" w:eastAsia="仿宋_GB2312" w:cs="仿宋_GB2312"/>
          <w:color w:val="000000" w:themeColor="text1"/>
          <w:kern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办公室设置在</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ascii="仿宋_GB2312" w:hAnsi="宋体" w:eastAsia="仿宋_GB2312" w:cs="仿宋_GB2312"/>
          <w:color w:val="000000" w:themeColor="text1"/>
          <w:kern w:val="0"/>
          <w:sz w:val="32"/>
          <w:szCs w:val="32"/>
          <w:highlight w:val="none"/>
          <w14:textFill>
            <w14:solidFill>
              <w14:schemeClr w14:val="tx1"/>
            </w14:solidFill>
          </w14:textFill>
        </w:rPr>
        <w:t>，承担</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2"/>
          <w:szCs w:val="32"/>
          <w:highlight w:val="none"/>
          <w14:textFill>
            <w14:solidFill>
              <w14:schemeClr w14:val="tx1"/>
            </w14:solidFill>
          </w14:textFill>
        </w:rPr>
        <w:t>工作</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负责人</w:t>
      </w:r>
      <w:r>
        <w:rPr>
          <w:rFonts w:ascii="仿宋_GB2312" w:hAnsi="宋体" w:eastAsia="仿宋_GB2312" w:cs="仿宋_GB2312"/>
          <w:color w:val="000000" w:themeColor="text1"/>
          <w:kern w:val="0"/>
          <w:sz w:val="32"/>
          <w:szCs w:val="32"/>
          <w:highlight w:val="none"/>
          <w14:textFill>
            <w14:solidFill>
              <w14:schemeClr w14:val="tx1"/>
            </w14:solidFill>
          </w14:textFill>
        </w:rPr>
        <w:t>担任</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04" w:name="_Toc28742"/>
      <w:bookmarkStart w:id="2005" w:name="_Toc4265"/>
      <w:bookmarkStart w:id="2006" w:name="_Toc31769"/>
      <w:bookmarkStart w:id="2007" w:name="_Toc21778"/>
      <w:bookmarkStart w:id="2008" w:name="_Toc25444"/>
      <w:bookmarkStart w:id="2009" w:name="_Toc2349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2.2应急工作</w:t>
      </w:r>
      <w:bookmarkEnd w:id="2004"/>
      <w:bookmarkEnd w:id="2005"/>
      <w:bookmarkEnd w:id="200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组</w:t>
      </w:r>
      <w:bookmarkEnd w:id="2007"/>
      <w:bookmarkEnd w:id="2008"/>
      <w:bookmarkEnd w:id="2009"/>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2010" w:name="_Hlk85727978"/>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综合协调组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厅</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负责人任组长，成员由办公室、</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、路网监测与应急中心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事务</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bookmarkStart w:id="2011" w:name="_Hlk81482581"/>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负责接收、处理应急状态下</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zh-CN"/>
          <w14:textFill>
            <w14:solidFill>
              <w14:schemeClr w14:val="tx1"/>
            </w14:solidFill>
          </w14:textFill>
        </w:rPr>
        <w:t>城市公共汽电车突发事件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相关信息，跟踪了解突发事件处置进展，及时向厅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bookmarkEnd w:id="2011"/>
    <w:p>
      <w:pPr>
        <w:keepNext w:val="0"/>
        <w:keepLines w:val="0"/>
        <w:pageBreakBefore w:val="0"/>
        <w:widowControl w:val="0"/>
        <w:numPr>
          <w:ilvl w:val="0"/>
          <w:numId w:val="0"/>
        </w:numPr>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运输</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调度</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厅运输和海事管理处负责人任组长，成员由</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、路网监测与应急处置中心</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道路运输事务中心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shd w:val="clear" w:color="auto" w:fill="FFFFFF"/>
        <w:kinsoku/>
        <w:wordWrap/>
        <w:overflowPunct/>
        <w:topLinePunct/>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主要职责：负责指导</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交通运输主管部门加强运力储备管理，组织调度运力，保障乘客转运和</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物资运输等工作，负责协调征调应急处置所需车辆；承办</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bookmarkStart w:id="2012" w:name="_Hlk87910743"/>
      <w:bookmarkStart w:id="2013" w:name="_Hlk87913200"/>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加强舆情监测分析，传递权威信息；加强舆情引导，完善舆情监测及应对机制，有效化解舆情风险；</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负责对外信息发布</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承办厅</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bookmarkEnd w:id="2012"/>
    <w:bookmarkEnd w:id="2013"/>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bookmarkStart w:id="2014" w:name="_Toc12990"/>
      <w:bookmarkStart w:id="2015" w:name="_Toc6921"/>
      <w:bookmarkStart w:id="2016" w:name="_Toc3739"/>
      <w:bookmarkStart w:id="2017" w:name="_Toc21192"/>
      <w:bookmarkStart w:id="2018" w:name="_Toc488926847"/>
      <w:bookmarkStart w:id="2019" w:name="_Toc23532"/>
      <w:bookmarkStart w:id="2020" w:name="_Toc88082416"/>
      <w:bookmarkStart w:id="2021" w:name="_Toc22433"/>
      <w:bookmarkStart w:id="2022" w:name="_Toc29663"/>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（4）现场工作组</w:t>
      </w:r>
      <w:bookmarkEnd w:id="2014"/>
      <w:bookmarkEnd w:id="2015"/>
      <w:bookmarkEnd w:id="2016"/>
      <w:bookmarkEnd w:id="2017"/>
      <w:bookmarkEnd w:id="201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主要职责：负责传达厅应急工作要求；按照工作指挥机构安排，查看、评估突发事件情况，配合应急处置，协助解决有关问题</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14:textFill>
            <w14:solidFill>
              <w14:schemeClr w14:val="tx1"/>
            </w14:solidFill>
          </w14:textFill>
        </w:rPr>
        <w:t>并根据需要协调有关方面提供</w:t>
      </w:r>
      <w:r>
        <w:rPr>
          <w:rFonts w:hint="eastAsia" w:eastAsia="仿宋_GB2312"/>
          <w:color w:val="000000" w:themeColor="text1"/>
          <w:spacing w:val="0"/>
          <w:sz w:val="32"/>
          <w:szCs w:val="32"/>
          <w:highlight w:val="none"/>
          <w:lang w:val="en-US" w:eastAsia="zh-CN"/>
          <w14:textFill>
            <w14:solidFill>
              <w14:schemeClr w14:val="tx1"/>
            </w14:solidFill>
          </w14:textFill>
        </w:rPr>
        <w:t>应急队伍</w:t>
      </w:r>
      <w:r>
        <w:rPr>
          <w:rFonts w:hint="eastAsia" w:eastAsia="仿宋_GB2312"/>
          <w:color w:val="000000" w:themeColor="text1"/>
          <w:spacing w:val="0"/>
          <w:sz w:val="32"/>
          <w:szCs w:val="32"/>
          <w:highlight w:val="none"/>
          <w14:textFill>
            <w14:solidFill>
              <w14:schemeClr w14:val="tx1"/>
            </w14:solidFill>
          </w14:textFill>
        </w:rPr>
        <w:t>、物资等支持</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lang w:val="en-US" w:eastAsia="zh-CN"/>
          <w14:textFill>
            <w14:solidFill>
              <w14:schemeClr w14:val="tx1"/>
            </w14:solidFill>
          </w14:textFill>
        </w:rPr>
        <w:t>从专业角度分析事故原因</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lang w:val="en-US" w:eastAsia="zh-CN"/>
          <w14:textFill>
            <w14:solidFill>
              <w14:schemeClr w14:val="tx1"/>
            </w14:solidFill>
          </w14:textFill>
        </w:rPr>
        <w:t>协调</w:t>
      </w:r>
      <w:r>
        <w:rPr>
          <w:rFonts w:hint="eastAsia" w:eastAsia="仿宋_GB2312"/>
          <w:color w:val="000000" w:themeColor="text1"/>
          <w:spacing w:val="0"/>
          <w:sz w:val="32"/>
          <w:szCs w:val="32"/>
          <w:highlight w:val="none"/>
          <w14:textFill>
            <w14:solidFill>
              <w14:schemeClr w14:val="tx1"/>
            </w14:solidFill>
          </w14:textFill>
        </w:rPr>
        <w:t>运营恢复等工作</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等有关应急工作组报告（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现场情况和应急处置行动进展；</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（5）专家组</w:t>
      </w:r>
      <w:bookmarkEnd w:id="2019"/>
      <w:bookmarkEnd w:id="2020"/>
      <w:bookmarkEnd w:id="2021"/>
      <w:bookmarkEnd w:id="2022"/>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stheme="minorBidi"/>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由工作指挥机构选择</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或邀请</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仿宋" w:eastAsia="仿宋_GB2312" w:cstheme="minorBidi"/>
          <w:color w:val="000000" w:themeColor="text1"/>
          <w:spacing w:val="0"/>
          <w:sz w:val="32"/>
          <w:szCs w:val="32"/>
          <w:highlight w:val="none"/>
          <w:lang w:val="en-US" w:eastAsia="zh-CN"/>
          <w14:textFill>
            <w14:solidFill>
              <w14:schemeClr w14:val="tx1"/>
            </w14:solidFill>
          </w14:textFill>
        </w:rPr>
        <w:t>有关</w:t>
      </w:r>
      <w:r>
        <w:rPr>
          <w:rFonts w:hint="eastAsia" w:ascii="仿宋_GB2312" w:hAnsi="仿宋" w:eastAsia="仿宋_GB2312" w:cstheme="minorBidi"/>
          <w:color w:val="000000" w:themeColor="text1"/>
          <w:spacing w:val="0"/>
          <w:sz w:val="32"/>
          <w:szCs w:val="32"/>
          <w:highlight w:val="none"/>
          <w14:textFill>
            <w14:solidFill>
              <w14:schemeClr w14:val="tx1"/>
            </w14:solidFill>
          </w14:textFill>
        </w:rPr>
        <w:t>专家</w:t>
      </w:r>
      <w:r>
        <w:rPr>
          <w:rFonts w:hint="eastAsia" w:ascii="仿宋_GB2312" w:hAnsi="仿宋" w:eastAsia="仿宋_GB2312" w:cstheme="minorBidi"/>
          <w:color w:val="000000" w:themeColor="text1"/>
          <w:spacing w:val="0"/>
          <w:sz w:val="32"/>
          <w:szCs w:val="32"/>
          <w:highlight w:val="none"/>
          <w:lang w:val="en-US" w:eastAsia="zh-CN"/>
          <w14:textFill>
            <w14:solidFill>
              <w14:schemeClr w14:val="tx1"/>
            </w14:solidFill>
          </w14:textFill>
        </w:rPr>
        <w:t>组成。</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 w:eastAsia="仿宋_GB2312" w:cstheme="minorBidi"/>
          <w:color w:val="000000" w:themeColor="text1"/>
          <w:spacing w:val="0"/>
          <w:sz w:val="32"/>
          <w:szCs w:val="32"/>
          <w:highlight w:val="none"/>
          <w:lang w:val="en-US" w:eastAsia="zh-CN"/>
          <w14:textFill>
            <w14:solidFill>
              <w14:schemeClr w14:val="tx1"/>
            </w14:solidFill>
          </w14:textFill>
        </w:rPr>
        <w:t>主要职责：负责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为城市公共汽电车突发事件应急处置提供决策建议，必要时赴现场参加应急处置工作。</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厅公共汽电车突发事件</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组织机构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p>
    <w:bookmarkEnd w:id="2010"/>
    <w:p>
      <w:pPr>
        <w:keepNext w:val="0"/>
        <w:keepLines w:val="0"/>
        <w:pageBreakBefore w:val="0"/>
        <w:widowControl w:val="0"/>
        <w:kinsoku/>
        <w:wordWrap/>
        <w:overflowPunct/>
        <w:topLinePunct/>
        <w:autoSpaceDE/>
        <w:autoSpaceDN/>
        <w:bidi w:val="0"/>
        <w:adjustRightInd/>
        <w:snapToGrid/>
        <w:spacing w:before="0" w:after="0" w:line="360" w:lineRule="auto"/>
        <w:ind w:left="0" w:leftChars="0" w:firstLine="0" w:firstLineChars="0"/>
        <w:jc w:val="center"/>
        <w:textAlignment w:val="auto"/>
        <w:outlineLvl w:val="9"/>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023" w:name="_Toc25626"/>
      <w:bookmarkStart w:id="2024" w:name="_Toc14987"/>
      <w:bookmarkStart w:id="2025" w:name="_Toc3083"/>
      <w:bookmarkStart w:id="2026" w:name="_Toc20486"/>
      <w:bookmarkStart w:id="2027" w:name="_Toc23574"/>
      <w:bookmarkStart w:id="2028" w:name="_Toc527553046"/>
      <w:bookmarkStart w:id="2029" w:name="_Toc14346"/>
      <w:bookmarkStart w:id="2030" w:name="_Toc48892685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drawing>
          <wp:inline distT="0" distB="0" distL="114300" distR="114300">
            <wp:extent cx="5271135" cy="3505200"/>
            <wp:effectExtent l="0" t="0" r="12065" b="0"/>
            <wp:docPr id="12" name="图片 12" descr="公共汽电车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公共汽电车机构"/>
                    <pic:cNvPicPr>
                      <a:picLocks noChangeAspect="1"/>
                    </pic:cNvPicPr>
                  </pic:nvPicPr>
                  <pic:blipFill>
                    <a:blip r:embed="rId22"/>
                    <a:stretch>
                      <a:fillRect/>
                    </a:stretch>
                  </pic:blipFill>
                  <pic:spPr>
                    <a:xfrm>
                      <a:off x="0" y="0"/>
                      <a:ext cx="5271135" cy="3505200"/>
                    </a:xfrm>
                    <a:prstGeom prst="rect">
                      <a:avLst/>
                    </a:prstGeom>
                  </pic:spPr>
                </pic:pic>
              </a:graphicData>
            </a:graphic>
          </wp:inline>
        </w:drawing>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031" w:name="_Toc5832"/>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3.预警</w:t>
      </w:r>
      <w:bookmarkEnd w:id="2023"/>
      <w:bookmarkEnd w:id="2024"/>
      <w:bookmarkEnd w:id="2025"/>
      <w:bookmarkEnd w:id="2026"/>
      <w:bookmarkEnd w:id="2027"/>
      <w:bookmarkEnd w:id="2028"/>
      <w:bookmarkEnd w:id="2029"/>
      <w:bookmarkEnd w:id="2030"/>
      <w:bookmarkEnd w:id="2031"/>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32" w:name="_Toc10101"/>
      <w:bookmarkStart w:id="2033" w:name="_Toc4964"/>
      <w:bookmarkStart w:id="2034" w:name="_Toc29114"/>
      <w:bookmarkStart w:id="2035" w:name="_Toc2400"/>
      <w:bookmarkStart w:id="2036" w:name="_Hlk81248825"/>
      <w:bookmarkStart w:id="2037" w:name="_Hlk8124872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3.1预警信息</w:t>
      </w:r>
      <w:bookmarkEnd w:id="2032"/>
      <w:bookmarkEnd w:id="2033"/>
      <w:bookmarkEnd w:id="2034"/>
      <w:bookmarkEnd w:id="203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转发</w:t>
      </w:r>
    </w:p>
    <w:bookmarkEnd w:id="2036"/>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lang w:eastAsia="zh-CN"/>
          <w14:textFill>
            <w14:solidFill>
              <w14:schemeClr w14:val="tx1"/>
            </w14:solidFill>
          </w14:textFill>
        </w:rPr>
        <w:t>交通运输</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厅应急指挥中心</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收到预警信息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后</w:t>
      </w:r>
      <w:r>
        <w:rPr>
          <w:rFonts w:ascii="Times New Roman"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按程序报告。</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一级（红色）</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二级（橙色）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由综合协调组拟定实施意见，报厅应急办研判，</w:t>
      </w:r>
      <w:r>
        <w:rPr>
          <w:rFonts w:hint="eastAsia" w:ascii="仿宋_GB2312" w:hAnsi="Calibri" w:eastAsia="仿宋_GB2312"/>
          <w:color w:val="000000" w:themeColor="text1"/>
          <w:spacing w:val="0"/>
          <w:sz w:val="32"/>
          <w:szCs w:val="32"/>
          <w:highlight w:val="none"/>
          <w14:textFill>
            <w14:solidFill>
              <w14:schemeClr w14:val="tx1"/>
            </w14:solidFill>
          </w14:textFill>
        </w:rPr>
        <w:t>经厅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主要负责人同意</w:t>
      </w:r>
      <w:r>
        <w:rPr>
          <w:rFonts w:hint="eastAsia" w:ascii="仿宋_GB2312" w:hAnsi="Calibri" w:eastAsia="仿宋_GB2312"/>
          <w:color w:val="000000" w:themeColor="text1"/>
          <w:spacing w:val="0"/>
          <w:sz w:val="32"/>
          <w:szCs w:val="32"/>
          <w:highlight w:val="none"/>
          <w14:textFill>
            <w14:solidFill>
              <w14:schemeClr w14:val="tx1"/>
            </w14:solidFill>
          </w14:textFill>
        </w:rPr>
        <w:t>后启动预警；</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eastAsia="仿宋_GB2312"/>
          <w:color w:val="000000" w:themeColor="text1"/>
          <w:spacing w:val="0"/>
          <w:sz w:val="32"/>
          <w:szCs w:val="32"/>
          <w:highlight w:val="none"/>
          <w14:textFill>
            <w14:solidFill>
              <w14:schemeClr w14:val="tx1"/>
            </w14:solidFill>
          </w14:textFill>
        </w:rPr>
        <w:t>将预警信息立即传达</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及有关单位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同时</w:t>
      </w:r>
      <w:r>
        <w:rPr>
          <w:rFonts w:hint="eastAsia" w:ascii="仿宋_GB2312" w:hAnsi="Calibri" w:eastAsia="仿宋_GB2312"/>
          <w:color w:val="000000" w:themeColor="text1"/>
          <w:spacing w:val="0"/>
          <w:sz w:val="32"/>
          <w:szCs w:val="32"/>
          <w:highlight w:val="none"/>
          <w14:textFill>
            <w14:solidFill>
              <w14:schemeClr w14:val="tx1"/>
            </w14:solidFill>
          </w14:textFill>
        </w:rPr>
        <w:t>各应急工作组进入待命状态</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ascii="仿宋_GB2312" w:eastAsia="仿宋_GB2312"/>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eastAsia="仿宋_GB2312"/>
          <w:color w:val="000000" w:themeColor="text1"/>
          <w:spacing w:val="0"/>
          <w:kern w:val="2"/>
          <w:sz w:val="32"/>
          <w:szCs w:val="32"/>
          <w:highlight w:val="none"/>
          <w:lang w:val="en-US" w:eastAsia="zh-CN" w:bidi="ar-SA"/>
          <w14:textFill>
            <w14:solidFill>
              <w14:schemeClr w14:val="tx1"/>
            </w14:solidFill>
          </w14:textFill>
        </w:rPr>
        <w:t>2</w:t>
      </w:r>
      <w:r>
        <w:rPr>
          <w:rFonts w:ascii="仿宋_GB2312" w:eastAsia="仿宋_GB2312"/>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收到</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三级（黄色）、四级（蓝色）</w:t>
      </w:r>
      <w:r>
        <w:rPr>
          <w:rFonts w:hint="eastAsia" w:ascii="仿宋_GB2312" w:eastAsia="仿宋_GB2312"/>
          <w:color w:val="000000" w:themeColor="text1"/>
          <w:spacing w:val="0"/>
          <w:sz w:val="32"/>
          <w:szCs w:val="32"/>
          <w:highlight w:val="none"/>
          <w14:textFill>
            <w14:solidFill>
              <w14:schemeClr w14:val="tx1"/>
            </w14:solidFill>
          </w14:textFill>
        </w:rPr>
        <w:t>预警信息后，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由综合协调组拟定实施意见，报厅应急办研判，</w:t>
      </w:r>
      <w:r>
        <w:rPr>
          <w:rFonts w:hint="eastAsia" w:ascii="仿宋_GB2312" w:hAnsi="Calibri" w:eastAsia="仿宋_GB2312"/>
          <w:color w:val="000000" w:themeColor="text1"/>
          <w:spacing w:val="0"/>
          <w:sz w:val="32"/>
          <w:szCs w:val="32"/>
          <w:highlight w:val="none"/>
          <w14:textFill>
            <w14:solidFill>
              <w14:schemeClr w14:val="tx1"/>
            </w14:solidFill>
          </w14:textFill>
        </w:rPr>
        <w:t>经厅</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分管厅领导同意</w:t>
      </w:r>
      <w:r>
        <w:rPr>
          <w:rFonts w:hint="eastAsia" w:ascii="仿宋_GB2312" w:hAnsi="Calibri" w:eastAsia="仿宋_GB2312"/>
          <w:color w:val="000000" w:themeColor="text1"/>
          <w:spacing w:val="0"/>
          <w:sz w:val="32"/>
          <w:szCs w:val="32"/>
          <w:highlight w:val="none"/>
          <w14:textFill>
            <w14:solidFill>
              <w14:schemeClr w14:val="tx1"/>
            </w14:solidFill>
          </w14:textFill>
        </w:rPr>
        <w:t>后</w:t>
      </w:r>
      <w:r>
        <w:rPr>
          <w:rFonts w:hint="eastAsia" w:ascii="仿宋_GB2312" w:hAnsi="Calibri" w:eastAsia="仿宋_GB2312"/>
          <w:color w:val="000000" w:themeColor="text1"/>
          <w:spacing w:val="0"/>
          <w:sz w:val="32"/>
          <w:szCs w:val="32"/>
          <w:highlight w:val="none"/>
          <w:lang w:val="en-US" w:eastAsia="zh-CN"/>
          <w14:textFill>
            <w14:solidFill>
              <w14:schemeClr w14:val="tx1"/>
            </w14:solidFill>
          </w14:textFill>
        </w:rPr>
        <w:t>启动预警</w:t>
      </w:r>
      <w:r>
        <w:rPr>
          <w:rFonts w:hint="eastAsia" w:ascii="仿宋_GB2312" w:hAnsi="Calibri"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将预警信息传达</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至工作指挥机构</w:t>
      </w:r>
      <w:r>
        <w:rPr>
          <w:rFonts w:hint="eastAsia" w:ascii="仿宋_GB2312" w:eastAsia="仿宋_GB2312"/>
          <w:color w:val="000000" w:themeColor="text1"/>
          <w:spacing w:val="0"/>
          <w:sz w:val="32"/>
          <w:szCs w:val="32"/>
          <w:highlight w:val="none"/>
          <w14:textFill>
            <w14:solidFill>
              <w14:schemeClr w14:val="tx1"/>
            </w14:solidFill>
          </w14:textFill>
        </w:rPr>
        <w:t>相关成员单位</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及</w:t>
      </w:r>
      <w:r>
        <w:rPr>
          <w:rFonts w:hint="eastAsia" w:ascii="仿宋_GB2312" w:eastAsia="仿宋_GB2312"/>
          <w:color w:val="000000" w:themeColor="text1"/>
          <w:spacing w:val="0"/>
          <w:sz w:val="32"/>
          <w:szCs w:val="32"/>
          <w:highlight w:val="none"/>
          <w14:textFill>
            <w14:solidFill>
              <w14:schemeClr w14:val="tx1"/>
            </w14:solidFill>
          </w14:textFill>
        </w:rPr>
        <w:t>所涉</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相关单位</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38" w:name="_Toc10541"/>
      <w:bookmarkStart w:id="2039" w:name="_Toc4518"/>
      <w:bookmarkStart w:id="2040" w:name="_Toc25622"/>
      <w:bookmarkStart w:id="2041" w:name="_Toc2953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3.2预警行动</w:t>
      </w:r>
      <w:bookmarkEnd w:id="2038"/>
      <w:bookmarkEnd w:id="2039"/>
      <w:bookmarkEnd w:id="2040"/>
      <w:bookmarkEnd w:id="2041"/>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预警信息</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转发</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后，</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采取下列措施：</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（1）收集、研判事故（险情）信息。</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（2）指导涉险区域</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交通运输主管部门，采取措施防止突发事件发生或降低事件危害。</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（3）指导、督促所涉</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交通运输主管部门落实应急装备、物资、人员等，做好应急准备。</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在预警过程中如发现风险有扩大趋势，应采取紧急措施，必要时上报上一级应急指挥机构。</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42" w:name="_Toc79104780"/>
      <w:bookmarkStart w:id="2043" w:name="_Toc18030"/>
      <w:bookmarkStart w:id="2044" w:name="_Toc10204"/>
      <w:bookmarkStart w:id="2045" w:name="_Toc13066"/>
      <w:bookmarkStart w:id="2046" w:name="_Toc1232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3.3预警响应调整与解除</w:t>
      </w:r>
      <w:bookmarkEnd w:id="2042"/>
      <w:bookmarkEnd w:id="2043"/>
      <w:bookmarkEnd w:id="2044"/>
      <w:bookmarkEnd w:id="2045"/>
      <w:bookmarkEnd w:id="2046"/>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pPr>
      <w:bookmarkStart w:id="2047" w:name="_Hlk85724896"/>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发布警报的相关部门调整或解除预警响应，或</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由综合</w:t>
      </w:r>
      <w:r>
        <w:rPr>
          <w:rFonts w:hint="eastAsia" w:eastAsia="仿宋_GB2312" w:cs="Times New Roman"/>
          <w:color w:val="000000" w:themeColor="text1"/>
          <w:spacing w:val="0"/>
          <w:sz w:val="32"/>
          <w:szCs w:val="32"/>
          <w:highlight w:val="none"/>
          <w:lang w:val="en-US" w:eastAsia="zh-CN"/>
          <w14:textFill>
            <w14:solidFill>
              <w14:schemeClr w14:val="tx1"/>
            </w14:solidFill>
          </w14:textFill>
        </w:rPr>
        <w:t>协调组</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根据</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预警信息对城市公共汽电车无影响或影响受控后，</w:t>
      </w:r>
      <w:bookmarkEnd w:id="2047"/>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提出</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实施建议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报厅应急办，经厅应急办研判，</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w:t>
      </w:r>
    </w:p>
    <w:bookmarkEnd w:id="2037"/>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14:textFill>
            <w14:solidFill>
              <w14:schemeClr w14:val="tx1"/>
            </w14:solidFill>
          </w14:textFill>
        </w:rPr>
      </w:pPr>
      <w:bookmarkStart w:id="2048" w:name="_Toc10945"/>
      <w:bookmarkStart w:id="2049" w:name="_Toc19737"/>
      <w:bookmarkStart w:id="2050" w:name="_Toc527553047"/>
      <w:bookmarkStart w:id="2051" w:name="_Toc488926853"/>
      <w:bookmarkStart w:id="2052" w:name="_Toc16449"/>
      <w:bookmarkStart w:id="2053" w:name="_Toc1154"/>
      <w:bookmarkStart w:id="2054" w:name="_Toc25432"/>
      <w:bookmarkStart w:id="2055" w:name="_Toc2762"/>
      <w:bookmarkStart w:id="2056" w:name="_Toc29667"/>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w:t>
      </w:r>
      <w:r>
        <w:rPr>
          <w:rFonts w:hint="eastAsia" w:ascii="黑体" w:hAnsi="黑体" w:eastAsia="黑体"/>
          <w:b/>
          <w:bCs/>
          <w:color w:val="000000" w:themeColor="text1"/>
          <w:spacing w:val="0"/>
          <w:sz w:val="32"/>
          <w:szCs w:val="32"/>
          <w:highlight w:val="none"/>
          <w14:textFill>
            <w14:solidFill>
              <w14:schemeClr w14:val="tx1"/>
            </w14:solidFill>
          </w14:textFill>
        </w:rPr>
        <w:t>应急响应</w:t>
      </w:r>
      <w:bookmarkEnd w:id="2048"/>
      <w:bookmarkEnd w:id="2049"/>
      <w:bookmarkEnd w:id="2050"/>
      <w:bookmarkEnd w:id="2051"/>
      <w:bookmarkEnd w:id="2052"/>
      <w:bookmarkEnd w:id="2053"/>
      <w:bookmarkEnd w:id="2054"/>
      <w:bookmarkEnd w:id="2055"/>
      <w:bookmarkEnd w:id="2056"/>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57" w:name="_Toc1411"/>
      <w:bookmarkStart w:id="2058" w:name="_Toc6570"/>
      <w:bookmarkStart w:id="2059" w:name="_Toc88082421"/>
      <w:bookmarkStart w:id="2060" w:name="_Toc17502"/>
      <w:bookmarkStart w:id="2061" w:name="_Toc470615244"/>
      <w:bookmarkStart w:id="2062" w:name="_Toc527553048"/>
      <w:bookmarkStart w:id="2063" w:name="_Toc15663"/>
      <w:bookmarkStart w:id="2064" w:name="_Toc488926854"/>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4.1信息报告</w:t>
      </w:r>
      <w:bookmarkEnd w:id="2057"/>
      <w:bookmarkEnd w:id="2058"/>
      <w:bookmarkEnd w:id="2059"/>
      <w:bookmarkEnd w:id="2060"/>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2065" w:name="_Toc13548"/>
      <w:bookmarkStart w:id="2066" w:name="_Toc18644"/>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4.1.1信息报告范围</w:t>
      </w:r>
      <w:bookmarkEnd w:id="2065"/>
      <w:bookmarkEnd w:id="2066"/>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（1）城市公共汽电车发生亡人事故或造成2人以上重伤事故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（2）城市公共汽电车</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交通枢纽</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运行中断，造成大量旅客滞留，恢复运行及人员疏散预计在6小时以上的事件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（3）城市公共汽电车及其场站遭受极端暴力袭击的事件</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（4）其他任何造成或可能造成重大社会、经济影响或发生在敏感区域、敏感时段的城市公共汽电车突发事件。</w:t>
      </w:r>
    </w:p>
    <w:p>
      <w:pPr>
        <w:keepNext w:val="0"/>
        <w:keepLines w:val="0"/>
        <w:pageBreakBefore w:val="0"/>
        <w:widowControl w:val="0"/>
        <w:kinsoku/>
        <w:wordWrap/>
        <w:overflowPunct/>
        <w:topLinePunct/>
        <w:autoSpaceDE/>
        <w:autoSpaceDN/>
        <w:bidi w:val="0"/>
        <w:adjustRightInd/>
        <w:snapToGrid/>
        <w:spacing w:line="600" w:lineRule="exact"/>
        <w:ind w:left="0" w:leftChars="0" w:firstLine="642" w:firstLineChars="200"/>
        <w:textAlignment w:val="auto"/>
        <w:outlineLvl w:val="3"/>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pPr>
      <w:bookmarkStart w:id="2067" w:name="_Toc9880"/>
      <w:bookmarkStart w:id="2068" w:name="_Toc24469"/>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4.1.2信息</w:t>
      </w:r>
      <w:bookmarkEnd w:id="2067"/>
      <w:bookmarkEnd w:id="2068"/>
      <w:r>
        <w:rPr>
          <w:rFonts w:hint="eastAsia" w:ascii="仿宋_GB2312" w:hAnsi="仿宋_GB2312" w:eastAsia="仿宋_GB2312" w:cs="仿宋_GB2312"/>
          <w:b/>
          <w:bCs/>
          <w:color w:val="000000" w:themeColor="text1"/>
          <w:spacing w:val="0"/>
          <w:sz w:val="32"/>
          <w:szCs w:val="32"/>
          <w:highlight w:val="none"/>
          <w:lang w:val="en-US" w:eastAsia="zh-CN"/>
          <w14:textFill>
            <w14:solidFill>
              <w14:schemeClr w14:val="tx1"/>
            </w14:solidFill>
          </w14:textFill>
        </w:rPr>
        <w:t>上报</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pPr>
      <w:bookmarkStart w:id="2069" w:name="_Toc472345363"/>
      <w:bookmarkEnd w:id="2069"/>
      <w:bookmarkStart w:id="2070" w:name="_Toc476213534"/>
      <w:bookmarkEnd w:id="2070"/>
      <w:bookmarkStart w:id="2071" w:name="_Toc476153185"/>
      <w:bookmarkEnd w:id="2071"/>
      <w:bookmarkStart w:id="2072" w:name="_Toc472345044"/>
      <w:bookmarkEnd w:id="2072"/>
      <w:bookmarkStart w:id="2073" w:name="_Toc476155690"/>
      <w:bookmarkEnd w:id="2073"/>
      <w:bookmarkStart w:id="2074" w:name="_Toc472345524"/>
      <w:bookmarkEnd w:id="2074"/>
      <w:r>
        <w:rPr>
          <w:rFonts w:hint="eastAsia" w:ascii="仿宋_GB2312" w:eastAsia="仿宋_GB2312"/>
          <w:color w:val="000000" w:themeColor="text1"/>
          <w:spacing w:val="0"/>
          <w:sz w:val="32"/>
          <w:szCs w:val="32"/>
          <w:highlight w:val="none"/>
          <w:lang w:val="en-US" w:eastAsia="zh-CN"/>
          <w14:textFill>
            <w14:solidFill>
              <w14:schemeClr w14:val="tx1"/>
            </w14:solidFill>
          </w14:textFill>
        </w:rPr>
        <w:t>各级交通运输部门和单位按照</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交通运输部〈</w:t>
      </w:r>
      <w:r>
        <w:rPr>
          <w:rFonts w:hint="eastAsia" w:ascii="仿宋_GB2312" w:eastAsia="仿宋_GB2312"/>
          <w:color w:val="000000" w:themeColor="text1"/>
          <w:spacing w:val="0"/>
          <w:sz w:val="32"/>
          <w:szCs w:val="32"/>
          <w:highlight w:val="none"/>
          <w14:textFill>
            <w14:solidFill>
              <w14:schemeClr w14:val="tx1"/>
            </w14:solidFill>
          </w14:textFill>
        </w:rPr>
        <w:t>交通运输突发事件应急管理规定</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《全区交通运输行业突发事件信息管理制度（试行）》等规定，报告突发事件信息。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接到</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信息后，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按规定程序进行报送。</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75" w:name="_Toc1947"/>
      <w:bookmarkStart w:id="2076" w:name="_Toc9923"/>
      <w:bookmarkStart w:id="2077" w:name="_Toc4910"/>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bookmarkEnd w:id="2061"/>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2分级响应</w:t>
      </w:r>
      <w:bookmarkEnd w:id="2062"/>
      <w:bookmarkEnd w:id="2063"/>
      <w:bookmarkEnd w:id="2064"/>
      <w:bookmarkEnd w:id="2075"/>
      <w:bookmarkEnd w:id="2076"/>
      <w:bookmarkEnd w:id="207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eastAsia="仿宋_GB2312"/>
          <w:color w:val="000000" w:themeColor="text1"/>
          <w:spacing w:val="0"/>
          <w:sz w:val="32"/>
          <w:szCs w:val="32"/>
          <w:highlight w:val="none"/>
          <w14:textFill>
            <w14:solidFill>
              <w14:schemeClr w14:val="tx1"/>
            </w14:solidFill>
          </w14:textFill>
        </w:rPr>
        <w:t>城市公共汽电车突发事件</w:t>
      </w:r>
      <w:r>
        <w:rPr>
          <w:rFonts w:hint="eastAsia" w:ascii="仿宋_GB2312" w:eastAsia="仿宋_GB2312"/>
          <w:color w:val="000000" w:themeColor="text1"/>
          <w:spacing w:val="0"/>
          <w:sz w:val="32"/>
          <w:szCs w:val="32"/>
          <w:highlight w:val="none"/>
          <w14:textFill>
            <w14:solidFill>
              <w14:schemeClr w14:val="tx1"/>
            </w14:solidFill>
          </w14:textFill>
        </w:rPr>
        <w:t>应急响应行动分为Ⅰ级、Ⅱ级、Ⅲ级和Ⅳ级，与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事件分级</w:t>
      </w:r>
      <w:r>
        <w:rPr>
          <w:rFonts w:hint="eastAsia" w:ascii="仿宋_GB2312" w:eastAsia="仿宋_GB2312"/>
          <w:color w:val="000000" w:themeColor="text1"/>
          <w:spacing w:val="0"/>
          <w:sz w:val="32"/>
          <w:szCs w:val="32"/>
          <w:highlight w:val="none"/>
          <w14:textFill>
            <w14:solidFill>
              <w14:schemeClr w14:val="tx1"/>
            </w14:solidFill>
          </w14:textFill>
        </w:rPr>
        <w:t>相对应。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78" w:name="_Toc6928"/>
      <w:bookmarkStart w:id="2079" w:name="_Toc527553049"/>
      <w:bookmarkStart w:id="2080" w:name="_Toc488926859"/>
      <w:bookmarkStart w:id="2081" w:name="_Toc22838"/>
      <w:bookmarkStart w:id="2082" w:name="_Toc26325"/>
      <w:bookmarkStart w:id="2083" w:name="_Toc1628"/>
      <w:bookmarkStart w:id="2084" w:name="_Toc47061524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4.3应急响应</w:t>
      </w:r>
      <w:bookmarkEnd w:id="2078"/>
      <w:bookmarkEnd w:id="2079"/>
      <w:bookmarkEnd w:id="2080"/>
      <w:bookmarkEnd w:id="2081"/>
      <w:bookmarkEnd w:id="208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及措施</w:t>
      </w:r>
      <w:bookmarkEnd w:id="2083"/>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bookmarkStart w:id="2085" w:name="_Toc470615251"/>
      <w:bookmarkStart w:id="2086" w:name="_Toc488926860"/>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经综合协调组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根据事件影响范围和处置难易程度分析研判，提出启动应急响应建议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，经厅应急办核准，报厅工作指挥机构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拟启动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Ⅰ级、Ⅱ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宣布启动，成立现场工作组，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指挥长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或副指挥长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带队赶赴现场，指导事发地交通运输主管部门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应急处置工作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，并报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人民政府、交通运输部；</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按照上级要求做好应急处置有关工作。现场工作组在现场指导当地开展应急处置、原因调查、运营恢复等工作，并根据需要协调有关方面提供队伍、物资、技术等支持。具体措施如下：</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instrText xml:space="preserve"> = 1 \* GB3 \* MERGEFORMAT </w:instrTex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指导相关单位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进入应急工作状态</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相关单位按照职责分工，收集事件和应急处置信息，会商研究处置事项</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instrText xml:space="preserve"> = 2 \* GB3 \* MERGEFORMAT </w:instrTex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协调救援队伍和救援装备赴现场参与现场救援，在突发事件现场以抢救人员生命为主的应急救援工作，指导现场救援队伍加强衔接配合，并做好自身安全防护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协调事发地相邻</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交通运输主管部门配合支援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instrText xml:space="preserve"> = 3 \* GB3 \* MERGEFORMAT </w:instrTex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配合有关部门制定</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紧急疏导疏散方案，指导相关部门有组织、有秩序地迅速引导现场人员撤离事发地点，疏散受影响城市公共汽电车乘客；对有关线路实施分区封控、警戒，阻止乘客及无关人员进入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指导、</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调配</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运输</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车辆，做好乘客的转运工作。超出事发地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交通运输主管部门乘客转运能力或需要跨区域协调应急运力时，协调邻近市或</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本级的应急运力，协助开展乘客转运工作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instrText xml:space="preserve"> = 5 \* GB3 \* MERGEFORMAT </w:instrTex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⑤</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指导事发地</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交通运输主管部门采取封闭场站、调整城市公共交通路网客运组织，设置交通封控区，配合公安部门对事发地点周边交通秩序进行维护疏导，防止发生大范围交通瘫痪</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同时开通绿色通道，为应急车辆提供通行保障</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bookmarkStart w:id="2087" w:name="_Hlk81479189"/>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instrText xml:space="preserve"> = 6 \* GB3 \* MERGEFORMAT </w:instrTex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积极配合公安、消防、应急、医疗等有关部门开展应急处置工作。</w:t>
      </w:r>
    </w:p>
    <w:bookmarkEnd w:id="2087"/>
    <w:p>
      <w:pPr>
        <w:keepNext w:val="0"/>
        <w:keepLines w:val="0"/>
        <w:pageBreakBefore w:val="0"/>
        <w:widowControl w:val="0"/>
        <w:numPr>
          <w:ilvl w:val="0"/>
          <w:numId w:val="0"/>
        </w:numPr>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（2）拟启动</w:t>
      </w:r>
      <w:r>
        <w:rPr>
          <w:rFonts w:hint="eastAsia" w:ascii="仿宋_GB2312" w:hAnsi="仿宋" w:eastAsia="仿宋_GB2312"/>
          <w:color w:val="000000" w:themeColor="text1"/>
          <w:spacing w:val="0"/>
          <w:sz w:val="32"/>
          <w:szCs w:val="32"/>
          <w:highlight w:val="none"/>
          <w14:textFill>
            <w14:solidFill>
              <w14:schemeClr w14:val="tx1"/>
            </w14:solidFill>
          </w14:textFill>
        </w:rPr>
        <w:t>Ⅲ级</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Ⅳ级</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的，由指挥长宣布启动并指导、协调应急处置</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，视情成立现场工作组，指导事发地交通运输主管部门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应急处置工作。</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①根据需要参与</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属地应急指挥部门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组织的会商，</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指导落实工作安排</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②视情派出现场工作组或专家组给予指导</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③协助地方开展应急处置工作。</w:t>
      </w:r>
    </w:p>
    <w:bookmarkEnd w:id="2084"/>
    <w:bookmarkEnd w:id="2085"/>
    <w:bookmarkEnd w:id="2086"/>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088" w:name="_Toc30811"/>
      <w:bookmarkStart w:id="2089" w:name="_Toc7310"/>
      <w:bookmarkStart w:id="2090" w:name="_Toc23536"/>
      <w:bookmarkStart w:id="2091" w:name="_Toc471"/>
      <w:bookmarkStart w:id="2092" w:name="_Toc527553052"/>
      <w:bookmarkStart w:id="2093" w:name="_Toc470615255"/>
      <w:bookmarkStart w:id="2094" w:name="_Toc488926864"/>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4.4信息发布</w:t>
      </w:r>
      <w:bookmarkEnd w:id="2088"/>
      <w:bookmarkEnd w:id="2089"/>
      <w:bookmarkEnd w:id="2090"/>
      <w:bookmarkEnd w:id="209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pPr>
      <w:bookmarkStart w:id="2095" w:name="_Toc383"/>
      <w:bookmarkStart w:id="2096" w:name="_Toc26674"/>
      <w:bookmarkStart w:id="2097" w:name="_Toc21374"/>
      <w:bookmarkStart w:id="2098" w:name="_Toc22732"/>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w:t>
      </w:r>
      <w:r>
        <w:rPr>
          <w:rFonts w:hint="eastAsia" w:eastAsia="仿宋_GB2312"/>
          <w:color w:val="000000" w:themeColor="text1"/>
          <w:spacing w:val="0"/>
          <w:sz w:val="32"/>
          <w:szCs w:val="32"/>
          <w:highlight w:val="none"/>
          <w14:textFill>
            <w14:solidFill>
              <w14:schemeClr w14:val="tx1"/>
            </w14:solidFill>
          </w14:textFill>
        </w:rPr>
        <w:t>突发事件信息发布</w:t>
      </w:r>
      <w:r>
        <w:rPr>
          <w:rFonts w:hint="eastAsia" w:eastAsia="仿宋_GB2312"/>
          <w:color w:val="000000" w:themeColor="text1"/>
          <w:spacing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未经批准，</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任何单位和个人</w:t>
      </w:r>
      <w:r>
        <w:rPr>
          <w:rFonts w:hint="eastAsia" w:ascii="仿宋_GB2312" w:hAnsi="微软雅黑" w:eastAsia="仿宋_GB2312" w:cs="宋体"/>
          <w:color w:val="000000" w:themeColor="text1"/>
          <w:spacing w:val="0"/>
          <w:kern w:val="0"/>
          <w:sz w:val="32"/>
          <w:szCs w:val="32"/>
          <w:highlight w:val="none"/>
          <w:lang w:eastAsia="zh-CN"/>
          <w14:textFill>
            <w14:solidFill>
              <w14:schemeClr w14:val="tx1"/>
            </w14:solidFill>
          </w14:textFill>
        </w:rPr>
        <w:t>不得擅自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对外发布有关信息</w:t>
      </w:r>
      <w:r>
        <w:rPr>
          <w:rFonts w:hint="eastAsia" w:ascii="仿宋_GB2312" w:hAnsi="微软雅黑" w:eastAsia="仿宋_GB2312" w:cs="宋体"/>
          <w:color w:val="000000" w:themeColor="text1"/>
          <w:spacing w:val="0"/>
          <w:kern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4.5响应终止</w:t>
      </w:r>
      <w:bookmarkEnd w:id="2092"/>
      <w:bookmarkEnd w:id="2093"/>
      <w:bookmarkEnd w:id="2094"/>
      <w:bookmarkEnd w:id="2095"/>
      <w:bookmarkEnd w:id="2096"/>
      <w:bookmarkEnd w:id="2097"/>
      <w:bookmarkEnd w:id="209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 w:eastAsia="仿宋_GB2312"/>
          <w:color w:val="000000" w:themeColor="text1"/>
          <w:spacing w:val="0"/>
          <w:sz w:val="32"/>
          <w:szCs w:val="32"/>
          <w:highlight w:val="none"/>
          <w14:textFill>
            <w14:solidFill>
              <w14:schemeClr w14:val="tx1"/>
            </w14:solidFill>
          </w14:textFill>
        </w:rPr>
      </w:pPr>
      <w:bookmarkStart w:id="2099" w:name="_Toc470615258"/>
      <w:bookmarkStart w:id="2100" w:name="_Toc488926865"/>
      <w:bookmarkStart w:id="2101" w:name="_Toc527553053"/>
      <w:r>
        <w:rPr>
          <w:rFonts w:ascii="Times New Roman" w:hAnsi="Times New Roman" w:eastAsia="仿宋_GB2312" w:cs="Times New Roman"/>
          <w:b w:val="0"/>
          <w:bCs w:val="0"/>
          <w:color w:val="000000" w:themeColor="text1"/>
          <w:spacing w:val="0"/>
          <w:sz w:val="32"/>
          <w:szCs w:val="32"/>
          <w:highlight w:val="none"/>
          <w14:textFill>
            <w14:solidFill>
              <w14:schemeClr w14:val="tx1"/>
            </w14:solidFill>
          </w14:textFill>
        </w:rPr>
        <w:t>在确认</w:t>
      </w:r>
      <w:r>
        <w:rPr>
          <w:rFonts w:hint="eastAsia" w:ascii="Times New Roman" w:hAnsi="Times New Roman" w:eastAsia="仿宋_GB2312" w:cs="Times New Roman"/>
          <w:b w:val="0"/>
          <w:bCs w:val="0"/>
          <w:color w:val="000000" w:themeColor="text1"/>
          <w:spacing w:val="0"/>
          <w:sz w:val="32"/>
          <w:szCs w:val="32"/>
          <w:highlight w:val="none"/>
          <w14:textFill>
            <w14:solidFill>
              <w14:schemeClr w14:val="tx1"/>
            </w14:solidFill>
          </w14:textFill>
        </w:rPr>
        <w:t>突发事件</w:t>
      </w:r>
      <w:r>
        <w:rPr>
          <w:rFonts w:ascii="Times New Roman" w:hAnsi="Times New Roman" w:eastAsia="仿宋_GB2312" w:cs="Times New Roman"/>
          <w:b w:val="0"/>
          <w:bCs w:val="0"/>
          <w:color w:val="000000" w:themeColor="text1"/>
          <w:spacing w:val="0"/>
          <w:sz w:val="32"/>
          <w:szCs w:val="32"/>
          <w:highlight w:val="none"/>
          <w14:textFill>
            <w14:solidFill>
              <w14:schemeClr w14:val="tx1"/>
            </w14:solidFill>
          </w14:textFill>
        </w:rPr>
        <w:t>得到有效控制、危害已经消除后</w:t>
      </w:r>
      <w:r>
        <w:rPr>
          <w:rFonts w:hint="eastAsia" w:ascii="Times New Roman" w:hAnsi="Times New Roman" w:eastAsia="仿宋_GB2312" w:cs="Times New Roman"/>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经厅应急办核准，报</w:t>
      </w:r>
      <w:r>
        <w:rPr>
          <w:rFonts w:hint="eastAsia" w:ascii="仿宋_GB2312" w:eastAsia="仿宋_GB2312"/>
          <w:b w:val="0"/>
          <w:bCs w:val="0"/>
          <w:color w:val="000000" w:themeColor="text1"/>
          <w:spacing w:val="0"/>
          <w:sz w:val="32"/>
          <w:szCs w:val="32"/>
          <w:highlight w:val="none"/>
          <w14:textFill>
            <w14:solidFill>
              <w14:schemeClr w14:val="tx1"/>
            </w14:solidFill>
          </w14:textFill>
        </w:rPr>
        <w:t>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同意后实施；并</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02" w:name="_Toc23355"/>
      <w:bookmarkStart w:id="2103" w:name="_Toc6514"/>
      <w:bookmarkStart w:id="2104" w:name="_Toc6842"/>
      <w:bookmarkStart w:id="2105" w:name="_Toc2529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4.</w:t>
      </w:r>
      <w:bookmarkEnd w:id="2099"/>
      <w:bookmarkEnd w:id="2100"/>
      <w:bookmarkEnd w:id="2101"/>
      <w:bookmarkEnd w:id="2102"/>
      <w:bookmarkStart w:id="2106" w:name="_Toc88082428"/>
      <w:bookmarkStart w:id="2107" w:name="_Toc24918"/>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6善后处置</w:t>
      </w:r>
      <w:bookmarkEnd w:id="2103"/>
      <w:bookmarkEnd w:id="2104"/>
      <w:bookmarkEnd w:id="2105"/>
      <w:bookmarkEnd w:id="2106"/>
      <w:bookmarkEnd w:id="2107"/>
    </w:p>
    <w:p>
      <w:pPr>
        <w:keepNext w:val="0"/>
        <w:keepLines w:val="0"/>
        <w:pageBreakBefore w:val="0"/>
        <w:widowControl w:val="0"/>
        <w:shd w:val="clear" w:color="auto" w:fill="FFFFFF"/>
        <w:kinsoku/>
        <w:wordWrap/>
        <w:overflowPunct/>
        <w:topLinePunct/>
        <w:autoSpaceDE/>
        <w:autoSpaceDN/>
        <w:bidi w:val="0"/>
        <w:adjustRightInd/>
        <w:snapToGrid/>
        <w:spacing w:line="600" w:lineRule="exact"/>
        <w:ind w:left="0" w:leftChars="0" w:firstLine="640" w:firstLineChars="200"/>
        <w:textAlignment w:val="auto"/>
        <w:rPr>
          <w:rFonts w:ascii="Times New Roman" w:hAnsi="Times New Roman" w:eastAsia="仿宋_GB2312" w:cs="Times New Roman"/>
          <w:color w:val="000000" w:themeColor="text1"/>
          <w:spacing w:val="0"/>
          <w:sz w:val="32"/>
          <w:szCs w:val="32"/>
          <w:highlight w:val="none"/>
          <w14:textFill>
            <w14:solidFill>
              <w14:schemeClr w14:val="tx1"/>
            </w14:solidFill>
          </w14:textFill>
        </w:rPr>
      </w:pPr>
      <w:r>
        <w:rPr>
          <w:rFonts w:ascii="Times New Roman" w:hAnsi="Times New Roman" w:eastAsia="仿宋_GB2312" w:cs="Times New Roman"/>
          <w:color w:val="000000" w:themeColor="text1"/>
          <w:spacing w:val="0"/>
          <w:sz w:val="32"/>
          <w:szCs w:val="32"/>
          <w:highlight w:val="none"/>
          <w14:textFill>
            <w14:solidFill>
              <w14:schemeClr w14:val="tx1"/>
            </w14:solidFill>
          </w14:textFill>
        </w:rPr>
        <w:t>交通运输厅配合做好善后处置工作</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，指导地方交通运输主管部门对突发事件中紧急调集、征用有关单位及个人的物资，按照规定给予补助或补偿。</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108" w:name="_Toc470615261"/>
      <w:bookmarkStart w:id="2109" w:name="_Toc21181"/>
      <w:bookmarkStart w:id="2110" w:name="_Toc488926868"/>
      <w:bookmarkStart w:id="2111" w:name="_Toc15953"/>
      <w:bookmarkStart w:id="2112" w:name="_Toc2639"/>
      <w:bookmarkStart w:id="2113" w:name="_Toc527553054"/>
      <w:bookmarkStart w:id="2114" w:name="_Toc9169"/>
      <w:bookmarkStart w:id="2115" w:name="_Toc21240"/>
      <w:bookmarkStart w:id="2116" w:name="_Toc22895"/>
      <w:bookmarkStart w:id="2117" w:name="_Toc1671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5.应急保障</w:t>
      </w:r>
      <w:bookmarkEnd w:id="2108"/>
      <w:bookmarkEnd w:id="2109"/>
      <w:bookmarkEnd w:id="2110"/>
      <w:bookmarkEnd w:id="2111"/>
      <w:bookmarkEnd w:id="2112"/>
      <w:bookmarkEnd w:id="2113"/>
      <w:bookmarkEnd w:id="2114"/>
      <w:bookmarkEnd w:id="2115"/>
      <w:bookmarkEnd w:id="2116"/>
      <w:bookmarkEnd w:id="2117"/>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18" w:name="_Toc3255"/>
      <w:bookmarkStart w:id="2119" w:name="_Toc16510"/>
      <w:bookmarkStart w:id="2120" w:name="_Toc3951"/>
      <w:bookmarkStart w:id="2121" w:name="_Toc7490"/>
      <w:bookmarkStart w:id="2122" w:name="_Toc488926872"/>
      <w:bookmarkStart w:id="2123" w:name="_Toc527553058"/>
      <w:bookmarkStart w:id="2124" w:name="_Toc470615265"/>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5.1</w:t>
      </w:r>
      <w:bookmarkStart w:id="2125" w:name="_Toc32046"/>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应急宣传与培训</w:t>
      </w:r>
      <w:bookmarkEnd w:id="2118"/>
      <w:bookmarkEnd w:id="2119"/>
      <w:bookmarkEnd w:id="2120"/>
      <w:bookmarkEnd w:id="2121"/>
      <w:bookmarkEnd w:id="212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b w:val="0"/>
          <w:bCs w:val="0"/>
          <w:color w:val="000000" w:themeColor="text1"/>
          <w:spacing w:val="0"/>
          <w:sz w:val="32"/>
          <w:szCs w:val="32"/>
          <w:highlight w:val="none"/>
          <w14:textFill>
            <w14:solidFill>
              <w14:schemeClr w14:val="tx1"/>
            </w14:solidFill>
          </w14:textFill>
        </w:rPr>
        <w:t>运输和海事管理处</w:t>
      </w:r>
      <w:r>
        <w:rPr>
          <w:rFonts w:hint="eastAsia" w:ascii="仿宋_GB2312" w:hAnsi="仿宋_GB2312" w:eastAsia="仿宋_GB2312"/>
          <w:b w:val="0"/>
          <w:bCs w:val="0"/>
          <w:color w:val="000000" w:themeColor="text1"/>
          <w:spacing w:val="0"/>
          <w:sz w:val="32"/>
          <w:szCs w:val="32"/>
          <w:highlight w:val="none"/>
          <w:lang w:val="en-US" w:eastAsia="zh-CN"/>
          <w14:textFill>
            <w14:solidFill>
              <w14:schemeClr w14:val="tx1"/>
            </w14:solidFill>
          </w14:textFill>
        </w:rPr>
        <w:t>和</w:t>
      </w:r>
      <w:r>
        <w:rPr>
          <w:rFonts w:hint="eastAsia" w:ascii="仿宋_GB2312" w:eastAsia="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组织对应急相关人员进行</w:t>
      </w:r>
      <w:r>
        <w:rPr>
          <w:rFonts w:hint="eastAsia" w:ascii="仿宋_GB2312" w:hAnsi="仿宋_GB2312" w:eastAsia="仿宋_GB2312"/>
          <w:b w:val="0"/>
          <w:bCs w:val="0"/>
          <w:color w:val="000000" w:themeColor="text1"/>
          <w:spacing w:val="0"/>
          <w:sz w:val="32"/>
          <w:szCs w:val="32"/>
          <w:highlight w:val="none"/>
          <w14:textFill>
            <w14:solidFill>
              <w14:schemeClr w14:val="tx1"/>
            </w14:solidFill>
          </w14:textFill>
        </w:rPr>
        <w:t>城市公共汽电车</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应急管理专题培训、上岗前培训和常规性培训</w:t>
      </w:r>
      <w:r>
        <w:rPr>
          <w:rFonts w:hint="eastAsia" w:ascii="仿宋_GB2312" w:hAnsi="Calibri"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Calibri" w:eastAsia="仿宋_GB2312"/>
          <w:b w:val="0"/>
          <w:bCs w:val="0"/>
          <w:color w:val="000000" w:themeColor="text1"/>
          <w:spacing w:val="0"/>
          <w:sz w:val="32"/>
          <w:szCs w:val="32"/>
          <w:highlight w:val="none"/>
          <w:lang w:val="en-US" w:eastAsia="zh-CN"/>
          <w14:textFill>
            <w14:solidFill>
              <w14:schemeClr w14:val="tx1"/>
            </w14:solidFill>
          </w14:textFill>
        </w:rPr>
        <w:t>邀请</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应急管理专家进行专业授课，组织应急工作人员参加应急管理方面的各类培训与继续教育活动。</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Calibri" w:eastAsia="仿宋_GB2312"/>
          <w:b w:val="0"/>
          <w:bCs w:val="0"/>
          <w:color w:val="000000" w:themeColor="text1"/>
          <w:spacing w:val="0"/>
          <w:sz w:val="32"/>
          <w:szCs w:val="32"/>
          <w:highlight w:val="none"/>
          <w14:textFill>
            <w14:solidFill>
              <w14:schemeClr w14:val="tx1"/>
            </w14:solidFill>
          </w14:textFill>
        </w:rPr>
      </w:pP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各级交通运输主管部门应将应急教育培训工作纳入日常管理工作，定期开展应急培训工作。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26" w:name="_Toc30169"/>
      <w:bookmarkStart w:id="2127" w:name="_Toc13155"/>
      <w:bookmarkStart w:id="2128" w:name="_Toc13903"/>
      <w:bookmarkStart w:id="2129" w:name="_Toc3264"/>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5.2应急演练</w:t>
      </w:r>
      <w:bookmarkEnd w:id="2122"/>
      <w:bookmarkEnd w:id="2123"/>
      <w:bookmarkEnd w:id="2124"/>
      <w:bookmarkEnd w:id="2126"/>
      <w:bookmarkEnd w:id="2127"/>
      <w:bookmarkEnd w:id="2128"/>
      <w:bookmarkEnd w:id="212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olor w:val="000000" w:themeColor="text1"/>
          <w:spacing w:val="0"/>
          <w:sz w:val="32"/>
          <w:szCs w:val="32"/>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olor w:val="000000" w:themeColor="text1"/>
          <w:spacing w:val="0"/>
          <w:sz w:val="32"/>
          <w:szCs w:val="32"/>
          <w:highlight w:val="none"/>
          <w14:textFill>
            <w14:solidFill>
              <w14:schemeClr w14:val="tx1"/>
            </w14:solidFill>
          </w14:textFill>
        </w:rPr>
        <w:t>运输和海事管理处每</w:t>
      </w:r>
      <w:r>
        <w:rPr>
          <w:rFonts w:hint="eastAsia" w:ascii="仿宋_GB2312" w:hAnsi="仿宋_GB2312" w:eastAsia="仿宋_GB2312"/>
          <w:color w:val="000000" w:themeColor="text1"/>
          <w:spacing w:val="0"/>
          <w:sz w:val="32"/>
          <w:szCs w:val="32"/>
          <w:highlight w:val="none"/>
          <w:lang w:val="en-US" w:eastAsia="zh-CN"/>
          <w14:textFill>
            <w14:solidFill>
              <w14:schemeClr w14:val="tx1"/>
            </w14:solidFill>
          </w14:textFill>
        </w:rPr>
        <w:t>2</w:t>
      </w:r>
      <w:r>
        <w:rPr>
          <w:rFonts w:hint="eastAsia" w:ascii="仿宋_GB2312" w:hAnsi="仿宋_GB2312" w:eastAsia="仿宋_GB2312"/>
          <w:color w:val="000000" w:themeColor="text1"/>
          <w:spacing w:val="0"/>
          <w:sz w:val="32"/>
          <w:szCs w:val="32"/>
          <w:highlight w:val="none"/>
          <w14:textFill>
            <w14:solidFill>
              <w14:schemeClr w14:val="tx1"/>
            </w14:solidFill>
          </w14:textFill>
        </w:rPr>
        <w:t>年至少</w:t>
      </w:r>
      <w:r>
        <w:rPr>
          <w:rFonts w:hint="eastAsia" w:ascii="仿宋_GB2312" w:hAnsi="仿宋_GB2312" w:eastAsia="仿宋_GB2312"/>
          <w:color w:val="000000" w:themeColor="text1"/>
          <w:spacing w:val="0"/>
          <w:sz w:val="32"/>
          <w:szCs w:val="32"/>
          <w:highlight w:val="none"/>
          <w:lang w:val="en-US" w:eastAsia="zh-CN"/>
          <w14:textFill>
            <w14:solidFill>
              <w14:schemeClr w14:val="tx1"/>
            </w14:solidFill>
          </w14:textFill>
        </w:rPr>
        <w:t>组织</w:t>
      </w:r>
      <w:r>
        <w:rPr>
          <w:rFonts w:hint="eastAsia" w:ascii="仿宋_GB2312" w:hAnsi="仿宋_GB2312" w:eastAsia="仿宋_GB2312"/>
          <w:color w:val="000000" w:themeColor="text1"/>
          <w:spacing w:val="0"/>
          <w:sz w:val="32"/>
          <w:szCs w:val="32"/>
          <w:highlight w:val="none"/>
          <w14:textFill>
            <w14:solidFill>
              <w14:schemeClr w14:val="tx1"/>
            </w14:solidFill>
          </w14:textFill>
        </w:rPr>
        <w:t>一次城市公共汽电车应急演练，组织应急相关人员、应急联动机构广泛参与</w:t>
      </w:r>
      <w:r>
        <w:rPr>
          <w:rFonts w:hint="eastAsia" w:ascii="仿宋_GB2312" w:hAns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olor w:val="000000" w:themeColor="text1"/>
          <w:spacing w:val="0"/>
          <w:sz w:val="32"/>
          <w:szCs w:val="32"/>
          <w:highlight w:val="none"/>
          <w14:textFill>
            <w14:solidFill>
              <w14:schemeClr w14:val="tx1"/>
            </w14:solidFill>
          </w14:textFill>
        </w:rPr>
        <w:t>并及时组织演练评估</w:t>
      </w:r>
      <w:r>
        <w:rPr>
          <w:rFonts w:hint="eastAsia" w:ascii="仿宋_GB2312" w:hAns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olor w:val="000000" w:themeColor="text1"/>
          <w:spacing w:val="0"/>
          <w:sz w:val="32"/>
          <w:szCs w:val="32"/>
          <w:highlight w:val="none"/>
          <w14:textFill>
            <w14:solidFill>
              <w14:schemeClr w14:val="tx1"/>
            </w14:solidFill>
          </w14:textFill>
        </w:rPr>
        <w:t>鼓励委托第三方进行演练评估。</w:t>
      </w:r>
    </w:p>
    <w:p>
      <w:pPr>
        <w:keepNext w:val="0"/>
        <w:pageBreakBefore w:val="0"/>
        <w:widowControl w:val="0"/>
        <w:kinsoku/>
        <w:topLinePunct/>
        <w:bidi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bookmarkStart w:id="2130" w:name="_Toc12473"/>
      <w:bookmarkStart w:id="2131" w:name="_Toc20223"/>
      <w:bookmarkStart w:id="2132" w:name="_Toc24766"/>
      <w:bookmarkStart w:id="2133" w:name="_Toc31331"/>
      <w:bookmarkStart w:id="2134" w:name="_Hlk81233364"/>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城市公共汽电车突发事件应急处置流程图</w:t>
      </w:r>
    </w:p>
    <w:p>
      <w:pPr>
        <w:keepNext w:val="0"/>
        <w:pageBreakBefore w:val="0"/>
        <w:widowControl w:val="0"/>
        <w:kinsoku/>
        <w:topLinePunct/>
        <w:bidi w:val="0"/>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drawing>
          <wp:inline distT="0" distB="0" distL="114300" distR="114300">
            <wp:extent cx="5267325" cy="7462520"/>
            <wp:effectExtent l="0" t="0" r="3175" b="5080"/>
            <wp:docPr id="33" name="图片 33" descr="道路运输应急流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道路运输应急流程4"/>
                    <pic:cNvPicPr>
                      <a:picLocks noChangeAspect="1"/>
                    </pic:cNvPicPr>
                  </pic:nvPicPr>
                  <pic:blipFill>
                    <a:blip r:embed="rId18"/>
                    <a:stretch>
                      <a:fillRect/>
                    </a:stretch>
                  </pic:blipFill>
                  <pic:spPr>
                    <a:xfrm>
                      <a:off x="0" y="0"/>
                      <a:ext cx="5267325" cy="7462520"/>
                    </a:xfrm>
                    <a:prstGeom prst="rect">
                      <a:avLst/>
                    </a:prstGeom>
                  </pic:spPr>
                </pic:pic>
              </a:graphicData>
            </a:graphic>
          </wp:inline>
        </w:drawing>
      </w:r>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0" w:firstLineChars="0"/>
        <w:jc w:val="center"/>
        <w:textAlignment w:val="auto"/>
        <w:outlineLvl w:val="0"/>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pPr>
      <w:bookmarkStart w:id="2135" w:name="_Toc17179"/>
      <w:r>
        <w:rPr>
          <w:rFonts w:hint="eastAsia" w:ascii="微软雅黑" w:hAnsi="Times New Roman" w:eastAsia="微软雅黑" w:cs="Times New Roman"/>
          <w:b w:val="0"/>
          <w:bCs/>
          <w:color w:val="000000" w:themeColor="text1"/>
          <w:spacing w:val="0"/>
          <w:kern w:val="2"/>
          <w:sz w:val="44"/>
          <w:szCs w:val="44"/>
          <w:highlight w:val="none"/>
          <w:lang w:val="en-US" w:eastAsia="zh-CN" w:bidi="ar-SA"/>
          <w14:textFill>
            <w14:solidFill>
              <w14:schemeClr w14:val="tx1"/>
            </w14:solidFill>
          </w14:textFill>
        </w:rPr>
        <w:t>9、宁夏回族自治区交通运输厅公共卫生突发事件应急预案</w:t>
      </w:r>
      <w:bookmarkEnd w:id="2130"/>
      <w:bookmarkEnd w:id="2131"/>
      <w:bookmarkEnd w:id="2132"/>
      <w:bookmarkEnd w:id="2133"/>
      <w:bookmarkEnd w:id="2135"/>
    </w:p>
    <w:bookmarkEnd w:id="2134"/>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黑体" w:hAnsi="黑体" w:eastAsia="黑体"/>
          <w:b w:val="0"/>
          <w:bCs w:val="0"/>
          <w:color w:val="000000" w:themeColor="text1"/>
          <w:spacing w:val="0"/>
          <w:sz w:val="32"/>
          <w:szCs w:val="32"/>
          <w:highlight w:val="none"/>
          <w:lang w:val="en-US" w:eastAsia="zh-CN"/>
          <w14:textFill>
            <w14:solidFill>
              <w14:schemeClr w14:val="tx1"/>
            </w14:solidFill>
          </w14:textFill>
        </w:rPr>
      </w:pPr>
      <w:bookmarkStart w:id="2136" w:name="_Toc27284"/>
      <w:bookmarkStart w:id="2137" w:name="_Toc9523"/>
      <w:bookmarkStart w:id="2138" w:name="_Toc13175"/>
      <w:bookmarkStart w:id="2139" w:name="_Toc1477"/>
      <w:bookmarkStart w:id="2140" w:name="_Toc15975"/>
      <w:bookmarkStart w:id="2141" w:name="_Toc12477"/>
      <w:bookmarkStart w:id="2142" w:name="_Toc31891"/>
      <w:bookmarkStart w:id="2143" w:name="_Hlk81233413"/>
      <w:bookmarkStart w:id="2144" w:name="_Toc80473115"/>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145" w:name="_Toc244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1.总则</w:t>
      </w:r>
      <w:bookmarkEnd w:id="2136"/>
      <w:bookmarkEnd w:id="2137"/>
      <w:bookmarkEnd w:id="2138"/>
      <w:bookmarkEnd w:id="2139"/>
      <w:bookmarkEnd w:id="2140"/>
      <w:bookmarkEnd w:id="2141"/>
      <w:bookmarkEnd w:id="2142"/>
      <w:bookmarkEnd w:id="2145"/>
    </w:p>
    <w:bookmarkEnd w:id="2143"/>
    <w:bookmarkEnd w:id="2144"/>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46" w:name="_Toc12680"/>
      <w:bookmarkStart w:id="2147" w:name="_Toc30618"/>
      <w:bookmarkStart w:id="2148" w:name="_Toc9384"/>
      <w:bookmarkStart w:id="2149" w:name="_Toc2621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1.1编制目的</w:t>
      </w:r>
      <w:bookmarkEnd w:id="2146"/>
      <w:bookmarkEnd w:id="2147"/>
      <w:bookmarkEnd w:id="2148"/>
      <w:bookmarkEnd w:id="2149"/>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为</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提高交通运输厅应对和处置</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各类</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公共卫生突发事件</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能力和水平</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结合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交通运输厅职责</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制定本预案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50" w:name="_Toc1724"/>
      <w:bookmarkStart w:id="2151" w:name="_Toc20536"/>
      <w:bookmarkStart w:id="2152" w:name="_Toc17865"/>
      <w:bookmarkStart w:id="2153" w:name="_Toc26302"/>
      <w:bookmarkStart w:id="2154" w:name="_Toc80473116"/>
      <w:bookmarkStart w:id="2155" w:name="_Toc26317"/>
      <w:bookmarkStart w:id="2156" w:name="_Hlk81233430"/>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1.2编制依据</w:t>
      </w:r>
      <w:bookmarkEnd w:id="2150"/>
      <w:bookmarkEnd w:id="2151"/>
      <w:bookmarkEnd w:id="2152"/>
      <w:bookmarkEnd w:id="2153"/>
      <w:bookmarkEnd w:id="2154"/>
      <w:bookmarkEnd w:id="2155"/>
    </w:p>
    <w:bookmarkEnd w:id="2156"/>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依据《中华人民共和国突发事件应对法》《中华人民共和国传染病防治法》《</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宁夏</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回族</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公共卫生</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应急预案》《</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宁夏</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交通运输综合</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应急预案》等有关</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规定</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57" w:name="_Toc31078"/>
      <w:bookmarkStart w:id="2158" w:name="_Toc80473117"/>
      <w:bookmarkStart w:id="2159" w:name="_Toc15823"/>
      <w:bookmarkStart w:id="2160" w:name="_Toc18397"/>
      <w:bookmarkStart w:id="2161" w:name="_Toc3298"/>
      <w:bookmarkStart w:id="2162" w:name="_Toc16254"/>
      <w:bookmarkStart w:id="2163" w:name="_Hlk81233441"/>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1.3适用范围</w:t>
      </w:r>
      <w:bookmarkEnd w:id="2157"/>
      <w:bookmarkEnd w:id="2158"/>
      <w:bookmarkEnd w:id="2159"/>
      <w:bookmarkEnd w:id="2160"/>
      <w:bookmarkEnd w:id="2161"/>
      <w:bookmarkEnd w:id="2162"/>
    </w:p>
    <w:bookmarkEnd w:id="2163"/>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Times New Roman" w:eastAsia="仿宋_GB2312" w:cs="Times New Roman"/>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本预案适用于</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交通运输厅参与处置</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，以及</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需要</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自治区</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交通运输厅</w:t>
      </w:r>
      <w:bookmarkStart w:id="2164" w:name="_Hlk80711055"/>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提供公路、水路等综合运输应急保障</w:t>
      </w:r>
      <w:bookmarkEnd w:id="2164"/>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的</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公共卫生突发事件；</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协助</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卫健</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部门对乘坐交通工具的人员进行检疫、查验</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保障</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公共卫生突发事件</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处置人员</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涉疫人员</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以及防治药品、医疗器械等急用物资和有关标本的运送</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协助</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公安交管</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部门做好疫区道路交通管理等工作。</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65" w:name="_Toc18503"/>
      <w:bookmarkStart w:id="2166" w:name="_Toc17452"/>
      <w:bookmarkStart w:id="2167" w:name="_Toc10355"/>
      <w:bookmarkStart w:id="2168" w:name="_Toc80473119"/>
      <w:bookmarkStart w:id="2169" w:name="_Toc29855"/>
      <w:bookmarkStart w:id="2170" w:name="_Hlk81233492"/>
      <w:bookmarkStart w:id="2171" w:name="_Toc80473118"/>
      <w:bookmarkStart w:id="2172" w:name="_Hlk81233482"/>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1.4事件分级</w:t>
      </w:r>
      <w:bookmarkEnd w:id="2165"/>
      <w:bookmarkEnd w:id="2166"/>
      <w:bookmarkEnd w:id="2167"/>
      <w:bookmarkEnd w:id="2168"/>
      <w:bookmarkEnd w:id="2169"/>
    </w:p>
    <w:bookmarkEnd w:id="2170"/>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国家及自治区相关规定，</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划分为特别重大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Ⅰ级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、重大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Ⅱ级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和一般</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Ⅳ级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四级</w:t>
      </w:r>
      <w:bookmarkStart w:id="2173" w:name="_Hlk81233502"/>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w:t>
      </w:r>
      <w:bookmarkEnd w:id="2173"/>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74" w:name="_Toc20559"/>
      <w:bookmarkStart w:id="2175" w:name="_Toc15118"/>
      <w:bookmarkStart w:id="2176" w:name="_Toc16159"/>
      <w:bookmarkStart w:id="2177" w:name="_Toc21378"/>
      <w:bookmarkStart w:id="2178" w:name="_Toc15354"/>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1.5工作原则</w:t>
      </w:r>
      <w:bookmarkEnd w:id="2171"/>
      <w:bookmarkEnd w:id="2174"/>
      <w:bookmarkEnd w:id="2175"/>
      <w:bookmarkEnd w:id="2176"/>
      <w:bookmarkEnd w:id="2177"/>
      <w:bookmarkEnd w:id="2178"/>
    </w:p>
    <w:bookmarkEnd w:id="2172"/>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公共卫生突发事件应急处置坚持统一领导、分级负责，快速反应、资源共享、加强合作的工作原则。</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Times New Roman" w:eastAsia="仿宋_GB2312" w:cs="Times New Roman"/>
          <w:color w:val="000000" w:themeColor="text1"/>
          <w:spacing w:val="0"/>
          <w:sz w:val="32"/>
          <w:szCs w:val="32"/>
          <w:highlight w:val="none"/>
          <w:lang w:val="en-US" w:eastAsia="en-US"/>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公共卫生事件</w:t>
      </w:r>
      <w:r>
        <w:rPr>
          <w:rFonts w:hint="eastAsia" w:ascii="仿宋_GB2312" w:hAnsi="Times New Roman" w:eastAsia="仿宋_GB2312" w:cs="Times New Roman"/>
          <w:color w:val="000000" w:themeColor="text1"/>
          <w:spacing w:val="0"/>
          <w:sz w:val="32"/>
          <w:szCs w:val="32"/>
          <w:highlight w:val="none"/>
          <w:lang w:val="en-US" w:eastAsia="en-US"/>
          <w14:textFill>
            <w14:solidFill>
              <w14:schemeClr w14:val="tx1"/>
            </w14:solidFill>
          </w14:textFill>
        </w:rPr>
        <w:t>发生后，厅属驻地公路管理、交通执法</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等</w:t>
      </w:r>
      <w:r>
        <w:rPr>
          <w:rFonts w:hint="eastAsia" w:ascii="仿宋_GB2312" w:hAnsi="Times New Roman" w:eastAsia="仿宋_GB2312" w:cs="Times New Roman"/>
          <w:color w:val="000000" w:themeColor="text1"/>
          <w:spacing w:val="0"/>
          <w:sz w:val="32"/>
          <w:szCs w:val="32"/>
          <w:highlight w:val="none"/>
          <w:lang w:val="en-US" w:eastAsia="en-US"/>
          <w14:textFill>
            <w14:solidFill>
              <w14:schemeClr w14:val="tx1"/>
            </w14:solidFill>
          </w14:textFill>
        </w:rPr>
        <w:t>单位可按照地方政府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公共卫生突发事件</w:t>
      </w:r>
      <w:r>
        <w:rPr>
          <w:rFonts w:hint="eastAsia" w:ascii="仿宋_GB2312" w:hAnsi="Times New Roman" w:eastAsia="仿宋_GB2312" w:cs="Times New Roman"/>
          <w:color w:val="000000" w:themeColor="text1"/>
          <w:spacing w:val="0"/>
          <w:sz w:val="32"/>
          <w:szCs w:val="32"/>
          <w:highlight w:val="none"/>
          <w:lang w:val="en-US" w:eastAsia="en-US"/>
          <w14:textFill>
            <w14:solidFill>
              <w14:schemeClr w14:val="tx1"/>
            </w14:solidFill>
          </w14:textFill>
        </w:rPr>
        <w:t>工作部署，</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配合做好应急</w:t>
      </w:r>
      <w:r>
        <w:rPr>
          <w:rFonts w:hint="eastAsia" w:ascii="仿宋_GB2312" w:hAnsi="Times New Roman" w:eastAsia="仿宋_GB2312" w:cs="Times New Roman"/>
          <w:color w:val="000000" w:themeColor="text1"/>
          <w:spacing w:val="0"/>
          <w:sz w:val="32"/>
          <w:szCs w:val="32"/>
          <w:highlight w:val="none"/>
          <w:lang w:val="en-US" w:eastAsia="en-US"/>
          <w14:textFill>
            <w14:solidFill>
              <w14:schemeClr w14:val="tx1"/>
            </w14:solidFill>
          </w14:textFill>
        </w:rPr>
        <w:t>处置工作。</w:t>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179" w:name="_Toc2350"/>
      <w:bookmarkStart w:id="2180" w:name="_Toc25848"/>
      <w:bookmarkStart w:id="2181" w:name="_Toc8962"/>
      <w:bookmarkStart w:id="2182" w:name="_Toc10286"/>
      <w:bookmarkStart w:id="2183" w:name="_Toc27726"/>
      <w:bookmarkStart w:id="2184" w:name="_Toc5389"/>
      <w:bookmarkStart w:id="2185" w:name="_Toc23304"/>
      <w:bookmarkStart w:id="2186" w:name="_Toc13695"/>
      <w:bookmarkStart w:id="2187" w:name="_Toc80473122"/>
      <w:bookmarkStart w:id="2188" w:name="_Hlk81237418"/>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2.</w:t>
      </w:r>
      <w:bookmarkEnd w:id="2179"/>
      <w:bookmarkEnd w:id="2180"/>
      <w:bookmarkEnd w:id="2181"/>
      <w:bookmarkEnd w:id="2182"/>
      <w:bookmarkEnd w:id="2183"/>
      <w:bookmarkEnd w:id="2184"/>
      <w:bookmarkEnd w:id="218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组织机构与职责</w:t>
      </w:r>
      <w:bookmarkEnd w:id="2186"/>
    </w:p>
    <w:bookmarkEnd w:id="2187"/>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89" w:name="_Toc8881"/>
      <w:bookmarkStart w:id="2190" w:name="_Toc25807"/>
      <w:bookmarkStart w:id="2191" w:name="_Toc27473"/>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2.1厅公共卫生突发事件工作指挥机构</w:t>
      </w:r>
      <w:bookmarkEnd w:id="2189"/>
      <w:bookmarkEnd w:id="2190"/>
      <w:bookmarkEnd w:id="2191"/>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成立自治区交通运输厅公共卫生突发事件工作指挥机构（以下简称“工作指挥机构”），在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自治区应急指挥部</w:t>
      </w:r>
      <w:r>
        <w:rPr>
          <w:rFonts w:hint="eastAsia" w:ascii="times new rome" w:hAnsi="times new rome" w:eastAsia="仿宋_GB2312"/>
          <w:color w:val="000000" w:themeColor="text1"/>
          <w:spacing w:val="0"/>
          <w:sz w:val="32"/>
          <w:szCs w:val="32"/>
          <w:highlight w:val="none"/>
          <w:lang w:val="en-US" w:eastAsia="zh-CN"/>
          <w14:textFill>
            <w14:solidFill>
              <w14:schemeClr w14:val="tx1"/>
            </w14:solidFill>
          </w14:textFill>
        </w:rPr>
        <w:t>和厅应急领导小组的</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指挥下，负责组织、协调、开展</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交通运输行业公共卫生突发事件应急处置工作。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特别重大事故（Ⅰ级）、重大事故（Ⅱ级）由厅主要负责人担任指挥长，</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分管综合办公工作的厅领导</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任副指挥长；</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较大事故（Ⅲ级）</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一般事故（Ⅳ级）</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由分管综合办公工作的厅领导</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担任指挥长，</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办公室负责人担任副指挥长。</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成员由厅办公室、政策法规处、建设管理处、公路管理处、</w:t>
      </w:r>
      <w:r>
        <w:rPr>
          <w:rFonts w:hint="eastAsia" w:ascii="仿宋_GB2312" w:hAnsi="Calibri" w:eastAsia="仿宋_GB2312"/>
          <w:b w:val="0"/>
          <w:bCs w:val="0"/>
          <w:color w:val="000000" w:themeColor="text1"/>
          <w:spacing w:val="0"/>
          <w:sz w:val="32"/>
          <w:szCs w:val="32"/>
          <w:highlight w:val="none"/>
          <w:lang w:eastAsia="zh-CN"/>
          <w14:textFill>
            <w14:solidFill>
              <w14:schemeClr w14:val="tx1"/>
            </w14:solidFill>
          </w14:textFill>
        </w:rPr>
        <w:t>运输和海事管理处</w:t>
      </w:r>
      <w:r>
        <w:rPr>
          <w:rFonts w:hint="eastAsia" w:ascii="仿宋_GB2312" w:hAnsi="Calibri" w:eastAsia="仿宋_GB2312"/>
          <w:b w:val="0"/>
          <w:bCs w:val="0"/>
          <w:color w:val="000000" w:themeColor="text1"/>
          <w:spacing w:val="0"/>
          <w:sz w:val="32"/>
          <w:szCs w:val="32"/>
          <w:highlight w:val="none"/>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公路管理中心、交通运输综合执法监督局、路网监测与应急处置中心、道路运输事务中心、</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公路水路发展中心</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交通宣传事务中心等负责同志组成。</w:t>
      </w:r>
    </w:p>
    <w:bookmarkEnd w:id="2188"/>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主要职责如下：</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及时向</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交通运输部、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自治区</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政府及有关部门</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报告</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突发事件情况；</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贯彻落实</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上级部门和</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对</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应对工作的各项决策部署</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sz w:val="32"/>
          <w:szCs w:val="32"/>
          <w:highlight w:val="none"/>
          <w:vertAlign w:val="baseline"/>
          <w:lang w:val="en-US" w:eastAsia="zh-CN"/>
          <w14:textFill>
            <w14:solidFill>
              <w14:schemeClr w14:val="tx1"/>
            </w14:solidFill>
          </w14:textFill>
        </w:rPr>
        <w:t>同步联动启动或终止Ⅰ级、Ⅱ级、Ⅲ级、Ⅳ级</w:t>
      </w:r>
      <w:r>
        <w:rPr>
          <w:rFonts w:hint="eastAsia" w:ascii="仿宋_GB2312" w:hAnsi="仿宋_GB2312" w:eastAsia="仿宋_GB2312" w:cs="仿宋_GB2312"/>
          <w:color w:val="000000" w:themeColor="text1"/>
          <w:spacing w:val="0"/>
          <w:kern w:val="0"/>
          <w:position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position w:val="0"/>
          <w:sz w:val="32"/>
          <w:szCs w:val="32"/>
          <w:highlight w:val="none"/>
          <w14:textFill>
            <w14:solidFill>
              <w14:schemeClr w14:val="tx1"/>
            </w14:solidFill>
          </w14:textFill>
        </w:rPr>
        <w:t>交通运输厅</w:t>
      </w:r>
      <w:r>
        <w:rPr>
          <w:rFonts w:hint="eastAsia" w:ascii="仿宋_GB2312" w:hAnsi="仿宋_GB2312" w:eastAsia="仿宋_GB2312" w:cs="仿宋_GB2312"/>
          <w:color w:val="000000" w:themeColor="text1"/>
          <w:spacing w:val="0"/>
          <w:position w:val="0"/>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color w:val="000000" w:themeColor="text1"/>
          <w:spacing w:val="0"/>
          <w:kern w:val="0"/>
          <w:position w:val="0"/>
          <w:sz w:val="32"/>
          <w:szCs w:val="32"/>
          <w:highlight w:val="none"/>
          <w14:textFill>
            <w14:solidFill>
              <w14:schemeClr w14:val="tx1"/>
            </w14:solidFill>
          </w14:textFill>
        </w:rPr>
        <w:t>预警状态和应急响应行动</w:t>
      </w:r>
      <w:r>
        <w:rPr>
          <w:rFonts w:hint="eastAsia" w:ascii="仿宋_GB2312" w:hAnsi="仿宋_GB2312" w:eastAsia="仿宋_GB2312" w:cs="仿宋_GB2312"/>
          <w:color w:val="000000" w:themeColor="text1"/>
          <w:spacing w:val="0"/>
          <w:kern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）根据需要会同</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人民政府有关部门，制定和落实应对</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应对</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的联合行动方案</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）承办</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自治区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人民政府和交通运输部突发公共卫生应急指挥机构交办的其他工作</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pacing w:val="0"/>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指导</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厅属各单位、公路经营管理单位及</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交通部门</w:t>
      </w:r>
      <w:r>
        <w:rPr>
          <w:rFonts w:hint="eastAsia" w:ascii="仿宋_GB2312" w:hAnsi="仿宋_GB2312" w:eastAsia="仿宋_GB2312" w:cs="仿宋_GB2312"/>
          <w:color w:val="000000" w:themeColor="text1"/>
          <w:spacing w:val="0"/>
          <w:kern w:val="0"/>
          <w:sz w:val="32"/>
          <w:szCs w:val="32"/>
          <w:highlight w:val="none"/>
          <w:lang w:val="en-US" w:eastAsia="zh-CN"/>
          <w14:textFill>
            <w14:solidFill>
              <w14:schemeClr w14:val="tx1"/>
            </w14:solidFill>
          </w14:textFill>
        </w:rPr>
        <w:t>公共卫生应急处置</w:t>
      </w:r>
      <w:r>
        <w:rPr>
          <w:rFonts w:hint="eastAsia" w:ascii="仿宋_GB2312" w:hAnsi="仿宋_GB2312" w:eastAsia="仿宋_GB2312" w:cs="仿宋_GB2312"/>
          <w:color w:val="000000" w:themeColor="text1"/>
          <w:spacing w:val="0"/>
          <w:kern w:val="0"/>
          <w:sz w:val="32"/>
          <w:szCs w:val="32"/>
          <w:highlight w:val="none"/>
          <w14:textFill>
            <w14:solidFill>
              <w14:schemeClr w14:val="tx1"/>
            </w14:solidFill>
          </w14:textFill>
        </w:rPr>
        <w:t>工作。</w:t>
      </w:r>
    </w:p>
    <w:p>
      <w:pPr>
        <w:pStyle w:val="3"/>
        <w:keepNext w:val="0"/>
        <w:keepLines w:val="0"/>
        <w:pageBreakBefore w:val="0"/>
        <w:widowControl w:val="0"/>
        <w:kinsoku/>
        <w:wordWrap/>
        <w:overflowPunct/>
        <w:topLinePunct/>
        <w:autoSpaceDE/>
        <w:autoSpaceDN/>
        <w:bidi w:val="0"/>
        <w:adjustRightInd/>
        <w:snapToGrid/>
        <w:spacing w:after="0" w:line="600" w:lineRule="exact"/>
        <w:ind w:left="0" w:leftChars="0" w:firstLine="640" w:firstLineChars="200"/>
        <w:textAlignment w:val="auto"/>
        <w:rPr>
          <w:rFonts w:ascii="仿宋_GB2312" w:hAnsi="宋体" w:eastAsia="仿宋_GB2312" w:cs="仿宋_GB2312"/>
          <w:color w:val="000000" w:themeColor="text1"/>
          <w:kern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工作指挥机构办公室</w:t>
      </w:r>
      <w:r>
        <w:rPr>
          <w:rFonts w:ascii="仿宋_GB2312" w:hAnsi="宋体" w:eastAsia="仿宋_GB2312" w:cs="仿宋_GB2312"/>
          <w:color w:val="000000" w:themeColor="text1"/>
          <w:kern w:val="0"/>
          <w:sz w:val="32"/>
          <w:szCs w:val="32"/>
          <w:highlight w:val="none"/>
          <w14:textFill>
            <w14:solidFill>
              <w14:schemeClr w14:val="tx1"/>
            </w14:solidFill>
          </w14:textFill>
        </w:rPr>
        <w:t>设置在</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厅</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办公室</w:t>
      </w:r>
      <w:r>
        <w:rPr>
          <w:rFonts w:ascii="仿宋_GB2312" w:hAnsi="宋体" w:eastAsia="仿宋_GB2312" w:cs="仿宋_GB2312"/>
          <w:color w:val="000000" w:themeColor="text1"/>
          <w:kern w:val="0"/>
          <w:sz w:val="32"/>
          <w:szCs w:val="32"/>
          <w:highlight w:val="none"/>
          <w14:textFill>
            <w14:solidFill>
              <w14:schemeClr w14:val="tx1"/>
            </w14:solidFill>
          </w14:textFill>
        </w:rPr>
        <w:t>，承担指挥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机构日常</w:t>
      </w:r>
      <w:r>
        <w:rPr>
          <w:rFonts w:ascii="仿宋_GB2312" w:hAnsi="宋体" w:eastAsia="仿宋_GB2312" w:cs="仿宋_GB2312"/>
          <w:color w:val="000000" w:themeColor="text1"/>
          <w:kern w:val="0"/>
          <w:sz w:val="32"/>
          <w:szCs w:val="32"/>
          <w:highlight w:val="none"/>
          <w14:textFill>
            <w14:solidFill>
              <w14:schemeClr w14:val="tx1"/>
            </w14:solidFill>
          </w14:textFill>
        </w:rPr>
        <w:t>工作</w:t>
      </w:r>
      <w:r>
        <w:rPr>
          <w:rFonts w:hint="eastAsia" w:ascii="仿宋_GB2312" w:hAnsi="宋体"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办公室负责人</w:t>
      </w:r>
      <w:r>
        <w:rPr>
          <w:rFonts w:ascii="仿宋_GB2312" w:hAnsi="宋体" w:eastAsia="仿宋_GB2312" w:cs="仿宋_GB2312"/>
          <w:color w:val="000000" w:themeColor="text1"/>
          <w:kern w:val="0"/>
          <w:sz w:val="32"/>
          <w:szCs w:val="32"/>
          <w:highlight w:val="none"/>
          <w14:textFill>
            <w14:solidFill>
              <w14:schemeClr w14:val="tx1"/>
            </w14:solidFill>
          </w14:textFill>
        </w:rPr>
        <w:t>担任</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w:t>
      </w:r>
      <w:r>
        <w:rPr>
          <w:rFonts w:ascii="仿宋_GB2312" w:hAnsi="宋体" w:eastAsia="仿宋_GB2312" w:cs="仿宋_GB2312"/>
          <w:color w:val="000000" w:themeColor="text1"/>
          <w:kern w:val="0"/>
          <w:sz w:val="32"/>
          <w:szCs w:val="32"/>
          <w:highlight w:val="none"/>
          <w14:textFill>
            <w14:solidFill>
              <w14:schemeClr w14:val="tx1"/>
            </w14:solidFill>
          </w14:textFill>
        </w:rPr>
        <w:t>办公室主任。</w:t>
      </w:r>
    </w:p>
    <w:p>
      <w:pPr>
        <w:keepNext w:val="0"/>
        <w:keepLines w:val="0"/>
        <w:pageBreakBefore w:val="0"/>
        <w:widowControl w:val="0"/>
        <w:kinsoku/>
        <w:wordWrap/>
        <w:overflowPunct/>
        <w:topLinePunct/>
        <w:autoSpaceDE/>
        <w:autoSpaceDN/>
        <w:bidi w:val="0"/>
        <w:snapToGrid/>
        <w:spacing w:line="600" w:lineRule="exact"/>
        <w:ind w:firstLine="640" w:firstLineChars="200"/>
        <w:jc w:val="both"/>
        <w:textAlignment w:val="auto"/>
        <w:rPr>
          <w:rFonts w:hint="default" w:eastAsia="仿宋_GB2312"/>
          <w:color w:val="000000" w:themeColor="text1"/>
          <w:sz w:val="32"/>
          <w:szCs w:val="32"/>
          <w:highlight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工作</w:t>
      </w:r>
      <w:r>
        <w:rPr>
          <w:rFonts w:ascii="仿宋_GB2312" w:hAnsi="宋体" w:eastAsia="仿宋_GB2312" w:cs="仿宋_GB2312"/>
          <w:color w:val="000000" w:themeColor="text1"/>
          <w:kern w:val="0"/>
          <w:sz w:val="32"/>
          <w:szCs w:val="32"/>
          <w:highlight w:val="none"/>
          <w14:textFill>
            <w14:solidFill>
              <w14:schemeClr w14:val="tx1"/>
            </w14:solidFill>
          </w14:textFill>
        </w:rPr>
        <w:t>指挥</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机构设立应急工作组，在工作</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指挥机构的领导下开展应急处置工作</w:t>
      </w:r>
      <w:r>
        <w:rPr>
          <w:rFonts w:hint="eastAsia" w:ascii="仿宋_GB2312" w:hAnsi="宋体" w:eastAsia="仿宋_GB2312" w:cs="仿宋_GB2312"/>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color w:val="000000" w:themeColor="text1"/>
          <w:spacing w:val="0"/>
          <w:highlight w:val="none"/>
          <w:lang w:val="en-US" w:eastAsia="zh-CN"/>
          <w14:textFill>
            <w14:solidFill>
              <w14:schemeClr w14:val="tx1"/>
            </w14:solidFill>
          </w14:textFill>
        </w:rPr>
      </w:pPr>
      <w:bookmarkStart w:id="2192" w:name="_Toc9933"/>
      <w:bookmarkStart w:id="2193" w:name="_Toc12193"/>
      <w:bookmarkStart w:id="2194" w:name="_Toc659"/>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2.2应急工作组</w:t>
      </w:r>
      <w:bookmarkEnd w:id="2192"/>
      <w:bookmarkEnd w:id="2193"/>
      <w:bookmarkEnd w:id="2194"/>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（1）</w:t>
      </w:r>
      <w:r>
        <w:rPr>
          <w:rFonts w:hint="eastAsia" w:ascii="仿宋_GB2312" w:eastAsia="仿宋_GB2312"/>
          <w:color w:val="000000" w:themeColor="text1"/>
          <w:spacing w:val="0"/>
          <w:sz w:val="32"/>
          <w:szCs w:val="32"/>
          <w:highlight w:val="none"/>
          <w14:textFill>
            <w14:solidFill>
              <w14:schemeClr w14:val="tx1"/>
            </w14:solidFill>
          </w14:textFill>
        </w:rPr>
        <w:t>综合协调组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厅办公室</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负责人</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任组长</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成员由政策法规处、建设管理处、公路管理处、</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运输和海事管理处、</w:t>
      </w:r>
      <w:r>
        <w:rPr>
          <w:rFonts w:hint="eastAsia" w:ascii="仿宋_GB2312" w:eastAsia="仿宋_GB2312"/>
          <w:b w:val="0"/>
          <w:bCs w:val="0"/>
          <w:color w:val="000000" w:themeColor="text1"/>
          <w:spacing w:val="0"/>
          <w:sz w:val="32"/>
          <w:szCs w:val="32"/>
          <w:highlight w:val="none"/>
          <w14:textFill>
            <w14:solidFill>
              <w14:schemeClr w14:val="tx1"/>
            </w14:solidFill>
          </w14:textFill>
        </w:rPr>
        <w:t>安全与质量监督管理处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科技处、物流发展处、</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公路管理中心、</w:t>
      </w:r>
      <w:r>
        <w:rPr>
          <w:rFonts w:hint="eastAsia" w:ascii="仿宋_GB2312" w:hAnsi="Times New Roman" w:eastAsia="仿宋_GB2312" w:cs="Times New Roman"/>
          <w:b w:val="0"/>
          <w:bCs w:val="0"/>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路网监测与应急处置中心、</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公路水路发展中心</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val="0"/>
        <w:snapToGrid w:val="0"/>
        <w:spacing w:line="60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主要职责：</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协助厅工作指挥机构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落实上级部门</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工作部署；</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负责接收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处理应急状态下</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相关信息，跟踪了解突发事件处置进展，及时向厅</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b w:val="0"/>
          <w:bCs w:val="0"/>
          <w:snapToGrid w:val="0"/>
          <w:color w:val="000000" w:themeColor="text1"/>
          <w:spacing w:val="0"/>
          <w:kern w:val="0"/>
          <w:position w:val="0"/>
          <w:sz w:val="32"/>
          <w:szCs w:val="32"/>
          <w:highlight w:val="none"/>
          <w:lang w:eastAsia="en-US"/>
          <w14:textFill>
            <w14:solidFill>
              <w14:schemeClr w14:val="tx1"/>
            </w14:solidFill>
          </w14:textFill>
        </w:rPr>
        <w:t>提出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响应行动建议；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传达厅工作指挥机构的工作安排，并督促落实；</w:t>
      </w:r>
      <w:r>
        <w:rPr>
          <w:rFonts w:hint="eastAsia" w:ascii="仿宋_GB2312" w:hAnsi="仿宋" w:eastAsia="仿宋_GB2312"/>
          <w:color w:val="000000" w:themeColor="text1"/>
          <w:spacing w:val="0"/>
          <w:sz w:val="32"/>
          <w:szCs w:val="32"/>
          <w:highlight w:val="none"/>
          <w14:textFill>
            <w14:solidFill>
              <w14:schemeClr w14:val="tx1"/>
            </w14:solidFill>
          </w14:textFill>
        </w:rPr>
        <w:t>负责</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组织厅工作指挥机构工作会议，并督促议定事项落实；</w:t>
      </w:r>
      <w:r>
        <w:rPr>
          <w:rFonts w:hint="eastAsia" w:ascii="仿宋_GB2312" w:hAnsi="仿宋" w:eastAsia="仿宋_GB2312"/>
          <w:color w:val="000000" w:themeColor="text1"/>
          <w:spacing w:val="0"/>
          <w:sz w:val="32"/>
          <w:szCs w:val="32"/>
          <w:highlight w:val="none"/>
          <w14:textFill>
            <w14:solidFill>
              <w14:schemeClr w14:val="tx1"/>
            </w14:solidFill>
          </w14:textFill>
        </w:rPr>
        <w:t>起草</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 w:eastAsia="仿宋_GB2312"/>
          <w:color w:val="000000" w:themeColor="text1"/>
          <w:spacing w:val="0"/>
          <w:sz w:val="32"/>
          <w:szCs w:val="32"/>
          <w:highlight w:val="none"/>
          <w14:textFill>
            <w14:solidFill>
              <w14:schemeClr w14:val="tx1"/>
            </w14:solidFill>
          </w14:textFill>
        </w:rPr>
        <w:t>工作会议纪要</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明传电报、重要报告、综合类文件</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负责</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指挥机构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与其他工作组及相关单位的协调、联络工作</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（2）</w:t>
      </w:r>
      <w:r>
        <w:rPr>
          <w:rFonts w:hint="eastAsia" w:ascii="仿宋_GB2312" w:eastAsia="仿宋_GB2312"/>
          <w:color w:val="000000" w:themeColor="text1"/>
          <w:spacing w:val="0"/>
          <w:sz w:val="32"/>
          <w:szCs w:val="32"/>
          <w:highlight w:val="none"/>
          <w14:textFill>
            <w14:solidFill>
              <w14:schemeClr w14:val="tx1"/>
            </w14:solidFill>
          </w14:textFill>
        </w:rPr>
        <w:t>道路运输防控组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厅</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运输和海事管理处</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负责人任组长，</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成员由物流发展处、</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公路水路发展中心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w:t>
      </w:r>
      <w:r>
        <w:rPr>
          <w:rFonts w:hint="eastAsia" w:ascii="仿宋_GB2312" w:eastAsia="仿宋_GB2312"/>
          <w:color w:val="000000" w:themeColor="text1"/>
          <w:spacing w:val="0"/>
          <w:sz w:val="32"/>
          <w:szCs w:val="32"/>
          <w:highlight w:val="none"/>
          <w14:textFill>
            <w14:solidFill>
              <w14:schemeClr w14:val="tx1"/>
            </w14:solidFill>
          </w14:textFill>
        </w:rPr>
        <w:t>负责指导</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加强对道路运输</w:t>
      </w:r>
      <w:r>
        <w:rPr>
          <w:rFonts w:hint="eastAsia" w:ascii="仿宋_GB2312" w:eastAsia="仿宋_GB2312"/>
          <w:color w:val="000000" w:themeColor="text1"/>
          <w:spacing w:val="0"/>
          <w:sz w:val="32"/>
          <w:szCs w:val="32"/>
          <w:highlight w:val="none"/>
          <w:lang w:eastAsia="zh-CN"/>
          <w14:textFill>
            <w14:solidFill>
              <w14:schemeClr w14:val="tx1"/>
            </w14:solidFill>
          </w14:textFill>
        </w:rPr>
        <w:t>公共卫生突发事件</w:t>
      </w:r>
      <w:r>
        <w:rPr>
          <w:rFonts w:hint="eastAsia" w:ascii="仿宋_GB2312" w:eastAsia="仿宋_GB2312"/>
          <w:color w:val="000000" w:themeColor="text1"/>
          <w:spacing w:val="0"/>
          <w:sz w:val="32"/>
          <w:szCs w:val="32"/>
          <w:highlight w:val="none"/>
          <w14:textFill>
            <w14:solidFill>
              <w14:schemeClr w14:val="tx1"/>
            </w14:solidFill>
          </w14:textFill>
        </w:rPr>
        <w:t>防控工作的布置和检查，落实各项防控措施；协调运力，做好</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应急</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处置人员</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涉疫人员</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以及防治药品、医疗器械等急用物资和有关标本</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的</w:t>
      </w:r>
      <w:r>
        <w:rPr>
          <w:rFonts w:hint="eastAsia" w:ascii="仿宋_GB2312" w:eastAsia="仿宋_GB2312"/>
          <w:color w:val="000000" w:themeColor="text1"/>
          <w:spacing w:val="0"/>
          <w:sz w:val="32"/>
          <w:szCs w:val="32"/>
          <w:highlight w:val="none"/>
          <w14:textFill>
            <w14:solidFill>
              <w14:schemeClr w14:val="tx1"/>
            </w14:solidFill>
          </w14:textFill>
        </w:rPr>
        <w:t>运输；负责道路运输行业突发事件防控工作有关情况的统计。</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（3）</w:t>
      </w:r>
      <w:r>
        <w:rPr>
          <w:rFonts w:hint="eastAsia" w:ascii="仿宋_GB2312" w:eastAsia="仿宋_GB2312"/>
          <w:color w:val="000000" w:themeColor="text1"/>
          <w:spacing w:val="0"/>
          <w:sz w:val="32"/>
          <w:szCs w:val="32"/>
          <w:highlight w:val="none"/>
          <w14:textFill>
            <w14:solidFill>
              <w14:schemeClr w14:val="tx1"/>
            </w14:solidFill>
          </w14:textFill>
        </w:rPr>
        <w:t>公路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水运</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防控组</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hAnsi="Times New Roman" w:eastAsia="仿宋_GB2312" w:cs="Times New Roman"/>
          <w:b w:val="0"/>
          <w:bCs/>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厅</w:t>
      </w:r>
      <w:r>
        <w:rPr>
          <w:rFonts w:hint="eastAsia" w:ascii="仿宋_GB2312" w:hAnsi="Times New Roman" w:eastAsia="仿宋_GB2312" w:cs="Times New Roman"/>
          <w:color w:val="000000" w:themeColor="text1"/>
          <w:spacing w:val="0"/>
          <w:sz w:val="32"/>
          <w:szCs w:val="32"/>
          <w:highlight w:val="none"/>
          <w:lang w:eastAsia="zh-CN"/>
          <w14:textFill>
            <w14:solidFill>
              <w14:schemeClr w14:val="tx1"/>
            </w14:solidFill>
          </w14:textFill>
        </w:rPr>
        <w:t>公路管理处</w:t>
      </w: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负责人任组长，</w:t>
      </w:r>
      <w:r>
        <w:rPr>
          <w:rFonts w:hint="eastAsia" w:ascii="仿宋_GB2312" w:hAnsi="Times New Roman" w:eastAsia="仿宋_GB2312" w:cs="Times New Roman"/>
          <w:color w:val="000000" w:themeColor="text1"/>
          <w:spacing w:val="0"/>
          <w:sz w:val="32"/>
          <w:szCs w:val="32"/>
          <w:highlight w:val="none"/>
          <w:lang w:val="en-US" w:eastAsia="zh-CN"/>
          <w14:textFill>
            <w14:solidFill>
              <w14:schemeClr w14:val="tx1"/>
            </w14:solidFill>
          </w14:textFill>
        </w:rPr>
        <w:t>成员由</w:t>
      </w:r>
      <w:r>
        <w:rPr>
          <w:rFonts w:hint="eastAsia" w:ascii="仿宋_GB2312" w:eastAsia="仿宋_GB2312"/>
          <w:b w:val="0"/>
          <w:bCs/>
          <w:color w:val="000000" w:themeColor="text1"/>
          <w:spacing w:val="0"/>
          <w:sz w:val="32"/>
          <w:szCs w:val="32"/>
          <w:highlight w:val="none"/>
          <w14:textFill>
            <w14:solidFill>
              <w14:schemeClr w14:val="tx1"/>
            </w14:solidFill>
          </w14:textFill>
        </w:rPr>
        <w:t>建设管理处</w:t>
      </w:r>
      <w:r>
        <w:rPr>
          <w:rFonts w:hint="eastAsia" w:ascii="仿宋_GB2312" w:eastAsia="仿宋_GB2312"/>
          <w:b w:val="0"/>
          <w:bCs/>
          <w:color w:val="000000" w:themeColor="text1"/>
          <w:spacing w:val="0"/>
          <w:sz w:val="32"/>
          <w:szCs w:val="32"/>
          <w:highlight w:val="none"/>
          <w:lang w:eastAsia="zh-CN"/>
          <w14:textFill>
            <w14:solidFill>
              <w14:schemeClr w14:val="tx1"/>
            </w14:solidFill>
          </w14:textFill>
        </w:rPr>
        <w:t>、</w:t>
      </w:r>
      <w:r>
        <w:rPr>
          <w:rFonts w:hint="eastAsia" w:ascii="仿宋_GB2312" w:eastAsia="仿宋_GB2312"/>
          <w:b w:val="0"/>
          <w:bCs w:val="0"/>
          <w:color w:val="000000" w:themeColor="text1"/>
          <w:spacing w:val="0"/>
          <w:sz w:val="32"/>
          <w:szCs w:val="32"/>
          <w:highlight w:val="none"/>
          <w14:textFill>
            <w14:solidFill>
              <w14:schemeClr w14:val="tx1"/>
            </w14:solidFill>
          </w14:textFill>
        </w:rPr>
        <w:t>运输和海事管理</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处、物流发展处、</w:t>
      </w:r>
      <w:r>
        <w:rPr>
          <w:rFonts w:hint="eastAsia" w:ascii="仿宋_GB2312" w:hAnsi="Times New Roman" w:eastAsia="仿宋_GB2312" w:cs="Times New Roman"/>
          <w:b w:val="0"/>
          <w:bCs/>
          <w:color w:val="000000" w:themeColor="text1"/>
          <w:spacing w:val="0"/>
          <w:sz w:val="32"/>
          <w:szCs w:val="32"/>
          <w:highlight w:val="none"/>
          <w14:textFill>
            <w14:solidFill>
              <w14:schemeClr w14:val="tx1"/>
            </w14:solidFill>
          </w14:textFill>
        </w:rPr>
        <w:t>公路</w:t>
      </w:r>
      <w:r>
        <w:rPr>
          <w:rFonts w:hint="eastAsia" w:ascii="仿宋_GB2312" w:hAnsi="Times New Roman" w:eastAsia="仿宋_GB2312" w:cs="Times New Roman"/>
          <w:b w:val="0"/>
          <w:bCs/>
          <w:color w:val="000000" w:themeColor="text1"/>
          <w:spacing w:val="0"/>
          <w:sz w:val="32"/>
          <w:szCs w:val="32"/>
          <w:highlight w:val="none"/>
          <w:lang w:val="en-US" w:eastAsia="zh-CN"/>
          <w14:textFill>
            <w14:solidFill>
              <w14:schemeClr w14:val="tx1"/>
            </w14:solidFill>
          </w14:textFill>
        </w:rPr>
        <w:t>管理</w:t>
      </w:r>
      <w:r>
        <w:rPr>
          <w:rFonts w:hint="eastAsia" w:ascii="仿宋_GB2312" w:hAnsi="Times New Roman" w:eastAsia="仿宋_GB2312" w:cs="Times New Roman"/>
          <w:b w:val="0"/>
          <w:bCs/>
          <w:color w:val="000000" w:themeColor="text1"/>
          <w:spacing w:val="0"/>
          <w:sz w:val="32"/>
          <w:szCs w:val="32"/>
          <w:highlight w:val="none"/>
          <w14:textFill>
            <w14:solidFill>
              <w14:schemeClr w14:val="tx1"/>
            </w14:solidFill>
          </w14:textFill>
        </w:rPr>
        <w:t>中心、</w:t>
      </w:r>
      <w:r>
        <w:rPr>
          <w:rFonts w:hint="eastAsia" w:ascii="仿宋_GB2312" w:hAnsi="Times New Roman" w:eastAsia="仿宋_GB2312" w:cs="Times New Roman"/>
          <w:b w:val="0"/>
          <w:bCs/>
          <w:color w:val="000000" w:themeColor="text1"/>
          <w:spacing w:val="0"/>
          <w:sz w:val="32"/>
          <w:szCs w:val="32"/>
          <w:highlight w:val="none"/>
          <w:lang w:eastAsia="zh-CN"/>
          <w14:textFill>
            <w14:solidFill>
              <w14:schemeClr w14:val="tx1"/>
            </w14:solidFill>
          </w14:textFill>
        </w:rPr>
        <w:t>交通运输综合执法监督局、</w:t>
      </w:r>
      <w:r>
        <w:rPr>
          <w:rFonts w:hint="eastAsia" w:ascii="仿宋_GB2312"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道路运输</w:t>
      </w:r>
      <w:r>
        <w:rPr>
          <w:rFonts w:hint="eastAsia" w:ascii="仿宋_GB2312" w:hAnsi="Times New Roman" w:eastAsia="仿宋_GB2312" w:cs="Times New Roman"/>
          <w:b w:val="0"/>
          <w:bCs w:val="0"/>
          <w:color w:val="000000" w:themeColor="text1"/>
          <w:spacing w:val="0"/>
          <w:sz w:val="32"/>
          <w:szCs w:val="32"/>
          <w:highlight w:val="none"/>
          <w14:textFill>
            <w14:solidFill>
              <w14:schemeClr w14:val="tx1"/>
            </w14:solidFill>
          </w14:textFill>
        </w:rPr>
        <w:t>中心、</w:t>
      </w:r>
      <w:r>
        <w:rPr>
          <w:rFonts w:hint="eastAsia" w:ascii="仿宋_GB2312" w:eastAsia="仿宋_GB2312"/>
          <w:b w:val="0"/>
          <w:bCs w:val="0"/>
          <w:color w:val="000000" w:themeColor="text1"/>
          <w:spacing w:val="0"/>
          <w:sz w:val="32"/>
          <w:szCs w:val="32"/>
          <w:highlight w:val="none"/>
          <w14:textFill>
            <w14:solidFill>
              <w14:schemeClr w14:val="tx1"/>
            </w14:solidFill>
          </w14:textFill>
        </w:rPr>
        <w:t>公路水路发展中心</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color w:val="000000" w:themeColor="text1"/>
          <w:spacing w:val="0"/>
          <w:sz w:val="32"/>
          <w:szCs w:val="32"/>
          <w:highlight w:val="none"/>
          <w14:textFill>
            <w14:solidFill>
              <w14:schemeClr w14:val="tx1"/>
            </w14:solidFill>
          </w14:textFill>
        </w:rPr>
      </w:pPr>
      <w:r>
        <w:rPr>
          <w:rFonts w:hint="eastAsia" w:ascii="仿宋_GB2312" w:hAnsi="Times New Roman" w:eastAsia="仿宋_GB2312" w:cs="Times New Roman"/>
          <w:color w:val="000000" w:themeColor="text1"/>
          <w:spacing w:val="0"/>
          <w:sz w:val="32"/>
          <w:szCs w:val="32"/>
          <w:highlight w:val="none"/>
          <w14:textFill>
            <w14:solidFill>
              <w14:schemeClr w14:val="tx1"/>
            </w14:solidFill>
          </w14:textFill>
        </w:rPr>
        <w:t>主要职责：</w:t>
      </w:r>
      <w:r>
        <w:rPr>
          <w:rFonts w:hint="eastAsia" w:ascii="仿宋_GB2312" w:eastAsia="仿宋_GB2312"/>
          <w:color w:val="000000" w:themeColor="text1"/>
          <w:spacing w:val="0"/>
          <w:sz w:val="32"/>
          <w:szCs w:val="32"/>
          <w:highlight w:val="none"/>
          <w14:textFill>
            <w14:solidFill>
              <w14:schemeClr w14:val="tx1"/>
            </w14:solidFill>
          </w14:textFill>
        </w:rPr>
        <w:t>负责指导</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市、县（区）</w:t>
      </w:r>
      <w:r>
        <w:rPr>
          <w:rFonts w:hint="eastAsia" w:ascii="仿宋_GB2312" w:eastAsia="仿宋_GB2312"/>
          <w:color w:val="000000" w:themeColor="text1"/>
          <w:spacing w:val="0"/>
          <w:sz w:val="32"/>
          <w:szCs w:val="32"/>
          <w:highlight w:val="none"/>
          <w14:textFill>
            <w14:solidFill>
              <w14:schemeClr w14:val="tx1"/>
            </w14:solidFill>
          </w14:textFill>
        </w:rPr>
        <w:t>交通运输主管部门加强督促检查公路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水路运输客货运企业、</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场站、</w:t>
      </w:r>
      <w:r>
        <w:rPr>
          <w:rFonts w:hint="eastAsia" w:ascii="仿宋_GB2312" w:eastAsia="仿宋_GB2312"/>
          <w:color w:val="000000" w:themeColor="text1"/>
          <w:spacing w:val="0"/>
          <w:sz w:val="32"/>
          <w:szCs w:val="32"/>
          <w:highlight w:val="none"/>
          <w14:textFill>
            <w14:solidFill>
              <w14:schemeClr w14:val="tx1"/>
            </w14:solidFill>
          </w14:textFill>
        </w:rPr>
        <w:t>渡口、</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公路</w:t>
      </w:r>
      <w:r>
        <w:rPr>
          <w:rFonts w:hint="eastAsia" w:ascii="仿宋_GB2312" w:eastAsia="仿宋_GB2312"/>
          <w:color w:val="000000" w:themeColor="text1"/>
          <w:spacing w:val="0"/>
          <w:sz w:val="32"/>
          <w:szCs w:val="32"/>
          <w:highlight w:val="none"/>
          <w14:textFill>
            <w14:solidFill>
              <w14:schemeClr w14:val="tx1"/>
            </w14:solidFill>
          </w14:textFill>
        </w:rPr>
        <w:t>水运工程建设突发事件防控工作措施的落实情况；配合卫生防疫、公安等部门在</w:t>
      </w:r>
      <w:r>
        <w:rPr>
          <w:rFonts w:hint="eastAsia" w:ascii="仿宋_GB2312" w:eastAsia="仿宋_GB2312"/>
          <w:color w:val="000000" w:themeColor="text1"/>
          <w:spacing w:val="0"/>
          <w:sz w:val="32"/>
          <w:szCs w:val="32"/>
          <w:highlight w:val="none"/>
          <w:lang w:eastAsia="zh-CN"/>
          <w14:textFill>
            <w14:solidFill>
              <w14:schemeClr w14:val="tx1"/>
            </w14:solidFill>
          </w14:textFill>
        </w:rPr>
        <w:t>自治区</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高速公路、国省</w:t>
      </w:r>
      <w:r>
        <w:rPr>
          <w:rFonts w:hint="eastAsia" w:ascii="仿宋_GB2312" w:eastAsia="仿宋_GB2312"/>
          <w:color w:val="000000" w:themeColor="text1"/>
          <w:spacing w:val="0"/>
          <w:sz w:val="32"/>
          <w:szCs w:val="32"/>
          <w:highlight w:val="none"/>
          <w14:textFill>
            <w14:solidFill>
              <w14:schemeClr w14:val="tx1"/>
            </w14:solidFill>
          </w14:textFill>
        </w:rPr>
        <w:t>干线</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和</w:t>
      </w:r>
      <w:r>
        <w:rPr>
          <w:rFonts w:hint="eastAsia" w:ascii="仿宋_GB2312" w:eastAsia="仿宋_GB2312"/>
          <w:color w:val="000000" w:themeColor="text1"/>
          <w:spacing w:val="0"/>
          <w:sz w:val="32"/>
          <w:szCs w:val="32"/>
          <w:highlight w:val="none"/>
          <w14:textFill>
            <w14:solidFill>
              <w14:schemeClr w14:val="tx1"/>
            </w14:solidFill>
          </w14:textFill>
        </w:rPr>
        <w:t>辖区内</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渡口设立检查点</w:t>
      </w:r>
      <w:r>
        <w:rPr>
          <w:rFonts w:hint="eastAsia" w:ascii="仿宋_GB2312" w:eastAsia="仿宋_GB2312"/>
          <w:color w:val="000000" w:themeColor="text1"/>
          <w:spacing w:val="0"/>
          <w:sz w:val="32"/>
          <w:szCs w:val="32"/>
          <w:highlight w:val="none"/>
          <w14:textFill>
            <w14:solidFill>
              <w14:schemeClr w14:val="tx1"/>
            </w14:solidFill>
          </w14:textFill>
        </w:rPr>
        <w:t>，实行临时交通管制，对车辆</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船舶和</w:t>
      </w:r>
      <w:r>
        <w:rPr>
          <w:rFonts w:hint="eastAsia" w:ascii="仿宋_GB2312" w:eastAsia="仿宋_GB2312"/>
          <w:color w:val="000000" w:themeColor="text1"/>
          <w:spacing w:val="0"/>
          <w:sz w:val="32"/>
          <w:szCs w:val="32"/>
          <w:highlight w:val="none"/>
          <w14:textFill>
            <w14:solidFill>
              <w14:schemeClr w14:val="tx1"/>
            </w14:solidFill>
          </w14:textFill>
        </w:rPr>
        <w:t>人员进行检查、登记</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负责全</w:t>
      </w:r>
      <w:r>
        <w:rPr>
          <w:rFonts w:hint="eastAsia" w:ascii="仿宋_GB2312" w:eastAsia="仿宋_GB2312"/>
          <w:color w:val="000000" w:themeColor="text1"/>
          <w:spacing w:val="0"/>
          <w:sz w:val="32"/>
          <w:szCs w:val="32"/>
          <w:highlight w:val="none"/>
          <w:lang w:eastAsia="zh-CN"/>
          <w14:textFill>
            <w14:solidFill>
              <w14:schemeClr w14:val="tx1"/>
            </w14:solidFill>
          </w14:textFill>
        </w:rPr>
        <w:t>自治区</w:t>
      </w:r>
      <w:r>
        <w:rPr>
          <w:rFonts w:hint="eastAsia" w:ascii="仿宋_GB2312" w:eastAsia="仿宋_GB2312"/>
          <w:color w:val="000000" w:themeColor="text1"/>
          <w:spacing w:val="0"/>
          <w:sz w:val="32"/>
          <w:szCs w:val="32"/>
          <w:highlight w:val="none"/>
          <w14:textFill>
            <w14:solidFill>
              <w14:schemeClr w14:val="tx1"/>
            </w14:solidFill>
          </w14:textFill>
        </w:rPr>
        <w:t>水路运输行业突发事件防控工作有关情况的统计。</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right="0" w:righ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hAnsiTheme="minorHAnsi" w:cstheme="minorBidi"/>
          <w:color w:val="000000" w:themeColor="text1"/>
          <w:spacing w:val="0"/>
          <w:kern w:val="2"/>
          <w:sz w:val="32"/>
          <w:szCs w:val="32"/>
          <w:highlight w:val="none"/>
          <w:lang w:val="en-US" w:eastAsia="zh-CN" w:bidi="ar-SA"/>
          <w14:textFill>
            <w14:solidFill>
              <w14:schemeClr w14:val="tx1"/>
            </w14:solidFill>
          </w14:textFill>
        </w:rPr>
        <w:t>（4）</w:t>
      </w:r>
      <w:r>
        <w:rPr>
          <w:rFonts w:hint="eastAsia" w:ascii="仿宋_GB2312" w:eastAsia="仿宋_GB2312"/>
          <w:color w:val="000000" w:themeColor="text1"/>
          <w:spacing w:val="0"/>
          <w:sz w:val="32"/>
          <w:szCs w:val="32"/>
          <w:highlight w:val="none"/>
          <w14:textFill>
            <w14:solidFill>
              <w14:schemeClr w14:val="tx1"/>
            </w14:solidFill>
          </w14:textFill>
        </w:rPr>
        <w:t>新闻宣传组</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政策法规处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负责人任组长，成员由</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科技处、</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路网监测与应急处置中心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交通宣传事务中心</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及相关公路经营管理单位</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处室及</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单位人员组成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right="0" w:rightChars="0" w:firstLine="640" w:firstLineChars="200"/>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负责厅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公共卫生</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应急工</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作的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新闻宣传报道工作，加强舆情监测分析，传递权威信息；加强舆情引导，完善舆情监测及应对机制</w:t>
      </w:r>
      <w:r>
        <w:rPr>
          <w:rFonts w:hint="eastAsia" w:eastAsia="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pPr>
      <w:bookmarkStart w:id="2195" w:name="_Toc9883"/>
      <w:bookmarkStart w:id="2196" w:name="_Toc80473128"/>
      <w:bookmarkStart w:id="2197" w:name="_Toc20681"/>
      <w:bookmarkStart w:id="2198" w:name="_Toc8239"/>
      <w:bookmarkStart w:id="2199" w:name="_Toc23924"/>
      <w:bookmarkStart w:id="2200" w:name="_Toc15059"/>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（5）现场工作组</w:t>
      </w:r>
      <w:bookmarkEnd w:id="2195"/>
      <w:bookmarkEnd w:id="2196"/>
      <w:bookmarkEnd w:id="2197"/>
      <w:bookmarkEnd w:id="2198"/>
      <w:bookmarkEnd w:id="2199"/>
      <w:bookmarkEnd w:id="2200"/>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现场工作组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是</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由厅</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工作指挥机构</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根据应急处置工作需要，指定成立并派</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往事发地区</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开展工作的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人员组成</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主要职责：负责传达厅应急工作要求；按照工作指挥机构安排，督导突发事件的应急处置，协助解决有关问题</w:t>
      </w:r>
      <w:r>
        <w:rPr>
          <w:rFonts w:hint="eastAsia" w:eastAsia="仿宋_GB2312"/>
          <w:color w:val="000000" w:themeColor="text1"/>
          <w:spacing w:val="0"/>
          <w:sz w:val="32"/>
          <w:szCs w:val="32"/>
          <w:highlight w:val="none"/>
          <w:lang w:eastAsia="zh-CN"/>
          <w14:textFill>
            <w14:solidFill>
              <w14:schemeClr w14:val="tx1"/>
            </w14:solidFill>
          </w14:textFill>
        </w:rPr>
        <w:t>，</w:t>
      </w:r>
      <w:r>
        <w:rPr>
          <w:rFonts w:hint="eastAsia" w:eastAsia="仿宋_GB2312"/>
          <w:color w:val="000000" w:themeColor="text1"/>
          <w:spacing w:val="0"/>
          <w:sz w:val="32"/>
          <w:szCs w:val="32"/>
          <w:highlight w:val="none"/>
          <w:lang w:val="en-US" w:eastAsia="zh-CN"/>
          <w14:textFill>
            <w14:solidFill>
              <w14:schemeClr w14:val="tx1"/>
            </w14:solidFill>
          </w14:textFill>
        </w:rPr>
        <w:t>并</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及时向</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工作指挥机构及综合协调组</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等有关应急工作组报告（</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通报）</w:t>
      </w:r>
      <w:r>
        <w:rPr>
          <w:rFonts w:hint="eastAsia" w:ascii="仿宋_GB2312" w:hAnsi="仿宋" w:eastAsia="仿宋_GB2312"/>
          <w:color w:val="000000" w:themeColor="text1"/>
          <w:spacing w:val="0"/>
          <w:sz w:val="32"/>
          <w:szCs w:val="32"/>
          <w:highlight w:val="none"/>
          <w:lang w:eastAsia="zh-CN"/>
          <w14:textFill>
            <w14:solidFill>
              <w14:schemeClr w14:val="tx1"/>
            </w14:solidFill>
          </w14:textFill>
        </w:rPr>
        <w:t>现场情况；</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承办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厅工作指挥机构</w:t>
      </w:r>
      <w:r>
        <w:rPr>
          <w:rFonts w:hint="eastAsia" w:ascii="仿宋_GB2312" w:hAnsi="仿宋_GB2312" w:eastAsia="仿宋_GB2312" w:cs="仿宋_GB2312"/>
          <w:b w:val="0"/>
          <w:bCs w:val="0"/>
          <w:color w:val="000000" w:themeColor="text1"/>
          <w:spacing w:val="0"/>
          <w:sz w:val="32"/>
          <w:szCs w:val="32"/>
          <w:highlight w:val="none"/>
          <w14:textFill>
            <w14:solidFill>
              <w14:schemeClr w14:val="tx1"/>
            </w14:solidFill>
          </w14:textFill>
        </w:rPr>
        <w:t>交办的其他工作。</w:t>
      </w:r>
    </w:p>
    <w:p>
      <w:pPr>
        <w:keepNext w:val="0"/>
        <w:keepLines w:val="0"/>
        <w:pageBreakBefore w:val="0"/>
        <w:widowControl w:val="0"/>
        <w:kinsoku/>
        <w:wordWrap/>
        <w:overflowPunct/>
        <w:topLinePunct/>
        <w:autoSpaceDE/>
        <w:autoSpaceDN/>
        <w:bidi w:val="0"/>
        <w:adjustRightInd/>
        <w:snapToGrid/>
        <w:spacing w:before="0" w:after="0" w:line="600" w:lineRule="exact"/>
        <w:ind w:left="0" w:leftChars="0" w:firstLine="640" w:firstLineChars="200"/>
        <w:textAlignment w:val="auto"/>
        <w:outlineLvl w:val="9"/>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厅公共卫生突发事件</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应急</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组织机构</w:t>
      </w:r>
      <w:r>
        <w:rPr>
          <w:rFonts w:hint="eastAsia" w:ascii="仿宋_GB2312" w:eastAsia="仿宋_GB2312" w:hAnsiTheme="minorHAnsi" w:cstheme="minorBidi"/>
          <w:b w:val="0"/>
          <w:bCs w:val="0"/>
          <w:color w:val="000000" w:themeColor="text1"/>
          <w:spacing w:val="0"/>
          <w:kern w:val="2"/>
          <w:sz w:val="32"/>
          <w:szCs w:val="32"/>
          <w:highlight w:val="none"/>
          <w:lang w:val="en-US" w:eastAsia="zh-CN" w:bidi="ar-SA"/>
          <w14:textFill>
            <w14:solidFill>
              <w14:schemeClr w14:val="tx1"/>
            </w14:solidFill>
          </w14:textFill>
        </w:rPr>
        <w:t>如下图</w:t>
      </w:r>
      <w:r>
        <w:rPr>
          <w:rFonts w:hint="eastAsia" w:ascii="仿宋_GB2312" w:eastAsia="仿宋_GB2312" w:cstheme="minorBidi"/>
          <w:b w:val="0"/>
          <w:bCs w:val="0"/>
          <w:color w:val="000000" w:themeColor="text1"/>
          <w:spacing w:val="0"/>
          <w:kern w:val="2"/>
          <w:sz w:val="32"/>
          <w:szCs w:val="32"/>
          <w:highlight w:val="none"/>
          <w:lang w:val="en-US" w:eastAsia="zh-CN" w:bidi="ar-SA"/>
          <w14:textFill>
            <w14:solidFill>
              <w14:schemeClr w14:val="tx1"/>
            </w14:solidFill>
          </w14:textFill>
        </w:rPr>
        <w:t>所示。</w:t>
      </w:r>
    </w:p>
    <w:p>
      <w:pPr>
        <w:keepNext w:val="0"/>
        <w:keepLines w:val="0"/>
        <w:pageBreakBefore w:val="0"/>
        <w:widowControl w:val="0"/>
        <w:kinsoku/>
        <w:wordWrap/>
        <w:overflowPunct/>
        <w:topLinePunct/>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drawing>
          <wp:inline distT="0" distB="0" distL="114300" distR="114300">
            <wp:extent cx="5271135" cy="3505200"/>
            <wp:effectExtent l="0" t="0" r="12065" b="0"/>
            <wp:docPr id="13" name="图片 13" descr="公共卫生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公共卫生机构"/>
                    <pic:cNvPicPr>
                      <a:picLocks noChangeAspect="1"/>
                    </pic:cNvPicPr>
                  </pic:nvPicPr>
                  <pic:blipFill>
                    <a:blip r:embed="rId23"/>
                    <a:stretch>
                      <a:fillRect/>
                    </a:stretch>
                  </pic:blipFill>
                  <pic:spPr>
                    <a:xfrm>
                      <a:off x="0" y="0"/>
                      <a:ext cx="5271135" cy="3505200"/>
                    </a:xfrm>
                    <a:prstGeom prst="rect">
                      <a:avLst/>
                    </a:prstGeom>
                  </pic:spPr>
                </pic:pic>
              </a:graphicData>
            </a:graphic>
          </wp:inline>
        </w:drawing>
      </w:r>
    </w:p>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201" w:name="_Toc80473130"/>
      <w:bookmarkStart w:id="2202" w:name="_Toc11595"/>
      <w:bookmarkStart w:id="2203" w:name="_Toc24235"/>
      <w:bookmarkStart w:id="2204" w:name="_Toc30126"/>
      <w:bookmarkStart w:id="2205" w:name="_Toc12093"/>
      <w:bookmarkStart w:id="2206" w:name="_Toc9146"/>
      <w:bookmarkStart w:id="2207" w:name="_Toc21929"/>
      <w:bookmarkStart w:id="2208" w:name="_Toc31885"/>
      <w:bookmarkStart w:id="2209" w:name="_Toc20904"/>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3.预警</w:t>
      </w:r>
      <w:bookmarkEnd w:id="2201"/>
      <w:bookmarkEnd w:id="2202"/>
      <w:bookmarkEnd w:id="2203"/>
      <w:bookmarkEnd w:id="2204"/>
      <w:bookmarkEnd w:id="2205"/>
      <w:bookmarkEnd w:id="2206"/>
      <w:bookmarkEnd w:id="2207"/>
      <w:bookmarkEnd w:id="2208"/>
      <w:bookmarkEnd w:id="2209"/>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10" w:name="_Toc29940"/>
      <w:bookmarkStart w:id="2211" w:name="_Toc1031"/>
      <w:bookmarkStart w:id="2212" w:name="_Toc920"/>
      <w:bookmarkStart w:id="2213" w:name="_Toc7056"/>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3.1预警信息</w:t>
      </w:r>
      <w:bookmarkEnd w:id="2210"/>
      <w:bookmarkEnd w:id="2211"/>
      <w:bookmarkEnd w:id="2212"/>
      <w:bookmarkEnd w:id="2213"/>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转发</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snapToGrid/>
          <w:color w:val="000000" w:themeColor="text1"/>
          <w:spacing w:val="0"/>
          <w:kern w:val="21"/>
          <w:sz w:val="32"/>
          <w:szCs w:val="32"/>
          <w:highlight w:val="none"/>
          <w14:textFill>
            <w14:solidFill>
              <w14:schemeClr w14:val="tx1"/>
            </w14:solidFill>
          </w14:textFill>
        </w:rPr>
      </w:pPr>
      <w:r>
        <w:rPr>
          <w:rFonts w:hint="eastAsia" w:ascii="仿宋_GB2312" w:eastAsia="仿宋_GB2312"/>
          <w:color w:val="000000" w:themeColor="text1"/>
          <w:spacing w:val="0"/>
          <w:sz w:val="32"/>
          <w:szCs w:val="32"/>
          <w:highlight w:val="none"/>
          <w14:textFill>
            <w14:solidFill>
              <w14:schemeClr w14:val="tx1"/>
            </w14:solidFill>
          </w14:textFill>
        </w:rPr>
        <w:t>交通运输厅</w:t>
      </w:r>
      <w:r>
        <w:rPr>
          <w:rFonts w:hint="eastAsia" w:ascii="仿宋_GB2312" w:eastAsia="仿宋_GB2312"/>
          <w:color w:val="000000" w:themeColor="text1"/>
          <w:spacing w:val="0"/>
          <w:sz w:val="32"/>
          <w:szCs w:val="32"/>
          <w:highlight w:val="none"/>
          <w:lang w:eastAsia="zh-CN"/>
          <w14:textFill>
            <w14:solidFill>
              <w14:schemeClr w14:val="tx1"/>
            </w14:solidFill>
          </w14:textFill>
        </w:rPr>
        <w:t>应急指挥中心</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收到</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及相关部门</w:t>
      </w:r>
      <w:r>
        <w:rPr>
          <w:rFonts w:hint="eastAsia" w:ascii="仿宋_GB2312" w:eastAsia="仿宋_GB2312"/>
          <w:snapToGrid/>
          <w:color w:val="000000" w:themeColor="text1"/>
          <w:spacing w:val="0"/>
          <w:kern w:val="21"/>
          <w:sz w:val="32"/>
          <w:szCs w:val="32"/>
          <w:highlight w:val="none"/>
          <w14:textFill>
            <w14:solidFill>
              <w14:schemeClr w14:val="tx1"/>
            </w14:solidFill>
          </w14:textFill>
        </w:rPr>
        <w:t>发布预警信息后</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按规定要求在交通运输系统内</w:t>
      </w:r>
      <w:r>
        <w:rPr>
          <w:rFonts w:hint="eastAsia" w:ascii="仿宋_GB2312" w:eastAsia="仿宋_GB2312"/>
          <w:snapToGrid/>
          <w:color w:val="000000" w:themeColor="text1"/>
          <w:spacing w:val="0"/>
          <w:kern w:val="21"/>
          <w:sz w:val="32"/>
          <w:szCs w:val="32"/>
          <w:highlight w:val="none"/>
          <w14:textFill>
            <w14:solidFill>
              <w14:schemeClr w14:val="tx1"/>
            </w14:solidFill>
          </w14:textFill>
        </w:rPr>
        <w:t>转发。</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14" w:name="_Toc9528"/>
      <w:bookmarkStart w:id="2215" w:name="_Toc9757"/>
      <w:bookmarkStart w:id="2216" w:name="_Toc13820"/>
      <w:bookmarkStart w:id="2217" w:name="_Toc3787"/>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3.2预警</w:t>
      </w:r>
      <w:bookmarkEnd w:id="2214"/>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行动</w:t>
      </w:r>
      <w:bookmarkEnd w:id="2215"/>
      <w:bookmarkEnd w:id="2216"/>
      <w:bookmarkEnd w:id="2217"/>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default" w:ascii="仿宋_GB2312" w:eastAsia="仿宋_GB2312"/>
          <w:snapToGrid/>
          <w:color w:val="000000" w:themeColor="text1"/>
          <w:spacing w:val="0"/>
          <w:kern w:val="21"/>
          <w:sz w:val="32"/>
          <w:szCs w:val="32"/>
          <w:highlight w:val="none"/>
          <w:lang w:val="en-US"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按照预警级别，由综合协调组提出处置意见，经厅应急办核准后，报工作指挥机构。主要采取以下措施：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（1）实施值班值守，保持通信联络畅通，密切关注</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公共卫生突发事件</w:t>
      </w:r>
      <w:r>
        <w:rPr>
          <w:rFonts w:hint="eastAsia" w:ascii="仿宋_GB2312" w:eastAsia="仿宋_GB2312"/>
          <w:snapToGrid/>
          <w:color w:val="000000" w:themeColor="text1"/>
          <w:spacing w:val="0"/>
          <w:kern w:val="21"/>
          <w:sz w:val="32"/>
          <w:szCs w:val="32"/>
          <w:highlight w:val="none"/>
          <w14:textFill>
            <w14:solidFill>
              <w14:schemeClr w14:val="tx1"/>
            </w14:solidFill>
          </w14:textFill>
        </w:rPr>
        <w:t>预警信息，随时掌握情况</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（2）</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落实</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eastAsia="仿宋_GB2312"/>
          <w:snapToGrid/>
          <w:color w:val="000000" w:themeColor="text1"/>
          <w:spacing w:val="0"/>
          <w:kern w:val="21"/>
          <w:sz w:val="32"/>
          <w:szCs w:val="32"/>
          <w:highlight w:val="none"/>
          <w14:textFill>
            <w14:solidFill>
              <w14:schemeClr w14:val="tx1"/>
            </w14:solidFill>
          </w14:textFill>
        </w:rPr>
        <w:t>联防联控工作</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（3）指导</w:t>
      </w:r>
      <w:r>
        <w:rPr>
          <w:rFonts w:hint="eastAsia" w:ascii="仿宋_GB2312" w:hAnsi="仿宋_GB2312" w:eastAsia="仿宋_GB2312" w:cs="仿宋_GB2312"/>
          <w:b w:val="0"/>
          <w:bCs w:val="0"/>
          <w:snapToGrid/>
          <w:color w:val="000000" w:themeColor="text1"/>
          <w:spacing w:val="0"/>
          <w:kern w:val="21"/>
          <w:position w:val="0"/>
          <w:sz w:val="32"/>
          <w:szCs w:val="32"/>
          <w:highlight w:val="none"/>
          <w:lang w:val="en-US" w:eastAsia="zh-CN"/>
          <w14:textFill>
            <w14:solidFill>
              <w14:schemeClr w14:val="tx1"/>
            </w14:solidFill>
          </w14:textFill>
        </w:rPr>
        <w:t>市、县（区）</w:t>
      </w:r>
      <w:r>
        <w:rPr>
          <w:rFonts w:hint="eastAsia" w:ascii="仿宋_GB2312" w:eastAsia="仿宋_GB2312"/>
          <w:snapToGrid/>
          <w:color w:val="000000" w:themeColor="text1"/>
          <w:spacing w:val="0"/>
          <w:kern w:val="21"/>
          <w:sz w:val="32"/>
          <w:szCs w:val="32"/>
          <w:highlight w:val="none"/>
          <w14:textFill>
            <w14:solidFill>
              <w14:schemeClr w14:val="tx1"/>
            </w14:solidFill>
          </w14:textFill>
        </w:rPr>
        <w:t>交通运输主管部门加强对重点交通枢纽、重点</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交通运输</w:t>
      </w:r>
      <w:r>
        <w:rPr>
          <w:rFonts w:hint="eastAsia" w:ascii="仿宋_GB2312" w:eastAsia="仿宋_GB2312"/>
          <w:snapToGrid/>
          <w:color w:val="000000" w:themeColor="text1"/>
          <w:spacing w:val="0"/>
          <w:kern w:val="21"/>
          <w:sz w:val="32"/>
          <w:szCs w:val="32"/>
          <w:highlight w:val="none"/>
          <w14:textFill>
            <w14:solidFill>
              <w14:schemeClr w14:val="tx1"/>
            </w14:solidFill>
          </w14:textFill>
        </w:rPr>
        <w:t>企业等人员密集场所、交通运输工具的检查巡视，做好启动应急响应的准备</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w:t>
      </w:r>
      <w:r>
        <w:rPr>
          <w:rFonts w:ascii="仿宋_GB2312" w:eastAsia="仿宋_GB2312"/>
          <w:snapToGrid/>
          <w:color w:val="000000" w:themeColor="text1"/>
          <w:spacing w:val="0"/>
          <w:kern w:val="21"/>
          <w:sz w:val="32"/>
          <w:szCs w:val="32"/>
          <w:highlight w:val="none"/>
          <w14:textFill>
            <w14:solidFill>
              <w14:schemeClr w14:val="tx1"/>
            </w14:solidFill>
          </w14:textFill>
        </w:rPr>
        <w:t>4</w:t>
      </w:r>
      <w:r>
        <w:rPr>
          <w:rFonts w:hint="eastAsia" w:ascii="仿宋_GB2312" w:eastAsia="仿宋_GB2312"/>
          <w:snapToGrid/>
          <w:color w:val="000000" w:themeColor="text1"/>
          <w:spacing w:val="0"/>
          <w:kern w:val="21"/>
          <w:sz w:val="32"/>
          <w:szCs w:val="32"/>
          <w:highlight w:val="none"/>
          <w14:textFill>
            <w14:solidFill>
              <w14:schemeClr w14:val="tx1"/>
            </w14:solidFill>
          </w14:textFill>
        </w:rPr>
        <w:t>）做好应急处置前的各项工作，相关应急工作组随时待命</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snapToGrid/>
          <w:color w:val="000000" w:themeColor="text1"/>
          <w:spacing w:val="0"/>
          <w:kern w:val="21"/>
          <w:sz w:val="32"/>
          <w:szCs w:val="32"/>
          <w:highlight w:val="none"/>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w:t>
      </w:r>
      <w:r>
        <w:rPr>
          <w:rFonts w:ascii="仿宋_GB2312" w:eastAsia="仿宋_GB2312"/>
          <w:snapToGrid/>
          <w:color w:val="000000" w:themeColor="text1"/>
          <w:spacing w:val="0"/>
          <w:kern w:val="21"/>
          <w:sz w:val="32"/>
          <w:szCs w:val="32"/>
          <w:highlight w:val="none"/>
          <w14:textFill>
            <w14:solidFill>
              <w14:schemeClr w14:val="tx1"/>
            </w14:solidFill>
          </w14:textFill>
        </w:rPr>
        <w:t>5</w:t>
      </w:r>
      <w:r>
        <w:rPr>
          <w:rFonts w:hint="eastAsia" w:ascii="仿宋_GB2312" w:eastAsia="仿宋_GB2312"/>
          <w:snapToGrid/>
          <w:color w:val="000000" w:themeColor="text1"/>
          <w:spacing w:val="0"/>
          <w:kern w:val="21"/>
          <w:sz w:val="32"/>
          <w:szCs w:val="32"/>
          <w:highlight w:val="none"/>
          <w14:textFill>
            <w14:solidFill>
              <w14:schemeClr w14:val="tx1"/>
            </w14:solidFill>
          </w14:textFill>
        </w:rPr>
        <w:t>）落实</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法律法规</w:t>
      </w:r>
      <w:r>
        <w:rPr>
          <w:rFonts w:hint="eastAsia" w:ascii="仿宋_GB2312" w:eastAsia="仿宋_GB2312"/>
          <w:snapToGrid/>
          <w:color w:val="000000" w:themeColor="text1"/>
          <w:spacing w:val="0"/>
          <w:kern w:val="21"/>
          <w:sz w:val="32"/>
          <w:szCs w:val="32"/>
          <w:highlight w:val="none"/>
          <w14:textFill>
            <w14:solidFill>
              <w14:schemeClr w14:val="tx1"/>
            </w14:solidFill>
          </w14:textFill>
        </w:rPr>
        <w:t>、规章规定的其他必要的防范性、保护性措施。</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18" w:name="_Toc25188"/>
      <w:bookmarkStart w:id="2219" w:name="_Toc18032"/>
      <w:bookmarkStart w:id="2220" w:name="_Toc10659"/>
      <w:bookmarkStart w:id="2221" w:name="_Toc19664"/>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3.3预警调整及解除</w:t>
      </w:r>
      <w:bookmarkEnd w:id="2218"/>
      <w:bookmarkEnd w:id="2219"/>
      <w:bookmarkEnd w:id="2220"/>
      <w:bookmarkEnd w:id="222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发布</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预警</w:t>
      </w:r>
      <w:r>
        <w:rPr>
          <w:rFonts w:hint="eastAsia" w:ascii="仿宋_GB2312" w:eastAsia="仿宋_GB2312"/>
          <w:snapToGrid/>
          <w:color w:val="000000" w:themeColor="text1"/>
          <w:spacing w:val="0"/>
          <w:kern w:val="21"/>
          <w:sz w:val="32"/>
          <w:szCs w:val="32"/>
          <w:highlight w:val="none"/>
          <w14:textFill>
            <w14:solidFill>
              <w14:schemeClr w14:val="tx1"/>
            </w14:solidFill>
          </w14:textFill>
        </w:rPr>
        <w:t>的</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有关部门</w:t>
      </w:r>
      <w:r>
        <w:rPr>
          <w:rFonts w:hint="eastAsia" w:ascii="仿宋_GB2312" w:eastAsia="仿宋_GB2312"/>
          <w:snapToGrid/>
          <w:color w:val="000000" w:themeColor="text1"/>
          <w:spacing w:val="0"/>
          <w:kern w:val="21"/>
          <w:sz w:val="32"/>
          <w:szCs w:val="32"/>
          <w:highlight w:val="none"/>
          <w14:textFill>
            <w14:solidFill>
              <w14:schemeClr w14:val="tx1"/>
            </w14:solidFill>
          </w14:textFill>
        </w:rPr>
        <w:t>调整或解除</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预警</w:t>
      </w:r>
      <w:r>
        <w:rPr>
          <w:rFonts w:hint="eastAsia" w:ascii="仿宋_GB2312" w:eastAsia="仿宋_GB2312"/>
          <w:snapToGrid/>
          <w:color w:val="000000" w:themeColor="text1"/>
          <w:spacing w:val="0"/>
          <w:kern w:val="21"/>
          <w:sz w:val="32"/>
          <w:szCs w:val="32"/>
          <w:highlight w:val="none"/>
          <w14:textFill>
            <w14:solidFill>
              <w14:schemeClr w14:val="tx1"/>
            </w14:solidFill>
          </w14:textFill>
        </w:rPr>
        <w:t>响应，</w:t>
      </w:r>
      <w:bookmarkStart w:id="2222" w:name="_Toc32530"/>
      <w:bookmarkStart w:id="2223" w:name="_Toc27055"/>
      <w:r>
        <w:rPr>
          <w:rFonts w:hint="eastAsia" w:ascii="仿宋_GB2312" w:eastAsia="仿宋_GB2312"/>
          <w:color w:val="000000" w:themeColor="text1"/>
          <w:spacing w:val="0"/>
          <w:sz w:val="32"/>
          <w:szCs w:val="32"/>
          <w:highlight w:val="none"/>
          <w14:textFill>
            <w14:solidFill>
              <w14:schemeClr w14:val="tx1"/>
            </w14:solidFill>
          </w14:textFill>
        </w:rPr>
        <w:t>由</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综合协调组</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提出</w:t>
      </w:r>
      <w:r>
        <w:rPr>
          <w:rFonts w:hint="eastAsia" w:ascii="仿宋_GB2312" w:eastAsia="仿宋_GB2312"/>
          <w:b w:val="0"/>
          <w:bCs w:val="0"/>
          <w:color w:val="000000" w:themeColor="text1"/>
          <w:spacing w:val="0"/>
          <w:sz w:val="32"/>
          <w:szCs w:val="32"/>
          <w:highlight w:val="none"/>
          <w14:textFill>
            <w14:solidFill>
              <w14:schemeClr w14:val="tx1"/>
            </w14:solidFill>
          </w14:textFill>
        </w:rPr>
        <w:t>调整、终止</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预警响应的建议</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报厅应急办，经厅应急办研判</w:t>
      </w:r>
      <w:r>
        <w:rPr>
          <w:rFonts w:hint="eastAsia" w:ascii="仿宋_GB2312" w:eastAsia="仿宋_GB2312"/>
          <w:b w:val="0"/>
          <w:bCs w:val="0"/>
          <w:color w:val="000000" w:themeColor="text1"/>
          <w:spacing w:val="0"/>
          <w:sz w:val="32"/>
          <w:szCs w:val="32"/>
          <w:highlight w:val="none"/>
          <w14:textFill>
            <w14:solidFill>
              <w14:schemeClr w14:val="tx1"/>
            </w14:solidFill>
          </w14:textFill>
        </w:rPr>
        <w:t>报启动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预警的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w:t>
      </w: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按程序及时调整、终止</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预警响应</w:t>
      </w:r>
      <w:r>
        <w:rPr>
          <w:rFonts w:hint="eastAsia" w:ascii="仿宋_GB2312" w:eastAsia="仿宋_GB2312"/>
          <w:color w:val="000000" w:themeColor="text1"/>
          <w:spacing w:val="0"/>
          <w:sz w:val="32"/>
          <w:szCs w:val="32"/>
          <w:highlight w:val="none"/>
          <w14:textFill>
            <w14:solidFill>
              <w14:schemeClr w14:val="tx1"/>
            </w14:solidFill>
          </w14:textFill>
        </w:rPr>
        <w:t>。</w:t>
      </w:r>
    </w:p>
    <w:bookmarkEnd w:id="2222"/>
    <w:bookmarkEnd w:id="2223"/>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224" w:name="_Toc8497"/>
      <w:bookmarkStart w:id="2225" w:name="_Toc80473138"/>
      <w:bookmarkStart w:id="2226" w:name="_Toc21610"/>
      <w:bookmarkStart w:id="2227" w:name="_Toc21677"/>
      <w:bookmarkStart w:id="2228" w:name="_Toc537"/>
      <w:bookmarkStart w:id="2229" w:name="_Toc26993"/>
      <w:bookmarkStart w:id="2230" w:name="_Toc5869"/>
      <w:bookmarkStart w:id="2231" w:name="_Toc14641"/>
      <w:bookmarkStart w:id="2232" w:name="_Toc2427"/>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4.应急响应</w:t>
      </w:r>
      <w:bookmarkEnd w:id="2224"/>
      <w:bookmarkEnd w:id="2225"/>
      <w:bookmarkEnd w:id="2226"/>
      <w:bookmarkEnd w:id="2227"/>
      <w:bookmarkEnd w:id="2228"/>
      <w:bookmarkEnd w:id="2229"/>
      <w:bookmarkEnd w:id="2230"/>
      <w:bookmarkEnd w:id="2231"/>
      <w:bookmarkEnd w:id="2232"/>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33" w:name="_Toc8376"/>
      <w:bookmarkStart w:id="2234" w:name="_Toc29614"/>
      <w:bookmarkStart w:id="2235" w:name="_Toc26533"/>
      <w:bookmarkStart w:id="2236" w:name="_Toc6983"/>
      <w:bookmarkStart w:id="2237" w:name="_Toc8686"/>
      <w:bookmarkStart w:id="2238" w:name="_Toc80473140"/>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4.1信息报告</w:t>
      </w:r>
      <w:bookmarkEnd w:id="2233"/>
      <w:bookmarkEnd w:id="2234"/>
      <w:bookmarkEnd w:id="223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 w:eastAsia="仿宋_GB2312"/>
          <w:snapToGrid/>
          <w:color w:val="000000" w:themeColor="text1"/>
          <w:spacing w:val="0"/>
          <w:kern w:val="21"/>
          <w:sz w:val="32"/>
          <w:szCs w:val="32"/>
          <w:highlight w:val="none"/>
          <w:lang w:val="en-US"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各级交通运输部门和单位按照</w:t>
      </w:r>
      <w:r>
        <w:rPr>
          <w:rFonts w:hint="eastAsia" w:ascii="仿宋_GB2312" w:eastAsia="仿宋_GB2312"/>
          <w:snapToGrid/>
          <w:color w:val="000000" w:themeColor="text1"/>
          <w:spacing w:val="0"/>
          <w:kern w:val="21"/>
          <w:sz w:val="32"/>
          <w:szCs w:val="32"/>
          <w:highlight w:val="none"/>
          <w14:textFill>
            <w14:solidFill>
              <w14:schemeClr w14:val="tx1"/>
            </w14:solidFill>
          </w14:textFill>
        </w:rPr>
        <w:t>《</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交通运输部〈</w:t>
      </w:r>
      <w:r>
        <w:rPr>
          <w:rFonts w:hint="eastAsia" w:ascii="仿宋_GB2312" w:eastAsia="仿宋_GB2312"/>
          <w:snapToGrid/>
          <w:color w:val="000000" w:themeColor="text1"/>
          <w:spacing w:val="0"/>
          <w:kern w:val="21"/>
          <w:sz w:val="32"/>
          <w:szCs w:val="32"/>
          <w:highlight w:val="none"/>
          <w14:textFill>
            <w14:solidFill>
              <w14:schemeClr w14:val="tx1"/>
            </w14:solidFill>
          </w14:textFill>
        </w:rPr>
        <w:t>交通运输突发事件应急管理规定</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w:t>
      </w:r>
      <w:r>
        <w:rPr>
          <w:rFonts w:hint="eastAsia" w:ascii="仿宋_GB2312" w:eastAsia="仿宋_GB2312"/>
          <w:snapToGrid/>
          <w:color w:val="000000" w:themeColor="text1"/>
          <w:spacing w:val="0"/>
          <w:kern w:val="21"/>
          <w:sz w:val="32"/>
          <w:szCs w:val="32"/>
          <w:highlight w:val="none"/>
          <w14:textFill>
            <w14:solidFill>
              <w14:schemeClr w14:val="tx1"/>
            </w14:solidFill>
          </w14:textFill>
        </w:rPr>
        <w:t>》</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《宁夏回族自治区突发事件应对条例》和</w:t>
      </w:r>
      <w:r>
        <w:rPr>
          <w:rFonts w:hint="eastAsia" w:ascii="仿宋_GB2312" w:hAnsi="仿宋" w:eastAsia="仿宋_GB2312"/>
          <w:snapToGrid/>
          <w:color w:val="000000" w:themeColor="text1"/>
          <w:spacing w:val="0"/>
          <w:kern w:val="21"/>
          <w:sz w:val="32"/>
          <w:szCs w:val="32"/>
          <w:highlight w:val="none"/>
          <w:lang w:val="en-US" w:eastAsia="zh-CN"/>
          <w14:textFill>
            <w14:solidFill>
              <w14:schemeClr w14:val="tx1"/>
            </w14:solidFill>
          </w14:textFill>
        </w:rPr>
        <w:t>《全区交通运输行业突发事件信息管理制度（试行）》等规定，报告突发事件信息。</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pPr>
      <w:r>
        <w:rPr>
          <w:rFonts w:hint="eastAsia" w:ascii="仿宋_GB2312" w:eastAsia="仿宋_GB2312"/>
          <w:snapToGrid/>
          <w:color w:val="000000" w:themeColor="text1"/>
          <w:spacing w:val="0"/>
          <w:kern w:val="21"/>
          <w:sz w:val="32"/>
          <w:szCs w:val="32"/>
          <w:highlight w:val="none"/>
          <w14:textFill>
            <w14:solidFill>
              <w14:schemeClr w14:val="tx1"/>
            </w14:solidFill>
          </w14:textFill>
        </w:rPr>
        <w:t>交通运输厅</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应急指挥中心</w:t>
      </w:r>
      <w:r>
        <w:rPr>
          <w:rFonts w:hint="eastAsia" w:ascii="仿宋_GB2312" w:eastAsia="仿宋_GB2312"/>
          <w:b w:val="0"/>
          <w:bCs w:val="0"/>
          <w:snapToGrid/>
          <w:color w:val="000000" w:themeColor="text1"/>
          <w:spacing w:val="0"/>
          <w:kern w:val="21"/>
          <w:sz w:val="32"/>
          <w:szCs w:val="32"/>
          <w:highlight w:val="none"/>
          <w:lang w:val="en-US" w:eastAsia="zh-CN"/>
          <w14:textFill>
            <w14:solidFill>
              <w14:schemeClr w14:val="tx1"/>
            </w14:solidFill>
          </w14:textFill>
        </w:rPr>
        <w:t>收到</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突发事件信息</w:t>
      </w:r>
      <w:r>
        <w:rPr>
          <w:rFonts w:hint="eastAsia" w:ascii="仿宋_GB2312" w:eastAsia="仿宋_GB2312"/>
          <w:snapToGrid/>
          <w:color w:val="000000" w:themeColor="text1"/>
          <w:spacing w:val="0"/>
          <w:kern w:val="21"/>
          <w:sz w:val="32"/>
          <w:szCs w:val="32"/>
          <w:highlight w:val="none"/>
          <w14:textFill>
            <w14:solidFill>
              <w14:schemeClr w14:val="tx1"/>
            </w14:solidFill>
          </w14:textFill>
        </w:rPr>
        <w:t>后，按照有关规定</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要求报送信息。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39" w:name="_Toc30629"/>
      <w:bookmarkStart w:id="2240" w:name="_Toc11385"/>
      <w:bookmarkStart w:id="2241" w:name="_Toc23879"/>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4.2响应分级</w:t>
      </w:r>
      <w:bookmarkEnd w:id="2236"/>
      <w:bookmarkEnd w:id="2237"/>
      <w:bookmarkEnd w:id="2238"/>
      <w:bookmarkEnd w:id="2239"/>
      <w:bookmarkEnd w:id="2240"/>
      <w:bookmarkEnd w:id="224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snapToGrid/>
          <w:color w:val="000000" w:themeColor="text1"/>
          <w:spacing w:val="0"/>
          <w:kern w:val="21"/>
          <w:sz w:val="32"/>
          <w:szCs w:val="32"/>
          <w:highlight w:val="none"/>
          <w14:textFill>
            <w14:solidFill>
              <w14:schemeClr w14:val="tx1"/>
            </w14:solidFill>
          </w14:textFill>
        </w:rPr>
      </w:pP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eastAsia="仿宋_GB2312"/>
          <w:snapToGrid/>
          <w:color w:val="000000" w:themeColor="text1"/>
          <w:spacing w:val="0"/>
          <w:kern w:val="21"/>
          <w:sz w:val="32"/>
          <w:szCs w:val="32"/>
          <w:highlight w:val="none"/>
          <w14:textFill>
            <w14:solidFill>
              <w14:schemeClr w14:val="tx1"/>
            </w14:solidFill>
          </w14:textFill>
        </w:rPr>
        <w:t>交通运输厅</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公共卫生突发事件</w:t>
      </w:r>
      <w:r>
        <w:rPr>
          <w:rFonts w:hint="eastAsia" w:ascii="仿宋_GB2312" w:eastAsia="仿宋_GB2312"/>
          <w:snapToGrid/>
          <w:color w:val="000000" w:themeColor="text1"/>
          <w:spacing w:val="0"/>
          <w:kern w:val="21"/>
          <w:sz w:val="32"/>
          <w:szCs w:val="32"/>
          <w:highlight w:val="none"/>
          <w14:textFill>
            <w14:solidFill>
              <w14:schemeClr w14:val="tx1"/>
            </w14:solidFill>
          </w14:textFill>
        </w:rPr>
        <w:t>应急响应分为</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Ⅰ级、Ⅱ级</w:t>
      </w:r>
      <w:r>
        <w:rPr>
          <w:rFonts w:hint="eastAsia" w:ascii="仿宋_GB2312" w:eastAsia="仿宋_GB2312"/>
          <w:snapToGrid/>
          <w:color w:val="000000" w:themeColor="text1"/>
          <w:spacing w:val="0"/>
          <w:kern w:val="21"/>
          <w:sz w:val="32"/>
          <w:szCs w:val="32"/>
          <w:highlight w:val="none"/>
          <w14:textFill>
            <w14:solidFill>
              <w14:schemeClr w14:val="tx1"/>
            </w14:solidFill>
          </w14:textFill>
        </w:rPr>
        <w:t>、</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Ⅲ级、Ⅳ级</w:t>
      </w:r>
      <w:r>
        <w:rPr>
          <w:rFonts w:hint="eastAsia" w:ascii="仿宋_GB2312" w:eastAsia="仿宋_GB2312"/>
          <w:snapToGrid/>
          <w:color w:val="000000" w:themeColor="text1"/>
          <w:spacing w:val="0"/>
          <w:kern w:val="21"/>
          <w:sz w:val="32"/>
          <w:szCs w:val="32"/>
          <w:highlight w:val="none"/>
          <w14:textFill>
            <w14:solidFill>
              <w14:schemeClr w14:val="tx1"/>
            </w14:solidFill>
          </w14:textFill>
        </w:rPr>
        <w:t>四个等级，与</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事件分级</w:t>
      </w:r>
      <w:r>
        <w:rPr>
          <w:rFonts w:hint="eastAsia" w:ascii="仿宋_GB2312" w:eastAsia="仿宋_GB2312"/>
          <w:snapToGrid/>
          <w:color w:val="000000" w:themeColor="text1"/>
          <w:spacing w:val="0"/>
          <w:kern w:val="21"/>
          <w:sz w:val="32"/>
          <w:szCs w:val="32"/>
          <w:highlight w:val="none"/>
          <w14:textFill>
            <w14:solidFill>
              <w14:schemeClr w14:val="tx1"/>
            </w14:solidFill>
          </w14:textFill>
        </w:rPr>
        <w:t>等级相对应。</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default"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42" w:name="_Toc80473141"/>
      <w:bookmarkStart w:id="2243" w:name="_Toc25657"/>
      <w:bookmarkStart w:id="2244" w:name="_Toc28789"/>
      <w:bookmarkStart w:id="2245" w:name="_Toc6785"/>
      <w:bookmarkStart w:id="2246" w:name="_Toc20452"/>
      <w:bookmarkStart w:id="2247" w:name="_Toc28444"/>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4.</w:t>
      </w:r>
      <w:bookmarkEnd w:id="2242"/>
      <w:bookmarkStart w:id="2248" w:name="_Toc80473142"/>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3分级响应</w:t>
      </w:r>
      <w:bookmarkEnd w:id="2243"/>
      <w:bookmarkEnd w:id="2244"/>
      <w:bookmarkEnd w:id="2245"/>
      <w:bookmarkEnd w:id="2246"/>
      <w:bookmarkEnd w:id="2247"/>
      <w:bookmarkEnd w:id="2248"/>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及措施</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lang w:val="en-US" w:eastAsia="zh-CN" w:bidi="ar-SA"/>
          <w14:textFill>
            <w14:solidFill>
              <w14:schemeClr w14:val="tx1"/>
            </w14:solidFill>
          </w14:textFill>
        </w:rPr>
      </w:pPr>
      <w:bookmarkStart w:id="2249" w:name="_Hlk80718704"/>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自治区</w:t>
      </w:r>
      <w:r>
        <w:rPr>
          <w:rFonts w:hint="eastAsia" w:ascii="仿宋_GB2312" w:eastAsia="仿宋_GB2312"/>
          <w:snapToGrid/>
          <w:color w:val="000000" w:themeColor="text1"/>
          <w:spacing w:val="0"/>
          <w:kern w:val="21"/>
          <w:sz w:val="32"/>
          <w:szCs w:val="32"/>
          <w:highlight w:val="none"/>
          <w14:textFill>
            <w14:solidFill>
              <w14:schemeClr w14:val="tx1"/>
            </w14:solidFill>
          </w14:textFill>
        </w:rPr>
        <w:t>启动</w:t>
      </w:r>
      <w:r>
        <w:rPr>
          <w:rFonts w:hint="eastAsia" w:eastAsia="仿宋_GB2312"/>
          <w:snapToGrid/>
          <w:color w:val="000000" w:themeColor="text1"/>
          <w:spacing w:val="0"/>
          <w:kern w:val="21"/>
          <w:sz w:val="32"/>
          <w:szCs w:val="32"/>
          <w:highlight w:val="none"/>
          <w:lang w:val="en-US" w:eastAsia="zh-CN"/>
          <w14:textFill>
            <w14:solidFill>
              <w14:schemeClr w14:val="tx1"/>
            </w14:solidFill>
          </w14:textFill>
        </w:rPr>
        <w:t>公共卫生突发事件</w:t>
      </w:r>
      <w:r>
        <w:rPr>
          <w:rFonts w:hint="eastAsia" w:ascii="仿宋_GB2312" w:eastAsia="仿宋_GB2312"/>
          <w:snapToGrid/>
          <w:color w:val="000000" w:themeColor="text1"/>
          <w:spacing w:val="0"/>
          <w:kern w:val="21"/>
          <w:sz w:val="32"/>
          <w:szCs w:val="32"/>
          <w:highlight w:val="none"/>
          <w14:textFill>
            <w14:solidFill>
              <w14:schemeClr w14:val="tx1"/>
            </w14:solidFill>
          </w14:textFill>
        </w:rPr>
        <w:t>应急响应时，</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厅工作指挥机构</w:t>
      </w:r>
      <w:r>
        <w:rPr>
          <w:rFonts w:hint="eastAsia" w:ascii="仿宋_GB2312" w:eastAsia="仿宋_GB2312"/>
          <w:snapToGrid/>
          <w:color w:val="000000" w:themeColor="text1"/>
          <w:spacing w:val="0"/>
          <w:kern w:val="21"/>
          <w:sz w:val="32"/>
          <w:szCs w:val="32"/>
          <w:highlight w:val="none"/>
          <w14:textFill>
            <w14:solidFill>
              <w14:schemeClr w14:val="tx1"/>
            </w14:solidFill>
          </w14:textFill>
        </w:rPr>
        <w:t>同步启动相应等级响应。</w:t>
      </w:r>
    </w:p>
    <w:p>
      <w:pPr>
        <w:keepNext w:val="0"/>
        <w:keepLines w:val="0"/>
        <w:pageBreakBefore w:val="0"/>
        <w:widowControl w:val="0"/>
        <w:kinsoku/>
        <w:wordWrap/>
        <w:overflowPunct/>
        <w:topLinePunct/>
        <w:autoSpaceDE/>
        <w:autoSpaceDN/>
        <w:bidi w:val="0"/>
        <w:adjustRightInd/>
        <w:snapToGrid/>
        <w:spacing w:line="600" w:lineRule="exact"/>
        <w:ind w:left="0" w:leftChars="0" w:right="0" w:firstLine="640" w:firstLineChars="200"/>
        <w:textAlignment w:val="auto"/>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经综合协调组</w:t>
      </w:r>
      <w:r>
        <w:rPr>
          <w:rFonts w:hint="eastAsia" w:ascii="仿宋_GB2312" w:hAnsi="仿宋_GB2312" w:eastAsia="仿宋_GB2312" w:cs="仿宋_GB2312"/>
          <w:b w:val="0"/>
          <w:bCs w:val="0"/>
          <w:color w:val="000000" w:themeColor="text1"/>
          <w:spacing w:val="0"/>
          <w:position w:val="0"/>
          <w:sz w:val="32"/>
          <w:szCs w:val="32"/>
          <w:highlight w:val="none"/>
          <w14:textFill>
            <w14:solidFill>
              <w14:schemeClr w14:val="tx1"/>
            </w14:solidFill>
          </w14:textFill>
        </w:rPr>
        <w:t>根据事件影响范围和处置难易程度分析研判，提出启动应急响应建议</w:t>
      </w:r>
      <w:r>
        <w:rPr>
          <w:rFonts w:hint="eastAsia" w:ascii="仿宋_GB2312" w:hAnsi="仿宋_GB2312" w:eastAsia="仿宋_GB2312" w:cs="仿宋_GB2312"/>
          <w:b w:val="0"/>
          <w:bCs w:val="0"/>
          <w:color w:val="000000" w:themeColor="text1"/>
          <w:spacing w:val="0"/>
          <w:position w:val="0"/>
          <w:sz w:val="32"/>
          <w:szCs w:val="32"/>
          <w:highlight w:val="none"/>
          <w:lang w:val="en-US" w:eastAsia="zh-CN"/>
          <w14:textFill>
            <w14:solidFill>
              <w14:schemeClr w14:val="tx1"/>
            </w14:solidFill>
          </w14:textFill>
        </w:rPr>
        <w:t>，经厅应急办核准，报厅工作指挥机构</w:t>
      </w:r>
      <w:r>
        <w:rPr>
          <w:rFonts w:hint="eastAsia" w:ascii="仿宋_GB2312" w:hAnsi="仿宋_GB2312" w:eastAsia="仿宋_GB2312" w:cs="仿宋_GB2312"/>
          <w:b w:val="0"/>
          <w:bCs w:val="0"/>
          <w:color w:val="000000" w:themeColor="text1"/>
          <w:spacing w:val="0"/>
          <w:position w:val="0"/>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lang w:val="en-US" w:eastAsia="zh-CN" w:bidi="ar-SA"/>
          <w14:textFill>
            <w14:solidFill>
              <w14:schemeClr w14:val="tx1"/>
            </w14:solidFill>
          </w14:textFill>
        </w:rPr>
        <w:t>（1）拟启动</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Ⅰ级、Ⅱ级</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应急</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响应</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的，</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由</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指挥长</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宣布启动，按照</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的统一部署</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组织、指挥、协调</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厅属相关单位、公路经营管理单位、市、县（区）交通主管部门</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开展</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应急处置工作；视情组织现场工作组赴现场指导应急处置工作</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具体</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采取以下措施：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①指导、督促</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公路管理中心、公路经营管理单位、市、县（区）</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交通主管部门落实本领域防疫工作指南</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配合</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卫生、疾控</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部门在交通站点和出入境口岸设置临时交通卫生检疫站，对出入境、进出疫区和运行中的交通工具及其乘运人员和物资进行检疫查验</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②组织协调运力，做好</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公共卫生突发事件</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处置人员、防治药品和器械等紧急运输保障和交通物流保通保畅等工作</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③做好有关车船、道路、</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公路水运</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工程</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项目</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的公共卫生事件防范和应急处理方案</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④对</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交通运输行业卫生防疫政策要求的落实情况进行监督检查</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⑤落实</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自治</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指示，进一步采取处置措施。</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lang w:val="en-US" w:eastAsia="zh-CN" w:bidi="ar-SA"/>
          <w14:textFill>
            <w14:solidFill>
              <w14:schemeClr w14:val="tx1"/>
            </w14:solidFill>
          </w14:textFill>
        </w:rPr>
        <w:t>（2）拟启动</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Ⅲ级、Ⅳ级</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应急</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响应</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的，</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由指挥长宣布启动并</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指导、督促</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厅属相关单位、公路经营管理单位、市、县（区）交通主管部门</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做好应急处置和值班值守工作；参照</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级响应措施，结合本地实际情况，配合地方政府开展应急处置工作</w:t>
      </w:r>
      <w:r>
        <w:rPr>
          <w:rFonts w:hint="eastAsia" w:ascii="仿宋_GB2312" w:hAnsi="仿宋_GB2312" w:eastAsia="仿宋_GB2312" w:cs="仿宋_GB2312"/>
          <w:snapToGrid/>
          <w:color w:val="000000" w:themeColor="text1"/>
          <w:spacing w:val="0"/>
          <w:kern w:val="21"/>
          <w:sz w:val="32"/>
          <w:szCs w:val="32"/>
          <w:highlight w:val="none"/>
          <w:lang w:eastAsia="zh-CN"/>
          <w14:textFill>
            <w14:solidFill>
              <w14:schemeClr w14:val="tx1"/>
            </w14:solidFill>
          </w14:textFill>
        </w:rPr>
        <w:t>，</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视情派出工作组，指导应急处置工作并提供支持。</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50" w:name="_Toc26950"/>
      <w:bookmarkStart w:id="2251" w:name="_Toc31052"/>
      <w:bookmarkStart w:id="2252" w:name="_Toc13424"/>
      <w:bookmarkStart w:id="2253" w:name="_Toc21873"/>
      <w:bookmarkStart w:id="2254" w:name="_Toc23363"/>
      <w:bookmarkStart w:id="2255" w:name="_Hlk81232313"/>
      <w:bookmarkStart w:id="2256" w:name="_Toc80473143"/>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4.4信息发布</w:t>
      </w:r>
      <w:bookmarkEnd w:id="2250"/>
      <w:bookmarkEnd w:id="2251"/>
      <w:bookmarkEnd w:id="2252"/>
      <w:bookmarkEnd w:id="2253"/>
      <w:bookmarkEnd w:id="2254"/>
      <w:bookmarkEnd w:id="2255"/>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snapToGrid/>
          <w:color w:val="000000" w:themeColor="text1"/>
          <w:spacing w:val="0"/>
          <w:kern w:val="21"/>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spacing w:val="0"/>
          <w:kern w:val="21"/>
          <w:sz w:val="32"/>
          <w:szCs w:val="32"/>
          <w:highlight w:val="none"/>
          <w:lang w:val="en-US" w:eastAsia="zh-CN"/>
          <w14:textFill>
            <w14:solidFill>
              <w14:schemeClr w14:val="tx1"/>
            </w14:solidFill>
          </w14:textFill>
        </w:rPr>
        <w:t>厅</w:t>
      </w:r>
      <w:r>
        <w:rPr>
          <w:rFonts w:hint="eastAsia" w:ascii="Times New Roman" w:hAnsi="Times New Roman" w:eastAsia="仿宋_GB2312" w:cs="Times New Roman"/>
          <w:snapToGrid/>
          <w:color w:val="000000" w:themeColor="text1"/>
          <w:spacing w:val="0"/>
          <w:kern w:val="21"/>
          <w:sz w:val="32"/>
          <w:szCs w:val="32"/>
          <w:highlight w:val="none"/>
          <w14:textFill>
            <w14:solidFill>
              <w14:schemeClr w14:val="tx1"/>
            </w14:solidFill>
          </w14:textFill>
        </w:rPr>
        <w:t>新闻宣传组</w:t>
      </w:r>
      <w:r>
        <w:rPr>
          <w:rFonts w:hint="eastAsia" w:ascii="Times New Roman" w:hAnsi="Times New Roman" w:eastAsia="仿宋_GB2312" w:cs="Times New Roman"/>
          <w:snapToGrid/>
          <w:color w:val="000000" w:themeColor="text1"/>
          <w:spacing w:val="0"/>
          <w:kern w:val="21"/>
          <w:sz w:val="32"/>
          <w:szCs w:val="32"/>
          <w:highlight w:val="none"/>
          <w:lang w:val="en-US" w:eastAsia="zh-CN"/>
          <w14:textFill>
            <w14:solidFill>
              <w14:schemeClr w14:val="tx1"/>
            </w14:solidFill>
          </w14:textFill>
        </w:rPr>
        <w:t>做好</w:t>
      </w:r>
      <w:r>
        <w:rPr>
          <w:rFonts w:hint="eastAsia" w:ascii="Times New Roman" w:hAnsi="Times New Roman" w:eastAsia="仿宋_GB2312" w:cs="Times New Roman"/>
          <w:snapToGrid/>
          <w:color w:val="000000" w:themeColor="text1"/>
          <w:spacing w:val="0"/>
          <w:kern w:val="21"/>
          <w:sz w:val="32"/>
          <w:szCs w:val="32"/>
          <w:highlight w:val="none"/>
          <w14:textFill>
            <w14:solidFill>
              <w14:schemeClr w14:val="tx1"/>
            </w14:solidFill>
          </w14:textFill>
        </w:rPr>
        <w:t>信息发布与新闻宣传工作</w:t>
      </w:r>
      <w:r>
        <w:rPr>
          <w:rFonts w:hint="eastAsia" w:ascii="Times New Roman" w:hAnsi="Times New Roman" w:eastAsia="仿宋_GB2312" w:cs="Times New Roman"/>
          <w:snapToGrid/>
          <w:color w:val="000000" w:themeColor="text1"/>
          <w:spacing w:val="0"/>
          <w:kern w:val="21"/>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color w:val="000000" w:themeColor="text1"/>
          <w:spacing w:val="0"/>
          <w:kern w:val="21"/>
          <w:sz w:val="32"/>
          <w:szCs w:val="32"/>
          <w:highlight w:val="none"/>
          <w:lang w:val="en-US" w:eastAsia="zh-CN"/>
          <w14:textFill>
            <w14:solidFill>
              <w14:schemeClr w14:val="tx1"/>
            </w14:solidFill>
          </w14:textFill>
        </w:rPr>
        <w:t>同时</w:t>
      </w:r>
      <w:r>
        <w:rPr>
          <w:rFonts w:hint="eastAsia" w:ascii="Times New Roman" w:hAnsi="Times New Roman" w:eastAsia="仿宋_GB2312" w:cs="Times New Roman"/>
          <w:snapToGrid/>
          <w:color w:val="000000" w:themeColor="text1"/>
          <w:spacing w:val="0"/>
          <w:kern w:val="21"/>
          <w:sz w:val="32"/>
          <w:szCs w:val="32"/>
          <w:highlight w:val="none"/>
          <w14:textFill>
            <w14:solidFill>
              <w14:schemeClr w14:val="tx1"/>
            </w14:solidFill>
          </w14:textFill>
        </w:rPr>
        <w:t>密切关注线上线下舆论动态，切实做好舆情正面引导工作。</w:t>
      </w: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未经批准，</w:t>
      </w:r>
      <w:r>
        <w:rPr>
          <w:rFonts w:hint="eastAsia" w:ascii="仿宋_GB2312" w:hAnsi="微软雅黑" w:eastAsia="仿宋_GB2312" w:cs="宋体"/>
          <w:snapToGrid/>
          <w:color w:val="000000" w:themeColor="text1"/>
          <w:spacing w:val="0"/>
          <w:kern w:val="21"/>
          <w:sz w:val="32"/>
          <w:szCs w:val="32"/>
          <w:highlight w:val="none"/>
          <w14:textFill>
            <w14:solidFill>
              <w14:schemeClr w14:val="tx1"/>
            </w14:solidFill>
          </w14:textFill>
        </w:rPr>
        <w:t>任何单位和个人</w:t>
      </w:r>
      <w:r>
        <w:rPr>
          <w:rFonts w:hint="eastAsia" w:ascii="仿宋_GB2312" w:hAnsi="微软雅黑" w:eastAsia="仿宋_GB2312" w:cs="宋体"/>
          <w:snapToGrid/>
          <w:color w:val="000000" w:themeColor="text1"/>
          <w:spacing w:val="0"/>
          <w:kern w:val="21"/>
          <w:sz w:val="32"/>
          <w:szCs w:val="32"/>
          <w:highlight w:val="none"/>
          <w:lang w:eastAsia="zh-CN"/>
          <w14:textFill>
            <w14:solidFill>
              <w14:schemeClr w14:val="tx1"/>
            </w14:solidFill>
          </w14:textFill>
        </w:rPr>
        <w:t>不得擅自</w:t>
      </w:r>
      <w:r>
        <w:rPr>
          <w:rFonts w:hint="eastAsia" w:ascii="仿宋_GB2312" w:hAnsi="仿宋_GB2312" w:eastAsia="仿宋_GB2312" w:cs="仿宋_GB2312"/>
          <w:snapToGrid/>
          <w:color w:val="000000" w:themeColor="text1"/>
          <w:spacing w:val="0"/>
          <w:kern w:val="21"/>
          <w:sz w:val="32"/>
          <w:szCs w:val="32"/>
          <w:highlight w:val="none"/>
          <w14:textFill>
            <w14:solidFill>
              <w14:schemeClr w14:val="tx1"/>
            </w14:solidFill>
          </w14:textFill>
        </w:rPr>
        <w:t>对外发布有关信息。</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57" w:name="_Toc17688"/>
      <w:bookmarkStart w:id="2258" w:name="_Toc14359"/>
      <w:bookmarkStart w:id="2259" w:name="_Toc12567"/>
      <w:bookmarkStart w:id="2260" w:name="_Toc25877"/>
      <w:bookmarkStart w:id="2261" w:name="_Toc3049"/>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4.5响应级别调整和终止</w:t>
      </w:r>
      <w:bookmarkEnd w:id="2256"/>
      <w:bookmarkEnd w:id="2257"/>
      <w:bookmarkEnd w:id="2258"/>
      <w:bookmarkEnd w:id="2259"/>
      <w:bookmarkEnd w:id="2260"/>
      <w:bookmarkEnd w:id="2261"/>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outlineLvl w:val="9"/>
        <w:rPr>
          <w:rFonts w:hint="eastAsia" w:ascii="仿宋_GB2312" w:hAnsi="仿宋" w:eastAsia="仿宋_GB2312"/>
          <w:color w:val="000000" w:themeColor="text1"/>
          <w:spacing w:val="0"/>
          <w:sz w:val="32"/>
          <w:szCs w:val="32"/>
          <w:highlight w:val="none"/>
          <w14:textFill>
            <w14:solidFill>
              <w14:schemeClr w14:val="tx1"/>
            </w14:solidFill>
          </w14:textFill>
        </w:rPr>
      </w:pPr>
      <w:r>
        <w:rPr>
          <w:rFonts w:hint="eastAsia" w:eastAsia="仿宋_GB2312"/>
          <w:snapToGrid/>
          <w:color w:val="000000" w:themeColor="text1"/>
          <w:spacing w:val="0"/>
          <w:kern w:val="21"/>
          <w:sz w:val="32"/>
          <w:szCs w:val="32"/>
          <w:highlight w:val="none"/>
          <w14:textFill>
            <w14:solidFill>
              <w14:schemeClr w14:val="tx1"/>
            </w14:solidFill>
          </w14:textFill>
        </w:rPr>
        <w:t>收到</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自治区</w:t>
      </w:r>
      <w:r>
        <w:rPr>
          <w:rFonts w:hint="eastAsia" w:eastAsia="仿宋_GB2312"/>
          <w:snapToGrid/>
          <w:color w:val="000000" w:themeColor="text1"/>
          <w:spacing w:val="0"/>
          <w:kern w:val="21"/>
          <w:sz w:val="32"/>
          <w:szCs w:val="32"/>
          <w:highlight w:val="none"/>
          <w14:textFill>
            <w14:solidFill>
              <w14:schemeClr w14:val="tx1"/>
            </w14:solidFill>
          </w14:textFill>
        </w:rPr>
        <w:t>调整、终止应急响应信息后，</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由综合协调组</w:t>
      </w:r>
      <w:r>
        <w:rPr>
          <w:rFonts w:hint="eastAsia" w:ascii="仿宋_GB2312" w:eastAsia="仿宋_GB2312"/>
          <w:color w:val="000000" w:themeColor="text1"/>
          <w:spacing w:val="0"/>
          <w:sz w:val="32"/>
          <w:szCs w:val="32"/>
          <w:highlight w:val="none"/>
          <w14:textFill>
            <w14:solidFill>
              <w14:schemeClr w14:val="tx1"/>
            </w14:solidFill>
          </w14:textFill>
        </w:rPr>
        <w:t>研判</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提出</w:t>
      </w:r>
      <w:r>
        <w:rPr>
          <w:rFonts w:hint="eastAsia" w:ascii="仿宋_GB2312" w:eastAsia="仿宋_GB2312"/>
          <w:color w:val="000000" w:themeColor="text1"/>
          <w:spacing w:val="0"/>
          <w:sz w:val="32"/>
          <w:szCs w:val="32"/>
          <w:highlight w:val="none"/>
          <w14:textFill>
            <w14:solidFill>
              <w14:schemeClr w14:val="tx1"/>
            </w14:solidFill>
          </w14:textFill>
        </w:rPr>
        <w:t>调整或解除应急响应状态，</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以及</w:t>
      </w:r>
      <w:r>
        <w:rPr>
          <w:rFonts w:hint="eastAsia" w:ascii="仿宋_GB2312" w:eastAsia="仿宋_GB2312"/>
          <w:color w:val="000000" w:themeColor="text1"/>
          <w:spacing w:val="0"/>
          <w:sz w:val="32"/>
          <w:szCs w:val="32"/>
          <w:highlight w:val="none"/>
          <w14:textFill>
            <w14:solidFill>
              <w14:schemeClr w14:val="tx1"/>
            </w14:solidFill>
          </w14:textFill>
        </w:rPr>
        <w:t>应急调整或响应终止后续处理意见，</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经厅应急办核准，报</w:t>
      </w:r>
      <w:r>
        <w:rPr>
          <w:rFonts w:hint="eastAsia" w:ascii="仿宋_GB2312" w:eastAsia="仿宋_GB2312"/>
          <w:b w:val="0"/>
          <w:bCs w:val="0"/>
          <w:color w:val="000000" w:themeColor="text1"/>
          <w:spacing w:val="0"/>
          <w:sz w:val="32"/>
          <w:szCs w:val="32"/>
          <w:highlight w:val="none"/>
          <w14:textFill>
            <w14:solidFill>
              <w14:schemeClr w14:val="tx1"/>
            </w14:solidFill>
          </w14:textFill>
        </w:rPr>
        <w:t>启动</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应急响应的</w:t>
      </w:r>
      <w:r>
        <w:rPr>
          <w:rFonts w:hint="eastAsia" w:ascii="仿宋_GB2312" w:eastAsia="仿宋_GB2312"/>
          <w:b w:val="0"/>
          <w:bCs w:val="0"/>
          <w:color w:val="000000" w:themeColor="text1"/>
          <w:spacing w:val="0"/>
          <w:sz w:val="32"/>
          <w:szCs w:val="32"/>
          <w:highlight w:val="none"/>
          <w14:textFill>
            <w14:solidFill>
              <w14:schemeClr w14:val="tx1"/>
            </w14:solidFill>
          </w14:textFill>
        </w:rPr>
        <w:t>领导</w:t>
      </w:r>
      <w:r>
        <w:rPr>
          <w:rFonts w:hint="eastAsia" w:ascii="仿宋_GB2312" w:eastAsia="仿宋_GB2312"/>
          <w:b w:val="0"/>
          <w:bCs w:val="0"/>
          <w:color w:val="000000" w:themeColor="text1"/>
          <w:spacing w:val="0"/>
          <w:sz w:val="32"/>
          <w:szCs w:val="32"/>
          <w:highlight w:val="none"/>
          <w:lang w:val="en-US" w:eastAsia="zh-CN"/>
          <w14:textFill>
            <w14:solidFill>
              <w14:schemeClr w14:val="tx1"/>
            </w14:solidFill>
          </w14:textFill>
        </w:rPr>
        <w:t>同意后实施；并</w:t>
      </w:r>
      <w:r>
        <w:rPr>
          <w:rFonts w:hint="eastAsia" w:ascii="仿宋_GB2312" w:eastAsia="仿宋_GB2312"/>
          <w:color w:val="000000" w:themeColor="text1"/>
          <w:spacing w:val="0"/>
          <w:sz w:val="32"/>
          <w:szCs w:val="32"/>
          <w:highlight w:val="none"/>
          <w14:textFill>
            <w14:solidFill>
              <w14:schemeClr w14:val="tx1"/>
            </w14:solidFill>
          </w14:textFill>
        </w:rPr>
        <w:t>及时</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按规定报送信息</w:t>
      </w:r>
      <w:r>
        <w:rPr>
          <w:rFonts w:hint="eastAsia" w:ascii="仿宋_GB2312" w:eastAsia="仿宋_GB2312"/>
          <w:color w:val="000000" w:themeColor="text1"/>
          <w:spacing w:val="0"/>
          <w:sz w:val="32"/>
          <w:szCs w:val="32"/>
          <w:highlight w:val="none"/>
          <w:lang w:eastAsia="zh-CN"/>
          <w14:textFill>
            <w14:solidFill>
              <w14:schemeClr w14:val="tx1"/>
            </w14:solidFill>
          </w14:textFill>
        </w:rPr>
        <w:t>，</w:t>
      </w:r>
      <w:r>
        <w:rPr>
          <w:rFonts w:hint="eastAsia" w:ascii="仿宋_GB2312" w:hAnsi="仿宋" w:eastAsia="仿宋_GB2312"/>
          <w:color w:val="000000" w:themeColor="text1"/>
          <w:spacing w:val="0"/>
          <w:sz w:val="32"/>
          <w:szCs w:val="32"/>
          <w:highlight w:val="none"/>
          <w14:textFill>
            <w14:solidFill>
              <w14:schemeClr w14:val="tx1"/>
            </w14:solidFill>
          </w14:textFill>
        </w:rPr>
        <w:t>通知相关</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市、县（区）</w:t>
      </w:r>
      <w:r>
        <w:rPr>
          <w:rFonts w:hint="eastAsia" w:ascii="仿宋_GB2312" w:hAnsi="仿宋" w:eastAsia="仿宋_GB2312"/>
          <w:color w:val="000000" w:themeColor="text1"/>
          <w:spacing w:val="0"/>
          <w:sz w:val="32"/>
          <w:szCs w:val="32"/>
          <w:highlight w:val="none"/>
          <w14:textFill>
            <w14:solidFill>
              <w14:schemeClr w14:val="tx1"/>
            </w14:solidFill>
          </w14:textFill>
        </w:rPr>
        <w:t>交通运输主管部门</w:t>
      </w:r>
      <w:r>
        <w:rPr>
          <w:rFonts w:hint="eastAsia" w:ascii="仿宋_GB2312" w:hAnsi="仿宋" w:eastAsia="仿宋_GB2312"/>
          <w:color w:val="000000" w:themeColor="text1"/>
          <w:spacing w:val="0"/>
          <w:sz w:val="32"/>
          <w:szCs w:val="32"/>
          <w:highlight w:val="none"/>
          <w:lang w:val="en-US" w:eastAsia="zh-CN"/>
          <w14:textFill>
            <w14:solidFill>
              <w14:schemeClr w14:val="tx1"/>
            </w14:solidFill>
          </w14:textFill>
        </w:rPr>
        <w:t>及相关单位</w:t>
      </w:r>
      <w:r>
        <w:rPr>
          <w:rFonts w:hint="eastAsia" w:ascii="仿宋_GB2312" w:hAnsi="仿宋" w:eastAsia="仿宋_GB2312"/>
          <w:color w:val="000000" w:themeColor="text1"/>
          <w:spacing w:val="0"/>
          <w:sz w:val="32"/>
          <w:szCs w:val="32"/>
          <w:highlight w:val="none"/>
          <w14:textFill>
            <w14:solidFill>
              <w14:schemeClr w14:val="tx1"/>
            </w14:solidFill>
          </w14:textFill>
        </w:rPr>
        <w:t>。</w:t>
      </w:r>
    </w:p>
    <w:bookmarkEnd w:id="2249"/>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62" w:name="_Toc11057"/>
      <w:bookmarkStart w:id="2263" w:name="_Toc21079"/>
      <w:bookmarkStart w:id="2264" w:name="_Toc3922"/>
      <w:bookmarkStart w:id="2265" w:name="_Toc23417"/>
      <w:bookmarkStart w:id="2266" w:name="_Toc80473144"/>
      <w:bookmarkStart w:id="2267" w:name="_Toc8057"/>
      <w:bookmarkStart w:id="2268" w:name="_Toc15739"/>
      <w:bookmarkStart w:id="2269" w:name="_Hlk81232514"/>
      <w:bookmarkStart w:id="2270" w:name="_Toc8575"/>
      <w:bookmarkStart w:id="2271" w:name="_Toc85579315"/>
      <w:bookmarkStart w:id="2272" w:name="_Toc11500"/>
      <w:bookmarkStart w:id="2273" w:name="_Toc22933"/>
      <w:bookmarkStart w:id="2274" w:name="_Toc8095"/>
      <w:bookmarkStart w:id="2275" w:name="_Toc23159"/>
      <w:bookmarkStart w:id="2276" w:name="_Toc13624"/>
      <w:bookmarkStart w:id="2277" w:name="_Hlk81232550"/>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4.6后期处置</w:t>
      </w:r>
      <w:bookmarkEnd w:id="2262"/>
      <w:bookmarkEnd w:id="2263"/>
      <w:bookmarkEnd w:id="2264"/>
      <w:bookmarkEnd w:id="2265"/>
      <w:bookmarkEnd w:id="2266"/>
      <w:bookmarkEnd w:id="2267"/>
      <w:bookmarkEnd w:id="2268"/>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snapToGrid/>
          <w:color w:val="000000" w:themeColor="text1"/>
          <w:spacing w:val="0"/>
          <w:kern w:val="21"/>
          <w:sz w:val="32"/>
          <w:szCs w:val="32"/>
          <w:highlight w:val="none"/>
          <w14:textFill>
            <w14:solidFill>
              <w14:schemeClr w14:val="tx1"/>
            </w14:solidFill>
          </w14:textFill>
        </w:rPr>
      </w:pP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公共卫生突发事件</w:t>
      </w:r>
      <w:r>
        <w:rPr>
          <w:rFonts w:hint="eastAsia" w:ascii="仿宋_GB2312" w:eastAsia="仿宋_GB2312"/>
          <w:snapToGrid/>
          <w:color w:val="000000" w:themeColor="text1"/>
          <w:spacing w:val="0"/>
          <w:kern w:val="21"/>
          <w:sz w:val="32"/>
          <w:szCs w:val="32"/>
          <w:highlight w:val="none"/>
          <w14:textFill>
            <w14:solidFill>
              <w14:schemeClr w14:val="tx1"/>
            </w14:solidFill>
          </w14:textFill>
        </w:rPr>
        <w:t>应急处置工作结束后，厅</w:t>
      </w:r>
      <w:r>
        <w:rPr>
          <w:rFonts w:hint="eastAsia" w:ascii="仿宋_GB2312" w:eastAsia="仿宋_GB2312"/>
          <w:snapToGrid/>
          <w:color w:val="000000" w:themeColor="text1"/>
          <w:spacing w:val="0"/>
          <w:kern w:val="21"/>
          <w:sz w:val="32"/>
          <w:szCs w:val="32"/>
          <w:highlight w:val="none"/>
          <w:lang w:val="en-US" w:eastAsia="zh-CN"/>
          <w14:textFill>
            <w14:solidFill>
              <w14:schemeClr w14:val="tx1"/>
            </w14:solidFill>
          </w14:textFill>
        </w:rPr>
        <w:t>工作指挥机构</w:t>
      </w:r>
      <w:r>
        <w:rPr>
          <w:rFonts w:hint="eastAsia" w:ascii="仿宋_GB2312" w:eastAsia="仿宋_GB2312"/>
          <w:snapToGrid/>
          <w:color w:val="000000" w:themeColor="text1"/>
          <w:spacing w:val="0"/>
          <w:kern w:val="21"/>
          <w:sz w:val="32"/>
          <w:szCs w:val="32"/>
          <w:highlight w:val="none"/>
          <w14:textFill>
            <w14:solidFill>
              <w14:schemeClr w14:val="tx1"/>
            </w14:solidFill>
          </w14:textFill>
        </w:rPr>
        <w:t>根据</w:t>
      </w:r>
      <w:r>
        <w:rPr>
          <w:rFonts w:hint="eastAsia" w:ascii="仿宋_GB2312" w:eastAsia="仿宋_GB2312"/>
          <w:snapToGrid/>
          <w:color w:val="000000" w:themeColor="text1"/>
          <w:spacing w:val="0"/>
          <w:kern w:val="21"/>
          <w:sz w:val="32"/>
          <w:szCs w:val="32"/>
          <w:highlight w:val="none"/>
          <w:lang w:eastAsia="zh-CN"/>
          <w14:textFill>
            <w14:solidFill>
              <w14:schemeClr w14:val="tx1"/>
            </w14:solidFill>
          </w14:textFill>
        </w:rPr>
        <w:t>自治区</w:t>
      </w:r>
      <w:r>
        <w:rPr>
          <w:rFonts w:hint="eastAsia" w:ascii="仿宋_GB2312" w:eastAsia="仿宋_GB2312"/>
          <w:snapToGrid/>
          <w:color w:val="000000" w:themeColor="text1"/>
          <w:spacing w:val="0"/>
          <w:kern w:val="21"/>
          <w:sz w:val="32"/>
          <w:szCs w:val="32"/>
          <w:highlight w:val="none"/>
          <w14:textFill>
            <w14:solidFill>
              <w14:schemeClr w14:val="tx1"/>
            </w14:solidFill>
          </w14:textFill>
        </w:rPr>
        <w:t>的统一部署，及时取消限制性措施，恢复社会正常生产生活秩序。</w:t>
      </w:r>
    </w:p>
    <w:bookmarkEnd w:id="2269"/>
    <w:p>
      <w:pPr>
        <w:pStyle w:val="5"/>
        <w:keepNext w:val="0"/>
        <w:keepLines w:val="0"/>
        <w:pageBreakBefore w:val="0"/>
        <w:widowControl w:val="0"/>
        <w:kinsoku/>
        <w:wordWrap/>
        <w:overflowPunct/>
        <w:topLinePunct/>
        <w:autoSpaceDE/>
        <w:autoSpaceDN/>
        <w:bidi w:val="0"/>
        <w:adjustRightInd/>
        <w:snapToGrid/>
        <w:spacing w:before="0" w:after="0" w:line="360" w:lineRule="auto"/>
        <w:ind w:left="0" w:leftChars="0" w:firstLine="642" w:firstLineChars="200"/>
        <w:textAlignment w:val="auto"/>
        <w:outlineLvl w:val="1"/>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pPr>
      <w:bookmarkStart w:id="2278" w:name="_Toc24813"/>
      <w:bookmarkStart w:id="2279" w:name="_Toc14355"/>
      <w:r>
        <w:rPr>
          <w:rFonts w:hint="eastAsia" w:ascii="黑体" w:hAnsi="黑体" w:eastAsia="黑体"/>
          <w:b/>
          <w:bCs/>
          <w:color w:val="000000" w:themeColor="text1"/>
          <w:spacing w:val="0"/>
          <w:sz w:val="32"/>
          <w:szCs w:val="32"/>
          <w:highlight w:val="none"/>
          <w:lang w:val="en-US" w:eastAsia="zh-CN"/>
          <w14:textFill>
            <w14:solidFill>
              <w14:schemeClr w14:val="tx1"/>
            </w14:solidFill>
          </w14:textFill>
        </w:rPr>
        <w:t>5.保障措施</w:t>
      </w:r>
      <w:bookmarkEnd w:id="2270"/>
      <w:bookmarkEnd w:id="2271"/>
      <w:bookmarkEnd w:id="2272"/>
      <w:bookmarkEnd w:id="2273"/>
      <w:bookmarkEnd w:id="2274"/>
      <w:bookmarkEnd w:id="2275"/>
      <w:bookmarkEnd w:id="2276"/>
      <w:bookmarkEnd w:id="2278"/>
      <w:bookmarkEnd w:id="2279"/>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80" w:name="_Toc85579318"/>
      <w:bookmarkStart w:id="2281" w:name="_Toc6396"/>
      <w:bookmarkStart w:id="2282" w:name="_Toc24052"/>
      <w:bookmarkStart w:id="2283" w:name="_Toc19318"/>
      <w:bookmarkStart w:id="2284" w:name="_Toc10126"/>
      <w:bookmarkStart w:id="2285" w:name="_Toc18635"/>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5.1通信保障</w:t>
      </w:r>
      <w:bookmarkEnd w:id="2280"/>
      <w:bookmarkEnd w:id="2281"/>
      <w:bookmarkEnd w:id="2282"/>
      <w:bookmarkEnd w:id="2283"/>
      <w:bookmarkEnd w:id="2284"/>
      <w:bookmarkEnd w:id="2285"/>
    </w:p>
    <w:bookmarkEnd w:id="2277"/>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ascii="仿宋_GB2312" w:eastAsia="仿宋_GB2312"/>
          <w:b w:val="0"/>
          <w:bCs w:val="0"/>
          <w:snapToGrid/>
          <w:color w:val="000000" w:themeColor="text1"/>
          <w:spacing w:val="0"/>
          <w:kern w:val="21"/>
          <w:sz w:val="32"/>
          <w:szCs w:val="32"/>
          <w:highlight w:val="none"/>
          <w14:textFill>
            <w14:solidFill>
              <w14:schemeClr w14:val="tx1"/>
            </w14:solidFill>
          </w14:textFill>
        </w:rPr>
      </w:pPr>
      <w:bookmarkStart w:id="2286" w:name="_Toc80473154"/>
      <w:bookmarkStart w:id="2287" w:name="_Hlk80718867"/>
      <w:bookmarkStart w:id="2288" w:name="_Hlk81237335"/>
      <w:bookmarkStart w:id="2289" w:name="_Hlk81232568"/>
      <w:bookmarkStart w:id="2290" w:name="_Toc447188649"/>
      <w:bookmarkStart w:id="2291" w:name="_Toc447186495"/>
      <w:r>
        <w:rPr>
          <w:rFonts w:hint="eastAsia" w:ascii="仿宋_GB2312" w:eastAsia="仿宋_GB2312"/>
          <w:b w:val="0"/>
          <w:bCs w:val="0"/>
          <w:snapToGrid/>
          <w:color w:val="000000" w:themeColor="text1"/>
          <w:spacing w:val="0"/>
          <w:kern w:val="21"/>
          <w:sz w:val="32"/>
          <w:szCs w:val="32"/>
          <w:highlight w:val="none"/>
          <w14:textFill>
            <w14:solidFill>
              <w14:schemeClr w14:val="tx1"/>
            </w14:solidFill>
          </w14:textFill>
        </w:rPr>
        <w:t>路网监测与应急处置中心应保障突发事件指挥调度的网络、视频、通信畅通，确保信息传递无误。</w:t>
      </w:r>
    </w:p>
    <w:bookmarkEnd w:id="2286"/>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pPr>
      <w:bookmarkStart w:id="2292" w:name="_Toc26326"/>
      <w:bookmarkStart w:id="2293" w:name="_Toc121"/>
      <w:bookmarkStart w:id="2294" w:name="_Toc24373"/>
      <w:bookmarkStart w:id="2295" w:name="_Toc16344"/>
      <w:bookmarkStart w:id="2296" w:name="_Toc80473157"/>
      <w:bookmarkStart w:id="2297" w:name="_Toc2555"/>
      <w:r>
        <w:rPr>
          <w:rFonts w:hint="eastAsia" w:ascii="楷体_GB2312" w:hAnsi="仿宋" w:eastAsia="楷体_GB2312" w:cs="Times New Roman"/>
          <w:b/>
          <w:bCs/>
          <w:snapToGrid/>
          <w:color w:val="000000" w:themeColor="text1"/>
          <w:spacing w:val="0"/>
          <w:kern w:val="21"/>
          <w:sz w:val="32"/>
          <w:highlight w:val="none"/>
          <w:lang w:val="en-US" w:eastAsia="zh-CN"/>
          <w14:textFill>
            <w14:solidFill>
              <w14:schemeClr w14:val="tx1"/>
            </w14:solidFill>
          </w14:textFill>
        </w:rPr>
        <w:t>5.2交通运力保障</w:t>
      </w:r>
      <w:bookmarkEnd w:id="2292"/>
      <w:bookmarkEnd w:id="2293"/>
      <w:bookmarkEnd w:id="2294"/>
      <w:bookmarkEnd w:id="2295"/>
      <w:bookmarkEnd w:id="2296"/>
      <w:bookmarkEnd w:id="2297"/>
    </w:p>
    <w:bookmarkEnd w:id="2287"/>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b w:val="0"/>
          <w:bCs w:val="0"/>
          <w:snapToGrid/>
          <w:color w:val="000000" w:themeColor="text1"/>
          <w:spacing w:val="0"/>
          <w:kern w:val="21"/>
          <w:sz w:val="32"/>
          <w:szCs w:val="32"/>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spacing w:val="0"/>
          <w:kern w:val="21"/>
          <w:sz w:val="32"/>
          <w:szCs w:val="32"/>
          <w:highlight w:val="none"/>
          <w:lang w:val="en-US" w:eastAsia="zh-CN"/>
          <w14:textFill>
            <w14:solidFill>
              <w14:schemeClr w14:val="tx1"/>
            </w14:solidFill>
          </w14:textFill>
        </w:rPr>
        <w:t>宁夏天豹交运集团有限公司、宁夏石运汽车运输有限公司、宁夏天豹固原汽车运输有限责任公司等</w:t>
      </w:r>
      <w:r>
        <w:rPr>
          <w:rFonts w:hint="eastAsia" w:ascii="仿宋_GB2312" w:eastAsia="仿宋_GB2312"/>
          <w:b w:val="0"/>
          <w:bCs w:val="0"/>
          <w:snapToGrid/>
          <w:color w:val="000000" w:themeColor="text1"/>
          <w:spacing w:val="0"/>
          <w:kern w:val="21"/>
          <w:sz w:val="32"/>
          <w:szCs w:val="32"/>
          <w:highlight w:val="none"/>
          <w:lang w:eastAsia="zh-CN"/>
          <w14:textFill>
            <w14:solidFill>
              <w14:schemeClr w14:val="tx1"/>
            </w14:solidFill>
          </w14:textFill>
        </w:rPr>
        <w:t>指定为交通运输厅应急运输保障单位。</w:t>
      </w:r>
      <w:r>
        <w:rPr>
          <w:rFonts w:hint="eastAsia" w:ascii="仿宋_GB2312" w:eastAsia="仿宋_GB2312"/>
          <w:b w:val="0"/>
          <w:bCs w:val="0"/>
          <w:snapToGrid/>
          <w:color w:val="000000" w:themeColor="text1"/>
          <w:spacing w:val="0"/>
          <w:kern w:val="21"/>
          <w:sz w:val="32"/>
          <w:szCs w:val="32"/>
          <w:highlight w:val="none"/>
          <w:lang w:val="en-US" w:eastAsia="zh-CN"/>
          <w14:textFill>
            <w14:solidFill>
              <w14:schemeClr w14:val="tx1"/>
            </w14:solidFill>
          </w14:textFill>
        </w:rPr>
        <w:t>各级</w:t>
      </w:r>
      <w:r>
        <w:rPr>
          <w:rFonts w:hint="eastAsia" w:ascii="仿宋_GB2312" w:eastAsia="仿宋_GB2312"/>
          <w:b w:val="0"/>
          <w:bCs w:val="0"/>
          <w:snapToGrid/>
          <w:color w:val="000000" w:themeColor="text1"/>
          <w:spacing w:val="0"/>
          <w:kern w:val="21"/>
          <w:sz w:val="32"/>
          <w:szCs w:val="32"/>
          <w:highlight w:val="none"/>
          <w:lang w:eastAsia="zh-CN"/>
          <w14:textFill>
            <w14:solidFill>
              <w14:schemeClr w14:val="tx1"/>
            </w14:solidFill>
          </w14:textFill>
        </w:rPr>
        <w:t>交通运输部门要优先安排紧急卫生应急物资和救援队伍的运送。</w:t>
      </w:r>
    </w:p>
    <w:p>
      <w:pPr>
        <w:pStyle w:val="6"/>
        <w:keepNext w:val="0"/>
        <w:keepLines w:val="0"/>
        <w:pageBreakBefore w:val="0"/>
        <w:widowControl w:val="0"/>
        <w:kinsoku/>
        <w:wordWrap/>
        <w:overflowPunct/>
        <w:topLinePunct/>
        <w:autoSpaceDE/>
        <w:autoSpaceDN/>
        <w:bidi w:val="0"/>
        <w:adjustRightInd/>
        <w:snapToGrid/>
        <w:spacing w:before="0" w:after="0" w:line="600" w:lineRule="exact"/>
        <w:ind w:left="0" w:leftChars="0" w:firstLine="642" w:firstLineChars="200"/>
        <w:textAlignment w:val="auto"/>
        <w:outlineLvl w:val="2"/>
        <w:rPr>
          <w:rFonts w:hint="eastAsia" w:ascii="楷体_GB2312" w:hAnsi="仿宋" w:eastAsia="楷体_GB2312" w:cs="Times New Roman"/>
          <w:b/>
          <w:bCs/>
          <w:color w:val="000000" w:themeColor="text1"/>
          <w:spacing w:val="0"/>
          <w:highlight w:val="none"/>
          <w14:textFill>
            <w14:solidFill>
              <w14:schemeClr w14:val="tx1"/>
            </w14:solidFill>
          </w14:textFill>
        </w:rPr>
      </w:pPr>
      <w:r>
        <w:rPr>
          <w:rFonts w:hint="eastAsia" w:ascii="楷体_GB2312" w:hAnsi="仿宋" w:eastAsia="楷体_GB2312" w:cs="Times New Roman"/>
          <w:b/>
          <w:bCs/>
          <w:color w:val="000000" w:themeColor="text1"/>
          <w:spacing w:val="0"/>
          <w:highlight w:val="none"/>
          <w14:textFill>
            <w14:solidFill>
              <w14:schemeClr w14:val="tx1"/>
            </w14:solidFill>
          </w14:textFill>
        </w:rPr>
        <w:t>5.</w:t>
      </w:r>
      <w:r>
        <w:rPr>
          <w:rFonts w:hint="eastAsia" w:ascii="楷体_GB2312" w:hAnsi="仿宋" w:eastAsia="楷体_GB2312" w:cs="Times New Roman"/>
          <w:b/>
          <w:bCs/>
          <w:color w:val="000000" w:themeColor="text1"/>
          <w:spacing w:val="0"/>
          <w:highlight w:val="none"/>
          <w:lang w:val="en-US" w:eastAsia="zh-CN"/>
          <w14:textFill>
            <w14:solidFill>
              <w14:schemeClr w14:val="tx1"/>
            </w14:solidFill>
          </w14:textFill>
        </w:rPr>
        <w:t>3</w:t>
      </w:r>
      <w:r>
        <w:rPr>
          <w:rFonts w:hint="eastAsia" w:ascii="楷体_GB2312" w:hAnsi="仿宋" w:eastAsia="楷体_GB2312" w:cs="Times New Roman"/>
          <w:b/>
          <w:bCs/>
          <w:color w:val="000000" w:themeColor="text1"/>
          <w:spacing w:val="0"/>
          <w:highlight w:val="none"/>
          <w14:textFill>
            <w14:solidFill>
              <w14:schemeClr w14:val="tx1"/>
            </w14:solidFill>
          </w14:textFill>
        </w:rPr>
        <w:t>应急演练</w:t>
      </w:r>
    </w:p>
    <w:p>
      <w:pPr>
        <w:keepNext w:val="0"/>
        <w:keepLines w:val="0"/>
        <w:pageBreakBefore w:val="0"/>
        <w:widowControl w:val="0"/>
        <w:kinsoku/>
        <w:wordWrap/>
        <w:overflowPunct/>
        <w:topLinePunct/>
        <w:autoSpaceDE/>
        <w:autoSpaceDN/>
        <w:bidi w:val="0"/>
        <w:adjustRightInd/>
        <w:snapToGrid w:val="0"/>
        <w:spacing w:line="600" w:lineRule="exact"/>
        <w:ind w:left="0" w:leftChars="0" w:firstLine="640" w:firstLineChars="200"/>
        <w:textAlignment w:val="auto"/>
        <w:rPr>
          <w:rFonts w:hint="eastAsia" w:ascii="仿宋_GB2312" w:eastAsia="仿宋_GB2312"/>
          <w:b w:val="0"/>
          <w:bCs w:val="0"/>
          <w:snapToGrid/>
          <w:color w:val="000000" w:themeColor="text1"/>
          <w:spacing w:val="0"/>
          <w:kern w:val="21"/>
          <w:sz w:val="32"/>
          <w:szCs w:val="32"/>
          <w:highlight w:val="none"/>
          <w:lang w:eastAsia="zh-CN"/>
          <w14:textFill>
            <w14:solidFill>
              <w14:schemeClr w14:val="tx1"/>
            </w14:solidFill>
          </w14:textFill>
        </w:rPr>
      </w:pPr>
      <w:r>
        <w:rPr>
          <w:rFonts w:hint="eastAsia" w:ascii="仿宋_GB2312" w:hAnsi="宋体" w:eastAsia="仿宋_GB2312"/>
          <w:color w:val="000000" w:themeColor="text1"/>
          <w:spacing w:val="0"/>
          <w:sz w:val="32"/>
          <w:szCs w:val="32"/>
          <w:highlight w:val="none"/>
          <w14:textFill>
            <w14:solidFill>
              <w14:schemeClr w14:val="tx1"/>
            </w14:solidFill>
          </w14:textFill>
        </w:rPr>
        <w:t>厅</w:t>
      </w:r>
      <w:r>
        <w:rPr>
          <w:rFonts w:hint="eastAsia" w:ascii="仿宋_GB2312" w:hAnsi="宋体" w:eastAsia="仿宋_GB2312"/>
          <w:color w:val="000000" w:themeColor="text1"/>
          <w:spacing w:val="0"/>
          <w:sz w:val="32"/>
          <w:szCs w:val="32"/>
          <w:highlight w:val="none"/>
          <w:lang w:val="en-US" w:eastAsia="zh-CN"/>
          <w14:textFill>
            <w14:solidFill>
              <w14:schemeClr w14:val="tx1"/>
            </w14:solidFill>
          </w14:textFill>
        </w:rPr>
        <w:t>办公室</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每</w:t>
      </w:r>
      <w:r>
        <w:rPr>
          <w:rFonts w:ascii="Times New Roman" w:hAnsi="Times New Roman" w:eastAsia="微软雅黑" w:cs="Times New Roman"/>
          <w:color w:val="000000" w:themeColor="text1"/>
          <w:kern w:val="0"/>
          <w:sz w:val="32"/>
          <w:szCs w:val="32"/>
          <w:highlight w:val="none"/>
          <w14:textFill>
            <w14:solidFill>
              <w14:schemeClr w14:val="tx1"/>
            </w14:solidFill>
          </w14:textFill>
        </w:rPr>
        <w:t>2</w:t>
      </w:r>
      <w:r>
        <w:rPr>
          <w:rFonts w:hint="eastAsia" w:ascii="仿宋_GB2312" w:hAnsi="Times New Roman" w:eastAsia="仿宋_GB2312" w:cs="Times New Roman"/>
          <w:color w:val="000000" w:themeColor="text1"/>
          <w:kern w:val="0"/>
          <w:sz w:val="32"/>
          <w:szCs w:val="32"/>
          <w:highlight w:val="none"/>
          <w14:textFill>
            <w14:solidFill>
              <w14:schemeClr w14:val="tx1"/>
            </w14:solidFill>
          </w14:textFill>
        </w:rPr>
        <w:t>年至少进行一次应急演练</w:t>
      </w:r>
      <w:r>
        <w:rPr>
          <w:rFonts w:hint="eastAsia" w:ascii="仿宋_GB2312" w:hAnsi="宋体" w:eastAsia="仿宋_GB2312"/>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line="600" w:lineRule="exact"/>
        <w:ind w:left="0" w:leftChars="0" w:firstLine="640" w:firstLineChars="200"/>
        <w:textAlignment w:val="auto"/>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pPr>
      <w:r>
        <w:rPr>
          <w:rFonts w:hint="eastAsia" w:ascii="仿宋_GB2312" w:eastAsia="仿宋_GB2312"/>
          <w:b w:val="0"/>
          <w:bCs w:val="0"/>
          <w:color w:val="000000" w:themeColor="text1"/>
          <w:spacing w:val="0"/>
          <w:sz w:val="32"/>
          <w:szCs w:val="32"/>
          <w:highlight w:val="none"/>
          <w:lang w:eastAsia="zh-CN"/>
          <w14:textFill>
            <w14:solidFill>
              <w14:schemeClr w14:val="tx1"/>
            </w14:solidFill>
          </w14:textFill>
        </w:rPr>
        <w:br w:type="page"/>
      </w:r>
    </w:p>
    <w:p>
      <w:pPr>
        <w:keepNext w:val="0"/>
        <w:keepLines w:val="0"/>
        <w:pageBreakBefore w:val="0"/>
        <w:widowControl w:val="0"/>
        <w:kinsoku/>
        <w:wordWrap/>
        <w:overflowPunct/>
        <w:topLinePunct/>
        <w:autoSpaceDE/>
        <w:autoSpaceDN/>
        <w:bidi w:val="0"/>
        <w:adjustRightInd/>
        <w:snapToGrid/>
        <w:spacing w:after="313" w:afterLines="100" w:line="600" w:lineRule="exact"/>
        <w:ind w:left="0" w:leftChars="0"/>
        <w:jc w:val="center"/>
        <w:textAlignment w:val="auto"/>
        <w:outlineLvl w:val="9"/>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r>
        <w:rPr>
          <w:rFonts w:hint="eastAsia" w:ascii="微软雅黑" w:hAnsi="Times New Roman" w:eastAsia="微软雅黑" w:cs="Times New Roman"/>
          <w:b w:val="0"/>
          <w:bCs/>
          <w:color w:val="000000" w:themeColor="text1"/>
          <w:spacing w:val="0"/>
          <w:sz w:val="44"/>
          <w:szCs w:val="44"/>
          <w:highlight w:val="none"/>
          <w:lang w:eastAsia="zh-CN"/>
          <w14:textFill>
            <w14:solidFill>
              <w14:schemeClr w14:val="tx1"/>
            </w14:solidFill>
          </w14:textFill>
        </w:rPr>
        <w:t>公共卫生</w:t>
      </w:r>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t>突发事件应急处置流程图</w:t>
      </w:r>
    </w:p>
    <w:bookmarkEnd w:id="2288"/>
    <w:bookmarkEnd w:id="2289"/>
    <w:bookmarkEnd w:id="2290"/>
    <w:bookmarkEnd w:id="2291"/>
    <w:p>
      <w:pPr>
        <w:keepNext w:val="0"/>
        <w:keepLines w:val="0"/>
        <w:pageBreakBefore w:val="0"/>
        <w:widowControl w:val="0"/>
        <w:kinsoku/>
        <w:wordWrap/>
        <w:overflowPunct/>
        <w:topLinePunct/>
        <w:autoSpaceDE/>
        <w:autoSpaceDN/>
        <w:bidi w:val="0"/>
        <w:adjustRightInd/>
        <w:snapToGrid/>
        <w:spacing w:line="240" w:lineRule="auto"/>
        <w:ind w:left="0" w:leftChars="0"/>
        <w:jc w:val="center"/>
        <w:textAlignment w:val="auto"/>
        <w:outlineLvl w:val="9"/>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pPr>
      <w:r>
        <w:rPr>
          <w:rFonts w:hint="eastAsia" w:ascii="微软雅黑" w:hAnsi="Times New Roman" w:eastAsia="微软雅黑" w:cs="Times New Roman"/>
          <w:b w:val="0"/>
          <w:bCs/>
          <w:color w:val="000000" w:themeColor="text1"/>
          <w:spacing w:val="0"/>
          <w:sz w:val="44"/>
          <w:szCs w:val="44"/>
          <w:highlight w:val="none"/>
          <w:lang w:val="en-US" w:eastAsia="zh-CN"/>
          <w14:textFill>
            <w14:solidFill>
              <w14:schemeClr w14:val="tx1"/>
            </w14:solidFill>
          </w14:textFill>
        </w:rPr>
        <w:drawing>
          <wp:inline distT="0" distB="0" distL="114300" distR="114300">
            <wp:extent cx="5267325" cy="7455535"/>
            <wp:effectExtent l="0" t="0" r="3175" b="12065"/>
            <wp:docPr id="38" name="图片 38" descr="公共卫生流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公共卫生流程4"/>
                    <pic:cNvPicPr>
                      <a:picLocks noChangeAspect="1"/>
                    </pic:cNvPicPr>
                  </pic:nvPicPr>
                  <pic:blipFill>
                    <a:blip r:embed="rId24"/>
                    <a:stretch>
                      <a:fillRect/>
                    </a:stretch>
                  </pic:blipFill>
                  <pic:spPr>
                    <a:xfrm>
                      <a:off x="0" y="0"/>
                      <a:ext cx="5267325" cy="7455535"/>
                    </a:xfrm>
                    <a:prstGeom prst="rect">
                      <a:avLst/>
                    </a:prstGeom>
                  </pic:spPr>
                </pic:pic>
              </a:graphicData>
            </a:graphic>
          </wp:inline>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times new rome">
    <w:altName w:val="Times New Roman"/>
    <w:panose1 w:val="00000000000000000000"/>
    <w:charset w:val="00"/>
    <w:family w:val="roman"/>
    <w:pitch w:val="default"/>
    <w:sig w:usb0="00000000" w:usb1="00000000" w:usb2="00000000" w:usb3="00000000" w:csb0="00040001" w:csb1="00000000"/>
  </w:font>
  <w:font w:name="ˎ̥">
    <w:altName w:val="华文中宋"/>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楷体">
    <w:altName w:val="方正楷体_GBK"/>
    <w:panose1 w:val="02010609060101010101"/>
    <w:charset w:val="86"/>
    <w:family w:val="auto"/>
    <w:pitch w:val="default"/>
    <w:sig w:usb0="00000000" w:usb1="00000000" w:usb2="00000016" w:usb3="00000000" w:csb0="00040001"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asciiTheme="minorEastAsia" w:hAnsiTheme="minorEastAsia" w:eastAsiaTheme="minorEastAsia" w:cs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rPr>
                              <w:rFonts w:hint="eastAsia" w:asciiTheme="minorEastAsia" w:hAnsiTheme="minorEastAsia" w:eastAsiaTheme="minorEastAsia" w:cstheme="minorEastAsia"/>
                            </w:rPr>
                            <w:id w:val="147473036"/>
                          </w:sdtPr>
                          <w:sdtEndPr>
                            <w:rPr>
                              <w:rFonts w:hint="eastAsia" w:asciiTheme="minorEastAsia" w:hAnsiTheme="minorEastAsia" w:eastAsiaTheme="minorEastAsia" w:cstheme="minorEastAsia"/>
                            </w:rPr>
                          </w:sdtEndPr>
                          <w:sdtContent>
                            <w:p>
                              <w:pPr>
                                <w:pStyle w:val="16"/>
                                <w:jc w:val="center"/>
                                <w:rPr>
                                  <w:rFonts w:hint="eastAsia" w:asciiTheme="minorEastAsia" w:hAnsiTheme="minorEastAsia" w:eastAsiaTheme="minorEastAsia" w:cstheme="minorEastAsia"/>
                                </w:rPr>
                              </w:pPr>
                              <w:r>
                                <w:rPr>
                                  <w:rFonts w:hint="eastAsia" w:asciiTheme="majorEastAsia" w:hAnsiTheme="majorEastAsia" w:eastAsiaTheme="majorEastAsia" w:cstheme="majorEastAsia"/>
                                  <w:sz w:val="28"/>
                                  <w:szCs w:val="28"/>
                                  <w:lang w:val="zh-CN"/>
                                </w:rPr>
                                <w:fldChar w:fldCharType="begin"/>
                              </w:r>
                              <w:r>
                                <w:rPr>
                                  <w:rFonts w:hint="eastAsia" w:asciiTheme="majorEastAsia" w:hAnsiTheme="majorEastAsia" w:eastAsiaTheme="majorEastAsia" w:cstheme="majorEastAsia"/>
                                  <w:sz w:val="28"/>
                                  <w:szCs w:val="28"/>
                                  <w:lang w:val="zh-CN"/>
                                </w:rPr>
                                <w:instrText xml:space="preserve"> PAGE   \* MERGEFORMAT </w:instrText>
                              </w:r>
                              <w:r>
                                <w:rPr>
                                  <w:rFonts w:hint="eastAsia" w:asciiTheme="majorEastAsia" w:hAnsiTheme="majorEastAsia" w:eastAsiaTheme="majorEastAsia" w:cstheme="majorEastAsia"/>
                                  <w:sz w:val="28"/>
                                  <w:szCs w:val="28"/>
                                  <w:lang w:val="zh-CN"/>
                                </w:rPr>
                                <w:fldChar w:fldCharType="separate"/>
                              </w:r>
                              <w:r>
                                <w:rPr>
                                  <w:rFonts w:hint="eastAsia" w:asciiTheme="majorEastAsia" w:hAnsiTheme="majorEastAsia" w:eastAsiaTheme="majorEastAsia" w:cstheme="majorEastAsia"/>
                                  <w:sz w:val="28"/>
                                  <w:szCs w:val="28"/>
                                  <w:lang w:val="zh-CN"/>
                                </w:rPr>
                                <w:t>1</w:t>
                              </w:r>
                              <w:r>
                                <w:rPr>
                                  <w:rFonts w:hint="eastAsia" w:asciiTheme="majorEastAsia" w:hAnsiTheme="majorEastAsia" w:eastAsiaTheme="majorEastAsia" w:cstheme="majorEastAsia"/>
                                  <w:sz w:val="28"/>
                                  <w:szCs w:val="28"/>
                                  <w:lang w:val="zh-CN"/>
                                </w:rPr>
                                <w:fldChar w:fldCharType="end"/>
                              </w:r>
                            </w:p>
                          </w:sdtContent>
                        </w:sdt>
                        <w:p>
                          <w:pPr>
                            <w:rPr>
                              <w:rFonts w:hint="eastAsia" w:asciiTheme="minorEastAsia" w:hAnsiTheme="minorEastAsia" w:eastAsiaTheme="minorEastAsia" w:cstheme="minorEastAsia"/>
                            </w:rPr>
                          </w:pP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U4oo+cwBAACdAwAADgAA&#10;AAAAAAABACAAAAA0AQAAZHJzL2Uyb0RvYy54bWxQSwUGAAAAAAYABgBZAQAAcgUAAAAA&#10;">
              <v:fill on="f" focussize="0,0"/>
              <v:stroke on="f"/>
              <v:imagedata o:title=""/>
              <o:lock v:ext="edit" aspectratio="f"/>
              <v:textbox inset="0mm,0mm,0mm,0mm" style="mso-fit-shape-to-text:t;">
                <w:txbxContent>
                  <w:sdt>
                    <w:sdtPr>
                      <w:rPr>
                        <w:rFonts w:hint="eastAsia" w:asciiTheme="minorEastAsia" w:hAnsiTheme="minorEastAsia" w:eastAsiaTheme="minorEastAsia" w:cstheme="minorEastAsia"/>
                      </w:rPr>
                      <w:id w:val="147473036"/>
                    </w:sdtPr>
                    <w:sdtEndPr>
                      <w:rPr>
                        <w:rFonts w:hint="eastAsia" w:asciiTheme="minorEastAsia" w:hAnsiTheme="minorEastAsia" w:eastAsiaTheme="minorEastAsia" w:cstheme="minorEastAsia"/>
                      </w:rPr>
                    </w:sdtEndPr>
                    <w:sdtContent>
                      <w:p>
                        <w:pPr>
                          <w:pStyle w:val="16"/>
                          <w:jc w:val="center"/>
                          <w:rPr>
                            <w:rFonts w:hint="eastAsia" w:asciiTheme="minorEastAsia" w:hAnsiTheme="minorEastAsia" w:eastAsiaTheme="minorEastAsia" w:cstheme="minorEastAsia"/>
                          </w:rPr>
                        </w:pPr>
                        <w:r>
                          <w:rPr>
                            <w:rFonts w:hint="eastAsia" w:asciiTheme="majorEastAsia" w:hAnsiTheme="majorEastAsia" w:eastAsiaTheme="majorEastAsia" w:cstheme="majorEastAsia"/>
                            <w:sz w:val="28"/>
                            <w:szCs w:val="28"/>
                            <w:lang w:val="zh-CN"/>
                          </w:rPr>
                          <w:fldChar w:fldCharType="begin"/>
                        </w:r>
                        <w:r>
                          <w:rPr>
                            <w:rFonts w:hint="eastAsia" w:asciiTheme="majorEastAsia" w:hAnsiTheme="majorEastAsia" w:eastAsiaTheme="majorEastAsia" w:cstheme="majorEastAsia"/>
                            <w:sz w:val="28"/>
                            <w:szCs w:val="28"/>
                            <w:lang w:val="zh-CN"/>
                          </w:rPr>
                          <w:instrText xml:space="preserve"> PAGE   \* MERGEFORMAT </w:instrText>
                        </w:r>
                        <w:r>
                          <w:rPr>
                            <w:rFonts w:hint="eastAsia" w:asciiTheme="majorEastAsia" w:hAnsiTheme="majorEastAsia" w:eastAsiaTheme="majorEastAsia" w:cstheme="majorEastAsia"/>
                            <w:sz w:val="28"/>
                            <w:szCs w:val="28"/>
                            <w:lang w:val="zh-CN"/>
                          </w:rPr>
                          <w:fldChar w:fldCharType="separate"/>
                        </w:r>
                        <w:r>
                          <w:rPr>
                            <w:rFonts w:hint="eastAsia" w:asciiTheme="majorEastAsia" w:hAnsiTheme="majorEastAsia" w:eastAsiaTheme="majorEastAsia" w:cstheme="majorEastAsia"/>
                            <w:sz w:val="28"/>
                            <w:szCs w:val="28"/>
                            <w:lang w:val="zh-CN"/>
                          </w:rPr>
                          <w:t>1</w:t>
                        </w:r>
                        <w:r>
                          <w:rPr>
                            <w:rFonts w:hint="eastAsia" w:asciiTheme="majorEastAsia" w:hAnsiTheme="majorEastAsia" w:eastAsiaTheme="majorEastAsia" w:cstheme="majorEastAsia"/>
                            <w:sz w:val="28"/>
                            <w:szCs w:val="28"/>
                            <w:lang w:val="zh-CN"/>
                          </w:rPr>
                          <w:fldChar w:fldCharType="end"/>
                        </w:r>
                      </w:p>
                    </w:sdtContent>
                  </w:sdt>
                  <w:p>
                    <w:pPr>
                      <w:rPr>
                        <w:rFonts w:hint="eastAsia" w:asciiTheme="minorEastAsia" w:hAnsiTheme="minorEastAsia" w:eastAsiaTheme="minorEastAsia" w:cstheme="minor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Bdr>
                              <w:between w:val="none" w:color="auto" w:sz="0" w:space="0"/>
                            </w:pBd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Style w:val="27"/>
                              <w:rFonts w:hint="eastAsia" w:asciiTheme="minorEastAsia" w:hAnsiTheme="minorEastAsia" w:eastAsiaTheme="minorEastAsia" w:cstheme="minorEastAsia"/>
                              <w:sz w:val="28"/>
                              <w:szCs w:val="28"/>
                            </w:rPr>
                            <w:instrText xml:space="preserve"> PAGE  </w:instrText>
                          </w:r>
                          <w:r>
                            <w:rPr>
                              <w:rFonts w:hint="eastAsia" w:asciiTheme="minorEastAsia" w:hAnsiTheme="minorEastAsia" w:eastAsiaTheme="minorEastAsia" w:cstheme="minorEastAsia"/>
                              <w:sz w:val="28"/>
                              <w:szCs w:val="28"/>
                            </w:rPr>
                            <w:fldChar w:fldCharType="separate"/>
                          </w:r>
                          <w:r>
                            <w:rPr>
                              <w:rStyle w:val="27"/>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BKlyLzywEAAJwDAAAOAAAA&#10;AAAAAAEAIAAAADQBAABkcnMvZTJvRG9jLnhtbFBLBQYAAAAABgAGAFkBAABxBQAAAAA=&#10;">
              <v:fill on="f" focussize="0,0"/>
              <v:stroke on="f"/>
              <v:imagedata o:title=""/>
              <o:lock v:ext="edit" aspectratio="f"/>
              <v:textbox inset="0mm,0mm,0mm,0mm" style="mso-fit-shape-to-text:t;">
                <w:txbxContent>
                  <w:p>
                    <w:pPr>
                      <w:pBdr>
                        <w:between w:val="none" w:color="auto" w:sz="0" w:space="0"/>
                      </w:pBd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Style w:val="27"/>
                        <w:rFonts w:hint="eastAsia" w:asciiTheme="minorEastAsia" w:hAnsiTheme="minorEastAsia" w:eastAsiaTheme="minorEastAsia" w:cstheme="minorEastAsia"/>
                        <w:sz w:val="28"/>
                        <w:szCs w:val="28"/>
                      </w:rPr>
                      <w:instrText xml:space="preserve"> PAGE  </w:instrText>
                    </w:r>
                    <w:r>
                      <w:rPr>
                        <w:rFonts w:hint="eastAsia" w:asciiTheme="minorEastAsia" w:hAnsiTheme="minorEastAsia" w:eastAsiaTheme="minorEastAsia" w:cstheme="minorEastAsia"/>
                        <w:sz w:val="28"/>
                        <w:szCs w:val="28"/>
                      </w:rPr>
                      <w:fldChar w:fldCharType="separate"/>
                    </w:r>
                    <w:r>
                      <w:rPr>
                        <w:rStyle w:val="27"/>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WLh2QyAgAAYQQAAA4AAAAAAAAAAQAgAAAA&#10;NQEAAGRycy9lMm9Eb2MueG1sUEsFBgAAAAAGAAYAWQEAANkFAAAAAA==&#10;">
              <v:fill on="f" focussize="0,0"/>
              <v:stroke on="f" weight="0.5pt"/>
              <v:imagedata o:title=""/>
              <o:lock v:ext="edit" aspectratio="f"/>
              <v:textbox inset="0mm,0mm,0mm,0mm" style="mso-fit-shape-to-text:t;">
                <w:txbxContent>
                  <w:p>
                    <w:pPr>
                      <w:pStyle w:val="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zSVju0AAAAAUB&#10;AAAPAAAAAAAAAAEAIAAAADgAAABkcnMvZG93bnJldi54bWxQSwECFAAUAAAACACHTuJAGNDWf9QB&#10;AAClAwAADgAAAAAAAAABACAAAAA1AQAAZHJzL2Uyb0RvYy54bWxQSwUGAAAAAAYABgBZAQAAewUA&#10;AAAA&#10;">
              <v:fill on="f" focussize="0,0"/>
              <v:stroke on="f" weight="0.5pt"/>
              <v:imagedata o:title=""/>
              <o:lock v:ext="edit" aspectratio="f"/>
              <v:textbox inset="0mm,0mm,0mm,0mm" style="mso-fit-shape-to-text:t;">
                <w:txbxContent>
                  <w:p>
                    <w:pPr>
                      <w:pStyle w:val="1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sdt>
      <w:sdtPr>
        <w:id w:val="-1"/>
      </w:sdtPr>
      <w:sdtContent>
        <w:sdt>
          <w:sdtPr>
            <w:id w:val="1728636285"/>
          </w:sdtPr>
          <w:sdtContent/>
        </w:sdt>
      </w:sdtContent>
    </w:sdt>
  </w:p>
  <w:p>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HLJwTPKAQAAnAMAAA4AAAAA&#10;AAAAAQAgAAAANAEAAGRycy9lMm9Eb2MueG1sUEsFBgAAAAAGAAYAWQEAAHAFAAAAAA==&#10;">
              <v:fill on="f" focussize="0,0"/>
              <v:stroke on="f"/>
              <v:imagedata o:title=""/>
              <o:lock v:ext="edit" aspectratio="f"/>
              <v:textbox inset="0mm,0mm,0mm,0mm" style="mso-fit-shape-to-text:t;">
                <w:txbxContent>
                  <w:p>
                    <w:pPr>
                      <w:pStyle w:val="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89283"/>
    <w:multiLevelType w:val="singleLevel"/>
    <w:tmpl w:val="9EB89283"/>
    <w:lvl w:ilvl="0" w:tentative="0">
      <w:start w:val="1"/>
      <w:numFmt w:val="bullet"/>
      <w:lvlText w:val=""/>
      <w:lvlJc w:val="left"/>
      <w:pPr>
        <w:ind w:left="420" w:hanging="420"/>
      </w:pPr>
      <w:rPr>
        <w:rFonts w:hint="default" w:ascii="Wingdings" w:hAnsi="Wingdings"/>
      </w:rPr>
    </w:lvl>
  </w:abstractNum>
  <w:abstractNum w:abstractNumId="1">
    <w:nsid w:val="0DA517B7"/>
    <w:multiLevelType w:val="multilevel"/>
    <w:tmpl w:val="0DA517B7"/>
    <w:lvl w:ilvl="0" w:tentative="0">
      <w:start w:val="1"/>
      <w:numFmt w:val="bullet"/>
      <w:lvlText w:val=""/>
      <w:lvlJc w:val="left"/>
      <w:pPr>
        <w:ind w:left="363" w:hanging="420"/>
      </w:pPr>
      <w:rPr>
        <w:rFonts w:hint="default" w:ascii="Wingdings" w:hAnsi="Wingdings"/>
      </w:rPr>
    </w:lvl>
    <w:lvl w:ilvl="1" w:tentative="0">
      <w:start w:val="1"/>
      <w:numFmt w:val="bullet"/>
      <w:lvlText w:val=""/>
      <w:lvlJc w:val="left"/>
      <w:pPr>
        <w:ind w:left="783" w:hanging="420"/>
      </w:pPr>
      <w:rPr>
        <w:rFonts w:hint="default" w:ascii="Wingdings" w:hAnsi="Wingdings"/>
      </w:rPr>
    </w:lvl>
    <w:lvl w:ilvl="2" w:tentative="0">
      <w:start w:val="1"/>
      <w:numFmt w:val="bullet"/>
      <w:lvlText w:val=""/>
      <w:lvlJc w:val="left"/>
      <w:pPr>
        <w:ind w:left="1203" w:hanging="420"/>
      </w:pPr>
      <w:rPr>
        <w:rFonts w:hint="default" w:ascii="Wingdings" w:hAnsi="Wingdings"/>
      </w:rPr>
    </w:lvl>
    <w:lvl w:ilvl="3" w:tentative="0">
      <w:start w:val="1"/>
      <w:numFmt w:val="bullet"/>
      <w:lvlText w:val=""/>
      <w:lvlJc w:val="left"/>
      <w:pPr>
        <w:ind w:left="1623" w:hanging="420"/>
      </w:pPr>
      <w:rPr>
        <w:rFonts w:hint="default" w:ascii="Wingdings" w:hAnsi="Wingdings"/>
      </w:rPr>
    </w:lvl>
    <w:lvl w:ilvl="4" w:tentative="0">
      <w:start w:val="1"/>
      <w:numFmt w:val="bullet"/>
      <w:lvlText w:val=""/>
      <w:lvlJc w:val="left"/>
      <w:pPr>
        <w:ind w:left="2043" w:hanging="420"/>
      </w:pPr>
      <w:rPr>
        <w:rFonts w:hint="default" w:ascii="Wingdings" w:hAnsi="Wingdings"/>
      </w:rPr>
    </w:lvl>
    <w:lvl w:ilvl="5" w:tentative="0">
      <w:start w:val="1"/>
      <w:numFmt w:val="bullet"/>
      <w:lvlText w:val=""/>
      <w:lvlJc w:val="left"/>
      <w:pPr>
        <w:ind w:left="2463" w:hanging="420"/>
      </w:pPr>
      <w:rPr>
        <w:rFonts w:hint="default" w:ascii="Wingdings" w:hAnsi="Wingdings"/>
      </w:rPr>
    </w:lvl>
    <w:lvl w:ilvl="6" w:tentative="0">
      <w:start w:val="1"/>
      <w:numFmt w:val="bullet"/>
      <w:lvlText w:val=""/>
      <w:lvlJc w:val="left"/>
      <w:pPr>
        <w:ind w:left="2883" w:hanging="420"/>
      </w:pPr>
      <w:rPr>
        <w:rFonts w:hint="default" w:ascii="Wingdings" w:hAnsi="Wingdings"/>
      </w:rPr>
    </w:lvl>
    <w:lvl w:ilvl="7" w:tentative="0">
      <w:start w:val="1"/>
      <w:numFmt w:val="bullet"/>
      <w:lvlText w:val=""/>
      <w:lvlJc w:val="left"/>
      <w:pPr>
        <w:ind w:left="3303" w:hanging="420"/>
      </w:pPr>
      <w:rPr>
        <w:rFonts w:hint="default" w:ascii="Wingdings" w:hAnsi="Wingdings"/>
      </w:rPr>
    </w:lvl>
    <w:lvl w:ilvl="8" w:tentative="0">
      <w:start w:val="1"/>
      <w:numFmt w:val="bullet"/>
      <w:lvlText w:val=""/>
      <w:lvlJc w:val="left"/>
      <w:pPr>
        <w:ind w:left="3723" w:hanging="420"/>
      </w:pPr>
      <w:rPr>
        <w:rFonts w:hint="default" w:ascii="Wingdings" w:hAnsi="Wingdings"/>
      </w:rPr>
    </w:lvl>
  </w:abstractNum>
  <w:abstractNum w:abstractNumId="2">
    <w:nsid w:val="2A9E2C1D"/>
    <w:multiLevelType w:val="multilevel"/>
    <w:tmpl w:val="2A9E2C1D"/>
    <w:lvl w:ilvl="0" w:tentative="0">
      <w:start w:val="1"/>
      <w:numFmt w:val="bullet"/>
      <w:lvlText w:val=""/>
      <w:lvlJc w:val="left"/>
      <w:pPr>
        <w:ind w:left="363" w:hanging="420"/>
      </w:pPr>
      <w:rPr>
        <w:rFonts w:hint="default" w:ascii="Wingdings" w:hAnsi="Wingdings"/>
      </w:rPr>
    </w:lvl>
    <w:lvl w:ilvl="1" w:tentative="0">
      <w:start w:val="1"/>
      <w:numFmt w:val="bullet"/>
      <w:lvlText w:val=""/>
      <w:lvlJc w:val="left"/>
      <w:pPr>
        <w:ind w:left="783" w:hanging="420"/>
      </w:pPr>
      <w:rPr>
        <w:rFonts w:hint="default" w:ascii="Wingdings" w:hAnsi="Wingdings"/>
      </w:rPr>
    </w:lvl>
    <w:lvl w:ilvl="2" w:tentative="0">
      <w:start w:val="1"/>
      <w:numFmt w:val="bullet"/>
      <w:lvlText w:val=""/>
      <w:lvlJc w:val="left"/>
      <w:pPr>
        <w:ind w:left="1203" w:hanging="420"/>
      </w:pPr>
      <w:rPr>
        <w:rFonts w:hint="default" w:ascii="Wingdings" w:hAnsi="Wingdings"/>
      </w:rPr>
    </w:lvl>
    <w:lvl w:ilvl="3" w:tentative="0">
      <w:start w:val="1"/>
      <w:numFmt w:val="bullet"/>
      <w:lvlText w:val=""/>
      <w:lvlJc w:val="left"/>
      <w:pPr>
        <w:ind w:left="1623" w:hanging="420"/>
      </w:pPr>
      <w:rPr>
        <w:rFonts w:hint="default" w:ascii="Wingdings" w:hAnsi="Wingdings"/>
      </w:rPr>
    </w:lvl>
    <w:lvl w:ilvl="4" w:tentative="0">
      <w:start w:val="1"/>
      <w:numFmt w:val="bullet"/>
      <w:lvlText w:val=""/>
      <w:lvlJc w:val="left"/>
      <w:pPr>
        <w:ind w:left="2043" w:hanging="420"/>
      </w:pPr>
      <w:rPr>
        <w:rFonts w:hint="default" w:ascii="Wingdings" w:hAnsi="Wingdings"/>
      </w:rPr>
    </w:lvl>
    <w:lvl w:ilvl="5" w:tentative="0">
      <w:start w:val="1"/>
      <w:numFmt w:val="bullet"/>
      <w:lvlText w:val=""/>
      <w:lvlJc w:val="left"/>
      <w:pPr>
        <w:ind w:left="2463" w:hanging="420"/>
      </w:pPr>
      <w:rPr>
        <w:rFonts w:hint="default" w:ascii="Wingdings" w:hAnsi="Wingdings"/>
      </w:rPr>
    </w:lvl>
    <w:lvl w:ilvl="6" w:tentative="0">
      <w:start w:val="1"/>
      <w:numFmt w:val="bullet"/>
      <w:lvlText w:val=""/>
      <w:lvlJc w:val="left"/>
      <w:pPr>
        <w:ind w:left="2883" w:hanging="420"/>
      </w:pPr>
      <w:rPr>
        <w:rFonts w:hint="default" w:ascii="Wingdings" w:hAnsi="Wingdings"/>
      </w:rPr>
    </w:lvl>
    <w:lvl w:ilvl="7" w:tentative="0">
      <w:start w:val="1"/>
      <w:numFmt w:val="bullet"/>
      <w:lvlText w:val=""/>
      <w:lvlJc w:val="left"/>
      <w:pPr>
        <w:ind w:left="3303" w:hanging="420"/>
      </w:pPr>
      <w:rPr>
        <w:rFonts w:hint="default" w:ascii="Wingdings" w:hAnsi="Wingdings"/>
      </w:rPr>
    </w:lvl>
    <w:lvl w:ilvl="8" w:tentative="0">
      <w:start w:val="1"/>
      <w:numFmt w:val="bullet"/>
      <w:lvlText w:val=""/>
      <w:lvlJc w:val="left"/>
      <w:pPr>
        <w:ind w:left="3723" w:hanging="420"/>
      </w:pPr>
      <w:rPr>
        <w:rFonts w:hint="default" w:ascii="Wingdings" w:hAnsi="Wingdings"/>
      </w:rPr>
    </w:lvl>
  </w:abstractNum>
  <w:abstractNum w:abstractNumId="3">
    <w:nsid w:val="31D1FA56"/>
    <w:multiLevelType w:val="singleLevel"/>
    <w:tmpl w:val="31D1FA56"/>
    <w:lvl w:ilvl="0" w:tentative="0">
      <w:start w:val="1"/>
      <w:numFmt w:val="bullet"/>
      <w:lvlText w:val=""/>
      <w:lvlJc w:val="left"/>
      <w:pPr>
        <w:ind w:left="420" w:hanging="420"/>
      </w:pPr>
      <w:rPr>
        <w:rFonts w:hint="default" w:ascii="Wingdings" w:hAnsi="Wingdings"/>
      </w:rPr>
    </w:lvl>
  </w:abstractNum>
  <w:abstractNum w:abstractNumId="4">
    <w:nsid w:val="3D92817D"/>
    <w:multiLevelType w:val="singleLevel"/>
    <w:tmpl w:val="3D92817D"/>
    <w:lvl w:ilvl="0" w:tentative="0">
      <w:start w:val="1"/>
      <w:numFmt w:val="bullet"/>
      <w:lvlText w:val=""/>
      <w:lvlJc w:val="left"/>
      <w:pPr>
        <w:ind w:left="420" w:hanging="420"/>
      </w:pPr>
      <w:rPr>
        <w:rFonts w:hint="default" w:ascii="Wingdings" w:hAnsi="Wingdings"/>
      </w:rPr>
    </w:lvl>
  </w:abstractNum>
  <w:abstractNum w:abstractNumId="5">
    <w:nsid w:val="50050D8C"/>
    <w:multiLevelType w:val="multilevel"/>
    <w:tmpl w:val="50050D8C"/>
    <w:lvl w:ilvl="0" w:tentative="0">
      <w:start w:val="1"/>
      <w:numFmt w:val="bullet"/>
      <w:suff w:val="space"/>
      <w:lvlText w:val=""/>
      <w:lvlJc w:val="left"/>
      <w:pPr>
        <w:ind w:left="780" w:hanging="42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6">
    <w:nsid w:val="50F57C00"/>
    <w:multiLevelType w:val="multilevel"/>
    <w:tmpl w:val="50F57C00"/>
    <w:lvl w:ilvl="0" w:tentative="0">
      <w:start w:val="1"/>
      <w:numFmt w:val="bullet"/>
      <w:lvlText w:val=""/>
      <w:lvlJc w:val="left"/>
      <w:pPr>
        <w:ind w:left="363" w:hanging="420"/>
      </w:pPr>
      <w:rPr>
        <w:rFonts w:hint="default" w:ascii="Wingdings" w:hAnsi="Wingdings"/>
      </w:rPr>
    </w:lvl>
    <w:lvl w:ilvl="1" w:tentative="0">
      <w:start w:val="1"/>
      <w:numFmt w:val="bullet"/>
      <w:lvlText w:val=""/>
      <w:lvlJc w:val="left"/>
      <w:pPr>
        <w:ind w:left="783" w:hanging="420"/>
      </w:pPr>
      <w:rPr>
        <w:rFonts w:hint="default" w:ascii="Wingdings" w:hAnsi="Wingdings"/>
      </w:rPr>
    </w:lvl>
    <w:lvl w:ilvl="2" w:tentative="0">
      <w:start w:val="1"/>
      <w:numFmt w:val="bullet"/>
      <w:lvlText w:val=""/>
      <w:lvlJc w:val="left"/>
      <w:pPr>
        <w:ind w:left="1203" w:hanging="420"/>
      </w:pPr>
      <w:rPr>
        <w:rFonts w:hint="default" w:ascii="Wingdings" w:hAnsi="Wingdings"/>
      </w:rPr>
    </w:lvl>
    <w:lvl w:ilvl="3" w:tentative="0">
      <w:start w:val="1"/>
      <w:numFmt w:val="bullet"/>
      <w:lvlText w:val=""/>
      <w:lvlJc w:val="left"/>
      <w:pPr>
        <w:ind w:left="1623" w:hanging="420"/>
      </w:pPr>
      <w:rPr>
        <w:rFonts w:hint="default" w:ascii="Wingdings" w:hAnsi="Wingdings"/>
      </w:rPr>
    </w:lvl>
    <w:lvl w:ilvl="4" w:tentative="0">
      <w:start w:val="1"/>
      <w:numFmt w:val="bullet"/>
      <w:lvlText w:val=""/>
      <w:lvlJc w:val="left"/>
      <w:pPr>
        <w:ind w:left="2043" w:hanging="420"/>
      </w:pPr>
      <w:rPr>
        <w:rFonts w:hint="default" w:ascii="Wingdings" w:hAnsi="Wingdings"/>
      </w:rPr>
    </w:lvl>
    <w:lvl w:ilvl="5" w:tentative="0">
      <w:start w:val="1"/>
      <w:numFmt w:val="bullet"/>
      <w:lvlText w:val=""/>
      <w:lvlJc w:val="left"/>
      <w:pPr>
        <w:ind w:left="2463" w:hanging="420"/>
      </w:pPr>
      <w:rPr>
        <w:rFonts w:hint="default" w:ascii="Wingdings" w:hAnsi="Wingdings"/>
      </w:rPr>
    </w:lvl>
    <w:lvl w:ilvl="6" w:tentative="0">
      <w:start w:val="1"/>
      <w:numFmt w:val="bullet"/>
      <w:lvlText w:val=""/>
      <w:lvlJc w:val="left"/>
      <w:pPr>
        <w:ind w:left="2883" w:hanging="420"/>
      </w:pPr>
      <w:rPr>
        <w:rFonts w:hint="default" w:ascii="Wingdings" w:hAnsi="Wingdings"/>
      </w:rPr>
    </w:lvl>
    <w:lvl w:ilvl="7" w:tentative="0">
      <w:start w:val="1"/>
      <w:numFmt w:val="bullet"/>
      <w:lvlText w:val=""/>
      <w:lvlJc w:val="left"/>
      <w:pPr>
        <w:ind w:left="3303" w:hanging="420"/>
      </w:pPr>
      <w:rPr>
        <w:rFonts w:hint="default" w:ascii="Wingdings" w:hAnsi="Wingdings"/>
      </w:rPr>
    </w:lvl>
    <w:lvl w:ilvl="8" w:tentative="0">
      <w:start w:val="1"/>
      <w:numFmt w:val="bullet"/>
      <w:lvlText w:val=""/>
      <w:lvlJc w:val="left"/>
      <w:pPr>
        <w:ind w:left="3723" w:hanging="420"/>
      </w:pPr>
      <w:rPr>
        <w:rFonts w:hint="default" w:ascii="Wingdings" w:hAnsi="Wingdings"/>
      </w:rPr>
    </w:lvl>
  </w:abstractNum>
  <w:num w:numId="1">
    <w:abstractNumId w:val="0"/>
  </w:num>
  <w:num w:numId="2">
    <w:abstractNumId w:val="3"/>
  </w:num>
  <w:num w:numId="3">
    <w:abstractNumId w:val="4"/>
  </w:num>
  <w:num w:numId="4">
    <w:abstractNumId w:val="5"/>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9B52F5"/>
    <w:rsid w:val="00002320"/>
    <w:rsid w:val="000106E4"/>
    <w:rsid w:val="0002321B"/>
    <w:rsid w:val="000265F2"/>
    <w:rsid w:val="00031A8B"/>
    <w:rsid w:val="000340D1"/>
    <w:rsid w:val="000379E3"/>
    <w:rsid w:val="000568A9"/>
    <w:rsid w:val="000652F2"/>
    <w:rsid w:val="0007402C"/>
    <w:rsid w:val="00074BAC"/>
    <w:rsid w:val="00076896"/>
    <w:rsid w:val="000776EC"/>
    <w:rsid w:val="0008179B"/>
    <w:rsid w:val="000A2AD0"/>
    <w:rsid w:val="000B54D1"/>
    <w:rsid w:val="000B56D4"/>
    <w:rsid w:val="000C4A9D"/>
    <w:rsid w:val="000C55FD"/>
    <w:rsid w:val="000D527E"/>
    <w:rsid w:val="000E321E"/>
    <w:rsid w:val="000E6671"/>
    <w:rsid w:val="00105C19"/>
    <w:rsid w:val="00111624"/>
    <w:rsid w:val="00114B2A"/>
    <w:rsid w:val="00115AAB"/>
    <w:rsid w:val="00120738"/>
    <w:rsid w:val="00122F29"/>
    <w:rsid w:val="00134D29"/>
    <w:rsid w:val="00135A61"/>
    <w:rsid w:val="001538F2"/>
    <w:rsid w:val="00160E3C"/>
    <w:rsid w:val="00186694"/>
    <w:rsid w:val="00193DB8"/>
    <w:rsid w:val="00194ED0"/>
    <w:rsid w:val="001951F5"/>
    <w:rsid w:val="001A22FB"/>
    <w:rsid w:val="001A4C5E"/>
    <w:rsid w:val="001B2781"/>
    <w:rsid w:val="001B29A9"/>
    <w:rsid w:val="001C2811"/>
    <w:rsid w:val="001C4F76"/>
    <w:rsid w:val="001D5AA1"/>
    <w:rsid w:val="001D661F"/>
    <w:rsid w:val="001E27D7"/>
    <w:rsid w:val="001E5504"/>
    <w:rsid w:val="001F0378"/>
    <w:rsid w:val="00222154"/>
    <w:rsid w:val="00236E9E"/>
    <w:rsid w:val="00237A6E"/>
    <w:rsid w:val="00256097"/>
    <w:rsid w:val="002577FF"/>
    <w:rsid w:val="00260563"/>
    <w:rsid w:val="00263724"/>
    <w:rsid w:val="002735A0"/>
    <w:rsid w:val="00277BEB"/>
    <w:rsid w:val="00293EC2"/>
    <w:rsid w:val="002A4E26"/>
    <w:rsid w:val="002B55AD"/>
    <w:rsid w:val="002C1A9B"/>
    <w:rsid w:val="002D0852"/>
    <w:rsid w:val="002E34C9"/>
    <w:rsid w:val="00300177"/>
    <w:rsid w:val="0032079C"/>
    <w:rsid w:val="00331A86"/>
    <w:rsid w:val="00340709"/>
    <w:rsid w:val="003443A9"/>
    <w:rsid w:val="00345D62"/>
    <w:rsid w:val="00360ED9"/>
    <w:rsid w:val="00362F3B"/>
    <w:rsid w:val="00363C60"/>
    <w:rsid w:val="00367E3C"/>
    <w:rsid w:val="00376BF0"/>
    <w:rsid w:val="00381BF4"/>
    <w:rsid w:val="00381F66"/>
    <w:rsid w:val="00384D56"/>
    <w:rsid w:val="003912C6"/>
    <w:rsid w:val="003A2816"/>
    <w:rsid w:val="003A3712"/>
    <w:rsid w:val="003A4DB8"/>
    <w:rsid w:val="003B3A50"/>
    <w:rsid w:val="003C62A4"/>
    <w:rsid w:val="003D1D59"/>
    <w:rsid w:val="003D1DA8"/>
    <w:rsid w:val="003D21B2"/>
    <w:rsid w:val="003D37C5"/>
    <w:rsid w:val="003D5AB4"/>
    <w:rsid w:val="003D70FC"/>
    <w:rsid w:val="003D7EDB"/>
    <w:rsid w:val="003E4A9F"/>
    <w:rsid w:val="00401CEC"/>
    <w:rsid w:val="004061A0"/>
    <w:rsid w:val="00422FCE"/>
    <w:rsid w:val="00432F7D"/>
    <w:rsid w:val="004367A8"/>
    <w:rsid w:val="0044358A"/>
    <w:rsid w:val="00444A15"/>
    <w:rsid w:val="00457B59"/>
    <w:rsid w:val="004739C6"/>
    <w:rsid w:val="00493620"/>
    <w:rsid w:val="00496DA9"/>
    <w:rsid w:val="004B3456"/>
    <w:rsid w:val="004B4B5A"/>
    <w:rsid w:val="004B626A"/>
    <w:rsid w:val="004B777E"/>
    <w:rsid w:val="004C676A"/>
    <w:rsid w:val="004D3C83"/>
    <w:rsid w:val="004E07AD"/>
    <w:rsid w:val="004F16D1"/>
    <w:rsid w:val="00501CBD"/>
    <w:rsid w:val="0051302A"/>
    <w:rsid w:val="00517134"/>
    <w:rsid w:val="005300F6"/>
    <w:rsid w:val="00536AC3"/>
    <w:rsid w:val="00550F05"/>
    <w:rsid w:val="00553615"/>
    <w:rsid w:val="00557962"/>
    <w:rsid w:val="00571C17"/>
    <w:rsid w:val="00573238"/>
    <w:rsid w:val="005812F0"/>
    <w:rsid w:val="00581B27"/>
    <w:rsid w:val="00590D0A"/>
    <w:rsid w:val="00592E83"/>
    <w:rsid w:val="005A28C3"/>
    <w:rsid w:val="005A7208"/>
    <w:rsid w:val="005B22DB"/>
    <w:rsid w:val="005E6564"/>
    <w:rsid w:val="005F5550"/>
    <w:rsid w:val="00605D9E"/>
    <w:rsid w:val="006117CB"/>
    <w:rsid w:val="006161B7"/>
    <w:rsid w:val="006247AB"/>
    <w:rsid w:val="006335D0"/>
    <w:rsid w:val="00643BE3"/>
    <w:rsid w:val="00646C04"/>
    <w:rsid w:val="00660C6B"/>
    <w:rsid w:val="00661709"/>
    <w:rsid w:val="006674AD"/>
    <w:rsid w:val="00671A6C"/>
    <w:rsid w:val="0067458E"/>
    <w:rsid w:val="00675481"/>
    <w:rsid w:val="00685970"/>
    <w:rsid w:val="00693562"/>
    <w:rsid w:val="00693B32"/>
    <w:rsid w:val="00694369"/>
    <w:rsid w:val="0069765C"/>
    <w:rsid w:val="006A47FC"/>
    <w:rsid w:val="006B2679"/>
    <w:rsid w:val="006B5F39"/>
    <w:rsid w:val="006D711B"/>
    <w:rsid w:val="006E3AEA"/>
    <w:rsid w:val="006E515E"/>
    <w:rsid w:val="006E758D"/>
    <w:rsid w:val="00700B6B"/>
    <w:rsid w:val="00701EE8"/>
    <w:rsid w:val="007028FE"/>
    <w:rsid w:val="00713D69"/>
    <w:rsid w:val="00715453"/>
    <w:rsid w:val="00724552"/>
    <w:rsid w:val="00730693"/>
    <w:rsid w:val="00745F17"/>
    <w:rsid w:val="00754576"/>
    <w:rsid w:val="00772C62"/>
    <w:rsid w:val="00775176"/>
    <w:rsid w:val="00776129"/>
    <w:rsid w:val="00785F4E"/>
    <w:rsid w:val="007A1DF4"/>
    <w:rsid w:val="007A4EC1"/>
    <w:rsid w:val="007A7272"/>
    <w:rsid w:val="007B30B2"/>
    <w:rsid w:val="007B72E8"/>
    <w:rsid w:val="007B7E41"/>
    <w:rsid w:val="007C2EBB"/>
    <w:rsid w:val="007C3CC6"/>
    <w:rsid w:val="007D5945"/>
    <w:rsid w:val="007E0E5F"/>
    <w:rsid w:val="007F5EB6"/>
    <w:rsid w:val="007F7265"/>
    <w:rsid w:val="0080345B"/>
    <w:rsid w:val="00814F12"/>
    <w:rsid w:val="008206E5"/>
    <w:rsid w:val="00821AD8"/>
    <w:rsid w:val="00831CD1"/>
    <w:rsid w:val="0084380A"/>
    <w:rsid w:val="008443AE"/>
    <w:rsid w:val="00845072"/>
    <w:rsid w:val="00847797"/>
    <w:rsid w:val="00853D9B"/>
    <w:rsid w:val="00854373"/>
    <w:rsid w:val="00855D76"/>
    <w:rsid w:val="00856B75"/>
    <w:rsid w:val="0086199F"/>
    <w:rsid w:val="00863349"/>
    <w:rsid w:val="00867FEE"/>
    <w:rsid w:val="00876EF0"/>
    <w:rsid w:val="00877B4B"/>
    <w:rsid w:val="00883257"/>
    <w:rsid w:val="00887677"/>
    <w:rsid w:val="0089189B"/>
    <w:rsid w:val="00897D44"/>
    <w:rsid w:val="008A5CA4"/>
    <w:rsid w:val="008B388E"/>
    <w:rsid w:val="008C1D4F"/>
    <w:rsid w:val="008D138C"/>
    <w:rsid w:val="008D5596"/>
    <w:rsid w:val="008D6A22"/>
    <w:rsid w:val="008E5844"/>
    <w:rsid w:val="008F036D"/>
    <w:rsid w:val="008F1F91"/>
    <w:rsid w:val="008F7FDB"/>
    <w:rsid w:val="00914882"/>
    <w:rsid w:val="00916C5E"/>
    <w:rsid w:val="009176EF"/>
    <w:rsid w:val="009320F9"/>
    <w:rsid w:val="009333F9"/>
    <w:rsid w:val="009342E4"/>
    <w:rsid w:val="009378D9"/>
    <w:rsid w:val="00952B64"/>
    <w:rsid w:val="00953D9C"/>
    <w:rsid w:val="00957CEE"/>
    <w:rsid w:val="0096633B"/>
    <w:rsid w:val="00985B70"/>
    <w:rsid w:val="00993093"/>
    <w:rsid w:val="009A3134"/>
    <w:rsid w:val="009B2F3F"/>
    <w:rsid w:val="009B52F5"/>
    <w:rsid w:val="009C248C"/>
    <w:rsid w:val="009C49A4"/>
    <w:rsid w:val="009C6F34"/>
    <w:rsid w:val="009D449C"/>
    <w:rsid w:val="009E76A7"/>
    <w:rsid w:val="009F3AE2"/>
    <w:rsid w:val="00A01976"/>
    <w:rsid w:val="00A01E0E"/>
    <w:rsid w:val="00A07883"/>
    <w:rsid w:val="00A135BD"/>
    <w:rsid w:val="00A2670C"/>
    <w:rsid w:val="00A30B74"/>
    <w:rsid w:val="00A3760C"/>
    <w:rsid w:val="00A40483"/>
    <w:rsid w:val="00A4175D"/>
    <w:rsid w:val="00A419BB"/>
    <w:rsid w:val="00A45723"/>
    <w:rsid w:val="00A641FB"/>
    <w:rsid w:val="00A70FE2"/>
    <w:rsid w:val="00AA2256"/>
    <w:rsid w:val="00AB3330"/>
    <w:rsid w:val="00AB51A0"/>
    <w:rsid w:val="00AB5429"/>
    <w:rsid w:val="00AC0881"/>
    <w:rsid w:val="00AD5118"/>
    <w:rsid w:val="00AE4959"/>
    <w:rsid w:val="00AF1FB4"/>
    <w:rsid w:val="00AF4969"/>
    <w:rsid w:val="00B1408D"/>
    <w:rsid w:val="00B14437"/>
    <w:rsid w:val="00B14AED"/>
    <w:rsid w:val="00B1757B"/>
    <w:rsid w:val="00B20958"/>
    <w:rsid w:val="00B5280E"/>
    <w:rsid w:val="00B70E6D"/>
    <w:rsid w:val="00B86447"/>
    <w:rsid w:val="00BA3803"/>
    <w:rsid w:val="00BA5A9D"/>
    <w:rsid w:val="00BB45A7"/>
    <w:rsid w:val="00BB5CE3"/>
    <w:rsid w:val="00BB732F"/>
    <w:rsid w:val="00BC191E"/>
    <w:rsid w:val="00BC35C9"/>
    <w:rsid w:val="00BC3C39"/>
    <w:rsid w:val="00BD7AB6"/>
    <w:rsid w:val="00BE1FED"/>
    <w:rsid w:val="00BE7797"/>
    <w:rsid w:val="00BF7480"/>
    <w:rsid w:val="00C00B63"/>
    <w:rsid w:val="00C0123C"/>
    <w:rsid w:val="00C06AB1"/>
    <w:rsid w:val="00C114C0"/>
    <w:rsid w:val="00C141B8"/>
    <w:rsid w:val="00C16A88"/>
    <w:rsid w:val="00C301D9"/>
    <w:rsid w:val="00C421F4"/>
    <w:rsid w:val="00C47FA2"/>
    <w:rsid w:val="00C66022"/>
    <w:rsid w:val="00C80BAD"/>
    <w:rsid w:val="00C85F20"/>
    <w:rsid w:val="00CA67C8"/>
    <w:rsid w:val="00CA743E"/>
    <w:rsid w:val="00CB0484"/>
    <w:rsid w:val="00CB365A"/>
    <w:rsid w:val="00CB590B"/>
    <w:rsid w:val="00CC0711"/>
    <w:rsid w:val="00CC12CB"/>
    <w:rsid w:val="00CC1F5D"/>
    <w:rsid w:val="00CF0B83"/>
    <w:rsid w:val="00CF4E18"/>
    <w:rsid w:val="00D066C7"/>
    <w:rsid w:val="00D35F2A"/>
    <w:rsid w:val="00D41328"/>
    <w:rsid w:val="00D53456"/>
    <w:rsid w:val="00D63014"/>
    <w:rsid w:val="00D73868"/>
    <w:rsid w:val="00D75741"/>
    <w:rsid w:val="00D821C9"/>
    <w:rsid w:val="00D8625A"/>
    <w:rsid w:val="00D9040B"/>
    <w:rsid w:val="00D9637F"/>
    <w:rsid w:val="00DA48AC"/>
    <w:rsid w:val="00DB018B"/>
    <w:rsid w:val="00DB56C4"/>
    <w:rsid w:val="00DB6BD7"/>
    <w:rsid w:val="00DC70C8"/>
    <w:rsid w:val="00DD2DAE"/>
    <w:rsid w:val="00DD5D61"/>
    <w:rsid w:val="00DE263A"/>
    <w:rsid w:val="00DE6F0A"/>
    <w:rsid w:val="00DF14BB"/>
    <w:rsid w:val="00E029BE"/>
    <w:rsid w:val="00E13486"/>
    <w:rsid w:val="00E14895"/>
    <w:rsid w:val="00E22134"/>
    <w:rsid w:val="00E466B6"/>
    <w:rsid w:val="00E51D16"/>
    <w:rsid w:val="00E634B2"/>
    <w:rsid w:val="00E83DE5"/>
    <w:rsid w:val="00E8679D"/>
    <w:rsid w:val="00E91CBB"/>
    <w:rsid w:val="00EA441E"/>
    <w:rsid w:val="00EB21FE"/>
    <w:rsid w:val="00EB2BDD"/>
    <w:rsid w:val="00EC01F4"/>
    <w:rsid w:val="00ED2094"/>
    <w:rsid w:val="00EE3F60"/>
    <w:rsid w:val="00EE5D09"/>
    <w:rsid w:val="00EF598C"/>
    <w:rsid w:val="00EF63B1"/>
    <w:rsid w:val="00F05A47"/>
    <w:rsid w:val="00F16A52"/>
    <w:rsid w:val="00F27BCC"/>
    <w:rsid w:val="00F303A3"/>
    <w:rsid w:val="00F40B69"/>
    <w:rsid w:val="00F410B2"/>
    <w:rsid w:val="00F41708"/>
    <w:rsid w:val="00F437CD"/>
    <w:rsid w:val="00F45CC4"/>
    <w:rsid w:val="00F46A93"/>
    <w:rsid w:val="00F54459"/>
    <w:rsid w:val="00F54D5A"/>
    <w:rsid w:val="00F64B46"/>
    <w:rsid w:val="00F652B1"/>
    <w:rsid w:val="00F712C8"/>
    <w:rsid w:val="00F77B0E"/>
    <w:rsid w:val="00F96C50"/>
    <w:rsid w:val="00FA4A0D"/>
    <w:rsid w:val="00FB58A2"/>
    <w:rsid w:val="00FC01B6"/>
    <w:rsid w:val="00FC051B"/>
    <w:rsid w:val="00FC34F9"/>
    <w:rsid w:val="00FC4A88"/>
    <w:rsid w:val="00FC7484"/>
    <w:rsid w:val="00FD2A23"/>
    <w:rsid w:val="00FE1942"/>
    <w:rsid w:val="00FE43A3"/>
    <w:rsid w:val="00FE4539"/>
    <w:rsid w:val="00FE5EF4"/>
    <w:rsid w:val="010121B4"/>
    <w:rsid w:val="010B1261"/>
    <w:rsid w:val="0115530E"/>
    <w:rsid w:val="011E4C9F"/>
    <w:rsid w:val="01220DE3"/>
    <w:rsid w:val="01294748"/>
    <w:rsid w:val="013712F7"/>
    <w:rsid w:val="013E40BF"/>
    <w:rsid w:val="014F6641"/>
    <w:rsid w:val="0160034F"/>
    <w:rsid w:val="016025FC"/>
    <w:rsid w:val="01675CA3"/>
    <w:rsid w:val="016B4B28"/>
    <w:rsid w:val="016F0A91"/>
    <w:rsid w:val="01804A4C"/>
    <w:rsid w:val="018856AF"/>
    <w:rsid w:val="018D0933"/>
    <w:rsid w:val="018E53BB"/>
    <w:rsid w:val="01901C29"/>
    <w:rsid w:val="019127B6"/>
    <w:rsid w:val="019D115B"/>
    <w:rsid w:val="01A85D51"/>
    <w:rsid w:val="01B14C06"/>
    <w:rsid w:val="01B6046E"/>
    <w:rsid w:val="01CF1530"/>
    <w:rsid w:val="01DA0C2B"/>
    <w:rsid w:val="01DA16D0"/>
    <w:rsid w:val="01DE00E2"/>
    <w:rsid w:val="01E52B01"/>
    <w:rsid w:val="01E66ADD"/>
    <w:rsid w:val="01E96FF0"/>
    <w:rsid w:val="01EC0334"/>
    <w:rsid w:val="01EE5E5A"/>
    <w:rsid w:val="01F3521E"/>
    <w:rsid w:val="01F66ABD"/>
    <w:rsid w:val="01F82835"/>
    <w:rsid w:val="02005B8D"/>
    <w:rsid w:val="02035A67"/>
    <w:rsid w:val="020D066E"/>
    <w:rsid w:val="021358C1"/>
    <w:rsid w:val="02250442"/>
    <w:rsid w:val="022C0A8A"/>
    <w:rsid w:val="02346C2B"/>
    <w:rsid w:val="02355837"/>
    <w:rsid w:val="023A2E4D"/>
    <w:rsid w:val="02427F54"/>
    <w:rsid w:val="02544600"/>
    <w:rsid w:val="025D5EA3"/>
    <w:rsid w:val="025E48D9"/>
    <w:rsid w:val="02663C42"/>
    <w:rsid w:val="026D3E0E"/>
    <w:rsid w:val="02785724"/>
    <w:rsid w:val="027C16B8"/>
    <w:rsid w:val="02816CCE"/>
    <w:rsid w:val="0282105D"/>
    <w:rsid w:val="028265A2"/>
    <w:rsid w:val="028E13EB"/>
    <w:rsid w:val="02A1111E"/>
    <w:rsid w:val="02A31028"/>
    <w:rsid w:val="02A66735"/>
    <w:rsid w:val="02AD7AC3"/>
    <w:rsid w:val="02B1066F"/>
    <w:rsid w:val="02B77C93"/>
    <w:rsid w:val="02BA3F8E"/>
    <w:rsid w:val="02C10FE1"/>
    <w:rsid w:val="02C22A05"/>
    <w:rsid w:val="02C24BF1"/>
    <w:rsid w:val="02D432A2"/>
    <w:rsid w:val="02E05800"/>
    <w:rsid w:val="02E9543A"/>
    <w:rsid w:val="02EA4873"/>
    <w:rsid w:val="02F27FB9"/>
    <w:rsid w:val="02FE031F"/>
    <w:rsid w:val="03045209"/>
    <w:rsid w:val="03056994"/>
    <w:rsid w:val="030B6598"/>
    <w:rsid w:val="03113D91"/>
    <w:rsid w:val="032201CC"/>
    <w:rsid w:val="032F672A"/>
    <w:rsid w:val="03351867"/>
    <w:rsid w:val="03391357"/>
    <w:rsid w:val="03393F93"/>
    <w:rsid w:val="034E3B00"/>
    <w:rsid w:val="034F0B7A"/>
    <w:rsid w:val="035267A2"/>
    <w:rsid w:val="03561F09"/>
    <w:rsid w:val="03597303"/>
    <w:rsid w:val="035C6DF3"/>
    <w:rsid w:val="035D591D"/>
    <w:rsid w:val="03655CA8"/>
    <w:rsid w:val="03667C72"/>
    <w:rsid w:val="03706BAE"/>
    <w:rsid w:val="03791753"/>
    <w:rsid w:val="037A07A4"/>
    <w:rsid w:val="037B0103"/>
    <w:rsid w:val="0381697D"/>
    <w:rsid w:val="03AD58A1"/>
    <w:rsid w:val="03AF190D"/>
    <w:rsid w:val="03B252AB"/>
    <w:rsid w:val="03B37E16"/>
    <w:rsid w:val="03B53796"/>
    <w:rsid w:val="03C33518"/>
    <w:rsid w:val="03C50E3C"/>
    <w:rsid w:val="03CA6453"/>
    <w:rsid w:val="03DB240E"/>
    <w:rsid w:val="03E007AD"/>
    <w:rsid w:val="03E272F9"/>
    <w:rsid w:val="03E312C3"/>
    <w:rsid w:val="03FF434E"/>
    <w:rsid w:val="041A2480"/>
    <w:rsid w:val="042C0EBC"/>
    <w:rsid w:val="04332D27"/>
    <w:rsid w:val="04384A3C"/>
    <w:rsid w:val="043B0702"/>
    <w:rsid w:val="043D09D3"/>
    <w:rsid w:val="043F474B"/>
    <w:rsid w:val="04463D2B"/>
    <w:rsid w:val="04477AA3"/>
    <w:rsid w:val="044C5B16"/>
    <w:rsid w:val="045301F6"/>
    <w:rsid w:val="04543060"/>
    <w:rsid w:val="045B52FD"/>
    <w:rsid w:val="0460645B"/>
    <w:rsid w:val="0462668B"/>
    <w:rsid w:val="04742EC9"/>
    <w:rsid w:val="0475016D"/>
    <w:rsid w:val="047D5273"/>
    <w:rsid w:val="047E5D41"/>
    <w:rsid w:val="049D3B67"/>
    <w:rsid w:val="04A1376E"/>
    <w:rsid w:val="04AB0032"/>
    <w:rsid w:val="04B07097"/>
    <w:rsid w:val="04C54AC0"/>
    <w:rsid w:val="04CB2483"/>
    <w:rsid w:val="04D8694E"/>
    <w:rsid w:val="04DD3F64"/>
    <w:rsid w:val="04E43544"/>
    <w:rsid w:val="04EA6DAD"/>
    <w:rsid w:val="04EE6171"/>
    <w:rsid w:val="04FA2D68"/>
    <w:rsid w:val="04FC54A1"/>
    <w:rsid w:val="050A0E0E"/>
    <w:rsid w:val="05104339"/>
    <w:rsid w:val="05125756"/>
    <w:rsid w:val="051A6F66"/>
    <w:rsid w:val="05392F06"/>
    <w:rsid w:val="053E7845"/>
    <w:rsid w:val="054E440B"/>
    <w:rsid w:val="05500BDA"/>
    <w:rsid w:val="055408A9"/>
    <w:rsid w:val="05544226"/>
    <w:rsid w:val="05561E22"/>
    <w:rsid w:val="05575AC4"/>
    <w:rsid w:val="055F39A2"/>
    <w:rsid w:val="05650EDA"/>
    <w:rsid w:val="05653C4B"/>
    <w:rsid w:val="05685F23"/>
    <w:rsid w:val="0575419C"/>
    <w:rsid w:val="0579094A"/>
    <w:rsid w:val="057C37A1"/>
    <w:rsid w:val="057F3F8D"/>
    <w:rsid w:val="0588032E"/>
    <w:rsid w:val="05886B6E"/>
    <w:rsid w:val="05926AFC"/>
    <w:rsid w:val="059F1C21"/>
    <w:rsid w:val="05A351AD"/>
    <w:rsid w:val="05A41F95"/>
    <w:rsid w:val="05A439F7"/>
    <w:rsid w:val="05AC1556"/>
    <w:rsid w:val="05AD7DDA"/>
    <w:rsid w:val="05B747B5"/>
    <w:rsid w:val="05B945AD"/>
    <w:rsid w:val="05BB42A5"/>
    <w:rsid w:val="05BC0866"/>
    <w:rsid w:val="05D76E42"/>
    <w:rsid w:val="05DB5F39"/>
    <w:rsid w:val="05DF13DF"/>
    <w:rsid w:val="05E27A84"/>
    <w:rsid w:val="05E80E12"/>
    <w:rsid w:val="05EE467B"/>
    <w:rsid w:val="05F17CC7"/>
    <w:rsid w:val="05FD48BE"/>
    <w:rsid w:val="05FE0636"/>
    <w:rsid w:val="060364A8"/>
    <w:rsid w:val="06113EC5"/>
    <w:rsid w:val="06120D5A"/>
    <w:rsid w:val="0620235A"/>
    <w:rsid w:val="062C0CFF"/>
    <w:rsid w:val="06377CD2"/>
    <w:rsid w:val="06426774"/>
    <w:rsid w:val="06453D1D"/>
    <w:rsid w:val="065444C7"/>
    <w:rsid w:val="06587E4E"/>
    <w:rsid w:val="06602B15"/>
    <w:rsid w:val="06654211"/>
    <w:rsid w:val="06691F53"/>
    <w:rsid w:val="067032E2"/>
    <w:rsid w:val="06782196"/>
    <w:rsid w:val="067A5F0E"/>
    <w:rsid w:val="068B7C0B"/>
    <w:rsid w:val="068C5C42"/>
    <w:rsid w:val="069A035E"/>
    <w:rsid w:val="06A50AB1"/>
    <w:rsid w:val="06AB256C"/>
    <w:rsid w:val="06B50CF4"/>
    <w:rsid w:val="06B62CBE"/>
    <w:rsid w:val="06BA34F9"/>
    <w:rsid w:val="06BF7DC5"/>
    <w:rsid w:val="06C13B3D"/>
    <w:rsid w:val="06C96B1B"/>
    <w:rsid w:val="06D03D80"/>
    <w:rsid w:val="06D64467"/>
    <w:rsid w:val="06E96BF0"/>
    <w:rsid w:val="06EB0BBA"/>
    <w:rsid w:val="06EB43B9"/>
    <w:rsid w:val="06F15AA5"/>
    <w:rsid w:val="06F23CF7"/>
    <w:rsid w:val="06FA0DFD"/>
    <w:rsid w:val="06FC2DC7"/>
    <w:rsid w:val="0701218C"/>
    <w:rsid w:val="07013F3A"/>
    <w:rsid w:val="07041C7C"/>
    <w:rsid w:val="070E2AFA"/>
    <w:rsid w:val="07173E6F"/>
    <w:rsid w:val="071E0F8F"/>
    <w:rsid w:val="071F4D09"/>
    <w:rsid w:val="0721638A"/>
    <w:rsid w:val="07261BF2"/>
    <w:rsid w:val="072A612D"/>
    <w:rsid w:val="07324BB7"/>
    <w:rsid w:val="073E267C"/>
    <w:rsid w:val="073E518E"/>
    <w:rsid w:val="07451767"/>
    <w:rsid w:val="074A238C"/>
    <w:rsid w:val="07524795"/>
    <w:rsid w:val="0753050D"/>
    <w:rsid w:val="07577FFE"/>
    <w:rsid w:val="0758565F"/>
    <w:rsid w:val="075E0B31"/>
    <w:rsid w:val="076D53B4"/>
    <w:rsid w:val="076F5347"/>
    <w:rsid w:val="077514D5"/>
    <w:rsid w:val="07762B7A"/>
    <w:rsid w:val="0788338A"/>
    <w:rsid w:val="078B414B"/>
    <w:rsid w:val="078E330A"/>
    <w:rsid w:val="07927587"/>
    <w:rsid w:val="07945A7A"/>
    <w:rsid w:val="07950B26"/>
    <w:rsid w:val="079C1EB4"/>
    <w:rsid w:val="07A70F85"/>
    <w:rsid w:val="07AA2823"/>
    <w:rsid w:val="07AD3DFB"/>
    <w:rsid w:val="07AE4AAE"/>
    <w:rsid w:val="07BC60B3"/>
    <w:rsid w:val="07CA4C73"/>
    <w:rsid w:val="07D63618"/>
    <w:rsid w:val="07D77390"/>
    <w:rsid w:val="07DB0C2F"/>
    <w:rsid w:val="07E73228"/>
    <w:rsid w:val="07EA2C20"/>
    <w:rsid w:val="07EC6998"/>
    <w:rsid w:val="07F25F78"/>
    <w:rsid w:val="07F626D4"/>
    <w:rsid w:val="0802440D"/>
    <w:rsid w:val="08071A24"/>
    <w:rsid w:val="080B24F0"/>
    <w:rsid w:val="080B3839"/>
    <w:rsid w:val="080C703A"/>
    <w:rsid w:val="080F6B2A"/>
    <w:rsid w:val="0815624B"/>
    <w:rsid w:val="08161C67"/>
    <w:rsid w:val="0818238A"/>
    <w:rsid w:val="08191757"/>
    <w:rsid w:val="081B3F39"/>
    <w:rsid w:val="082A74C0"/>
    <w:rsid w:val="0831084F"/>
    <w:rsid w:val="08315885"/>
    <w:rsid w:val="083640B7"/>
    <w:rsid w:val="083D215B"/>
    <w:rsid w:val="084447C0"/>
    <w:rsid w:val="08471E20"/>
    <w:rsid w:val="08485B98"/>
    <w:rsid w:val="08510EF1"/>
    <w:rsid w:val="085F360E"/>
    <w:rsid w:val="08626C5A"/>
    <w:rsid w:val="086F75C9"/>
    <w:rsid w:val="0874698D"/>
    <w:rsid w:val="087D7568"/>
    <w:rsid w:val="0889068B"/>
    <w:rsid w:val="088A4403"/>
    <w:rsid w:val="088C1F29"/>
    <w:rsid w:val="08931509"/>
    <w:rsid w:val="089332B7"/>
    <w:rsid w:val="08A41020"/>
    <w:rsid w:val="08AF0E7E"/>
    <w:rsid w:val="08B01682"/>
    <w:rsid w:val="08B111EB"/>
    <w:rsid w:val="08B576D2"/>
    <w:rsid w:val="08B81BDF"/>
    <w:rsid w:val="08BB280E"/>
    <w:rsid w:val="08BF40AC"/>
    <w:rsid w:val="08BF4264"/>
    <w:rsid w:val="08C4025A"/>
    <w:rsid w:val="08C94F2B"/>
    <w:rsid w:val="08CF4A93"/>
    <w:rsid w:val="08D8516E"/>
    <w:rsid w:val="08DD09D6"/>
    <w:rsid w:val="08DF474E"/>
    <w:rsid w:val="08E51639"/>
    <w:rsid w:val="08E52080"/>
    <w:rsid w:val="08ED564B"/>
    <w:rsid w:val="08FA3336"/>
    <w:rsid w:val="090441B5"/>
    <w:rsid w:val="09061CDB"/>
    <w:rsid w:val="09067F2D"/>
    <w:rsid w:val="09091703"/>
    <w:rsid w:val="090A3FD6"/>
    <w:rsid w:val="091268D2"/>
    <w:rsid w:val="09181DDE"/>
    <w:rsid w:val="092108C3"/>
    <w:rsid w:val="092812C3"/>
    <w:rsid w:val="0932487E"/>
    <w:rsid w:val="093C56FD"/>
    <w:rsid w:val="09456438"/>
    <w:rsid w:val="09491BC8"/>
    <w:rsid w:val="094E5430"/>
    <w:rsid w:val="09506DC0"/>
    <w:rsid w:val="095073FA"/>
    <w:rsid w:val="095A23F8"/>
    <w:rsid w:val="09615163"/>
    <w:rsid w:val="09630EDC"/>
    <w:rsid w:val="09687A7A"/>
    <w:rsid w:val="096E7880"/>
    <w:rsid w:val="0970184A"/>
    <w:rsid w:val="09735C12"/>
    <w:rsid w:val="097E2010"/>
    <w:rsid w:val="09811362"/>
    <w:rsid w:val="09890FA5"/>
    <w:rsid w:val="098A290C"/>
    <w:rsid w:val="09901A58"/>
    <w:rsid w:val="09923E12"/>
    <w:rsid w:val="09925A4E"/>
    <w:rsid w:val="09931095"/>
    <w:rsid w:val="09934D3B"/>
    <w:rsid w:val="09A048F4"/>
    <w:rsid w:val="09A82D92"/>
    <w:rsid w:val="09B2673A"/>
    <w:rsid w:val="09B63701"/>
    <w:rsid w:val="09BC4A90"/>
    <w:rsid w:val="09C851E3"/>
    <w:rsid w:val="09CE4C84"/>
    <w:rsid w:val="09D405A0"/>
    <w:rsid w:val="09D43A05"/>
    <w:rsid w:val="09D65B51"/>
    <w:rsid w:val="09DB3168"/>
    <w:rsid w:val="09DC0C8E"/>
    <w:rsid w:val="09DE67B4"/>
    <w:rsid w:val="09F12BF7"/>
    <w:rsid w:val="0A0D7099"/>
    <w:rsid w:val="0A116B8A"/>
    <w:rsid w:val="0A1C108A"/>
    <w:rsid w:val="0A2E773B"/>
    <w:rsid w:val="0A30445B"/>
    <w:rsid w:val="0A3665F0"/>
    <w:rsid w:val="0A3669FD"/>
    <w:rsid w:val="0A3824FF"/>
    <w:rsid w:val="0A390434"/>
    <w:rsid w:val="0A424F95"/>
    <w:rsid w:val="0A434869"/>
    <w:rsid w:val="0A4A209B"/>
    <w:rsid w:val="0A516F86"/>
    <w:rsid w:val="0A5D1DCF"/>
    <w:rsid w:val="0A677CF4"/>
    <w:rsid w:val="0A6953B0"/>
    <w:rsid w:val="0A6C237D"/>
    <w:rsid w:val="0A742C74"/>
    <w:rsid w:val="0A775C69"/>
    <w:rsid w:val="0A8B481B"/>
    <w:rsid w:val="0A8D3B7C"/>
    <w:rsid w:val="0A9274E2"/>
    <w:rsid w:val="0A943317"/>
    <w:rsid w:val="0A99092D"/>
    <w:rsid w:val="0AA51080"/>
    <w:rsid w:val="0AAC0660"/>
    <w:rsid w:val="0AB26EA0"/>
    <w:rsid w:val="0AB614DF"/>
    <w:rsid w:val="0AB8395C"/>
    <w:rsid w:val="0AB87005"/>
    <w:rsid w:val="0ABD0ABF"/>
    <w:rsid w:val="0ABF0394"/>
    <w:rsid w:val="0AD7716B"/>
    <w:rsid w:val="0ADB7197"/>
    <w:rsid w:val="0ADC27FC"/>
    <w:rsid w:val="0AE05E8C"/>
    <w:rsid w:val="0AEC1921"/>
    <w:rsid w:val="0AF02CF8"/>
    <w:rsid w:val="0AFD44E7"/>
    <w:rsid w:val="0AFE15A5"/>
    <w:rsid w:val="0B15159D"/>
    <w:rsid w:val="0B1526A9"/>
    <w:rsid w:val="0B154457"/>
    <w:rsid w:val="0B183F48"/>
    <w:rsid w:val="0B1962C1"/>
    <w:rsid w:val="0B2138E2"/>
    <w:rsid w:val="0B266665"/>
    <w:rsid w:val="0B2E72C7"/>
    <w:rsid w:val="0B325E12"/>
    <w:rsid w:val="0B33788A"/>
    <w:rsid w:val="0B3568A8"/>
    <w:rsid w:val="0B4B60CB"/>
    <w:rsid w:val="0B5807E8"/>
    <w:rsid w:val="0B5C4D90"/>
    <w:rsid w:val="0B6947A3"/>
    <w:rsid w:val="0B732F2C"/>
    <w:rsid w:val="0B75545C"/>
    <w:rsid w:val="0B830598"/>
    <w:rsid w:val="0B837613"/>
    <w:rsid w:val="0B8E7D66"/>
    <w:rsid w:val="0B8F2A65"/>
    <w:rsid w:val="0B923CFA"/>
    <w:rsid w:val="0B9F0A14"/>
    <w:rsid w:val="0BA37CB5"/>
    <w:rsid w:val="0BAC6F16"/>
    <w:rsid w:val="0BB9775D"/>
    <w:rsid w:val="0BBC48D3"/>
    <w:rsid w:val="0BBD11B7"/>
    <w:rsid w:val="0BC1013B"/>
    <w:rsid w:val="0BC720EF"/>
    <w:rsid w:val="0BCA3494"/>
    <w:rsid w:val="0BCD6AE0"/>
    <w:rsid w:val="0BD04822"/>
    <w:rsid w:val="0BD936D7"/>
    <w:rsid w:val="0BE43E2A"/>
    <w:rsid w:val="0BE470A9"/>
    <w:rsid w:val="0BE475CA"/>
    <w:rsid w:val="0BE81B6C"/>
    <w:rsid w:val="0BEA58E4"/>
    <w:rsid w:val="0BED58C1"/>
    <w:rsid w:val="0BF56037"/>
    <w:rsid w:val="0BF70001"/>
    <w:rsid w:val="0BFE4EEC"/>
    <w:rsid w:val="0BFF2A12"/>
    <w:rsid w:val="0BFF4D15"/>
    <w:rsid w:val="0C0509BA"/>
    <w:rsid w:val="0C085CA5"/>
    <w:rsid w:val="0C0B13B7"/>
    <w:rsid w:val="0C0F534B"/>
    <w:rsid w:val="0C130F4F"/>
    <w:rsid w:val="0C2801BA"/>
    <w:rsid w:val="0C2E2BCB"/>
    <w:rsid w:val="0C371869"/>
    <w:rsid w:val="0C41127C"/>
    <w:rsid w:val="0C48260B"/>
    <w:rsid w:val="0C4D0FAA"/>
    <w:rsid w:val="0C4F74F5"/>
    <w:rsid w:val="0C564D28"/>
    <w:rsid w:val="0C5B45A2"/>
    <w:rsid w:val="0C7B02EA"/>
    <w:rsid w:val="0C917B0E"/>
    <w:rsid w:val="0C931AD8"/>
    <w:rsid w:val="0C98796F"/>
    <w:rsid w:val="0CA073F2"/>
    <w:rsid w:val="0CA57A5D"/>
    <w:rsid w:val="0CAF268A"/>
    <w:rsid w:val="0CAF61E6"/>
    <w:rsid w:val="0CB35CD6"/>
    <w:rsid w:val="0CB87790"/>
    <w:rsid w:val="0CBD0903"/>
    <w:rsid w:val="0CC51E38"/>
    <w:rsid w:val="0CCA1272"/>
    <w:rsid w:val="0CE64D53"/>
    <w:rsid w:val="0CE82E25"/>
    <w:rsid w:val="0CEA36C2"/>
    <w:rsid w:val="0D0876E5"/>
    <w:rsid w:val="0D103128"/>
    <w:rsid w:val="0D15073F"/>
    <w:rsid w:val="0D18022F"/>
    <w:rsid w:val="0D2705C4"/>
    <w:rsid w:val="0D3112F1"/>
    <w:rsid w:val="0D3F756A"/>
    <w:rsid w:val="0D5749B7"/>
    <w:rsid w:val="0D5F7C0C"/>
    <w:rsid w:val="0D68502B"/>
    <w:rsid w:val="0D6C2329"/>
    <w:rsid w:val="0D701E19"/>
    <w:rsid w:val="0D722B12"/>
    <w:rsid w:val="0D727E7E"/>
    <w:rsid w:val="0D731909"/>
    <w:rsid w:val="0D7336B7"/>
    <w:rsid w:val="0D75742F"/>
    <w:rsid w:val="0D7731A8"/>
    <w:rsid w:val="0D786F20"/>
    <w:rsid w:val="0D7A2C98"/>
    <w:rsid w:val="0D7C07BE"/>
    <w:rsid w:val="0D815DD4"/>
    <w:rsid w:val="0D8542C2"/>
    <w:rsid w:val="0D8853B5"/>
    <w:rsid w:val="0D894C89"/>
    <w:rsid w:val="0D9471CA"/>
    <w:rsid w:val="0DA675E9"/>
    <w:rsid w:val="0DB53CD0"/>
    <w:rsid w:val="0DB735A4"/>
    <w:rsid w:val="0DBD4932"/>
    <w:rsid w:val="0DC14423"/>
    <w:rsid w:val="0DC857B1"/>
    <w:rsid w:val="0DCB704F"/>
    <w:rsid w:val="0DCE08EE"/>
    <w:rsid w:val="0DDC125D"/>
    <w:rsid w:val="0DE34399"/>
    <w:rsid w:val="0DE9148B"/>
    <w:rsid w:val="0DF50280"/>
    <w:rsid w:val="0DFE0FE4"/>
    <w:rsid w:val="0E045213"/>
    <w:rsid w:val="0E056E0D"/>
    <w:rsid w:val="0E097B78"/>
    <w:rsid w:val="0E1937D3"/>
    <w:rsid w:val="0E1E0456"/>
    <w:rsid w:val="0E232103"/>
    <w:rsid w:val="0E24112A"/>
    <w:rsid w:val="0E26072A"/>
    <w:rsid w:val="0E2A021A"/>
    <w:rsid w:val="0E2C29BA"/>
    <w:rsid w:val="0E2E3EEC"/>
    <w:rsid w:val="0E356BBF"/>
    <w:rsid w:val="0E3746E5"/>
    <w:rsid w:val="0E3B401D"/>
    <w:rsid w:val="0E465EE5"/>
    <w:rsid w:val="0E4B1F3E"/>
    <w:rsid w:val="0E4C1528"/>
    <w:rsid w:val="0E5434E9"/>
    <w:rsid w:val="0E5E6115"/>
    <w:rsid w:val="0E721BC1"/>
    <w:rsid w:val="0E7E40C2"/>
    <w:rsid w:val="0E807554"/>
    <w:rsid w:val="0E83792A"/>
    <w:rsid w:val="0E87566C"/>
    <w:rsid w:val="0E8A2A67"/>
    <w:rsid w:val="0E8D46CD"/>
    <w:rsid w:val="0E8F472D"/>
    <w:rsid w:val="0E932E25"/>
    <w:rsid w:val="0E9438E5"/>
    <w:rsid w:val="0E947667"/>
    <w:rsid w:val="0E9F5CF7"/>
    <w:rsid w:val="0EA37FCC"/>
    <w:rsid w:val="0EB977F0"/>
    <w:rsid w:val="0EBD2E3C"/>
    <w:rsid w:val="0EBE33D5"/>
    <w:rsid w:val="0EC0292C"/>
    <w:rsid w:val="0EC046DA"/>
    <w:rsid w:val="0EC07A35"/>
    <w:rsid w:val="0ECA14D0"/>
    <w:rsid w:val="0ED10695"/>
    <w:rsid w:val="0ED14B39"/>
    <w:rsid w:val="0ED4138B"/>
    <w:rsid w:val="0ED87C76"/>
    <w:rsid w:val="0EDE69A8"/>
    <w:rsid w:val="0EE26D46"/>
    <w:rsid w:val="0EE505E5"/>
    <w:rsid w:val="0EEB2E87"/>
    <w:rsid w:val="0EEC1973"/>
    <w:rsid w:val="0EEE07A2"/>
    <w:rsid w:val="0EF81BED"/>
    <w:rsid w:val="0EF854C5"/>
    <w:rsid w:val="0F00541F"/>
    <w:rsid w:val="0F0526A1"/>
    <w:rsid w:val="0F08497D"/>
    <w:rsid w:val="0F0C3DC3"/>
    <w:rsid w:val="0F1E7653"/>
    <w:rsid w:val="0F1F3AF7"/>
    <w:rsid w:val="0F39623B"/>
    <w:rsid w:val="0F3B621C"/>
    <w:rsid w:val="0F3F5F47"/>
    <w:rsid w:val="0F424977"/>
    <w:rsid w:val="0F5D017B"/>
    <w:rsid w:val="0F61353A"/>
    <w:rsid w:val="0F6239E3"/>
    <w:rsid w:val="0F661726"/>
    <w:rsid w:val="0F713C26"/>
    <w:rsid w:val="0F791384"/>
    <w:rsid w:val="0F824086"/>
    <w:rsid w:val="0F8751F8"/>
    <w:rsid w:val="0F8B4CE8"/>
    <w:rsid w:val="0F9067A2"/>
    <w:rsid w:val="0F975858"/>
    <w:rsid w:val="0F977B31"/>
    <w:rsid w:val="0F987405"/>
    <w:rsid w:val="0FA97864"/>
    <w:rsid w:val="0FB029A1"/>
    <w:rsid w:val="0FB37F58"/>
    <w:rsid w:val="0FB861EA"/>
    <w:rsid w:val="0FBC0EA0"/>
    <w:rsid w:val="0FBD0C1A"/>
    <w:rsid w:val="0FBF0E36"/>
    <w:rsid w:val="0FBF2BE4"/>
    <w:rsid w:val="0FC00740"/>
    <w:rsid w:val="0FC24F0B"/>
    <w:rsid w:val="0FC66D35"/>
    <w:rsid w:val="0FD007B8"/>
    <w:rsid w:val="0FD348E1"/>
    <w:rsid w:val="0FDA36B9"/>
    <w:rsid w:val="0FDC314E"/>
    <w:rsid w:val="0FDC71C1"/>
    <w:rsid w:val="0FE46319"/>
    <w:rsid w:val="0FE8038D"/>
    <w:rsid w:val="0FF55543"/>
    <w:rsid w:val="0FF7237E"/>
    <w:rsid w:val="0FF8479A"/>
    <w:rsid w:val="0FFB70EE"/>
    <w:rsid w:val="0FFBCE42"/>
    <w:rsid w:val="0FFF1232"/>
    <w:rsid w:val="1001144E"/>
    <w:rsid w:val="100910F7"/>
    <w:rsid w:val="1010343F"/>
    <w:rsid w:val="101C29CD"/>
    <w:rsid w:val="101E5B5C"/>
    <w:rsid w:val="10207B26"/>
    <w:rsid w:val="10260EB5"/>
    <w:rsid w:val="1032785A"/>
    <w:rsid w:val="10463305"/>
    <w:rsid w:val="104A2792"/>
    <w:rsid w:val="104B4477"/>
    <w:rsid w:val="104F2123"/>
    <w:rsid w:val="105A71EC"/>
    <w:rsid w:val="105B0B5E"/>
    <w:rsid w:val="106070C3"/>
    <w:rsid w:val="106339EB"/>
    <w:rsid w:val="1070041D"/>
    <w:rsid w:val="107E2A9F"/>
    <w:rsid w:val="1081302B"/>
    <w:rsid w:val="10831E63"/>
    <w:rsid w:val="108D4A90"/>
    <w:rsid w:val="108D5743"/>
    <w:rsid w:val="1092654A"/>
    <w:rsid w:val="10927140"/>
    <w:rsid w:val="109776BD"/>
    <w:rsid w:val="10983351"/>
    <w:rsid w:val="10A546BD"/>
    <w:rsid w:val="10AA3894"/>
    <w:rsid w:val="10B262A5"/>
    <w:rsid w:val="10B464C1"/>
    <w:rsid w:val="10B90B04"/>
    <w:rsid w:val="10BF4EF6"/>
    <w:rsid w:val="10C7690A"/>
    <w:rsid w:val="10CD1330"/>
    <w:rsid w:val="10CD7582"/>
    <w:rsid w:val="10D24E55"/>
    <w:rsid w:val="10E36DA6"/>
    <w:rsid w:val="10E463F5"/>
    <w:rsid w:val="10E87F18"/>
    <w:rsid w:val="10F0334D"/>
    <w:rsid w:val="10F33E99"/>
    <w:rsid w:val="10F34DD4"/>
    <w:rsid w:val="10F93ED3"/>
    <w:rsid w:val="10FA2DD1"/>
    <w:rsid w:val="10FB7C4C"/>
    <w:rsid w:val="10FC5511"/>
    <w:rsid w:val="10FD79A5"/>
    <w:rsid w:val="10FE7E1F"/>
    <w:rsid w:val="1102547E"/>
    <w:rsid w:val="11037FD8"/>
    <w:rsid w:val="110765F0"/>
    <w:rsid w:val="110A60E1"/>
    <w:rsid w:val="1116016F"/>
    <w:rsid w:val="111944C4"/>
    <w:rsid w:val="11202640"/>
    <w:rsid w:val="11276C93"/>
    <w:rsid w:val="112A6877"/>
    <w:rsid w:val="112B0A57"/>
    <w:rsid w:val="11301FEB"/>
    <w:rsid w:val="1131366D"/>
    <w:rsid w:val="113373E5"/>
    <w:rsid w:val="1148585C"/>
    <w:rsid w:val="114A472F"/>
    <w:rsid w:val="114C3BA0"/>
    <w:rsid w:val="11513D10"/>
    <w:rsid w:val="1154735C"/>
    <w:rsid w:val="11625F1D"/>
    <w:rsid w:val="11692E07"/>
    <w:rsid w:val="116C0B49"/>
    <w:rsid w:val="116C6D9B"/>
    <w:rsid w:val="116E48C1"/>
    <w:rsid w:val="116E5B1A"/>
    <w:rsid w:val="117619C8"/>
    <w:rsid w:val="117A5014"/>
    <w:rsid w:val="117D3A12"/>
    <w:rsid w:val="118440E5"/>
    <w:rsid w:val="118539B9"/>
    <w:rsid w:val="11934328"/>
    <w:rsid w:val="11952190"/>
    <w:rsid w:val="11967974"/>
    <w:rsid w:val="11B5429E"/>
    <w:rsid w:val="11B642AD"/>
    <w:rsid w:val="11B6563A"/>
    <w:rsid w:val="11B828FA"/>
    <w:rsid w:val="11BA6836"/>
    <w:rsid w:val="11BF435B"/>
    <w:rsid w:val="11CB04E4"/>
    <w:rsid w:val="11CC5193"/>
    <w:rsid w:val="11D0732A"/>
    <w:rsid w:val="11DD1A47"/>
    <w:rsid w:val="11DD55A3"/>
    <w:rsid w:val="11E03822"/>
    <w:rsid w:val="11F272A1"/>
    <w:rsid w:val="11FD79F3"/>
    <w:rsid w:val="12095FA2"/>
    <w:rsid w:val="12326C7A"/>
    <w:rsid w:val="123B07C4"/>
    <w:rsid w:val="123D0DC4"/>
    <w:rsid w:val="123F7FEA"/>
    <w:rsid w:val="124504B7"/>
    <w:rsid w:val="124B2486"/>
    <w:rsid w:val="124F27F3"/>
    <w:rsid w:val="12543AB7"/>
    <w:rsid w:val="125F420A"/>
    <w:rsid w:val="126B0E01"/>
    <w:rsid w:val="12734157"/>
    <w:rsid w:val="12751C80"/>
    <w:rsid w:val="12794B21"/>
    <w:rsid w:val="127A28AF"/>
    <w:rsid w:val="127E0B34"/>
    <w:rsid w:val="12857A2B"/>
    <w:rsid w:val="12865C3B"/>
    <w:rsid w:val="12895DA0"/>
    <w:rsid w:val="12971BF6"/>
    <w:rsid w:val="12997F32"/>
    <w:rsid w:val="12A60E06"/>
    <w:rsid w:val="12AF5192"/>
    <w:rsid w:val="12B467E8"/>
    <w:rsid w:val="12BD50B9"/>
    <w:rsid w:val="12C15512"/>
    <w:rsid w:val="12C44055"/>
    <w:rsid w:val="12C7072D"/>
    <w:rsid w:val="12D1335A"/>
    <w:rsid w:val="12D759AF"/>
    <w:rsid w:val="12DB71B2"/>
    <w:rsid w:val="12DC1D45"/>
    <w:rsid w:val="12DD1CFF"/>
    <w:rsid w:val="12DE7825"/>
    <w:rsid w:val="12E27315"/>
    <w:rsid w:val="12ED1816"/>
    <w:rsid w:val="12F11306"/>
    <w:rsid w:val="12F2595B"/>
    <w:rsid w:val="12F50CAB"/>
    <w:rsid w:val="130B0982"/>
    <w:rsid w:val="130C4392"/>
    <w:rsid w:val="1311486C"/>
    <w:rsid w:val="13127DB1"/>
    <w:rsid w:val="13160D6D"/>
    <w:rsid w:val="13166FBF"/>
    <w:rsid w:val="132F0080"/>
    <w:rsid w:val="13373DBF"/>
    <w:rsid w:val="13385187"/>
    <w:rsid w:val="133B4C77"/>
    <w:rsid w:val="1340403C"/>
    <w:rsid w:val="13426006"/>
    <w:rsid w:val="13451652"/>
    <w:rsid w:val="13484F1B"/>
    <w:rsid w:val="13492805"/>
    <w:rsid w:val="135E2714"/>
    <w:rsid w:val="13602AC4"/>
    <w:rsid w:val="136A6AC8"/>
    <w:rsid w:val="136C3083"/>
    <w:rsid w:val="136C4EC3"/>
    <w:rsid w:val="137141F5"/>
    <w:rsid w:val="137809C1"/>
    <w:rsid w:val="137A20FF"/>
    <w:rsid w:val="137B0F87"/>
    <w:rsid w:val="137C383C"/>
    <w:rsid w:val="13852B3D"/>
    <w:rsid w:val="138C102F"/>
    <w:rsid w:val="138F08A7"/>
    <w:rsid w:val="138F28CD"/>
    <w:rsid w:val="1398701B"/>
    <w:rsid w:val="139879D4"/>
    <w:rsid w:val="139E41CE"/>
    <w:rsid w:val="13A02D2C"/>
    <w:rsid w:val="13A147D1"/>
    <w:rsid w:val="13A66595"/>
    <w:rsid w:val="13AD1DFD"/>
    <w:rsid w:val="13B54A2A"/>
    <w:rsid w:val="13BF31B2"/>
    <w:rsid w:val="13C133CE"/>
    <w:rsid w:val="13C44583"/>
    <w:rsid w:val="13CC3B21"/>
    <w:rsid w:val="13D460FB"/>
    <w:rsid w:val="13D50C28"/>
    <w:rsid w:val="13D84217"/>
    <w:rsid w:val="13E35761"/>
    <w:rsid w:val="13E83022"/>
    <w:rsid w:val="13FE35EF"/>
    <w:rsid w:val="140A6DEE"/>
    <w:rsid w:val="14117786"/>
    <w:rsid w:val="141259D8"/>
    <w:rsid w:val="14176DC6"/>
    <w:rsid w:val="14277D25"/>
    <w:rsid w:val="143A19CE"/>
    <w:rsid w:val="14423DE3"/>
    <w:rsid w:val="144813FA"/>
    <w:rsid w:val="144A4DD8"/>
    <w:rsid w:val="145B0BCD"/>
    <w:rsid w:val="145C7FB0"/>
    <w:rsid w:val="145D088A"/>
    <w:rsid w:val="145D29CB"/>
    <w:rsid w:val="146F7C0B"/>
    <w:rsid w:val="14706BA3"/>
    <w:rsid w:val="147321EF"/>
    <w:rsid w:val="14767D41"/>
    <w:rsid w:val="14812B5E"/>
    <w:rsid w:val="1481490C"/>
    <w:rsid w:val="14847F58"/>
    <w:rsid w:val="148C24E3"/>
    <w:rsid w:val="148D32B1"/>
    <w:rsid w:val="149C4F83"/>
    <w:rsid w:val="14AD74AF"/>
    <w:rsid w:val="14B36359"/>
    <w:rsid w:val="14BC3B96"/>
    <w:rsid w:val="14BD59D5"/>
    <w:rsid w:val="14D51331"/>
    <w:rsid w:val="14DC5FE6"/>
    <w:rsid w:val="14E15EFE"/>
    <w:rsid w:val="14E31122"/>
    <w:rsid w:val="14EF35CF"/>
    <w:rsid w:val="15035321"/>
    <w:rsid w:val="15090A85"/>
    <w:rsid w:val="15145780"/>
    <w:rsid w:val="151F1ADE"/>
    <w:rsid w:val="15204125"/>
    <w:rsid w:val="15271BBC"/>
    <w:rsid w:val="152D05F0"/>
    <w:rsid w:val="15332B81"/>
    <w:rsid w:val="1534197E"/>
    <w:rsid w:val="15437E13"/>
    <w:rsid w:val="154F4A0A"/>
    <w:rsid w:val="156401AA"/>
    <w:rsid w:val="15655FDB"/>
    <w:rsid w:val="15671D54"/>
    <w:rsid w:val="15712BD2"/>
    <w:rsid w:val="157F52EF"/>
    <w:rsid w:val="15876CCD"/>
    <w:rsid w:val="15883A78"/>
    <w:rsid w:val="15892CDA"/>
    <w:rsid w:val="158A5A42"/>
    <w:rsid w:val="158C1F5E"/>
    <w:rsid w:val="158F3058"/>
    <w:rsid w:val="159643E7"/>
    <w:rsid w:val="15995C85"/>
    <w:rsid w:val="15A00DC2"/>
    <w:rsid w:val="15BD7BC5"/>
    <w:rsid w:val="15BE2371"/>
    <w:rsid w:val="15CE0478"/>
    <w:rsid w:val="15D869FE"/>
    <w:rsid w:val="15DB44F0"/>
    <w:rsid w:val="15ED57CD"/>
    <w:rsid w:val="15F5110D"/>
    <w:rsid w:val="15FF197D"/>
    <w:rsid w:val="16005D04"/>
    <w:rsid w:val="16047210"/>
    <w:rsid w:val="160752E5"/>
    <w:rsid w:val="160F219A"/>
    <w:rsid w:val="161D4EE0"/>
    <w:rsid w:val="162723E1"/>
    <w:rsid w:val="16300397"/>
    <w:rsid w:val="16331C36"/>
    <w:rsid w:val="163C2256"/>
    <w:rsid w:val="164200CB"/>
    <w:rsid w:val="16430362"/>
    <w:rsid w:val="164333B5"/>
    <w:rsid w:val="16442095"/>
    <w:rsid w:val="16465E0D"/>
    <w:rsid w:val="164A2C2D"/>
    <w:rsid w:val="164B6F7F"/>
    <w:rsid w:val="165027E8"/>
    <w:rsid w:val="165F0C7D"/>
    <w:rsid w:val="16677B31"/>
    <w:rsid w:val="16781D3E"/>
    <w:rsid w:val="16832BBD"/>
    <w:rsid w:val="169E73DC"/>
    <w:rsid w:val="169E79F7"/>
    <w:rsid w:val="16A843D2"/>
    <w:rsid w:val="16AB79DE"/>
    <w:rsid w:val="16B03286"/>
    <w:rsid w:val="16B84742"/>
    <w:rsid w:val="16B965DF"/>
    <w:rsid w:val="16BA2357"/>
    <w:rsid w:val="16BB01E4"/>
    <w:rsid w:val="16CC7FF2"/>
    <w:rsid w:val="16EF0518"/>
    <w:rsid w:val="1700420E"/>
    <w:rsid w:val="170D2487"/>
    <w:rsid w:val="170F4451"/>
    <w:rsid w:val="171245A4"/>
    <w:rsid w:val="17214184"/>
    <w:rsid w:val="1723614E"/>
    <w:rsid w:val="17283764"/>
    <w:rsid w:val="17483A0A"/>
    <w:rsid w:val="174C1201"/>
    <w:rsid w:val="174F6F43"/>
    <w:rsid w:val="17571954"/>
    <w:rsid w:val="1763479D"/>
    <w:rsid w:val="17677C2F"/>
    <w:rsid w:val="17730E69"/>
    <w:rsid w:val="17747262"/>
    <w:rsid w:val="17790641"/>
    <w:rsid w:val="1780534F"/>
    <w:rsid w:val="17854713"/>
    <w:rsid w:val="178B0859"/>
    <w:rsid w:val="1796247C"/>
    <w:rsid w:val="17A33F75"/>
    <w:rsid w:val="17A353F5"/>
    <w:rsid w:val="17A56B63"/>
    <w:rsid w:val="17A74689"/>
    <w:rsid w:val="17BB0135"/>
    <w:rsid w:val="17BB1EE3"/>
    <w:rsid w:val="17C137EA"/>
    <w:rsid w:val="17C22421"/>
    <w:rsid w:val="17C27715"/>
    <w:rsid w:val="17C92604"/>
    <w:rsid w:val="17C92852"/>
    <w:rsid w:val="17D11706"/>
    <w:rsid w:val="17D13431"/>
    <w:rsid w:val="17D44EB7"/>
    <w:rsid w:val="17DB2D47"/>
    <w:rsid w:val="17DD00AB"/>
    <w:rsid w:val="17DF2A99"/>
    <w:rsid w:val="17E23913"/>
    <w:rsid w:val="17EB6C6C"/>
    <w:rsid w:val="17EC4792"/>
    <w:rsid w:val="17F17FFA"/>
    <w:rsid w:val="17FB6783"/>
    <w:rsid w:val="17FF2717"/>
    <w:rsid w:val="18003D99"/>
    <w:rsid w:val="18061116"/>
    <w:rsid w:val="180E64B6"/>
    <w:rsid w:val="180F7162"/>
    <w:rsid w:val="1816180F"/>
    <w:rsid w:val="18167A61"/>
    <w:rsid w:val="18176E70"/>
    <w:rsid w:val="181B0A50"/>
    <w:rsid w:val="181C488B"/>
    <w:rsid w:val="1820443C"/>
    <w:rsid w:val="182757CA"/>
    <w:rsid w:val="18291542"/>
    <w:rsid w:val="182A2A5A"/>
    <w:rsid w:val="18366AB4"/>
    <w:rsid w:val="183D4FEE"/>
    <w:rsid w:val="18420258"/>
    <w:rsid w:val="18491BE4"/>
    <w:rsid w:val="184E71FB"/>
    <w:rsid w:val="185A5EAF"/>
    <w:rsid w:val="185B4F3B"/>
    <w:rsid w:val="185D2255"/>
    <w:rsid w:val="18602D95"/>
    <w:rsid w:val="18604B97"/>
    <w:rsid w:val="18626607"/>
    <w:rsid w:val="1864257A"/>
    <w:rsid w:val="18665400"/>
    <w:rsid w:val="18847368"/>
    <w:rsid w:val="18860743"/>
    <w:rsid w:val="188D6A31"/>
    <w:rsid w:val="188E3A9B"/>
    <w:rsid w:val="188F284E"/>
    <w:rsid w:val="18A4506D"/>
    <w:rsid w:val="18A71A41"/>
    <w:rsid w:val="18AB63FB"/>
    <w:rsid w:val="18AB6485"/>
    <w:rsid w:val="18B43502"/>
    <w:rsid w:val="18CB43A7"/>
    <w:rsid w:val="18D81BA2"/>
    <w:rsid w:val="18E4551E"/>
    <w:rsid w:val="18E558E7"/>
    <w:rsid w:val="18E72B38"/>
    <w:rsid w:val="18EE62E8"/>
    <w:rsid w:val="18F26B53"/>
    <w:rsid w:val="18F71D36"/>
    <w:rsid w:val="18FE652B"/>
    <w:rsid w:val="1900791E"/>
    <w:rsid w:val="19020982"/>
    <w:rsid w:val="190653E0"/>
    <w:rsid w:val="190B21D4"/>
    <w:rsid w:val="19120228"/>
    <w:rsid w:val="19185113"/>
    <w:rsid w:val="19257F5C"/>
    <w:rsid w:val="192C5F70"/>
    <w:rsid w:val="193163BA"/>
    <w:rsid w:val="19353964"/>
    <w:rsid w:val="1939049A"/>
    <w:rsid w:val="193D17A5"/>
    <w:rsid w:val="194C5F25"/>
    <w:rsid w:val="194D1260"/>
    <w:rsid w:val="195720DF"/>
    <w:rsid w:val="195C5947"/>
    <w:rsid w:val="1966229F"/>
    <w:rsid w:val="196842EC"/>
    <w:rsid w:val="196C5B8A"/>
    <w:rsid w:val="19701758"/>
    <w:rsid w:val="19704DB0"/>
    <w:rsid w:val="1991739F"/>
    <w:rsid w:val="1995531D"/>
    <w:rsid w:val="199926F8"/>
    <w:rsid w:val="19993659"/>
    <w:rsid w:val="199944A6"/>
    <w:rsid w:val="19A132C1"/>
    <w:rsid w:val="19AD1853"/>
    <w:rsid w:val="19B116AD"/>
    <w:rsid w:val="19B67B81"/>
    <w:rsid w:val="19C01A32"/>
    <w:rsid w:val="19CA6D19"/>
    <w:rsid w:val="19DA16D1"/>
    <w:rsid w:val="19DC4392"/>
    <w:rsid w:val="19EE5D67"/>
    <w:rsid w:val="19EF056A"/>
    <w:rsid w:val="19EF2A56"/>
    <w:rsid w:val="19F05074"/>
    <w:rsid w:val="19F94F44"/>
    <w:rsid w:val="1A051B3B"/>
    <w:rsid w:val="1A0C12FB"/>
    <w:rsid w:val="1A0D279E"/>
    <w:rsid w:val="1A163D48"/>
    <w:rsid w:val="1A1911FD"/>
    <w:rsid w:val="1A1D0C33"/>
    <w:rsid w:val="1A1E49AB"/>
    <w:rsid w:val="1A385A6D"/>
    <w:rsid w:val="1A3C3F06"/>
    <w:rsid w:val="1A3F504D"/>
    <w:rsid w:val="1A475CB0"/>
    <w:rsid w:val="1A4D521D"/>
    <w:rsid w:val="1A4F2DB6"/>
    <w:rsid w:val="1A502C52"/>
    <w:rsid w:val="1A5B79AD"/>
    <w:rsid w:val="1A5D1525"/>
    <w:rsid w:val="1A5F56EF"/>
    <w:rsid w:val="1A62393E"/>
    <w:rsid w:val="1A65037C"/>
    <w:rsid w:val="1A6D6BAE"/>
    <w:rsid w:val="1A736AA5"/>
    <w:rsid w:val="1A89451A"/>
    <w:rsid w:val="1A9D4B91"/>
    <w:rsid w:val="1AA023F8"/>
    <w:rsid w:val="1AA11864"/>
    <w:rsid w:val="1AA255DC"/>
    <w:rsid w:val="1AB33345"/>
    <w:rsid w:val="1AB60E27"/>
    <w:rsid w:val="1AB71087"/>
    <w:rsid w:val="1AC76DF0"/>
    <w:rsid w:val="1AC949FB"/>
    <w:rsid w:val="1ACD2659"/>
    <w:rsid w:val="1AE37CBC"/>
    <w:rsid w:val="1AEE25CF"/>
    <w:rsid w:val="1B014466"/>
    <w:rsid w:val="1B076B89"/>
    <w:rsid w:val="1B0E568F"/>
    <w:rsid w:val="1B100797"/>
    <w:rsid w:val="1B106561"/>
    <w:rsid w:val="1B116A28"/>
    <w:rsid w:val="1B122762"/>
    <w:rsid w:val="1B1B527C"/>
    <w:rsid w:val="1B281F85"/>
    <w:rsid w:val="1B28788F"/>
    <w:rsid w:val="1B2B3823"/>
    <w:rsid w:val="1B2C3630"/>
    <w:rsid w:val="1B3426D8"/>
    <w:rsid w:val="1B3721C8"/>
    <w:rsid w:val="1B373F96"/>
    <w:rsid w:val="1B432D94"/>
    <w:rsid w:val="1B4B17D0"/>
    <w:rsid w:val="1B59213E"/>
    <w:rsid w:val="1B5A7C65"/>
    <w:rsid w:val="1B632232"/>
    <w:rsid w:val="1B656D35"/>
    <w:rsid w:val="1B6603B7"/>
    <w:rsid w:val="1B6D3662"/>
    <w:rsid w:val="1B746F78"/>
    <w:rsid w:val="1B7A3E63"/>
    <w:rsid w:val="1B7C27A1"/>
    <w:rsid w:val="1B9131C9"/>
    <w:rsid w:val="1B9211AC"/>
    <w:rsid w:val="1B9238A2"/>
    <w:rsid w:val="1B943177"/>
    <w:rsid w:val="1B9969DF"/>
    <w:rsid w:val="1BA02B02"/>
    <w:rsid w:val="1BA50EE0"/>
    <w:rsid w:val="1BA535D6"/>
    <w:rsid w:val="1BA84E74"/>
    <w:rsid w:val="1BA86C22"/>
    <w:rsid w:val="1BAF6017"/>
    <w:rsid w:val="1BB36E25"/>
    <w:rsid w:val="1BBC5B46"/>
    <w:rsid w:val="1BBE01F3"/>
    <w:rsid w:val="1BBE1FA1"/>
    <w:rsid w:val="1BD45C69"/>
    <w:rsid w:val="1BEF2AA3"/>
    <w:rsid w:val="1BF12377"/>
    <w:rsid w:val="1BF51692"/>
    <w:rsid w:val="1BFB03B6"/>
    <w:rsid w:val="1BFB31F6"/>
    <w:rsid w:val="1C00080C"/>
    <w:rsid w:val="1C145AD5"/>
    <w:rsid w:val="1C192582"/>
    <w:rsid w:val="1C1D1215"/>
    <w:rsid w:val="1C27223D"/>
    <w:rsid w:val="1C2E35CB"/>
    <w:rsid w:val="1C387FA6"/>
    <w:rsid w:val="1C393B23"/>
    <w:rsid w:val="1C3B1632"/>
    <w:rsid w:val="1C4032FE"/>
    <w:rsid w:val="1C442703"/>
    <w:rsid w:val="1C4526C3"/>
    <w:rsid w:val="1C492DFB"/>
    <w:rsid w:val="1C4F0B7D"/>
    <w:rsid w:val="1C534DE0"/>
    <w:rsid w:val="1C547A87"/>
    <w:rsid w:val="1C5823F6"/>
    <w:rsid w:val="1C5A43C0"/>
    <w:rsid w:val="1C5E5533"/>
    <w:rsid w:val="1C5F78A0"/>
    <w:rsid w:val="1C662D65"/>
    <w:rsid w:val="1C6B037B"/>
    <w:rsid w:val="1C6B0E6E"/>
    <w:rsid w:val="1C737D2F"/>
    <w:rsid w:val="1C7A236C"/>
    <w:rsid w:val="1C7B54D2"/>
    <w:rsid w:val="1C915908"/>
    <w:rsid w:val="1C924B4B"/>
    <w:rsid w:val="1C933239"/>
    <w:rsid w:val="1C9D24FF"/>
    <w:rsid w:val="1C9F0025"/>
    <w:rsid w:val="1CA42B22"/>
    <w:rsid w:val="1CBA6C0D"/>
    <w:rsid w:val="1CBD25FA"/>
    <w:rsid w:val="1CC7132A"/>
    <w:rsid w:val="1CCC4063"/>
    <w:rsid w:val="1CD001DE"/>
    <w:rsid w:val="1CD81789"/>
    <w:rsid w:val="1CDA656E"/>
    <w:rsid w:val="1CDC3027"/>
    <w:rsid w:val="1CDD28FB"/>
    <w:rsid w:val="1CE26164"/>
    <w:rsid w:val="1CE41EDC"/>
    <w:rsid w:val="1CE75C51"/>
    <w:rsid w:val="1CEC2B3E"/>
    <w:rsid w:val="1CF163A7"/>
    <w:rsid w:val="1CF40156"/>
    <w:rsid w:val="1D063C00"/>
    <w:rsid w:val="1D070F0E"/>
    <w:rsid w:val="1D101B48"/>
    <w:rsid w:val="1D174F3D"/>
    <w:rsid w:val="1D197650"/>
    <w:rsid w:val="1D1B717B"/>
    <w:rsid w:val="1D2247B2"/>
    <w:rsid w:val="1D2D6F56"/>
    <w:rsid w:val="1D392227"/>
    <w:rsid w:val="1D3C5874"/>
    <w:rsid w:val="1D3F35B6"/>
    <w:rsid w:val="1D4D7A81"/>
    <w:rsid w:val="1D5E1C8E"/>
    <w:rsid w:val="1D685E42"/>
    <w:rsid w:val="1D8669FF"/>
    <w:rsid w:val="1D8D10A2"/>
    <w:rsid w:val="1D96467B"/>
    <w:rsid w:val="1D990F18"/>
    <w:rsid w:val="1DAB7535"/>
    <w:rsid w:val="1DB5375F"/>
    <w:rsid w:val="1DB721D1"/>
    <w:rsid w:val="1DBD0405"/>
    <w:rsid w:val="1DC11BA0"/>
    <w:rsid w:val="1DC55230"/>
    <w:rsid w:val="1DCA10D2"/>
    <w:rsid w:val="1DD106B2"/>
    <w:rsid w:val="1DD261D8"/>
    <w:rsid w:val="1DEF28E6"/>
    <w:rsid w:val="1E0D7499"/>
    <w:rsid w:val="1E182E21"/>
    <w:rsid w:val="1E195BB5"/>
    <w:rsid w:val="1E1B192D"/>
    <w:rsid w:val="1E1B7B7F"/>
    <w:rsid w:val="1E217C8F"/>
    <w:rsid w:val="1E2210EC"/>
    <w:rsid w:val="1E2307E2"/>
    <w:rsid w:val="1E3824DF"/>
    <w:rsid w:val="1E3C67A3"/>
    <w:rsid w:val="1E3E294A"/>
    <w:rsid w:val="1E4326D4"/>
    <w:rsid w:val="1E44427C"/>
    <w:rsid w:val="1E454BFC"/>
    <w:rsid w:val="1E4744D0"/>
    <w:rsid w:val="1E4E3AB1"/>
    <w:rsid w:val="1E5170FD"/>
    <w:rsid w:val="1E555ACE"/>
    <w:rsid w:val="1E5A2908"/>
    <w:rsid w:val="1E6E4153"/>
    <w:rsid w:val="1E6E5F01"/>
    <w:rsid w:val="1E775539"/>
    <w:rsid w:val="1E780B2E"/>
    <w:rsid w:val="1E7E1EBC"/>
    <w:rsid w:val="1E7E6045"/>
    <w:rsid w:val="1E83050B"/>
    <w:rsid w:val="1E85149C"/>
    <w:rsid w:val="1E875215"/>
    <w:rsid w:val="1E9F7E8B"/>
    <w:rsid w:val="1EA27958"/>
    <w:rsid w:val="1EA62707"/>
    <w:rsid w:val="1EAB5D97"/>
    <w:rsid w:val="1EB61FF0"/>
    <w:rsid w:val="1EB77B79"/>
    <w:rsid w:val="1EB8717C"/>
    <w:rsid w:val="1ED4749E"/>
    <w:rsid w:val="1ED939C9"/>
    <w:rsid w:val="1EF06916"/>
    <w:rsid w:val="1EF41932"/>
    <w:rsid w:val="1EF67CA4"/>
    <w:rsid w:val="1EF83A1C"/>
    <w:rsid w:val="1EF94F89"/>
    <w:rsid w:val="1EFB350D"/>
    <w:rsid w:val="1EFB3574"/>
    <w:rsid w:val="1F0A08B1"/>
    <w:rsid w:val="1F0A3F2F"/>
    <w:rsid w:val="1F152820"/>
    <w:rsid w:val="1F1D7927"/>
    <w:rsid w:val="1F21050F"/>
    <w:rsid w:val="1F252691"/>
    <w:rsid w:val="1F2667DB"/>
    <w:rsid w:val="1F353592"/>
    <w:rsid w:val="1F445595"/>
    <w:rsid w:val="1F4608EE"/>
    <w:rsid w:val="1F55375D"/>
    <w:rsid w:val="1F59624F"/>
    <w:rsid w:val="1F5F584A"/>
    <w:rsid w:val="1F602AE2"/>
    <w:rsid w:val="1F66307C"/>
    <w:rsid w:val="1F6C62F9"/>
    <w:rsid w:val="1F6E1F30"/>
    <w:rsid w:val="1F6E72A7"/>
    <w:rsid w:val="1F703EFB"/>
    <w:rsid w:val="1F737A0B"/>
    <w:rsid w:val="1F7568E5"/>
    <w:rsid w:val="1F833A2C"/>
    <w:rsid w:val="1F861224"/>
    <w:rsid w:val="1F86727A"/>
    <w:rsid w:val="1F882FF2"/>
    <w:rsid w:val="1F9C4CF0"/>
    <w:rsid w:val="1FA37E2C"/>
    <w:rsid w:val="1FAB0A8F"/>
    <w:rsid w:val="1FAB6CE1"/>
    <w:rsid w:val="1FAC5FA0"/>
    <w:rsid w:val="1FB5156C"/>
    <w:rsid w:val="1FC4790F"/>
    <w:rsid w:val="1FD75D28"/>
    <w:rsid w:val="1FE346CD"/>
    <w:rsid w:val="1FE3647B"/>
    <w:rsid w:val="1FE67D19"/>
    <w:rsid w:val="1FE91FB6"/>
    <w:rsid w:val="1FF32104"/>
    <w:rsid w:val="1FF7248B"/>
    <w:rsid w:val="1FF82C18"/>
    <w:rsid w:val="20020FF7"/>
    <w:rsid w:val="20087C8F"/>
    <w:rsid w:val="200F04DE"/>
    <w:rsid w:val="20196340"/>
    <w:rsid w:val="201B3E66"/>
    <w:rsid w:val="202F7912"/>
    <w:rsid w:val="20304A05"/>
    <w:rsid w:val="203A0A9F"/>
    <w:rsid w:val="20401B1F"/>
    <w:rsid w:val="205739C6"/>
    <w:rsid w:val="2068642A"/>
    <w:rsid w:val="207A092D"/>
    <w:rsid w:val="207B2B57"/>
    <w:rsid w:val="20911BED"/>
    <w:rsid w:val="209C0FA7"/>
    <w:rsid w:val="20A46298"/>
    <w:rsid w:val="20BD4F1E"/>
    <w:rsid w:val="20BE47B9"/>
    <w:rsid w:val="20BF6E96"/>
    <w:rsid w:val="20CA58B5"/>
    <w:rsid w:val="20CA763A"/>
    <w:rsid w:val="20CC18DA"/>
    <w:rsid w:val="20CC5161"/>
    <w:rsid w:val="20E424AA"/>
    <w:rsid w:val="20F44BDA"/>
    <w:rsid w:val="20F94EA8"/>
    <w:rsid w:val="2100305C"/>
    <w:rsid w:val="210C37AF"/>
    <w:rsid w:val="211F1734"/>
    <w:rsid w:val="212B4477"/>
    <w:rsid w:val="212C5BFF"/>
    <w:rsid w:val="21333432"/>
    <w:rsid w:val="213D605E"/>
    <w:rsid w:val="213F5933"/>
    <w:rsid w:val="214B2529"/>
    <w:rsid w:val="214E3DC8"/>
    <w:rsid w:val="21577120"/>
    <w:rsid w:val="21582E98"/>
    <w:rsid w:val="215F39E6"/>
    <w:rsid w:val="2164183D"/>
    <w:rsid w:val="21674E89"/>
    <w:rsid w:val="216B3C80"/>
    <w:rsid w:val="21751354"/>
    <w:rsid w:val="217D495F"/>
    <w:rsid w:val="219043E0"/>
    <w:rsid w:val="219A525F"/>
    <w:rsid w:val="219C0FD7"/>
    <w:rsid w:val="219C4B33"/>
    <w:rsid w:val="219F4623"/>
    <w:rsid w:val="21A02165"/>
    <w:rsid w:val="21A8172A"/>
    <w:rsid w:val="21A8797C"/>
    <w:rsid w:val="21B93937"/>
    <w:rsid w:val="21BA145D"/>
    <w:rsid w:val="21BE0F4D"/>
    <w:rsid w:val="21CB366A"/>
    <w:rsid w:val="21D02A2F"/>
    <w:rsid w:val="21DC3EBE"/>
    <w:rsid w:val="21DC44CE"/>
    <w:rsid w:val="21DE3487"/>
    <w:rsid w:val="21E07116"/>
    <w:rsid w:val="21EA7F94"/>
    <w:rsid w:val="21F037F0"/>
    <w:rsid w:val="21F93D33"/>
    <w:rsid w:val="220152DE"/>
    <w:rsid w:val="2201708C"/>
    <w:rsid w:val="220821C8"/>
    <w:rsid w:val="220A4192"/>
    <w:rsid w:val="221769D6"/>
    <w:rsid w:val="2221328A"/>
    <w:rsid w:val="22266843"/>
    <w:rsid w:val="22284619"/>
    <w:rsid w:val="22394A78"/>
    <w:rsid w:val="223C00C4"/>
    <w:rsid w:val="223E5742"/>
    <w:rsid w:val="224913C5"/>
    <w:rsid w:val="224D26CF"/>
    <w:rsid w:val="22522477"/>
    <w:rsid w:val="22572153"/>
    <w:rsid w:val="2263417D"/>
    <w:rsid w:val="2265586D"/>
    <w:rsid w:val="2267320D"/>
    <w:rsid w:val="226F3FF6"/>
    <w:rsid w:val="226F7886"/>
    <w:rsid w:val="22782684"/>
    <w:rsid w:val="22784192"/>
    <w:rsid w:val="2280071F"/>
    <w:rsid w:val="22803731"/>
    <w:rsid w:val="22844E54"/>
    <w:rsid w:val="228A62C8"/>
    <w:rsid w:val="228D1E28"/>
    <w:rsid w:val="228F4F34"/>
    <w:rsid w:val="22916662"/>
    <w:rsid w:val="22970BAB"/>
    <w:rsid w:val="229E2B2D"/>
    <w:rsid w:val="22AC349C"/>
    <w:rsid w:val="22B91715"/>
    <w:rsid w:val="22C407E5"/>
    <w:rsid w:val="22C72083"/>
    <w:rsid w:val="22C7262E"/>
    <w:rsid w:val="22CF0F38"/>
    <w:rsid w:val="22D37BFF"/>
    <w:rsid w:val="22D73C35"/>
    <w:rsid w:val="22D8603F"/>
    <w:rsid w:val="22EC3898"/>
    <w:rsid w:val="22ED7C37"/>
    <w:rsid w:val="22F64717"/>
    <w:rsid w:val="22F7169F"/>
    <w:rsid w:val="230706D2"/>
    <w:rsid w:val="2309269C"/>
    <w:rsid w:val="230C30BF"/>
    <w:rsid w:val="231D6147"/>
    <w:rsid w:val="23207584"/>
    <w:rsid w:val="232548A1"/>
    <w:rsid w:val="23255AD4"/>
    <w:rsid w:val="23270D74"/>
    <w:rsid w:val="232B50A5"/>
    <w:rsid w:val="232C0139"/>
    <w:rsid w:val="232E3EB1"/>
    <w:rsid w:val="233F1C1A"/>
    <w:rsid w:val="23404017"/>
    <w:rsid w:val="235002CB"/>
    <w:rsid w:val="23553472"/>
    <w:rsid w:val="235558E1"/>
    <w:rsid w:val="23566F63"/>
    <w:rsid w:val="235A71CB"/>
    <w:rsid w:val="235F6973"/>
    <w:rsid w:val="23624E4D"/>
    <w:rsid w:val="236A5261"/>
    <w:rsid w:val="23720241"/>
    <w:rsid w:val="237B34F7"/>
    <w:rsid w:val="237B69CA"/>
    <w:rsid w:val="23843AD1"/>
    <w:rsid w:val="23856005"/>
    <w:rsid w:val="238B4E5F"/>
    <w:rsid w:val="23985936"/>
    <w:rsid w:val="23AE2BED"/>
    <w:rsid w:val="23AE6D9F"/>
    <w:rsid w:val="23B44BE1"/>
    <w:rsid w:val="23BD5235"/>
    <w:rsid w:val="23C40371"/>
    <w:rsid w:val="23C6058D"/>
    <w:rsid w:val="23CB16FF"/>
    <w:rsid w:val="23CC3C8A"/>
    <w:rsid w:val="23CD52D2"/>
    <w:rsid w:val="23D22A8E"/>
    <w:rsid w:val="23D42CAA"/>
    <w:rsid w:val="23D72A6F"/>
    <w:rsid w:val="23EB639D"/>
    <w:rsid w:val="23F549CE"/>
    <w:rsid w:val="23F63A81"/>
    <w:rsid w:val="23F97886"/>
    <w:rsid w:val="23FE1AD5"/>
    <w:rsid w:val="240F73CC"/>
    <w:rsid w:val="241C03D8"/>
    <w:rsid w:val="2426102C"/>
    <w:rsid w:val="24262CD2"/>
    <w:rsid w:val="242A0B1C"/>
    <w:rsid w:val="24315BC1"/>
    <w:rsid w:val="2432130F"/>
    <w:rsid w:val="24341B4E"/>
    <w:rsid w:val="243472A5"/>
    <w:rsid w:val="24374FE7"/>
    <w:rsid w:val="243F1FBF"/>
    <w:rsid w:val="24564250"/>
    <w:rsid w:val="245C4A4D"/>
    <w:rsid w:val="246175D8"/>
    <w:rsid w:val="2466767A"/>
    <w:rsid w:val="246E308C"/>
    <w:rsid w:val="2471674B"/>
    <w:rsid w:val="247D056D"/>
    <w:rsid w:val="249266C1"/>
    <w:rsid w:val="24A106B2"/>
    <w:rsid w:val="24A51F50"/>
    <w:rsid w:val="24B623B0"/>
    <w:rsid w:val="24B65F0C"/>
    <w:rsid w:val="24BD5D19"/>
    <w:rsid w:val="24C21763"/>
    <w:rsid w:val="24CA408D"/>
    <w:rsid w:val="24ED56A6"/>
    <w:rsid w:val="24FD1D8D"/>
    <w:rsid w:val="250A6257"/>
    <w:rsid w:val="2514172A"/>
    <w:rsid w:val="25180974"/>
    <w:rsid w:val="25184E18"/>
    <w:rsid w:val="251B35D9"/>
    <w:rsid w:val="2532382D"/>
    <w:rsid w:val="253B28B5"/>
    <w:rsid w:val="253C2D8D"/>
    <w:rsid w:val="25472D7E"/>
    <w:rsid w:val="254774AC"/>
    <w:rsid w:val="25495178"/>
    <w:rsid w:val="255045B2"/>
    <w:rsid w:val="25506FCE"/>
    <w:rsid w:val="255B3A92"/>
    <w:rsid w:val="255D0A7D"/>
    <w:rsid w:val="25677D1E"/>
    <w:rsid w:val="25685F0A"/>
    <w:rsid w:val="256B319A"/>
    <w:rsid w:val="257F09F3"/>
    <w:rsid w:val="25810204"/>
    <w:rsid w:val="25826736"/>
    <w:rsid w:val="258D0209"/>
    <w:rsid w:val="258D3384"/>
    <w:rsid w:val="258F4359"/>
    <w:rsid w:val="259024C0"/>
    <w:rsid w:val="259A3A7F"/>
    <w:rsid w:val="259D0E7A"/>
    <w:rsid w:val="259D3570"/>
    <w:rsid w:val="259F1096"/>
    <w:rsid w:val="25A032F9"/>
    <w:rsid w:val="25A17491"/>
    <w:rsid w:val="25A55F80"/>
    <w:rsid w:val="25B222C3"/>
    <w:rsid w:val="25B46B63"/>
    <w:rsid w:val="25B54415"/>
    <w:rsid w:val="25C32FD6"/>
    <w:rsid w:val="25C6326A"/>
    <w:rsid w:val="25C746DF"/>
    <w:rsid w:val="25D86356"/>
    <w:rsid w:val="25DD396C"/>
    <w:rsid w:val="25E22D30"/>
    <w:rsid w:val="25E57B7A"/>
    <w:rsid w:val="25F56F08"/>
    <w:rsid w:val="25F85512"/>
    <w:rsid w:val="25FA2B0E"/>
    <w:rsid w:val="25FA451E"/>
    <w:rsid w:val="25FD7B6A"/>
    <w:rsid w:val="26034BF9"/>
    <w:rsid w:val="26054DC6"/>
    <w:rsid w:val="261F21D6"/>
    <w:rsid w:val="262A2531"/>
    <w:rsid w:val="262B2929"/>
    <w:rsid w:val="262C5743"/>
    <w:rsid w:val="263A2B6C"/>
    <w:rsid w:val="264D28A0"/>
    <w:rsid w:val="26543C2E"/>
    <w:rsid w:val="265E61B2"/>
    <w:rsid w:val="265E685B"/>
    <w:rsid w:val="2665408D"/>
    <w:rsid w:val="26655E3B"/>
    <w:rsid w:val="2668592C"/>
    <w:rsid w:val="266D4CF0"/>
    <w:rsid w:val="267A55B4"/>
    <w:rsid w:val="267A66BE"/>
    <w:rsid w:val="26981E89"/>
    <w:rsid w:val="269A48DA"/>
    <w:rsid w:val="269B7AAF"/>
    <w:rsid w:val="26B648E9"/>
    <w:rsid w:val="26C412B6"/>
    <w:rsid w:val="26C80178"/>
    <w:rsid w:val="26C82273"/>
    <w:rsid w:val="26C95BEE"/>
    <w:rsid w:val="26CF0CF2"/>
    <w:rsid w:val="26D1468A"/>
    <w:rsid w:val="26D44CC8"/>
    <w:rsid w:val="26DF7769"/>
    <w:rsid w:val="26EA00EF"/>
    <w:rsid w:val="26ED1D1A"/>
    <w:rsid w:val="26F1367D"/>
    <w:rsid w:val="27103C37"/>
    <w:rsid w:val="271611CC"/>
    <w:rsid w:val="271804EB"/>
    <w:rsid w:val="27210655"/>
    <w:rsid w:val="27225ADA"/>
    <w:rsid w:val="27301AD0"/>
    <w:rsid w:val="27361586"/>
    <w:rsid w:val="273852FE"/>
    <w:rsid w:val="273870AC"/>
    <w:rsid w:val="274F2647"/>
    <w:rsid w:val="27524877"/>
    <w:rsid w:val="27533EE6"/>
    <w:rsid w:val="276106BE"/>
    <w:rsid w:val="27615893"/>
    <w:rsid w:val="276A5816"/>
    <w:rsid w:val="276C144B"/>
    <w:rsid w:val="2777409F"/>
    <w:rsid w:val="277A3B68"/>
    <w:rsid w:val="277B58F1"/>
    <w:rsid w:val="27985A3D"/>
    <w:rsid w:val="279B3ADF"/>
    <w:rsid w:val="27A40BE5"/>
    <w:rsid w:val="27AC3146"/>
    <w:rsid w:val="27B23302"/>
    <w:rsid w:val="27B900DF"/>
    <w:rsid w:val="27C0606E"/>
    <w:rsid w:val="27D668C5"/>
    <w:rsid w:val="27DA4607"/>
    <w:rsid w:val="27DD7C53"/>
    <w:rsid w:val="27E012AA"/>
    <w:rsid w:val="27E2170E"/>
    <w:rsid w:val="27E532D7"/>
    <w:rsid w:val="27E63C9F"/>
    <w:rsid w:val="27EC60E8"/>
    <w:rsid w:val="27EF069B"/>
    <w:rsid w:val="27F51441"/>
    <w:rsid w:val="27FF7BCA"/>
    <w:rsid w:val="28034FD9"/>
    <w:rsid w:val="28074CD0"/>
    <w:rsid w:val="280C22E7"/>
    <w:rsid w:val="281713B7"/>
    <w:rsid w:val="28177609"/>
    <w:rsid w:val="281A2C55"/>
    <w:rsid w:val="282C47B3"/>
    <w:rsid w:val="28327F9F"/>
    <w:rsid w:val="28353483"/>
    <w:rsid w:val="28355CE1"/>
    <w:rsid w:val="28357800"/>
    <w:rsid w:val="283C7070"/>
    <w:rsid w:val="28437A48"/>
    <w:rsid w:val="284B72B3"/>
    <w:rsid w:val="284E223D"/>
    <w:rsid w:val="284F6DA3"/>
    <w:rsid w:val="28577A06"/>
    <w:rsid w:val="28584433"/>
    <w:rsid w:val="285A5748"/>
    <w:rsid w:val="286647CC"/>
    <w:rsid w:val="28665E9B"/>
    <w:rsid w:val="286D7229"/>
    <w:rsid w:val="28702875"/>
    <w:rsid w:val="2874680A"/>
    <w:rsid w:val="28783B90"/>
    <w:rsid w:val="287A36F4"/>
    <w:rsid w:val="288602EB"/>
    <w:rsid w:val="28B739CE"/>
    <w:rsid w:val="28B74948"/>
    <w:rsid w:val="28BB5D28"/>
    <w:rsid w:val="28C0374E"/>
    <w:rsid w:val="28C10586"/>
    <w:rsid w:val="28C3509B"/>
    <w:rsid w:val="28C90EAB"/>
    <w:rsid w:val="28CC0141"/>
    <w:rsid w:val="28CD5F1A"/>
    <w:rsid w:val="28D56B7C"/>
    <w:rsid w:val="28E514B5"/>
    <w:rsid w:val="28F079B5"/>
    <w:rsid w:val="28FC05AD"/>
    <w:rsid w:val="28FE2577"/>
    <w:rsid w:val="29044CC1"/>
    <w:rsid w:val="29054FC0"/>
    <w:rsid w:val="2907142C"/>
    <w:rsid w:val="29073504"/>
    <w:rsid w:val="290F2888"/>
    <w:rsid w:val="291E6775"/>
    <w:rsid w:val="29235B3A"/>
    <w:rsid w:val="292B0D5C"/>
    <w:rsid w:val="29325D7D"/>
    <w:rsid w:val="293E4722"/>
    <w:rsid w:val="294206B6"/>
    <w:rsid w:val="29455968"/>
    <w:rsid w:val="294C79FA"/>
    <w:rsid w:val="29583A35"/>
    <w:rsid w:val="295D104C"/>
    <w:rsid w:val="295E2539"/>
    <w:rsid w:val="29626662"/>
    <w:rsid w:val="2964062C"/>
    <w:rsid w:val="296E14AB"/>
    <w:rsid w:val="29705D42"/>
    <w:rsid w:val="29753F13"/>
    <w:rsid w:val="297F65C0"/>
    <w:rsid w:val="29802F8C"/>
    <w:rsid w:val="29832F99"/>
    <w:rsid w:val="2987431B"/>
    <w:rsid w:val="29926910"/>
    <w:rsid w:val="29934A6D"/>
    <w:rsid w:val="299A5D66"/>
    <w:rsid w:val="299B6018"/>
    <w:rsid w:val="29AA1DB7"/>
    <w:rsid w:val="29B33362"/>
    <w:rsid w:val="29B570DA"/>
    <w:rsid w:val="29BB3FC4"/>
    <w:rsid w:val="29C34F55"/>
    <w:rsid w:val="29D05CC2"/>
    <w:rsid w:val="29D30788"/>
    <w:rsid w:val="29D357B2"/>
    <w:rsid w:val="29DF7CB3"/>
    <w:rsid w:val="29E11EFB"/>
    <w:rsid w:val="29F728EF"/>
    <w:rsid w:val="29F8004B"/>
    <w:rsid w:val="29FA689B"/>
    <w:rsid w:val="29FD22B4"/>
    <w:rsid w:val="2A050A46"/>
    <w:rsid w:val="2A0B4F4C"/>
    <w:rsid w:val="2A0B6CFA"/>
    <w:rsid w:val="2A0C65CE"/>
    <w:rsid w:val="2A263B34"/>
    <w:rsid w:val="2A2C0A1E"/>
    <w:rsid w:val="2A302C4F"/>
    <w:rsid w:val="2A306760"/>
    <w:rsid w:val="2A3A313B"/>
    <w:rsid w:val="2A413DDE"/>
    <w:rsid w:val="2A465F84"/>
    <w:rsid w:val="2A4B17B2"/>
    <w:rsid w:val="2A502FEB"/>
    <w:rsid w:val="2A53244F"/>
    <w:rsid w:val="2A553C62"/>
    <w:rsid w:val="2A58372E"/>
    <w:rsid w:val="2A597892"/>
    <w:rsid w:val="2A5E32CD"/>
    <w:rsid w:val="2A7744A6"/>
    <w:rsid w:val="2A77613D"/>
    <w:rsid w:val="2A8A2314"/>
    <w:rsid w:val="2A905CCB"/>
    <w:rsid w:val="2A92596F"/>
    <w:rsid w:val="2A95250A"/>
    <w:rsid w:val="2A9E13F0"/>
    <w:rsid w:val="2ABA24CE"/>
    <w:rsid w:val="2AC46EA9"/>
    <w:rsid w:val="2ACF5F79"/>
    <w:rsid w:val="2AD36281"/>
    <w:rsid w:val="2AD749A5"/>
    <w:rsid w:val="2AD77101"/>
    <w:rsid w:val="2AD83BB6"/>
    <w:rsid w:val="2AE123D4"/>
    <w:rsid w:val="2AE35581"/>
    <w:rsid w:val="2AE5754B"/>
    <w:rsid w:val="2AF23A16"/>
    <w:rsid w:val="2AF61A56"/>
    <w:rsid w:val="2AFAE7EE"/>
    <w:rsid w:val="2AFB4FC0"/>
    <w:rsid w:val="2AFD74FF"/>
    <w:rsid w:val="2B075127"/>
    <w:rsid w:val="2B2C33CC"/>
    <w:rsid w:val="2B30453E"/>
    <w:rsid w:val="2B471FB3"/>
    <w:rsid w:val="2B4C1378"/>
    <w:rsid w:val="2B5621F6"/>
    <w:rsid w:val="2B5B780D"/>
    <w:rsid w:val="2B5D17D7"/>
    <w:rsid w:val="2B5D59FE"/>
    <w:rsid w:val="2B5E554F"/>
    <w:rsid w:val="2B710DDE"/>
    <w:rsid w:val="2B732DA8"/>
    <w:rsid w:val="2B74267D"/>
    <w:rsid w:val="2B793244"/>
    <w:rsid w:val="2B7B1C5D"/>
    <w:rsid w:val="2B7B217D"/>
    <w:rsid w:val="2B886128"/>
    <w:rsid w:val="2B8A6344"/>
    <w:rsid w:val="2B9601FE"/>
    <w:rsid w:val="2B964CE9"/>
    <w:rsid w:val="2BAC62BA"/>
    <w:rsid w:val="2BB4516F"/>
    <w:rsid w:val="2BC03B14"/>
    <w:rsid w:val="2BC37160"/>
    <w:rsid w:val="2BCA4992"/>
    <w:rsid w:val="2BD001FB"/>
    <w:rsid w:val="2BD15D21"/>
    <w:rsid w:val="2BD86B9F"/>
    <w:rsid w:val="2BDD6915"/>
    <w:rsid w:val="2BEB7C37"/>
    <w:rsid w:val="2BEE68D3"/>
    <w:rsid w:val="2BF11E95"/>
    <w:rsid w:val="2BF57C61"/>
    <w:rsid w:val="2BFA0DD4"/>
    <w:rsid w:val="2C02412C"/>
    <w:rsid w:val="2C1A1476"/>
    <w:rsid w:val="2C1A25BE"/>
    <w:rsid w:val="2C1D328F"/>
    <w:rsid w:val="2C2916B9"/>
    <w:rsid w:val="2C2B5431"/>
    <w:rsid w:val="2C363032"/>
    <w:rsid w:val="2C372028"/>
    <w:rsid w:val="2C396EB9"/>
    <w:rsid w:val="2C4209CD"/>
    <w:rsid w:val="2C4219EE"/>
    <w:rsid w:val="2C46263D"/>
    <w:rsid w:val="2C4D184B"/>
    <w:rsid w:val="2C505A98"/>
    <w:rsid w:val="2C567FD4"/>
    <w:rsid w:val="2C5F332D"/>
    <w:rsid w:val="2C610E53"/>
    <w:rsid w:val="2C695F59"/>
    <w:rsid w:val="2C6A365C"/>
    <w:rsid w:val="2C7212B2"/>
    <w:rsid w:val="2C723060"/>
    <w:rsid w:val="2C7A0167"/>
    <w:rsid w:val="2C7D1A05"/>
    <w:rsid w:val="2C7F56C9"/>
    <w:rsid w:val="2C8E0B93"/>
    <w:rsid w:val="2C8E7465"/>
    <w:rsid w:val="2C912B7E"/>
    <w:rsid w:val="2CA50AF2"/>
    <w:rsid w:val="2CAE26F0"/>
    <w:rsid w:val="2CBC077F"/>
    <w:rsid w:val="2CBE44F7"/>
    <w:rsid w:val="2CC118F2"/>
    <w:rsid w:val="2CC55886"/>
    <w:rsid w:val="2CC80ED2"/>
    <w:rsid w:val="2CCA1365"/>
    <w:rsid w:val="2CCA4885"/>
    <w:rsid w:val="2CCB6C14"/>
    <w:rsid w:val="2CD05FD9"/>
    <w:rsid w:val="2CD32A99"/>
    <w:rsid w:val="2CD51841"/>
    <w:rsid w:val="2CDA29B3"/>
    <w:rsid w:val="2CF00429"/>
    <w:rsid w:val="2D0143E4"/>
    <w:rsid w:val="2D077A96"/>
    <w:rsid w:val="2D095047"/>
    <w:rsid w:val="2D103A69"/>
    <w:rsid w:val="2D1759B5"/>
    <w:rsid w:val="2D1C121E"/>
    <w:rsid w:val="2D256324"/>
    <w:rsid w:val="2D2A56E9"/>
    <w:rsid w:val="2D3148F1"/>
    <w:rsid w:val="2D360531"/>
    <w:rsid w:val="2D3622E0"/>
    <w:rsid w:val="2D3A44A6"/>
    <w:rsid w:val="2D3C71CA"/>
    <w:rsid w:val="2D3F78BE"/>
    <w:rsid w:val="2D4F1984"/>
    <w:rsid w:val="2D54790D"/>
    <w:rsid w:val="2D5D4AAA"/>
    <w:rsid w:val="2D614E83"/>
    <w:rsid w:val="2D616C31"/>
    <w:rsid w:val="2D72372C"/>
    <w:rsid w:val="2D7626DC"/>
    <w:rsid w:val="2D7638ED"/>
    <w:rsid w:val="2D7921CC"/>
    <w:rsid w:val="2D8F379E"/>
    <w:rsid w:val="2D9556A2"/>
    <w:rsid w:val="2D960FD0"/>
    <w:rsid w:val="2D964E26"/>
    <w:rsid w:val="2D984D48"/>
    <w:rsid w:val="2D99286E"/>
    <w:rsid w:val="2D9D410D"/>
    <w:rsid w:val="2D9D7587"/>
    <w:rsid w:val="2DA01E4F"/>
    <w:rsid w:val="2DA75B41"/>
    <w:rsid w:val="2DA853C9"/>
    <w:rsid w:val="2DAC61D2"/>
    <w:rsid w:val="2DAE4A20"/>
    <w:rsid w:val="2DB949C1"/>
    <w:rsid w:val="2DBB168C"/>
    <w:rsid w:val="2DBE0EFA"/>
    <w:rsid w:val="2DCA6ECC"/>
    <w:rsid w:val="2DD372EB"/>
    <w:rsid w:val="2DD45655"/>
    <w:rsid w:val="2DD956C5"/>
    <w:rsid w:val="2DDD6BFF"/>
    <w:rsid w:val="2DDE509E"/>
    <w:rsid w:val="2DE809C0"/>
    <w:rsid w:val="2DEB478D"/>
    <w:rsid w:val="2DEC0BF0"/>
    <w:rsid w:val="2DEF57AB"/>
    <w:rsid w:val="2DF83A39"/>
    <w:rsid w:val="2DFF42AE"/>
    <w:rsid w:val="2E161205"/>
    <w:rsid w:val="2E206AEC"/>
    <w:rsid w:val="2E2C5491"/>
    <w:rsid w:val="2E342819"/>
    <w:rsid w:val="2E4119B7"/>
    <w:rsid w:val="2E480D44"/>
    <w:rsid w:val="2E544421"/>
    <w:rsid w:val="2E5B431F"/>
    <w:rsid w:val="2E62514D"/>
    <w:rsid w:val="2E642E7C"/>
    <w:rsid w:val="2E6609A2"/>
    <w:rsid w:val="2E68188E"/>
    <w:rsid w:val="2E701821"/>
    <w:rsid w:val="2E734E6D"/>
    <w:rsid w:val="2E750BE6"/>
    <w:rsid w:val="2E756E38"/>
    <w:rsid w:val="2E836835"/>
    <w:rsid w:val="2E910BE6"/>
    <w:rsid w:val="2E921798"/>
    <w:rsid w:val="2E9279E9"/>
    <w:rsid w:val="2E9D013C"/>
    <w:rsid w:val="2EA702D7"/>
    <w:rsid w:val="2EA80FBB"/>
    <w:rsid w:val="2EA96AE1"/>
    <w:rsid w:val="2EB21E3A"/>
    <w:rsid w:val="2EBE6A23"/>
    <w:rsid w:val="2EBF4557"/>
    <w:rsid w:val="2EC1468C"/>
    <w:rsid w:val="2EC3337C"/>
    <w:rsid w:val="2EC658E5"/>
    <w:rsid w:val="2EC83E5D"/>
    <w:rsid w:val="2ECD27D0"/>
    <w:rsid w:val="2ED5384C"/>
    <w:rsid w:val="2EE10029"/>
    <w:rsid w:val="2EF04710"/>
    <w:rsid w:val="2EF64E1C"/>
    <w:rsid w:val="2EF84D3C"/>
    <w:rsid w:val="2EFF2BA5"/>
    <w:rsid w:val="2F0167C5"/>
    <w:rsid w:val="2F032695"/>
    <w:rsid w:val="2F036389"/>
    <w:rsid w:val="2F041F69"/>
    <w:rsid w:val="2F065CE2"/>
    <w:rsid w:val="2F10090E"/>
    <w:rsid w:val="2F1A79DF"/>
    <w:rsid w:val="2F33104C"/>
    <w:rsid w:val="2F3B1E2F"/>
    <w:rsid w:val="2F404EDB"/>
    <w:rsid w:val="2F4264F4"/>
    <w:rsid w:val="2F4A2072"/>
    <w:rsid w:val="2F503401"/>
    <w:rsid w:val="2F566C69"/>
    <w:rsid w:val="2F570EAC"/>
    <w:rsid w:val="2F642A08"/>
    <w:rsid w:val="2F644883"/>
    <w:rsid w:val="2F6D5522"/>
    <w:rsid w:val="2F6D5D61"/>
    <w:rsid w:val="2F762E67"/>
    <w:rsid w:val="2F7B5976"/>
    <w:rsid w:val="2F7E4C28"/>
    <w:rsid w:val="2F803CE6"/>
    <w:rsid w:val="2F835584"/>
    <w:rsid w:val="2F8B6F9C"/>
    <w:rsid w:val="2F8F3F29"/>
    <w:rsid w:val="2F9939E1"/>
    <w:rsid w:val="2FA572A9"/>
    <w:rsid w:val="2FAA2B11"/>
    <w:rsid w:val="2FBC25A1"/>
    <w:rsid w:val="2FBD4C03"/>
    <w:rsid w:val="2FC8743B"/>
    <w:rsid w:val="2FD162F0"/>
    <w:rsid w:val="2FDB1885"/>
    <w:rsid w:val="2FE222AB"/>
    <w:rsid w:val="2FED0B26"/>
    <w:rsid w:val="2FF26266"/>
    <w:rsid w:val="2FF41FDE"/>
    <w:rsid w:val="2FF760BB"/>
    <w:rsid w:val="2FFA3ADC"/>
    <w:rsid w:val="300466C5"/>
    <w:rsid w:val="30153E65"/>
    <w:rsid w:val="301B3A0F"/>
    <w:rsid w:val="30293BE1"/>
    <w:rsid w:val="302C68FD"/>
    <w:rsid w:val="302E54F0"/>
    <w:rsid w:val="303074BA"/>
    <w:rsid w:val="303E3CB1"/>
    <w:rsid w:val="30403475"/>
    <w:rsid w:val="304D454B"/>
    <w:rsid w:val="304D7D3F"/>
    <w:rsid w:val="304F36B8"/>
    <w:rsid w:val="304F5466"/>
    <w:rsid w:val="30542A7D"/>
    <w:rsid w:val="30607673"/>
    <w:rsid w:val="30634474"/>
    <w:rsid w:val="306929CC"/>
    <w:rsid w:val="306A22A0"/>
    <w:rsid w:val="306F78B6"/>
    <w:rsid w:val="3075311F"/>
    <w:rsid w:val="30783819"/>
    <w:rsid w:val="307C0A59"/>
    <w:rsid w:val="30890978"/>
    <w:rsid w:val="308A649E"/>
    <w:rsid w:val="308F7516"/>
    <w:rsid w:val="30932172"/>
    <w:rsid w:val="309537C1"/>
    <w:rsid w:val="309612E7"/>
    <w:rsid w:val="30966D45"/>
    <w:rsid w:val="309E6346"/>
    <w:rsid w:val="30B8125D"/>
    <w:rsid w:val="30C324A1"/>
    <w:rsid w:val="30C41CF9"/>
    <w:rsid w:val="30C85944"/>
    <w:rsid w:val="30C909D7"/>
    <w:rsid w:val="30D047F9"/>
    <w:rsid w:val="30D51E0F"/>
    <w:rsid w:val="30DA1475"/>
    <w:rsid w:val="30DF0053"/>
    <w:rsid w:val="30E74A2B"/>
    <w:rsid w:val="30EB0495"/>
    <w:rsid w:val="30F8531A"/>
    <w:rsid w:val="30F85705"/>
    <w:rsid w:val="31055323"/>
    <w:rsid w:val="31132DF7"/>
    <w:rsid w:val="311346E6"/>
    <w:rsid w:val="312243DD"/>
    <w:rsid w:val="3128741A"/>
    <w:rsid w:val="31293F09"/>
    <w:rsid w:val="312E30B8"/>
    <w:rsid w:val="31350B00"/>
    <w:rsid w:val="313A6116"/>
    <w:rsid w:val="313A6169"/>
    <w:rsid w:val="31466869"/>
    <w:rsid w:val="314C343E"/>
    <w:rsid w:val="315A604D"/>
    <w:rsid w:val="31644EEA"/>
    <w:rsid w:val="31644F41"/>
    <w:rsid w:val="31666F0B"/>
    <w:rsid w:val="316E416F"/>
    <w:rsid w:val="317A6AFB"/>
    <w:rsid w:val="318B210F"/>
    <w:rsid w:val="318E3D87"/>
    <w:rsid w:val="31975317"/>
    <w:rsid w:val="31BC4D7D"/>
    <w:rsid w:val="31DD626C"/>
    <w:rsid w:val="31E152C0"/>
    <w:rsid w:val="31EA3699"/>
    <w:rsid w:val="31ED3189"/>
    <w:rsid w:val="31ED5D34"/>
    <w:rsid w:val="31F12C79"/>
    <w:rsid w:val="31F44517"/>
    <w:rsid w:val="31FE7144"/>
    <w:rsid w:val="32026C34"/>
    <w:rsid w:val="320C360F"/>
    <w:rsid w:val="32130E41"/>
    <w:rsid w:val="32133C6C"/>
    <w:rsid w:val="32171FB4"/>
    <w:rsid w:val="322B4AD8"/>
    <w:rsid w:val="322E147C"/>
    <w:rsid w:val="322E66F8"/>
    <w:rsid w:val="322F554F"/>
    <w:rsid w:val="324C5100"/>
    <w:rsid w:val="325070D0"/>
    <w:rsid w:val="325B00F2"/>
    <w:rsid w:val="32715B68"/>
    <w:rsid w:val="32852B7B"/>
    <w:rsid w:val="329A6E6D"/>
    <w:rsid w:val="32A658FC"/>
    <w:rsid w:val="32AB06D3"/>
    <w:rsid w:val="32BD0DAD"/>
    <w:rsid w:val="32CA00C0"/>
    <w:rsid w:val="32ED3973"/>
    <w:rsid w:val="32F50547"/>
    <w:rsid w:val="32F522F5"/>
    <w:rsid w:val="32F64B55"/>
    <w:rsid w:val="32F72511"/>
    <w:rsid w:val="32F83B93"/>
    <w:rsid w:val="33022C64"/>
    <w:rsid w:val="33037365"/>
    <w:rsid w:val="33042538"/>
    <w:rsid w:val="330C1FAB"/>
    <w:rsid w:val="331035D3"/>
    <w:rsid w:val="33166895"/>
    <w:rsid w:val="331704BD"/>
    <w:rsid w:val="331A1113"/>
    <w:rsid w:val="33412AF1"/>
    <w:rsid w:val="33423EEF"/>
    <w:rsid w:val="334868C9"/>
    <w:rsid w:val="334A5542"/>
    <w:rsid w:val="334C40D8"/>
    <w:rsid w:val="3353526D"/>
    <w:rsid w:val="33562BC3"/>
    <w:rsid w:val="33572FB0"/>
    <w:rsid w:val="335A65FC"/>
    <w:rsid w:val="336B305B"/>
    <w:rsid w:val="33724510"/>
    <w:rsid w:val="337B2644"/>
    <w:rsid w:val="338C3812"/>
    <w:rsid w:val="338F274A"/>
    <w:rsid w:val="338F44F8"/>
    <w:rsid w:val="3390201E"/>
    <w:rsid w:val="33941B0E"/>
    <w:rsid w:val="33943A41"/>
    <w:rsid w:val="339B7340"/>
    <w:rsid w:val="33A04957"/>
    <w:rsid w:val="33A12D31"/>
    <w:rsid w:val="33A15FD9"/>
    <w:rsid w:val="33A51F6D"/>
    <w:rsid w:val="33A62481"/>
    <w:rsid w:val="33B201E6"/>
    <w:rsid w:val="33B73A4E"/>
    <w:rsid w:val="33C071D7"/>
    <w:rsid w:val="33C30645"/>
    <w:rsid w:val="33C95043"/>
    <w:rsid w:val="33D42601"/>
    <w:rsid w:val="33D47DAE"/>
    <w:rsid w:val="33D62126"/>
    <w:rsid w:val="33D6421D"/>
    <w:rsid w:val="33D77C4D"/>
    <w:rsid w:val="33D95773"/>
    <w:rsid w:val="33DA5C7E"/>
    <w:rsid w:val="33DC34B5"/>
    <w:rsid w:val="33E02639"/>
    <w:rsid w:val="33E04D53"/>
    <w:rsid w:val="33E74334"/>
    <w:rsid w:val="33E810BC"/>
    <w:rsid w:val="33EA3E24"/>
    <w:rsid w:val="33EF31E8"/>
    <w:rsid w:val="33F95E15"/>
    <w:rsid w:val="33FE167D"/>
    <w:rsid w:val="3411756B"/>
    <w:rsid w:val="3421711A"/>
    <w:rsid w:val="34242890"/>
    <w:rsid w:val="342866FA"/>
    <w:rsid w:val="342C311B"/>
    <w:rsid w:val="34311DD7"/>
    <w:rsid w:val="343432F1"/>
    <w:rsid w:val="34346E4D"/>
    <w:rsid w:val="34366B61"/>
    <w:rsid w:val="34416FB9"/>
    <w:rsid w:val="344A1546"/>
    <w:rsid w:val="344C23E9"/>
    <w:rsid w:val="346239BA"/>
    <w:rsid w:val="346F257B"/>
    <w:rsid w:val="34704056"/>
    <w:rsid w:val="34796F56"/>
    <w:rsid w:val="347D6A46"/>
    <w:rsid w:val="348F22D5"/>
    <w:rsid w:val="349E60B0"/>
    <w:rsid w:val="34BB3BE7"/>
    <w:rsid w:val="34C46423"/>
    <w:rsid w:val="34D23A7B"/>
    <w:rsid w:val="34D32B0A"/>
    <w:rsid w:val="34D62D04"/>
    <w:rsid w:val="34E13CEE"/>
    <w:rsid w:val="34EA3A5D"/>
    <w:rsid w:val="34F82570"/>
    <w:rsid w:val="34FA077E"/>
    <w:rsid w:val="350C3926"/>
    <w:rsid w:val="350F21D1"/>
    <w:rsid w:val="351176B1"/>
    <w:rsid w:val="351D1FD7"/>
    <w:rsid w:val="35204014"/>
    <w:rsid w:val="35212D95"/>
    <w:rsid w:val="35241406"/>
    <w:rsid w:val="35245F11"/>
    <w:rsid w:val="35260E8C"/>
    <w:rsid w:val="3529272A"/>
    <w:rsid w:val="35393530"/>
    <w:rsid w:val="353C420B"/>
    <w:rsid w:val="354E3F3E"/>
    <w:rsid w:val="355359F9"/>
    <w:rsid w:val="3555351F"/>
    <w:rsid w:val="35657181"/>
    <w:rsid w:val="35660255"/>
    <w:rsid w:val="356E2833"/>
    <w:rsid w:val="35775243"/>
    <w:rsid w:val="357A2F85"/>
    <w:rsid w:val="358D4A67"/>
    <w:rsid w:val="359009FB"/>
    <w:rsid w:val="359202CF"/>
    <w:rsid w:val="35A324DC"/>
    <w:rsid w:val="35A65B28"/>
    <w:rsid w:val="35A818A1"/>
    <w:rsid w:val="35AE1CD4"/>
    <w:rsid w:val="35AE2C2F"/>
    <w:rsid w:val="35B77D36"/>
    <w:rsid w:val="35B91D00"/>
    <w:rsid w:val="35BB7DE8"/>
    <w:rsid w:val="35D5443C"/>
    <w:rsid w:val="35E63317"/>
    <w:rsid w:val="35E8031F"/>
    <w:rsid w:val="36156A40"/>
    <w:rsid w:val="36161226"/>
    <w:rsid w:val="36201D7F"/>
    <w:rsid w:val="36207A45"/>
    <w:rsid w:val="362658B3"/>
    <w:rsid w:val="3628478F"/>
    <w:rsid w:val="363624CF"/>
    <w:rsid w:val="36455505"/>
    <w:rsid w:val="36527A5E"/>
    <w:rsid w:val="36561813"/>
    <w:rsid w:val="36575075"/>
    <w:rsid w:val="366347D7"/>
    <w:rsid w:val="368220F2"/>
    <w:rsid w:val="368816D2"/>
    <w:rsid w:val="368C042F"/>
    <w:rsid w:val="368C0490"/>
    <w:rsid w:val="369B1D58"/>
    <w:rsid w:val="369B7657"/>
    <w:rsid w:val="36A209E6"/>
    <w:rsid w:val="36A55DE0"/>
    <w:rsid w:val="36AA39B8"/>
    <w:rsid w:val="36B92E64"/>
    <w:rsid w:val="36CD7DD3"/>
    <w:rsid w:val="36D260DF"/>
    <w:rsid w:val="36D43C22"/>
    <w:rsid w:val="36D92AE1"/>
    <w:rsid w:val="36DB7A54"/>
    <w:rsid w:val="36DD557A"/>
    <w:rsid w:val="36E200DA"/>
    <w:rsid w:val="36E4661C"/>
    <w:rsid w:val="36E745A2"/>
    <w:rsid w:val="36E82D4C"/>
    <w:rsid w:val="36FD46F0"/>
    <w:rsid w:val="37013989"/>
    <w:rsid w:val="37113475"/>
    <w:rsid w:val="37117DB2"/>
    <w:rsid w:val="37153D39"/>
    <w:rsid w:val="37166CDE"/>
    <w:rsid w:val="371A057C"/>
    <w:rsid w:val="37225683"/>
    <w:rsid w:val="372B09DB"/>
    <w:rsid w:val="373D22D0"/>
    <w:rsid w:val="373F4487"/>
    <w:rsid w:val="37401ED8"/>
    <w:rsid w:val="37415953"/>
    <w:rsid w:val="37447668"/>
    <w:rsid w:val="374D0E69"/>
    <w:rsid w:val="37555A58"/>
    <w:rsid w:val="3762240D"/>
    <w:rsid w:val="3769305E"/>
    <w:rsid w:val="376C68FE"/>
    <w:rsid w:val="37757EA8"/>
    <w:rsid w:val="377C1237"/>
    <w:rsid w:val="377C6655"/>
    <w:rsid w:val="377E4FAF"/>
    <w:rsid w:val="37816CF5"/>
    <w:rsid w:val="37991DE9"/>
    <w:rsid w:val="37AE0B5F"/>
    <w:rsid w:val="37BA58BB"/>
    <w:rsid w:val="37BC1633"/>
    <w:rsid w:val="37BE184F"/>
    <w:rsid w:val="37C3246B"/>
    <w:rsid w:val="37C4673A"/>
    <w:rsid w:val="37CD1A92"/>
    <w:rsid w:val="37D3697D"/>
    <w:rsid w:val="37D4129F"/>
    <w:rsid w:val="37D42E21"/>
    <w:rsid w:val="37D56B99"/>
    <w:rsid w:val="37E52BCB"/>
    <w:rsid w:val="37F039D3"/>
    <w:rsid w:val="380803DD"/>
    <w:rsid w:val="3816330E"/>
    <w:rsid w:val="38201673"/>
    <w:rsid w:val="382A7CA0"/>
    <w:rsid w:val="38327B47"/>
    <w:rsid w:val="38334291"/>
    <w:rsid w:val="38402264"/>
    <w:rsid w:val="384F06F9"/>
    <w:rsid w:val="38553914"/>
    <w:rsid w:val="386121DB"/>
    <w:rsid w:val="38776A4A"/>
    <w:rsid w:val="3881462B"/>
    <w:rsid w:val="38877E93"/>
    <w:rsid w:val="388D4D7E"/>
    <w:rsid w:val="389B749B"/>
    <w:rsid w:val="38A327F3"/>
    <w:rsid w:val="38A50319"/>
    <w:rsid w:val="38A547BD"/>
    <w:rsid w:val="38BD1C43"/>
    <w:rsid w:val="38BD38B5"/>
    <w:rsid w:val="38C63620"/>
    <w:rsid w:val="38C70B1E"/>
    <w:rsid w:val="38CB1838"/>
    <w:rsid w:val="38D03E7C"/>
    <w:rsid w:val="38D1110E"/>
    <w:rsid w:val="38D43EF2"/>
    <w:rsid w:val="38DE1A7D"/>
    <w:rsid w:val="38E946AA"/>
    <w:rsid w:val="38EF3C8A"/>
    <w:rsid w:val="38F05F10"/>
    <w:rsid w:val="38F6098C"/>
    <w:rsid w:val="38FB262F"/>
    <w:rsid w:val="390414E4"/>
    <w:rsid w:val="3907619F"/>
    <w:rsid w:val="390C2146"/>
    <w:rsid w:val="3914724D"/>
    <w:rsid w:val="392274DB"/>
    <w:rsid w:val="39247160"/>
    <w:rsid w:val="392751D2"/>
    <w:rsid w:val="392F0EB2"/>
    <w:rsid w:val="39392715"/>
    <w:rsid w:val="393C00B5"/>
    <w:rsid w:val="393D2C48"/>
    <w:rsid w:val="39440A0C"/>
    <w:rsid w:val="39477622"/>
    <w:rsid w:val="394B7113"/>
    <w:rsid w:val="3951663D"/>
    <w:rsid w:val="395A7DF8"/>
    <w:rsid w:val="39714209"/>
    <w:rsid w:val="397321C6"/>
    <w:rsid w:val="39755342"/>
    <w:rsid w:val="39776BAE"/>
    <w:rsid w:val="39777F08"/>
    <w:rsid w:val="397A1B4C"/>
    <w:rsid w:val="39825E89"/>
    <w:rsid w:val="3986014B"/>
    <w:rsid w:val="398919E9"/>
    <w:rsid w:val="398C14D9"/>
    <w:rsid w:val="398E34A3"/>
    <w:rsid w:val="399565E0"/>
    <w:rsid w:val="39972358"/>
    <w:rsid w:val="399F56D1"/>
    <w:rsid w:val="39A10BCE"/>
    <w:rsid w:val="39AA099D"/>
    <w:rsid w:val="39AB7BB1"/>
    <w:rsid w:val="39AE31FE"/>
    <w:rsid w:val="39AE6AE9"/>
    <w:rsid w:val="39B0341A"/>
    <w:rsid w:val="39BC1DBE"/>
    <w:rsid w:val="39C173D5"/>
    <w:rsid w:val="39C40C73"/>
    <w:rsid w:val="39D30EB6"/>
    <w:rsid w:val="39D52E80"/>
    <w:rsid w:val="39E430C3"/>
    <w:rsid w:val="39E97A3D"/>
    <w:rsid w:val="39EF3F42"/>
    <w:rsid w:val="39F03816"/>
    <w:rsid w:val="39F33306"/>
    <w:rsid w:val="39F72C5B"/>
    <w:rsid w:val="3A0D261A"/>
    <w:rsid w:val="3A0E462B"/>
    <w:rsid w:val="3A256F8B"/>
    <w:rsid w:val="3A2C3128"/>
    <w:rsid w:val="3A33218D"/>
    <w:rsid w:val="3A3A2CE3"/>
    <w:rsid w:val="3A3D40D8"/>
    <w:rsid w:val="3A3E0A25"/>
    <w:rsid w:val="3A42082E"/>
    <w:rsid w:val="3A4225B2"/>
    <w:rsid w:val="3A465B2C"/>
    <w:rsid w:val="3A575643"/>
    <w:rsid w:val="3A594E89"/>
    <w:rsid w:val="3A5C0EAC"/>
    <w:rsid w:val="3A606BEE"/>
    <w:rsid w:val="3A647D60"/>
    <w:rsid w:val="3A6A6B44"/>
    <w:rsid w:val="3A6D130B"/>
    <w:rsid w:val="3A6D30B9"/>
    <w:rsid w:val="3A712BA9"/>
    <w:rsid w:val="3A7B425D"/>
    <w:rsid w:val="3A7D34E0"/>
    <w:rsid w:val="3A8221F6"/>
    <w:rsid w:val="3A8448B9"/>
    <w:rsid w:val="3A8528B3"/>
    <w:rsid w:val="3A8B4D1C"/>
    <w:rsid w:val="3A95616C"/>
    <w:rsid w:val="3A9B711C"/>
    <w:rsid w:val="3A9C7257"/>
    <w:rsid w:val="3AA61F44"/>
    <w:rsid w:val="3AA80595"/>
    <w:rsid w:val="3AAA1C17"/>
    <w:rsid w:val="3AAB0C3B"/>
    <w:rsid w:val="3AB807D8"/>
    <w:rsid w:val="3ABC4760"/>
    <w:rsid w:val="3AC21656"/>
    <w:rsid w:val="3AC52EF5"/>
    <w:rsid w:val="3AC70A1B"/>
    <w:rsid w:val="3AD71B0E"/>
    <w:rsid w:val="3AD81BEF"/>
    <w:rsid w:val="3AD82C28"/>
    <w:rsid w:val="3AD9074E"/>
    <w:rsid w:val="3AED35C7"/>
    <w:rsid w:val="3AF25C8F"/>
    <w:rsid w:val="3AF92B9E"/>
    <w:rsid w:val="3AFE10D0"/>
    <w:rsid w:val="3B021A53"/>
    <w:rsid w:val="3B057795"/>
    <w:rsid w:val="3B0B6502"/>
    <w:rsid w:val="3B1B48C3"/>
    <w:rsid w:val="3B1B73B1"/>
    <w:rsid w:val="3B223EA3"/>
    <w:rsid w:val="3B253993"/>
    <w:rsid w:val="3B273F0F"/>
    <w:rsid w:val="3B286C5A"/>
    <w:rsid w:val="3B2A71FC"/>
    <w:rsid w:val="3B2E26A9"/>
    <w:rsid w:val="3B381919"/>
    <w:rsid w:val="3B3F2CA7"/>
    <w:rsid w:val="3B4958D4"/>
    <w:rsid w:val="3B4C0E47"/>
    <w:rsid w:val="3B4C172F"/>
    <w:rsid w:val="3B5953EB"/>
    <w:rsid w:val="3B5A50DC"/>
    <w:rsid w:val="3B5D4A36"/>
    <w:rsid w:val="3B5F7028"/>
    <w:rsid w:val="3B6444BC"/>
    <w:rsid w:val="3B7A783B"/>
    <w:rsid w:val="3B7B35B3"/>
    <w:rsid w:val="3B7C5DED"/>
    <w:rsid w:val="3B81506E"/>
    <w:rsid w:val="3B8227AD"/>
    <w:rsid w:val="3B874E93"/>
    <w:rsid w:val="3B903503"/>
    <w:rsid w:val="3B964177"/>
    <w:rsid w:val="3B98646D"/>
    <w:rsid w:val="3BA25D5F"/>
    <w:rsid w:val="3BA64D0A"/>
    <w:rsid w:val="3BA90868"/>
    <w:rsid w:val="3BAE3989"/>
    <w:rsid w:val="3BB05953"/>
    <w:rsid w:val="3BB53761"/>
    <w:rsid w:val="3BB7353A"/>
    <w:rsid w:val="3BB80364"/>
    <w:rsid w:val="3BBB7E54"/>
    <w:rsid w:val="3BCE7B87"/>
    <w:rsid w:val="3BD27E3C"/>
    <w:rsid w:val="3BDC0FD0"/>
    <w:rsid w:val="3BDC46E9"/>
    <w:rsid w:val="3BDD6D97"/>
    <w:rsid w:val="3BDE232A"/>
    <w:rsid w:val="3BDE50A9"/>
    <w:rsid w:val="3BE15B0C"/>
    <w:rsid w:val="3BE178BA"/>
    <w:rsid w:val="3BE35F81"/>
    <w:rsid w:val="3BE70C49"/>
    <w:rsid w:val="3BE92650"/>
    <w:rsid w:val="3BF11FA7"/>
    <w:rsid w:val="3BF25DB5"/>
    <w:rsid w:val="3BF35840"/>
    <w:rsid w:val="3BF770DE"/>
    <w:rsid w:val="3BF91819"/>
    <w:rsid w:val="3C095063"/>
    <w:rsid w:val="3C0D6505"/>
    <w:rsid w:val="3C0E4AF4"/>
    <w:rsid w:val="3C101F4E"/>
    <w:rsid w:val="3C146AB0"/>
    <w:rsid w:val="3C1764C0"/>
    <w:rsid w:val="3C1C4D96"/>
    <w:rsid w:val="3C236126"/>
    <w:rsid w:val="3C3E6BD4"/>
    <w:rsid w:val="3C441B1A"/>
    <w:rsid w:val="3C4F6F1A"/>
    <w:rsid w:val="3C5827C6"/>
    <w:rsid w:val="3C591B47"/>
    <w:rsid w:val="3C65673D"/>
    <w:rsid w:val="3C690AF6"/>
    <w:rsid w:val="3C812E4B"/>
    <w:rsid w:val="3C892C03"/>
    <w:rsid w:val="3C8E413E"/>
    <w:rsid w:val="3C940A49"/>
    <w:rsid w:val="3C9506A5"/>
    <w:rsid w:val="3CA209B6"/>
    <w:rsid w:val="3CA3789E"/>
    <w:rsid w:val="3CA54D8C"/>
    <w:rsid w:val="3CAB1C76"/>
    <w:rsid w:val="3CAF79B9"/>
    <w:rsid w:val="3CB11983"/>
    <w:rsid w:val="3CBB4F2E"/>
    <w:rsid w:val="3CCB7B2D"/>
    <w:rsid w:val="3CCE70B1"/>
    <w:rsid w:val="3CD64F45"/>
    <w:rsid w:val="3CDD6623"/>
    <w:rsid w:val="3CE021F8"/>
    <w:rsid w:val="3CE04016"/>
    <w:rsid w:val="3CF61143"/>
    <w:rsid w:val="3CF655E7"/>
    <w:rsid w:val="3CF91955"/>
    <w:rsid w:val="3D006466"/>
    <w:rsid w:val="3D0777F5"/>
    <w:rsid w:val="3D093D44"/>
    <w:rsid w:val="3D121C40"/>
    <w:rsid w:val="3D1B504E"/>
    <w:rsid w:val="3D1E4A06"/>
    <w:rsid w:val="3D375A4A"/>
    <w:rsid w:val="3D4A4BD7"/>
    <w:rsid w:val="3D4B2926"/>
    <w:rsid w:val="3D4C5207"/>
    <w:rsid w:val="3D4F2F4A"/>
    <w:rsid w:val="3D540560"/>
    <w:rsid w:val="3D5440D3"/>
    <w:rsid w:val="3D582936"/>
    <w:rsid w:val="3D62277E"/>
    <w:rsid w:val="3D6407A3"/>
    <w:rsid w:val="3D695DB9"/>
    <w:rsid w:val="3D6A7D83"/>
    <w:rsid w:val="3D6E189E"/>
    <w:rsid w:val="3D6F1D21"/>
    <w:rsid w:val="3D736C38"/>
    <w:rsid w:val="3D74475E"/>
    <w:rsid w:val="3D7C3BC4"/>
    <w:rsid w:val="3D827BF5"/>
    <w:rsid w:val="3D9170BE"/>
    <w:rsid w:val="3D931088"/>
    <w:rsid w:val="3D98669F"/>
    <w:rsid w:val="3D9A64B4"/>
    <w:rsid w:val="3D9D3CB5"/>
    <w:rsid w:val="3DA212CB"/>
    <w:rsid w:val="3DA52B6A"/>
    <w:rsid w:val="3DAC188B"/>
    <w:rsid w:val="3DB3004C"/>
    <w:rsid w:val="3DB8571A"/>
    <w:rsid w:val="3DBD4357"/>
    <w:rsid w:val="3DC34DDE"/>
    <w:rsid w:val="3DC66E10"/>
    <w:rsid w:val="3DD16A11"/>
    <w:rsid w:val="3DD23B59"/>
    <w:rsid w:val="3DD5344F"/>
    <w:rsid w:val="3DDA0A65"/>
    <w:rsid w:val="3DDC4826"/>
    <w:rsid w:val="3DE73182"/>
    <w:rsid w:val="3DE9514C"/>
    <w:rsid w:val="3DF21BE1"/>
    <w:rsid w:val="3DF96E5F"/>
    <w:rsid w:val="3DFB5B40"/>
    <w:rsid w:val="3DFC435A"/>
    <w:rsid w:val="3DFD6502"/>
    <w:rsid w:val="3DFF6465"/>
    <w:rsid w:val="3E0151A6"/>
    <w:rsid w:val="3E09759C"/>
    <w:rsid w:val="3E0D0E3B"/>
    <w:rsid w:val="3E0E6961"/>
    <w:rsid w:val="3E10092B"/>
    <w:rsid w:val="3E157CEF"/>
    <w:rsid w:val="3E175A62"/>
    <w:rsid w:val="3E180332"/>
    <w:rsid w:val="3E1D0952"/>
    <w:rsid w:val="3E1E266B"/>
    <w:rsid w:val="3E2972F7"/>
    <w:rsid w:val="3E3441F9"/>
    <w:rsid w:val="3E354A67"/>
    <w:rsid w:val="3E3742E8"/>
    <w:rsid w:val="3E3A5C17"/>
    <w:rsid w:val="3E4405D4"/>
    <w:rsid w:val="3E48034E"/>
    <w:rsid w:val="3E526909"/>
    <w:rsid w:val="3E5A1BA6"/>
    <w:rsid w:val="3E611186"/>
    <w:rsid w:val="3E653503"/>
    <w:rsid w:val="3E6B5B61"/>
    <w:rsid w:val="3E730BBA"/>
    <w:rsid w:val="3E7F33BB"/>
    <w:rsid w:val="3E8433D8"/>
    <w:rsid w:val="3E850E1C"/>
    <w:rsid w:val="3E921340"/>
    <w:rsid w:val="3E9C21BE"/>
    <w:rsid w:val="3EA106EE"/>
    <w:rsid w:val="3EB839A4"/>
    <w:rsid w:val="3EBB4D89"/>
    <w:rsid w:val="3EBF0BEB"/>
    <w:rsid w:val="3EC82FB3"/>
    <w:rsid w:val="3ECD64F8"/>
    <w:rsid w:val="3EDC3D17"/>
    <w:rsid w:val="3EE130A4"/>
    <w:rsid w:val="3EE31B9B"/>
    <w:rsid w:val="3EE55913"/>
    <w:rsid w:val="3EF20030"/>
    <w:rsid w:val="3F081602"/>
    <w:rsid w:val="3F2226C4"/>
    <w:rsid w:val="3F3055E4"/>
    <w:rsid w:val="3F3109A9"/>
    <w:rsid w:val="3F340649"/>
    <w:rsid w:val="3F3577BC"/>
    <w:rsid w:val="3F3FC902"/>
    <w:rsid w:val="3F4C6CCD"/>
    <w:rsid w:val="3F516B05"/>
    <w:rsid w:val="3F5900B0"/>
    <w:rsid w:val="3F593C0C"/>
    <w:rsid w:val="3F5E56C6"/>
    <w:rsid w:val="3F874C1D"/>
    <w:rsid w:val="3F8844F1"/>
    <w:rsid w:val="3F97773D"/>
    <w:rsid w:val="3F980E7B"/>
    <w:rsid w:val="3F9D61EE"/>
    <w:rsid w:val="3F9E5B51"/>
    <w:rsid w:val="3FA21D9D"/>
    <w:rsid w:val="3FA35906"/>
    <w:rsid w:val="3FA652F4"/>
    <w:rsid w:val="3FAC7D7C"/>
    <w:rsid w:val="3FC27A03"/>
    <w:rsid w:val="3FCC262F"/>
    <w:rsid w:val="3FD17C46"/>
    <w:rsid w:val="3FD37E62"/>
    <w:rsid w:val="3FFD0157"/>
    <w:rsid w:val="4000052B"/>
    <w:rsid w:val="400224F5"/>
    <w:rsid w:val="40052980"/>
    <w:rsid w:val="40063F3B"/>
    <w:rsid w:val="40073668"/>
    <w:rsid w:val="40083C9F"/>
    <w:rsid w:val="400E0E9A"/>
    <w:rsid w:val="40152228"/>
    <w:rsid w:val="401D7398"/>
    <w:rsid w:val="40242B4C"/>
    <w:rsid w:val="40275AB8"/>
    <w:rsid w:val="402D44F3"/>
    <w:rsid w:val="402E5098"/>
    <w:rsid w:val="40322DDA"/>
    <w:rsid w:val="40381A73"/>
    <w:rsid w:val="403B3CF3"/>
    <w:rsid w:val="404171CE"/>
    <w:rsid w:val="40442B0E"/>
    <w:rsid w:val="405640BE"/>
    <w:rsid w:val="405675DD"/>
    <w:rsid w:val="40610FCA"/>
    <w:rsid w:val="406207A4"/>
    <w:rsid w:val="4067011C"/>
    <w:rsid w:val="40673506"/>
    <w:rsid w:val="407F3B46"/>
    <w:rsid w:val="40842F0A"/>
    <w:rsid w:val="409E221E"/>
    <w:rsid w:val="40B05AAD"/>
    <w:rsid w:val="40B1398C"/>
    <w:rsid w:val="40C360A6"/>
    <w:rsid w:val="40C7284E"/>
    <w:rsid w:val="40CB0B39"/>
    <w:rsid w:val="40D0614F"/>
    <w:rsid w:val="40D07EFD"/>
    <w:rsid w:val="40DE6ABE"/>
    <w:rsid w:val="40E340D5"/>
    <w:rsid w:val="40E44F98"/>
    <w:rsid w:val="40EB2F89"/>
    <w:rsid w:val="40EE5A34"/>
    <w:rsid w:val="40F005A0"/>
    <w:rsid w:val="40F300AD"/>
    <w:rsid w:val="40FB7670"/>
    <w:rsid w:val="41004ECB"/>
    <w:rsid w:val="41012771"/>
    <w:rsid w:val="41023096"/>
    <w:rsid w:val="41032081"/>
    <w:rsid w:val="41083B3B"/>
    <w:rsid w:val="41084201"/>
    <w:rsid w:val="410A340F"/>
    <w:rsid w:val="41160006"/>
    <w:rsid w:val="41200E85"/>
    <w:rsid w:val="412169AB"/>
    <w:rsid w:val="41240E74"/>
    <w:rsid w:val="41241745"/>
    <w:rsid w:val="412E19BE"/>
    <w:rsid w:val="412F731A"/>
    <w:rsid w:val="41381FA1"/>
    <w:rsid w:val="413A0B2D"/>
    <w:rsid w:val="413B5CBF"/>
    <w:rsid w:val="414D50A8"/>
    <w:rsid w:val="414F52C6"/>
    <w:rsid w:val="4153125A"/>
    <w:rsid w:val="41540B2E"/>
    <w:rsid w:val="41605725"/>
    <w:rsid w:val="4162324B"/>
    <w:rsid w:val="41662610"/>
    <w:rsid w:val="4171348E"/>
    <w:rsid w:val="417535DE"/>
    <w:rsid w:val="417B60BB"/>
    <w:rsid w:val="417C312B"/>
    <w:rsid w:val="4182569C"/>
    <w:rsid w:val="418F1981"/>
    <w:rsid w:val="41946027"/>
    <w:rsid w:val="419B38B1"/>
    <w:rsid w:val="419D24D5"/>
    <w:rsid w:val="41A42FA1"/>
    <w:rsid w:val="41A53138"/>
    <w:rsid w:val="41AA074E"/>
    <w:rsid w:val="41AC1E6D"/>
    <w:rsid w:val="41B50A70"/>
    <w:rsid w:val="41C061C4"/>
    <w:rsid w:val="41C17B42"/>
    <w:rsid w:val="41C537DA"/>
    <w:rsid w:val="41D1217F"/>
    <w:rsid w:val="41E07D3E"/>
    <w:rsid w:val="41E9396D"/>
    <w:rsid w:val="41EC6E66"/>
    <w:rsid w:val="41EF130C"/>
    <w:rsid w:val="41F8770C"/>
    <w:rsid w:val="41FF0A9A"/>
    <w:rsid w:val="42002A64"/>
    <w:rsid w:val="4207152C"/>
    <w:rsid w:val="42091919"/>
    <w:rsid w:val="420C765B"/>
    <w:rsid w:val="420D7370"/>
    <w:rsid w:val="42206C63"/>
    <w:rsid w:val="422C5607"/>
    <w:rsid w:val="422E312E"/>
    <w:rsid w:val="4232669E"/>
    <w:rsid w:val="42364826"/>
    <w:rsid w:val="42380450"/>
    <w:rsid w:val="423D5A66"/>
    <w:rsid w:val="423E421A"/>
    <w:rsid w:val="4246464F"/>
    <w:rsid w:val="424E0F39"/>
    <w:rsid w:val="4251795A"/>
    <w:rsid w:val="42554B5E"/>
    <w:rsid w:val="425A068B"/>
    <w:rsid w:val="426E3E72"/>
    <w:rsid w:val="42734FE4"/>
    <w:rsid w:val="42764AD5"/>
    <w:rsid w:val="42786711"/>
    <w:rsid w:val="427F1BDB"/>
    <w:rsid w:val="42813BA5"/>
    <w:rsid w:val="42817701"/>
    <w:rsid w:val="42845443"/>
    <w:rsid w:val="428471F1"/>
    <w:rsid w:val="429338D8"/>
    <w:rsid w:val="429A10B4"/>
    <w:rsid w:val="42A01DC1"/>
    <w:rsid w:val="42A11B51"/>
    <w:rsid w:val="42A31D6D"/>
    <w:rsid w:val="42AA096F"/>
    <w:rsid w:val="42AE708B"/>
    <w:rsid w:val="42B64DD7"/>
    <w:rsid w:val="42B82D5A"/>
    <w:rsid w:val="42C43A92"/>
    <w:rsid w:val="42C6692D"/>
    <w:rsid w:val="42D40179"/>
    <w:rsid w:val="42D9753D"/>
    <w:rsid w:val="42DC527F"/>
    <w:rsid w:val="42E67EAC"/>
    <w:rsid w:val="430E4884"/>
    <w:rsid w:val="43115F55"/>
    <w:rsid w:val="431467C7"/>
    <w:rsid w:val="431B32DE"/>
    <w:rsid w:val="431B5DA8"/>
    <w:rsid w:val="431C567C"/>
    <w:rsid w:val="43217136"/>
    <w:rsid w:val="432361CC"/>
    <w:rsid w:val="432602A9"/>
    <w:rsid w:val="432A5FEB"/>
    <w:rsid w:val="432F1853"/>
    <w:rsid w:val="43350001"/>
    <w:rsid w:val="43435A5F"/>
    <w:rsid w:val="435272F0"/>
    <w:rsid w:val="435412BA"/>
    <w:rsid w:val="43543068"/>
    <w:rsid w:val="435968D0"/>
    <w:rsid w:val="435E6ACD"/>
    <w:rsid w:val="43635059"/>
    <w:rsid w:val="436472E0"/>
    <w:rsid w:val="436A288B"/>
    <w:rsid w:val="43716FF5"/>
    <w:rsid w:val="437A695B"/>
    <w:rsid w:val="437C5721"/>
    <w:rsid w:val="437E4DB7"/>
    <w:rsid w:val="43851473"/>
    <w:rsid w:val="438518DD"/>
    <w:rsid w:val="4387343D"/>
    <w:rsid w:val="43943464"/>
    <w:rsid w:val="43947908"/>
    <w:rsid w:val="43972F54"/>
    <w:rsid w:val="43A04FDC"/>
    <w:rsid w:val="43A37B4B"/>
    <w:rsid w:val="43AD11C7"/>
    <w:rsid w:val="43B25232"/>
    <w:rsid w:val="43B65AD0"/>
    <w:rsid w:val="43C26223"/>
    <w:rsid w:val="43CE1820"/>
    <w:rsid w:val="43DB3530"/>
    <w:rsid w:val="43F757E2"/>
    <w:rsid w:val="43FA6A6A"/>
    <w:rsid w:val="43FD779D"/>
    <w:rsid w:val="440E6370"/>
    <w:rsid w:val="441A7E0D"/>
    <w:rsid w:val="442E088F"/>
    <w:rsid w:val="442E5667"/>
    <w:rsid w:val="4439400C"/>
    <w:rsid w:val="44444E8A"/>
    <w:rsid w:val="444C3D3F"/>
    <w:rsid w:val="444E3F5B"/>
    <w:rsid w:val="4456696C"/>
    <w:rsid w:val="44670B79"/>
    <w:rsid w:val="446B0669"/>
    <w:rsid w:val="44706E4E"/>
    <w:rsid w:val="447666D9"/>
    <w:rsid w:val="447D3CC3"/>
    <w:rsid w:val="448654A3"/>
    <w:rsid w:val="4487121B"/>
    <w:rsid w:val="44890AEF"/>
    <w:rsid w:val="44900E4B"/>
    <w:rsid w:val="449A71A0"/>
    <w:rsid w:val="449E4289"/>
    <w:rsid w:val="44B52E6C"/>
    <w:rsid w:val="44B726AC"/>
    <w:rsid w:val="44B813D4"/>
    <w:rsid w:val="44B968EF"/>
    <w:rsid w:val="44BF7D93"/>
    <w:rsid w:val="44D53D34"/>
    <w:rsid w:val="44E4666D"/>
    <w:rsid w:val="44E74798"/>
    <w:rsid w:val="44E977E0"/>
    <w:rsid w:val="44EE129A"/>
    <w:rsid w:val="44F8420C"/>
    <w:rsid w:val="44FC5F61"/>
    <w:rsid w:val="44FE772F"/>
    <w:rsid w:val="450B7626"/>
    <w:rsid w:val="450D7972"/>
    <w:rsid w:val="450E7246"/>
    <w:rsid w:val="45145052"/>
    <w:rsid w:val="451C5E07"/>
    <w:rsid w:val="45237196"/>
    <w:rsid w:val="452E7E2F"/>
    <w:rsid w:val="45350C77"/>
    <w:rsid w:val="453E7AC9"/>
    <w:rsid w:val="45480B79"/>
    <w:rsid w:val="45576E3F"/>
    <w:rsid w:val="45596713"/>
    <w:rsid w:val="45603F46"/>
    <w:rsid w:val="45682DFA"/>
    <w:rsid w:val="456A58A2"/>
    <w:rsid w:val="456B4699"/>
    <w:rsid w:val="456B6447"/>
    <w:rsid w:val="458B6AE9"/>
    <w:rsid w:val="459534C4"/>
    <w:rsid w:val="459C04E5"/>
    <w:rsid w:val="45A148D8"/>
    <w:rsid w:val="45A821C4"/>
    <w:rsid w:val="45A97F18"/>
    <w:rsid w:val="45B613C8"/>
    <w:rsid w:val="45B63B66"/>
    <w:rsid w:val="45BD3146"/>
    <w:rsid w:val="45BD6059"/>
    <w:rsid w:val="45C06792"/>
    <w:rsid w:val="45C476F1"/>
    <w:rsid w:val="45C53208"/>
    <w:rsid w:val="45D03A9B"/>
    <w:rsid w:val="45D466E2"/>
    <w:rsid w:val="45D87F80"/>
    <w:rsid w:val="45DC10F2"/>
    <w:rsid w:val="45DF6CF2"/>
    <w:rsid w:val="45E561F9"/>
    <w:rsid w:val="45FD6B56"/>
    <w:rsid w:val="461865CE"/>
    <w:rsid w:val="461A0599"/>
    <w:rsid w:val="46250CEB"/>
    <w:rsid w:val="462652E0"/>
    <w:rsid w:val="46342C38"/>
    <w:rsid w:val="46362569"/>
    <w:rsid w:val="463D1A62"/>
    <w:rsid w:val="4642189D"/>
    <w:rsid w:val="465B64BB"/>
    <w:rsid w:val="465D0485"/>
    <w:rsid w:val="466E4440"/>
    <w:rsid w:val="46753A21"/>
    <w:rsid w:val="467557CF"/>
    <w:rsid w:val="467632F5"/>
    <w:rsid w:val="467852BF"/>
    <w:rsid w:val="467B6B5D"/>
    <w:rsid w:val="468C2B19"/>
    <w:rsid w:val="469272E3"/>
    <w:rsid w:val="46955E71"/>
    <w:rsid w:val="469B0FAE"/>
    <w:rsid w:val="46A03143"/>
    <w:rsid w:val="46B64D40"/>
    <w:rsid w:val="46B75DE7"/>
    <w:rsid w:val="46BD0F24"/>
    <w:rsid w:val="46C027C2"/>
    <w:rsid w:val="46C07277"/>
    <w:rsid w:val="46C16C66"/>
    <w:rsid w:val="46C87FF5"/>
    <w:rsid w:val="46C95B1B"/>
    <w:rsid w:val="46E26BDC"/>
    <w:rsid w:val="46F875FA"/>
    <w:rsid w:val="47007E18"/>
    <w:rsid w:val="470A2D54"/>
    <w:rsid w:val="47253F6A"/>
    <w:rsid w:val="47264D1B"/>
    <w:rsid w:val="472A0F19"/>
    <w:rsid w:val="4738605E"/>
    <w:rsid w:val="4746716B"/>
    <w:rsid w:val="47486A40"/>
    <w:rsid w:val="474B4782"/>
    <w:rsid w:val="474F4272"/>
    <w:rsid w:val="47571088"/>
    <w:rsid w:val="475B1488"/>
    <w:rsid w:val="475E3993"/>
    <w:rsid w:val="47766090"/>
    <w:rsid w:val="47911556"/>
    <w:rsid w:val="47946129"/>
    <w:rsid w:val="479559FD"/>
    <w:rsid w:val="4799373F"/>
    <w:rsid w:val="4799729B"/>
    <w:rsid w:val="47A5036A"/>
    <w:rsid w:val="47AA594C"/>
    <w:rsid w:val="47B9392A"/>
    <w:rsid w:val="47C167F2"/>
    <w:rsid w:val="47C4243A"/>
    <w:rsid w:val="47D13163"/>
    <w:rsid w:val="47DB3D58"/>
    <w:rsid w:val="47DC6ACC"/>
    <w:rsid w:val="47E50732"/>
    <w:rsid w:val="47E744AA"/>
    <w:rsid w:val="47FC5A7C"/>
    <w:rsid w:val="4801583B"/>
    <w:rsid w:val="480C7CAA"/>
    <w:rsid w:val="48147269"/>
    <w:rsid w:val="481B6A5F"/>
    <w:rsid w:val="48376AB4"/>
    <w:rsid w:val="483B72D6"/>
    <w:rsid w:val="483C432D"/>
    <w:rsid w:val="48580F04"/>
    <w:rsid w:val="485A7C08"/>
    <w:rsid w:val="48603EA7"/>
    <w:rsid w:val="486A0C38"/>
    <w:rsid w:val="486A50DB"/>
    <w:rsid w:val="48712B0C"/>
    <w:rsid w:val="4876582E"/>
    <w:rsid w:val="487877F8"/>
    <w:rsid w:val="487B4BF3"/>
    <w:rsid w:val="48802209"/>
    <w:rsid w:val="48952AE2"/>
    <w:rsid w:val="489E3BC9"/>
    <w:rsid w:val="48A57EC2"/>
    <w:rsid w:val="48AB197C"/>
    <w:rsid w:val="48B14AB8"/>
    <w:rsid w:val="48BE224D"/>
    <w:rsid w:val="48C333BD"/>
    <w:rsid w:val="48D1412B"/>
    <w:rsid w:val="48D22491"/>
    <w:rsid w:val="48D228E2"/>
    <w:rsid w:val="48DF5182"/>
    <w:rsid w:val="48E924A4"/>
    <w:rsid w:val="48F30C2D"/>
    <w:rsid w:val="48FF3281"/>
    <w:rsid w:val="48FF75D2"/>
    <w:rsid w:val="49136168"/>
    <w:rsid w:val="49180694"/>
    <w:rsid w:val="49301E81"/>
    <w:rsid w:val="4934257B"/>
    <w:rsid w:val="493D1461"/>
    <w:rsid w:val="493E459E"/>
    <w:rsid w:val="49414D34"/>
    <w:rsid w:val="49423962"/>
    <w:rsid w:val="4948124E"/>
    <w:rsid w:val="49507E2D"/>
    <w:rsid w:val="495260E4"/>
    <w:rsid w:val="4953791E"/>
    <w:rsid w:val="495A00F2"/>
    <w:rsid w:val="4961174A"/>
    <w:rsid w:val="4964190E"/>
    <w:rsid w:val="49667651"/>
    <w:rsid w:val="4970227E"/>
    <w:rsid w:val="49747FC0"/>
    <w:rsid w:val="49902920"/>
    <w:rsid w:val="49926698"/>
    <w:rsid w:val="499E09AD"/>
    <w:rsid w:val="499E6DEB"/>
    <w:rsid w:val="49A33D16"/>
    <w:rsid w:val="49A50DAC"/>
    <w:rsid w:val="49A5461D"/>
    <w:rsid w:val="49A63EF1"/>
    <w:rsid w:val="49A9147C"/>
    <w:rsid w:val="49B06DC2"/>
    <w:rsid w:val="49B77EAC"/>
    <w:rsid w:val="49BC3715"/>
    <w:rsid w:val="49C425C9"/>
    <w:rsid w:val="49CD76D0"/>
    <w:rsid w:val="49D320DD"/>
    <w:rsid w:val="49DA3B9B"/>
    <w:rsid w:val="49DE5E98"/>
    <w:rsid w:val="49E30CA1"/>
    <w:rsid w:val="49E46860"/>
    <w:rsid w:val="49EC224C"/>
    <w:rsid w:val="49F87F75"/>
    <w:rsid w:val="49F96717"/>
    <w:rsid w:val="4A01737A"/>
    <w:rsid w:val="4A056E6A"/>
    <w:rsid w:val="4A09001D"/>
    <w:rsid w:val="4A17094B"/>
    <w:rsid w:val="4A1F7CEC"/>
    <w:rsid w:val="4A275032"/>
    <w:rsid w:val="4A280DAA"/>
    <w:rsid w:val="4A2F2139"/>
    <w:rsid w:val="4A317C5F"/>
    <w:rsid w:val="4A4060F4"/>
    <w:rsid w:val="4A4C4A99"/>
    <w:rsid w:val="4A541DEB"/>
    <w:rsid w:val="4A5C2B29"/>
    <w:rsid w:val="4A5F787B"/>
    <w:rsid w:val="4A604F25"/>
    <w:rsid w:val="4A606796"/>
    <w:rsid w:val="4A626562"/>
    <w:rsid w:val="4A6A6375"/>
    <w:rsid w:val="4A7144FF"/>
    <w:rsid w:val="4A851D59"/>
    <w:rsid w:val="4A8C0126"/>
    <w:rsid w:val="4A91694F"/>
    <w:rsid w:val="4A981A8C"/>
    <w:rsid w:val="4A9833D4"/>
    <w:rsid w:val="4A985F30"/>
    <w:rsid w:val="4A9941A5"/>
    <w:rsid w:val="4A9D70A2"/>
    <w:rsid w:val="4AA46683"/>
    <w:rsid w:val="4AB31D2A"/>
    <w:rsid w:val="4AB56AE2"/>
    <w:rsid w:val="4AB67DF8"/>
    <w:rsid w:val="4AB91C59"/>
    <w:rsid w:val="4ABA78B9"/>
    <w:rsid w:val="4ABD4B1D"/>
    <w:rsid w:val="4ABD7744"/>
    <w:rsid w:val="4AC22FAD"/>
    <w:rsid w:val="4AC46D25"/>
    <w:rsid w:val="4ACE6A76"/>
    <w:rsid w:val="4ACF7478"/>
    <w:rsid w:val="4ADB5A7A"/>
    <w:rsid w:val="4AE271AB"/>
    <w:rsid w:val="4AE747C1"/>
    <w:rsid w:val="4AE9678B"/>
    <w:rsid w:val="4AF51924"/>
    <w:rsid w:val="4AF56EDE"/>
    <w:rsid w:val="4AF819F6"/>
    <w:rsid w:val="4AFA2747"/>
    <w:rsid w:val="4AFC64BF"/>
    <w:rsid w:val="4B106837"/>
    <w:rsid w:val="4B11183E"/>
    <w:rsid w:val="4B1732F9"/>
    <w:rsid w:val="4B1855CB"/>
    <w:rsid w:val="4B1E0FC4"/>
    <w:rsid w:val="4B221C9D"/>
    <w:rsid w:val="4B251F61"/>
    <w:rsid w:val="4B29302C"/>
    <w:rsid w:val="4B296B88"/>
    <w:rsid w:val="4B3317B5"/>
    <w:rsid w:val="4B412124"/>
    <w:rsid w:val="4B487D41"/>
    <w:rsid w:val="4B585BB2"/>
    <w:rsid w:val="4B5B5D80"/>
    <w:rsid w:val="4B68207B"/>
    <w:rsid w:val="4B686BD9"/>
    <w:rsid w:val="4B7342A7"/>
    <w:rsid w:val="4B796708"/>
    <w:rsid w:val="4B863FDA"/>
    <w:rsid w:val="4B920BD1"/>
    <w:rsid w:val="4B95222F"/>
    <w:rsid w:val="4BA34B8C"/>
    <w:rsid w:val="4BA44460"/>
    <w:rsid w:val="4BA57CF4"/>
    <w:rsid w:val="4BA821A3"/>
    <w:rsid w:val="4BA91A77"/>
    <w:rsid w:val="4BA95F1B"/>
    <w:rsid w:val="4BB072A9"/>
    <w:rsid w:val="4BB24DCF"/>
    <w:rsid w:val="4BC00C26"/>
    <w:rsid w:val="4BC27510"/>
    <w:rsid w:val="4BCE4E1C"/>
    <w:rsid w:val="4BD12C94"/>
    <w:rsid w:val="4BD20FCE"/>
    <w:rsid w:val="4BD96800"/>
    <w:rsid w:val="4BE551D7"/>
    <w:rsid w:val="4BE62CCB"/>
    <w:rsid w:val="4BE807F1"/>
    <w:rsid w:val="4BEB6533"/>
    <w:rsid w:val="4BEF76EC"/>
    <w:rsid w:val="4BF02EA2"/>
    <w:rsid w:val="4BFA22D2"/>
    <w:rsid w:val="4BFC65E6"/>
    <w:rsid w:val="4C06511B"/>
    <w:rsid w:val="4C092759"/>
    <w:rsid w:val="4C0B2731"/>
    <w:rsid w:val="4C0B7195"/>
    <w:rsid w:val="4C0C3DF4"/>
    <w:rsid w:val="4C142DD5"/>
    <w:rsid w:val="4C1667E5"/>
    <w:rsid w:val="4C1D56C6"/>
    <w:rsid w:val="4C235F70"/>
    <w:rsid w:val="4C237A7B"/>
    <w:rsid w:val="4C341C88"/>
    <w:rsid w:val="4C3E48B5"/>
    <w:rsid w:val="4C451577"/>
    <w:rsid w:val="4C46376A"/>
    <w:rsid w:val="4C4B7732"/>
    <w:rsid w:val="4C515898"/>
    <w:rsid w:val="4C516396"/>
    <w:rsid w:val="4C5D6A3D"/>
    <w:rsid w:val="4C5F70AB"/>
    <w:rsid w:val="4C6267F5"/>
    <w:rsid w:val="4C682938"/>
    <w:rsid w:val="4C683B50"/>
    <w:rsid w:val="4C72630D"/>
    <w:rsid w:val="4C7810B2"/>
    <w:rsid w:val="4C787DC7"/>
    <w:rsid w:val="4C7E7B5F"/>
    <w:rsid w:val="4C885B30"/>
    <w:rsid w:val="4C9444D5"/>
    <w:rsid w:val="4C956F44"/>
    <w:rsid w:val="4C9646F1"/>
    <w:rsid w:val="4C983FC5"/>
    <w:rsid w:val="4C9C6D42"/>
    <w:rsid w:val="4CAB6711"/>
    <w:rsid w:val="4CAD54D0"/>
    <w:rsid w:val="4CB15087"/>
    <w:rsid w:val="4CB42DC9"/>
    <w:rsid w:val="4CB61B9C"/>
    <w:rsid w:val="4CB86D6E"/>
    <w:rsid w:val="4CBB4158"/>
    <w:rsid w:val="4CC254E6"/>
    <w:rsid w:val="4CD5290A"/>
    <w:rsid w:val="4CDD40CE"/>
    <w:rsid w:val="4CE0771A"/>
    <w:rsid w:val="4CE52F83"/>
    <w:rsid w:val="4CEA67EB"/>
    <w:rsid w:val="4CEC4311"/>
    <w:rsid w:val="4CF03E01"/>
    <w:rsid w:val="4CF11C4B"/>
    <w:rsid w:val="4CF136D5"/>
    <w:rsid w:val="4CF30EF4"/>
    <w:rsid w:val="4CF5766A"/>
    <w:rsid w:val="4CFF4044"/>
    <w:rsid w:val="4D021D86"/>
    <w:rsid w:val="4D0E072B"/>
    <w:rsid w:val="4D0E4287"/>
    <w:rsid w:val="4D151ABA"/>
    <w:rsid w:val="4D155616"/>
    <w:rsid w:val="4D2B4E39"/>
    <w:rsid w:val="4D2C295F"/>
    <w:rsid w:val="4D304E22"/>
    <w:rsid w:val="4D4128AF"/>
    <w:rsid w:val="4D52686A"/>
    <w:rsid w:val="4D602AE2"/>
    <w:rsid w:val="4D667316"/>
    <w:rsid w:val="4D695962"/>
    <w:rsid w:val="4D7A36CB"/>
    <w:rsid w:val="4D7B3B9D"/>
    <w:rsid w:val="4D821820"/>
    <w:rsid w:val="4D826A23"/>
    <w:rsid w:val="4D896004"/>
    <w:rsid w:val="4D930C30"/>
    <w:rsid w:val="4D9724CF"/>
    <w:rsid w:val="4D9E018F"/>
    <w:rsid w:val="4DA92202"/>
    <w:rsid w:val="4DBC3CE3"/>
    <w:rsid w:val="4DBD5F03"/>
    <w:rsid w:val="4DBF2864"/>
    <w:rsid w:val="4DC63606"/>
    <w:rsid w:val="4DC64B62"/>
    <w:rsid w:val="4DC66910"/>
    <w:rsid w:val="4DD23507"/>
    <w:rsid w:val="4DD454D1"/>
    <w:rsid w:val="4DD54DA5"/>
    <w:rsid w:val="4DDA685F"/>
    <w:rsid w:val="4DE30CDF"/>
    <w:rsid w:val="4DEF3E43"/>
    <w:rsid w:val="4DF06083"/>
    <w:rsid w:val="4DF23BA9"/>
    <w:rsid w:val="4DF96CE5"/>
    <w:rsid w:val="4DFA480C"/>
    <w:rsid w:val="4E015B9A"/>
    <w:rsid w:val="4E067654"/>
    <w:rsid w:val="4E10402F"/>
    <w:rsid w:val="4E197388"/>
    <w:rsid w:val="4E1A6C5C"/>
    <w:rsid w:val="4E201AEF"/>
    <w:rsid w:val="4E231F9F"/>
    <w:rsid w:val="4E2B0E69"/>
    <w:rsid w:val="4E353A96"/>
    <w:rsid w:val="4E3F065B"/>
    <w:rsid w:val="4E4D7031"/>
    <w:rsid w:val="4E52289A"/>
    <w:rsid w:val="4E5403C0"/>
    <w:rsid w:val="4E607AE0"/>
    <w:rsid w:val="4E744276"/>
    <w:rsid w:val="4E774C65"/>
    <w:rsid w:val="4E7C16C5"/>
    <w:rsid w:val="4E824F2D"/>
    <w:rsid w:val="4E832A53"/>
    <w:rsid w:val="4E8361C4"/>
    <w:rsid w:val="4E9566B1"/>
    <w:rsid w:val="4EA053B3"/>
    <w:rsid w:val="4EA529C9"/>
    <w:rsid w:val="4EB946C7"/>
    <w:rsid w:val="4EBA2F55"/>
    <w:rsid w:val="4EBE1CDD"/>
    <w:rsid w:val="4EBE3A8B"/>
    <w:rsid w:val="4EC56BC8"/>
    <w:rsid w:val="4ECA68D4"/>
    <w:rsid w:val="4EE23C1E"/>
    <w:rsid w:val="4EE9734D"/>
    <w:rsid w:val="4EED1E70"/>
    <w:rsid w:val="4EF92D15"/>
    <w:rsid w:val="4EFE032C"/>
    <w:rsid w:val="4F041DE6"/>
    <w:rsid w:val="4F05790C"/>
    <w:rsid w:val="4F0A1774"/>
    <w:rsid w:val="4F0E4A13"/>
    <w:rsid w:val="4F1201A4"/>
    <w:rsid w:val="4F133DD7"/>
    <w:rsid w:val="4F1638C7"/>
    <w:rsid w:val="4F196F13"/>
    <w:rsid w:val="4F1B2C8C"/>
    <w:rsid w:val="4F2064F4"/>
    <w:rsid w:val="4F253B0A"/>
    <w:rsid w:val="4F277882"/>
    <w:rsid w:val="4F2A2ECF"/>
    <w:rsid w:val="4F323A37"/>
    <w:rsid w:val="4F343D4D"/>
    <w:rsid w:val="4F3A53F1"/>
    <w:rsid w:val="4F45282A"/>
    <w:rsid w:val="4F4A531F"/>
    <w:rsid w:val="4F5123DD"/>
    <w:rsid w:val="4F5C20BE"/>
    <w:rsid w:val="4F7040FA"/>
    <w:rsid w:val="4F714FA1"/>
    <w:rsid w:val="4F8922EB"/>
    <w:rsid w:val="4F8C0C60"/>
    <w:rsid w:val="4F934F1E"/>
    <w:rsid w:val="4F974A08"/>
    <w:rsid w:val="4F9B0FDE"/>
    <w:rsid w:val="4FA2515B"/>
    <w:rsid w:val="4FAC0EB5"/>
    <w:rsid w:val="4FAC11AE"/>
    <w:rsid w:val="4FBA4253"/>
    <w:rsid w:val="4FBA6948"/>
    <w:rsid w:val="4FBE1F01"/>
    <w:rsid w:val="4FC41575"/>
    <w:rsid w:val="4FD25A40"/>
    <w:rsid w:val="4FD57DB2"/>
    <w:rsid w:val="4FD73056"/>
    <w:rsid w:val="4FDE667A"/>
    <w:rsid w:val="4FDF614C"/>
    <w:rsid w:val="4FE70635"/>
    <w:rsid w:val="4FE87012"/>
    <w:rsid w:val="4FE92D8A"/>
    <w:rsid w:val="4FF6782C"/>
    <w:rsid w:val="4FFA6D45"/>
    <w:rsid w:val="4FFF5339"/>
    <w:rsid w:val="50092FAD"/>
    <w:rsid w:val="500D4CCA"/>
    <w:rsid w:val="500E5776"/>
    <w:rsid w:val="50281B04"/>
    <w:rsid w:val="502D0EC8"/>
    <w:rsid w:val="50324731"/>
    <w:rsid w:val="503E30D6"/>
    <w:rsid w:val="50416722"/>
    <w:rsid w:val="504344A6"/>
    <w:rsid w:val="50454464"/>
    <w:rsid w:val="504601DC"/>
    <w:rsid w:val="504F0E3F"/>
    <w:rsid w:val="50545868"/>
    <w:rsid w:val="50575F45"/>
    <w:rsid w:val="50596CD1"/>
    <w:rsid w:val="505B0E8F"/>
    <w:rsid w:val="505F4944"/>
    <w:rsid w:val="50680152"/>
    <w:rsid w:val="508809D7"/>
    <w:rsid w:val="50964CC0"/>
    <w:rsid w:val="509A7A7B"/>
    <w:rsid w:val="509B22D6"/>
    <w:rsid w:val="509E5922"/>
    <w:rsid w:val="50A54F03"/>
    <w:rsid w:val="50A701D5"/>
    <w:rsid w:val="50A76ECD"/>
    <w:rsid w:val="50A81E75"/>
    <w:rsid w:val="50AA565F"/>
    <w:rsid w:val="50B05655"/>
    <w:rsid w:val="50BA0734"/>
    <w:rsid w:val="50BE7D72"/>
    <w:rsid w:val="50C14C3A"/>
    <w:rsid w:val="50C9442B"/>
    <w:rsid w:val="50C97249"/>
    <w:rsid w:val="50D4245B"/>
    <w:rsid w:val="50D46B08"/>
    <w:rsid w:val="50D70E34"/>
    <w:rsid w:val="50D85C66"/>
    <w:rsid w:val="50DD67A4"/>
    <w:rsid w:val="50DE6667"/>
    <w:rsid w:val="50F978D6"/>
    <w:rsid w:val="5100038B"/>
    <w:rsid w:val="510559A1"/>
    <w:rsid w:val="510F05CE"/>
    <w:rsid w:val="511D718F"/>
    <w:rsid w:val="51216C22"/>
    <w:rsid w:val="51271DBC"/>
    <w:rsid w:val="51360251"/>
    <w:rsid w:val="51361FFF"/>
    <w:rsid w:val="513B13C3"/>
    <w:rsid w:val="514C1EA4"/>
    <w:rsid w:val="515661FD"/>
    <w:rsid w:val="51586419"/>
    <w:rsid w:val="515C25DE"/>
    <w:rsid w:val="516306FA"/>
    <w:rsid w:val="51634ED4"/>
    <w:rsid w:val="5164435F"/>
    <w:rsid w:val="516528E4"/>
    <w:rsid w:val="516F0EB8"/>
    <w:rsid w:val="51736DAF"/>
    <w:rsid w:val="51764AF1"/>
    <w:rsid w:val="517852D5"/>
    <w:rsid w:val="51793B1E"/>
    <w:rsid w:val="5184720E"/>
    <w:rsid w:val="51890380"/>
    <w:rsid w:val="51917235"/>
    <w:rsid w:val="519805C3"/>
    <w:rsid w:val="519C2C65"/>
    <w:rsid w:val="519F4175"/>
    <w:rsid w:val="51A11B6E"/>
    <w:rsid w:val="51A3362A"/>
    <w:rsid w:val="51A76A58"/>
    <w:rsid w:val="51B01DB1"/>
    <w:rsid w:val="51B573C7"/>
    <w:rsid w:val="51BA49DE"/>
    <w:rsid w:val="51BB2504"/>
    <w:rsid w:val="51BC69A8"/>
    <w:rsid w:val="51C033AC"/>
    <w:rsid w:val="51C770FB"/>
    <w:rsid w:val="51CB6BEB"/>
    <w:rsid w:val="51D6733E"/>
    <w:rsid w:val="51E1640E"/>
    <w:rsid w:val="51E952C3"/>
    <w:rsid w:val="51F15D90"/>
    <w:rsid w:val="51F6353C"/>
    <w:rsid w:val="51FF4AE6"/>
    <w:rsid w:val="520266E1"/>
    <w:rsid w:val="52036385"/>
    <w:rsid w:val="52067C23"/>
    <w:rsid w:val="520774F7"/>
    <w:rsid w:val="520F3BF8"/>
    <w:rsid w:val="52102850"/>
    <w:rsid w:val="52132340"/>
    <w:rsid w:val="521A36CE"/>
    <w:rsid w:val="521F3DAB"/>
    <w:rsid w:val="5234518C"/>
    <w:rsid w:val="523A167B"/>
    <w:rsid w:val="523A1AA0"/>
    <w:rsid w:val="5247502A"/>
    <w:rsid w:val="52584BD7"/>
    <w:rsid w:val="525941F7"/>
    <w:rsid w:val="525F4A0D"/>
    <w:rsid w:val="526D7CA2"/>
    <w:rsid w:val="52701540"/>
    <w:rsid w:val="527821A3"/>
    <w:rsid w:val="527C2D8E"/>
    <w:rsid w:val="528E6002"/>
    <w:rsid w:val="52940ADB"/>
    <w:rsid w:val="5294522F"/>
    <w:rsid w:val="52952A4E"/>
    <w:rsid w:val="529671F9"/>
    <w:rsid w:val="529849CE"/>
    <w:rsid w:val="529B1672"/>
    <w:rsid w:val="52A019BD"/>
    <w:rsid w:val="52B633F7"/>
    <w:rsid w:val="52BCDEF3"/>
    <w:rsid w:val="52CD24EF"/>
    <w:rsid w:val="52D970E6"/>
    <w:rsid w:val="52DE46FC"/>
    <w:rsid w:val="52E04FF4"/>
    <w:rsid w:val="52E53CDC"/>
    <w:rsid w:val="52E77A54"/>
    <w:rsid w:val="52EC6E19"/>
    <w:rsid w:val="52ED4124"/>
    <w:rsid w:val="52F35042"/>
    <w:rsid w:val="52FB705C"/>
    <w:rsid w:val="52FC4B82"/>
    <w:rsid w:val="53006D50"/>
    <w:rsid w:val="5305612D"/>
    <w:rsid w:val="530D6D8F"/>
    <w:rsid w:val="531215C4"/>
    <w:rsid w:val="531B14AC"/>
    <w:rsid w:val="53202F66"/>
    <w:rsid w:val="53242390"/>
    <w:rsid w:val="533B708F"/>
    <w:rsid w:val="534A3B3F"/>
    <w:rsid w:val="534A5815"/>
    <w:rsid w:val="53513120"/>
    <w:rsid w:val="53514ECE"/>
    <w:rsid w:val="53560736"/>
    <w:rsid w:val="536A5F90"/>
    <w:rsid w:val="536F1BBE"/>
    <w:rsid w:val="53764934"/>
    <w:rsid w:val="537872D3"/>
    <w:rsid w:val="537D4AB7"/>
    <w:rsid w:val="5382777D"/>
    <w:rsid w:val="538F145B"/>
    <w:rsid w:val="538F59F6"/>
    <w:rsid w:val="53966D85"/>
    <w:rsid w:val="539C673B"/>
    <w:rsid w:val="53AC0356"/>
    <w:rsid w:val="53AF4A8D"/>
    <w:rsid w:val="53B11E10"/>
    <w:rsid w:val="53B22AA1"/>
    <w:rsid w:val="53BA0CC5"/>
    <w:rsid w:val="53BD2563"/>
    <w:rsid w:val="53BD36C9"/>
    <w:rsid w:val="53C47D96"/>
    <w:rsid w:val="53D60C6E"/>
    <w:rsid w:val="53F817ED"/>
    <w:rsid w:val="53F82568"/>
    <w:rsid w:val="53FD0BB2"/>
    <w:rsid w:val="54006C82"/>
    <w:rsid w:val="54161C73"/>
    <w:rsid w:val="54183C3E"/>
    <w:rsid w:val="54302D35"/>
    <w:rsid w:val="5438608E"/>
    <w:rsid w:val="543A0058"/>
    <w:rsid w:val="543D003D"/>
    <w:rsid w:val="544113E6"/>
    <w:rsid w:val="54437678"/>
    <w:rsid w:val="54455CD4"/>
    <w:rsid w:val="544B4013"/>
    <w:rsid w:val="545412EF"/>
    <w:rsid w:val="545A6004"/>
    <w:rsid w:val="545D1A86"/>
    <w:rsid w:val="54640E93"/>
    <w:rsid w:val="546D3F89"/>
    <w:rsid w:val="546F5EAC"/>
    <w:rsid w:val="54792782"/>
    <w:rsid w:val="547E7DC7"/>
    <w:rsid w:val="5486504B"/>
    <w:rsid w:val="548920A7"/>
    <w:rsid w:val="548A5A49"/>
    <w:rsid w:val="548D22F0"/>
    <w:rsid w:val="54906066"/>
    <w:rsid w:val="549238CE"/>
    <w:rsid w:val="5492579E"/>
    <w:rsid w:val="549E0D64"/>
    <w:rsid w:val="54AA669F"/>
    <w:rsid w:val="54AB273B"/>
    <w:rsid w:val="54B03E76"/>
    <w:rsid w:val="54BC281B"/>
    <w:rsid w:val="54BE47E5"/>
    <w:rsid w:val="54CA318A"/>
    <w:rsid w:val="54DA4AA4"/>
    <w:rsid w:val="54DA7145"/>
    <w:rsid w:val="54DC110F"/>
    <w:rsid w:val="54DD4A95"/>
    <w:rsid w:val="54E21196"/>
    <w:rsid w:val="54E3424B"/>
    <w:rsid w:val="54E51D72"/>
    <w:rsid w:val="54E61040"/>
    <w:rsid w:val="54E82872"/>
    <w:rsid w:val="54EB6261"/>
    <w:rsid w:val="54EC734D"/>
    <w:rsid w:val="54F2623D"/>
    <w:rsid w:val="54F32D2F"/>
    <w:rsid w:val="54F41600"/>
    <w:rsid w:val="54F93A6F"/>
    <w:rsid w:val="54F9581D"/>
    <w:rsid w:val="54FB1595"/>
    <w:rsid w:val="5503669C"/>
    <w:rsid w:val="550A17D8"/>
    <w:rsid w:val="55164621"/>
    <w:rsid w:val="55172147"/>
    <w:rsid w:val="551C7E43"/>
    <w:rsid w:val="551E5284"/>
    <w:rsid w:val="55225AFC"/>
    <w:rsid w:val="55292060"/>
    <w:rsid w:val="552C498D"/>
    <w:rsid w:val="55314FB7"/>
    <w:rsid w:val="55322ADD"/>
    <w:rsid w:val="55376345"/>
    <w:rsid w:val="553920BD"/>
    <w:rsid w:val="554051FA"/>
    <w:rsid w:val="554747DA"/>
    <w:rsid w:val="55480662"/>
    <w:rsid w:val="555313D1"/>
    <w:rsid w:val="555667E9"/>
    <w:rsid w:val="556C4241"/>
    <w:rsid w:val="55782BE6"/>
    <w:rsid w:val="557E5D22"/>
    <w:rsid w:val="55810352"/>
    <w:rsid w:val="558E48F3"/>
    <w:rsid w:val="55985036"/>
    <w:rsid w:val="559A7000"/>
    <w:rsid w:val="559E63C4"/>
    <w:rsid w:val="55A25F6F"/>
    <w:rsid w:val="55A73025"/>
    <w:rsid w:val="55B026BB"/>
    <w:rsid w:val="55B33C1E"/>
    <w:rsid w:val="55B55BE8"/>
    <w:rsid w:val="55BA31FE"/>
    <w:rsid w:val="55BB1A9F"/>
    <w:rsid w:val="55C2240C"/>
    <w:rsid w:val="55C4407D"/>
    <w:rsid w:val="55C67DF5"/>
    <w:rsid w:val="55D02C78"/>
    <w:rsid w:val="55D83684"/>
    <w:rsid w:val="55D911AB"/>
    <w:rsid w:val="55DC72ED"/>
    <w:rsid w:val="55E46C22"/>
    <w:rsid w:val="55E64576"/>
    <w:rsid w:val="55ED29C8"/>
    <w:rsid w:val="55F23BD0"/>
    <w:rsid w:val="55F65E7E"/>
    <w:rsid w:val="55F66200"/>
    <w:rsid w:val="55F935FB"/>
    <w:rsid w:val="55FA34F7"/>
    <w:rsid w:val="56035BD4"/>
    <w:rsid w:val="56051FA0"/>
    <w:rsid w:val="56073F6A"/>
    <w:rsid w:val="56081E48"/>
    <w:rsid w:val="56095F34"/>
    <w:rsid w:val="560E52F8"/>
    <w:rsid w:val="56127EFF"/>
    <w:rsid w:val="561F3061"/>
    <w:rsid w:val="56222B52"/>
    <w:rsid w:val="562B7C58"/>
    <w:rsid w:val="56301712"/>
    <w:rsid w:val="563352B9"/>
    <w:rsid w:val="563716DC"/>
    <w:rsid w:val="56382375"/>
    <w:rsid w:val="564819AF"/>
    <w:rsid w:val="56492E55"/>
    <w:rsid w:val="564B654C"/>
    <w:rsid w:val="565F5B54"/>
    <w:rsid w:val="56694C24"/>
    <w:rsid w:val="566B1F21"/>
    <w:rsid w:val="566C201F"/>
    <w:rsid w:val="567C04B4"/>
    <w:rsid w:val="56845FA5"/>
    <w:rsid w:val="56847368"/>
    <w:rsid w:val="568850AA"/>
    <w:rsid w:val="568C1A97"/>
    <w:rsid w:val="568E01E7"/>
    <w:rsid w:val="56A63783"/>
    <w:rsid w:val="56B91708"/>
    <w:rsid w:val="56BC6B02"/>
    <w:rsid w:val="56BE0ACC"/>
    <w:rsid w:val="56CA17BA"/>
    <w:rsid w:val="56D3714A"/>
    <w:rsid w:val="56D4209E"/>
    <w:rsid w:val="56D87AF5"/>
    <w:rsid w:val="56DA342C"/>
    <w:rsid w:val="56E36785"/>
    <w:rsid w:val="56E46059"/>
    <w:rsid w:val="56E60023"/>
    <w:rsid w:val="56EA7B13"/>
    <w:rsid w:val="56F24C1A"/>
    <w:rsid w:val="56F36135"/>
    <w:rsid w:val="570566FB"/>
    <w:rsid w:val="571050A0"/>
    <w:rsid w:val="57105B1C"/>
    <w:rsid w:val="571406EC"/>
    <w:rsid w:val="5715496A"/>
    <w:rsid w:val="571D0C2A"/>
    <w:rsid w:val="573C7C43"/>
    <w:rsid w:val="57437223"/>
    <w:rsid w:val="57454D4A"/>
    <w:rsid w:val="57460AC2"/>
    <w:rsid w:val="574B1383"/>
    <w:rsid w:val="57504512"/>
    <w:rsid w:val="57563B01"/>
    <w:rsid w:val="575907F5"/>
    <w:rsid w:val="576158FB"/>
    <w:rsid w:val="5774562F"/>
    <w:rsid w:val="57763155"/>
    <w:rsid w:val="577C44E3"/>
    <w:rsid w:val="57802226"/>
    <w:rsid w:val="57803CDA"/>
    <w:rsid w:val="57811AFA"/>
    <w:rsid w:val="578223FB"/>
    <w:rsid w:val="578455C1"/>
    <w:rsid w:val="578853C6"/>
    <w:rsid w:val="5789732C"/>
    <w:rsid w:val="578B658B"/>
    <w:rsid w:val="579F12EB"/>
    <w:rsid w:val="57A53A3A"/>
    <w:rsid w:val="57B24890"/>
    <w:rsid w:val="57B95737"/>
    <w:rsid w:val="57C26575"/>
    <w:rsid w:val="57C40364"/>
    <w:rsid w:val="57C71C02"/>
    <w:rsid w:val="57CE11E3"/>
    <w:rsid w:val="57CF2865"/>
    <w:rsid w:val="57D85BBE"/>
    <w:rsid w:val="57DF519E"/>
    <w:rsid w:val="57E04C13"/>
    <w:rsid w:val="57EE371D"/>
    <w:rsid w:val="57F56770"/>
    <w:rsid w:val="57F95B34"/>
    <w:rsid w:val="57FD3876"/>
    <w:rsid w:val="5805272B"/>
    <w:rsid w:val="58056B37"/>
    <w:rsid w:val="58072A29"/>
    <w:rsid w:val="580805D6"/>
    <w:rsid w:val="580A14FD"/>
    <w:rsid w:val="580F6BFF"/>
    <w:rsid w:val="581225E1"/>
    <w:rsid w:val="5817797A"/>
    <w:rsid w:val="581F559B"/>
    <w:rsid w:val="58211505"/>
    <w:rsid w:val="582160BE"/>
    <w:rsid w:val="58261A58"/>
    <w:rsid w:val="582708F3"/>
    <w:rsid w:val="582F6E3C"/>
    <w:rsid w:val="583842FD"/>
    <w:rsid w:val="583D0117"/>
    <w:rsid w:val="58496ABB"/>
    <w:rsid w:val="584A0389"/>
    <w:rsid w:val="58542E57"/>
    <w:rsid w:val="58584F50"/>
    <w:rsid w:val="585A53C3"/>
    <w:rsid w:val="585D78C0"/>
    <w:rsid w:val="58692CBA"/>
    <w:rsid w:val="58794F28"/>
    <w:rsid w:val="58804092"/>
    <w:rsid w:val="58871392"/>
    <w:rsid w:val="5890055A"/>
    <w:rsid w:val="58950A30"/>
    <w:rsid w:val="589F0489"/>
    <w:rsid w:val="58AC2BA6"/>
    <w:rsid w:val="58BE710D"/>
    <w:rsid w:val="58C24D8B"/>
    <w:rsid w:val="58C352E1"/>
    <w:rsid w:val="58CA7BFC"/>
    <w:rsid w:val="58CE0D6F"/>
    <w:rsid w:val="58D171FD"/>
    <w:rsid w:val="58DE7204"/>
    <w:rsid w:val="58E4675B"/>
    <w:rsid w:val="58E95545"/>
    <w:rsid w:val="58E97957"/>
    <w:rsid w:val="58ED38EB"/>
    <w:rsid w:val="58EE31BF"/>
    <w:rsid w:val="58FA7DB6"/>
    <w:rsid w:val="58FF3299"/>
    <w:rsid w:val="59011144"/>
    <w:rsid w:val="59017396"/>
    <w:rsid w:val="5909436E"/>
    <w:rsid w:val="590B3D71"/>
    <w:rsid w:val="590D1897"/>
    <w:rsid w:val="59120BC1"/>
    <w:rsid w:val="59142C25"/>
    <w:rsid w:val="59152109"/>
    <w:rsid w:val="592117E6"/>
    <w:rsid w:val="59226FFC"/>
    <w:rsid w:val="592A2449"/>
    <w:rsid w:val="592D6A4E"/>
    <w:rsid w:val="592F3F03"/>
    <w:rsid w:val="592F7DA2"/>
    <w:rsid w:val="5934220A"/>
    <w:rsid w:val="59381A7E"/>
    <w:rsid w:val="5943175D"/>
    <w:rsid w:val="59462FFB"/>
    <w:rsid w:val="594D3ECC"/>
    <w:rsid w:val="59503BFD"/>
    <w:rsid w:val="59505C28"/>
    <w:rsid w:val="59512029"/>
    <w:rsid w:val="5960230F"/>
    <w:rsid w:val="59613991"/>
    <w:rsid w:val="59690613"/>
    <w:rsid w:val="596D0588"/>
    <w:rsid w:val="597162CA"/>
    <w:rsid w:val="59735A45"/>
    <w:rsid w:val="5987789B"/>
    <w:rsid w:val="598B6C60"/>
    <w:rsid w:val="598D29D8"/>
    <w:rsid w:val="598E3E16"/>
    <w:rsid w:val="599765DC"/>
    <w:rsid w:val="599F6E74"/>
    <w:rsid w:val="59AA5338"/>
    <w:rsid w:val="59B61F2F"/>
    <w:rsid w:val="59B71866"/>
    <w:rsid w:val="59BA1FB3"/>
    <w:rsid w:val="59BB6BA9"/>
    <w:rsid w:val="59BB7545"/>
    <w:rsid w:val="59BE0DE3"/>
    <w:rsid w:val="59BE20BB"/>
    <w:rsid w:val="59D2663D"/>
    <w:rsid w:val="59D800F7"/>
    <w:rsid w:val="59DB3743"/>
    <w:rsid w:val="59DD6816"/>
    <w:rsid w:val="59E2253B"/>
    <w:rsid w:val="59E7658C"/>
    <w:rsid w:val="59F34F31"/>
    <w:rsid w:val="59F36CDF"/>
    <w:rsid w:val="5A020743"/>
    <w:rsid w:val="5A12188A"/>
    <w:rsid w:val="5A1334E7"/>
    <w:rsid w:val="5A166E71"/>
    <w:rsid w:val="5A1D0200"/>
    <w:rsid w:val="5A201A9E"/>
    <w:rsid w:val="5A2F7EF5"/>
    <w:rsid w:val="5A3A63D7"/>
    <w:rsid w:val="5A3B0CD5"/>
    <w:rsid w:val="5A3C13EA"/>
    <w:rsid w:val="5A3F3503"/>
    <w:rsid w:val="5A406DD4"/>
    <w:rsid w:val="5A570BEE"/>
    <w:rsid w:val="5A5A6D5E"/>
    <w:rsid w:val="5A634509"/>
    <w:rsid w:val="5A647BDD"/>
    <w:rsid w:val="5A6E5190"/>
    <w:rsid w:val="5A6F7DE1"/>
    <w:rsid w:val="5A702DFA"/>
    <w:rsid w:val="5A726E5B"/>
    <w:rsid w:val="5A8459C7"/>
    <w:rsid w:val="5A857F88"/>
    <w:rsid w:val="5A8738CB"/>
    <w:rsid w:val="5A894B87"/>
    <w:rsid w:val="5A8D7133"/>
    <w:rsid w:val="5A8E07B6"/>
    <w:rsid w:val="5A93401E"/>
    <w:rsid w:val="5AA03382"/>
    <w:rsid w:val="5AB75F5E"/>
    <w:rsid w:val="5AC02939"/>
    <w:rsid w:val="5AC379F0"/>
    <w:rsid w:val="5AC8016B"/>
    <w:rsid w:val="5AC93EE4"/>
    <w:rsid w:val="5ACB30CC"/>
    <w:rsid w:val="5ACE2385"/>
    <w:rsid w:val="5AD17947"/>
    <w:rsid w:val="5AD55F46"/>
    <w:rsid w:val="5AD703AE"/>
    <w:rsid w:val="5AD7215D"/>
    <w:rsid w:val="5ADC3C17"/>
    <w:rsid w:val="5AE64A95"/>
    <w:rsid w:val="5AF251E8"/>
    <w:rsid w:val="5AF56A87"/>
    <w:rsid w:val="5AFF70F5"/>
    <w:rsid w:val="5B021870"/>
    <w:rsid w:val="5B0B7984"/>
    <w:rsid w:val="5B0D2022"/>
    <w:rsid w:val="5B106EAE"/>
    <w:rsid w:val="5B130AB9"/>
    <w:rsid w:val="5B164740"/>
    <w:rsid w:val="5B191B05"/>
    <w:rsid w:val="5B1C4013"/>
    <w:rsid w:val="5B215ACE"/>
    <w:rsid w:val="5B242EC8"/>
    <w:rsid w:val="5B286E5C"/>
    <w:rsid w:val="5B2E7D02"/>
    <w:rsid w:val="5B303F63"/>
    <w:rsid w:val="5B305D11"/>
    <w:rsid w:val="5B316E66"/>
    <w:rsid w:val="5B370E4D"/>
    <w:rsid w:val="5B3A4F19"/>
    <w:rsid w:val="5B590DC3"/>
    <w:rsid w:val="5B6244EA"/>
    <w:rsid w:val="5B694D7F"/>
    <w:rsid w:val="5B6D27CB"/>
    <w:rsid w:val="5B703BB6"/>
    <w:rsid w:val="5B713F04"/>
    <w:rsid w:val="5B7200D7"/>
    <w:rsid w:val="5B721E85"/>
    <w:rsid w:val="5B7377AF"/>
    <w:rsid w:val="5B7C0F56"/>
    <w:rsid w:val="5B841BB9"/>
    <w:rsid w:val="5B885B4D"/>
    <w:rsid w:val="5B891286"/>
    <w:rsid w:val="5B8F2A37"/>
    <w:rsid w:val="5B977B3E"/>
    <w:rsid w:val="5B982433"/>
    <w:rsid w:val="5B9E2782"/>
    <w:rsid w:val="5BA65FD3"/>
    <w:rsid w:val="5BA67D81"/>
    <w:rsid w:val="5BBE71A1"/>
    <w:rsid w:val="5BC36D9F"/>
    <w:rsid w:val="5BC4220D"/>
    <w:rsid w:val="5BC8220C"/>
    <w:rsid w:val="5BC85F49"/>
    <w:rsid w:val="5BCD355F"/>
    <w:rsid w:val="5BD60666"/>
    <w:rsid w:val="5BD668B8"/>
    <w:rsid w:val="5BD963A8"/>
    <w:rsid w:val="5BDC37A3"/>
    <w:rsid w:val="5BEE6D28"/>
    <w:rsid w:val="5BF605B4"/>
    <w:rsid w:val="5C013209"/>
    <w:rsid w:val="5C1218C9"/>
    <w:rsid w:val="5C1223E8"/>
    <w:rsid w:val="5C286A9A"/>
    <w:rsid w:val="5C2C64D8"/>
    <w:rsid w:val="5C351C48"/>
    <w:rsid w:val="5C3969A7"/>
    <w:rsid w:val="5C3D6937"/>
    <w:rsid w:val="5C3E620B"/>
    <w:rsid w:val="5C493EED"/>
    <w:rsid w:val="5C4E28F2"/>
    <w:rsid w:val="5C556587"/>
    <w:rsid w:val="5C5D3D2F"/>
    <w:rsid w:val="5C641313"/>
    <w:rsid w:val="5C734E82"/>
    <w:rsid w:val="5C8E0F31"/>
    <w:rsid w:val="5C974299"/>
    <w:rsid w:val="5C9950F5"/>
    <w:rsid w:val="5CAF478F"/>
    <w:rsid w:val="5CB00EB7"/>
    <w:rsid w:val="5CB12E81"/>
    <w:rsid w:val="5CB35A78"/>
    <w:rsid w:val="5CB51006"/>
    <w:rsid w:val="5CB64691"/>
    <w:rsid w:val="5CBC3D00"/>
    <w:rsid w:val="5CBE0D47"/>
    <w:rsid w:val="5CC11316"/>
    <w:rsid w:val="5CC901CB"/>
    <w:rsid w:val="5CCF2181"/>
    <w:rsid w:val="5CD45372"/>
    <w:rsid w:val="5CD64696"/>
    <w:rsid w:val="5CD66444"/>
    <w:rsid w:val="5CE93616"/>
    <w:rsid w:val="5CEB6393"/>
    <w:rsid w:val="5CF54B1C"/>
    <w:rsid w:val="5CF80AB0"/>
    <w:rsid w:val="5D0336DD"/>
    <w:rsid w:val="5D0A430A"/>
    <w:rsid w:val="5D1458EA"/>
    <w:rsid w:val="5D26561D"/>
    <w:rsid w:val="5D2B2C34"/>
    <w:rsid w:val="5D2E0F81"/>
    <w:rsid w:val="5D3120A8"/>
    <w:rsid w:val="5D4930BA"/>
    <w:rsid w:val="5D55380D"/>
    <w:rsid w:val="5D584323"/>
    <w:rsid w:val="5D5BF4BC"/>
    <w:rsid w:val="5D5E6B65"/>
    <w:rsid w:val="5D624021"/>
    <w:rsid w:val="5D6D7B23"/>
    <w:rsid w:val="5D7A14C5"/>
    <w:rsid w:val="5D7A4E55"/>
    <w:rsid w:val="5D857F0E"/>
    <w:rsid w:val="5D883BE2"/>
    <w:rsid w:val="5D8A5BAC"/>
    <w:rsid w:val="5D8B5480"/>
    <w:rsid w:val="5D8D744A"/>
    <w:rsid w:val="5D964551"/>
    <w:rsid w:val="5D966A55"/>
    <w:rsid w:val="5D9953D6"/>
    <w:rsid w:val="5DA402F0"/>
    <w:rsid w:val="5DAB167E"/>
    <w:rsid w:val="5DAC504B"/>
    <w:rsid w:val="5DB05C62"/>
    <w:rsid w:val="5DB524FD"/>
    <w:rsid w:val="5DC80482"/>
    <w:rsid w:val="5DC818E3"/>
    <w:rsid w:val="5DC866D4"/>
    <w:rsid w:val="5DCD5A99"/>
    <w:rsid w:val="5DD04D4D"/>
    <w:rsid w:val="5DDE3FCD"/>
    <w:rsid w:val="5DE352BC"/>
    <w:rsid w:val="5DF136C0"/>
    <w:rsid w:val="5E0510CB"/>
    <w:rsid w:val="5E084D23"/>
    <w:rsid w:val="5E0A0A9B"/>
    <w:rsid w:val="5E0F1C0D"/>
    <w:rsid w:val="5E0F60B1"/>
    <w:rsid w:val="5E1611EE"/>
    <w:rsid w:val="5E211941"/>
    <w:rsid w:val="5E231BA8"/>
    <w:rsid w:val="5E27164D"/>
    <w:rsid w:val="5E273661"/>
    <w:rsid w:val="5E382055"/>
    <w:rsid w:val="5E45699F"/>
    <w:rsid w:val="5E4D2F87"/>
    <w:rsid w:val="5E613834"/>
    <w:rsid w:val="5E6A379F"/>
    <w:rsid w:val="5E714676"/>
    <w:rsid w:val="5E734892"/>
    <w:rsid w:val="5E79177D"/>
    <w:rsid w:val="5E7B54F5"/>
    <w:rsid w:val="5E7D4228"/>
    <w:rsid w:val="5E895E64"/>
    <w:rsid w:val="5E8C7702"/>
    <w:rsid w:val="5E9071F2"/>
    <w:rsid w:val="5E91624E"/>
    <w:rsid w:val="5E9B16F3"/>
    <w:rsid w:val="5E9B5B97"/>
    <w:rsid w:val="5E9D0FA2"/>
    <w:rsid w:val="5E9D6B02"/>
    <w:rsid w:val="5EBD74DA"/>
    <w:rsid w:val="5EDD3B3D"/>
    <w:rsid w:val="5EDE519C"/>
    <w:rsid w:val="5EE17A4E"/>
    <w:rsid w:val="5EE671F7"/>
    <w:rsid w:val="5EEB4428"/>
    <w:rsid w:val="5EEE16BA"/>
    <w:rsid w:val="5EF3152F"/>
    <w:rsid w:val="5EF808F3"/>
    <w:rsid w:val="5EF81C6F"/>
    <w:rsid w:val="5F007901"/>
    <w:rsid w:val="5F024A3E"/>
    <w:rsid w:val="5F08322C"/>
    <w:rsid w:val="5F0C25F1"/>
    <w:rsid w:val="5F157971"/>
    <w:rsid w:val="5F2636B2"/>
    <w:rsid w:val="5F2D2C93"/>
    <w:rsid w:val="5F3F6522"/>
    <w:rsid w:val="5F447FDD"/>
    <w:rsid w:val="5F4F0E5B"/>
    <w:rsid w:val="5F546472"/>
    <w:rsid w:val="5F6661A5"/>
    <w:rsid w:val="5F6B37BB"/>
    <w:rsid w:val="5F70492E"/>
    <w:rsid w:val="5F795ED8"/>
    <w:rsid w:val="5F7E34EF"/>
    <w:rsid w:val="5F7F40F4"/>
    <w:rsid w:val="5F830B05"/>
    <w:rsid w:val="5F845BA8"/>
    <w:rsid w:val="5F8F79CC"/>
    <w:rsid w:val="5F90108D"/>
    <w:rsid w:val="5F9E6097"/>
    <w:rsid w:val="5F9F30CB"/>
    <w:rsid w:val="5FA0749F"/>
    <w:rsid w:val="5FA647F3"/>
    <w:rsid w:val="5FAA5E45"/>
    <w:rsid w:val="5FAB178A"/>
    <w:rsid w:val="5FB96E55"/>
    <w:rsid w:val="5FBE1B3D"/>
    <w:rsid w:val="5FBE4E82"/>
    <w:rsid w:val="5FBE7D8F"/>
    <w:rsid w:val="5FC353A5"/>
    <w:rsid w:val="5FCA6734"/>
    <w:rsid w:val="5FD56E87"/>
    <w:rsid w:val="5FDC1FC3"/>
    <w:rsid w:val="5FE01AB3"/>
    <w:rsid w:val="5FEA7BEE"/>
    <w:rsid w:val="5FF11F12"/>
    <w:rsid w:val="5FF7504F"/>
    <w:rsid w:val="60017C7C"/>
    <w:rsid w:val="600F393E"/>
    <w:rsid w:val="60207017"/>
    <w:rsid w:val="6021580D"/>
    <w:rsid w:val="60234096"/>
    <w:rsid w:val="6025396A"/>
    <w:rsid w:val="602F2F28"/>
    <w:rsid w:val="60363A23"/>
    <w:rsid w:val="603718EF"/>
    <w:rsid w:val="603C0CB4"/>
    <w:rsid w:val="603C75C9"/>
    <w:rsid w:val="60401A1C"/>
    <w:rsid w:val="60442E5E"/>
    <w:rsid w:val="60483AFC"/>
    <w:rsid w:val="604F30F3"/>
    <w:rsid w:val="60591866"/>
    <w:rsid w:val="60666416"/>
    <w:rsid w:val="60672BAB"/>
    <w:rsid w:val="606C74FF"/>
    <w:rsid w:val="606E519E"/>
    <w:rsid w:val="607067A3"/>
    <w:rsid w:val="607246D5"/>
    <w:rsid w:val="607641C6"/>
    <w:rsid w:val="607E12CC"/>
    <w:rsid w:val="608027D0"/>
    <w:rsid w:val="608B3277"/>
    <w:rsid w:val="60924A0D"/>
    <w:rsid w:val="60975F9B"/>
    <w:rsid w:val="609B59DA"/>
    <w:rsid w:val="60A26D69"/>
    <w:rsid w:val="60A8472B"/>
    <w:rsid w:val="60AF76D8"/>
    <w:rsid w:val="60B11755"/>
    <w:rsid w:val="60B371C8"/>
    <w:rsid w:val="60B42F40"/>
    <w:rsid w:val="60BB42CE"/>
    <w:rsid w:val="60BD1DF5"/>
    <w:rsid w:val="60C363E5"/>
    <w:rsid w:val="60CC64DC"/>
    <w:rsid w:val="60CF38D6"/>
    <w:rsid w:val="60D13AF2"/>
    <w:rsid w:val="60D36EB3"/>
    <w:rsid w:val="60D4713E"/>
    <w:rsid w:val="60EC26DA"/>
    <w:rsid w:val="60F375C4"/>
    <w:rsid w:val="60FB18C6"/>
    <w:rsid w:val="61001CE1"/>
    <w:rsid w:val="61017B2F"/>
    <w:rsid w:val="610B7004"/>
    <w:rsid w:val="6118527D"/>
    <w:rsid w:val="612105D5"/>
    <w:rsid w:val="61261CDB"/>
    <w:rsid w:val="612B1454"/>
    <w:rsid w:val="613C2115"/>
    <w:rsid w:val="61453B98"/>
    <w:rsid w:val="61461DEA"/>
    <w:rsid w:val="61475B62"/>
    <w:rsid w:val="614D5CFE"/>
    <w:rsid w:val="615B070D"/>
    <w:rsid w:val="615C33BC"/>
    <w:rsid w:val="615D0EE2"/>
    <w:rsid w:val="615D7134"/>
    <w:rsid w:val="616964DC"/>
    <w:rsid w:val="617167E5"/>
    <w:rsid w:val="618648DC"/>
    <w:rsid w:val="61870A0B"/>
    <w:rsid w:val="618B5A4F"/>
    <w:rsid w:val="619A2136"/>
    <w:rsid w:val="61A635AF"/>
    <w:rsid w:val="61A86601"/>
    <w:rsid w:val="61B3661E"/>
    <w:rsid w:val="61B56F70"/>
    <w:rsid w:val="61BB2B27"/>
    <w:rsid w:val="61BC489F"/>
    <w:rsid w:val="61C80397"/>
    <w:rsid w:val="61CB28D4"/>
    <w:rsid w:val="61CF0031"/>
    <w:rsid w:val="61D25DCE"/>
    <w:rsid w:val="61E138C1"/>
    <w:rsid w:val="61E63853"/>
    <w:rsid w:val="61E6537B"/>
    <w:rsid w:val="61E909C7"/>
    <w:rsid w:val="61F01D56"/>
    <w:rsid w:val="61F555BE"/>
    <w:rsid w:val="61F71336"/>
    <w:rsid w:val="61FA4C96"/>
    <w:rsid w:val="62081C25"/>
    <w:rsid w:val="620D2908"/>
    <w:rsid w:val="62143C96"/>
    <w:rsid w:val="621450DD"/>
    <w:rsid w:val="62175534"/>
    <w:rsid w:val="622163B3"/>
    <w:rsid w:val="622A5268"/>
    <w:rsid w:val="62375BD7"/>
    <w:rsid w:val="623B7C3E"/>
    <w:rsid w:val="62486582"/>
    <w:rsid w:val="62540537"/>
    <w:rsid w:val="62564B72"/>
    <w:rsid w:val="625C73EB"/>
    <w:rsid w:val="625E3163"/>
    <w:rsid w:val="625E566C"/>
    <w:rsid w:val="6263077A"/>
    <w:rsid w:val="626369CC"/>
    <w:rsid w:val="628B5B53"/>
    <w:rsid w:val="62952CDB"/>
    <w:rsid w:val="629B6525"/>
    <w:rsid w:val="62A52B40"/>
    <w:rsid w:val="62A7266F"/>
    <w:rsid w:val="62AE40EB"/>
    <w:rsid w:val="62BB2364"/>
    <w:rsid w:val="62D00C75"/>
    <w:rsid w:val="62D26D5E"/>
    <w:rsid w:val="62D45EE4"/>
    <w:rsid w:val="62D653F0"/>
    <w:rsid w:val="62DB75C0"/>
    <w:rsid w:val="62E462EA"/>
    <w:rsid w:val="62F21DC9"/>
    <w:rsid w:val="62F5176A"/>
    <w:rsid w:val="62F87114"/>
    <w:rsid w:val="62FA7330"/>
    <w:rsid w:val="6300421A"/>
    <w:rsid w:val="63037475"/>
    <w:rsid w:val="63152B80"/>
    <w:rsid w:val="631B72A6"/>
    <w:rsid w:val="631E13CD"/>
    <w:rsid w:val="632519EF"/>
    <w:rsid w:val="63253C81"/>
    <w:rsid w:val="632674CD"/>
    <w:rsid w:val="63267F3C"/>
    <w:rsid w:val="63272672"/>
    <w:rsid w:val="63286D74"/>
    <w:rsid w:val="632E2B36"/>
    <w:rsid w:val="63316ACA"/>
    <w:rsid w:val="633F11E7"/>
    <w:rsid w:val="6345292E"/>
    <w:rsid w:val="6346457F"/>
    <w:rsid w:val="635527B8"/>
    <w:rsid w:val="635602DE"/>
    <w:rsid w:val="635B54B2"/>
    <w:rsid w:val="63770981"/>
    <w:rsid w:val="637F55ED"/>
    <w:rsid w:val="63894248"/>
    <w:rsid w:val="638A5C5A"/>
    <w:rsid w:val="63934EC5"/>
    <w:rsid w:val="639606C7"/>
    <w:rsid w:val="639E343B"/>
    <w:rsid w:val="63A22B5F"/>
    <w:rsid w:val="63A43DC5"/>
    <w:rsid w:val="63A460E4"/>
    <w:rsid w:val="63B079EF"/>
    <w:rsid w:val="63BFD95A"/>
    <w:rsid w:val="63C416EC"/>
    <w:rsid w:val="63C419B3"/>
    <w:rsid w:val="63C458B4"/>
    <w:rsid w:val="63CF256B"/>
    <w:rsid w:val="63E15DFA"/>
    <w:rsid w:val="63E43B3C"/>
    <w:rsid w:val="63E80DAE"/>
    <w:rsid w:val="63EE0517"/>
    <w:rsid w:val="63F273B9"/>
    <w:rsid w:val="63F43D7F"/>
    <w:rsid w:val="63F56C5B"/>
    <w:rsid w:val="63F7386F"/>
    <w:rsid w:val="63F82AA6"/>
    <w:rsid w:val="63FE69AC"/>
    <w:rsid w:val="64030466"/>
    <w:rsid w:val="6408782B"/>
    <w:rsid w:val="640909AA"/>
    <w:rsid w:val="64104931"/>
    <w:rsid w:val="642A77A1"/>
    <w:rsid w:val="642B3519"/>
    <w:rsid w:val="642D7291"/>
    <w:rsid w:val="64305E79"/>
    <w:rsid w:val="64316853"/>
    <w:rsid w:val="64441DEB"/>
    <w:rsid w:val="644840CB"/>
    <w:rsid w:val="644C60C0"/>
    <w:rsid w:val="64504D2E"/>
    <w:rsid w:val="64731810"/>
    <w:rsid w:val="647B7FFD"/>
    <w:rsid w:val="647E7D84"/>
    <w:rsid w:val="64854C9A"/>
    <w:rsid w:val="648624EA"/>
    <w:rsid w:val="64876A17"/>
    <w:rsid w:val="64882719"/>
    <w:rsid w:val="648A6492"/>
    <w:rsid w:val="648B3FB8"/>
    <w:rsid w:val="64964E60"/>
    <w:rsid w:val="64992B79"/>
    <w:rsid w:val="649966D5"/>
    <w:rsid w:val="649B2251"/>
    <w:rsid w:val="64AD49A2"/>
    <w:rsid w:val="64B27796"/>
    <w:rsid w:val="64B41760"/>
    <w:rsid w:val="64BE613B"/>
    <w:rsid w:val="64CA184F"/>
    <w:rsid w:val="64CE2822"/>
    <w:rsid w:val="64D67929"/>
    <w:rsid w:val="64DD5B69"/>
    <w:rsid w:val="64EC0EFA"/>
    <w:rsid w:val="64EC2CA8"/>
    <w:rsid w:val="64EF4547"/>
    <w:rsid w:val="64F61414"/>
    <w:rsid w:val="64FD3107"/>
    <w:rsid w:val="64FE0155"/>
    <w:rsid w:val="65031DA0"/>
    <w:rsid w:val="65071890"/>
    <w:rsid w:val="65093EA2"/>
    <w:rsid w:val="651421FF"/>
    <w:rsid w:val="65172C25"/>
    <w:rsid w:val="651964BB"/>
    <w:rsid w:val="6522491C"/>
    <w:rsid w:val="65235ACD"/>
    <w:rsid w:val="652F0DE7"/>
    <w:rsid w:val="653004DD"/>
    <w:rsid w:val="6532302B"/>
    <w:rsid w:val="653E102A"/>
    <w:rsid w:val="654148A5"/>
    <w:rsid w:val="65476131"/>
    <w:rsid w:val="654F7759"/>
    <w:rsid w:val="65530F79"/>
    <w:rsid w:val="65592D0A"/>
    <w:rsid w:val="65695A9D"/>
    <w:rsid w:val="656C2C83"/>
    <w:rsid w:val="65750EF0"/>
    <w:rsid w:val="65752C9E"/>
    <w:rsid w:val="657966D3"/>
    <w:rsid w:val="658C7FE7"/>
    <w:rsid w:val="658E3D60"/>
    <w:rsid w:val="659F5F6D"/>
    <w:rsid w:val="65A13A93"/>
    <w:rsid w:val="65AB66C0"/>
    <w:rsid w:val="65B0017A"/>
    <w:rsid w:val="65B31A18"/>
    <w:rsid w:val="65B55790"/>
    <w:rsid w:val="65B7373F"/>
    <w:rsid w:val="65C44333"/>
    <w:rsid w:val="65CB4E3A"/>
    <w:rsid w:val="65CE6852"/>
    <w:rsid w:val="65D5198E"/>
    <w:rsid w:val="65DB6B5B"/>
    <w:rsid w:val="65DC0F6F"/>
    <w:rsid w:val="65E01371"/>
    <w:rsid w:val="65EB16E3"/>
    <w:rsid w:val="65F00576"/>
    <w:rsid w:val="65F8567D"/>
    <w:rsid w:val="65FA7785"/>
    <w:rsid w:val="65FC516D"/>
    <w:rsid w:val="660404C6"/>
    <w:rsid w:val="66063A14"/>
    <w:rsid w:val="66071322"/>
    <w:rsid w:val="66091638"/>
    <w:rsid w:val="660957E7"/>
    <w:rsid w:val="660D28A1"/>
    <w:rsid w:val="661C75BD"/>
    <w:rsid w:val="662621EA"/>
    <w:rsid w:val="663B6ADC"/>
    <w:rsid w:val="663D6476"/>
    <w:rsid w:val="66404B06"/>
    <w:rsid w:val="66417024"/>
    <w:rsid w:val="6646288C"/>
    <w:rsid w:val="66502C74"/>
    <w:rsid w:val="66594935"/>
    <w:rsid w:val="665B2871"/>
    <w:rsid w:val="665C20B0"/>
    <w:rsid w:val="665C3E5E"/>
    <w:rsid w:val="666130C7"/>
    <w:rsid w:val="667C62AE"/>
    <w:rsid w:val="66807B4C"/>
    <w:rsid w:val="66821978"/>
    <w:rsid w:val="66862210"/>
    <w:rsid w:val="668F1B3D"/>
    <w:rsid w:val="6694184A"/>
    <w:rsid w:val="66990C0E"/>
    <w:rsid w:val="669C24AC"/>
    <w:rsid w:val="66B16398"/>
    <w:rsid w:val="66B772E6"/>
    <w:rsid w:val="66BB5028"/>
    <w:rsid w:val="66C130C6"/>
    <w:rsid w:val="66D165FA"/>
    <w:rsid w:val="66D60B91"/>
    <w:rsid w:val="66D954AE"/>
    <w:rsid w:val="66E71979"/>
    <w:rsid w:val="66EC0AAE"/>
    <w:rsid w:val="66ED2D08"/>
    <w:rsid w:val="66F4743D"/>
    <w:rsid w:val="67087B42"/>
    <w:rsid w:val="670D5158"/>
    <w:rsid w:val="6712276E"/>
    <w:rsid w:val="671462AF"/>
    <w:rsid w:val="67177D85"/>
    <w:rsid w:val="671B7875"/>
    <w:rsid w:val="671D552C"/>
    <w:rsid w:val="67236729"/>
    <w:rsid w:val="672901E4"/>
    <w:rsid w:val="672D3845"/>
    <w:rsid w:val="6739419F"/>
    <w:rsid w:val="67582877"/>
    <w:rsid w:val="675B5EC3"/>
    <w:rsid w:val="675C7C66"/>
    <w:rsid w:val="676C32A4"/>
    <w:rsid w:val="676C6322"/>
    <w:rsid w:val="67746F85"/>
    <w:rsid w:val="6777710B"/>
    <w:rsid w:val="677963AC"/>
    <w:rsid w:val="67827569"/>
    <w:rsid w:val="67831ABE"/>
    <w:rsid w:val="6784366C"/>
    <w:rsid w:val="678E1D9F"/>
    <w:rsid w:val="67A70D49"/>
    <w:rsid w:val="67B41332"/>
    <w:rsid w:val="67C117FD"/>
    <w:rsid w:val="67C32836"/>
    <w:rsid w:val="67C779FD"/>
    <w:rsid w:val="67C9107F"/>
    <w:rsid w:val="67CA42A6"/>
    <w:rsid w:val="67D11A4E"/>
    <w:rsid w:val="67DA7730"/>
    <w:rsid w:val="67DB7D60"/>
    <w:rsid w:val="67EE08F1"/>
    <w:rsid w:val="67F1577D"/>
    <w:rsid w:val="67F16088"/>
    <w:rsid w:val="67FB4706"/>
    <w:rsid w:val="67FD2DCA"/>
    <w:rsid w:val="67FE18EC"/>
    <w:rsid w:val="6808604B"/>
    <w:rsid w:val="680D18B3"/>
    <w:rsid w:val="681D761D"/>
    <w:rsid w:val="68262975"/>
    <w:rsid w:val="68272A1B"/>
    <w:rsid w:val="68273FF7"/>
    <w:rsid w:val="68295FC1"/>
    <w:rsid w:val="68297D70"/>
    <w:rsid w:val="68392C6E"/>
    <w:rsid w:val="68394B34"/>
    <w:rsid w:val="684661E6"/>
    <w:rsid w:val="68571D98"/>
    <w:rsid w:val="685C51B4"/>
    <w:rsid w:val="686314D3"/>
    <w:rsid w:val="686B0388"/>
    <w:rsid w:val="686F2D59"/>
    <w:rsid w:val="68787E79"/>
    <w:rsid w:val="687A3978"/>
    <w:rsid w:val="68866CD3"/>
    <w:rsid w:val="688924C2"/>
    <w:rsid w:val="68945B31"/>
    <w:rsid w:val="68951C23"/>
    <w:rsid w:val="689618A9"/>
    <w:rsid w:val="68992F13"/>
    <w:rsid w:val="689E42BA"/>
    <w:rsid w:val="689E521E"/>
    <w:rsid w:val="68A11FFC"/>
    <w:rsid w:val="68AB4C28"/>
    <w:rsid w:val="68AD6BF3"/>
    <w:rsid w:val="68B00491"/>
    <w:rsid w:val="68C006D4"/>
    <w:rsid w:val="68C13F76"/>
    <w:rsid w:val="68C1444C"/>
    <w:rsid w:val="68C32078"/>
    <w:rsid w:val="68D0763C"/>
    <w:rsid w:val="68D370A0"/>
    <w:rsid w:val="68D443BE"/>
    <w:rsid w:val="68D45F2D"/>
    <w:rsid w:val="68D91796"/>
    <w:rsid w:val="68DB0C40"/>
    <w:rsid w:val="68DD74D8"/>
    <w:rsid w:val="68E36170"/>
    <w:rsid w:val="68E84100"/>
    <w:rsid w:val="68F24605"/>
    <w:rsid w:val="68F8093B"/>
    <w:rsid w:val="68FE43CF"/>
    <w:rsid w:val="690114E0"/>
    <w:rsid w:val="69012A9A"/>
    <w:rsid w:val="69054339"/>
    <w:rsid w:val="69126A56"/>
    <w:rsid w:val="692757B4"/>
    <w:rsid w:val="693370F8"/>
    <w:rsid w:val="693410C2"/>
    <w:rsid w:val="69342E70"/>
    <w:rsid w:val="69381F78"/>
    <w:rsid w:val="693966D8"/>
    <w:rsid w:val="69407A67"/>
    <w:rsid w:val="694110E9"/>
    <w:rsid w:val="69472BA3"/>
    <w:rsid w:val="69513A22"/>
    <w:rsid w:val="695B21AB"/>
    <w:rsid w:val="69600A00"/>
    <w:rsid w:val="69643755"/>
    <w:rsid w:val="696470FF"/>
    <w:rsid w:val="696F20FA"/>
    <w:rsid w:val="69731BEA"/>
    <w:rsid w:val="69822C8C"/>
    <w:rsid w:val="698D0391"/>
    <w:rsid w:val="6994390F"/>
    <w:rsid w:val="69A41DA4"/>
    <w:rsid w:val="69A52636"/>
    <w:rsid w:val="69A83406"/>
    <w:rsid w:val="69AE712A"/>
    <w:rsid w:val="69B55D5F"/>
    <w:rsid w:val="69B57422"/>
    <w:rsid w:val="69BE713E"/>
    <w:rsid w:val="69CE5072"/>
    <w:rsid w:val="69D02B99"/>
    <w:rsid w:val="69D361E5"/>
    <w:rsid w:val="69D501AF"/>
    <w:rsid w:val="69D63F27"/>
    <w:rsid w:val="69D837FB"/>
    <w:rsid w:val="69D95E9A"/>
    <w:rsid w:val="69DC2A3E"/>
    <w:rsid w:val="69E336DC"/>
    <w:rsid w:val="69E403F2"/>
    <w:rsid w:val="69E77EE2"/>
    <w:rsid w:val="69E93615"/>
    <w:rsid w:val="69F12B0F"/>
    <w:rsid w:val="69F34AD9"/>
    <w:rsid w:val="69FA5E67"/>
    <w:rsid w:val="69FD14B4"/>
    <w:rsid w:val="69FD3262"/>
    <w:rsid w:val="69FF522C"/>
    <w:rsid w:val="6A010FA4"/>
    <w:rsid w:val="6A097E59"/>
    <w:rsid w:val="6A0D5B9B"/>
    <w:rsid w:val="6A11674D"/>
    <w:rsid w:val="6A136F29"/>
    <w:rsid w:val="6A2151A2"/>
    <w:rsid w:val="6A281E10"/>
    <w:rsid w:val="6A303990"/>
    <w:rsid w:val="6A386990"/>
    <w:rsid w:val="6A3F38D9"/>
    <w:rsid w:val="6A40194C"/>
    <w:rsid w:val="6A425452"/>
    <w:rsid w:val="6A647785"/>
    <w:rsid w:val="6A6921D7"/>
    <w:rsid w:val="6A7D43A3"/>
    <w:rsid w:val="6A863F6D"/>
    <w:rsid w:val="6A89513B"/>
    <w:rsid w:val="6A8A06B2"/>
    <w:rsid w:val="6A8B4D12"/>
    <w:rsid w:val="6A8B6AC0"/>
    <w:rsid w:val="6A920310"/>
    <w:rsid w:val="6A970098"/>
    <w:rsid w:val="6AA80752"/>
    <w:rsid w:val="6AAB53B4"/>
    <w:rsid w:val="6AAB7162"/>
    <w:rsid w:val="6AAD4C88"/>
    <w:rsid w:val="6AB04609"/>
    <w:rsid w:val="6ABB3CB2"/>
    <w:rsid w:val="6AC040FE"/>
    <w:rsid w:val="6ACC10C7"/>
    <w:rsid w:val="6ACE4BFE"/>
    <w:rsid w:val="6AD14E1A"/>
    <w:rsid w:val="6AD37813"/>
    <w:rsid w:val="6AD71D05"/>
    <w:rsid w:val="6ADB75C4"/>
    <w:rsid w:val="6ADE7537"/>
    <w:rsid w:val="6AE03D9E"/>
    <w:rsid w:val="6AE10DD5"/>
    <w:rsid w:val="6AE4035F"/>
    <w:rsid w:val="6AEB3A02"/>
    <w:rsid w:val="6AEB5203"/>
    <w:rsid w:val="6AF01018"/>
    <w:rsid w:val="6AF44665"/>
    <w:rsid w:val="6AFB6456"/>
    <w:rsid w:val="6AFE54E3"/>
    <w:rsid w:val="6B0048CA"/>
    <w:rsid w:val="6B013226"/>
    <w:rsid w:val="6B032AFA"/>
    <w:rsid w:val="6B051E8B"/>
    <w:rsid w:val="6B054AC4"/>
    <w:rsid w:val="6B154A35"/>
    <w:rsid w:val="6B1C6129"/>
    <w:rsid w:val="6B2313EE"/>
    <w:rsid w:val="6B2A62D8"/>
    <w:rsid w:val="6B3F038F"/>
    <w:rsid w:val="6B4A0729"/>
    <w:rsid w:val="6B4C17C5"/>
    <w:rsid w:val="6B511AB7"/>
    <w:rsid w:val="6B524FD9"/>
    <w:rsid w:val="6B5670CE"/>
    <w:rsid w:val="6B577316"/>
    <w:rsid w:val="6B673089"/>
    <w:rsid w:val="6B6D2669"/>
    <w:rsid w:val="6B6D2BC9"/>
    <w:rsid w:val="6B6D4417"/>
    <w:rsid w:val="6B6F1F3D"/>
    <w:rsid w:val="6B7632CC"/>
    <w:rsid w:val="6B8D0B95"/>
    <w:rsid w:val="6B8E4AB9"/>
    <w:rsid w:val="6B923E7E"/>
    <w:rsid w:val="6B9B71D6"/>
    <w:rsid w:val="6B9F6CC6"/>
    <w:rsid w:val="6BAD4A8C"/>
    <w:rsid w:val="6BAF228A"/>
    <w:rsid w:val="6BB64010"/>
    <w:rsid w:val="6BD57112"/>
    <w:rsid w:val="6BD67F84"/>
    <w:rsid w:val="6BD91AAD"/>
    <w:rsid w:val="6BDA0815"/>
    <w:rsid w:val="6BE85984"/>
    <w:rsid w:val="6BEC40FB"/>
    <w:rsid w:val="6BF15048"/>
    <w:rsid w:val="6BFB1AB8"/>
    <w:rsid w:val="6C066D46"/>
    <w:rsid w:val="6C0A7EB8"/>
    <w:rsid w:val="6C0C3C30"/>
    <w:rsid w:val="6C101972"/>
    <w:rsid w:val="6C124653"/>
    <w:rsid w:val="6C164AAF"/>
    <w:rsid w:val="6C16685D"/>
    <w:rsid w:val="6C215B15"/>
    <w:rsid w:val="6C2471CC"/>
    <w:rsid w:val="6C336722"/>
    <w:rsid w:val="6C3811CB"/>
    <w:rsid w:val="6C3A079D"/>
    <w:rsid w:val="6C3B62C3"/>
    <w:rsid w:val="6C4760A3"/>
    <w:rsid w:val="6C482A24"/>
    <w:rsid w:val="6C4C227F"/>
    <w:rsid w:val="6C4D3CBC"/>
    <w:rsid w:val="6C4E249B"/>
    <w:rsid w:val="6C5409D7"/>
    <w:rsid w:val="6C5C6966"/>
    <w:rsid w:val="6C631B36"/>
    <w:rsid w:val="6C6367AC"/>
    <w:rsid w:val="6C6601C5"/>
    <w:rsid w:val="6C6E6699"/>
    <w:rsid w:val="6C7A503E"/>
    <w:rsid w:val="6C7D34D7"/>
    <w:rsid w:val="6C7D4B2E"/>
    <w:rsid w:val="6C7D78FE"/>
    <w:rsid w:val="6C7F08A6"/>
    <w:rsid w:val="6C847C6A"/>
    <w:rsid w:val="6C9D34A7"/>
    <w:rsid w:val="6CA1081C"/>
    <w:rsid w:val="6CA65E33"/>
    <w:rsid w:val="6CA94746"/>
    <w:rsid w:val="6CA976D1"/>
    <w:rsid w:val="6CB247D7"/>
    <w:rsid w:val="6CB322FE"/>
    <w:rsid w:val="6CBF5146"/>
    <w:rsid w:val="6CC12C6C"/>
    <w:rsid w:val="6CCD3B3F"/>
    <w:rsid w:val="6CD37EDF"/>
    <w:rsid w:val="6CD72490"/>
    <w:rsid w:val="6CDA3D2E"/>
    <w:rsid w:val="6CDF292F"/>
    <w:rsid w:val="6CE801F9"/>
    <w:rsid w:val="6CE93F71"/>
    <w:rsid w:val="6CFC5A53"/>
    <w:rsid w:val="6D176D30"/>
    <w:rsid w:val="6D190B2B"/>
    <w:rsid w:val="6D1C2E07"/>
    <w:rsid w:val="6D1C60F5"/>
    <w:rsid w:val="6D1E1E6D"/>
    <w:rsid w:val="6D1F1741"/>
    <w:rsid w:val="6D2D20B0"/>
    <w:rsid w:val="6D2D7D74"/>
    <w:rsid w:val="6D301BA0"/>
    <w:rsid w:val="6D390A55"/>
    <w:rsid w:val="6D463BA7"/>
    <w:rsid w:val="6D4B2536"/>
    <w:rsid w:val="6D521B17"/>
    <w:rsid w:val="6D5364AC"/>
    <w:rsid w:val="6D5616A5"/>
    <w:rsid w:val="6D574C0A"/>
    <w:rsid w:val="6D5D0BE7"/>
    <w:rsid w:val="6D5E0469"/>
    <w:rsid w:val="6D837F22"/>
    <w:rsid w:val="6D8617C0"/>
    <w:rsid w:val="6D872FCF"/>
    <w:rsid w:val="6D88378A"/>
    <w:rsid w:val="6D8D0DA1"/>
    <w:rsid w:val="6D91263F"/>
    <w:rsid w:val="6D9575C2"/>
    <w:rsid w:val="6DA73107"/>
    <w:rsid w:val="6DA87988"/>
    <w:rsid w:val="6DAC16B5"/>
    <w:rsid w:val="6DAE6EEC"/>
    <w:rsid w:val="6DB77A02"/>
    <w:rsid w:val="6DB9718A"/>
    <w:rsid w:val="6DD662A4"/>
    <w:rsid w:val="6DD91AF0"/>
    <w:rsid w:val="6DEF3809"/>
    <w:rsid w:val="6DF5617D"/>
    <w:rsid w:val="6DF901E4"/>
    <w:rsid w:val="6DFD5F26"/>
    <w:rsid w:val="6E0C0425"/>
    <w:rsid w:val="6E0E1C27"/>
    <w:rsid w:val="6E0E3C8F"/>
    <w:rsid w:val="6E166FE8"/>
    <w:rsid w:val="6E1A6AD8"/>
    <w:rsid w:val="6E1D0376"/>
    <w:rsid w:val="6E1F0431"/>
    <w:rsid w:val="6E212771"/>
    <w:rsid w:val="6E2B791C"/>
    <w:rsid w:val="6E3447B6"/>
    <w:rsid w:val="6E35746E"/>
    <w:rsid w:val="6E361438"/>
    <w:rsid w:val="6E380D0C"/>
    <w:rsid w:val="6E4A0A40"/>
    <w:rsid w:val="6E4B4EE4"/>
    <w:rsid w:val="6E526272"/>
    <w:rsid w:val="6E5C7E8B"/>
    <w:rsid w:val="6E656DCA"/>
    <w:rsid w:val="6E6B2E90"/>
    <w:rsid w:val="6E724890"/>
    <w:rsid w:val="6E736E91"/>
    <w:rsid w:val="6E7D0E15"/>
    <w:rsid w:val="6E7D1B7C"/>
    <w:rsid w:val="6E7D7067"/>
    <w:rsid w:val="6E8242BB"/>
    <w:rsid w:val="6E82467D"/>
    <w:rsid w:val="6E866699"/>
    <w:rsid w:val="6E8A3A19"/>
    <w:rsid w:val="6E922241"/>
    <w:rsid w:val="6EB74327"/>
    <w:rsid w:val="6EB9774E"/>
    <w:rsid w:val="6EC10D02"/>
    <w:rsid w:val="6EC66F43"/>
    <w:rsid w:val="6EC7099E"/>
    <w:rsid w:val="6ECB1B80"/>
    <w:rsid w:val="6EE80984"/>
    <w:rsid w:val="6EE90259"/>
    <w:rsid w:val="6EF32C1A"/>
    <w:rsid w:val="6EFF5CCE"/>
    <w:rsid w:val="6F0155A2"/>
    <w:rsid w:val="6F046E40"/>
    <w:rsid w:val="6F0671CF"/>
    <w:rsid w:val="6F0B6421"/>
    <w:rsid w:val="6F1057E5"/>
    <w:rsid w:val="6F11762D"/>
    <w:rsid w:val="6F350DEA"/>
    <w:rsid w:val="6F413BF1"/>
    <w:rsid w:val="6F4A2435"/>
    <w:rsid w:val="6F4B2CC1"/>
    <w:rsid w:val="6F5759DB"/>
    <w:rsid w:val="6F63625D"/>
    <w:rsid w:val="6F71097A"/>
    <w:rsid w:val="6F7E4E45"/>
    <w:rsid w:val="6F814220"/>
    <w:rsid w:val="6F8F2BAE"/>
    <w:rsid w:val="6F906306"/>
    <w:rsid w:val="6FA0300D"/>
    <w:rsid w:val="6FA128E1"/>
    <w:rsid w:val="6FA7614A"/>
    <w:rsid w:val="6FB46AB9"/>
    <w:rsid w:val="6FC34F4E"/>
    <w:rsid w:val="6FCC795E"/>
    <w:rsid w:val="6FDC1B6B"/>
    <w:rsid w:val="6FEA4288"/>
    <w:rsid w:val="6FEA745B"/>
    <w:rsid w:val="6FF10085"/>
    <w:rsid w:val="6FF15617"/>
    <w:rsid w:val="6FF670D1"/>
    <w:rsid w:val="6FF869A5"/>
    <w:rsid w:val="6FFE3E03"/>
    <w:rsid w:val="6FFE5F86"/>
    <w:rsid w:val="6FFF64DB"/>
    <w:rsid w:val="70026A99"/>
    <w:rsid w:val="700D7F51"/>
    <w:rsid w:val="700E15EF"/>
    <w:rsid w:val="700E316E"/>
    <w:rsid w:val="70104968"/>
    <w:rsid w:val="70151AF2"/>
    <w:rsid w:val="701D640C"/>
    <w:rsid w:val="702B71E2"/>
    <w:rsid w:val="702C51D4"/>
    <w:rsid w:val="702F7EED"/>
    <w:rsid w:val="703A5210"/>
    <w:rsid w:val="703A52D1"/>
    <w:rsid w:val="703B2D36"/>
    <w:rsid w:val="70414443"/>
    <w:rsid w:val="704279C3"/>
    <w:rsid w:val="704600CC"/>
    <w:rsid w:val="704936A5"/>
    <w:rsid w:val="70515CC1"/>
    <w:rsid w:val="705838E8"/>
    <w:rsid w:val="705B5186"/>
    <w:rsid w:val="70626515"/>
    <w:rsid w:val="70626A59"/>
    <w:rsid w:val="70647F07"/>
    <w:rsid w:val="70671D7D"/>
    <w:rsid w:val="70685CF4"/>
    <w:rsid w:val="706978A3"/>
    <w:rsid w:val="70705916"/>
    <w:rsid w:val="707A560C"/>
    <w:rsid w:val="70837478"/>
    <w:rsid w:val="70893AA1"/>
    <w:rsid w:val="70A12859"/>
    <w:rsid w:val="70A24B63"/>
    <w:rsid w:val="70A73F27"/>
    <w:rsid w:val="70AD6E5F"/>
    <w:rsid w:val="70AE3508"/>
    <w:rsid w:val="70AE52B6"/>
    <w:rsid w:val="70B86135"/>
    <w:rsid w:val="70BB1A19"/>
    <w:rsid w:val="70BD374B"/>
    <w:rsid w:val="70C055FD"/>
    <w:rsid w:val="70C1323B"/>
    <w:rsid w:val="70C60851"/>
    <w:rsid w:val="70CA6520"/>
    <w:rsid w:val="70CC4994"/>
    <w:rsid w:val="70DC62C7"/>
    <w:rsid w:val="70E02DEB"/>
    <w:rsid w:val="70E17439"/>
    <w:rsid w:val="70EB650A"/>
    <w:rsid w:val="70F01D72"/>
    <w:rsid w:val="70F55BCD"/>
    <w:rsid w:val="70F657AC"/>
    <w:rsid w:val="71063344"/>
    <w:rsid w:val="71097FB6"/>
    <w:rsid w:val="710B44B6"/>
    <w:rsid w:val="710D6480"/>
    <w:rsid w:val="711120D9"/>
    <w:rsid w:val="7113780F"/>
    <w:rsid w:val="71213CDA"/>
    <w:rsid w:val="71221260"/>
    <w:rsid w:val="71245EA3"/>
    <w:rsid w:val="71313453"/>
    <w:rsid w:val="71322D6F"/>
    <w:rsid w:val="7133499B"/>
    <w:rsid w:val="713E2503"/>
    <w:rsid w:val="714C78B5"/>
    <w:rsid w:val="71566079"/>
    <w:rsid w:val="7157594D"/>
    <w:rsid w:val="71695543"/>
    <w:rsid w:val="716D3CED"/>
    <w:rsid w:val="716F16BF"/>
    <w:rsid w:val="717B788E"/>
    <w:rsid w:val="717E112C"/>
    <w:rsid w:val="718028A7"/>
    <w:rsid w:val="718E23FC"/>
    <w:rsid w:val="71936F42"/>
    <w:rsid w:val="71954A73"/>
    <w:rsid w:val="71964699"/>
    <w:rsid w:val="71967343"/>
    <w:rsid w:val="719F04F7"/>
    <w:rsid w:val="71A90121"/>
    <w:rsid w:val="71B20DD6"/>
    <w:rsid w:val="71B27DF8"/>
    <w:rsid w:val="71D43FEB"/>
    <w:rsid w:val="71D92806"/>
    <w:rsid w:val="71DE1BCB"/>
    <w:rsid w:val="71E202CA"/>
    <w:rsid w:val="71E2790D"/>
    <w:rsid w:val="71F03D90"/>
    <w:rsid w:val="71F17640"/>
    <w:rsid w:val="71F65166"/>
    <w:rsid w:val="71F80CC9"/>
    <w:rsid w:val="71FA2E5E"/>
    <w:rsid w:val="72004F7C"/>
    <w:rsid w:val="720D24B0"/>
    <w:rsid w:val="722577FA"/>
    <w:rsid w:val="722A58F0"/>
    <w:rsid w:val="722D5303"/>
    <w:rsid w:val="722D66AE"/>
    <w:rsid w:val="723111D9"/>
    <w:rsid w:val="723D4B43"/>
    <w:rsid w:val="723E79C0"/>
    <w:rsid w:val="724063E2"/>
    <w:rsid w:val="725105EF"/>
    <w:rsid w:val="725140CD"/>
    <w:rsid w:val="72520E64"/>
    <w:rsid w:val="725D63A3"/>
    <w:rsid w:val="725E4ABA"/>
    <w:rsid w:val="72646574"/>
    <w:rsid w:val="7270316B"/>
    <w:rsid w:val="72710C91"/>
    <w:rsid w:val="72712A3F"/>
    <w:rsid w:val="72834520"/>
    <w:rsid w:val="72964253"/>
    <w:rsid w:val="729B6A89"/>
    <w:rsid w:val="729B7ABC"/>
    <w:rsid w:val="72B15531"/>
    <w:rsid w:val="72B34E05"/>
    <w:rsid w:val="72C33D3A"/>
    <w:rsid w:val="72D15B74"/>
    <w:rsid w:val="72D33F5D"/>
    <w:rsid w:val="72DD1E82"/>
    <w:rsid w:val="72E66F89"/>
    <w:rsid w:val="72F338B1"/>
    <w:rsid w:val="72F83546"/>
    <w:rsid w:val="72FB588D"/>
    <w:rsid w:val="72FD2525"/>
    <w:rsid w:val="730A7D01"/>
    <w:rsid w:val="73335F46"/>
    <w:rsid w:val="73354155"/>
    <w:rsid w:val="73376795"/>
    <w:rsid w:val="733817AF"/>
    <w:rsid w:val="73397A01"/>
    <w:rsid w:val="733A4988"/>
    <w:rsid w:val="733E5017"/>
    <w:rsid w:val="734D7008"/>
    <w:rsid w:val="734F77ED"/>
    <w:rsid w:val="73522F57"/>
    <w:rsid w:val="73552752"/>
    <w:rsid w:val="735B79F1"/>
    <w:rsid w:val="735E1215"/>
    <w:rsid w:val="7366631C"/>
    <w:rsid w:val="736B748E"/>
    <w:rsid w:val="737435E5"/>
    <w:rsid w:val="7375655F"/>
    <w:rsid w:val="737765EB"/>
    <w:rsid w:val="737A0C74"/>
    <w:rsid w:val="737B753A"/>
    <w:rsid w:val="738175D8"/>
    <w:rsid w:val="7381796C"/>
    <w:rsid w:val="73827EBA"/>
    <w:rsid w:val="73834578"/>
    <w:rsid w:val="7386076C"/>
    <w:rsid w:val="73866EC6"/>
    <w:rsid w:val="738772E4"/>
    <w:rsid w:val="738B7B30"/>
    <w:rsid w:val="738F5872"/>
    <w:rsid w:val="7395275D"/>
    <w:rsid w:val="73966D40"/>
    <w:rsid w:val="73974727"/>
    <w:rsid w:val="739A5FC5"/>
    <w:rsid w:val="73A0375E"/>
    <w:rsid w:val="73A429A0"/>
    <w:rsid w:val="73A537B5"/>
    <w:rsid w:val="73A914CF"/>
    <w:rsid w:val="73AB7D4A"/>
    <w:rsid w:val="73AC64BF"/>
    <w:rsid w:val="73AF7CC3"/>
    <w:rsid w:val="73BE077C"/>
    <w:rsid w:val="73C179F6"/>
    <w:rsid w:val="73C51294"/>
    <w:rsid w:val="73CC1B31"/>
    <w:rsid w:val="73D96AEE"/>
    <w:rsid w:val="73DB1590"/>
    <w:rsid w:val="73DB2866"/>
    <w:rsid w:val="73E831D5"/>
    <w:rsid w:val="73F76E3B"/>
    <w:rsid w:val="74072344"/>
    <w:rsid w:val="7407365B"/>
    <w:rsid w:val="74074243"/>
    <w:rsid w:val="74130252"/>
    <w:rsid w:val="742C0C8D"/>
    <w:rsid w:val="742F670E"/>
    <w:rsid w:val="74341E33"/>
    <w:rsid w:val="74370FDC"/>
    <w:rsid w:val="74393AF4"/>
    <w:rsid w:val="743B50B2"/>
    <w:rsid w:val="743C2B01"/>
    <w:rsid w:val="744020F7"/>
    <w:rsid w:val="7443069D"/>
    <w:rsid w:val="744700DF"/>
    <w:rsid w:val="744F5002"/>
    <w:rsid w:val="74501B6B"/>
    <w:rsid w:val="74582108"/>
    <w:rsid w:val="745D4F62"/>
    <w:rsid w:val="74634609"/>
    <w:rsid w:val="747247FB"/>
    <w:rsid w:val="74730CF0"/>
    <w:rsid w:val="7487654A"/>
    <w:rsid w:val="74890514"/>
    <w:rsid w:val="748922C2"/>
    <w:rsid w:val="748A7DE8"/>
    <w:rsid w:val="748C600E"/>
    <w:rsid w:val="74980757"/>
    <w:rsid w:val="749E70E4"/>
    <w:rsid w:val="74AD000E"/>
    <w:rsid w:val="74B03F5A"/>
    <w:rsid w:val="74B530B7"/>
    <w:rsid w:val="74C276BA"/>
    <w:rsid w:val="74C83183"/>
    <w:rsid w:val="74CA4688"/>
    <w:rsid w:val="74CC2B9D"/>
    <w:rsid w:val="74D3178F"/>
    <w:rsid w:val="74D774D1"/>
    <w:rsid w:val="74E4337A"/>
    <w:rsid w:val="750B0F29"/>
    <w:rsid w:val="750F158B"/>
    <w:rsid w:val="75173AD0"/>
    <w:rsid w:val="75181898"/>
    <w:rsid w:val="7521074C"/>
    <w:rsid w:val="75295853"/>
    <w:rsid w:val="752B5127"/>
    <w:rsid w:val="753366D1"/>
    <w:rsid w:val="75365CB7"/>
    <w:rsid w:val="753C37D8"/>
    <w:rsid w:val="753C7334"/>
    <w:rsid w:val="75481CFD"/>
    <w:rsid w:val="75497CA3"/>
    <w:rsid w:val="75624E4F"/>
    <w:rsid w:val="756D47FB"/>
    <w:rsid w:val="7571192F"/>
    <w:rsid w:val="75894543"/>
    <w:rsid w:val="758F784A"/>
    <w:rsid w:val="759012A6"/>
    <w:rsid w:val="75981F96"/>
    <w:rsid w:val="75986535"/>
    <w:rsid w:val="75A86778"/>
    <w:rsid w:val="75AD4450"/>
    <w:rsid w:val="75C31803"/>
    <w:rsid w:val="75C4732A"/>
    <w:rsid w:val="75D119CF"/>
    <w:rsid w:val="75D21316"/>
    <w:rsid w:val="75E31EA6"/>
    <w:rsid w:val="75EA7F97"/>
    <w:rsid w:val="75EB1C30"/>
    <w:rsid w:val="75ED5D32"/>
    <w:rsid w:val="75F05331"/>
    <w:rsid w:val="75F220E9"/>
    <w:rsid w:val="75F52CE2"/>
    <w:rsid w:val="75FD2DE7"/>
    <w:rsid w:val="760738EE"/>
    <w:rsid w:val="761738FD"/>
    <w:rsid w:val="761C7166"/>
    <w:rsid w:val="76204AEC"/>
    <w:rsid w:val="76277FE4"/>
    <w:rsid w:val="76283D5C"/>
    <w:rsid w:val="762A1882"/>
    <w:rsid w:val="762A3631"/>
    <w:rsid w:val="76321D7F"/>
    <w:rsid w:val="76464BE5"/>
    <w:rsid w:val="76480D08"/>
    <w:rsid w:val="76562678"/>
    <w:rsid w:val="765D599A"/>
    <w:rsid w:val="766C3C49"/>
    <w:rsid w:val="766F7295"/>
    <w:rsid w:val="76704179"/>
    <w:rsid w:val="767B616B"/>
    <w:rsid w:val="767D6A4C"/>
    <w:rsid w:val="768371E5"/>
    <w:rsid w:val="768840E8"/>
    <w:rsid w:val="768A5D39"/>
    <w:rsid w:val="768F3F30"/>
    <w:rsid w:val="769006E4"/>
    <w:rsid w:val="769301D8"/>
    <w:rsid w:val="769438A5"/>
    <w:rsid w:val="769B452E"/>
    <w:rsid w:val="769C643A"/>
    <w:rsid w:val="769F401E"/>
    <w:rsid w:val="76A72ED3"/>
    <w:rsid w:val="76AA4771"/>
    <w:rsid w:val="76B25B71"/>
    <w:rsid w:val="76BA0E58"/>
    <w:rsid w:val="76BE7660"/>
    <w:rsid w:val="76C141C2"/>
    <w:rsid w:val="76CD1679"/>
    <w:rsid w:val="76CF5F86"/>
    <w:rsid w:val="76D21489"/>
    <w:rsid w:val="76E063E5"/>
    <w:rsid w:val="76E16FDF"/>
    <w:rsid w:val="76EF6DD7"/>
    <w:rsid w:val="76FB321F"/>
    <w:rsid w:val="770B21D1"/>
    <w:rsid w:val="770E1735"/>
    <w:rsid w:val="770E7A76"/>
    <w:rsid w:val="771557E0"/>
    <w:rsid w:val="7715608F"/>
    <w:rsid w:val="77302EC9"/>
    <w:rsid w:val="77370D3A"/>
    <w:rsid w:val="77476464"/>
    <w:rsid w:val="774D3A7A"/>
    <w:rsid w:val="775E1652"/>
    <w:rsid w:val="77626DFA"/>
    <w:rsid w:val="776363D2"/>
    <w:rsid w:val="776418CE"/>
    <w:rsid w:val="7767024F"/>
    <w:rsid w:val="77676E2F"/>
    <w:rsid w:val="77822419"/>
    <w:rsid w:val="77882D05"/>
    <w:rsid w:val="77884E28"/>
    <w:rsid w:val="77933457"/>
    <w:rsid w:val="77955421"/>
    <w:rsid w:val="77A55A8D"/>
    <w:rsid w:val="77A85155"/>
    <w:rsid w:val="77A92C7B"/>
    <w:rsid w:val="77B35BD2"/>
    <w:rsid w:val="77BE6726"/>
    <w:rsid w:val="77C10E5A"/>
    <w:rsid w:val="77D048EE"/>
    <w:rsid w:val="77D25D2E"/>
    <w:rsid w:val="77D86BD1"/>
    <w:rsid w:val="77DD1CAC"/>
    <w:rsid w:val="77DF669D"/>
    <w:rsid w:val="77EF301B"/>
    <w:rsid w:val="77F43EF6"/>
    <w:rsid w:val="77F62B13"/>
    <w:rsid w:val="77F97591"/>
    <w:rsid w:val="7800158C"/>
    <w:rsid w:val="780600CD"/>
    <w:rsid w:val="780C2DEC"/>
    <w:rsid w:val="781225CE"/>
    <w:rsid w:val="78124106"/>
    <w:rsid w:val="78175E36"/>
    <w:rsid w:val="78212811"/>
    <w:rsid w:val="78221490"/>
    <w:rsid w:val="7826607A"/>
    <w:rsid w:val="783339D9"/>
    <w:rsid w:val="783F2C2C"/>
    <w:rsid w:val="78487BCC"/>
    <w:rsid w:val="78564BB1"/>
    <w:rsid w:val="785B3227"/>
    <w:rsid w:val="786B26DA"/>
    <w:rsid w:val="78770683"/>
    <w:rsid w:val="78782D79"/>
    <w:rsid w:val="787E1911"/>
    <w:rsid w:val="788A15D1"/>
    <w:rsid w:val="78926ECA"/>
    <w:rsid w:val="78947EC2"/>
    <w:rsid w:val="789A32EC"/>
    <w:rsid w:val="78A0407E"/>
    <w:rsid w:val="78B04987"/>
    <w:rsid w:val="78B83176"/>
    <w:rsid w:val="78BB0445"/>
    <w:rsid w:val="78C34FC6"/>
    <w:rsid w:val="78CB6779"/>
    <w:rsid w:val="78D427BB"/>
    <w:rsid w:val="78E34CE6"/>
    <w:rsid w:val="78E77971"/>
    <w:rsid w:val="78EC1071"/>
    <w:rsid w:val="78EE4DE9"/>
    <w:rsid w:val="78FC507F"/>
    <w:rsid w:val="78FD327E"/>
    <w:rsid w:val="79041287"/>
    <w:rsid w:val="7908404B"/>
    <w:rsid w:val="79091C23"/>
    <w:rsid w:val="79140292"/>
    <w:rsid w:val="791574E6"/>
    <w:rsid w:val="79173FA2"/>
    <w:rsid w:val="791F012C"/>
    <w:rsid w:val="79202AC9"/>
    <w:rsid w:val="79231E78"/>
    <w:rsid w:val="792940DD"/>
    <w:rsid w:val="792C5912"/>
    <w:rsid w:val="79305402"/>
    <w:rsid w:val="79313394"/>
    <w:rsid w:val="79320EC1"/>
    <w:rsid w:val="79382508"/>
    <w:rsid w:val="7940260B"/>
    <w:rsid w:val="794C5FB4"/>
    <w:rsid w:val="79505F04"/>
    <w:rsid w:val="795D3E92"/>
    <w:rsid w:val="7967694A"/>
    <w:rsid w:val="79701CA2"/>
    <w:rsid w:val="797352EE"/>
    <w:rsid w:val="79752E15"/>
    <w:rsid w:val="79850083"/>
    <w:rsid w:val="79891A1F"/>
    <w:rsid w:val="798E6DA3"/>
    <w:rsid w:val="798F36B0"/>
    <w:rsid w:val="79921813"/>
    <w:rsid w:val="79A744A6"/>
    <w:rsid w:val="79A8143C"/>
    <w:rsid w:val="79A90D10"/>
    <w:rsid w:val="79AB2CDA"/>
    <w:rsid w:val="79AD28F5"/>
    <w:rsid w:val="79B80F53"/>
    <w:rsid w:val="79C25500"/>
    <w:rsid w:val="79C76304"/>
    <w:rsid w:val="79C97604"/>
    <w:rsid w:val="79D63530"/>
    <w:rsid w:val="79DA7E36"/>
    <w:rsid w:val="79DD09BA"/>
    <w:rsid w:val="79DF33E3"/>
    <w:rsid w:val="79E63D12"/>
    <w:rsid w:val="79E65AC0"/>
    <w:rsid w:val="79E87A8A"/>
    <w:rsid w:val="79EA6B39"/>
    <w:rsid w:val="79EE9F50"/>
    <w:rsid w:val="79F521A7"/>
    <w:rsid w:val="79FA156C"/>
    <w:rsid w:val="7A0128FA"/>
    <w:rsid w:val="7A0C1D60"/>
    <w:rsid w:val="7A1268B5"/>
    <w:rsid w:val="7A205476"/>
    <w:rsid w:val="7A326AA5"/>
    <w:rsid w:val="7A3812C9"/>
    <w:rsid w:val="7A3A405E"/>
    <w:rsid w:val="7A41719B"/>
    <w:rsid w:val="7A434CC1"/>
    <w:rsid w:val="7A5213A8"/>
    <w:rsid w:val="7A557D7A"/>
    <w:rsid w:val="7A5C3FD5"/>
    <w:rsid w:val="7A6C06BC"/>
    <w:rsid w:val="7A707A80"/>
    <w:rsid w:val="7A715239"/>
    <w:rsid w:val="7A7334BB"/>
    <w:rsid w:val="7A770E0E"/>
    <w:rsid w:val="7A787E86"/>
    <w:rsid w:val="7A7B26AD"/>
    <w:rsid w:val="7A7E71CA"/>
    <w:rsid w:val="7A811E80"/>
    <w:rsid w:val="7A95520D"/>
    <w:rsid w:val="7A9B7857"/>
    <w:rsid w:val="7A9E45ED"/>
    <w:rsid w:val="7AA53BCD"/>
    <w:rsid w:val="7AA704A6"/>
    <w:rsid w:val="7AC51B7A"/>
    <w:rsid w:val="7AC528F5"/>
    <w:rsid w:val="7ACE27CD"/>
    <w:rsid w:val="7AD223F8"/>
    <w:rsid w:val="7AD26045"/>
    <w:rsid w:val="7AD63D87"/>
    <w:rsid w:val="7AD718AD"/>
    <w:rsid w:val="7ADD5115"/>
    <w:rsid w:val="7AE069B4"/>
    <w:rsid w:val="7AE766AC"/>
    <w:rsid w:val="7AE964C8"/>
    <w:rsid w:val="7AFB3BDC"/>
    <w:rsid w:val="7B007431"/>
    <w:rsid w:val="7B020F7C"/>
    <w:rsid w:val="7B072192"/>
    <w:rsid w:val="7B0A3A31"/>
    <w:rsid w:val="7B0C0524"/>
    <w:rsid w:val="7B0F21BC"/>
    <w:rsid w:val="7B114DBF"/>
    <w:rsid w:val="7B124488"/>
    <w:rsid w:val="7B1F572E"/>
    <w:rsid w:val="7B256ABC"/>
    <w:rsid w:val="7B2C1BF9"/>
    <w:rsid w:val="7B2E60AC"/>
    <w:rsid w:val="7B2F16E9"/>
    <w:rsid w:val="7B3665D4"/>
    <w:rsid w:val="7B391404"/>
    <w:rsid w:val="7B4231CA"/>
    <w:rsid w:val="7B494559"/>
    <w:rsid w:val="7B5D1DB2"/>
    <w:rsid w:val="7B607AF4"/>
    <w:rsid w:val="7B653495"/>
    <w:rsid w:val="7B6669AD"/>
    <w:rsid w:val="7B722E45"/>
    <w:rsid w:val="7B763918"/>
    <w:rsid w:val="7B786C1E"/>
    <w:rsid w:val="7B864792"/>
    <w:rsid w:val="7B8A4479"/>
    <w:rsid w:val="7B8C2698"/>
    <w:rsid w:val="7B914152"/>
    <w:rsid w:val="7B971CF6"/>
    <w:rsid w:val="7B98103C"/>
    <w:rsid w:val="7B984310"/>
    <w:rsid w:val="7BA15D4D"/>
    <w:rsid w:val="7BA75723"/>
    <w:rsid w:val="7BA97C6B"/>
    <w:rsid w:val="7BAE06FE"/>
    <w:rsid w:val="7BB10350"/>
    <w:rsid w:val="7BB51BEE"/>
    <w:rsid w:val="7BB95541"/>
    <w:rsid w:val="7BBA5457"/>
    <w:rsid w:val="7BBE0E4B"/>
    <w:rsid w:val="7BC2255D"/>
    <w:rsid w:val="7BCE0F02"/>
    <w:rsid w:val="7BD55DED"/>
    <w:rsid w:val="7BD77DB7"/>
    <w:rsid w:val="7BDC717B"/>
    <w:rsid w:val="7BDD1145"/>
    <w:rsid w:val="7BDF6C2E"/>
    <w:rsid w:val="7BF00E78"/>
    <w:rsid w:val="7BF02C26"/>
    <w:rsid w:val="7BF70459"/>
    <w:rsid w:val="7C015FA8"/>
    <w:rsid w:val="7C0E69DD"/>
    <w:rsid w:val="7C0F5652"/>
    <w:rsid w:val="7C142DB9"/>
    <w:rsid w:val="7C1C3A1B"/>
    <w:rsid w:val="7C2E374F"/>
    <w:rsid w:val="7C323FBA"/>
    <w:rsid w:val="7C327425"/>
    <w:rsid w:val="7C3C2310"/>
    <w:rsid w:val="7C457908"/>
    <w:rsid w:val="7C4A4A2C"/>
    <w:rsid w:val="7C4D0079"/>
    <w:rsid w:val="7C4F3DF1"/>
    <w:rsid w:val="7C556F2D"/>
    <w:rsid w:val="7C594C70"/>
    <w:rsid w:val="7C597451"/>
    <w:rsid w:val="7C5F7DAC"/>
    <w:rsid w:val="7C615AF4"/>
    <w:rsid w:val="7C653614"/>
    <w:rsid w:val="7C6F4493"/>
    <w:rsid w:val="7C7575D0"/>
    <w:rsid w:val="7C7E0232"/>
    <w:rsid w:val="7C833A9B"/>
    <w:rsid w:val="7C8B294F"/>
    <w:rsid w:val="7C8C53E6"/>
    <w:rsid w:val="7C9000FA"/>
    <w:rsid w:val="7C9A0DE4"/>
    <w:rsid w:val="7C9A7D78"/>
    <w:rsid w:val="7C9C2DAE"/>
    <w:rsid w:val="7C9C4B5C"/>
    <w:rsid w:val="7CA3E458"/>
    <w:rsid w:val="7CBA535D"/>
    <w:rsid w:val="7CBB3234"/>
    <w:rsid w:val="7CBE7529"/>
    <w:rsid w:val="7CC04CEF"/>
    <w:rsid w:val="7CC7607D"/>
    <w:rsid w:val="7CC76826"/>
    <w:rsid w:val="7CCE35F1"/>
    <w:rsid w:val="7CDC31AB"/>
    <w:rsid w:val="7CE1288C"/>
    <w:rsid w:val="7CEC5AE4"/>
    <w:rsid w:val="7CEF7382"/>
    <w:rsid w:val="7CF343A1"/>
    <w:rsid w:val="7CF70D50"/>
    <w:rsid w:val="7D0338A2"/>
    <w:rsid w:val="7D07544D"/>
    <w:rsid w:val="7D142945"/>
    <w:rsid w:val="7D147D66"/>
    <w:rsid w:val="7D184A5F"/>
    <w:rsid w:val="7D1868D9"/>
    <w:rsid w:val="7D2407C6"/>
    <w:rsid w:val="7D3704A9"/>
    <w:rsid w:val="7D370BE5"/>
    <w:rsid w:val="7D383C22"/>
    <w:rsid w:val="7D39484B"/>
    <w:rsid w:val="7D39684F"/>
    <w:rsid w:val="7D3C0E62"/>
    <w:rsid w:val="7D3E71EA"/>
    <w:rsid w:val="7D3F20B7"/>
    <w:rsid w:val="7D4C20DE"/>
    <w:rsid w:val="7D5947FB"/>
    <w:rsid w:val="7D5C46C9"/>
    <w:rsid w:val="7D6066AF"/>
    <w:rsid w:val="7D63076C"/>
    <w:rsid w:val="7D697134"/>
    <w:rsid w:val="7D717D97"/>
    <w:rsid w:val="7D755AD9"/>
    <w:rsid w:val="7D776FD1"/>
    <w:rsid w:val="7D7D6E58"/>
    <w:rsid w:val="7D80622C"/>
    <w:rsid w:val="7D8C38CD"/>
    <w:rsid w:val="7D8C4BD1"/>
    <w:rsid w:val="7D9505DD"/>
    <w:rsid w:val="7D991F87"/>
    <w:rsid w:val="7DA270F0"/>
    <w:rsid w:val="7DA43CC8"/>
    <w:rsid w:val="7DA61562"/>
    <w:rsid w:val="7DA939D5"/>
    <w:rsid w:val="7DAB14FB"/>
    <w:rsid w:val="7DB008BF"/>
    <w:rsid w:val="7DB00D51"/>
    <w:rsid w:val="7DBA34EC"/>
    <w:rsid w:val="7DBD122E"/>
    <w:rsid w:val="7DD3218A"/>
    <w:rsid w:val="7DDE1BA2"/>
    <w:rsid w:val="7DE762AB"/>
    <w:rsid w:val="7DF54D08"/>
    <w:rsid w:val="7DF92299"/>
    <w:rsid w:val="7E064983"/>
    <w:rsid w:val="7E0C1502"/>
    <w:rsid w:val="7E0D60C0"/>
    <w:rsid w:val="7E1273BF"/>
    <w:rsid w:val="7E154BC6"/>
    <w:rsid w:val="7E1A3F8B"/>
    <w:rsid w:val="7E1C41A7"/>
    <w:rsid w:val="7E1F056E"/>
    <w:rsid w:val="7E24305B"/>
    <w:rsid w:val="7E274CCA"/>
    <w:rsid w:val="7E325778"/>
    <w:rsid w:val="7E3314F0"/>
    <w:rsid w:val="7E342E45"/>
    <w:rsid w:val="7E3641FA"/>
    <w:rsid w:val="7E381BB5"/>
    <w:rsid w:val="7E461224"/>
    <w:rsid w:val="7E4B05E8"/>
    <w:rsid w:val="7E5777A4"/>
    <w:rsid w:val="7E5971A9"/>
    <w:rsid w:val="7E657E8A"/>
    <w:rsid w:val="7E730D4D"/>
    <w:rsid w:val="7E7933A7"/>
    <w:rsid w:val="7E7F4735"/>
    <w:rsid w:val="7E7FB823"/>
    <w:rsid w:val="7E81400A"/>
    <w:rsid w:val="7E9142D6"/>
    <w:rsid w:val="7E926217"/>
    <w:rsid w:val="7E933D3D"/>
    <w:rsid w:val="7E9875EE"/>
    <w:rsid w:val="7E9ABD3D"/>
    <w:rsid w:val="7E9F7908"/>
    <w:rsid w:val="7EA30424"/>
    <w:rsid w:val="7EAB552B"/>
    <w:rsid w:val="7EAD12A3"/>
    <w:rsid w:val="7EAF0B77"/>
    <w:rsid w:val="7EB111FE"/>
    <w:rsid w:val="7EBC3294"/>
    <w:rsid w:val="7EC14D4E"/>
    <w:rsid w:val="7ED26C70"/>
    <w:rsid w:val="7ED4770D"/>
    <w:rsid w:val="7ED52712"/>
    <w:rsid w:val="7EE10F4C"/>
    <w:rsid w:val="7EEF71C5"/>
    <w:rsid w:val="7EFC5948"/>
    <w:rsid w:val="7F052E8D"/>
    <w:rsid w:val="7F08297D"/>
    <w:rsid w:val="7F092BDE"/>
    <w:rsid w:val="7F0C1321"/>
    <w:rsid w:val="7F127358"/>
    <w:rsid w:val="7F1D01D6"/>
    <w:rsid w:val="7F2257ED"/>
    <w:rsid w:val="7F2826D7"/>
    <w:rsid w:val="7F2839F3"/>
    <w:rsid w:val="7F346B96"/>
    <w:rsid w:val="7F392B36"/>
    <w:rsid w:val="7F405C73"/>
    <w:rsid w:val="7F435763"/>
    <w:rsid w:val="7F4475EB"/>
    <w:rsid w:val="7F4524E0"/>
    <w:rsid w:val="7F497BF0"/>
    <w:rsid w:val="7F517E80"/>
    <w:rsid w:val="7F54171E"/>
    <w:rsid w:val="7F594F87"/>
    <w:rsid w:val="7F6218F7"/>
    <w:rsid w:val="7F6C6A68"/>
    <w:rsid w:val="7F840255"/>
    <w:rsid w:val="7F853FCE"/>
    <w:rsid w:val="7F855D7C"/>
    <w:rsid w:val="7F9529F8"/>
    <w:rsid w:val="7F98474A"/>
    <w:rsid w:val="7F99473C"/>
    <w:rsid w:val="7F9A1143"/>
    <w:rsid w:val="7F9A1827"/>
    <w:rsid w:val="7FA06711"/>
    <w:rsid w:val="7FA53D28"/>
    <w:rsid w:val="7FAD007A"/>
    <w:rsid w:val="7FB73833"/>
    <w:rsid w:val="7FB83A5B"/>
    <w:rsid w:val="7FBA3C77"/>
    <w:rsid w:val="7FC82489"/>
    <w:rsid w:val="7FDD34C2"/>
    <w:rsid w:val="7FE70E93"/>
    <w:rsid w:val="7FE72FE0"/>
    <w:rsid w:val="7FEC1957"/>
    <w:rsid w:val="7FF03C5B"/>
    <w:rsid w:val="7FF556E9"/>
    <w:rsid w:val="7FF9A13E"/>
    <w:rsid w:val="9BDD2B1A"/>
    <w:rsid w:val="A7DF7CEC"/>
    <w:rsid w:val="BA7B23C6"/>
    <w:rsid w:val="BEDF1A97"/>
    <w:rsid w:val="BF7ECBC6"/>
    <w:rsid w:val="D5FF22B5"/>
    <w:rsid w:val="DDFF342C"/>
    <w:rsid w:val="DE97455D"/>
    <w:rsid w:val="DED94D8A"/>
    <w:rsid w:val="DEF8E1D4"/>
    <w:rsid w:val="DFEFD79F"/>
    <w:rsid w:val="F38D895D"/>
    <w:rsid w:val="F7DA4AF3"/>
    <w:rsid w:val="F7FFBF4E"/>
    <w:rsid w:val="FA5DA317"/>
    <w:rsid w:val="FAB76E09"/>
    <w:rsid w:val="FB3BD7B7"/>
    <w:rsid w:val="FB6E079A"/>
    <w:rsid w:val="FB6FBCEB"/>
    <w:rsid w:val="FBAFC43C"/>
    <w:rsid w:val="FBCD02A7"/>
    <w:rsid w:val="FBFF16BC"/>
    <w:rsid w:val="FDB771C0"/>
    <w:rsid w:val="FE734873"/>
    <w:rsid w:val="FED77A68"/>
    <w:rsid w:val="FF7648CB"/>
    <w:rsid w:val="FFCFEC88"/>
    <w:rsid w:val="FFF77C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5"/>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unhideWhenUsed/>
    <w:qFormat/>
    <w:uiPriority w:val="1"/>
  </w:style>
  <w:style w:type="table" w:default="1" w:styleId="24">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ody Text First Indent"/>
    <w:basedOn w:val="3"/>
    <w:next w:val="3"/>
    <w:unhideWhenUsed/>
    <w:qFormat/>
    <w:uiPriority w:val="99"/>
    <w:pPr>
      <w:snapToGrid w:val="0"/>
      <w:spacing w:line="579" w:lineRule="exact"/>
      <w:ind w:firstLine="720" w:firstLineChars="200"/>
      <w:jc w:val="both"/>
    </w:pPr>
    <w:rPr>
      <w:rFonts w:ascii="Calibri" w:hAnsi="Calibri"/>
      <w:szCs w:val="22"/>
    </w:rPr>
  </w:style>
  <w:style w:type="paragraph" w:styleId="3">
    <w:name w:val="Body Text"/>
    <w:basedOn w:val="1"/>
    <w:next w:val="1"/>
    <w:unhideWhenUsed/>
    <w:qFormat/>
    <w:uiPriority w:val="99"/>
    <w:pPr>
      <w:spacing w:after="120"/>
    </w:pPr>
    <w:rPr>
      <w:rFonts w:ascii="Calibri" w:hAnsi="Calibri" w:eastAsia="宋体" w:cs="Times New Roman"/>
    </w:rPr>
  </w:style>
  <w:style w:type="paragraph" w:styleId="8">
    <w:name w:val="caption"/>
    <w:basedOn w:val="1"/>
    <w:next w:val="1"/>
    <w:unhideWhenUsed/>
    <w:qFormat/>
    <w:uiPriority w:val="0"/>
    <w:pPr>
      <w:ind w:firstLine="0" w:firstLineChars="0"/>
      <w:jc w:val="center"/>
    </w:pPr>
    <w:rPr>
      <w:rFonts w:ascii="Arial" w:hAnsi="Arial"/>
      <w:b/>
    </w:rPr>
  </w:style>
  <w:style w:type="paragraph" w:styleId="9">
    <w:name w:val="index 5"/>
    <w:basedOn w:val="1"/>
    <w:next w:val="1"/>
    <w:unhideWhenUsed/>
    <w:qFormat/>
    <w:uiPriority w:val="99"/>
    <w:pPr>
      <w:widowControl w:val="0"/>
      <w:ind w:left="1680"/>
      <w:jc w:val="both"/>
    </w:pPr>
    <w:rPr>
      <w:rFonts w:ascii="Times New Roman" w:hAnsi="Times New Roman" w:eastAsia="方正仿宋_GBK" w:cs="Times New Roman"/>
      <w:kern w:val="2"/>
      <w:sz w:val="32"/>
      <w:szCs w:val="24"/>
      <w:lang w:val="en-US" w:eastAsia="zh-CN" w:bidi="ar-SA"/>
    </w:rPr>
  </w:style>
  <w:style w:type="paragraph" w:styleId="10">
    <w:name w:val="Document Map"/>
    <w:basedOn w:val="1"/>
    <w:link w:val="30"/>
    <w:unhideWhenUsed/>
    <w:qFormat/>
    <w:uiPriority w:val="99"/>
    <w:rPr>
      <w:rFonts w:ascii="宋体" w:eastAsia="宋体"/>
      <w:sz w:val="18"/>
      <w:szCs w:val="18"/>
    </w:rPr>
  </w:style>
  <w:style w:type="paragraph" w:styleId="11">
    <w:name w:val="annotation text"/>
    <w:basedOn w:val="1"/>
    <w:link w:val="38"/>
    <w:unhideWhenUsed/>
    <w:qFormat/>
    <w:uiPriority w:val="0"/>
    <w:pPr>
      <w:jc w:val="left"/>
    </w:pPr>
  </w:style>
  <w:style w:type="paragraph" w:styleId="12">
    <w:name w:val="Body Text Indent"/>
    <w:basedOn w:val="1"/>
    <w:next w:val="9"/>
    <w:unhideWhenUsed/>
    <w:qFormat/>
    <w:uiPriority w:val="99"/>
    <w:pPr>
      <w:ind w:left="420"/>
    </w:pPr>
    <w:rPr>
      <w:rFonts w:ascii="仿宋_GB2312" w:eastAsia="仿宋_GB2312"/>
      <w:sz w:val="32"/>
    </w:rPr>
  </w:style>
  <w:style w:type="paragraph" w:styleId="13">
    <w:name w:val="toc 3"/>
    <w:basedOn w:val="1"/>
    <w:next w:val="1"/>
    <w:unhideWhenUsed/>
    <w:qFormat/>
    <w:uiPriority w:val="39"/>
    <w:pPr>
      <w:ind w:left="840" w:leftChars="400"/>
    </w:pPr>
  </w:style>
  <w:style w:type="paragraph" w:styleId="14">
    <w:name w:val="Date"/>
    <w:basedOn w:val="1"/>
    <w:next w:val="1"/>
    <w:link w:val="40"/>
    <w:unhideWhenUsed/>
    <w:qFormat/>
    <w:uiPriority w:val="99"/>
    <w:pPr>
      <w:ind w:left="100" w:leftChars="2500"/>
    </w:pPr>
  </w:style>
  <w:style w:type="paragraph" w:styleId="15">
    <w:name w:val="Balloon Text"/>
    <w:basedOn w:val="1"/>
    <w:link w:val="36"/>
    <w:unhideWhenUsed/>
    <w:qFormat/>
    <w:uiPriority w:val="99"/>
    <w:rPr>
      <w:sz w:val="18"/>
      <w:szCs w:val="18"/>
    </w:rPr>
  </w:style>
  <w:style w:type="paragraph" w:styleId="16">
    <w:name w:val="footer"/>
    <w:basedOn w:val="1"/>
    <w:next w:val="1"/>
    <w:link w:val="32"/>
    <w:unhideWhenUsed/>
    <w:qFormat/>
    <w:uiPriority w:val="99"/>
    <w:pPr>
      <w:tabs>
        <w:tab w:val="center" w:pos="4153"/>
        <w:tab w:val="right" w:pos="8306"/>
      </w:tabs>
      <w:snapToGrid w:val="0"/>
      <w:jc w:val="left"/>
    </w:pPr>
    <w:rPr>
      <w:sz w:val="18"/>
      <w:szCs w:val="18"/>
    </w:rPr>
  </w:style>
  <w:style w:type="paragraph" w:styleId="17">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6"/>
      </w:tabs>
    </w:pPr>
    <w:rPr>
      <w:rFonts w:ascii="黑体" w:hAnsi="黑体" w:eastAsia="黑体"/>
      <w:sz w:val="28"/>
      <w:szCs w:val="28"/>
    </w:rPr>
  </w:style>
  <w:style w:type="paragraph" w:styleId="19">
    <w:name w:val="toc 4"/>
    <w:basedOn w:val="1"/>
    <w:next w:val="1"/>
    <w:unhideWhenUsed/>
    <w:qFormat/>
    <w:uiPriority w:val="39"/>
    <w:pPr>
      <w:ind w:left="1260" w:leftChars="600"/>
    </w:pPr>
  </w:style>
  <w:style w:type="paragraph" w:styleId="20">
    <w:name w:val="toc 2"/>
    <w:basedOn w:val="1"/>
    <w:next w:val="1"/>
    <w:unhideWhenUsed/>
    <w:qFormat/>
    <w:uiPriority w:val="39"/>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annotation subject"/>
    <w:basedOn w:val="11"/>
    <w:next w:val="11"/>
    <w:link w:val="39"/>
    <w:unhideWhenUsed/>
    <w:qFormat/>
    <w:uiPriority w:val="99"/>
    <w:rPr>
      <w:b/>
      <w:bCs/>
    </w:rPr>
  </w:style>
  <w:style w:type="paragraph" w:styleId="23">
    <w:name w:val="Body Text First Indent 2"/>
    <w:basedOn w:val="12"/>
    <w:next w:val="3"/>
    <w:unhideWhenUsed/>
    <w:qFormat/>
    <w:uiPriority w:val="99"/>
    <w:pPr>
      <w:spacing w:after="120"/>
      <w:ind w:left="200" w:leftChars="200" w:firstLine="420" w:firstLineChars="200"/>
    </w:pPr>
    <w:rPr>
      <w:rFonts w:ascii="Times New Roman"/>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styleId="29">
    <w:name w:val="annotation reference"/>
    <w:basedOn w:val="26"/>
    <w:unhideWhenUsed/>
    <w:qFormat/>
    <w:uiPriority w:val="99"/>
    <w:rPr>
      <w:sz w:val="21"/>
      <w:szCs w:val="21"/>
    </w:rPr>
  </w:style>
  <w:style w:type="character" w:customStyle="1" w:styleId="30">
    <w:name w:val="文档结构图 Char"/>
    <w:basedOn w:val="26"/>
    <w:link w:val="10"/>
    <w:semiHidden/>
    <w:qFormat/>
    <w:uiPriority w:val="99"/>
    <w:rPr>
      <w:rFonts w:ascii="宋体" w:eastAsia="宋体"/>
      <w:sz w:val="18"/>
      <w:szCs w:val="18"/>
    </w:rPr>
  </w:style>
  <w:style w:type="character" w:customStyle="1" w:styleId="31">
    <w:name w:val="页眉 Char"/>
    <w:basedOn w:val="26"/>
    <w:link w:val="17"/>
    <w:qFormat/>
    <w:uiPriority w:val="99"/>
    <w:rPr>
      <w:sz w:val="18"/>
      <w:szCs w:val="18"/>
    </w:rPr>
  </w:style>
  <w:style w:type="character" w:customStyle="1" w:styleId="32">
    <w:name w:val="页脚 Char"/>
    <w:basedOn w:val="26"/>
    <w:link w:val="16"/>
    <w:qFormat/>
    <w:uiPriority w:val="99"/>
    <w:rPr>
      <w:sz w:val="18"/>
      <w:szCs w:val="18"/>
    </w:rPr>
  </w:style>
  <w:style w:type="character" w:customStyle="1" w:styleId="33">
    <w:name w:val="标题 1 Char"/>
    <w:basedOn w:val="26"/>
    <w:link w:val="4"/>
    <w:qFormat/>
    <w:uiPriority w:val="9"/>
    <w:rPr>
      <w:b/>
      <w:bCs/>
      <w:kern w:val="44"/>
      <w:sz w:val="44"/>
      <w:szCs w:val="44"/>
    </w:rPr>
  </w:style>
  <w:style w:type="character" w:customStyle="1" w:styleId="34">
    <w:name w:val="标题 2 Char"/>
    <w:basedOn w:val="26"/>
    <w:link w:val="5"/>
    <w:qFormat/>
    <w:uiPriority w:val="9"/>
    <w:rPr>
      <w:rFonts w:asciiTheme="majorHAnsi" w:hAnsiTheme="majorHAnsi" w:eastAsiaTheme="majorEastAsia" w:cstheme="majorBidi"/>
      <w:b/>
      <w:bCs/>
      <w:sz w:val="32"/>
      <w:szCs w:val="32"/>
    </w:rPr>
  </w:style>
  <w:style w:type="character" w:customStyle="1" w:styleId="35">
    <w:name w:val="标题 3 Char"/>
    <w:basedOn w:val="26"/>
    <w:link w:val="6"/>
    <w:semiHidden/>
    <w:qFormat/>
    <w:uiPriority w:val="9"/>
    <w:rPr>
      <w:b/>
      <w:bCs/>
      <w:sz w:val="32"/>
      <w:szCs w:val="32"/>
    </w:rPr>
  </w:style>
  <w:style w:type="character" w:customStyle="1" w:styleId="36">
    <w:name w:val="批注框文本 Char"/>
    <w:basedOn w:val="26"/>
    <w:link w:val="15"/>
    <w:semiHidden/>
    <w:qFormat/>
    <w:uiPriority w:val="99"/>
    <w:rPr>
      <w:sz w:val="18"/>
      <w:szCs w:val="18"/>
    </w:rPr>
  </w:style>
  <w:style w:type="character" w:customStyle="1" w:styleId="37">
    <w:name w:val="标题 4 Char"/>
    <w:basedOn w:val="26"/>
    <w:link w:val="7"/>
    <w:semiHidden/>
    <w:qFormat/>
    <w:uiPriority w:val="9"/>
    <w:rPr>
      <w:rFonts w:asciiTheme="majorHAnsi" w:hAnsiTheme="majorHAnsi" w:eastAsiaTheme="majorEastAsia" w:cstheme="majorBidi"/>
      <w:b/>
      <w:bCs/>
      <w:sz w:val="28"/>
      <w:szCs w:val="28"/>
    </w:rPr>
  </w:style>
  <w:style w:type="character" w:customStyle="1" w:styleId="38">
    <w:name w:val="批注文字 Char"/>
    <w:basedOn w:val="26"/>
    <w:link w:val="11"/>
    <w:qFormat/>
    <w:uiPriority w:val="0"/>
  </w:style>
  <w:style w:type="character" w:customStyle="1" w:styleId="39">
    <w:name w:val="批注主题 Char"/>
    <w:basedOn w:val="38"/>
    <w:link w:val="22"/>
    <w:semiHidden/>
    <w:qFormat/>
    <w:uiPriority w:val="99"/>
    <w:rPr>
      <w:b/>
      <w:bCs/>
    </w:rPr>
  </w:style>
  <w:style w:type="character" w:customStyle="1" w:styleId="40">
    <w:name w:val="日期 Char"/>
    <w:basedOn w:val="26"/>
    <w:link w:val="14"/>
    <w:semiHidden/>
    <w:qFormat/>
    <w:uiPriority w:val="99"/>
  </w:style>
  <w:style w:type="paragraph" w:customStyle="1" w:styleId="41">
    <w:name w:val="List Paragraph"/>
    <w:basedOn w:val="1"/>
    <w:qFormat/>
    <w:uiPriority w:val="99"/>
    <w:pPr>
      <w:ind w:firstLine="420" w:firstLineChars="200"/>
    </w:p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 w:type="paragraph" w:customStyle="1" w:styleId="44">
    <w:name w:val="WPSOffice手动目录 3"/>
    <w:qFormat/>
    <w:uiPriority w:val="0"/>
    <w:pPr>
      <w:ind w:leftChars="400"/>
    </w:pPr>
    <w:rPr>
      <w:rFonts w:ascii="Times New Roman" w:hAnsi="Times New Roman" w:eastAsia="宋体" w:cs="Times New Roman"/>
      <w:sz w:val="20"/>
      <w:szCs w:val="20"/>
    </w:rPr>
  </w:style>
  <w:style w:type="paragraph" w:customStyle="1" w:styleId="45">
    <w:name w:val="BodyText1I2"/>
    <w:basedOn w:val="46"/>
    <w:qFormat/>
    <w:uiPriority w:val="0"/>
    <w:pPr>
      <w:ind w:left="200" w:firstLine="420" w:firstLineChars="200"/>
    </w:pPr>
    <w:rPr>
      <w:rFonts w:ascii="Times New Roman" w:eastAsia="仿宋_GB2312"/>
      <w:sz w:val="32"/>
    </w:rPr>
  </w:style>
  <w:style w:type="paragraph" w:customStyle="1" w:styleId="46">
    <w:name w:val="BodyTextIndent"/>
    <w:basedOn w:val="1"/>
    <w:qFormat/>
    <w:uiPriority w:val="0"/>
    <w:pPr>
      <w:spacing w:after="120" w:line="240" w:lineRule="auto"/>
      <w:ind w:left="420" w:left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25501</Words>
  <Characters>25918</Characters>
  <Lines>185</Lines>
  <Paragraphs>52</Paragraphs>
  <TotalTime>0</TotalTime>
  <ScaleCrop>false</ScaleCrop>
  <LinksUpToDate>false</LinksUpToDate>
  <CharactersWithSpaces>26118</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2017-12-14T02:17:00Z</dcterms:created>
  <dc:creator>lenovo</dc:creator>
  <cp:lastModifiedBy>admin</cp:lastModifiedBy>
  <cp:lastPrinted>2024-11-30T01:55:00Z</cp:lastPrinted>
  <dcterms:modified xsi:type="dcterms:W3CDTF">2024-12-31T17:50:43Z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247C9019566C4B5A8495945A72D93530_13</vt:lpwstr>
  </property>
</Properties>
</file>