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jc w:val="center"/>
        <w:rPr>
          <w:rFonts w:hint="eastAsia" w:ascii="宋体" w:hAnsi="宋体" w:eastAsia="宋体" w:cs="Times New Roman"/>
          <w:b/>
          <w:bCs/>
          <w:color w:val="000000"/>
          <w:kern w:val="0"/>
          <w:sz w:val="40"/>
          <w:szCs w:val="40"/>
          <w:lang w:val="en-US" w:eastAsia="zh-CN" w:bidi="ar-SA"/>
        </w:rPr>
      </w:pPr>
      <w:bookmarkStart w:id="0" w:name="_Toc128988392"/>
      <w:r>
        <w:rPr>
          <w:rFonts w:hint="eastAsia" w:ascii="宋体" w:hAnsi="宋体" w:eastAsia="宋体" w:cs="Times New Roman"/>
          <w:b/>
          <w:bCs/>
          <w:color w:val="000000"/>
          <w:kern w:val="0"/>
          <w:sz w:val="40"/>
          <w:szCs w:val="40"/>
          <w:lang w:val="en-US" w:eastAsia="zh-CN" w:bidi="ar-SA"/>
        </w:rPr>
        <w:t>汽车客运站</w:t>
      </w:r>
      <w:bookmarkEnd w:id="0"/>
      <w:r>
        <w:rPr>
          <w:rFonts w:hint="eastAsia" w:cs="Times New Roman"/>
          <w:b/>
          <w:bCs/>
          <w:color w:val="000000"/>
          <w:kern w:val="0"/>
          <w:sz w:val="40"/>
          <w:szCs w:val="40"/>
          <w:lang w:val="en-US" w:eastAsia="zh-CN" w:bidi="ar-SA"/>
        </w:rPr>
        <w:t>企业</w:t>
      </w:r>
      <w:r>
        <w:rPr>
          <w:rFonts w:hint="eastAsia" w:ascii="宋体" w:hAnsi="宋体" w:eastAsia="宋体" w:cs="Times New Roman"/>
          <w:b/>
          <w:bCs/>
          <w:color w:val="000000"/>
          <w:kern w:val="0"/>
          <w:sz w:val="40"/>
          <w:szCs w:val="40"/>
          <w:lang w:val="en-US" w:eastAsia="zh-CN" w:bidi="ar-SA"/>
        </w:rPr>
        <w:t>安全生产标准化达标自评指南（试行）</w:t>
      </w:r>
    </w:p>
    <w:p>
      <w:pPr>
        <w:pStyle w:val="5"/>
        <w:keepNext w:val="0"/>
        <w:keepLines w:val="0"/>
        <w:pageBreakBefore w:val="0"/>
        <w:widowControl/>
        <w:suppressLineNumbers w:val="0"/>
        <w:shd w:val="clear"/>
        <w:kinsoku/>
        <w:wordWrap/>
        <w:overflowPunct/>
        <w:topLinePunct w:val="0"/>
        <w:autoSpaceDE/>
        <w:autoSpaceDN/>
        <w:bidi w:val="0"/>
        <w:adjustRightInd/>
        <w:snapToGrid/>
        <w:ind w:firstLine="640" w:firstLineChars="200"/>
        <w:jc w:val="both"/>
        <w:textAlignment w:val="top"/>
        <w:rPr>
          <w:rFonts w:hint="eastAsia" w:ascii="黑体" w:hAnsi="黑体" w:eastAsia="黑体" w:cs="黑体"/>
          <w:color w:val="auto"/>
          <w:kern w:val="0"/>
          <w:sz w:val="32"/>
          <w:szCs w:val="32"/>
          <w:lang w:val="en-US" w:eastAsia="zh-CN" w:bidi="ar-SA"/>
        </w:rPr>
      </w:pPr>
      <w:r>
        <w:rPr>
          <w:rFonts w:hint="eastAsia" w:ascii="黑体" w:hAnsi="黑体" w:eastAsia="黑体" w:cs="黑体"/>
          <w:color w:val="auto"/>
          <w:kern w:val="0"/>
          <w:sz w:val="32"/>
          <w:szCs w:val="32"/>
          <w:lang w:val="en-US" w:eastAsia="zh-CN" w:bidi="ar-SA"/>
        </w:rPr>
        <w:t>说明：</w:t>
      </w:r>
    </w:p>
    <w:p>
      <w:pPr>
        <w:pStyle w:val="8"/>
        <w:keepNext w:val="0"/>
        <w:keepLines w:val="0"/>
        <w:pageBreakBefore w:val="0"/>
        <w:widowControl w:val="0"/>
        <w:tabs>
          <w:tab w:val="left" w:pos="851"/>
        </w:tabs>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bidi="ar-SA"/>
        </w:rPr>
      </w:pPr>
      <w:r>
        <w:rPr>
          <w:rFonts w:hint="eastAsia" w:ascii="Times New Roman" w:hAnsi="Times New Roman" w:eastAsia="仿宋_GB2312" w:cs="Times New Roman"/>
          <w:color w:val="auto"/>
          <w:kern w:val="0"/>
          <w:sz w:val="32"/>
          <w:szCs w:val="32"/>
          <w:lang w:val="en-US" w:eastAsia="zh-CN" w:bidi="ar-SA"/>
        </w:rPr>
        <w:t>1、</w:t>
      </w:r>
      <w:r>
        <w:rPr>
          <w:rFonts w:hint="eastAsia" w:eastAsia="仿宋_GB2312" w:cs="Times New Roman"/>
          <w:color w:val="auto"/>
          <w:kern w:val="0"/>
          <w:sz w:val="32"/>
          <w:szCs w:val="32"/>
          <w:lang w:val="en-US" w:eastAsia="zh-CN" w:bidi="ar-SA"/>
        </w:rPr>
        <w:t>企业标准化建设等级分</w:t>
      </w:r>
      <w:r>
        <w:rPr>
          <w:rFonts w:hint="default" w:ascii="Times New Roman" w:hAnsi="Times New Roman" w:eastAsia="仿宋_GB2312" w:cs="Times New Roman"/>
          <w:color w:val="auto"/>
          <w:kern w:val="0"/>
          <w:sz w:val="32"/>
          <w:szCs w:val="32"/>
          <w:lang w:val="en-US" w:eastAsia="zh-CN" w:bidi="ar-SA"/>
        </w:rPr>
        <w:t>为示范、优秀、良好</w:t>
      </w:r>
      <w:r>
        <w:rPr>
          <w:rFonts w:hint="eastAsia" w:eastAsia="仿宋_GB2312" w:cs="Times New Roman"/>
          <w:color w:val="auto"/>
          <w:kern w:val="0"/>
          <w:sz w:val="32"/>
          <w:szCs w:val="32"/>
          <w:lang w:val="en-US" w:eastAsia="zh-CN" w:bidi="ar-SA"/>
        </w:rPr>
        <w:t>三类</w:t>
      </w:r>
      <w:r>
        <w:rPr>
          <w:rFonts w:hint="default" w:ascii="Times New Roman" w:hAnsi="Times New Roman" w:eastAsia="仿宋_GB2312" w:cs="Times New Roman"/>
          <w:color w:val="auto"/>
          <w:kern w:val="0"/>
          <w:sz w:val="32"/>
          <w:szCs w:val="32"/>
          <w:lang w:val="en-US" w:eastAsia="zh-CN" w:bidi="ar-SA"/>
        </w:rPr>
        <w:t>。</w:t>
      </w:r>
    </w:p>
    <w:p>
      <w:pPr>
        <w:pStyle w:val="8"/>
        <w:keepNext w:val="0"/>
        <w:keepLines w:val="0"/>
        <w:pageBreakBefore w:val="0"/>
        <w:widowControl w:val="0"/>
        <w:tabs>
          <w:tab w:val="left" w:pos="851"/>
        </w:tabs>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color w:val="auto"/>
          <w:kern w:val="0"/>
          <w:sz w:val="32"/>
          <w:szCs w:val="32"/>
          <w:lang w:val="en-US" w:eastAsia="zh-CN" w:bidi="ar-SA"/>
        </w:rPr>
        <w:t>2、所有</w:t>
      </w:r>
      <w:r>
        <w:rPr>
          <w:rFonts w:hint="eastAsia" w:eastAsia="仿宋_GB2312" w:cs="Times New Roman"/>
          <w:color w:val="auto"/>
          <w:kern w:val="0"/>
          <w:sz w:val="32"/>
          <w:szCs w:val="32"/>
          <w:lang w:val="en-US" w:eastAsia="zh-CN" w:bidi="ar-SA"/>
        </w:rPr>
        <w:t>申请</w:t>
      </w:r>
      <w:r>
        <w:rPr>
          <w:rFonts w:hint="default" w:ascii="Times New Roman" w:hAnsi="Times New Roman" w:eastAsia="仿宋_GB2312" w:cs="Times New Roman"/>
          <w:color w:val="auto"/>
          <w:kern w:val="0"/>
          <w:sz w:val="32"/>
          <w:szCs w:val="32"/>
          <w:lang w:val="en-US" w:eastAsia="zh-CN" w:bidi="ar-SA"/>
        </w:rPr>
        <w:t>示范企业</w:t>
      </w:r>
      <w:r>
        <w:rPr>
          <w:rFonts w:hint="eastAsia" w:eastAsia="仿宋_GB2312" w:cs="Times New Roman"/>
          <w:color w:val="auto"/>
          <w:kern w:val="0"/>
          <w:sz w:val="32"/>
          <w:szCs w:val="32"/>
          <w:lang w:val="en-US" w:eastAsia="zh-CN" w:bidi="ar-SA"/>
        </w:rPr>
        <w:t>的达标</w:t>
      </w:r>
      <w:r>
        <w:rPr>
          <w:rFonts w:hint="eastAsia" w:ascii="Times New Roman" w:hAnsi="Times New Roman" w:eastAsia="仿宋_GB2312" w:cs="Times New Roman"/>
          <w:color w:val="auto"/>
          <w:kern w:val="0"/>
          <w:sz w:val="32"/>
          <w:szCs w:val="32"/>
          <w:lang w:val="en-US" w:eastAsia="zh-CN" w:bidi="ar-SA"/>
        </w:rPr>
        <w:t>“★”</w:t>
      </w:r>
      <w:r>
        <w:rPr>
          <w:rFonts w:hint="default" w:ascii="Times New Roman" w:hAnsi="Times New Roman" w:eastAsia="仿宋_GB2312" w:cs="Times New Roman"/>
          <w:color w:val="auto"/>
          <w:kern w:val="0"/>
          <w:sz w:val="32"/>
          <w:szCs w:val="32"/>
          <w:lang w:val="en-US" w:eastAsia="zh-CN" w:bidi="ar-SA"/>
        </w:rPr>
        <w:t>项目</w:t>
      </w:r>
      <w:r>
        <w:rPr>
          <w:rFonts w:hint="eastAsia" w:eastAsia="仿宋_GB2312" w:cs="Times New Roman"/>
          <w:color w:val="auto"/>
          <w:kern w:val="0"/>
          <w:sz w:val="32"/>
          <w:szCs w:val="32"/>
          <w:lang w:val="en-US" w:eastAsia="zh-CN" w:bidi="ar-SA"/>
        </w:rPr>
        <w:t>个数应</w:t>
      </w:r>
      <w:r>
        <w:rPr>
          <w:rFonts w:hint="default" w:ascii="Times New Roman" w:hAnsi="Times New Roman" w:eastAsia="仿宋_GB2312" w:cs="Times New Roman"/>
          <w:color w:val="auto"/>
          <w:kern w:val="0"/>
          <w:sz w:val="32"/>
          <w:szCs w:val="32"/>
          <w:lang w:val="en-US" w:eastAsia="zh-CN" w:bidi="ar-SA"/>
        </w:rPr>
        <w:t>不低于</w:t>
      </w:r>
      <w:r>
        <w:rPr>
          <w:rFonts w:hint="eastAsia" w:ascii="Times New Roman" w:hAnsi="Times New Roman" w:eastAsia="仿宋_GB2312" w:cs="Times New Roman"/>
          <w:color w:val="auto"/>
          <w:kern w:val="0"/>
          <w:sz w:val="32"/>
          <w:szCs w:val="32"/>
          <w:lang w:val="en-US" w:eastAsia="zh-CN" w:bidi="ar-SA"/>
        </w:rPr>
        <w:t>“★”项目总个数的</w:t>
      </w:r>
      <w:r>
        <w:rPr>
          <w:rFonts w:hint="default" w:ascii="Times New Roman" w:hAnsi="Times New Roman" w:eastAsia="仿宋_GB2312" w:cs="Times New Roman"/>
          <w:color w:val="auto"/>
          <w:kern w:val="0"/>
          <w:sz w:val="32"/>
          <w:szCs w:val="32"/>
          <w:lang w:val="en-US" w:eastAsia="zh-CN" w:bidi="ar-SA"/>
        </w:rPr>
        <w:t>8</w:t>
      </w:r>
      <w:r>
        <w:rPr>
          <w:rFonts w:hint="eastAsia" w:eastAsia="仿宋_GB2312" w:cs="Times New Roman"/>
          <w:color w:val="auto"/>
          <w:kern w:val="0"/>
          <w:sz w:val="32"/>
          <w:szCs w:val="32"/>
          <w:lang w:val="en-US" w:eastAsia="zh-CN" w:bidi="ar-SA"/>
        </w:rPr>
        <w:t>0%</w:t>
      </w:r>
      <w:r>
        <w:rPr>
          <w:rFonts w:hint="default" w:ascii="Times New Roman" w:hAnsi="Times New Roman" w:eastAsia="仿宋_GB2312" w:cs="Times New Roman"/>
          <w:color w:val="auto"/>
          <w:kern w:val="0"/>
          <w:sz w:val="32"/>
          <w:szCs w:val="32"/>
          <w:lang w:val="en-US" w:eastAsia="zh-CN" w:bidi="ar-SA"/>
        </w:rPr>
        <w:t>、“★★”、“★★★”</w:t>
      </w:r>
      <w:r>
        <w:rPr>
          <w:rFonts w:hint="eastAsia" w:ascii="Times New Roman" w:hAnsi="Times New Roman" w:eastAsia="仿宋_GB2312" w:cs="Times New Roman"/>
          <w:color w:val="auto"/>
          <w:kern w:val="0"/>
          <w:sz w:val="32"/>
          <w:szCs w:val="32"/>
          <w:lang w:val="en-US" w:eastAsia="zh-CN" w:bidi="ar-SA"/>
        </w:rPr>
        <w:t>必须全部满足</w:t>
      </w:r>
      <w:r>
        <w:rPr>
          <w:rFonts w:hint="default" w:ascii="Times New Roman" w:hAnsi="Times New Roman" w:eastAsia="仿宋_GB2312" w:cs="Times New Roman"/>
          <w:color w:val="auto"/>
          <w:kern w:val="0"/>
          <w:sz w:val="32"/>
          <w:szCs w:val="32"/>
          <w:lang w:val="en-US" w:eastAsia="zh-CN" w:bidi="ar-SA"/>
        </w:rPr>
        <w:t>要求，</w:t>
      </w:r>
      <w:r>
        <w:rPr>
          <w:rFonts w:hint="eastAsia" w:eastAsia="仿宋_GB2312" w:cs="Times New Roman"/>
          <w:color w:val="auto"/>
          <w:kern w:val="0"/>
          <w:sz w:val="32"/>
          <w:szCs w:val="32"/>
          <w:lang w:val="en-US" w:eastAsia="zh-CN" w:bidi="ar-SA"/>
        </w:rPr>
        <w:t>申请</w:t>
      </w:r>
      <w:r>
        <w:rPr>
          <w:rFonts w:hint="default" w:ascii="Times New Roman" w:hAnsi="Times New Roman" w:eastAsia="仿宋_GB2312" w:cs="Times New Roman"/>
          <w:color w:val="auto"/>
          <w:kern w:val="0"/>
          <w:sz w:val="32"/>
          <w:szCs w:val="32"/>
          <w:lang w:val="en-US" w:eastAsia="zh-CN" w:bidi="ar-SA"/>
        </w:rPr>
        <w:t>优秀企业</w:t>
      </w:r>
      <w:r>
        <w:rPr>
          <w:rFonts w:hint="eastAsia" w:eastAsia="仿宋_GB2312" w:cs="Times New Roman"/>
          <w:color w:val="auto"/>
          <w:kern w:val="0"/>
          <w:sz w:val="32"/>
          <w:szCs w:val="32"/>
          <w:lang w:val="en-US" w:eastAsia="zh-CN" w:bidi="ar-SA"/>
        </w:rPr>
        <w:t>的达标</w:t>
      </w:r>
      <w:r>
        <w:rPr>
          <w:rFonts w:hint="eastAsia" w:ascii="Times New Roman" w:hAnsi="Times New Roman" w:eastAsia="仿宋_GB2312" w:cs="Times New Roman"/>
          <w:color w:val="auto"/>
          <w:kern w:val="0"/>
          <w:sz w:val="32"/>
          <w:szCs w:val="32"/>
          <w:lang w:val="en-US" w:eastAsia="zh-CN" w:bidi="ar-SA"/>
        </w:rPr>
        <w:t>“★★”</w:t>
      </w:r>
      <w:r>
        <w:rPr>
          <w:rFonts w:hint="default" w:ascii="Times New Roman" w:hAnsi="Times New Roman" w:eastAsia="仿宋_GB2312" w:cs="Times New Roman"/>
          <w:color w:val="auto"/>
          <w:kern w:val="0"/>
          <w:sz w:val="32"/>
          <w:szCs w:val="32"/>
          <w:lang w:val="en-US" w:eastAsia="zh-CN" w:bidi="ar-SA"/>
        </w:rPr>
        <w:t>项目</w:t>
      </w:r>
      <w:r>
        <w:rPr>
          <w:rFonts w:hint="eastAsia" w:eastAsia="仿宋_GB2312" w:cs="Times New Roman"/>
          <w:color w:val="auto"/>
          <w:kern w:val="0"/>
          <w:sz w:val="32"/>
          <w:szCs w:val="32"/>
          <w:lang w:val="en-US" w:eastAsia="zh-CN" w:bidi="ar-SA"/>
        </w:rPr>
        <w:t>个数应</w:t>
      </w:r>
      <w:r>
        <w:rPr>
          <w:rFonts w:hint="default" w:ascii="Times New Roman" w:hAnsi="Times New Roman" w:eastAsia="仿宋_GB2312" w:cs="Times New Roman"/>
          <w:color w:val="auto"/>
          <w:kern w:val="0"/>
          <w:sz w:val="32"/>
          <w:szCs w:val="32"/>
          <w:lang w:val="en-US" w:eastAsia="zh-CN" w:bidi="ar-SA"/>
        </w:rPr>
        <w:t>不低于</w:t>
      </w:r>
      <w:r>
        <w:rPr>
          <w:rFonts w:hint="eastAsia" w:ascii="Times New Roman" w:hAnsi="Times New Roman" w:eastAsia="仿宋_GB2312" w:cs="Times New Roman"/>
          <w:color w:val="auto"/>
          <w:kern w:val="0"/>
          <w:sz w:val="32"/>
          <w:szCs w:val="32"/>
          <w:lang w:val="en-US" w:eastAsia="zh-CN" w:bidi="ar-SA"/>
        </w:rPr>
        <w:t>“★★”项目总个数的</w:t>
      </w:r>
      <w:r>
        <w:rPr>
          <w:rFonts w:hint="default" w:ascii="Times New Roman" w:hAnsi="Times New Roman" w:eastAsia="仿宋_GB2312" w:cs="Times New Roman"/>
          <w:color w:val="auto"/>
          <w:kern w:val="0"/>
          <w:sz w:val="32"/>
          <w:szCs w:val="32"/>
          <w:lang w:val="en-US" w:eastAsia="zh-CN" w:bidi="ar-SA"/>
        </w:rPr>
        <w:t>8</w:t>
      </w:r>
      <w:r>
        <w:rPr>
          <w:rFonts w:hint="eastAsia" w:eastAsia="仿宋_GB2312" w:cs="Times New Roman"/>
          <w:color w:val="auto"/>
          <w:kern w:val="0"/>
          <w:sz w:val="32"/>
          <w:szCs w:val="32"/>
          <w:lang w:val="en-US" w:eastAsia="zh-CN" w:bidi="ar-SA"/>
        </w:rPr>
        <w:t>0%</w:t>
      </w:r>
      <w:r>
        <w:rPr>
          <w:rFonts w:hint="default" w:ascii="Times New Roman" w:hAnsi="Times New Roman" w:eastAsia="仿宋_GB2312" w:cs="Times New Roman"/>
          <w:color w:val="auto"/>
          <w:kern w:val="0"/>
          <w:sz w:val="32"/>
          <w:szCs w:val="32"/>
          <w:lang w:val="en-US" w:eastAsia="zh-CN" w:bidi="ar-SA"/>
        </w:rPr>
        <w:t>、“★★★”</w:t>
      </w:r>
      <w:r>
        <w:rPr>
          <w:rFonts w:hint="eastAsia" w:ascii="Times New Roman" w:hAnsi="Times New Roman" w:eastAsia="仿宋_GB2312" w:cs="Times New Roman"/>
          <w:color w:val="auto"/>
          <w:kern w:val="0"/>
          <w:sz w:val="32"/>
          <w:szCs w:val="32"/>
          <w:lang w:val="en-US" w:eastAsia="zh-CN" w:bidi="ar-SA"/>
        </w:rPr>
        <w:t>全部满足</w:t>
      </w:r>
      <w:r>
        <w:rPr>
          <w:rFonts w:hint="default" w:ascii="Times New Roman" w:hAnsi="Times New Roman" w:eastAsia="仿宋_GB2312" w:cs="Times New Roman"/>
          <w:color w:val="auto"/>
          <w:kern w:val="0"/>
          <w:sz w:val="32"/>
          <w:szCs w:val="32"/>
          <w:lang w:val="en-US" w:eastAsia="zh-CN" w:bidi="ar-SA"/>
        </w:rPr>
        <w:t>要求，</w:t>
      </w:r>
      <w:r>
        <w:rPr>
          <w:rFonts w:hint="eastAsia" w:eastAsia="仿宋_GB2312" w:cs="Times New Roman"/>
          <w:color w:val="auto"/>
          <w:kern w:val="0"/>
          <w:sz w:val="32"/>
          <w:szCs w:val="32"/>
          <w:lang w:val="en-US" w:eastAsia="zh-CN" w:bidi="ar-SA"/>
        </w:rPr>
        <w:t>申请</w:t>
      </w:r>
      <w:r>
        <w:rPr>
          <w:rFonts w:hint="default" w:ascii="Times New Roman" w:hAnsi="Times New Roman" w:eastAsia="仿宋_GB2312" w:cs="Times New Roman"/>
          <w:color w:val="auto"/>
          <w:kern w:val="0"/>
          <w:sz w:val="32"/>
          <w:szCs w:val="32"/>
          <w:lang w:val="en-US" w:eastAsia="zh-CN" w:bidi="ar-SA"/>
        </w:rPr>
        <w:t>良好企业</w:t>
      </w:r>
      <w:r>
        <w:rPr>
          <w:rFonts w:hint="eastAsia" w:eastAsia="仿宋_GB2312" w:cs="Times New Roman"/>
          <w:color w:val="auto"/>
          <w:kern w:val="0"/>
          <w:sz w:val="32"/>
          <w:szCs w:val="32"/>
          <w:lang w:val="en-US" w:eastAsia="zh-CN" w:bidi="ar-SA"/>
        </w:rPr>
        <w:t>的</w:t>
      </w:r>
      <w:r>
        <w:rPr>
          <w:rFonts w:hint="default" w:ascii="Times New Roman" w:hAnsi="Times New Roman" w:eastAsia="仿宋_GB2312" w:cs="Times New Roman"/>
          <w:color w:val="auto"/>
          <w:kern w:val="0"/>
          <w:sz w:val="32"/>
          <w:szCs w:val="32"/>
          <w:lang w:val="en-US" w:eastAsia="zh-CN" w:bidi="ar-SA"/>
        </w:rPr>
        <w:t>必须全部满足“★★★”要求。</w:t>
      </w:r>
    </w:p>
    <w:p>
      <w:pPr>
        <w:pStyle w:val="8"/>
        <w:keepNext w:val="0"/>
        <w:keepLines w:val="0"/>
        <w:pageBreakBefore w:val="0"/>
        <w:widowControl w:val="0"/>
        <w:tabs>
          <w:tab w:val="left" w:pos="851"/>
        </w:tabs>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color w:val="auto"/>
          <w:kern w:val="0"/>
          <w:sz w:val="32"/>
          <w:szCs w:val="32"/>
          <w:lang w:val="en-US" w:eastAsia="zh-CN" w:bidi="ar-SA"/>
        </w:rPr>
        <w:t>3、</w:t>
      </w:r>
      <w:r>
        <w:rPr>
          <w:rFonts w:hint="eastAsia" w:ascii="Times New Roman" w:hAnsi="Times New Roman" w:eastAsia="仿宋_GB2312" w:cs="Times New Roman"/>
          <w:color w:val="auto"/>
          <w:kern w:val="0"/>
          <w:sz w:val="32"/>
          <w:szCs w:val="32"/>
          <w:lang w:val="en-US" w:eastAsia="zh-CN" w:bidi="ar-SA"/>
        </w:rPr>
        <w:t>所有指标中要求的内容，如评审企业不涉及此项工作或当地主管机关未要求开展的，视为不涉及项处理，所得总分按照千分制比例进行换算。如：某</w:t>
      </w:r>
      <w:r>
        <w:rPr>
          <w:rFonts w:hint="eastAsia" w:eastAsia="仿宋_GB2312" w:cs="Times New Roman"/>
          <w:color w:val="auto"/>
          <w:kern w:val="0"/>
          <w:sz w:val="32"/>
          <w:szCs w:val="32"/>
          <w:lang w:val="en-US" w:eastAsia="zh-CN" w:bidi="ar-SA"/>
        </w:rPr>
        <w:t>企业</w:t>
      </w:r>
      <w:r>
        <w:rPr>
          <w:rFonts w:hint="eastAsia" w:ascii="Times New Roman" w:hAnsi="Times New Roman" w:eastAsia="仿宋_GB2312" w:cs="Times New Roman"/>
          <w:color w:val="auto"/>
          <w:kern w:val="0"/>
          <w:sz w:val="32"/>
          <w:szCs w:val="32"/>
          <w:lang w:val="en-US" w:eastAsia="zh-CN" w:bidi="ar-SA"/>
        </w:rPr>
        <w:t>不涉及项分数为100分，对照千分表去除不涉及项</w:t>
      </w:r>
      <w:r>
        <w:rPr>
          <w:rFonts w:hint="eastAsia" w:eastAsia="仿宋_GB2312" w:cs="Times New Roman"/>
          <w:color w:val="auto"/>
          <w:kern w:val="0"/>
          <w:sz w:val="32"/>
          <w:szCs w:val="32"/>
          <w:lang w:val="en-US" w:eastAsia="zh-CN" w:bidi="ar-SA"/>
        </w:rPr>
        <w:t>实</w:t>
      </w:r>
      <w:r>
        <w:rPr>
          <w:rFonts w:hint="eastAsia" w:ascii="Times New Roman" w:hAnsi="Times New Roman" w:eastAsia="仿宋_GB2312" w:cs="Times New Roman"/>
          <w:color w:val="auto"/>
          <w:kern w:val="0"/>
          <w:sz w:val="32"/>
          <w:szCs w:val="32"/>
          <w:lang w:val="en-US" w:eastAsia="zh-CN" w:bidi="ar-SA"/>
        </w:rPr>
        <w:t>得分为720分，则最终评价得分为720/900×1000=800分。</w:t>
      </w:r>
    </w:p>
    <w:p>
      <w:pPr>
        <w:pStyle w:val="8"/>
        <w:keepNext w:val="0"/>
        <w:keepLines w:val="0"/>
        <w:pageBreakBefore w:val="0"/>
        <w:widowControl w:val="0"/>
        <w:tabs>
          <w:tab w:val="left" w:pos="851"/>
        </w:tabs>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rPr>
      </w:pPr>
      <w:r>
        <w:rPr>
          <w:rFonts w:hint="eastAsia" w:eastAsia="仿宋_GB2312" w:cs="Times New Roman"/>
          <w:color w:val="auto"/>
          <w:kern w:val="0"/>
          <w:sz w:val="32"/>
          <w:szCs w:val="32"/>
          <w:lang w:val="en-US" w:eastAsia="zh-CN" w:bidi="ar-SA"/>
        </w:rPr>
        <w:t>4、</w:t>
      </w:r>
      <w:r>
        <w:rPr>
          <w:rFonts w:hint="eastAsia" w:ascii="Times New Roman" w:hAnsi="Times New Roman" w:eastAsia="仿宋_GB2312" w:cs="Times New Roman"/>
          <w:color w:val="auto"/>
          <w:kern w:val="0"/>
          <w:sz w:val="32"/>
          <w:szCs w:val="32"/>
          <w:lang w:val="en-US" w:eastAsia="zh-CN" w:bidi="ar-SA"/>
        </w:rPr>
        <w:t>示范企业最终评价得分≥9</w:t>
      </w:r>
      <w:r>
        <w:rPr>
          <w:rFonts w:hint="eastAsia" w:eastAsia="仿宋_GB2312" w:cs="Times New Roman"/>
          <w:color w:val="auto"/>
          <w:kern w:val="0"/>
          <w:sz w:val="32"/>
          <w:szCs w:val="32"/>
          <w:lang w:val="en-US" w:eastAsia="zh-CN" w:bidi="ar-SA"/>
        </w:rPr>
        <w:t>0</w:t>
      </w:r>
      <w:r>
        <w:rPr>
          <w:rFonts w:hint="eastAsia" w:ascii="Times New Roman" w:hAnsi="Times New Roman" w:eastAsia="仿宋_GB2312" w:cs="Times New Roman"/>
          <w:color w:val="auto"/>
          <w:kern w:val="0"/>
          <w:sz w:val="32"/>
          <w:szCs w:val="32"/>
          <w:lang w:val="en-US" w:eastAsia="zh-CN" w:bidi="ar-SA"/>
        </w:rPr>
        <w:t>0分；优秀企业最终评价得分≥8</w:t>
      </w:r>
      <w:r>
        <w:rPr>
          <w:rFonts w:hint="eastAsia" w:eastAsia="仿宋_GB2312" w:cs="Times New Roman"/>
          <w:color w:val="auto"/>
          <w:kern w:val="0"/>
          <w:sz w:val="32"/>
          <w:szCs w:val="32"/>
          <w:lang w:val="en-US" w:eastAsia="zh-CN" w:bidi="ar-SA"/>
        </w:rPr>
        <w:t>0</w:t>
      </w:r>
      <w:r>
        <w:rPr>
          <w:rFonts w:hint="eastAsia" w:ascii="Times New Roman" w:hAnsi="Times New Roman" w:eastAsia="仿宋_GB2312" w:cs="Times New Roman"/>
          <w:color w:val="auto"/>
          <w:kern w:val="0"/>
          <w:sz w:val="32"/>
          <w:szCs w:val="32"/>
          <w:lang w:val="en-US" w:eastAsia="zh-CN" w:bidi="ar-SA"/>
        </w:rPr>
        <w:t>0分；良好企业最终评价得分≥</w:t>
      </w:r>
      <w:r>
        <w:rPr>
          <w:rFonts w:hint="eastAsia" w:eastAsia="仿宋_GB2312" w:cs="Times New Roman"/>
          <w:color w:val="auto"/>
          <w:kern w:val="0"/>
          <w:sz w:val="32"/>
          <w:szCs w:val="32"/>
          <w:lang w:val="en-US" w:eastAsia="zh-CN" w:bidi="ar-SA"/>
        </w:rPr>
        <w:t>600</w:t>
      </w:r>
      <w:r>
        <w:rPr>
          <w:rFonts w:hint="eastAsia" w:ascii="Times New Roman" w:hAnsi="Times New Roman" w:eastAsia="仿宋_GB2312" w:cs="Times New Roman"/>
          <w:color w:val="auto"/>
          <w:kern w:val="0"/>
          <w:sz w:val="32"/>
          <w:szCs w:val="32"/>
          <w:lang w:val="en-US" w:eastAsia="zh-CN" w:bidi="ar-SA"/>
        </w:rPr>
        <w:t>分。</w:t>
      </w:r>
    </w:p>
    <w:p>
      <w:pPr>
        <w:pStyle w:val="5"/>
        <w:keepNext w:val="0"/>
        <w:keepLines w:val="0"/>
        <w:pageBreakBefore w:val="0"/>
        <w:widowControl/>
        <w:suppressLineNumbers w:val="0"/>
        <w:shd w:val="clear" w:fill="E0ECF9"/>
        <w:kinsoku/>
        <w:wordWrap/>
        <w:overflowPunct/>
        <w:topLinePunct w:val="0"/>
        <w:autoSpaceDE/>
        <w:autoSpaceDN/>
        <w:bidi w:val="0"/>
        <w:adjustRightInd/>
        <w:snapToGrid/>
        <w:ind w:firstLine="640" w:firstLineChars="200"/>
        <w:jc w:val="both"/>
        <w:textAlignment w:val="top"/>
        <w:rPr>
          <w:rFonts w:hint="eastAsia" w:ascii="Times New Roman" w:hAnsi="Times New Roman" w:eastAsia="仿宋_GB2312" w:cs="Times New Roman"/>
          <w:color w:val="auto"/>
          <w:sz w:val="32"/>
          <w:szCs w:val="32"/>
          <w:lang w:val="en-US" w:eastAsia="zh-CN"/>
        </w:rPr>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pPr>
    </w:p>
    <w:p/>
    <w:p>
      <w:pPr>
        <w:widowControl/>
        <w:numPr>
          <w:ilvl w:val="0"/>
          <w:numId w:val="1"/>
        </w:numPr>
        <w:spacing w:before="100" w:beforeAutospacing="1" w:after="100" w:afterAutospacing="1"/>
        <w:jc w:val="left"/>
        <w:outlineLvl w:val="1"/>
        <w:rPr>
          <w:rFonts w:ascii="仿宋" w:hAnsi="仿宋" w:eastAsia="仿宋" w:cs="宋体"/>
          <w:b/>
          <w:bCs/>
          <w:color w:val="000000"/>
          <w:kern w:val="0"/>
          <w:sz w:val="36"/>
          <w:szCs w:val="36"/>
        </w:rPr>
      </w:pPr>
      <w:r>
        <w:rPr>
          <w:rFonts w:hint="eastAsia" w:ascii="仿宋" w:hAnsi="仿宋" w:eastAsia="仿宋" w:cs="宋体"/>
          <w:b/>
          <w:bCs/>
          <w:color w:val="000000"/>
          <w:kern w:val="0"/>
          <w:sz w:val="36"/>
          <w:szCs w:val="36"/>
        </w:rPr>
        <w:t>目标与考核（合计17分）</w:t>
      </w: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安全生产目标（小计17分）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17分（要求：满分17分）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1760" w:hRule="atLeast"/>
        </w:trPr>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企业应结合实际制定安全生产目标.安全生产目标应: ａ.符合或严于相关法律法规的要求. ｂ.形成文件.并得到本企业所有从业人员的贯彻和实施. ｃ.与企业的职业安全健康风险相适应. ｄ.具有可考核性.体现企业持续改进的承诺. ｅ.便于企业员工及相关方获得</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１.应制定符合要求的安全生产目标. ２.安全生产目标应正式发布、贯彻和实施. ３.企业员工应了解安全生产目标. ４.安全生产目标应充分公开.便于员工及相关方获得</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安全生产目标，是在一定条件下，一定时间内完成安全活动所达到的某一预期目的的指标。安全生产目标的制定应切合企业实际，要求内容明确、具体、量化，有时限性。</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安全生产目标应以文件形式正式发布，使全体员工和相关方获知。</w:t>
            </w:r>
          </w:p>
        </w:tc>
      </w:tr>
    </w:tbl>
    <w:p>
      <w:pPr>
        <w:widowControl/>
        <w:ind w:left="1440"/>
        <w:jc w:val="left"/>
        <w:rPr>
          <w:rFonts w:ascii="微软雅黑" w:hAnsi="微软雅黑" w:eastAsia="微软雅黑" w:cs="宋体"/>
          <w:color w:val="000000"/>
          <w:kern w:val="0"/>
          <w:sz w:val="27"/>
          <w:szCs w:val="27"/>
        </w:rPr>
      </w:pPr>
    </w:p>
    <w:p>
      <w:pPr>
        <w:widowControl/>
        <w:numPr>
          <w:ilvl w:val="0"/>
          <w:numId w:val="1"/>
        </w:numPr>
        <w:spacing w:before="100" w:beforeAutospacing="1" w:after="100" w:afterAutospacing="1"/>
        <w:jc w:val="left"/>
        <w:outlineLvl w:val="1"/>
        <w:rPr>
          <w:rFonts w:ascii="仿宋" w:hAnsi="仿宋" w:eastAsia="仿宋" w:cs="宋体"/>
          <w:b/>
          <w:bCs/>
          <w:color w:val="000000"/>
          <w:kern w:val="0"/>
          <w:sz w:val="36"/>
          <w:szCs w:val="36"/>
        </w:rPr>
      </w:pPr>
      <w:r>
        <w:rPr>
          <w:rFonts w:hint="eastAsia" w:ascii="仿宋" w:hAnsi="仿宋" w:eastAsia="仿宋" w:cs="宋体"/>
          <w:b/>
          <w:bCs/>
          <w:color w:val="000000"/>
          <w:kern w:val="0"/>
          <w:sz w:val="36"/>
          <w:szCs w:val="36"/>
        </w:rPr>
        <w:t>管理机构和人员（合计99分）</w:t>
      </w: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安全生产管理机构（小计66分）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33分（要求：</w:t>
            </w:r>
            <w:r>
              <w:rPr>
                <w:rFonts w:hint="eastAsia" w:ascii="仿宋" w:hAnsi="仿宋" w:eastAsia="仿宋" w:cs="宋体"/>
                <w:kern w:val="0"/>
                <w:sz w:val="24"/>
                <w:szCs w:val="24"/>
                <w:lang w:eastAsia="zh-CN"/>
              </w:rPr>
              <w:t>示范级优秀级</w:t>
            </w:r>
            <w:r>
              <w:rPr>
                <w:rFonts w:hint="eastAsia" w:ascii="仿宋" w:hAnsi="仿宋" w:eastAsia="仿宋" w:cs="宋体"/>
                <w:kern w:val="0"/>
                <w:sz w:val="24"/>
                <w:szCs w:val="24"/>
              </w:rPr>
              <w:t>满分33分）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企业应建立以企业主要负责人为领导的安全生产委员会(或安全生产领导小组).并应职责明确.应建立健全从安全生产委员会(或安全生产领导小组)至基层班组的安全生产管理 网络</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１.未成立安全生产委员会(或领导小组).不得分. ２.未明确安全生产委员会(或领导小组)职责.【扣10分】. ３.未编制安全生产管理网络图.或网络图未全面覆盖基层班组.【扣7分】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安全生产委员会（或安全生产领导小组）是企业安全生产管理的最高决策机构。应由企业安全生产第一责任人、分管领导与有关部门人员组成。</w:t>
            </w:r>
          </w:p>
        </w:tc>
      </w:tr>
    </w:tbl>
    <w:p>
      <w:pPr>
        <w:widowControl/>
        <w:ind w:left="1440"/>
        <w:jc w:val="left"/>
        <w:rPr>
          <w:rFonts w:ascii="微软雅黑" w:hAnsi="微软雅黑" w:eastAsia="微软雅黑" w:cs="宋体"/>
          <w:color w:val="000000"/>
          <w:kern w:val="0"/>
          <w:sz w:val="27"/>
          <w:szCs w:val="27"/>
        </w:rPr>
      </w:pP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17分（要求：满分17分）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企业应按规定设置与企业规模相适应的安全生产管理机构</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１.按规定设置安全生产管理机构或配备专职安全生产管理人员. ２.设置的安全生产管理机构或配备的专职安全生产管理人员与企业规模相适应. ３.应明确安全生产管理机构职责</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安全生产管理机构是企业内部设置的对安全生产工作进行综合协调和监督的综合管理部门。</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矿山、金属冶炼、建筑施工、道路运输单位和危险物品的生产、经营、储存单位，应当设置安全生产管理机构或者配备专职安全生产管理人员。前款规定以外的其他生产经营单位，从业人员超过一百人的，应当设置安全生产管理机构或者配备专职安全生产管理人员；从业人员在一百人以下的，应当配备专职或者兼职的安全生产管理人员。</w:t>
            </w:r>
          </w:p>
        </w:tc>
      </w:tr>
    </w:tbl>
    <w:p>
      <w:pPr>
        <w:widowControl/>
        <w:ind w:left="1440"/>
        <w:jc w:val="left"/>
        <w:rPr>
          <w:rFonts w:ascii="微软雅黑" w:hAnsi="微软雅黑" w:eastAsia="微软雅黑" w:cs="宋体"/>
          <w:color w:val="000000"/>
          <w:kern w:val="0"/>
          <w:sz w:val="27"/>
          <w:szCs w:val="27"/>
        </w:rPr>
      </w:pP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16分（要求：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14分，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12分，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10分）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企业应定期召开安全生产委员会或安全生产领导小组会议.安全生产管理机构或下属分支机构每月至少召开１次安全工作例会</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１.未制定安全例会制度.【扣10分】. ２.制度不完善、内容不 全面.【扣2分】. ３.无安全会议记录、会议纪要、签到表等.每项【扣2分】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安全生产委员会会议，每季度至少一次，研究解决安全生产中的重大问题，安排阶段性安全生产工作。</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安全工作例会，每月至少一次，主要是落实安委会会议的会议决定，总结上一阶段的各项安全生产工作完成情况，传达上级对安全生产的指令、文件精神及安全生产相关措施，对安全工作进行部署、对从业人员进行安全思想教育等。各分支机构和部门汇报安全生产情况和存在的问题。</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安全管理人员（小计33分）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2400"/>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12400" w:type="dxa"/>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33分（要求：满分33分）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12400" w:type="dxa"/>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企业应按规定配备专(兼)职安全生产和应急管理人员</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12400" w:type="dxa"/>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应配备专(兼)职安全管理人员和应急管理人员</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12400" w:type="dxa"/>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安全生产管理人员是指生产经营单位中从事安全生产管理工作的专职或兼职人员。</w:t>
            </w:r>
          </w:p>
        </w:tc>
      </w:tr>
    </w:tbl>
    <w:p>
      <w:pPr>
        <w:widowControl/>
        <w:ind w:left="1440"/>
        <w:jc w:val="left"/>
        <w:rPr>
          <w:rFonts w:ascii="微软雅黑" w:hAnsi="微软雅黑" w:eastAsia="微软雅黑" w:cs="宋体"/>
          <w:color w:val="000000"/>
          <w:kern w:val="0"/>
          <w:sz w:val="27"/>
          <w:szCs w:val="27"/>
        </w:rPr>
      </w:pPr>
    </w:p>
    <w:p>
      <w:pPr>
        <w:widowControl/>
        <w:numPr>
          <w:ilvl w:val="0"/>
          <w:numId w:val="1"/>
        </w:numPr>
        <w:spacing w:before="100" w:beforeAutospacing="1" w:after="100" w:afterAutospacing="1"/>
        <w:jc w:val="left"/>
        <w:outlineLvl w:val="1"/>
        <w:rPr>
          <w:rFonts w:ascii="仿宋" w:hAnsi="仿宋" w:eastAsia="仿宋" w:cs="宋体"/>
          <w:b/>
          <w:bCs/>
          <w:color w:val="000000"/>
          <w:kern w:val="0"/>
          <w:sz w:val="36"/>
          <w:szCs w:val="36"/>
        </w:rPr>
      </w:pPr>
      <w:r>
        <w:rPr>
          <w:rFonts w:hint="eastAsia" w:ascii="仿宋" w:hAnsi="仿宋" w:eastAsia="仿宋" w:cs="宋体"/>
          <w:b/>
          <w:bCs/>
          <w:color w:val="000000"/>
          <w:kern w:val="0"/>
          <w:sz w:val="36"/>
          <w:szCs w:val="36"/>
        </w:rPr>
        <w:t>安全责任体系（合计82分）</w:t>
      </w: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健全责任制（小计49分）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33分（要求：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30分，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25分，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20分）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企业应建立安全生产责任制.明确安全生产委员会(或安全生产领导小组)、安全生产管理机构、各职能部门、生产基层单位的安全生产职责.层层签订安全生产责任书.并落实到位</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１.未制定部门和岗位职 责.不得分.缺少１个部门 【扣10分】.缺少１个岗位【扣3分】. ２.未签订安全生产责任书.不得分.缺１份.【扣3分】. ３.员工不明确自身安全 职责.每人次【扣3分】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安全生产法第四条规定“生产经营单位必须遵守本法和其他有关安全生产的法律、法规，加强安全生产管理，建立、健全安全生产责任制和安全生产规章制度，改善安全生产条件，推进安全生产标准化建设，提高安全生产水平，确保安全生产。”</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安全生产责任制是企业安全生产的核心，是安全生产管理的源头。安全生产责任制应明确规定企业领导层、管理人员及所有从业人员、各管理部门、各级单位、岗位对安全生产应负的责任、权利和义务。企业的安全生产责任制应覆盖企业的所有方面，通过文件或有关规定发布，层层签订安全生产责任制，明确全体人员的安全生产责任。</w:t>
            </w:r>
          </w:p>
        </w:tc>
      </w:tr>
    </w:tbl>
    <w:p>
      <w:pPr>
        <w:widowControl/>
        <w:ind w:left="1440"/>
        <w:jc w:val="left"/>
        <w:rPr>
          <w:rFonts w:ascii="微软雅黑" w:hAnsi="微软雅黑" w:eastAsia="微软雅黑" w:cs="宋体"/>
          <w:color w:val="000000"/>
          <w:kern w:val="0"/>
          <w:sz w:val="27"/>
          <w:szCs w:val="27"/>
        </w:rPr>
      </w:pP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16分（要求：满分16分）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企业主要负责人或实际控制人是本企业安全生产第一责任人.对本企业安全生产工作全面负责.负全面组织领导、管理责任和法律责任.并履行安全生产的责任和义务</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１.企业安全生产第一责任人职责应符合法规要求. ２.企业安全生产第一责任人应熟知其安全责任</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企业安全生产第一责任人一般为企业总经理或总裁，根据安全生产法相关规定，生产经营单位的主要负责人对本单位的安全生产工作全面负责。</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 xml:space="preserve">生产经营单位的主要负责人对本单位安全生产工作负有下列职责：   </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（一）建立、健全本单位安全生产责任制；</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（二）组织制定本单位安全生产规章制度和操作规程；</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（三）保证本单位安全生产投入的有效实施；</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（四）督促、检查本单位的安全生产工作，及时消除生产安全事故隐患；</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（五）组织制定并实施本单位的生产安全事故应急救援预案；</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（六）及时、如实报告生产安全事故；</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（七）组织制定并实施本单位安全生产教育和培训计划。</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责任制考评（小计33分）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33分（要求：</w:t>
            </w:r>
            <w:r>
              <w:rPr>
                <w:rFonts w:hint="eastAsia" w:ascii="仿宋" w:hAnsi="仿宋" w:eastAsia="仿宋" w:cs="宋体"/>
                <w:kern w:val="0"/>
                <w:sz w:val="24"/>
                <w:szCs w:val="24"/>
                <w:lang w:eastAsia="zh-CN"/>
              </w:rPr>
              <w:t>示范级优秀级</w:t>
            </w:r>
            <w:r>
              <w:rPr>
                <w:rFonts w:hint="eastAsia" w:ascii="仿宋" w:hAnsi="仿宋" w:eastAsia="仿宋" w:cs="宋体"/>
                <w:kern w:val="0"/>
                <w:sz w:val="24"/>
                <w:szCs w:val="24"/>
              </w:rPr>
              <w:t>满分33分）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企业应根据安全生产责任进行定期考核和奖惩.并公布考评结果和奖惩情况</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１.未开展安全责任制考核.不得分.考核不合理、不全面等.每项【扣3分】. ２.未依据考核结果进行 奖惩.【扣10分】. ３.未公布考核结果和奖 惩情况.【扣7分】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应建立安全责任考核机制，制定安全生产责任考核制度。建立以岗位安全绩效考核为重点，以落实岗位安全责任为主线，以杜绝岗位安全责任事故为目标的全员安全生产责任考核办法。加大安全生产责任在员工绩效工资、晋级、评先评优等考核中的权重，重大责任事项实行“一票否决”。对各级管理部门、管理人员及从业人员安全职责的履行情况和安全生产责任制的实现情况进行定期考核，予以奖惩。</w:t>
            </w:r>
          </w:p>
        </w:tc>
      </w:tr>
    </w:tbl>
    <w:p>
      <w:pPr>
        <w:widowControl/>
        <w:jc w:val="left"/>
        <w:rPr>
          <w:rFonts w:ascii="微软雅黑" w:hAnsi="微软雅黑" w:eastAsia="微软雅黑" w:cs="宋体"/>
          <w:color w:val="000000"/>
          <w:kern w:val="0"/>
          <w:sz w:val="27"/>
          <w:szCs w:val="27"/>
        </w:rPr>
      </w:pPr>
    </w:p>
    <w:p>
      <w:pPr>
        <w:widowControl/>
        <w:numPr>
          <w:ilvl w:val="0"/>
          <w:numId w:val="1"/>
        </w:numPr>
        <w:spacing w:before="100" w:beforeAutospacing="1" w:after="100" w:afterAutospacing="1"/>
        <w:jc w:val="left"/>
        <w:outlineLvl w:val="1"/>
        <w:rPr>
          <w:rFonts w:ascii="仿宋" w:hAnsi="仿宋" w:eastAsia="仿宋" w:cs="宋体"/>
          <w:b/>
          <w:bCs/>
          <w:color w:val="000000"/>
          <w:kern w:val="0"/>
          <w:sz w:val="36"/>
          <w:szCs w:val="36"/>
        </w:rPr>
      </w:pPr>
      <w:r>
        <w:rPr>
          <w:rFonts w:hint="eastAsia" w:ascii="仿宋" w:hAnsi="仿宋" w:eastAsia="仿宋" w:cs="宋体"/>
          <w:b/>
          <w:bCs/>
          <w:color w:val="000000"/>
          <w:kern w:val="0"/>
          <w:sz w:val="36"/>
          <w:szCs w:val="36"/>
        </w:rPr>
        <w:t>法律法规与安全生产管理制度（合计48分）</w:t>
      </w: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资质（小计16分）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16分（要求：满分16分）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企业的《企业法人营业执照》、《道路运输经营许可证》资质证书应合法有效.经营范围应符合要求</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１.企业应具备合法有效的营业执照、经营许可证、资质证书及法律规定的其他经营许可证书.按规定通过年审. ２.企业应在获准的经营资质许可范围内开展经营活动</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应按照《中华人民共和国公司登记管理条例》管辖规定开展工商登记；各类资质证书中的名称、法人等一致；并处于有效期内；按照规定有通过年度审验。企业应按照《道路旅客运输及客运站管理规定》取得《道路运输经营许可证》，并在工商登记和资质许可范围开展合法的经营活动。</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操作规程（小计16分）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16分（要求：满分16分）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企业应制定各岗位操作规程.操作规程应满足国家和行业相关标准规范的要求</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１.应制定现场作业岗位操作规程.操作规程应符合相关标准规范要求.并符合企业实际状况. ２.操作规程应包含安全作业相关要求</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安全操作规程，是指在生产活动中，为消除能导致人身伤亡或造成设备、财产损失以及危害环境的因素而制定的具体技术要求和实施程序的统一规定。</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应根据生产特点，组织制定岗位安全操作规程，发放到相关岗位，保证其有效实施。操作规程中应明确：操作前的检查及准备工作的程序和方法；操作中严禁的行为；必须的操作步骤和操作方法；操作注意事项；正确使用劳动防护用品的要求；出现异常情况时的应急措施。</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制度执行及档案管理（小计16分）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16分（要求：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14分，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12分，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10分）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企业应建立和完善各类台账和档案.并按要求及时报送有关资料和信息</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１.未按照法律法规要求建立台账和档案的.每项【扣2分】. ２.记录台账等保存不完 善.每缺１项【扣2分】. ３.未及时报送有关资料 和信息.每次【扣2分】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企业应建立主要安全生产过程、检查的安全记录档案，并加强对安全记录的有效管理。</w:t>
            </w:r>
          </w:p>
        </w:tc>
      </w:tr>
    </w:tbl>
    <w:p>
      <w:pPr>
        <w:widowControl/>
        <w:ind w:left="1440"/>
        <w:jc w:val="left"/>
        <w:rPr>
          <w:rFonts w:ascii="微软雅黑" w:hAnsi="微软雅黑" w:eastAsia="微软雅黑" w:cs="宋体"/>
          <w:color w:val="000000"/>
          <w:kern w:val="0"/>
          <w:sz w:val="27"/>
          <w:szCs w:val="27"/>
        </w:rPr>
      </w:pPr>
    </w:p>
    <w:p>
      <w:pPr>
        <w:widowControl/>
        <w:numPr>
          <w:ilvl w:val="0"/>
          <w:numId w:val="1"/>
        </w:numPr>
        <w:spacing w:before="100" w:beforeAutospacing="1" w:after="100" w:afterAutospacing="1"/>
        <w:jc w:val="left"/>
        <w:outlineLvl w:val="1"/>
        <w:rPr>
          <w:rFonts w:ascii="仿宋" w:hAnsi="仿宋" w:eastAsia="仿宋" w:cs="宋体"/>
          <w:b/>
          <w:bCs/>
          <w:color w:val="000000"/>
          <w:kern w:val="0"/>
          <w:sz w:val="36"/>
          <w:szCs w:val="36"/>
        </w:rPr>
      </w:pPr>
      <w:r>
        <w:rPr>
          <w:rFonts w:hint="eastAsia" w:ascii="仿宋" w:hAnsi="仿宋" w:eastAsia="仿宋" w:cs="宋体"/>
          <w:b/>
          <w:bCs/>
          <w:color w:val="000000"/>
          <w:kern w:val="0"/>
          <w:sz w:val="36"/>
          <w:szCs w:val="36"/>
        </w:rPr>
        <w:t>安全投入（合计65分）</w:t>
      </w: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资金投入（小计65分）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49分（要求：</w:t>
            </w:r>
            <w:r>
              <w:rPr>
                <w:rFonts w:hint="eastAsia" w:ascii="仿宋" w:hAnsi="仿宋" w:eastAsia="仿宋" w:cs="宋体"/>
                <w:kern w:val="0"/>
                <w:sz w:val="24"/>
                <w:szCs w:val="24"/>
                <w:lang w:eastAsia="zh-CN"/>
              </w:rPr>
              <w:t>示范级优秀级</w:t>
            </w:r>
            <w:r>
              <w:rPr>
                <w:rFonts w:hint="eastAsia" w:ascii="仿宋" w:hAnsi="仿宋" w:eastAsia="仿宋" w:cs="宋体"/>
                <w:kern w:val="0"/>
                <w:sz w:val="24"/>
                <w:szCs w:val="24"/>
              </w:rPr>
              <w:t>满分49分）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企业应按规定足额提取(列支)安全生产费用</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１.应有安全生产费用管理制度.制度中应包含职责、提取比例、使用范围、过程管理、监督检查等内容.每缺１项【扣7分】. ２.安全生产费用提取比例应满足规定要求.不符合要求不得分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根据《中华人民共和国安全生产法》第二十条规定：生产经营单位应当具备的安全生产条件所必需的资金投入，由生产经营单位的决策机构、主要负责人或者个人经营的投资人予以保证，并对由于安全生产所必需的资金投入不足导致的后果承担责任。有关生产经营单位应当按照规定提取和使用安全生产费用，专门用于改善安全生产条件。安全生产费用在成本中据实列支。提取标准应符合《企业安全生产费用提取和使用管理办法》。</w:t>
            </w:r>
          </w:p>
        </w:tc>
      </w:tr>
    </w:tbl>
    <w:p>
      <w:pPr>
        <w:widowControl/>
        <w:ind w:left="1440"/>
        <w:jc w:val="left"/>
        <w:rPr>
          <w:rFonts w:ascii="微软雅黑" w:hAnsi="微软雅黑" w:eastAsia="微软雅黑" w:cs="宋体"/>
          <w:color w:val="000000"/>
          <w:kern w:val="0"/>
          <w:sz w:val="27"/>
          <w:szCs w:val="27"/>
        </w:rPr>
      </w:pP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16分（要求：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14分，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12分，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10分）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企业应及时投入满足安全生产条件的所需资金</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１.未制定安全生产费用 使用计划的【扣3分】. ２.安全生产费用使用计 划内容缺失的.每缺１个 方面【扣2分】. ３.未按照法律法规、标准规范要求和监管部门提出的安全措施进行投入的.每项【扣2分】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根据《中华人民共和国安全生产法》第二十条规定，生产经营单位应当具备的安全生产条件所必需的资金投入，由生产经营单位的决策机构、主要负责人或者个人经营的投资人予以保证，并对由于安全生产所必需的资金投入不足导致的后果承担责任。</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安全生产费用提取和使用管理办法》第二十六条规定：在本办法规定的使用范围内，企业应当将安全费用优先用于满足安全生产监督管理部门、煤矿安全监察机构以及行业主管部门对企业安全生产提出的整改措施或者达到安全生产标准所需的支出。</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《企业安全生产费用提取和使用管理办法》第三十二条规定：企业应当加强安全费用管理，编制年度安全费用提取和使用计划，纳入企业财务预算。</w:t>
            </w:r>
          </w:p>
        </w:tc>
      </w:tr>
    </w:tbl>
    <w:p>
      <w:pPr>
        <w:widowControl/>
        <w:ind w:left="1440"/>
        <w:jc w:val="left"/>
        <w:rPr>
          <w:rFonts w:ascii="微软雅黑" w:hAnsi="微软雅黑" w:eastAsia="微软雅黑" w:cs="宋体"/>
          <w:color w:val="000000"/>
          <w:kern w:val="0"/>
          <w:sz w:val="27"/>
          <w:szCs w:val="27"/>
        </w:rPr>
      </w:pPr>
    </w:p>
    <w:p>
      <w:pPr>
        <w:widowControl/>
        <w:numPr>
          <w:ilvl w:val="0"/>
          <w:numId w:val="1"/>
        </w:numPr>
        <w:spacing w:before="100" w:beforeAutospacing="1" w:after="100" w:afterAutospacing="1"/>
        <w:jc w:val="left"/>
        <w:outlineLvl w:val="1"/>
        <w:rPr>
          <w:rFonts w:ascii="仿宋" w:hAnsi="仿宋" w:eastAsia="仿宋" w:cs="宋体"/>
          <w:b/>
          <w:bCs/>
          <w:color w:val="000000"/>
          <w:kern w:val="0"/>
          <w:sz w:val="36"/>
          <w:szCs w:val="36"/>
        </w:rPr>
      </w:pPr>
      <w:r>
        <w:rPr>
          <w:rFonts w:hint="eastAsia" w:ascii="仿宋" w:hAnsi="仿宋" w:eastAsia="仿宋" w:cs="宋体"/>
          <w:b/>
          <w:bCs/>
          <w:color w:val="000000"/>
          <w:kern w:val="0"/>
          <w:sz w:val="36"/>
          <w:szCs w:val="36"/>
        </w:rPr>
        <w:t>装备设施（合计99分）</w:t>
      </w: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设施（小计99分）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33分（要求：满分33分）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企业应按国家有关规定设置旅客疏散紧急通道.并规范标识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１.未设有专用应急通道.不得分. ２.专用应急通道未设有指示标识或指示标识不清晰.不得分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应急通道主要是指客运站为应对突发火灾等事故、人为突发公共事件而专门用于站场内经营车辆器具、人员安全转移疏散的专用通道。</w:t>
            </w:r>
          </w:p>
        </w:tc>
      </w:tr>
    </w:tbl>
    <w:p>
      <w:pPr>
        <w:widowControl/>
        <w:ind w:left="1440"/>
        <w:jc w:val="left"/>
        <w:rPr>
          <w:rFonts w:ascii="微软雅黑" w:hAnsi="微软雅黑" w:eastAsia="微软雅黑" w:cs="宋体"/>
          <w:color w:val="000000"/>
          <w:kern w:val="0"/>
          <w:sz w:val="27"/>
          <w:szCs w:val="27"/>
        </w:rPr>
      </w:pP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33分（要求：</w:t>
            </w:r>
            <w:r>
              <w:rPr>
                <w:rFonts w:hint="eastAsia" w:ascii="仿宋" w:hAnsi="仿宋" w:eastAsia="仿宋" w:cs="宋体"/>
                <w:kern w:val="0"/>
                <w:sz w:val="24"/>
                <w:szCs w:val="24"/>
                <w:lang w:eastAsia="zh-CN"/>
              </w:rPr>
              <w:t>示范级优秀级</w:t>
            </w:r>
            <w:r>
              <w:rPr>
                <w:rFonts w:hint="eastAsia" w:ascii="仿宋" w:hAnsi="仿宋" w:eastAsia="仿宋" w:cs="宋体"/>
                <w:kern w:val="0"/>
                <w:sz w:val="24"/>
                <w:szCs w:val="24"/>
              </w:rPr>
              <w:t>满分33分）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企业应配备与经营规模、范围及经营管理形式相适应的安全和消防设施、设备及器材.遇突发状况应能够及时有效应对</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１.未按规定配置消防设备及器材的不得分. ２.安全消防设备及器材 不足或无效的.每发现１ 项【扣7分】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客运站应该配备与经营规模、范围及经营管理形式相适应的安全和消防设施、设备及器材，保证一旦有事能够及时妥善应对；这些设备及器材应当处于良好状态，能够在出现突发事态时发挥出处置危害或危险的作用。</w:t>
            </w:r>
          </w:p>
        </w:tc>
      </w:tr>
    </w:tbl>
    <w:p>
      <w:pPr>
        <w:widowControl/>
        <w:ind w:left="1440"/>
        <w:jc w:val="left"/>
        <w:rPr>
          <w:rFonts w:ascii="微软雅黑" w:hAnsi="微软雅黑" w:eastAsia="微软雅黑" w:cs="宋体"/>
          <w:color w:val="000000"/>
          <w:kern w:val="0"/>
          <w:sz w:val="27"/>
          <w:szCs w:val="27"/>
        </w:rPr>
      </w:pP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33分（要求：</w:t>
            </w:r>
            <w:r>
              <w:rPr>
                <w:rFonts w:hint="eastAsia" w:ascii="仿宋" w:hAnsi="仿宋" w:eastAsia="仿宋" w:cs="宋体"/>
                <w:kern w:val="0"/>
                <w:sz w:val="24"/>
                <w:szCs w:val="24"/>
                <w:lang w:eastAsia="zh-CN"/>
              </w:rPr>
              <w:t>示范级优秀级</w:t>
            </w:r>
            <w:r>
              <w:rPr>
                <w:rFonts w:hint="eastAsia" w:ascii="仿宋" w:hAnsi="仿宋" w:eastAsia="仿宋" w:cs="宋体"/>
                <w:kern w:val="0"/>
                <w:sz w:val="24"/>
                <w:szCs w:val="24"/>
              </w:rPr>
              <w:t>满分33分）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企业应按规定配置行包安全检查设备.并保持设备运行正常</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１.未按规定配置检查设 备【扣33分】. ２.检查设备运行不正常 【扣16分】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客运站应当按照交通运输部《关于在汽车客运站配备行包安检设备加强行包安检工作的通知》（交公路发[2008]136号）要求配置行包安全检查设备，每个</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站应配备至少两台行包安检设备，每个二、</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客运站应配备至少一台行包安检设备。行包安检设备必须具备易燃、易爆、危险品检查功能，工作期间保持运行。</w:t>
            </w:r>
          </w:p>
        </w:tc>
      </w:tr>
    </w:tbl>
    <w:p>
      <w:pPr>
        <w:widowControl/>
        <w:ind w:left="1440"/>
        <w:jc w:val="left"/>
        <w:rPr>
          <w:rFonts w:ascii="微软雅黑" w:hAnsi="微软雅黑" w:eastAsia="微软雅黑" w:cs="宋体"/>
          <w:color w:val="000000"/>
          <w:kern w:val="0"/>
          <w:sz w:val="27"/>
          <w:szCs w:val="27"/>
        </w:rPr>
      </w:pPr>
    </w:p>
    <w:p>
      <w:pPr>
        <w:widowControl/>
        <w:numPr>
          <w:ilvl w:val="0"/>
          <w:numId w:val="1"/>
        </w:numPr>
        <w:spacing w:before="100" w:beforeAutospacing="1" w:after="100" w:afterAutospacing="1"/>
        <w:jc w:val="left"/>
        <w:outlineLvl w:val="1"/>
        <w:rPr>
          <w:rFonts w:ascii="仿宋" w:hAnsi="仿宋" w:eastAsia="仿宋" w:cs="宋体"/>
          <w:b/>
          <w:bCs/>
          <w:color w:val="000000"/>
          <w:kern w:val="0"/>
          <w:sz w:val="36"/>
          <w:szCs w:val="36"/>
        </w:rPr>
      </w:pPr>
      <w:r>
        <w:rPr>
          <w:rFonts w:hint="eastAsia" w:ascii="仿宋" w:hAnsi="仿宋" w:eastAsia="仿宋" w:cs="宋体"/>
          <w:b/>
          <w:bCs/>
          <w:color w:val="000000"/>
          <w:kern w:val="0"/>
          <w:sz w:val="36"/>
          <w:szCs w:val="36"/>
        </w:rPr>
        <w:t>教育培训（合计80分）</w:t>
      </w: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培训管理（小计16分）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16分（要求：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14分，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12分，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10分）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企业应做好安全教育培训记录.建立从业人员安全教育培训档案</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１.未对安全教育培训做 好记录的每次【扣3分】. ２.安全教育培训档案、记录不准确的(培训时间、培训内容、主讲老师、参训人员、考核结果)每项【扣3分】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生产经营单位安全培训规定》第二十二条规定：生产经营单位应当建立健全从业人员安全生产教育和培训档案，由生产经营单位的安全生产管理机构以及安全生产管理人员详细、准确记录培训的时间、内容、参加人员以及考核结果等情况。</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资格培训（小计48分）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16分（要求：满分16分）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主要负责人和安全生产管理人员应具备与所从事的生产经营活动相适应的安全生产知识和安全生产管理能力.应由负有安全生产监督管理职责的部门对其安全生产知识和管理能力进行考核并达到合格.且每年应接受不少于国家或地方政府规定学时的再教育培训</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１.主要生产经营管理人员未经企业内部考核上岗.不得分. ２.主要负责人未按有关规定进行再培训的.不得分. ３.其他管理人员未经培训考核合格或未按有关规定进行再培训的.不得分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的主要负责人和安全生产管理人员，要组织、领导本单位的安全生产管理工作，并承担保证安全生产的责任，这就要求企业的主要负责人和安全生产管理人员必须具备与本单位所从事的生产经营活动相适应的安全生产知识，同时具有领导安全生产管理工作和处理生产安全事故的能力。法律法规要求必须对其安全生产知识和管理能力进行考核的，须经考核合格后方可任职。</w:t>
            </w:r>
          </w:p>
        </w:tc>
      </w:tr>
    </w:tbl>
    <w:p>
      <w:pPr>
        <w:widowControl/>
        <w:ind w:left="1440"/>
        <w:jc w:val="left"/>
        <w:rPr>
          <w:rFonts w:ascii="微软雅黑" w:hAnsi="微软雅黑" w:eastAsia="微软雅黑" w:cs="宋体"/>
          <w:color w:val="000000"/>
          <w:kern w:val="0"/>
          <w:sz w:val="27"/>
          <w:szCs w:val="27"/>
        </w:rPr>
      </w:pP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16分（要求：</w:t>
            </w:r>
            <w:r>
              <w:rPr>
                <w:rFonts w:hint="eastAsia" w:ascii="仿宋" w:hAnsi="仿宋" w:eastAsia="仿宋" w:cs="宋体"/>
                <w:kern w:val="0"/>
                <w:sz w:val="24"/>
                <w:szCs w:val="24"/>
                <w:lang w:eastAsia="zh-CN"/>
              </w:rPr>
              <w:t>示范级优秀级</w:t>
            </w:r>
            <w:r>
              <w:rPr>
                <w:rFonts w:hint="eastAsia" w:ascii="仿宋" w:hAnsi="仿宋" w:eastAsia="仿宋" w:cs="宋体"/>
                <w:kern w:val="0"/>
                <w:sz w:val="24"/>
                <w:szCs w:val="24"/>
              </w:rPr>
              <w:t>满分16分）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企业的特种设备作业人员应按有关规定参加安全教育培训.取得《特种设备作业人员证》后.方可从事相应的特种设备作业或者管理工作.并按规定定期进行复审</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１.特种设备作业人员未取得《特种设备作业人员证》的.或《特种设备作业人员证》未定期复审的不得分. ２.未建立特种设备作业人员台账的(内容包括岗位、姓名、特种设备作业人员证编号、初次取证时间、复审时间、有效期等).每人次【扣3分】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特种设备作业人员监督管理办法》第二条规定：锅炉、压力容器（含气瓶）、压力管道、电梯、起重机械、客运索道、大型游乐设施、场（厂）内机动车辆等特种设备的作业人员及其相关管理人员统称特种设备作业人员。特种设备作业人员作业种类与项目目录见本办法附件。从事特种设备作业的人员应当按照本办法的规定，经考核合格取得《特种设备作业人员证》，方可从事相应的作业或者管理工作。</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特种设备作业人员监督管理办法》第二十二条规定：《特种设备作业人员证》每4年复审一次。持证人员应当在复审期满3个月前，向发证部门提出复审申请。复审合格的，由发证部门在证书正本上签章。对在2年内无违规、违法等不良记录，并按时参加安全培训的，应当按照有关安全技术规范的规定延长复审期限。</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复审不合格的应当重新参加考试。逾期未申请复审或考试不合格的，其《特种设备作业人员证》予以注销。</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跨地区从业的特种设备作业人员，可以向从业所在地的发证部门申请复审。</w:t>
            </w:r>
          </w:p>
        </w:tc>
      </w:tr>
    </w:tbl>
    <w:p>
      <w:pPr>
        <w:widowControl/>
        <w:ind w:left="1440"/>
        <w:jc w:val="left"/>
        <w:rPr>
          <w:rFonts w:ascii="微软雅黑" w:hAnsi="微软雅黑" w:eastAsia="微软雅黑" w:cs="宋体"/>
          <w:color w:val="000000"/>
          <w:kern w:val="0"/>
          <w:sz w:val="27"/>
          <w:szCs w:val="27"/>
        </w:rPr>
      </w:pP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16分（要求：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14分，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12分，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10分）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的特种作业人员应经专门的安全技术培训并考核合格.取得《中华人民共和国特种作业操作证》后.方可上岗作业.并按规定定期进行复审.离开特种作业岗位６个月以上的特种作业人员.应重新进行实际操作考试.经确认合格后方可上岗作业</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１.特种作业人员未持证上岗或《特种作业操作证》到期未进行复审.每人【扣3分】. ２.离开特种作业岗位６个月以上的特种作业人员.未重新进行实际操作考试.经确认合格后上岗作业的每人【扣3分】. ３.未建立特种作业人员台账的(内容包括特种作业工种、姓名、特种作业操作证书编号、初次取证时间、复审时间、有效期 等).每缺１人【扣3分】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《中华人民共和国安全生产法》第二十七条规定：生产经营单位的特种作业人员必须按照国家有关规定经专门的安全作业培训，取得相应资格，方可上岗作业。</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特种作业人员的范围由国务院安全生产监督管理部门会同国务院有关部门确定。</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从业人员培训（小计16分）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16分（要求：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14分，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12分，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10分）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应对新员工进行</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安全教育培训.经考核合格后.方可上岗.培训时间不得少于规定学时</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１.未对新员工进行</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安全教育培训的.每人次【扣3分】. ２.存在</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安全教育培训考核不合格上岗员工的.每人次【扣3分】. ３.</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安全教育培训学 时少于２４学时的.每人次 【扣3分】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《生产经营单位安全培训规定》第十二条规定：加工、制造业等生产单位的其他从业人员，在上岗前必须经过厂（矿）、车间（工段、区、队）、班组</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安全培训教育。</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生产经营单位应当根据工作性质对其他从业人员进行安全培训，保证其具备本岗位安全操作、应急处置等知识和技能。</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《生产经营单位安全培训规定》第十三条规定：生产经营单位新上岗的从业人员，岗前安全培训时间不得少于24学时。</w:t>
            </w:r>
          </w:p>
        </w:tc>
      </w:tr>
    </w:tbl>
    <w:p>
      <w:pPr>
        <w:widowControl/>
        <w:ind w:left="1440"/>
        <w:jc w:val="left"/>
        <w:rPr>
          <w:rFonts w:ascii="微软雅黑" w:hAnsi="微软雅黑" w:eastAsia="微软雅黑" w:cs="宋体"/>
          <w:color w:val="000000"/>
          <w:kern w:val="0"/>
          <w:sz w:val="27"/>
          <w:szCs w:val="27"/>
        </w:rPr>
      </w:pPr>
    </w:p>
    <w:p>
      <w:pPr>
        <w:widowControl/>
        <w:numPr>
          <w:ilvl w:val="0"/>
          <w:numId w:val="1"/>
        </w:numPr>
        <w:spacing w:before="100" w:beforeAutospacing="1" w:after="100" w:afterAutospacing="1"/>
        <w:jc w:val="left"/>
        <w:outlineLvl w:val="1"/>
        <w:rPr>
          <w:rFonts w:ascii="仿宋" w:hAnsi="仿宋" w:eastAsia="仿宋" w:cs="宋体"/>
          <w:b/>
          <w:bCs/>
          <w:color w:val="000000"/>
          <w:kern w:val="0"/>
          <w:sz w:val="36"/>
          <w:szCs w:val="36"/>
        </w:rPr>
      </w:pPr>
      <w:r>
        <w:rPr>
          <w:rFonts w:hint="eastAsia" w:ascii="仿宋" w:hAnsi="仿宋" w:eastAsia="仿宋" w:cs="宋体"/>
          <w:b/>
          <w:bCs/>
          <w:color w:val="000000"/>
          <w:kern w:val="0"/>
          <w:sz w:val="36"/>
          <w:szCs w:val="36"/>
        </w:rPr>
        <w:t>作业管理（合计197分）</w:t>
      </w: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作业现场（小计33分）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33分（要求：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30分，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25分，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20分）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企业应严格执行操作规程和安全作业规定</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１.未建立从业人员“三违”行为检查处理记录的.【扣33分】. ２.岗位操作规程不符合安全管理要求或不符合企业实际情况的.【扣16分】. ３.操作规程或安全生产作业规定未严格执行的.【扣16分】. ５４.记录不连续的.【扣0分】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生产经营单位应当具备《安全生产法》和有关法律、行政法规和国家标准或者行业标准规定的安全生产条件；不具备安全生产条件的，不得从事生产经营活动。</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客运站应应加强生产现场监督检查，严格查处违章指挥、违章操作、违反劳动纪律的“三违”行为。</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相关方管理（小计66分）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33分（要求：满分33分）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企业应制定并落实三品(易燃、易爆、危禁品)查堵制度、防止“三品”进站上车的有效措施</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１.无“三品”查堵制度.不得分.“三品”制度要对岗位安全要求、工作职责、人员数量配置、操作要领进行规范. ２.无“三品”检查员岗位职责.不得分. ３.无“三品”检查工作流程或操作规程.不得分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“三品”指国家规定不能携带上车或托运的易燃、易爆、易腐蚀物品。客运站应建立危险品查堵制度，制定危险品检查工作程序，设立专门的危险品查堵岗位，在进站口等</w:t>
            </w:r>
            <w:r>
              <w:rPr>
                <w:rFonts w:hint="eastAsia" w:ascii="仿宋" w:hAnsi="仿宋" w:eastAsia="仿宋" w:cs="宋体"/>
                <w:kern w:val="0"/>
                <w:sz w:val="24"/>
                <w:szCs w:val="24"/>
                <w:lang w:eastAsia="zh-CN"/>
              </w:rPr>
              <w:t>关键环节</w:t>
            </w:r>
            <w:r>
              <w:rPr>
                <w:rFonts w:hint="eastAsia" w:ascii="仿宋" w:hAnsi="仿宋" w:eastAsia="仿宋" w:cs="宋体"/>
                <w:kern w:val="0"/>
                <w:sz w:val="24"/>
                <w:szCs w:val="24"/>
              </w:rPr>
              <w:t>对进站旅客携带的行李物品和托运行包进行安全检查，对查获的危险品要进行登记并妥善保管或者按规定处理。</w:t>
            </w:r>
          </w:p>
        </w:tc>
      </w:tr>
    </w:tbl>
    <w:p>
      <w:pPr>
        <w:widowControl/>
        <w:ind w:left="1440"/>
        <w:jc w:val="left"/>
        <w:rPr>
          <w:rFonts w:ascii="微软雅黑" w:hAnsi="微软雅黑" w:eastAsia="微软雅黑" w:cs="宋体"/>
          <w:color w:val="000000"/>
          <w:kern w:val="0"/>
          <w:sz w:val="27"/>
          <w:szCs w:val="27"/>
        </w:rPr>
      </w:pP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33分（要求：</w:t>
            </w:r>
            <w:r>
              <w:rPr>
                <w:rFonts w:hint="eastAsia" w:ascii="仿宋" w:hAnsi="仿宋" w:eastAsia="仿宋" w:cs="宋体"/>
                <w:kern w:val="0"/>
                <w:sz w:val="24"/>
                <w:szCs w:val="24"/>
                <w:lang w:eastAsia="zh-CN"/>
              </w:rPr>
              <w:t>示范级优秀级</w:t>
            </w:r>
            <w:r>
              <w:rPr>
                <w:rFonts w:hint="eastAsia" w:ascii="仿宋" w:hAnsi="仿宋" w:eastAsia="仿宋" w:cs="宋体"/>
                <w:kern w:val="0"/>
                <w:sz w:val="24"/>
                <w:szCs w:val="24"/>
              </w:rPr>
              <w:t>满分33分）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企业应制定三品检查工作程序.设立专门的“三品”查堵岗位.配有“三品”检查员.对进站旅客携带的行李物品和托运行包进行安全检查.对查获的三品要进行登记并按有关规定妥善处理.应做到三品不进站</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１.未制定“三品”检查工作程序的.【扣7分】.未设立“三品”查堵岗位.【扣7分】.未配有“三品”检查员.【扣7分】. ２.随机抽查.“三品”检查员对职责不熟悉.每人次【扣7分】. ３.无“三品”查处记录.【扣16分】.记录内容不清晰(对查获的三品流向登记不明确)、不连续(超过１ 天的)的.每项【扣7分】. ４.未对进站旅客携带的行李物品和托运行包进行安全检查.一次【扣3分】.未对查获的“三品”进行登记并按有关规定妥善处理.一次【扣3分】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汽车客运站应当制定三品检查工作程序，从三品检查工作准备、三品检查工作进行、三品检查工作中的特殊情况处理、三品检查工作交接等方面作详尽的描述和规定；在关键位置设置三品检查岗位，如候车厅、行包托运处等处，以醒目的标志提示旅客配合行包检查；根据客运站经营时间及业务量配备一定数量的三品检查员，明确其工作职责。三品检查员要求工作责任心强，具备三品检查技能，熟练三品检查操作，熟悉三品处理规定。</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车辆出站前检查（小计33分）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33分（要求：满分33分）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企业应制定并落实车辆出站检查制度.存在以下情况的客车不应发车出站: ａ.超载. ｂ.安全例检不合格.ｃ.驾驶员资格不符 合要求. ｄ.客车证件不齐全.ｅ.出站登记表未经 审核签字. ｆ.乘客和驾驶员不系安全带.或未经受检客车驾驶员签字确定</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１.未制定车辆出站检查制度的.不得分. ２.《汽车客运站车辆出站登记表》无记录.不得分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车辆出站前检查，是确保“六不出站”的客观要求，是客运站安全生产的关键环节。汽车客运站必须制定车辆出站检查制度，做到车辆出站前检查规范化。制度应以确保 “六不出站”为目标，设置工作流程，明确岗位责任，细化工作措施，还要专门制定针对在出站检查中发现有违反上述规定的处理措施。</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在制度落实上，客运站应做到人员落实、责任落实、措施落实，严格检查、严格监督、严格考核。</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站务管理（小计49分）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16分（要求：满分16分）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营运客车安全例检不合格的车辆.调度部门不应调度客车发班</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１.抽查发现在调度客车发班时.未对《安全例检合格通知单》进行检查的.不得分. ２.《安全例检合格通知单》不完备、填写不规范的.不得分. ３.营运客车安全例检不合格的车辆.调度部门仍调度客车发班的.不得分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安全例检合格通知单制度是保证“六不出站”的关键措施之一，客运站经营企业调度部门在调度客车发班时，对其“安全例检合格通知单”进行检查，确认完备有效后才准予报班。安全例检合格通知单的检查应核实检测车辆，是否与出站车辆相符；核对检测日期，是否处于有效期内；查看检测人员签字、检测机构签章，有无漏签，弄虚作假现象。</w:t>
            </w:r>
          </w:p>
        </w:tc>
      </w:tr>
    </w:tbl>
    <w:p>
      <w:pPr>
        <w:widowControl/>
        <w:ind w:left="1440"/>
        <w:jc w:val="left"/>
        <w:rPr>
          <w:rFonts w:ascii="微软雅黑" w:hAnsi="微软雅黑" w:eastAsia="微软雅黑" w:cs="宋体"/>
          <w:color w:val="000000"/>
          <w:kern w:val="0"/>
          <w:sz w:val="27"/>
          <w:szCs w:val="27"/>
        </w:rPr>
      </w:pP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33分（要求：满分33分）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企业班车每日运行里程超过４００ｋｍ(高速公路直达客运超过６００ｋｍ)的.按规定要求车辆配备两名以上驾驶员</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应严格对照车辆行驶记</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《道路旅客运输企业安全管理规范》第三十九条规定：客运企业应当严格遵守长途客运驾驶员配备要求：</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（一）单程运行里程超过400公里（高速公路直达客运超过600公里）的客运车辆应当配备2名及以上客运驾驶员；</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（二）实行接驳运输的，且接驳距离小于400公里（高速公路直达客运小于600公里）的，客运车辆运行过程中可只配备1名驾驶员，接驳点待换驾驶员视同出站随车驾驶员。</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火灾消防（小计16分）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16分（要求：满分16分）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２企业应按ＧＢ５０１４０、ＧＢ５００６７ 等标准规范的要求配备相应等级和危险类别的消防控制和火灾报警系统、消防给水系统、灭火系统等消防设备设施、器材.并设置消防安全标志.企业应按照有关规定对客运站建筑进行相应级别的防火设计</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１.防火设计不符合客运站建筑级别要求.不得分.２.安全消防设备及器材 不足或无效的.不得分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汽车客运站是旅客、加满油大客车密集的公共建筑，是火灾危险性较大的场所。旅客中又有老、弱、病、残、孕的人，而且携带行李，增加了疏散难度。公众集聚场所的防火分区是非常重要的，完好有效的防火分 区设施将保证火灾发生时，火灾蔓延将得到有效的控制，防火分区分横向分隔和纵向分隔，都有着不可取代的重要作用。汽车客运站分四级，1.2.3级的客运站防耐火等级不低于</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，4级客运站不低于</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w:t>
            </w:r>
          </w:p>
        </w:tc>
      </w:tr>
    </w:tbl>
    <w:p>
      <w:pPr>
        <w:widowControl/>
        <w:ind w:left="1440"/>
        <w:jc w:val="left"/>
        <w:rPr>
          <w:rFonts w:ascii="微软雅黑" w:hAnsi="微软雅黑" w:eastAsia="微软雅黑" w:cs="宋体"/>
          <w:color w:val="000000"/>
          <w:kern w:val="0"/>
          <w:sz w:val="27"/>
          <w:szCs w:val="27"/>
        </w:rPr>
      </w:pPr>
    </w:p>
    <w:p>
      <w:pPr>
        <w:widowControl/>
        <w:numPr>
          <w:ilvl w:val="0"/>
          <w:numId w:val="1"/>
        </w:numPr>
        <w:spacing w:before="100" w:beforeAutospacing="1" w:after="100" w:afterAutospacing="1"/>
        <w:jc w:val="left"/>
        <w:outlineLvl w:val="1"/>
        <w:rPr>
          <w:rFonts w:ascii="仿宋" w:hAnsi="仿宋" w:eastAsia="仿宋" w:cs="宋体"/>
          <w:b/>
          <w:bCs/>
          <w:color w:val="000000"/>
          <w:kern w:val="0"/>
          <w:sz w:val="36"/>
          <w:szCs w:val="36"/>
        </w:rPr>
      </w:pPr>
      <w:r>
        <w:rPr>
          <w:rFonts w:hint="eastAsia" w:ascii="仿宋" w:hAnsi="仿宋" w:eastAsia="仿宋" w:cs="宋体"/>
          <w:b/>
          <w:bCs/>
          <w:color w:val="000000"/>
          <w:kern w:val="0"/>
          <w:sz w:val="36"/>
          <w:szCs w:val="36"/>
        </w:rPr>
        <w:t>风险管理（合计39分）</w:t>
      </w: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一般要求（小计16分）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16分（要求：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14分，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12分，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10分）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企业应依法依规建立健全安全生产风险管理制度.开展本单位管理范围内的风险辨识、评估、管控等工作.落实重大风险登记、重大危险源报备责任.防范和减少安全生产事故</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１.未制定发布企业安全生产风险管理工作制度.内容不符合要求的.不得分. ２.无风险辨识、评估等 工作的记录.【扣7分】.不全 面或缺失.【扣3分】. ３.重大风险未登记或报 备.【扣3分】. ４.未开展重大危险源辨识、建档、报备和控制等工作.缺１项【扣3分】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依据《公路水路行业安全生产风险管理暂行办法》（交安监发【2017】60号）第三条明确要求：从事公路水路行业生产经营活动的企事业单位（以下简称生产经营单位）是安全生产风险管理的实施主体，应依法依规建立健全安全生产风险管理工作制度，开展本单位管理范围内的风险辨识、评估等工作，落实重大风险登记、重大危险源报备和控制责任，防范和减少安全生产事故。</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重大风险管控（小计23分）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16分（要求：</w:t>
            </w:r>
            <w:r>
              <w:rPr>
                <w:rFonts w:hint="eastAsia" w:ascii="仿宋" w:hAnsi="仿宋" w:eastAsia="仿宋" w:cs="宋体"/>
                <w:kern w:val="0"/>
                <w:sz w:val="24"/>
                <w:szCs w:val="24"/>
                <w:lang w:eastAsia="zh-CN"/>
              </w:rPr>
              <w:t>示范级优秀级</w:t>
            </w:r>
            <w:r>
              <w:rPr>
                <w:rFonts w:hint="eastAsia" w:ascii="仿宋" w:hAnsi="仿宋" w:eastAsia="仿宋" w:cs="宋体"/>
                <w:kern w:val="0"/>
                <w:sz w:val="24"/>
                <w:szCs w:val="24"/>
              </w:rPr>
              <w:t>满分16分）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企业对重大风险进行登记建档.设置重大风险监控系统.制定动态监测计划.并单独编制专项应急措施</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１.企业未建立重大风险登记档案.不得分.重大风险档案内容不全.【扣3分】. ２.重大风险监控系统填报不及时或不正确.【扣3分】. ３.未制定动态监测计划.不得分.计划不全面.【扣3分】. ４.无针对重大风险的专项应急措施.【扣7分】. ５.重大风险的专项应急措施不正确或不全面.每项【扣3分】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《公路水路行业安全生产风险管理暂行办法》（交安监发【2017】60号）第二十四条规定：生产经营单位应如实记录风险辨识、评估、监测、管控等工作，并规范管理档案。重大风险应单独建立清单和专项档案。</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第二十六条规定：（一）：对重大风险制定动态监测计划，定期更新监测数据或状态，每月不少于1次，并单独建档；（二）重大风险应单独编制专项应急措施；</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企业对确定认的重大风险都应按照规定登记建档。重大风险档案主要内容包括基本信息、管控信息、预警信息和事故信息等。</w:t>
            </w:r>
          </w:p>
        </w:tc>
      </w:tr>
    </w:tbl>
    <w:p>
      <w:pPr>
        <w:widowControl/>
        <w:ind w:left="1440"/>
        <w:jc w:val="left"/>
        <w:rPr>
          <w:rFonts w:ascii="微软雅黑" w:hAnsi="微软雅黑" w:eastAsia="微软雅黑" w:cs="宋体"/>
          <w:color w:val="000000"/>
          <w:kern w:val="0"/>
          <w:sz w:val="27"/>
          <w:szCs w:val="27"/>
        </w:rPr>
      </w:pP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7分（要求：满分7分）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企业应当将本单位重大风险有关信息通过公路水路行业安全生产风险管理信息系统进行登记.构成重大危险源的应向属地负有安全生产监督管理职责的交通运输管理部门备案</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１.应将本单位重大风险有关信息通过公路水路行业安全生产风险管理信息系统进行登记. ２.重大危险源的应通过系统向属地综合安全生产监督管理部门备案.或报送备案资料. ３.登记(含重大危险源报备.下同)信息应及时、准确、真实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公路水路行业安全生产风险管理暂行办法》（交安监发【2017】60号）第三十条规定：生产经营单位应当将本单位重大风险有关信息通过公路水路行业安全生产风险管理信息系统进行登记，构成重大危险源的应向属地综合安全生产监督管理部门备案。登记（含重大危险源报备，下同）信息应当及时、准确、真实。</w:t>
            </w:r>
          </w:p>
        </w:tc>
      </w:tr>
    </w:tbl>
    <w:p>
      <w:pPr>
        <w:widowControl/>
        <w:ind w:left="1440"/>
        <w:jc w:val="left"/>
        <w:rPr>
          <w:rFonts w:ascii="微软雅黑" w:hAnsi="微软雅黑" w:eastAsia="微软雅黑" w:cs="宋体"/>
          <w:color w:val="000000"/>
          <w:kern w:val="0"/>
          <w:sz w:val="27"/>
          <w:szCs w:val="27"/>
        </w:rPr>
      </w:pPr>
    </w:p>
    <w:p>
      <w:pPr>
        <w:widowControl/>
        <w:numPr>
          <w:ilvl w:val="0"/>
          <w:numId w:val="1"/>
        </w:numPr>
        <w:spacing w:before="100" w:beforeAutospacing="1" w:after="100" w:afterAutospacing="1"/>
        <w:jc w:val="left"/>
        <w:outlineLvl w:val="1"/>
        <w:rPr>
          <w:rFonts w:ascii="仿宋" w:hAnsi="仿宋" w:eastAsia="仿宋" w:cs="宋体"/>
          <w:b/>
          <w:bCs/>
          <w:color w:val="000000"/>
          <w:kern w:val="0"/>
          <w:sz w:val="36"/>
          <w:szCs w:val="36"/>
        </w:rPr>
      </w:pPr>
      <w:r>
        <w:rPr>
          <w:rFonts w:hint="eastAsia" w:ascii="仿宋" w:hAnsi="仿宋" w:eastAsia="仿宋" w:cs="宋体"/>
          <w:b/>
          <w:bCs/>
          <w:color w:val="000000"/>
          <w:kern w:val="0"/>
          <w:sz w:val="36"/>
          <w:szCs w:val="36"/>
        </w:rPr>
        <w:t>隐患排查和治理（合计80分）</w:t>
      </w: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隐患排查（小计48分）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16分（要求：满分16分）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企业应落实隐患排查治理和防控责任制.组织事故隐患排查治理工作.实行从隐患排查、记录、监控、治理、销账到报告的闭环管理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１.企业应制定隐患排查治理和防控制度. ２.企业应明确隐患排查治理的责任部门和人员. ３.制度应明确安全隐患排查、记录、监控、治理、销账和报告等闭环要求</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《安全生产法》</w:t>
            </w:r>
            <w:bookmarkStart w:id="1" w:name="_GoBack"/>
            <w:bookmarkEnd w:id="1"/>
            <w:r>
              <w:rPr>
                <w:rFonts w:hint="eastAsia" w:ascii="仿宋" w:hAnsi="仿宋" w:eastAsia="仿宋" w:cs="宋体"/>
                <w:kern w:val="0"/>
                <w:sz w:val="24"/>
                <w:szCs w:val="24"/>
              </w:rPr>
              <w:t>第三十八条规定：生产经营单位应当建立健全生产安全事故隐患排查治理制度，采取技术、管理措施，及时发现并消除事故隐患。</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公路水路行业安全生产隐患治理管理暂行办法》（交安监发【2017】60号）第九条规定：生产经营单位应当建立健全隐患排查、告知（预警）、整改、评估验收、报备、奖惩考核、建档等制度，逐级明确隐患治理责任，落实到具体岗位和人员。</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企业应依据有关法律法规、标准规范等，制定隐患排查治理和防控制度，实行从隐患排查、记录、监控、治理、销账到报告的闭环管理。</w:t>
            </w:r>
          </w:p>
        </w:tc>
      </w:tr>
    </w:tbl>
    <w:p>
      <w:pPr>
        <w:widowControl/>
        <w:ind w:left="1440"/>
        <w:jc w:val="left"/>
        <w:rPr>
          <w:rFonts w:ascii="微软雅黑" w:hAnsi="微软雅黑" w:eastAsia="微软雅黑" w:cs="宋体"/>
          <w:color w:val="000000"/>
          <w:kern w:val="0"/>
          <w:sz w:val="27"/>
          <w:szCs w:val="27"/>
        </w:rPr>
      </w:pP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16分（要求：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14分，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12分，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10分）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企业应依据有关法律法规、标准规范等.组织制定各部门、岗位、场所、设备设施的隐患排查治理标准或排查清单.明确隐患排查的时限、范围、内容和要求.并组 织开展相应的培训.隐患排查的范围应包括所有与生产经营相关的场所、人员、设备设施和活动.包括承包商和供应商等相关服务范围</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１.未组织制定各部门、岗位、场所、设备设施的隐患排查治理标准或排查清单.【扣7分】.缺１项.【扣2分】.２.未制定隐患排查方案.【扣3分】.隐患排查的时 限、范围、内容和要求缺１ 项.【扣2分】. ３.隐患排查的范围未包括所有与生产经营相关的场所、环境、人员、设备设施和活动.每缺１项【扣3分】. ４.无开展相应的培训的 计划和记录.【扣3分】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依据《安全生产事故隐患排查治理暂行规定》（国家安全生产监督管理总局令第16号）、《公路水路行业安全生产隐患治理管理暂行办法》（交安监发【2017】60号）要求，组织制定各部门、岗位、场所、设备设施的隐患排查治理标准或排查清单，明确隐患排查的时限、范围、内容和要求，并组织开展相应的培训。隐患排查的范围应包括所有与生产经营相关的场所、人员、设备设施和活动，包括承包商和供应商等相关服务范围。</w:t>
            </w:r>
          </w:p>
        </w:tc>
      </w:tr>
    </w:tbl>
    <w:p>
      <w:pPr>
        <w:widowControl/>
        <w:ind w:left="1440"/>
        <w:jc w:val="left"/>
        <w:rPr>
          <w:rFonts w:ascii="微软雅黑" w:hAnsi="微软雅黑" w:eastAsia="微软雅黑" w:cs="宋体"/>
          <w:color w:val="000000"/>
          <w:kern w:val="0"/>
          <w:sz w:val="27"/>
          <w:szCs w:val="27"/>
        </w:rPr>
      </w:pP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16分（要求：</w:t>
            </w:r>
            <w:r>
              <w:rPr>
                <w:rFonts w:hint="eastAsia" w:ascii="仿宋" w:hAnsi="仿宋" w:eastAsia="仿宋" w:cs="宋体"/>
                <w:kern w:val="0"/>
                <w:sz w:val="24"/>
                <w:szCs w:val="24"/>
                <w:lang w:eastAsia="zh-CN"/>
              </w:rPr>
              <w:t>示范级优秀级</w:t>
            </w:r>
            <w:r>
              <w:rPr>
                <w:rFonts w:hint="eastAsia" w:ascii="仿宋" w:hAnsi="仿宋" w:eastAsia="仿宋" w:cs="宋体"/>
                <w:kern w:val="0"/>
                <w:sz w:val="24"/>
                <w:szCs w:val="24"/>
              </w:rPr>
              <w:t>满分16分）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填写事故隐患排查记录.依据确定的隐患等级划分标准对发现或排查出的事故隐患进行判定.确定事故隐患等级并进行登记.形成事故隐患清单.企业应将重大事故隐患向属地负有安全生产监督管理职责的交通运输管理部门备案</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１.企业未制定本企业重 大隐患判定标准.【扣7分】. ２.未依据确定的隐患等级划分标准对发现或排查出的事故隐患进行判定.【扣3分】. ３.未确定事故隐患等级并进行登记.形成事故隐患清单.【扣7分】. ４.无重大事故隐患向属地负有安全生产监督管理职责的交通运输管理部门备案记录.【扣7分】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应根据《公路水路行业安全生产隐患治理管理暂行办法》（交安监发【2017】60号）中重大隐患的判定原则，制定企业重大隐患判定标准，依据确定的隐患等级划分标准对发现或排查出的事故隐患进行判定，确定事故隐患等级并进行登记，形成事故隐患清单。</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企业应通过系统将重大事故隐患向属地负有安全生产监督管理职责的交通运输管理部门备案。</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隐患治理（小计32分）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16分（要求：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14分，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12分，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10分）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对于重大事故隐患.企业主要负责人组织制定专项隐患治理整改方案.并确保整改措施、责任、资金、时限和预案“五到位”.整改方案应包括: ａ.整改的目标和任务. ｂ.整改方案和整改期的安全保障措施. ｃ.经费和物资保障措施. ｄ.整改责任部门和人员. ｅ.整改时限及节点要求. ｆ.应急处置措施. ｇ.跟踪督办及验收部门和人员</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１.未组织制定专项隐患 治理整改方案.缺１项【扣3分】. ２.整改专项方案不符合 要求.每处【扣3分】. ３.无“五到位”的记录和证据.【扣3分】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 xml:space="preserve">《公路水路行业安全生产隐患治理管理暂行办法》（交安监发【2017】60号）第二十二条 重大隐患整改应制定专项方案，包括以下内容： </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（一）整改的目标和任务；</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（二）整改技术方案和整改期的安全保障措施；</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（三）经费和物资保障措施；</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（四）整改责任部门和人员；</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（五）整改时限及节点要求；</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（六）应急处置措施；</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（七）跟踪督办及验收部门和人员。</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安全生产事故隐患排查治理暂行规定》（国家安全生产监督管理总局令第16号）规定：企业应当按照国家有关规定将本单位重大危险源及有关安全措施、应急措施，报负有安全生产监督管理的部门和有关部门备案</w:t>
            </w:r>
            <w:r>
              <w:rPr>
                <w:rFonts w:hint="eastAsia" w:ascii="Microsoft Yi Baiti" w:hAnsi="Microsoft Yi Baiti" w:eastAsia="Microsoft Yi Baiti" w:cs="Microsoft Yi Baiti"/>
                <w:kern w:val="0"/>
                <w:sz w:val="24"/>
                <w:szCs w:val="24"/>
              </w:rPr>
              <w:t>ꎬ</w:t>
            </w:r>
            <w:r>
              <w:rPr>
                <w:rFonts w:hint="eastAsia" w:ascii="仿宋" w:hAnsi="仿宋" w:eastAsia="仿宋" w:cs="仿宋"/>
                <w:kern w:val="0"/>
                <w:sz w:val="24"/>
                <w:szCs w:val="24"/>
              </w:rPr>
              <w:t>做到整</w:t>
            </w:r>
            <w:r>
              <w:rPr>
                <w:rFonts w:hint="eastAsia" w:ascii="仿宋" w:hAnsi="仿宋" w:eastAsia="仿宋" w:cs="宋体"/>
                <w:kern w:val="0"/>
                <w:sz w:val="24"/>
                <w:szCs w:val="24"/>
              </w:rPr>
              <w:t>改措施、责任、资金、时限和预案“五到位”。</w:t>
            </w:r>
          </w:p>
        </w:tc>
      </w:tr>
    </w:tbl>
    <w:p>
      <w:pPr>
        <w:widowControl/>
        <w:ind w:left="1440"/>
        <w:jc w:val="left"/>
        <w:rPr>
          <w:rFonts w:ascii="微软雅黑" w:hAnsi="微软雅黑" w:eastAsia="微软雅黑" w:cs="宋体"/>
          <w:color w:val="000000"/>
          <w:kern w:val="0"/>
          <w:sz w:val="27"/>
          <w:szCs w:val="27"/>
        </w:rPr>
      </w:pP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16分（要求：满分16分）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事故隐患整改完成后.企业应按规定进行验证或组织验收.出具整改验收结论.并签字确认.重大事故隐患整改验收通过的.企业应将验收结论向属地负有安全生产监督管理职责的交通运输管理部门报备.并申请销号</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１.一般隐患整改完成后.生产经营单位应组织验收. ２.应有整改验收结论记录. ３.验收主要负责人应签字确认. ４.重大事故隐患整改验收通过的.企业应将验收结论向属地负有安全生产监督管理职责的交通运输管理部门报备资料. ５.应有销号申请记录. ６.报备申请材料应包括:重大隐患基本情况及整改方案.重大隐患整改过程.验收机构或验收组基本情 况.验收报告及结论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《公路水路行业安全生产隐患治理管理暂行办法》（交安监发【2017】60号）第二十条规定：一般隐患整改完成后，应由生产经营单位组织验收，出具整改验收结论，并由验收主要负责人签字确认。第二十四条 重大隐患整改验收通过的，生产经营单位应将验收结论向属地负有安全生产监督管理职责的交通运输管理部门报备，并申请销号。</w:t>
            </w:r>
          </w:p>
        </w:tc>
      </w:tr>
    </w:tbl>
    <w:p>
      <w:pPr>
        <w:widowControl/>
        <w:ind w:left="1440"/>
        <w:jc w:val="left"/>
        <w:rPr>
          <w:rFonts w:ascii="微软雅黑" w:hAnsi="微软雅黑" w:eastAsia="微软雅黑" w:cs="宋体"/>
          <w:color w:val="000000"/>
          <w:kern w:val="0"/>
          <w:sz w:val="27"/>
          <w:szCs w:val="27"/>
        </w:rPr>
      </w:pPr>
    </w:p>
    <w:p>
      <w:pPr>
        <w:widowControl/>
        <w:numPr>
          <w:ilvl w:val="0"/>
          <w:numId w:val="1"/>
        </w:numPr>
        <w:spacing w:before="100" w:beforeAutospacing="1" w:after="100" w:afterAutospacing="1"/>
        <w:jc w:val="left"/>
        <w:outlineLvl w:val="1"/>
        <w:rPr>
          <w:rFonts w:ascii="仿宋" w:hAnsi="仿宋" w:eastAsia="仿宋" w:cs="宋体"/>
          <w:b/>
          <w:bCs/>
          <w:color w:val="000000"/>
          <w:kern w:val="0"/>
          <w:sz w:val="36"/>
          <w:szCs w:val="36"/>
        </w:rPr>
      </w:pPr>
      <w:r>
        <w:rPr>
          <w:rFonts w:hint="eastAsia" w:ascii="仿宋" w:hAnsi="仿宋" w:eastAsia="仿宋" w:cs="宋体"/>
          <w:b/>
          <w:bCs/>
          <w:color w:val="000000"/>
          <w:kern w:val="0"/>
          <w:sz w:val="36"/>
          <w:szCs w:val="36"/>
        </w:rPr>
        <w:t>职业健康（合计16分）</w:t>
      </w: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健康管理（小计16分）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16分（要求：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14分，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12分，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10分）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企业应按规定对存在或者可能产生职业病危害的工作场所、作业岗位、设备、设施设置警示标识和中文警示说明</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１.对存在严重职业危害的作业岗位未设置标志和说明的.不得分.缺少标志和说明的.每处【扣2分】.标志和说明内容(含职业危害的种类、后果、预防以及应急救治措施等)不全的.每处【扣2分】. ２.产生职业病危害的用 人单位.未在醒目位置设置公告栏.公布有关职业病防治的规章制度、操作规程、职业病危害事故应急救援措施和工作场所职业病危害因素检测结果的.每处【扣2分】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中华人民共和国职业病防治法》第二十四条规定：产生职业病危害的用人单位，应当在醒目位置设置公告栏，公布有关职业病防治的规章制度、操作规程、职业病危害事故应急救援措施和工作场所职业病危害因素检测结果。</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对产生严重职业病危害的作业岗位，应当在其醒目位置，设置警示标识和中文警示说明。警示说明应当载明产生职业病危害的种类、后果、预防以及应急救治措施等内容。</w:t>
            </w:r>
          </w:p>
        </w:tc>
      </w:tr>
    </w:tbl>
    <w:p>
      <w:pPr>
        <w:widowControl/>
        <w:ind w:left="1440"/>
        <w:jc w:val="left"/>
        <w:rPr>
          <w:rFonts w:ascii="微软雅黑" w:hAnsi="微软雅黑" w:eastAsia="微软雅黑" w:cs="宋体"/>
          <w:color w:val="000000"/>
          <w:kern w:val="0"/>
          <w:sz w:val="27"/>
          <w:szCs w:val="27"/>
        </w:rPr>
      </w:pPr>
    </w:p>
    <w:p>
      <w:pPr>
        <w:widowControl/>
        <w:numPr>
          <w:ilvl w:val="0"/>
          <w:numId w:val="1"/>
        </w:numPr>
        <w:spacing w:before="100" w:beforeAutospacing="1" w:after="100" w:afterAutospacing="1"/>
        <w:jc w:val="left"/>
        <w:outlineLvl w:val="1"/>
        <w:rPr>
          <w:rFonts w:ascii="仿宋" w:hAnsi="仿宋" w:eastAsia="仿宋" w:cs="宋体"/>
          <w:b/>
          <w:bCs/>
          <w:color w:val="000000"/>
          <w:kern w:val="0"/>
          <w:sz w:val="36"/>
          <w:szCs w:val="36"/>
        </w:rPr>
      </w:pPr>
      <w:r>
        <w:rPr>
          <w:rFonts w:hint="eastAsia" w:ascii="仿宋" w:hAnsi="仿宋" w:eastAsia="仿宋" w:cs="宋体"/>
          <w:b/>
          <w:bCs/>
          <w:color w:val="000000"/>
          <w:kern w:val="0"/>
          <w:sz w:val="36"/>
          <w:szCs w:val="36"/>
        </w:rPr>
        <w:t>安全文化（合计32分）</w:t>
      </w: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安全环境（小计16分）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16分（要求：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14分，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12分，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10分）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公开安全生产举报电话号码、通信地址或者电子邮件信箱.对接到的安全生产举报和投诉及时予以调查和处理.并公开处理结果</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１.无安全生产举报投诉 制度.【扣7分】. ２.没有公开安全生产举 报投诉渠道.【扣7分】. ３.对接到的安全生产举报和投诉未及时调查和处理或处理结果未公开的.每次【扣2分】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加强对安全生产违法违规行为监督管理对于减少和杜绝安全生产“三违”行为有着十分重要意义。企业要充分发挥广大职工的参与作用，依法维护和落实企业职工对安全生产的参与权与监督权，鼓励职工监督举报各类安全隐患，对处理结果要及时公开，起到警示警醒的作用。</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安全行为（小计16分）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16分（要求：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满分16分）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企业应建立包括安全价值观、安全愿景、安全使命和安全目标等在内的安全承诺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１.企业未开展安全承诺 活动.【扣16分】. ２.未签订安全承诺书. 【扣3分】. ３.相关人员不了解安全承诺内容的.每人次【扣2分】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本条所称“安全承诺”是指由企业公开做出的、代表了全体员工在关注安全和追求安全绩效方面所具有的稳定意愿及实践行动的明确表示。安全承诺就是兑现落实安全生产责任，并通过公开承诺这种形式约束和规范自身的行为，接受政府、社会和从业人员的监督。</w:t>
            </w:r>
          </w:p>
        </w:tc>
      </w:tr>
    </w:tbl>
    <w:p>
      <w:pPr>
        <w:widowControl/>
        <w:ind w:left="1440"/>
        <w:jc w:val="left"/>
        <w:rPr>
          <w:rFonts w:ascii="微软雅黑" w:hAnsi="微软雅黑" w:eastAsia="微软雅黑" w:cs="宋体"/>
          <w:color w:val="000000"/>
          <w:kern w:val="0"/>
          <w:sz w:val="27"/>
          <w:szCs w:val="27"/>
        </w:rPr>
      </w:pPr>
    </w:p>
    <w:p>
      <w:pPr>
        <w:widowControl/>
        <w:numPr>
          <w:ilvl w:val="0"/>
          <w:numId w:val="1"/>
        </w:numPr>
        <w:spacing w:before="100" w:beforeAutospacing="1" w:after="100" w:afterAutospacing="1"/>
        <w:jc w:val="left"/>
        <w:outlineLvl w:val="1"/>
        <w:rPr>
          <w:rFonts w:ascii="仿宋" w:hAnsi="仿宋" w:eastAsia="仿宋" w:cs="宋体"/>
          <w:b/>
          <w:bCs/>
          <w:color w:val="000000"/>
          <w:kern w:val="0"/>
          <w:sz w:val="36"/>
          <w:szCs w:val="36"/>
        </w:rPr>
      </w:pPr>
      <w:r>
        <w:rPr>
          <w:rFonts w:hint="eastAsia" w:ascii="仿宋" w:hAnsi="仿宋" w:eastAsia="仿宋" w:cs="宋体"/>
          <w:b/>
          <w:bCs/>
          <w:color w:val="000000"/>
          <w:kern w:val="0"/>
          <w:sz w:val="36"/>
          <w:szCs w:val="36"/>
        </w:rPr>
        <w:t>应急管理（合计114分）</w:t>
      </w: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预案制定（小计49分）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33分（要求：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30分，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25分，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20分）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企业应在开展安全风险评估和应急资源调查的基础上.建立生产安全事故应急预案体系.制定符合ＧＢ/Ｔ２９６３９—２０１３规定 的生产安全事故应急预案.针对安全风险较大的重点场所(设施)制定现场处置方案.并编制重点岗位、人员应急处置卡</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１.未编制安全风险评估和应急资源调查报告.【扣3分】. ２.生产安全事故应急预 案体系不全.每项【扣7分】. ３.现场处置方案不全. 每项【扣7分】. ４.重点岗位、人员应急处置卡不全.或处置卡信息不完整.每项【扣3分】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生产安全事故应急救援预案，是指生产经营单位根据本单位的实际情况，针对可能发生的事故的类别、性质、特点和范围等情况制定的事故发生时的组织、技术措施和其他应急措施。</w:t>
            </w:r>
          </w:p>
        </w:tc>
      </w:tr>
    </w:tbl>
    <w:p>
      <w:pPr>
        <w:widowControl/>
        <w:ind w:left="1440"/>
        <w:jc w:val="left"/>
        <w:rPr>
          <w:rFonts w:ascii="微软雅黑" w:hAnsi="微软雅黑" w:eastAsia="微软雅黑" w:cs="宋体"/>
          <w:color w:val="000000"/>
          <w:kern w:val="0"/>
          <w:sz w:val="27"/>
          <w:szCs w:val="27"/>
        </w:rPr>
      </w:pP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16分（要求：</w:t>
            </w:r>
            <w:r>
              <w:rPr>
                <w:rFonts w:hint="eastAsia" w:ascii="仿宋" w:hAnsi="仿宋" w:eastAsia="仿宋" w:cs="宋体"/>
                <w:kern w:val="0"/>
                <w:sz w:val="24"/>
                <w:szCs w:val="24"/>
                <w:lang w:eastAsia="zh-CN"/>
              </w:rPr>
              <w:t>示范级优秀级</w:t>
            </w:r>
            <w:r>
              <w:rPr>
                <w:rFonts w:hint="eastAsia" w:ascii="仿宋" w:hAnsi="仿宋" w:eastAsia="仿宋" w:cs="宋体"/>
                <w:kern w:val="0"/>
                <w:sz w:val="24"/>
                <w:szCs w:val="24"/>
              </w:rPr>
              <w:t>满分16分）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企业应组织开展应急预案评审或论证.并定期进行评估和修订</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１.未将应急预案执行情况纳入企业安全生产标准化定期评审制度.【扣16分】. ２.未按规定对应急预案 进行定期评审.【扣16分】. ３.未根据评审情况对预 案进行修改完善.【扣10分】. ４.查相关记录.应急预案修订未向事先报备或通报的单位或部门报告.【扣7分】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根据《企业安全生产标准化基本规范》和《生产安全事故应急预案管理办法》，应急预案应定期评审，并根据评审结果或实际情况的变化进行修订和完善，至少每三年修订一次,预案修订情况应有记录并归档。</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应急物资（小计16分）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189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16分（要求：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14分，</w:t>
            </w:r>
            <w:r>
              <w:rPr>
                <w:rFonts w:hint="eastAsia" w:ascii="仿宋" w:hAnsi="仿宋" w:eastAsia="仿宋" w:cs="宋体"/>
                <w:kern w:val="0"/>
                <w:sz w:val="24"/>
                <w:szCs w:val="24"/>
                <w:lang w:eastAsia="zh-CN"/>
              </w:rPr>
              <w:t>优秀级</w:t>
            </w:r>
            <w:r>
              <w:rPr>
                <w:rFonts w:hint="eastAsia" w:ascii="仿宋" w:hAnsi="仿宋" w:eastAsia="仿宋" w:cs="宋体"/>
                <w:kern w:val="0"/>
                <w:sz w:val="24"/>
                <w:szCs w:val="24"/>
              </w:rPr>
              <w:t>12分，</w:t>
            </w:r>
            <w:r>
              <w:rPr>
                <w:rFonts w:hint="eastAsia" w:ascii="仿宋" w:hAnsi="仿宋" w:eastAsia="仿宋" w:cs="宋体"/>
                <w:kern w:val="0"/>
                <w:sz w:val="24"/>
                <w:szCs w:val="24"/>
                <w:lang w:eastAsia="zh-CN"/>
              </w:rPr>
              <w:t>良好级</w:t>
            </w:r>
            <w:r>
              <w:rPr>
                <w:rFonts w:hint="eastAsia" w:ascii="仿宋" w:hAnsi="仿宋" w:eastAsia="仿宋" w:cs="宋体"/>
                <w:kern w:val="0"/>
                <w:sz w:val="24"/>
                <w:szCs w:val="24"/>
              </w:rPr>
              <w:t>10分）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企业应根据可能发生的事故种类特点.按照有关规定设置应急设施.配备应急装备.储备应急物资</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１.未按规定配备相应的救援应急物资和装备.【扣16分】. ２.未及时配置和更新应急物资.每缺少１项【扣2分】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应急装备是指用于应急管理与应急救援的工具、器材、服装、技术力量等。</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《企业安全生产标准化基本规范》规定：企业应按规定建立应急设施，配备应急装备。</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应急演练（小计33分）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33分（要求：满分33分）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Ｔ企业应按照ＡＱ/９００７《生产安全事故应急演练指南》的规定定期组织公司(厂)、车间(工段、区、队、船、项目部)、班组开展生产安全事故应急演练.做到一线从业人员参与应急演练全覆盖</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１.应按规定制定应急预案演练计划.并印发. ２.应按计划开展应急演练.并保留应急演练记录.应急演练记录.应完整、齐全.真实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应急预案演练是指针对可能发生的事故、按照应急预案规定的程序和要求所进行的程序化模拟训练演练。</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生产安全事故应急预案管理办法》规定：生产经营单位应当制定本单位的应急预案演练计划，根据本单位的事故预防重点，每年至少组织一次综合应急预案演练或者专项应急预案演练，每半年至少组织一次现场处置方案演练。</w:t>
            </w:r>
          </w:p>
        </w:tc>
      </w:tr>
    </w:tbl>
    <w:p>
      <w:pPr>
        <w:widowControl/>
        <w:ind w:left="1440"/>
        <w:jc w:val="left"/>
        <w:rPr>
          <w:rFonts w:ascii="微软雅黑" w:hAnsi="微软雅黑" w:eastAsia="微软雅黑" w:cs="宋体"/>
          <w:color w:val="000000"/>
          <w:kern w:val="0"/>
          <w:sz w:val="27"/>
          <w:szCs w:val="27"/>
        </w:rPr>
      </w:pP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应急评估（小计16分）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16分（要求：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满分16分）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企业应对应急准备、应急处置工作进行评估</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１.未制定应急准备、应急处置评估相关规定.【扣7分】. ２.未按计划开展应急准备/应急处置评估.评估报告内容不全.【扣3~10分】. ３.应急准备、应急处置评估记录、问题整改记录等.不全.缺１项.【扣2分】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应急准备评估是对政府、生产经营单位的应急管理机构、应急预案编制、应急培训、应急演练、应急队伍、应急资源等进行评估，以确保其具备相应的应急准备能力、保存其持续改进机制，并形成书面报告的活动。</w:t>
            </w:r>
          </w:p>
        </w:tc>
      </w:tr>
    </w:tbl>
    <w:p>
      <w:pPr>
        <w:widowControl/>
        <w:numPr>
          <w:ilvl w:val="0"/>
          <w:numId w:val="1"/>
        </w:numPr>
        <w:spacing w:before="100" w:beforeAutospacing="1" w:after="100" w:afterAutospacing="1"/>
        <w:jc w:val="left"/>
        <w:outlineLvl w:val="1"/>
        <w:rPr>
          <w:rFonts w:ascii="仿宋" w:hAnsi="仿宋" w:eastAsia="仿宋" w:cs="宋体"/>
          <w:b/>
          <w:bCs/>
          <w:color w:val="000000"/>
          <w:kern w:val="0"/>
          <w:sz w:val="36"/>
          <w:szCs w:val="36"/>
        </w:rPr>
      </w:pPr>
      <w:r>
        <w:rPr>
          <w:rFonts w:hint="eastAsia" w:ascii="仿宋" w:hAnsi="仿宋" w:eastAsia="仿宋" w:cs="宋体"/>
          <w:b/>
          <w:bCs/>
          <w:color w:val="000000"/>
          <w:kern w:val="0"/>
          <w:sz w:val="36"/>
          <w:szCs w:val="36"/>
        </w:rPr>
        <w:t>事故报告调查处理（合计32分）</w:t>
      </w:r>
    </w:p>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事故报告（小计16分）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16分（要求：满分16分）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发生事故.企业应及时进行事故现场处置.按相关规定及时、如实向有关部门报告.没有瞒报、谎报、迟报情况.并应跟踪事故发展情况.及时续报事故信息</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１.制定安全生产事故报告的规定.应责任明确、内容完善、满足规定要求. ２.事故发生后.现场负责人应迅速采取有效措施.组织抢救.防止事故扩大.减少人员伤亡和财产损失. ３.及时、准确、如实向有关部门报告.没有瞒报、谎 报、迟报情况. ４.事故报告应包括下列内容:事故发生概况.事故发生时间、地点以及事故现场情况.事故简要经过.事故已造成或者可能造成的伤亡人数(包括失踪的人数)、水域环境污染情况下、初步估计的直接经济损失.已经采取的措施等</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企业必须在及时妥善应对处置事故同时，严格按照规定上报事故情况。</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“迟报”是指报告事故的时间超过规定时限；</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 xml:space="preserve">“漏报”是指因过失对应当上报的事故或者事故发生的时间、地点、类别、伤亡人数、直接经济损失等内容遗漏未报； </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 xml:space="preserve">“谎报”是指故意不如实报告事故发生的时间、地点、类别、伤亡人数、直接经济损失等有关内容； </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“瞒报”是指故意隐瞒已经发生的事故，并经有关部门查证属实。</w:t>
            </w:r>
          </w:p>
        </w:tc>
      </w:tr>
    </w:tbl>
    <w:p>
      <w:pPr>
        <w:widowControl/>
        <w:numPr>
          <w:ilvl w:val="1"/>
          <w:numId w:val="1"/>
        </w:numPr>
        <w:spacing w:before="100" w:beforeAutospacing="1" w:after="100" w:afterAutospacing="1"/>
        <w:jc w:val="left"/>
        <w:outlineLvl w:val="2"/>
        <w:rPr>
          <w:rFonts w:ascii="仿宋" w:hAnsi="仿宋" w:eastAsia="仿宋" w:cs="宋体"/>
          <w:b/>
          <w:bCs/>
          <w:color w:val="000000"/>
          <w:kern w:val="0"/>
          <w:sz w:val="27"/>
          <w:szCs w:val="27"/>
        </w:rPr>
      </w:pPr>
      <w:r>
        <w:rPr>
          <w:rFonts w:hint="eastAsia" w:ascii="仿宋" w:hAnsi="仿宋" w:eastAsia="仿宋" w:cs="宋体"/>
          <w:b/>
          <w:bCs/>
          <w:color w:val="000000"/>
          <w:kern w:val="0"/>
          <w:sz w:val="27"/>
          <w:szCs w:val="27"/>
        </w:rPr>
        <w:t>事故调查处理（小计16分）</w:t>
      </w:r>
    </w:p>
    <w:tbl>
      <w:tblPr>
        <w:tblStyle w:val="6"/>
        <w:tblW w:w="0" w:type="auto"/>
        <w:tblInd w:w="24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00"/>
        <w:gridCol w:w="131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分值</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16分（要求：</w:t>
            </w:r>
            <w:r>
              <w:rPr>
                <w:rFonts w:hint="eastAsia" w:ascii="仿宋" w:hAnsi="仿宋" w:eastAsia="仿宋" w:cs="宋体"/>
                <w:kern w:val="0"/>
                <w:sz w:val="24"/>
                <w:szCs w:val="24"/>
                <w:lang w:eastAsia="zh-CN"/>
              </w:rPr>
              <w:t>示范级</w:t>
            </w:r>
            <w:r>
              <w:rPr>
                <w:rFonts w:hint="eastAsia" w:ascii="仿宋" w:hAnsi="仿宋" w:eastAsia="仿宋" w:cs="宋体"/>
                <w:kern w:val="0"/>
                <w:sz w:val="24"/>
                <w:szCs w:val="24"/>
              </w:rPr>
              <w:t>满分16分）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要点</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企业应按“四不放过”原则严肃查处事故.严格追究责任领导和相关责任人.处理结果报上级主管部门备案</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说明</w:t>
            </w:r>
          </w:p>
        </w:tc>
        <w:tc>
          <w:tcPr>
            <w:tcW w:w="0" w:type="auto"/>
            <w:tcBorders>
              <w:top w:val="outset" w:color="auto" w:sz="6" w:space="0"/>
              <w:left w:val="outset" w:color="auto" w:sz="6" w:space="0"/>
              <w:bottom w:val="outset" w:color="auto" w:sz="6" w:space="0"/>
              <w:right w:val="outset" w:color="auto" w:sz="6" w:space="0"/>
            </w:tcBorders>
            <w:vAlign w:val="center"/>
          </w:tcPr>
          <w:p>
            <w:pPr>
              <w:widowControl/>
              <w:spacing w:after="120"/>
              <w:jc w:val="left"/>
              <w:rPr>
                <w:rFonts w:ascii="仿宋" w:hAnsi="仿宋" w:eastAsia="仿宋" w:cs="宋体"/>
                <w:kern w:val="0"/>
                <w:sz w:val="24"/>
                <w:szCs w:val="24"/>
              </w:rPr>
            </w:pPr>
            <w:r>
              <w:rPr>
                <w:rFonts w:hint="eastAsia" w:ascii="仿宋" w:hAnsi="仿宋" w:eastAsia="仿宋" w:cs="宋体"/>
                <w:kern w:val="0"/>
                <w:sz w:val="24"/>
                <w:szCs w:val="24"/>
              </w:rPr>
              <w:t>１.制定完善的安全生产事故责任追究办法.且印发实施.未制定【扣16分】.未 发放【扣3分】. ２.针对已经发生的安全生产事故.按“四不放过”原则对责任领导和相关责任人实施责任追究和处理.追责处理不到位的.【扣3~10分】. ３.处理结果按规定报有关主管部门备案.未报有 关部门备案.【扣10分】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600" w:type="dxa"/>
            <w:tcBorders>
              <w:top w:val="outset" w:color="auto" w:sz="6" w:space="0"/>
              <w:left w:val="outset" w:color="auto" w:sz="6" w:space="0"/>
              <w:bottom w:val="outset" w:color="auto" w:sz="6" w:space="0"/>
              <w:right w:val="outset" w:color="auto" w:sz="6" w:space="0"/>
            </w:tcBorders>
            <w:noWrap/>
            <w:vAlign w:val="center"/>
          </w:tcPr>
          <w:p>
            <w:pPr>
              <w:widowControl/>
              <w:spacing w:after="120"/>
              <w:jc w:val="left"/>
              <w:rPr>
                <w:rFonts w:ascii="仿宋" w:hAnsi="仿宋" w:eastAsia="仿宋" w:cs="宋体"/>
                <w:b/>
                <w:bCs/>
                <w:kern w:val="0"/>
                <w:sz w:val="24"/>
                <w:szCs w:val="24"/>
              </w:rPr>
            </w:pPr>
            <w:r>
              <w:rPr>
                <w:rFonts w:hint="eastAsia" w:ascii="仿宋" w:hAnsi="仿宋" w:eastAsia="仿宋" w:cs="宋体"/>
                <w:b/>
                <w:bCs/>
                <w:kern w:val="0"/>
                <w:sz w:val="24"/>
                <w:szCs w:val="24"/>
              </w:rPr>
              <w:t>指引</w:t>
            </w:r>
          </w:p>
        </w:tc>
        <w:tc>
          <w:tcPr>
            <w:tcW w:w="0" w:type="auto"/>
            <w:tcBorders>
              <w:top w:val="outset" w:color="auto" w:sz="6" w:space="0"/>
              <w:left w:val="outset" w:color="auto" w:sz="6" w:space="0"/>
              <w:bottom w:val="outset" w:color="auto" w:sz="6" w:space="0"/>
              <w:right w:val="outset" w:color="auto" w:sz="6" w:space="0"/>
            </w:tcBorders>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hAnsi="仿宋" w:eastAsia="仿宋" w:cs="宋体"/>
                <w:kern w:val="0"/>
                <w:sz w:val="24"/>
                <w:szCs w:val="24"/>
              </w:rPr>
            </w:pPr>
            <w:r>
              <w:rPr>
                <w:rFonts w:hint="eastAsia" w:ascii="仿宋" w:hAnsi="仿宋" w:eastAsia="仿宋" w:cs="宋体"/>
                <w:kern w:val="0"/>
                <w:sz w:val="24"/>
                <w:szCs w:val="24"/>
              </w:rPr>
              <w:t>查事故档案和事故调查相关记录，看企业按照“四不放过”（事故原因未查清不放过，责任人员未处理不放过，整改措施未落实不放过，有关人员未受到教育不放过）原则进行整改情况。</w:t>
            </w:r>
          </w:p>
        </w:tc>
      </w:tr>
    </w:tbl>
    <w:p>
      <w:pPr>
        <w:widowControl/>
        <w:jc w:val="left"/>
      </w:pPr>
    </w:p>
    <w:sectPr>
      <w:pgSz w:w="16838" w:h="11906" w:orient="landscape"/>
      <w:pgMar w:top="1600" w:right="1440" w:bottom="1266"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roma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微软雅黑">
    <w:altName w:val="方正黑体_GBK"/>
    <w:panose1 w:val="020B0503020204020204"/>
    <w:charset w:val="86"/>
    <w:family w:val="swiss"/>
    <w:pitch w:val="default"/>
    <w:sig w:usb0="00000000" w:usb1="00000000" w:usb2="00000016" w:usb3="00000000" w:csb0="0004001F" w:csb1="00000000"/>
  </w:font>
  <w:font w:name="Microsoft Yi Baiti">
    <w:altName w:val="DejaVu Math TeX Gyre"/>
    <w:panose1 w:val="03000500000000000000"/>
    <w:charset w:val="00"/>
    <w:family w:val="script"/>
    <w:pitch w:val="default"/>
    <w:sig w:usb0="00000000" w:usb1="00000000" w:usb2="00080002" w:usb3="00000000" w:csb0="00000001" w:csb1="00000000"/>
  </w:font>
  <w:font w:name="DejaVu Math TeX Gyre">
    <w:panose1 w:val="02000503000000000000"/>
    <w:charset w:val="00"/>
    <w:family w:val="auto"/>
    <w:pitch w:val="default"/>
    <w:sig w:usb0="A10000EF" w:usb1="4201F9EE" w:usb2="02000000" w:usb3="00000000" w:csb0="60000193" w:csb1="0DD40000"/>
  </w:font>
  <w:font w:name="Noto Sans Yi">
    <w:panose1 w:val="020B0502040504020204"/>
    <w:charset w:val="00"/>
    <w:family w:val="auto"/>
    <w:pitch w:val="default"/>
    <w:sig w:usb0="00000003" w:usb1="00050000" w:usb2="0008001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6724C02"/>
    <w:multiLevelType w:val="multilevel"/>
    <w:tmpl w:val="46724C02"/>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yMGUxNWJlZjk2ODY1ZDdiNDI3ZjYyZDMyZGE2MzYifQ=="/>
  </w:docVars>
  <w:rsids>
    <w:rsidRoot w:val="0DE2529D"/>
    <w:rsid w:val="0B3C7C36"/>
    <w:rsid w:val="0DE2529D"/>
    <w:rsid w:val="15C40F54"/>
    <w:rsid w:val="2BAD2B97"/>
    <w:rsid w:val="36FB1360"/>
    <w:rsid w:val="5C607CC7"/>
    <w:rsid w:val="6C651955"/>
    <w:rsid w:val="79D7343E"/>
    <w:rsid w:val="DEAE686A"/>
    <w:rsid w:val="FFFEF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spacing w:after="120"/>
      <w:ind w:left="200" w:leftChars="200" w:firstLine="420" w:firstLineChars="200"/>
    </w:pPr>
    <w:rPr>
      <w:rFonts w:ascii="Times New Roman"/>
    </w:rPr>
  </w:style>
  <w:style w:type="paragraph" w:styleId="3">
    <w:name w:val="Body Text Indent"/>
    <w:basedOn w:val="1"/>
    <w:qFormat/>
    <w:uiPriority w:val="0"/>
    <w:pPr>
      <w:ind w:left="420"/>
    </w:pPr>
    <w:rPr>
      <w:rFonts w:ascii="仿宋_GB2312" w:eastAsia="仿宋_GB2312"/>
      <w:sz w:val="32"/>
    </w:rPr>
  </w:style>
  <w:style w:type="paragraph" w:styleId="5">
    <w:name w:val="HTML Preformatted"/>
    <w:basedOn w:val="1"/>
    <w:qFormat/>
    <w:uiPriority w:val="0"/>
    <w:pPr>
      <w:shd w:val="clear" w:fill="E0EC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textAlignment w:val="top"/>
    </w:pPr>
    <w:rPr>
      <w:rFonts w:hint="eastAsia" w:ascii="宋体" w:hAnsi="宋体" w:eastAsia="宋体" w:cs="宋体"/>
      <w:kern w:val="0"/>
      <w:sz w:val="24"/>
      <w:szCs w:val="24"/>
      <w:lang w:val="en-US" w:eastAsia="zh-CN" w:bidi="ar"/>
    </w:rPr>
  </w:style>
  <w:style w:type="paragraph" w:customStyle="1" w:styleId="8">
    <w:name w:val="列出段落"/>
    <w:basedOn w:val="1"/>
    <w:qFormat/>
    <w:uiPriority w:val="0"/>
    <w:pPr>
      <w:ind w:firstLine="420" w:firstLineChars="200"/>
    </w:pPr>
    <w:rPr>
      <w:rFonts w:ascii="Times New Roman" w:hAnsi="Times New Roman"/>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16131</Words>
  <Characters>16407</Characters>
  <Lines>0</Lines>
  <Paragraphs>0</Paragraphs>
  <TotalTime>5</TotalTime>
  <ScaleCrop>false</ScaleCrop>
  <LinksUpToDate>false</LinksUpToDate>
  <CharactersWithSpaces>16568</CharactersWithSpaces>
  <Application>WPS Office_11.8.2.12019_F1E327BC-269C-435d-A152-05C5408002CA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2023-08-10T11:01:00Z</dcterms:created>
  <dc:creator>江延影</dc:creator>
  <cp:lastModifiedBy>admin</cp:lastModifiedBy>
  <dcterms:modified xsi:type="dcterms:W3CDTF">2026-06-04T17:30:24Z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2052-11.8.2.12019</vt:lpwstr>
  </property>
  <property fmtid="{D5CDD505-2E9C-101B-9397-08002B2CF9AE}" pid="3" name="ICV">
    <vt:lpwstr>AC669D6F37614E8697A773F803CA4D34_13</vt:lpwstr>
  </property>
</Properties>
</file>