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Times New Roman" w:hAnsi="Times New Roman" w:eastAsia="方正小标宋简体" w:cs="Times New Roman"/>
          <w:color w:val="auto"/>
          <w:kern w:val="0"/>
          <w:sz w:val="44"/>
          <w:szCs w:val="44"/>
          <w:lang w:val="en-US" w:eastAsia="zh-CN"/>
        </w:rPr>
      </w:pPr>
      <w:r>
        <w:rPr>
          <w:rFonts w:hint="default" w:ascii="宋体" w:hAnsi="宋体" w:eastAsia="宋体" w:cs="Times New Roman"/>
          <w:b/>
          <w:bCs/>
          <w:color w:val="000000"/>
          <w:kern w:val="0"/>
          <w:sz w:val="40"/>
          <w:szCs w:val="40"/>
          <w:lang w:val="en-US" w:eastAsia="zh-CN" w:bidi="ar-SA"/>
        </w:rPr>
        <w:t>道路</w:t>
      </w:r>
      <w:r>
        <w:rPr>
          <w:rFonts w:hint="eastAsia" w:ascii="宋体" w:hAnsi="宋体" w:eastAsia="宋体" w:cs="Times New Roman"/>
          <w:b/>
          <w:bCs/>
          <w:color w:val="000000"/>
          <w:kern w:val="0"/>
          <w:sz w:val="40"/>
          <w:szCs w:val="40"/>
          <w:lang w:val="en-US" w:eastAsia="zh-CN" w:bidi="ar-SA"/>
        </w:rPr>
        <w:t>普通货物</w:t>
      </w:r>
      <w:r>
        <w:rPr>
          <w:rFonts w:hint="default" w:ascii="宋体" w:hAnsi="宋体" w:eastAsia="宋体" w:cs="Times New Roman"/>
          <w:b/>
          <w:bCs/>
          <w:color w:val="000000"/>
          <w:kern w:val="0"/>
          <w:sz w:val="40"/>
          <w:szCs w:val="40"/>
          <w:lang w:val="en-US" w:eastAsia="zh-CN" w:bidi="ar-SA"/>
        </w:rPr>
        <w:t>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安全生产标准化达标自评指南（试行）</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p>
    <w:p>
      <w:pPr>
        <w:pStyle w:val="9"/>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9"/>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eastAsia="宋体"/>
          <w:sz w:val="28"/>
          <w:szCs w:val="36"/>
          <w:lang w:val="en-US" w:eastAsia="zh-CN"/>
        </w:rPr>
      </w:pPr>
      <w:r>
        <w:rPr>
          <w:rFonts w:hint="default" w:ascii="宋体" w:hAnsi="宋体" w:eastAsia="宋体" w:cs="Times New Roman"/>
          <w:b/>
          <w:bCs/>
          <w:color w:val="000000"/>
          <w:kern w:val="0"/>
          <w:sz w:val="40"/>
          <w:szCs w:val="40"/>
          <w:lang w:val="en-US" w:eastAsia="zh-CN" w:bidi="ar-SA"/>
        </w:rPr>
        <w:t>道路</w:t>
      </w:r>
      <w:r>
        <w:rPr>
          <w:rFonts w:hint="eastAsia" w:ascii="宋体" w:hAnsi="宋体" w:eastAsia="宋体" w:cs="Times New Roman"/>
          <w:b/>
          <w:bCs/>
          <w:color w:val="000000"/>
          <w:kern w:val="0"/>
          <w:sz w:val="40"/>
          <w:szCs w:val="40"/>
          <w:lang w:val="en-US" w:eastAsia="zh-CN" w:bidi="ar-SA"/>
        </w:rPr>
        <w:t>普通货物</w:t>
      </w:r>
      <w:r>
        <w:rPr>
          <w:rFonts w:hint="default" w:ascii="宋体" w:hAnsi="宋体" w:eastAsia="宋体" w:cs="Times New Roman"/>
          <w:b/>
          <w:bCs/>
          <w:color w:val="000000"/>
          <w:kern w:val="0"/>
          <w:sz w:val="40"/>
          <w:szCs w:val="40"/>
          <w:lang w:val="en-US" w:eastAsia="zh-CN" w:bidi="ar-SA"/>
        </w:rPr>
        <w:t>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w:t>
      </w:r>
    </w:p>
    <w:tbl>
      <w:tblPr>
        <w:tblStyle w:val="12"/>
        <w:tblW w:w="14020" w:type="dxa"/>
        <w:tblInd w:w="0" w:type="dxa"/>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Layout w:type="fixed"/>
        <w:tblCellMar>
          <w:top w:w="15" w:type="dxa"/>
          <w:left w:w="15" w:type="dxa"/>
          <w:bottom w:w="15" w:type="dxa"/>
          <w:right w:w="15" w:type="dxa"/>
        </w:tblCellMar>
      </w:tblPr>
      <w:tblGrid>
        <w:gridCol w:w="881"/>
        <w:gridCol w:w="659"/>
        <w:gridCol w:w="3209"/>
        <w:gridCol w:w="3982"/>
        <w:gridCol w:w="1200"/>
        <w:gridCol w:w="1956"/>
        <w:gridCol w:w="1155"/>
        <w:gridCol w:w="978"/>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543" w:hRule="atLeast"/>
          <w:tblHeader/>
        </w:trPr>
        <w:tc>
          <w:tcPr>
            <w:tcW w:w="881"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内容</w:t>
            </w:r>
          </w:p>
        </w:tc>
        <w:tc>
          <w:tcPr>
            <w:tcW w:w="3868" w:type="dxa"/>
            <w:gridSpan w:val="2"/>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要点</w:t>
            </w:r>
          </w:p>
        </w:tc>
        <w:tc>
          <w:tcPr>
            <w:tcW w:w="3982" w:type="dxa"/>
            <w:tcBorders>
              <w:tl2br w:val="nil"/>
              <w:tr2bl w:val="nil"/>
            </w:tcBorders>
            <w:shd w:val="clear" w:color="auto" w:fill="auto"/>
            <w:noWrap/>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highlight w:val="none"/>
                <w:lang w:val="en-US" w:eastAsia="zh-CN" w:bidi="ar"/>
              </w:rPr>
              <w:t>规范索引</w:t>
            </w:r>
          </w:p>
        </w:tc>
        <w:tc>
          <w:tcPr>
            <w:tcW w:w="1200"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标准分值</w:t>
            </w:r>
          </w:p>
        </w:tc>
        <w:tc>
          <w:tcPr>
            <w:tcW w:w="1956"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建设标准</w:t>
            </w:r>
          </w:p>
        </w:tc>
        <w:tc>
          <w:tcPr>
            <w:tcW w:w="1155" w:type="dxa"/>
            <w:tcBorders>
              <w:tl2br w:val="nil"/>
              <w:tr2bl w:val="nil"/>
            </w:tcBorders>
            <w:shd w:val="clear" w:color="auto" w:fill="auto"/>
            <w:tcMar>
              <w:top w:w="30" w:type="dxa"/>
              <w:left w:w="90" w:type="dxa"/>
              <w:bottom w:w="30" w:type="dxa"/>
              <w:right w:w="90" w:type="dxa"/>
            </w:tcMar>
            <w:vAlign w:val="center"/>
          </w:tcPr>
          <w:p>
            <w:pPr>
              <w:widowControl/>
              <w:jc w:val="center"/>
              <w:rPr>
                <w:rFonts w:hint="eastAsia" w:asciiTheme="minorEastAsia" w:hAnsiTheme="minorEastAsia" w:eastAsiaTheme="minorEastAsia" w:cstheme="minorEastAsia"/>
                <w:b/>
                <w:bCs/>
                <w:kern w:val="0"/>
                <w:sz w:val="21"/>
                <w:szCs w:val="21"/>
                <w:lang w:val="en-US" w:eastAsia="zh-CN" w:bidi="ar-SA"/>
              </w:rPr>
            </w:pPr>
            <w:r>
              <w:rPr>
                <w:rFonts w:hint="eastAsia" w:asciiTheme="minorEastAsia" w:hAnsiTheme="minorEastAsia" w:cstheme="minorEastAsia"/>
                <w:b/>
                <w:bCs/>
                <w:kern w:val="0"/>
                <w:szCs w:val="21"/>
              </w:rPr>
              <w:t>评价记录</w:t>
            </w:r>
          </w:p>
        </w:tc>
        <w:tc>
          <w:tcPr>
            <w:tcW w:w="978" w:type="dxa"/>
            <w:tcBorders>
              <w:tl2br w:val="nil"/>
              <w:tr2bl w:val="nil"/>
            </w:tcBorders>
            <w:shd w:val="clear" w:color="auto" w:fill="auto"/>
            <w:tcMar>
              <w:top w:w="30" w:type="dxa"/>
              <w:left w:w="90" w:type="dxa"/>
              <w:bottom w:w="30" w:type="dxa"/>
              <w:right w:w="90" w:type="dxa"/>
            </w:tcMar>
            <w:vAlign w:val="center"/>
          </w:tcPr>
          <w:p>
            <w:pPr>
              <w:widowControl/>
              <w:jc w:val="center"/>
              <w:rPr>
                <w:rFonts w:hint="eastAsia" w:asciiTheme="minorEastAsia" w:hAnsiTheme="minorEastAsia" w:eastAsiaTheme="minorEastAsia" w:cstheme="minorEastAsia"/>
                <w:b/>
                <w:bCs/>
                <w:kern w:val="0"/>
                <w:sz w:val="21"/>
                <w:szCs w:val="21"/>
                <w:lang w:val="en-US" w:eastAsia="zh-CN" w:bidi="ar-SA"/>
              </w:rPr>
            </w:pPr>
            <w:r>
              <w:rPr>
                <w:rFonts w:hint="eastAsia" w:asciiTheme="minorEastAsia" w:hAnsiTheme="minorEastAsia" w:cstheme="minorEastAsia"/>
                <w:b/>
                <w:bCs/>
                <w:kern w:val="0"/>
                <w:szCs w:val="21"/>
              </w:rPr>
              <w:t>得分</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目标与考核</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1.1 </w:t>
            </w:r>
            <w:r>
              <w:rPr>
                <w:rFonts w:hint="eastAsia" w:ascii="Times New Roman" w:hAnsi="Times New Roman" w:eastAsia="宋体" w:cs="Times New Roman"/>
                <w:color w:val="auto"/>
                <w:kern w:val="0"/>
                <w:sz w:val="22"/>
                <w:szCs w:val="22"/>
                <w:lang w:val="en-US" w:eastAsia="zh-CN" w:bidi="ar"/>
              </w:rPr>
              <w:t>目标（15分）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企业应结合实际制定安全生产目标。安全生产目标应： 符合或严于相关法律法规要求； 形成文件，并得到本企业所有从业人员的贯彻和实施； 与企业的职业安全健康风险相适应；具有可考核性，体现企业持续改进的承诺</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安全生产目标是指在一定条件下，一定时间内完成安全活动所达到的某一预期目的的指标。安全生产目标的制定应切合企业实际，要求内容明确，并可制定出具体的、量化的安全考核指标</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企业应根据安全生产目标制定可考核的安全生产工作指标，指标应不低于上级下达的目标</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安全生产目标应以文件形式正式发布，使全体员工和相关方获知</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制定符合要求的安全生产目标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安全生产目标</w:t>
            </w: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正式发布、贯彻和实施</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eastAsiaTheme="minorEastAsia" w:cstheme="minorEastAsia"/>
                <w:bCs/>
                <w:sz w:val="22"/>
                <w:szCs w:val="22"/>
              </w:rPr>
              <w:t>企业应将安全生产工作指标进行细化和分解</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制定安全生产年度计划</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lang w:eastAsia="zh-CN"/>
              </w:rPr>
            </w:pPr>
            <w:r>
              <w:rPr>
                <w:rFonts w:hint="eastAsia" w:asciiTheme="minorEastAsia" w:hAnsiTheme="minorEastAsia" w:cstheme="minorEastAsia"/>
                <w:bCs/>
                <w:sz w:val="22"/>
                <w:szCs w:val="22"/>
                <w:lang w:val="en-US" w:eastAsia="zh-CN"/>
              </w:rPr>
              <w:t>1.</w:t>
            </w:r>
            <w:r>
              <w:rPr>
                <w:rFonts w:hint="eastAsia" w:asciiTheme="minorEastAsia" w:hAnsiTheme="minorEastAsia" w:eastAsiaTheme="minorEastAsia" w:cstheme="minorEastAsia"/>
                <w:bCs/>
                <w:sz w:val="22"/>
                <w:szCs w:val="22"/>
              </w:rPr>
              <w:t>企业</w:t>
            </w:r>
            <w:r>
              <w:rPr>
                <w:rFonts w:hint="eastAsia" w:asciiTheme="minorEastAsia" w:hAnsiTheme="minorEastAsia" w:cstheme="minorEastAsia"/>
                <w:bCs/>
                <w:sz w:val="22"/>
                <w:szCs w:val="22"/>
                <w:lang w:val="en-US" w:eastAsia="zh-CN"/>
              </w:rPr>
              <w:t>应将</w:t>
            </w:r>
            <w:r>
              <w:rPr>
                <w:rFonts w:hint="eastAsia" w:asciiTheme="minorEastAsia" w:hAnsiTheme="minorEastAsia" w:eastAsiaTheme="minorEastAsia" w:cstheme="minorEastAsia"/>
                <w:bCs/>
                <w:sz w:val="22"/>
                <w:szCs w:val="22"/>
              </w:rPr>
              <w:t>年度的安全生产目标逐级细化分解，落实到每个单位、部门、班组或岗位。通过对指标进行考核，以激励全体职工的积极性，从而保证指标的完成</w:t>
            </w:r>
            <w:r>
              <w:rPr>
                <w:rFonts w:hint="eastAsia" w:asciiTheme="minorEastAsia" w:hAnsiTheme="minorEastAsia" w:cstheme="minorEastAsia"/>
                <w:bCs/>
                <w:sz w:val="22"/>
                <w:szCs w:val="2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cstheme="minorEastAsia"/>
                <w:bCs/>
                <w:sz w:val="22"/>
                <w:szCs w:val="22"/>
                <w:lang w:val="en-US" w:eastAsia="zh-CN"/>
              </w:rPr>
              <w:t>2.</w:t>
            </w:r>
            <w:r>
              <w:rPr>
                <w:rFonts w:hint="eastAsia" w:asciiTheme="minorEastAsia" w:hAnsiTheme="minorEastAsia" w:eastAsiaTheme="minorEastAsia" w:cstheme="minorEastAsia"/>
                <w:bCs/>
                <w:sz w:val="22"/>
                <w:szCs w:val="22"/>
              </w:rPr>
              <w:t>企业每年年初应在上一年度生产安全管理取得成果的基础之上，针对生产安全过程中存在的不足制定本年度的生产安全年度计划</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进一步细化工作，使其更具有正对性和操做性</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bCs/>
                <w:kern w:val="2"/>
                <w:sz w:val="22"/>
                <w:szCs w:val="22"/>
                <w:lang w:val="en-US" w:eastAsia="zh-CN" w:bidi="ar-SA"/>
              </w:rPr>
            </w:pPr>
            <w:r>
              <w:rPr>
                <w:rFonts w:hint="eastAsia" w:asciiTheme="minorEastAsia" w:hAnsiTheme="minorEastAsia" w:cstheme="minorEastAsia"/>
                <w:bCs/>
                <w:kern w:val="2"/>
                <w:sz w:val="22"/>
                <w:szCs w:val="22"/>
                <w:lang w:val="en-US" w:eastAsia="zh-CN" w:bidi="ar-SA"/>
              </w:rPr>
              <w:t>1.</w:t>
            </w:r>
            <w:r>
              <w:rPr>
                <w:rFonts w:hint="default" w:asciiTheme="minorEastAsia" w:hAnsiTheme="minorEastAsia" w:eastAsiaTheme="minorEastAsia" w:cstheme="minorEastAsia"/>
                <w:bCs/>
                <w:kern w:val="2"/>
                <w:sz w:val="22"/>
                <w:szCs w:val="22"/>
                <w:lang w:val="en-US" w:eastAsia="zh-CN" w:bidi="ar-SA"/>
              </w:rPr>
              <w:t>未细化和分解安全生产工作指标</w:t>
            </w:r>
            <w:r>
              <w:rPr>
                <w:rFonts w:hint="eastAsia" w:asciiTheme="minorEastAsia" w:hAnsiTheme="minorEastAsia" w:cstheme="minorEastAsia"/>
                <w:bCs/>
                <w:kern w:val="2"/>
                <w:sz w:val="22"/>
                <w:szCs w:val="22"/>
                <w:lang w:val="en-US" w:eastAsia="zh-CN" w:bidi="ar-SA"/>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eastAsiaTheme="minorEastAsia"/>
                <w:sz w:val="22"/>
                <w:szCs w:val="22"/>
                <w:lang w:val="en-US" w:eastAsia="zh-CN"/>
              </w:rPr>
            </w:pPr>
            <w:r>
              <w:rPr>
                <w:rFonts w:hint="eastAsia"/>
                <w:sz w:val="22"/>
                <w:szCs w:val="22"/>
                <w:lang w:val="en-US" w:eastAsia="zh-CN"/>
              </w:rPr>
              <w:t>2.</w:t>
            </w:r>
            <w:r>
              <w:rPr>
                <w:rFonts w:hint="eastAsia"/>
                <w:sz w:val="22"/>
                <w:szCs w:val="22"/>
              </w:rPr>
              <w:t>未制定安全生产年度计划</w:t>
            </w:r>
            <w:r>
              <w:rPr>
                <w:rFonts w:hint="eastAsia"/>
                <w:sz w:val="22"/>
                <w:szCs w:val="22"/>
                <w:lang w:eastAsia="zh-CN"/>
              </w:rPr>
              <w:t>，</w:t>
            </w:r>
            <w:r>
              <w:rPr>
                <w:rFonts w:hint="eastAsia"/>
                <w:sz w:val="22"/>
                <w:szCs w:val="22"/>
                <w:lang w:val="en-US" w:eastAsia="zh-CN"/>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2考核（5分）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企业应建立安全生产目标考核与奖惩的相关制度，并定期对安全生产目标完成情况予以考核与奖惩</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要结合实际，按照组织机构及下属单位在安全生产中可能面临的风险大小，将企业年度的安全生产目标逐级细化分解，落实到公司、部门、岗位。通过对指标进行考核，以激励全体员工的积极性，从而保证指标的完成</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70C0"/>
                <w:kern w:val="0"/>
                <w:sz w:val="22"/>
                <w:szCs w:val="22"/>
                <w:lang w:val="en-US" w:eastAsia="zh-CN" w:bidi="ar"/>
              </w:rPr>
              <w:t xml:space="preserve">★ </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未对指标完成情况进行考核或考核不完整不合理的，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未进行考核的，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二、</w:t>
            </w:r>
            <w:r>
              <w:rPr>
                <w:rFonts w:hint="default" w:ascii="Times New Roman" w:hAnsi="Times New Roman" w:eastAsia="宋体" w:cs="Times New Roman"/>
                <w:color w:val="auto"/>
                <w:kern w:val="0"/>
                <w:sz w:val="22"/>
                <w:szCs w:val="22"/>
                <w:lang w:val="en-US" w:eastAsia="zh-CN" w:bidi="ar"/>
              </w:rPr>
              <w:t xml:space="preserve"> 机构设置与职责 </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2.1 机构设置及人员配备</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企业应建立以企业主要负责人为领导的安全生产委员会（或安全生产领导小组），并应职责明确。应建立健全从安全生产委员会（或安全生产领导小组）至基层班组的安全生产管理网络</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委员会（或者领导小组），负责统一领导本企业的安全生产工作，决策企业安全生产的重大问题。安委会主任（或领导小组组长）应当由企业安全生产第一责任人担任。安委会（或领导小组）应当建立工作制度和例会制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企业安全生产委员会(领导小组)应包括主要负责人、分管负责人和各管理部门及分支机构负责人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1.未以文件形式成立安全生产委员会（或者领导小组），并未明确职责的，不符合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2.安全生产委员会（或者领导小组）成员未包括主要负责人、部门负责人等相关人员的，不符合；4.未建立安全生产管理网络图或者覆盖不全的，不符合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2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②</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按规定设置与企业规模相适应且独立的安全生产管理机构</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企业注册有20辆车以上的，应设置安全管理机构。</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sz w:val="22"/>
                <w:szCs w:val="22"/>
                <w:lang w:val="en-US" w:eastAsia="zh-CN"/>
              </w:rPr>
              <w:t>1.</w:t>
            </w:r>
            <w:r>
              <w:rPr>
                <w:rFonts w:hint="default" w:ascii="Times New Roman" w:hAnsi="Times New Roman" w:eastAsia="宋体" w:cs="Times New Roman"/>
                <w:color w:val="auto"/>
                <w:sz w:val="22"/>
                <w:szCs w:val="22"/>
              </w:rPr>
              <w:t>未设置安全</w:t>
            </w:r>
            <w:r>
              <w:rPr>
                <w:rFonts w:hint="default" w:ascii="Times New Roman" w:hAnsi="Times New Roman" w:eastAsia="宋体" w:cs="Times New Roman"/>
                <w:color w:val="auto"/>
                <w:sz w:val="22"/>
                <w:szCs w:val="22"/>
                <w:lang w:val="en-US" w:eastAsia="zh-CN"/>
              </w:rPr>
              <w:t>生产</w:t>
            </w:r>
            <w:r>
              <w:rPr>
                <w:rFonts w:hint="default" w:ascii="Times New Roman" w:hAnsi="Times New Roman" w:eastAsia="宋体" w:cs="Times New Roman"/>
                <w:color w:val="auto"/>
                <w:sz w:val="22"/>
                <w:szCs w:val="22"/>
              </w:rPr>
              <w:t>管理机构</w:t>
            </w:r>
            <w:r>
              <w:rPr>
                <w:rFonts w:hint="default" w:ascii="Times New Roman" w:hAnsi="Times New Roman" w:eastAsia="宋体" w:cs="Times New Roman"/>
                <w:color w:val="auto"/>
                <w:sz w:val="22"/>
                <w:szCs w:val="22"/>
                <w:lang w:val="en-US" w:eastAsia="zh-CN"/>
              </w:rPr>
              <w:t>或未配备专职安全管理人员</w:t>
            </w:r>
            <w:r>
              <w:rPr>
                <w:rFonts w:hint="default" w:ascii="Times New Roman" w:hAnsi="Times New Roman" w:eastAsia="宋体" w:cs="Times New Roman"/>
                <w:color w:val="auto"/>
                <w:sz w:val="22"/>
                <w:szCs w:val="22"/>
              </w:rPr>
              <w:t>，</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r>
              <w:rPr>
                <w:rFonts w:hint="default" w:ascii="Times New Roman" w:hAnsi="Times New Roman" w:eastAsia="宋体" w:cs="Times New Roman"/>
                <w:color w:val="auto"/>
                <w:sz w:val="22"/>
                <w:szCs w:val="22"/>
                <w:lang w:val="en-US" w:eastAsia="zh-CN"/>
              </w:rPr>
              <w:t>未明确</w:t>
            </w:r>
            <w:r>
              <w:rPr>
                <w:rFonts w:hint="default" w:ascii="Times New Roman" w:hAnsi="Times New Roman" w:eastAsia="宋体" w:cs="Times New Roman"/>
                <w:color w:val="auto"/>
                <w:sz w:val="22"/>
                <w:szCs w:val="22"/>
              </w:rPr>
              <w:t>安全管理机构设置</w:t>
            </w:r>
            <w:r>
              <w:rPr>
                <w:rFonts w:hint="default" w:ascii="Times New Roman" w:hAnsi="Times New Roman" w:eastAsia="宋体" w:cs="Times New Roman"/>
                <w:color w:val="auto"/>
                <w:sz w:val="22"/>
                <w:szCs w:val="22"/>
                <w:lang w:val="en-US" w:eastAsia="zh-CN"/>
              </w:rPr>
              <w:t>职责</w:t>
            </w:r>
            <w:r>
              <w:rPr>
                <w:rFonts w:hint="default" w:ascii="Times New Roman" w:hAnsi="Times New Roman" w:eastAsia="宋体" w:cs="Times New Roman"/>
                <w:color w:val="auto"/>
                <w:sz w:val="22"/>
                <w:szCs w:val="22"/>
              </w:rPr>
              <w:t>的，</w:t>
            </w:r>
            <w:r>
              <w:rPr>
                <w:rFonts w:hint="eastAsia" w:ascii="Times New Roman" w:hAnsi="Times New Roman" w:eastAsia="宋体" w:cs="Times New Roman"/>
                <w:color w:val="auto"/>
                <w:sz w:val="22"/>
                <w:szCs w:val="22"/>
                <w:lang w:eastAsia="zh-CN"/>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企业应定期召开安全生产委员会或安全生产领导小组会议。安全生产管理机构或下属分支机构每月至少召开一次安全工作例会</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企业应当定期召开安全生产工作会议和安全例会。安全生产工作会议至少 每季度召开1次，研究解决安全生产中的重大问题，安排部署阶段性安全生产工作。安全例会至少每月召开1次，通报和布置落实各项安全生产工作。</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遇有特殊情况和发生重、特大事故时应及时召开安全分析通报会议。安委会会议和安全例会应当有会议记录，会议记录应建档保存至少3年</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未建立工作制度和例会制度的，</w:t>
            </w:r>
            <w:r>
              <w:rPr>
                <w:rFonts w:hint="default" w:ascii="Times New Roman" w:hAnsi="Times New Roman" w:eastAsia="宋体" w:cs="Times New Roman"/>
                <w:color w:val="000000" w:themeColor="text1"/>
                <w:sz w:val="22"/>
                <w:szCs w:val="22"/>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2.</w:t>
            </w:r>
            <w:r>
              <w:rPr>
                <w:rFonts w:hint="default" w:ascii="Times New Roman" w:hAnsi="Times New Roman" w:eastAsia="宋体" w:cs="Times New Roman"/>
                <w:color w:val="000000" w:themeColor="text1"/>
                <w:sz w:val="22"/>
                <w:szCs w:val="22"/>
                <w14:textFill>
                  <w14:solidFill>
                    <w14:schemeClr w14:val="tx1"/>
                  </w14:solidFill>
                </w14:textFill>
              </w:rPr>
              <w:t>未定期召开安全专题会的，不分；</w:t>
            </w:r>
            <w:r>
              <w:rPr>
                <w:rFonts w:hint="eastAsia" w:ascii="Times New Roman" w:hAnsi="Times New Roman" w:eastAsia="宋体" w:cs="Times New Roman"/>
                <w:color w:val="000000" w:themeColor="text1"/>
                <w:sz w:val="22"/>
                <w:szCs w:val="22"/>
                <w:lang w:val="en-US" w:eastAsia="zh-CN"/>
                <w14:textFill>
                  <w14:solidFill>
                    <w14:schemeClr w14:val="tx1"/>
                  </w14:solidFill>
                </w14:textFill>
              </w:rPr>
              <w:t>3</w:t>
            </w:r>
            <w:r>
              <w:rPr>
                <w:rFonts w:hint="default" w:ascii="Times New Roman" w:hAnsi="Times New Roman" w:eastAsia="宋体" w:cs="Times New Roman"/>
                <w:color w:val="000000" w:themeColor="text1"/>
                <w:sz w:val="22"/>
                <w:szCs w:val="22"/>
                <w14:textFill>
                  <w14:solidFill>
                    <w14:schemeClr w14:val="tx1"/>
                  </w14:solidFill>
                </w14:textFill>
              </w:rPr>
              <w:t>.未跟踪上次会议工作要求落实情况的或未制订新的工作要求的，不符合；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color w:val="000000" w:themeColor="text1"/>
                <w:sz w:val="22"/>
                <w:szCs w:val="22"/>
                <w14:textFill>
                  <w14:solidFill>
                    <w14:schemeClr w14:val="tx1"/>
                  </w14:solidFill>
                </w14:textFill>
              </w:rPr>
              <w:t>.无会议记录的，不符合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2.2 安全管理人员</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企业应按规定配备专（兼）职安全生产</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w:t>
            </w:r>
            <w:r>
              <w:rPr>
                <w:rFonts w:hint="eastAsia" w:ascii="Times New Roman" w:hAnsi="Times New Roman" w:eastAsia="宋体" w:cs="Times New Roman"/>
                <w:color w:val="auto"/>
                <w:kern w:val="0"/>
                <w:sz w:val="22"/>
                <w:szCs w:val="22"/>
                <w:highlight w:val="none"/>
                <w:lang w:val="en-US" w:eastAsia="zh-CN" w:bidi="ar"/>
              </w:rPr>
              <w:t>；安好以下要求配备：</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20辆车以下的企业，配备专职安全管理员1人；</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ind w:left="0" w:leftChars="0" w:firstLine="0" w:firstLineChars="0"/>
              <w:jc w:val="left"/>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20至50辆设置管理机构，配备专职安全管理人员2人；</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50辆以上设置管理机构，配备专职安全管理人员2人，每增加50辆车，增加安全管理人员1人；</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《中华人民共和国安全生产法》第二十</w:t>
            </w: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矿山、金属冶炼、建筑施工、运输单位和危险物品的生产、经营、储存、装卸单位，应当设置安全生产管理机构或者配备专职安全生产管理人员。第二十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生产经营单位的主要负责人和安全生产管理人员必须具备与本单位所从事的生产经营活动相应的安全生产知识和管理能力。道路运输单位的主要负责人和安全生产管理人员，应当由主管的负有安全生产监督管理职责的部门对其安全生产知识和管理能力考核合格。考核不得收费。</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未配备专职安全管理人员的，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安全管理人员未经主管机关考核合格的，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三、</w:t>
            </w:r>
            <w:r>
              <w:rPr>
                <w:rFonts w:hint="default" w:ascii="Times New Roman" w:hAnsi="Times New Roman" w:eastAsia="宋体" w:cs="Times New Roman"/>
                <w:color w:val="auto"/>
                <w:kern w:val="0"/>
                <w:sz w:val="22"/>
                <w:szCs w:val="22"/>
                <w:lang w:val="en-US" w:eastAsia="zh-CN" w:bidi="ar"/>
              </w:rPr>
              <w:t xml:space="preserve"> 安全责任体系 </w:t>
            </w:r>
            <w:r>
              <w:rPr>
                <w:rFonts w:hint="eastAsia" w:ascii="Times New Roman" w:hAnsi="Times New Roman" w:eastAsia="宋体" w:cs="Times New Roman"/>
                <w:color w:val="auto"/>
                <w:kern w:val="0"/>
                <w:sz w:val="22"/>
                <w:szCs w:val="22"/>
                <w:lang w:val="en-US" w:eastAsia="zh-CN" w:bidi="ar"/>
              </w:rPr>
              <w:t>55</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3.1 健全责任制</w:t>
            </w:r>
            <w:r>
              <w:rPr>
                <w:rFonts w:hint="eastAsia" w:ascii="Times New Roman" w:hAnsi="Times New Roman" w:eastAsia="宋体" w:cs="Times New Roman"/>
                <w:color w:val="auto"/>
                <w:kern w:val="0"/>
                <w:sz w:val="22"/>
                <w:szCs w:val="22"/>
                <w:lang w:val="en-US" w:eastAsia="zh-CN" w:bidi="ar"/>
              </w:rPr>
              <w:t>（35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sz w:val="22"/>
                <w:szCs w:val="22"/>
              </w:rPr>
              <w:t>企业应建立安全生产责任制，明确安全生产委员会（或安全生产领导小组）、安全生产管理机构、各职能部门、</w:t>
            </w:r>
            <w:r>
              <w:rPr>
                <w:rFonts w:hint="default" w:ascii="Times New Roman" w:hAnsi="Times New Roman" w:eastAsia="宋体" w:cs="Times New Roman"/>
                <w:color w:val="auto"/>
                <w:sz w:val="22"/>
                <w:szCs w:val="22"/>
                <w:lang w:val="en-US" w:eastAsia="zh-CN"/>
              </w:rPr>
              <w:t>各岗位</w:t>
            </w:r>
            <w:r>
              <w:rPr>
                <w:rFonts w:hint="default" w:ascii="Times New Roman" w:hAnsi="Times New Roman" w:eastAsia="宋体" w:cs="Times New Roman"/>
                <w:color w:val="auto"/>
                <w:sz w:val="22"/>
                <w:szCs w:val="22"/>
              </w:rPr>
              <w:t>的安全生产职责，层层签订安全生产责任书</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w:t>
            </w:r>
            <w:r>
              <w:rPr>
                <w:rFonts w:hint="eastAsia" w:ascii="Times New Roman" w:hAnsi="Times New Roman" w:eastAsia="宋体" w:cs="Times New Roman"/>
                <w:color w:val="auto"/>
                <w:sz w:val="22"/>
                <w:szCs w:val="22"/>
              </w:rPr>
              <w:t>安全生产法</w:t>
            </w: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第四条规定</w:t>
            </w:r>
            <w:r>
              <w:rPr>
                <w:rFonts w:hint="eastAsia" w:ascii="Times New Roman" w:hAnsi="Times New Roman" w:eastAsia="宋体" w:cs="Times New Roman"/>
                <w:color w:val="auto"/>
                <w:sz w:val="22"/>
                <w:szCs w:val="22"/>
                <w:lang w:eastAsia="zh-CN"/>
              </w:rPr>
              <w:t>“</w:t>
            </w:r>
            <w:r>
              <w:rPr>
                <w:rFonts w:hint="eastAsia" w:ascii="Times New Roman" w:hAnsi="Times New Roman" w:eastAsia="宋体" w:cs="Times New Roman"/>
                <w:color w:val="auto"/>
                <w:sz w:val="22"/>
                <w:szCs w:val="22"/>
              </w:rPr>
              <w:t>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r>
              <w:rPr>
                <w:rFonts w:hint="eastAsia" w:ascii="Times New Roman" w:hAnsi="Times New Roman" w:eastAsia="宋体" w:cs="Times New Roman"/>
                <w:color w:val="auto"/>
                <w:sz w:val="22"/>
                <w:szCs w:val="22"/>
                <w:lang w:eastAsia="zh-CN"/>
              </w:rPr>
              <w:t>”</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未制定安全生产管理部门和岗位职责，</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auto"/>
                <w:sz w:val="22"/>
                <w:szCs w:val="22"/>
              </w:rPr>
              <w:t>未签订安全生产责任书，</w:t>
            </w:r>
            <w:r>
              <w:rPr>
                <w:rFonts w:hint="eastAsia" w:ascii="Times New Roman" w:hAnsi="Times New Roman" w:eastAsia="宋体" w:cs="Times New Roman"/>
                <w:color w:val="auto"/>
                <w:sz w:val="22"/>
                <w:szCs w:val="22"/>
                <w:lang w:eastAsia="zh-CN"/>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企业主要负责人或实际控制人是本企业安全生产第一责任人，对本企业安全生产工作全面负责，负全面组织领导、管理责任和法律责任，并履行安全生产的责任和义务</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企业安全生产第一责任人一般为企业总经理或总裁，根据安全生产法相关规定，生产经营单位的主要负责人对本单位的安全生产工作全面负责。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（三）组织制定并实施本单位安全生产教育和培训计划；</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（四）保证本单位安全生产投入的有效实施；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（七）及时、如实报告生产安全事故</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企业安全生产第一责任人职责应符合法规要求；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2.企业安全生产第一责任人应熟知其安全责任</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3.2 责任制考评</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企业应根据安全生产责任进行定期考核和奖惩，并公布考评结果和奖惩情况</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第二十二条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生产经营单位的全员安全生产责任制应当明确各岗位的责任人员、责任范围和考核标准等内容。</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生产经营单位应当建立相应的机制，加强对全员安全生产责任制落实情况的监督考核，保证全员安全生产责任制的落实</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未全面开展安全生产责任制考核</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2.未依据安全生产责任制考核结果进行奖惩</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未公布安全生产责任制考核结果和奖惩情况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525" w:hRule="atLeast"/>
        </w:trPr>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 xml:space="preserve">法规和安全管理制度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4.1 资质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《道路运输经营许可证》、《企业法人营业执照》合法有效，经营范围符合要求</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《道路运输经营许可证》、《企业法人营业执照》名称一致；《企业法人营业执照》登记的经营范围中包括《道路运输经营许可证》核定的经营范围</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《道路运输经营许可证》、《企业法人营业执照》失效、企业名称不一致、经营范围与实际业务不相符</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4.2 法律法规与标准规范</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企业应制定及时识别、获取适用的安全生产法律法规、规范标准及其他要求的管理制度，明确责任部门，建立清单和文本（或电子）档案，并定期发布</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律法规、标准规范是企业在安全生产经营过程中一切行为准则的基础和根本，是企业制定本单位规章制度、操作规程、应急预案等管理制度文件的依据和原则。识别适用的安全生产法律法规、标准规范有利于企业安全生产规章制度体系的建立，有利于规范自身安全生产管理</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70C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未建立识别和获取适用的安全生产法律法规、标准规范的管理制度，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未建立已辨识的法律法规清单文本数据库，</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3.已辨识的法律法规存在失效、不适用的，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4.3 安全生产管理制度</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企业应建立健全安全生产管理制度，包含但不限于以下制度：</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安全生产责任制度；</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安全生产教育培训制度；</w:t>
            </w:r>
            <w:r>
              <w:rPr>
                <w:rFonts w:hint="eastAsia" w:ascii="Times New Roman" w:hAnsi="Times New Roman" w:eastAsia="宋体" w:cs="Times New Roman"/>
                <w:color w:val="auto"/>
                <w:kern w:val="0"/>
                <w:sz w:val="22"/>
                <w:szCs w:val="22"/>
                <w:lang w:val="en-US" w:eastAsia="zh-CN" w:bidi="ar"/>
              </w:rPr>
              <w:t>（3）驾驶员管理制度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车辆</w:t>
            </w:r>
            <w:r>
              <w:rPr>
                <w:rFonts w:hint="eastAsia" w:ascii="Times New Roman" w:hAnsi="Times New Roman" w:eastAsia="宋体" w:cs="Times New Roman"/>
                <w:color w:val="auto"/>
                <w:kern w:val="0"/>
                <w:sz w:val="22"/>
                <w:szCs w:val="22"/>
                <w:lang w:val="en-US" w:eastAsia="zh-CN" w:bidi="ar"/>
              </w:rPr>
              <w:t>技术管理制度；（5）法律法规、标准及其他要求的识别与获取管理制度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安全生产考核与奖惩制度；</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应急救援预案制度；</w:t>
            </w:r>
            <w:r>
              <w:rPr>
                <w:rFonts w:hint="eastAsia" w:ascii="Times New Roman" w:hAnsi="Times New Roman" w:eastAsia="宋体" w:cs="Times New Roman"/>
                <w:color w:val="auto"/>
                <w:kern w:val="0"/>
                <w:sz w:val="22"/>
                <w:szCs w:val="22"/>
                <w:lang w:val="en-US" w:eastAsia="zh-CN" w:bidi="ar"/>
              </w:rPr>
              <w:t>（8）</w:t>
            </w:r>
            <w:r>
              <w:rPr>
                <w:rFonts w:hint="default" w:ascii="Times New Roman" w:hAnsi="Times New Roman" w:eastAsia="宋体" w:cs="Times New Roman"/>
                <w:color w:val="auto"/>
                <w:kern w:val="0"/>
                <w:sz w:val="22"/>
                <w:szCs w:val="22"/>
                <w:lang w:val="en-US" w:eastAsia="zh-CN" w:bidi="ar"/>
              </w:rPr>
              <w:t>安全事故报告、统计与处理制度；</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安全生产工作会议制度；</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安全生产费用管理制度；</w:t>
            </w:r>
            <w:r>
              <w:rPr>
                <w:rFonts w:hint="eastAsia" w:ascii="Times New Roman" w:hAnsi="Times New Roman" w:eastAsia="宋体" w:cs="Times New Roman"/>
                <w:color w:val="auto"/>
                <w:kern w:val="0"/>
                <w:sz w:val="22"/>
                <w:szCs w:val="22"/>
                <w:lang w:val="en-US" w:eastAsia="zh-CN" w:bidi="ar"/>
              </w:rPr>
              <w:t>（11）</w:t>
            </w:r>
            <w:r>
              <w:rPr>
                <w:rFonts w:hint="default" w:ascii="Times New Roman" w:hAnsi="Times New Roman" w:eastAsia="宋体" w:cs="Times New Roman"/>
                <w:color w:val="auto"/>
                <w:kern w:val="0"/>
                <w:sz w:val="22"/>
                <w:szCs w:val="22"/>
                <w:lang w:val="en-US" w:eastAsia="zh-CN" w:bidi="ar"/>
              </w:rPr>
              <w:t>隐患排查治理制度；</w:t>
            </w:r>
            <w:r>
              <w:rPr>
                <w:rFonts w:hint="eastAsia" w:ascii="Times New Roman" w:hAnsi="Times New Roman" w:eastAsia="宋体" w:cs="Times New Roman"/>
                <w:color w:val="auto"/>
                <w:kern w:val="0"/>
                <w:sz w:val="22"/>
                <w:szCs w:val="22"/>
                <w:lang w:val="en-US" w:eastAsia="zh-CN" w:bidi="ar"/>
              </w:rPr>
              <w:t>（12）</w:t>
            </w:r>
            <w:r>
              <w:rPr>
                <w:rFonts w:hint="default" w:ascii="Times New Roman" w:hAnsi="Times New Roman" w:eastAsia="宋体" w:cs="Times New Roman"/>
                <w:color w:val="auto"/>
                <w:kern w:val="0"/>
                <w:sz w:val="22"/>
                <w:szCs w:val="22"/>
                <w:lang w:val="en-US" w:eastAsia="zh-CN" w:bidi="ar"/>
              </w:rPr>
              <w:t>风险管理制度</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w:t>
            </w:r>
            <w:r>
              <w:rPr>
                <w:rFonts w:hint="default" w:ascii="Times New Roman" w:hAnsi="Times New Roman" w:eastAsia="宋体" w:cs="Times New Roman"/>
                <w:color w:val="auto"/>
                <w:kern w:val="0"/>
                <w:sz w:val="22"/>
                <w:szCs w:val="22"/>
                <w:lang w:val="en-US" w:eastAsia="zh-CN" w:bidi="ar"/>
              </w:rPr>
              <w:t xml:space="preserve">按照《交通运输企业安全生产标准化建设基本规范》JT/T </w:t>
            </w:r>
            <w:r>
              <w:rPr>
                <w:rFonts w:hint="eastAsia" w:ascii="Times New Roman" w:hAnsi="Times New Roman" w:eastAsia="宋体" w:cs="Times New Roman"/>
                <w:color w:val="auto"/>
                <w:kern w:val="0"/>
                <w:sz w:val="22"/>
                <w:szCs w:val="22"/>
                <w:lang w:val="en-US" w:eastAsia="zh-CN" w:bidi="ar"/>
              </w:rPr>
              <w:t>1180-2018</w:t>
            </w:r>
            <w:r>
              <w:rPr>
                <w:rFonts w:hint="default" w:ascii="Times New Roman" w:hAnsi="Times New Roman" w:eastAsia="宋体" w:cs="Times New Roman"/>
                <w:color w:val="auto"/>
                <w:kern w:val="0"/>
                <w:sz w:val="22"/>
                <w:szCs w:val="22"/>
                <w:lang w:val="en-US" w:eastAsia="zh-CN" w:bidi="ar"/>
              </w:rPr>
              <w:t>要求</w:t>
            </w:r>
            <w:r>
              <w:rPr>
                <w:rFonts w:hint="eastAsia" w:ascii="Times New Roman" w:hAnsi="Times New Roman" w:eastAsia="宋体" w:cs="Times New Roman"/>
                <w:color w:val="auto"/>
                <w:kern w:val="0"/>
                <w:sz w:val="22"/>
                <w:szCs w:val="22"/>
                <w:lang w:val="en-US" w:eastAsia="zh-CN" w:bidi="ar"/>
              </w:rPr>
              <w:t>，编制相应的管理制度。</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未正式发布的，</w:t>
            </w: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strike w:val="0"/>
                <w:dstrike w:val="0"/>
                <w:color w:val="auto"/>
                <w:kern w:val="0"/>
                <w:sz w:val="22"/>
                <w:szCs w:val="22"/>
                <w:highlight w:val="none"/>
                <w:lang w:val="en-US" w:eastAsia="zh-Hans" w:bidi="ar"/>
              </w:rPr>
            </w:pPr>
            <w: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2.</w:t>
            </w: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制度内容</w:t>
            </w:r>
            <w:r>
              <w:rPr>
                <w:rFonts w:hint="default" w:ascii="Times New Roman" w:hAnsi="Times New Roman" w:eastAsia="宋体" w:cs="Times New Roman"/>
                <w:strike w:val="0"/>
                <w:dstrike w:val="0"/>
                <w:color w:val="auto"/>
                <w:kern w:val="0"/>
                <w:sz w:val="22"/>
                <w:szCs w:val="22"/>
                <w:highlight w:val="none"/>
                <w:lang w:val="en-US" w:eastAsia="zh-CN" w:bidi="ar"/>
              </w:rPr>
              <w:t>不符合规定或与实际不符的，</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strike w:val="0"/>
                <w:dstrike w:val="0"/>
                <w:color w:val="auto"/>
                <w:kern w:val="0"/>
                <w:sz w:val="22"/>
                <w:szCs w:val="22"/>
                <w:highlight w:val="none"/>
                <w:lang w:val="en-US" w:eastAsia="zh-CN" w:bidi="ar"/>
              </w:rPr>
              <w:t>3.</w:t>
            </w:r>
            <w:r>
              <w:rPr>
                <w:rFonts w:hint="default" w:ascii="Times New Roman" w:hAnsi="Times New Roman" w:eastAsia="宋体" w:cs="Times New Roman"/>
                <w:strike w:val="0"/>
                <w:dstrike w:val="0"/>
                <w:color w:val="auto"/>
                <w:kern w:val="0"/>
                <w:sz w:val="22"/>
                <w:szCs w:val="22"/>
                <w:highlight w:val="none"/>
                <w:lang w:val="en-US" w:eastAsia="zh-CN" w:bidi="ar"/>
              </w:rPr>
              <w:t>无制度执行记录</w:t>
            </w:r>
            <w:r>
              <w:rPr>
                <w:rFonts w:hint="default" w:ascii="Times New Roman" w:hAnsi="Times New Roman" w:eastAsia="宋体" w:cs="Times New Roman"/>
                <w:strike w:val="0"/>
                <w:dstrike w:val="0"/>
                <w:color w:val="auto"/>
                <w:kern w:val="0"/>
                <w:sz w:val="22"/>
                <w:szCs w:val="22"/>
                <w:highlight w:val="none"/>
                <w:lang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相关企业台账的</w:t>
            </w:r>
            <w:r>
              <w:rPr>
                <w:rFonts w:hint="default" w:ascii="Times New Roman" w:hAnsi="Times New Roman" w:eastAsia="宋体" w:cs="Times New Roman"/>
                <w:strike w:val="0"/>
                <w:dstrike w:val="0"/>
                <w:color w:val="auto"/>
                <w:kern w:val="0"/>
                <w:sz w:val="22"/>
                <w:szCs w:val="22"/>
                <w:highlight w:val="none"/>
                <w:lang w:val="en-US"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企业应将安全生产管理制度发放到有关的工作岗位，并将相关的规章制度及时传达给相关方</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bCs/>
                <w:sz w:val="22"/>
                <w:szCs w:val="22"/>
              </w:rPr>
              <w:t>企业安全生产管理制度发布后，应针对管理制度内容对从业人员进行培训，使从业人员了解管理制度内容和要求，以便于安全管理制度的有效实施和落实</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无安全生产管理制度发放和组织学习培训记录，</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4.4 岗位安全生产操作规程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eastAsia" w:asciiTheme="minorEastAsia" w:hAnsiTheme="minorEastAsia" w:eastAsiaTheme="minorEastAsia" w:cstheme="minorEastAsia"/>
                <w:bCs/>
                <w:sz w:val="22"/>
                <w:szCs w:val="22"/>
              </w:rPr>
              <w:t>企业应制定各岗位操作规程.操作规程应满足国家和行业相关标准规范的要求</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rPr>
            </w:pPr>
            <w:r>
              <w:rPr>
                <w:rFonts w:hint="eastAsia" w:asciiTheme="minorEastAsia" w:hAnsiTheme="minorEastAsia" w:eastAsiaTheme="minorEastAsia" w:cstheme="minorEastAsia"/>
                <w:bCs/>
                <w:sz w:val="22"/>
                <w:szCs w:val="22"/>
              </w:rPr>
              <w:t>安全操作规程，是指在生产活动中，为消除能导致人身伤亡或造成设备、财产损失以及危害环境的因素而制定的具体技术要求和实施程序的统一规定。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heme="minorEastAsia" w:hAnsiTheme="minorEastAsia" w:eastAsiaTheme="minorEastAsia" w:cstheme="minorEastAsia"/>
                <w:bCs/>
                <w:sz w:val="22"/>
                <w:szCs w:val="22"/>
              </w:rPr>
              <w:t>企业应根据生产特点，组织制定岗位安全操作规程，发放到相关岗位，保证其有效实施。操作规程中应明确：操作前的检查及准备工作的程序和方法；操作中严禁的行为；必须的操作步骤和操作方法；操作注意事项；正确使用劳动防护用品的要求；出现异常情况时的应急措施。</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未正式发布的操作规程，</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4.5 修订</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企业应定期对安全管理制度和操作规程进行评审，并根据评审结论及时进行修订，确保其有效性、适应性和符合性</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在发生以下情况时，应及时对相关的管理制度或操作规程进行评审、修订：</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国家相关法律、法规、规程、标准废止、修订或新颁布；</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企业归属、体制、规模发生重大变化；</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生产设施新建、改建、扩建规模、作业环境已发生重大改变；</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设备设施发生变更；</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作业工艺、危险有害特性发生变化；</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政府相关行政部门提出整改意见；</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安全评价、风险评估、体系认证、分析事故原因、安全检查发现涉及规章制度、操作规程的问题；</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其他相关事项</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FF0000"/>
                <w:kern w:val="0"/>
                <w:sz w:val="22"/>
                <w:szCs w:val="22"/>
                <w:lang w:val="en-US" w:eastAsia="zh-CN" w:bidi="ar"/>
              </w:rPr>
              <w:t>★</w:t>
            </w: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未对管理制度、操作规程定期进行有效性、符合性评审，导致不满足法律法规要求的，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未及时开展修订，</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五、</w:t>
            </w:r>
            <w:r>
              <w:rPr>
                <w:rFonts w:hint="default" w:ascii="Times New Roman" w:hAnsi="Times New Roman" w:eastAsia="宋体" w:cs="Times New Roman"/>
                <w:color w:val="auto"/>
                <w:kern w:val="0"/>
                <w:sz w:val="22"/>
                <w:szCs w:val="22"/>
                <w:lang w:val="en-US" w:eastAsia="zh-CN" w:bidi="ar"/>
              </w:rPr>
              <w:t>安全投入 3</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5.1 资金投入</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企业应按规定足额提取（列支）安全生产费用</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法》第二十三条规定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有关生产经营单位应当按照规定提取和使用安全生产费用，专门用于改善安全生产条件。安全生产费用在成本中据实列支。</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第24条规定，应</w:t>
            </w:r>
            <w:r>
              <w:rPr>
                <w:rFonts w:hint="eastAsia" w:ascii="Times New Roman" w:hAnsi="Times New Roman" w:eastAsia="宋体" w:cs="Times New Roman"/>
                <w:color w:val="auto"/>
                <w:kern w:val="0"/>
                <w:sz w:val="22"/>
                <w:szCs w:val="22"/>
                <w:lang w:val="en-US" w:eastAsia="zh-CN" w:bidi="ar"/>
              </w:rPr>
              <w:t>按比例提取</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lang w:val="en-US" w:eastAsia="zh-CN" w:bidi="ar"/>
              </w:rPr>
              <w:t>第二十四条 交通运输企业以上一年度营业收入为依据，确定本年度应计提金</w:t>
            </w:r>
            <w:r>
              <w:rPr>
                <w:rFonts w:hint="default" w:ascii="Times New Roman" w:hAnsi="Times New Roman" w:eastAsia="宋体" w:cs="Times New Roman"/>
                <w:color w:val="auto"/>
                <w:kern w:val="0"/>
                <w:sz w:val="22"/>
                <w:szCs w:val="22"/>
                <w:highlight w:val="none"/>
                <w:lang w:val="en-US" w:eastAsia="zh-CN" w:bidi="ar"/>
              </w:rPr>
              <w:t>额，并逐月平均提取。具体如下：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highlight w:val="none"/>
                <w:lang w:val="en-US" w:eastAsia="zh-CN" w:bidi="ar"/>
              </w:rPr>
              <w:t>（二）</w:t>
            </w:r>
            <w:r>
              <w:rPr>
                <w:rFonts w:hint="eastAsia" w:ascii="Times New Roman" w:hAnsi="Times New Roman" w:eastAsia="宋体" w:cs="Times New Roman"/>
                <w:color w:val="auto"/>
                <w:kern w:val="0"/>
                <w:sz w:val="22"/>
                <w:szCs w:val="22"/>
                <w:highlight w:val="none"/>
                <w:lang w:val="en-US" w:eastAsia="zh-CN" w:bidi="ar"/>
              </w:rPr>
              <w:t>普通货物运输企业</w:t>
            </w:r>
            <w:r>
              <w:rPr>
                <w:rFonts w:hint="default" w:ascii="Times New Roman" w:hAnsi="Times New Roman" w:eastAsia="宋体" w:cs="Times New Roman"/>
                <w:color w:val="auto"/>
                <w:kern w:val="0"/>
                <w:sz w:val="22"/>
                <w:szCs w:val="22"/>
                <w:highlight w:val="none"/>
                <w:lang w:val="en-US" w:eastAsia="zh-CN" w:bidi="ar"/>
              </w:rPr>
              <w:t>1%</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未制定安全生产费用提取、使用和监督管理制度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未按规定提取安全生产费用</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5.2 费用管理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企业建立安全费用使用台账</w:t>
            </w:r>
            <w:r>
              <w:rPr>
                <w:rFonts w:hint="eastAsia" w:ascii="Times New Roman" w:hAnsi="Times New Roman" w:eastAsia="宋体" w:cs="Times New Roman"/>
                <w:color w:val="auto"/>
                <w:kern w:val="0"/>
                <w:sz w:val="22"/>
                <w:szCs w:val="22"/>
                <w:lang w:val="en-US" w:eastAsia="zh-CN" w:bidi="ar"/>
              </w:rPr>
              <w:t>，实行专款专用</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第25条规定，应符合使用范围。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第二十五条 交通运输企业安全生产费用应当用于以下支出：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完善、改造和维护安全防护设施设备支出（不含“三同时”要求初期投入的安全设施），包括道路、水路、铁路、城市轨道交通、管道运输设施设备和装卸工具安全状况检测及维护系统、运输设施设备和装卸工具附属安全设备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（二）购置、安装和使用具有行驶记录功能的车辆卫星定位装置、视频监控装置、船舶通信导航定位和自动识别系统、电子海图等支出；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（三）铁路和城市轨道交通防灾监测预警设备及铁路周界入侵报警系统、铁路危险品运输安全监测设备支出；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（四）配备、维护、保养应急救援器材、设备支出和应急救援队伍建设、应急预案制修订与应急演练支出；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（五）开展重大危险源检测、评估、监控支出，安全风险分级管控和事故隐患排查整改支出，安全生产信息化、智能化建设、运维和网络安全支出；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（六）安全生产检查、评估评价（不含新建、改建、扩建项目安全评价）、咨询和标准化建设支出；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（七）配备和更新现场作业人员安全防护用品支出；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（八）安全生产宣传、教育、培训和从业人员发现并报告事故隐患的奖励支出；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（九）安全生产适用的新技术、新标准、新工艺、新装备的推广应用支出；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（十）安全设施及特种设备检测检验、检定校准、铁路和城市轨道交通基础设备安全检测支出；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（十一）安全生产责任保险及承运人责任保险支出；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（十二）与安全生产直接相关的其他支出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无安全生产经费使用台账，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未实行专款专用，不符合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六、</w:t>
            </w:r>
            <w:r>
              <w:rPr>
                <w:rFonts w:hint="default" w:ascii="Times New Roman" w:hAnsi="Times New Roman" w:eastAsia="宋体" w:cs="Times New Roman"/>
                <w:color w:val="auto"/>
                <w:kern w:val="0"/>
                <w:sz w:val="22"/>
                <w:szCs w:val="22"/>
                <w:lang w:val="en-US" w:eastAsia="zh-CN" w:bidi="ar"/>
              </w:rPr>
              <w:t xml:space="preserve">装备设施 </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6.1 </w:t>
            </w:r>
            <w:r>
              <w:rPr>
                <w:rFonts w:hint="eastAsia" w:ascii="Times New Roman" w:hAnsi="Times New Roman" w:eastAsia="宋体" w:cs="Times New Roman"/>
                <w:color w:val="auto"/>
                <w:kern w:val="0"/>
                <w:sz w:val="22"/>
                <w:szCs w:val="22"/>
                <w:lang w:val="en-US" w:eastAsia="zh-CN" w:bidi="ar"/>
              </w:rPr>
              <w:t>安全设备设施（30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安全生产设施设备符合有关规定.并保证齐全、完好.没有随意改动</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设施设备是指用于保证生产经营活动正常进行，防止事故发生，保障职工人身安全与健康的设备总称。道路货物运输企业安全生产设施设备主要有道路运输设施设备和装卸工具安全状况检测及维护系统、运输设施设备和装卸工具附属安全设备等。道路货物运输企业保证安全设施设备符合有关规定、齐全、完好是安全生产的重要保障。道路货物运输企业必须对安全设备进行经常性维护、保养，并定期检测，保证其符合国家标准或者行业标准。安全生产设施设备维护、保养、检测应当作好记录，并由有关人员签字。</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１. 抽查车辆.安全生产设备设施不符合规定，不符合. ２. 抽查的车辆设备设施没有进行维护、保养，不符合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2181" w:hRule="atLeast"/>
        </w:trPr>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企业车辆应按照规定配备三角木、警示牌.并按规定配足有效的灭火器</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道路货物运输企业应按照《机动车运行安全技术条件》（GB7258-2017）、《机动车安全技术检验项目和方法》（GB38900－2020）等标准要求为营运车辆配备与其相适应的安全防护警示装置、灭火装置，安装应牢靠、便于取用。所称“有效”特指这些设备及器材处于良好状态，能够在出现突发事态时能够发挥出处置危害或危险的作用。</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1.抽查的车辆未配备三角木、警示牌等安全设备.配足有效的消防设备及器材.不符合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２. 未建立车辆安全设施设备定期检查台账、档案，不符合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6.2 </w:t>
            </w:r>
            <w:r>
              <w:rPr>
                <w:rFonts w:hint="eastAsia" w:ascii="Times New Roman" w:hAnsi="Times New Roman" w:eastAsia="宋体" w:cs="Times New Roman"/>
                <w:color w:val="auto"/>
                <w:kern w:val="0"/>
                <w:sz w:val="22"/>
                <w:szCs w:val="22"/>
                <w:lang w:val="en-US" w:eastAsia="zh-CN" w:bidi="ar"/>
              </w:rPr>
              <w:t>营运车辆（60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车辆持有效的《道路运输证》、《机动车行驶证》等证照</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道路货物运输车辆依法取得《道路运输证》、《机动车行驶证》等证照，是道路运输企业依法从事道路运输安全生产经营活动的前提条件。《道路运输证》是交通部门核发给从事道路运输经营活动车辆的合法凭证。《道路货物运输及站场管理规定》第29条规定，道路货物运输经营者应当要求其聘用的车辆驾驶员随车携带《道路运输证》。</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这里的“有效”是指通过交通运输部门认定的机动车综合性能检测机构检测和公安交通部门认定的机动车安全性能检测机构检测，并审验合格。</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抽查的车辆无《道路运输证》、《机动车行驶证》，不符合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企业应当确定运输车辆维护周期，按照确定的维护周期组织对运输车辆进行维护，并根据实际情况对车辆进行及时修理</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应按照《</w:t>
            </w: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HYPERLINK "http://www.baidu.com/link?url=qBdk3RXASI_npDalttvxXZ_Dxs1CDrf9rE62Mgab-ZncZQdwlyy9ohmZmEhLnSOU74ShjFBUMOak0QMhf95lWCb1tfwUjq-b8J4afT20Za7Hjj3njgN2BOlzjdhlku9qF1XuQVeMQne3PHzssUXtiVzXrnChPSMsUeqjLTQtcurpmToiMjZAIZ3PAbObLPnzku3-FTJQUtGuhLETirNwEGWG5zBnKdERkNhswFWY73WnVguARspyGHowf9-rQY7o" \t "https://www.baidu.com/_blank" </w:instrText>
            </w:r>
            <w:r>
              <w:rPr>
                <w:rFonts w:hint="eastAsia"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汽车维护、检测、诊断技术规范</w:t>
            </w:r>
            <w:r>
              <w:rPr>
                <w:rFonts w:hint="eastAsia"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》（GB/T18344-2016）要求定期进行维护</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w:t>
            </w:r>
            <w:r>
              <w:rPr>
                <w:rFonts w:hint="default" w:ascii="Times New Roman" w:hAnsi="Times New Roman" w:eastAsia="宋体" w:cs="Times New Roman"/>
                <w:strike w:val="0"/>
                <w:dstrike w:val="0"/>
                <w:color w:val="auto"/>
                <w:kern w:val="0"/>
                <w:sz w:val="22"/>
                <w:szCs w:val="22"/>
                <w:lang w:val="en-US" w:eastAsia="zh-CN" w:bidi="ar"/>
              </w:rPr>
              <w:t>无所有车辆综合性能检车报告，</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strike w:val="0"/>
                <w:dstrike w:val="0"/>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无车辆二级维护记录或二级维护出厂合格证，</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strike w:val="0"/>
                <w:dstrike w:val="0"/>
                <w:color w:val="auto"/>
                <w:kern w:val="0"/>
                <w:sz w:val="22"/>
                <w:szCs w:val="22"/>
                <w:lang w:val="en-US" w:eastAsia="zh-CN" w:bidi="ar"/>
              </w:rPr>
              <w:t>3.无车辆安全设备设施维护记录，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strike w:val="0"/>
                <w:dstrike w:val="0"/>
                <w:color w:val="auto"/>
                <w:kern w:val="0"/>
                <w:sz w:val="22"/>
                <w:szCs w:val="22"/>
                <w:lang w:val="en-US" w:eastAsia="zh-CN" w:bidi="ar"/>
              </w:rPr>
              <w:t>4.现场检查车辆安全设备设施不符合要求，</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运营车辆符合国家标准规定的使用年限或运营里程数</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货运车辆作为一种安全生产作业工具，必须通过使用年限或使用工作量考察，防止出现车辆超期服役导致车辆安全技术性能的衰退引发安全事故。此条有两层含义，一是要求货运企业不得使用达到或超过使用年限的货运车辆从事经营；二是要求货运企业不得使用达到或超过规定行驶公里数的货运车辆从事经营。道路货物运输企业应严格按照《汽车报废标准》规定加强车辆使用管理，禁止使用报废的、擅自改装的、拼装的、检测不合格的和其他不符合国家规定的车辆从事道路货物运输经营。</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1.车辆存在超期运营，不符合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ascii="Times New Roman" w:hAnsi="Times New Roman" w:eastAsia="宋体" w:cs="Times New Roman"/>
                <w:strike w:val="0"/>
                <w:dstrike w:val="0"/>
                <w:color w:val="auto"/>
                <w:kern w:val="0"/>
                <w:sz w:val="22"/>
                <w:szCs w:val="22"/>
                <w:lang w:val="en-US" w:eastAsia="zh-CN" w:bidi="ar"/>
              </w:rPr>
              <w:t>2.超期包含超过法律法规规定和企业自己的规定</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七、</w:t>
            </w:r>
            <w:r>
              <w:rPr>
                <w:rFonts w:hint="default" w:ascii="Times New Roman" w:hAnsi="Times New Roman" w:eastAsia="宋体" w:cs="Times New Roman"/>
                <w:color w:val="auto"/>
                <w:kern w:val="0"/>
                <w:sz w:val="22"/>
                <w:szCs w:val="22"/>
                <w:lang w:val="en-US" w:eastAsia="zh-CN" w:bidi="ar"/>
              </w:rPr>
              <w:t xml:space="preserve">科技创新与信息化 </w:t>
            </w:r>
            <w:r>
              <w:rPr>
                <w:rFonts w:hint="eastAsia" w:ascii="Times New Roman" w:hAnsi="Times New Roman" w:eastAsia="宋体" w:cs="Times New Roman"/>
                <w:color w:val="auto"/>
                <w:kern w:val="0"/>
                <w:sz w:val="22"/>
                <w:szCs w:val="22"/>
                <w:lang w:val="en-US" w:eastAsia="zh-CN" w:bidi="ar"/>
              </w:rPr>
              <w:t>70</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科技应用 </w:t>
            </w:r>
            <w:r>
              <w:rPr>
                <w:rFonts w:hint="eastAsia" w:ascii="Times New Roman" w:hAnsi="Times New Roman" w:eastAsia="宋体" w:cs="Times New Roman"/>
                <w:color w:val="auto"/>
                <w:kern w:val="0"/>
                <w:sz w:val="22"/>
                <w:szCs w:val="22"/>
                <w:lang w:val="en-US" w:eastAsia="zh-CN" w:bidi="ar"/>
              </w:rPr>
              <w:t>（70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按照标准建设符合《道路运输车辆卫星定位系统 平台技术要求》GB/T 35658等标准要求的道路运输车辆动态监控平台，或者使用符合条件的社会化卫星定位系统监控平台，对所属道路运输车辆和驾驶员运行过程进行实时监控和管理</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《道路运输车辆动态监督管理办法》第九条规定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道路旅客运输企业、道路</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运输企业和拥有50辆及以上重型载货汽车或者牵引车的道路货物运输企业应当按照标准建设道路运输车辆动态监控平台，或者使用符合条件的社会化卫星定位系统监控平台（以下统称监控平台），对所属道路运输车辆和驾驶员运行过程进行实时监控和管理</w:t>
            </w:r>
            <w:r>
              <w:rPr>
                <w:rFonts w:hint="eastAsia" w:ascii="Times New Roman" w:hAnsi="Times New Roman" w:eastAsia="宋体" w:cs="Times New Roman"/>
                <w:color w:val="auto"/>
                <w:kern w:val="0"/>
                <w:sz w:val="22"/>
                <w:szCs w:val="22"/>
                <w:lang w:val="en-US" w:eastAsia="zh-CN" w:bidi="ar"/>
              </w:rPr>
              <w:t>”</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未建立动态监控平台或未使用社会化动态监控平台对营运车辆进行监督，</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2.监控平台不能呈现在营车辆动态信息</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企业为所属</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运输车辆安装符合《道路运输车辆卫星定位系统车载终端技术要求》JT/T 794要求的卫星定位装置终端</w:t>
            </w:r>
            <w:r>
              <w:rPr>
                <w:rFonts w:hint="eastAsia" w:ascii="Times New Roman" w:hAnsi="Times New Roman" w:eastAsia="宋体" w:cs="Times New Roman"/>
                <w:color w:val="auto"/>
                <w:kern w:val="0"/>
                <w:sz w:val="22"/>
                <w:szCs w:val="22"/>
                <w:lang w:val="en-US" w:eastAsia="zh-CN" w:bidi="ar"/>
              </w:rPr>
              <w:t>,</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《道路运输车辆动态监督管理办法》</w:t>
            </w:r>
            <w:r>
              <w:rPr>
                <w:rFonts w:hint="eastAsia"/>
                <w:sz w:val="22"/>
                <w:szCs w:val="22"/>
                <w:lang w:val="en-US" w:eastAsia="zh-CN"/>
              </w:rPr>
              <w:t>普通货物</w:t>
            </w:r>
            <w:r>
              <w:rPr>
                <w:rFonts w:hint="default"/>
                <w:sz w:val="22"/>
                <w:szCs w:val="22"/>
                <w:lang w:val="en-US" w:eastAsia="zh-CN"/>
              </w:rPr>
              <w:t>运输车辆在出厂前应当安装符合标准的卫星定位装置。在道路运输车辆上安装的卫星定位装置应符合以下标准要求：</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（一）《道路运输车辆卫星定位系统车载终端技术要求》(JT/T 794-2019)；</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（二）《道路运输车辆卫星定位系统终端通讯协议及数据格式》（JT/T 808）；</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（三）《机动车运行安全技术条件》（GB7258）；</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（四）《汽车行驶记录仪》（GB/T 19056）</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《车载终端技术要求》(JT/T 794-2019)，</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2.无卫星定位装置安装使用规定</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3.无车载终端安装使用登记台账，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4.定位装置不符合《道路运输车辆卫星定位系统车载终端技术要求》(JT/T 794-2019)，</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监控平台不能呈现在营车辆动态信息</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企业按要求配备运输车辆专职动态监控人员，监控人员经培训、考试合格后上岗</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专职监控人员配置原则上按照监控平台每接入100辆车设1人的标准配备，最低不少于2人。监控人员应当掌握国家相关法规和政策，经运输企业培训、考试合格后上岗</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未配备专职动态监控人员，</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2.监控管理人员未经培训考核</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3.</w:t>
            </w:r>
            <w:r>
              <w:rPr>
                <w:rFonts w:hint="eastAsia" w:ascii="Times New Roman" w:hAnsi="Times New Roman" w:eastAsia="宋体" w:cs="Times New Roman"/>
                <w:color w:val="auto"/>
                <w:kern w:val="0"/>
                <w:sz w:val="22"/>
                <w:szCs w:val="22"/>
                <w:lang w:val="en-US" w:eastAsia="zh-CN" w:bidi="ar"/>
              </w:rPr>
              <w:t>未对</w:t>
            </w:r>
            <w:r>
              <w:rPr>
                <w:rFonts w:hint="default" w:ascii="Times New Roman" w:hAnsi="Times New Roman" w:eastAsia="宋体" w:cs="Times New Roman"/>
                <w:color w:val="auto"/>
                <w:kern w:val="0"/>
                <w:sz w:val="22"/>
                <w:szCs w:val="22"/>
                <w:lang w:val="en-US" w:eastAsia="zh-CN" w:bidi="ar"/>
              </w:rPr>
              <w:t>专职动态监控管理人员</w:t>
            </w:r>
            <w:r>
              <w:rPr>
                <w:rFonts w:hint="eastAsia" w:ascii="Times New Roman" w:hAnsi="Times New Roman" w:eastAsia="宋体" w:cs="Times New Roman"/>
                <w:color w:val="auto"/>
                <w:kern w:val="0"/>
                <w:sz w:val="22"/>
                <w:szCs w:val="22"/>
                <w:lang w:val="en-US" w:eastAsia="zh-CN" w:bidi="ar"/>
              </w:rPr>
              <w:t>进行</w:t>
            </w:r>
            <w:r>
              <w:rPr>
                <w:rFonts w:hint="default" w:ascii="Times New Roman" w:hAnsi="Times New Roman" w:eastAsia="宋体" w:cs="Times New Roman"/>
                <w:color w:val="auto"/>
                <w:kern w:val="0"/>
                <w:sz w:val="22"/>
                <w:szCs w:val="22"/>
                <w:lang w:val="en-US" w:eastAsia="zh-CN" w:bidi="ar"/>
              </w:rPr>
              <w:t>动态监</w:t>
            </w:r>
            <w:r>
              <w:rPr>
                <w:rFonts w:hint="eastAsia" w:ascii="Times New Roman" w:hAnsi="Times New Roman" w:eastAsia="宋体" w:cs="Times New Roman"/>
                <w:color w:val="auto"/>
                <w:kern w:val="0"/>
                <w:sz w:val="22"/>
                <w:szCs w:val="22"/>
                <w:lang w:val="en-US" w:eastAsia="zh-CN" w:bidi="ar"/>
              </w:rPr>
              <w:t>或监控记录未保存的，不符合。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建立动态监控值班制度，对营运车辆进行实时动态监控；与上级监管平台进行互联互通</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企业应该建立动态监控管理制度，明确动态监控管理人员；</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企业应对营运车辆进行实时动态监控，对上级监管平台发出的指令进行应答并执行有关要求</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未建立动态监控值班制度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未实际开展</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动态监控</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，监控存在弄虚作假的，不符合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 5 \* GB3 \* MERGEFORMAT </w:instrText>
            </w:r>
            <w:r>
              <w:rPr>
                <w:rFonts w:hint="eastAsia"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eastAsia"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企业应建立监控记录，监控人员应实时监控，详实记录车辆信息、行驶路线、车出发时间、监控道路风险、途中停靠地点、到达目的地时间等信息；</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企业自行监控或委托第三方监控，应符合实时监控要求，详实记录监控信息；抽查各行驶路线风险点管控情况</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企业未建立监控记录；不符合；</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监控记录信息不全，不符合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sz w:val="18"/>
                <w:szCs w:val="18"/>
                <w:lang w:val="en-US" w:eastAsia="zh-CN"/>
              </w:rPr>
              <w:fldChar w:fldCharType="begin"/>
            </w:r>
            <w:r>
              <w:rPr>
                <w:rFonts w:hint="eastAsia" w:ascii="Times New Roman" w:hAnsi="Times New Roman" w:eastAsia="宋体" w:cs="Times New Roman"/>
                <w:color w:val="auto"/>
                <w:sz w:val="18"/>
                <w:szCs w:val="18"/>
                <w:lang w:val="en-US" w:eastAsia="zh-CN"/>
              </w:rPr>
              <w:instrText xml:space="preserve"> = 6 \* GB3 \* MERGEFORMAT </w:instrText>
            </w:r>
            <w:r>
              <w:rPr>
                <w:rFonts w:hint="eastAsia" w:ascii="Times New Roman" w:hAnsi="Times New Roman" w:eastAsia="宋体" w:cs="Times New Roman"/>
                <w:color w:val="auto"/>
                <w:sz w:val="18"/>
                <w:szCs w:val="18"/>
                <w:lang w:val="en-US" w:eastAsia="zh-CN"/>
              </w:rPr>
              <w:fldChar w:fldCharType="separate"/>
            </w:r>
            <w:r>
              <w:rPr>
                <w:color w:val="auto"/>
                <w:sz w:val="18"/>
                <w:szCs w:val="18"/>
              </w:rPr>
              <w:t>⑥</w:t>
            </w:r>
            <w:r>
              <w:rPr>
                <w:rFonts w:hint="eastAsia" w:ascii="Times New Roman" w:hAnsi="Times New Roman" w:eastAsia="宋体" w:cs="Times New Roman"/>
                <w:color w:val="auto"/>
                <w:sz w:val="18"/>
                <w:szCs w:val="18"/>
                <w:lang w:val="en-US" w:eastAsia="zh-CN"/>
              </w:rPr>
              <w:fldChar w:fldCharType="end"/>
            </w:r>
            <w:r>
              <w:rPr>
                <w:rFonts w:hint="eastAsia" w:ascii="Times New Roman" w:hAnsi="Times New Roman" w:eastAsia="宋体" w:cs="Times New Roman"/>
                <w:color w:val="auto"/>
                <w:sz w:val="22"/>
                <w:szCs w:val="22"/>
                <w:lang w:val="en-US" w:eastAsia="zh-CN"/>
              </w:rPr>
              <w:t>企业在监控平台上应在运输路线</w:t>
            </w:r>
            <w:r>
              <w:rPr>
                <w:rFonts w:hint="eastAsia" w:ascii="Times New Roman" w:hAnsi="Times New Roman" w:eastAsia="宋体" w:cs="Times New Roman"/>
                <w:color w:val="auto"/>
                <w:sz w:val="22"/>
                <w:szCs w:val="22"/>
                <w:highlight w:val="none"/>
                <w:lang w:val="en-US" w:eastAsia="zh-CN"/>
              </w:rPr>
              <w:t>上</w:t>
            </w:r>
            <w:r>
              <w:rPr>
                <w:rFonts w:hint="eastAsia" w:ascii="Times New Roman" w:hAnsi="Times New Roman" w:eastAsia="宋体" w:cs="Times New Roman"/>
                <w:color w:val="auto"/>
                <w:kern w:val="0"/>
                <w:sz w:val="22"/>
                <w:szCs w:val="22"/>
                <w:highlight w:val="none"/>
                <w:lang w:val="en-US" w:eastAsia="zh-CN" w:bidi="ar"/>
              </w:rPr>
              <w:t>设置道路风险点，提前进行风险提醒。</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企业按照固定行驶路线，进行风险辨识评价，将风险点设置在监控平台的路线上，并设置风险提醒告知。</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1.未在监控平台的运营路上设置风险点的，不符合；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2.未设置风险提醒的，不符合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fldChar w:fldCharType="begin"/>
            </w:r>
            <w:r>
              <w:rPr>
                <w:rFonts w:hint="eastAsia" w:ascii="Times New Roman" w:hAnsi="Times New Roman" w:eastAsia="宋体" w:cs="Times New Roman"/>
                <w:color w:val="auto"/>
                <w:sz w:val="22"/>
                <w:szCs w:val="22"/>
                <w:lang w:val="en-US" w:eastAsia="zh-CN"/>
              </w:rPr>
              <w:instrText xml:space="preserve"> = 7 \* GB3 \* MERGEFORMAT </w:instrText>
            </w:r>
            <w:r>
              <w:rPr>
                <w:rFonts w:hint="eastAsia" w:ascii="Times New Roman" w:hAnsi="Times New Roman" w:eastAsia="宋体" w:cs="Times New Roman"/>
                <w:color w:val="auto"/>
                <w:sz w:val="22"/>
                <w:szCs w:val="22"/>
                <w:lang w:val="en-US" w:eastAsia="zh-CN"/>
              </w:rPr>
              <w:fldChar w:fldCharType="separate"/>
            </w:r>
            <w:r>
              <w:rPr>
                <w:rFonts w:hint="eastAsia" w:ascii="Times New Roman" w:hAnsi="Times New Roman" w:eastAsia="宋体" w:cs="Times New Roman"/>
                <w:color w:val="auto"/>
                <w:sz w:val="22"/>
                <w:szCs w:val="22"/>
                <w:lang w:val="en-US" w:eastAsia="zh-CN"/>
              </w:rPr>
              <w:t>⑦</w:t>
            </w:r>
            <w:r>
              <w:rPr>
                <w:rFonts w:hint="eastAsia" w:ascii="Times New Roman" w:hAnsi="Times New Roman" w:eastAsia="宋体" w:cs="Times New Roman"/>
                <w:color w:val="auto"/>
                <w:sz w:val="22"/>
                <w:szCs w:val="22"/>
                <w:lang w:val="en-US" w:eastAsia="zh-CN"/>
              </w:rPr>
              <w:fldChar w:fldCharType="end"/>
            </w:r>
            <w:r>
              <w:rPr>
                <w:rFonts w:hint="eastAsia" w:ascii="Times New Roman" w:hAnsi="Times New Roman" w:eastAsia="宋体" w:cs="Times New Roman"/>
                <w:color w:val="auto"/>
                <w:sz w:val="22"/>
                <w:szCs w:val="22"/>
                <w:lang w:val="en-US" w:eastAsia="zh-CN"/>
              </w:rPr>
              <w:t>企业应</w:t>
            </w:r>
            <w:r>
              <w:rPr>
                <w:rFonts w:hint="eastAsia" w:ascii="宋体" w:hAnsi="宋体"/>
                <w:color w:val="000000"/>
                <w:szCs w:val="21"/>
              </w:rPr>
              <w:t>按规定及时纠正和处理违法违规行为</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sz w:val="22"/>
                <w:szCs w:val="22"/>
                <w:lang w:val="en-US" w:eastAsia="zh-CN"/>
              </w:rPr>
              <w:t>企业应</w:t>
            </w:r>
            <w:r>
              <w:rPr>
                <w:rFonts w:hint="eastAsia" w:ascii="宋体" w:hAnsi="宋体"/>
                <w:color w:val="000000"/>
                <w:szCs w:val="21"/>
              </w:rPr>
              <w:t>按规定及时纠正和处理超速、疲劳驾驶、故意破坏卫星定位装置等违法违规行为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eastAsia" w:ascii="Times New Roman" w:hAnsi="Times New Roman" w:eastAsia="宋体" w:cs="Times New Roman"/>
                <w:color w:val="FF0000"/>
                <w:kern w:val="2"/>
                <w:sz w:val="22"/>
                <w:szCs w:val="22"/>
                <w:lang w:val="en-US" w:eastAsia="zh-CN" w:bidi="ar-SA"/>
              </w:rPr>
            </w:pPr>
            <w:r>
              <w:rPr>
                <w:rFonts w:hint="eastAsia" w:ascii="Times New Roman" w:hAnsi="Times New Roman" w:eastAsia="宋体" w:cs="Times New Roman"/>
                <w:color w:val="FF0000"/>
                <w:kern w:val="2"/>
                <w:sz w:val="22"/>
                <w:szCs w:val="22"/>
                <w:lang w:val="en-US" w:eastAsia="zh-CN" w:bidi="ar-SA"/>
              </w:rPr>
              <w:t>10</w:t>
            </w:r>
          </w:p>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FF0000"/>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1.未按规定处理，发现1起扣1分</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八、</w:t>
            </w:r>
            <w:r>
              <w:rPr>
                <w:rFonts w:hint="default" w:ascii="Times New Roman" w:hAnsi="Times New Roman" w:eastAsia="宋体" w:cs="Times New Roman"/>
                <w:color w:val="auto"/>
                <w:kern w:val="0"/>
                <w:sz w:val="22"/>
                <w:szCs w:val="22"/>
                <w:lang w:val="en-US" w:eastAsia="zh-CN" w:bidi="ar"/>
              </w:rPr>
              <w:t xml:space="preserve"> 教育培训 </w:t>
            </w:r>
            <w:r>
              <w:rPr>
                <w:rFonts w:hint="eastAsia" w:ascii="Times New Roman" w:hAnsi="Times New Roman" w:eastAsia="宋体" w:cs="Times New Roman"/>
                <w:color w:val="auto"/>
                <w:kern w:val="0"/>
                <w:sz w:val="22"/>
                <w:szCs w:val="22"/>
                <w:lang w:val="en-US" w:eastAsia="zh-CN" w:bidi="ar"/>
              </w:rPr>
              <w:t>70</w:t>
            </w:r>
            <w:r>
              <w:rPr>
                <w:rFonts w:hint="default" w:ascii="Times New Roman" w:hAnsi="Times New Roman" w:eastAsia="宋体" w:cs="Times New Roman"/>
                <w:color w:val="auto"/>
                <w:kern w:val="0"/>
                <w:sz w:val="22"/>
                <w:szCs w:val="22"/>
                <w:lang w:val="en-US" w:eastAsia="zh-CN" w:bidi="ar"/>
              </w:rPr>
              <w:t>分</w:t>
            </w: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8.1 培训管理</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企业应按规定开展安全教育培训，明确安全教育培训目标、内容和要求，制定并实施安全教育培训计划</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企业应组织安全教育培训</w:t>
            </w:r>
            <w:r>
              <w:rPr>
                <w:rFonts w:hint="eastAsia" w:ascii="Times New Roman" w:hAnsi="Times New Roman" w:eastAsia="宋体" w:cs="Times New Roman"/>
                <w:color w:val="auto"/>
                <w:kern w:val="0"/>
                <w:sz w:val="22"/>
                <w:szCs w:val="22"/>
                <w:lang w:val="en-US" w:eastAsia="zh-CN" w:bidi="ar"/>
              </w:rPr>
              <w:t>，从业人员每年再培训不少于24学时</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道路货物运输及站场管理规定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第二十条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道路货物运输经营者应当对从业人员进行经常性的安全、职业道德教育和业务知识、操作规程培训</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未制定安全教育培训制度，</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未制定培训计划的，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培训内容及学时达不到相关要求的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.未按照培训计划开展安全教育培训的，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8.2 资格培训</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企业主要负责人和管理人员应具备相应的安全生产知识和管理能力，并经主管的负有安全生产监督管理职责的部门考核合格</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《安全生产法》第二十七条规定，生产经营单位的主要负责人和安全生产管理人员必须具备与本单位所从事的生产经营活动相应的安全生产知识和管理能力。</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道路运输单位的主要负责人和安全生产管理人员，应当由主管的负有安全生产监督管理职责的部门对其安全生产知识和管理能力考核合格</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10★★★</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主要负责人和安全管理人员未取得安全能力考核合格资格证的，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总质量4.5吨以上车辆普通货物</w:t>
            </w:r>
            <w:r>
              <w:rPr>
                <w:rFonts w:hint="default" w:ascii="Times New Roman" w:hAnsi="Times New Roman" w:eastAsia="宋体" w:cs="Times New Roman"/>
                <w:color w:val="auto"/>
                <w:kern w:val="0"/>
                <w:sz w:val="22"/>
                <w:szCs w:val="22"/>
                <w:lang w:val="en-US" w:eastAsia="zh-CN" w:bidi="ar"/>
              </w:rPr>
              <w:t>驾驶人员应由相关管理部门对其知识和技能进行考核合格，并取得相应的从业资格证件</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《道路运输从业人员管理规定》（交通运输部令2022年第38号）第六条规定，国家对经营性道路客货运输驾驶员、道路</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运输从业人员实行从业资格考试制度。从业资格是对道路运输从业人员所从事的特定岗位职业素质的基本评价。</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驾驶员不能提供从业资格证，</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cyan"/>
              </w:rPr>
            </w:pPr>
            <w:r>
              <w:rPr>
                <w:rFonts w:hint="default" w:ascii="Times New Roman" w:hAnsi="Times New Roman" w:eastAsia="宋体" w:cs="Times New Roman"/>
                <w:color w:val="auto"/>
                <w:kern w:val="0"/>
                <w:sz w:val="22"/>
                <w:szCs w:val="22"/>
                <w:highlight w:val="none"/>
                <w:lang w:val="en-US" w:eastAsia="zh-CN" w:bidi="ar"/>
              </w:rPr>
              <w:t xml:space="preserve">8.3 </w:t>
            </w:r>
            <w:r>
              <w:rPr>
                <w:rFonts w:hint="eastAsia" w:ascii="Times New Roman" w:hAnsi="Times New Roman" w:eastAsia="宋体" w:cs="Times New Roman"/>
                <w:color w:val="auto"/>
                <w:kern w:val="0"/>
                <w:sz w:val="22"/>
                <w:szCs w:val="22"/>
                <w:highlight w:val="none"/>
                <w:lang w:val="en-US" w:eastAsia="zh-CN" w:bidi="ar"/>
              </w:rPr>
              <w:t>岗前</w:t>
            </w:r>
            <w:r>
              <w:rPr>
                <w:rFonts w:hint="default" w:ascii="Times New Roman" w:hAnsi="Times New Roman" w:eastAsia="宋体" w:cs="Times New Roman"/>
                <w:color w:val="auto"/>
                <w:kern w:val="0"/>
                <w:sz w:val="22"/>
                <w:szCs w:val="22"/>
                <w:highlight w:val="none"/>
                <w:lang w:val="en-US" w:eastAsia="zh-CN" w:bidi="ar"/>
              </w:rPr>
              <w:t>安全教育培训</w:t>
            </w:r>
            <w:r>
              <w:rPr>
                <w:rFonts w:hint="eastAsia" w:ascii="Times New Roman" w:hAnsi="Times New Roman" w:eastAsia="宋体" w:cs="Times New Roman"/>
                <w:color w:val="auto"/>
                <w:kern w:val="0"/>
                <w:sz w:val="22"/>
                <w:szCs w:val="22"/>
                <w:highlight w:val="none"/>
                <w:lang w:val="en-US" w:eastAsia="zh-CN" w:bidi="ar"/>
              </w:rPr>
              <w:t>（20）</w:t>
            </w:r>
            <w:r>
              <w:rPr>
                <w:rFonts w:hint="default" w:ascii="Times New Roman" w:hAnsi="Times New Roman" w:eastAsia="宋体" w:cs="Times New Roman"/>
                <w:color w:val="auto"/>
                <w:kern w:val="0"/>
                <w:sz w:val="22"/>
                <w:szCs w:val="22"/>
                <w:highlight w:val="none"/>
                <w:lang w:val="en-US" w:eastAsia="zh-CN" w:bidi="ar"/>
              </w:rPr>
              <w:t>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企业应组织开展安全生产的法律、法规、规章制度和安全生产知识的宣传、教育</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企业应将安全生产法律法规的培训学习要求，纳入到企业制定的安全学习培训制度中，将适用的安全生产法律法规、标准规范及其他要求及时传达给从业人员。企业应对新的重要的法律法规进行专门培训，并对学习情况进行考核</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FF0000"/>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无安全生产法律法规、标准及其他要求宣传、培训相关记录资料的（培训通知、培训签到表、培训记录表），</w:t>
            </w:r>
            <w:r>
              <w:rPr>
                <w:rFonts w:hint="eastAsia" w:ascii="Times New Roman" w:hAnsi="Times New Roman" w:eastAsia="宋体" w:cs="Times New Roman"/>
                <w:color w:val="auto"/>
                <w:kern w:val="0"/>
                <w:sz w:val="22"/>
                <w:szCs w:val="22"/>
                <w:highlight w:val="none"/>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企业应对从业人员进行安全生产教育和培训，使从业人员具备必要的安全生产知识，熟悉相关</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的特性及应急处置方法，熟悉有关的安全生产规章制度和安全操作规程，掌握本岗位的安全操作技能。未经安全生产教育和培训合格的从业人员，不得上岗作业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；岗前培训不得少于24学时。</w:t>
            </w:r>
          </w:p>
        </w:tc>
        <w:tc>
          <w:tcPr>
            <w:tcW w:w="3982" w:type="dxa"/>
            <w:tcBorders>
              <w:tl2br w:val="nil"/>
              <w:tr2bl w:val="nil"/>
            </w:tcBorders>
            <w:shd w:val="clear" w:color="auto" w:fill="auto"/>
            <w:tcMar>
              <w:top w:w="75" w:type="dxa"/>
              <w:left w:w="90" w:type="dxa"/>
              <w:bottom w:w="75" w:type="dxa"/>
              <w:right w:w="90" w:type="dxa"/>
            </w:tcMar>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textAlignment w:val="auto"/>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第二十八条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eastAsia="zh-Hans"/>
                <w14:textFill>
                  <w14:solidFill>
                    <w14:schemeClr w14:val="tx1"/>
                  </w14:solidFill>
                </w14:textFill>
              </w:rPr>
            </w:pPr>
            <w:r>
              <w:rPr>
                <w:rFonts w:hint="eastAsia"/>
                <w:color w:val="000000" w:themeColor="text1"/>
                <w:sz w:val="22"/>
                <w:szCs w:val="22"/>
                <w:lang w:val="en-US" w:eastAsia="zh-Hans"/>
                <w14:textFill>
                  <w14:solidFill>
                    <w14:schemeClr w14:val="tx1"/>
                  </w14:solidFill>
                </w14:textFill>
              </w:rPr>
              <w:t>企业有</w:t>
            </w:r>
            <w:r>
              <w:rPr>
                <w:rFonts w:hint="default"/>
                <w:color w:val="000000" w:themeColor="text1"/>
                <w:sz w:val="22"/>
                <w:szCs w:val="22"/>
                <w:lang w:val="en-US" w:eastAsia="zh-CN"/>
                <w14:textFill>
                  <w14:solidFill>
                    <w14:schemeClr w14:val="tx1"/>
                  </w14:solidFill>
                </w14:textFill>
              </w:rPr>
              <w:t>未进行岗前安全培训教育，</w:t>
            </w:r>
            <w:r>
              <w:rPr>
                <w:rFonts w:hint="eastAsia"/>
                <w:color w:val="000000" w:themeColor="text1"/>
                <w:sz w:val="22"/>
                <w:szCs w:val="22"/>
                <w:lang w:val="en-US" w:eastAsia="zh-Hans"/>
                <w14:textFill>
                  <w14:solidFill>
                    <w14:schemeClr w14:val="tx1"/>
                  </w14:solidFill>
                </w14:textFill>
              </w:rPr>
              <w:t>直接上岗的人员</w:t>
            </w:r>
            <w:r>
              <w:rPr>
                <w:rFonts w:hint="default"/>
                <w:color w:val="000000" w:themeColor="text1"/>
                <w:sz w:val="22"/>
                <w:szCs w:val="22"/>
                <w:lang w:eastAsia="zh-Hans"/>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2.</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企业岗前培训内容达不到本行业和本单位的相关要求的</w:t>
            </w: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8.4 规范档案</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企业应当建立安全生产教育和培训档案，如实记录安全生产教育和培训的时间、内容、参加人员以及考核结果等情况</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w:t>
            </w:r>
            <w:r>
              <w:rPr>
                <w:rFonts w:hint="default" w:ascii="Times New Roman" w:hAnsi="Times New Roman" w:eastAsia="宋体" w:cs="Times New Roman"/>
                <w:color w:val="auto"/>
                <w:kern w:val="0"/>
                <w:sz w:val="22"/>
                <w:szCs w:val="22"/>
                <w:lang w:val="en-US" w:eastAsia="zh-CN" w:bidi="ar"/>
              </w:rPr>
              <w:t>二十八</w:t>
            </w:r>
            <w:r>
              <w:rPr>
                <w:rFonts w:hint="eastAsia" w:ascii="Times New Roman" w:hAnsi="Times New Roman" w:eastAsia="宋体" w:cs="Times New Roman"/>
                <w:color w:val="auto"/>
                <w:kern w:val="0"/>
                <w:sz w:val="22"/>
                <w:szCs w:val="22"/>
                <w:lang w:val="en-US" w:eastAsia="zh-CN" w:bidi="ar"/>
              </w:rPr>
              <w:t>条规定“生产经营单位应当建立安全生产教育和培训档案，如实记录安全生产教育和培训的时间、内容、参加人员以及考核结果等情况。”</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无教育培训档案记录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2.教育培训档案记录不真实、不准确的（培训的时间、内容、主讲老师、参加人员以及考核结果）</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九、</w:t>
            </w:r>
            <w:r>
              <w:rPr>
                <w:rFonts w:hint="default" w:ascii="Times New Roman" w:hAnsi="Times New Roman" w:eastAsia="宋体" w:cs="Times New Roman"/>
                <w:color w:val="auto"/>
                <w:kern w:val="0"/>
                <w:sz w:val="22"/>
                <w:szCs w:val="22"/>
                <w:lang w:val="en-US" w:eastAsia="zh-CN" w:bidi="ar"/>
              </w:rPr>
              <w:t xml:space="preserve">生产过程管理 </w:t>
            </w:r>
            <w:r>
              <w:rPr>
                <w:rFonts w:hint="eastAsia" w:ascii="Times New Roman" w:hAnsi="Times New Roman" w:eastAsia="宋体" w:cs="Times New Roman"/>
                <w:color w:val="auto"/>
                <w:kern w:val="0"/>
                <w:sz w:val="22"/>
                <w:szCs w:val="22"/>
                <w:lang w:val="en-US" w:eastAsia="zh-CN" w:bidi="ar"/>
              </w:rPr>
              <w:t>160</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9.1 基本要求</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strike w:val="0"/>
                <w:dstrike w:val="0"/>
                <w:color w:val="auto"/>
                <w:kern w:val="0"/>
                <w:sz w:val="22"/>
                <w:szCs w:val="22"/>
                <w:lang w:val="en-US" w:eastAsia="zh-CN" w:bidi="ar"/>
              </w:rPr>
              <w:t>企业</w:t>
            </w:r>
            <w:r>
              <w:rPr>
                <w:rFonts w:hint="eastAsia" w:ascii="Times New Roman" w:hAnsi="Times New Roman" w:eastAsia="宋体" w:cs="Times New Roman"/>
                <w:strike w:val="0"/>
                <w:dstrike w:val="0"/>
                <w:color w:val="auto"/>
                <w:kern w:val="0"/>
                <w:sz w:val="22"/>
                <w:szCs w:val="22"/>
                <w:lang w:val="en-US" w:eastAsia="zh-CN" w:bidi="ar"/>
              </w:rPr>
              <w:t>严格执行操作规程和安全生产作业规定</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企业应严格执行操作规程和安全生产作业规定.不得违章指挥、违章操作、违反劳动纪律.加强对生产现场监督检查.严厉查 处 上 述 “ 三 违”行为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default" w:ascii="Times New Roman" w:hAnsi="Times New Roman" w:eastAsia="宋体" w:cs="Times New Roman"/>
                <w:strike w:val="0"/>
                <w:dstrike w:val="0"/>
                <w:color w:val="auto"/>
                <w:kern w:val="0"/>
                <w:sz w:val="22"/>
                <w:szCs w:val="22"/>
                <w:lang w:val="en-US" w:eastAsia="zh-CN" w:bidi="ar"/>
              </w:rPr>
              <w:t>10</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eastAsia" w:ascii="Times New Roman" w:hAnsi="Times New Roman" w:eastAsia="宋体" w:cs="Times New Roman"/>
                <w:strike w:val="0"/>
                <w:dstrike w:val="0"/>
                <w:color w:val="auto"/>
                <w:kern w:val="0"/>
                <w:sz w:val="22"/>
                <w:szCs w:val="22"/>
                <w:lang w:val="en-US" w:eastAsia="zh-CN" w:bidi="ar"/>
              </w:rPr>
              <w:t>现场抽查</w:t>
            </w:r>
            <w:r>
              <w:rPr>
                <w:rFonts w:hint="default" w:ascii="Times New Roman" w:hAnsi="Times New Roman" w:eastAsia="宋体" w:cs="Times New Roman"/>
                <w:strike w:val="0"/>
                <w:dstrike w:val="0"/>
                <w:color w:val="auto"/>
                <w:kern w:val="0"/>
                <w:sz w:val="22"/>
                <w:szCs w:val="22"/>
                <w:lang w:val="en-US" w:eastAsia="zh-CN" w:bidi="ar"/>
              </w:rPr>
              <w:t>存在</w:t>
            </w:r>
            <w:r>
              <w:rPr>
                <w:rFonts w:hint="eastAsia" w:ascii="Times New Roman" w:hAnsi="Times New Roman" w:eastAsia="宋体" w:cs="Times New Roman"/>
                <w:strike w:val="0"/>
                <w:dstrike w:val="0"/>
                <w:color w:val="auto"/>
                <w:kern w:val="0"/>
                <w:sz w:val="22"/>
                <w:szCs w:val="22"/>
                <w:lang w:val="en-US" w:eastAsia="zh-CN" w:bidi="ar"/>
              </w:rPr>
              <w:t>违规行为</w:t>
            </w:r>
            <w:r>
              <w:rPr>
                <w:rFonts w:hint="default" w:ascii="Times New Roman" w:hAnsi="Times New Roman" w:eastAsia="宋体" w:cs="Times New Roman"/>
                <w:strike w:val="0"/>
                <w:dstrike w:val="0"/>
                <w:color w:val="auto"/>
                <w:kern w:val="0"/>
                <w:sz w:val="22"/>
                <w:szCs w:val="22"/>
                <w:lang w:val="en-US" w:eastAsia="zh-CN" w:bidi="ar"/>
              </w:rPr>
              <w:t>，</w:t>
            </w:r>
            <w:r>
              <w:rPr>
                <w:rFonts w:hint="eastAsia" w:ascii="Times New Roman" w:hAnsi="Times New Roman" w:eastAsia="宋体" w:cs="Times New Roman"/>
                <w:strike w:val="0"/>
                <w:dstrike w:val="0"/>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企业应落实安全生产值班制度，重要时期实行领导到岗带班</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企业主要负责人、领导班子成员和生产经营管理人员要认真执行现场带班的规定，认真制订本企业领导成员带班制度，</w:t>
            </w:r>
            <w:r>
              <w:rPr>
                <w:rFonts w:hint="default" w:ascii="Arial" w:hAnsi="Arial" w:eastAsia="宋体" w:cs="Arial"/>
                <w:i w:val="0"/>
                <w:iCs w:val="0"/>
                <w:caps w:val="0"/>
                <w:color w:val="auto"/>
                <w:spacing w:val="0"/>
                <w:kern w:val="0"/>
                <w:sz w:val="22"/>
                <w:szCs w:val="22"/>
                <w:shd w:val="clear" w:fill="FFFFFF"/>
                <w:lang w:val="en-US" w:eastAsia="zh-CN" w:bidi="ar"/>
              </w:rPr>
              <w:t>重要时期实行领导到岗带班</w:t>
            </w:r>
            <w:r>
              <w:rPr>
                <w:rFonts w:hint="eastAsia" w:ascii="Arial" w:hAnsi="Arial" w:eastAsia="宋体" w:cs="Arial"/>
                <w:i w:val="0"/>
                <w:iCs w:val="0"/>
                <w:caps w:val="0"/>
                <w:color w:val="auto"/>
                <w:spacing w:val="0"/>
                <w:kern w:val="0"/>
                <w:sz w:val="22"/>
                <w:szCs w:val="22"/>
                <w:shd w:val="clear" w:fill="FFFFFF"/>
                <w:lang w:val="en-US" w:eastAsia="zh-CN" w:bidi="ar"/>
              </w:rPr>
              <w:t>，及时发现和解决问题，并据实做好交接</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1.无企业值班制度的，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；2.无安全生产值班计划的，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9.2 营运管理</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企业严格审核驾驶员的驾驶证件</w:t>
            </w:r>
            <w:r>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从业资格证和驾驶经历</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《道路运输从业人员管理规定》</w:t>
            </w:r>
          </w:p>
          <w:p>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第十条　经营性道路货物运输驾驶员应当符合下列条件：</w:t>
            </w:r>
          </w:p>
          <w:p>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（一）取得相应的机动车驾驶证；</w:t>
            </w:r>
          </w:p>
          <w:p>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（二）年龄不超过60周岁；</w:t>
            </w:r>
          </w:p>
          <w:p>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（三）掌握相关道路货物运输法规、机动车维修和货物装载保管基本知识；</w:t>
            </w:r>
          </w:p>
          <w:p>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微软雅黑" w:hAnsi="微软雅黑" w:eastAsia="微软雅黑" w:cs="微软雅黑"/>
                <w:i w:val="0"/>
                <w:iCs w:val="0"/>
                <w:caps w:val="0"/>
                <w:color w:val="444444"/>
                <w:spacing w:val="0"/>
                <w:sz w:val="19"/>
                <w:szCs w:val="19"/>
              </w:rPr>
            </w:pPr>
            <w:r>
              <w:rPr>
                <w:rFonts w:hint="eastAsia" w:ascii="Arial" w:hAnsi="Arial" w:eastAsia="宋体" w:cs="Arial"/>
                <w:i w:val="0"/>
                <w:iCs w:val="0"/>
                <w:caps w:val="0"/>
                <w:color w:val="auto"/>
                <w:spacing w:val="0"/>
                <w:kern w:val="0"/>
                <w:sz w:val="22"/>
                <w:szCs w:val="22"/>
                <w:shd w:val="clear" w:fill="FFFFFF"/>
                <w:lang w:val="en-US" w:eastAsia="zh-CN" w:bidi="ar"/>
              </w:rPr>
              <w:t>（四）经考试合格，取得相应的从业资格证件</w:t>
            </w:r>
            <w:r>
              <w:rPr>
                <w:rFonts w:hint="eastAsia" w:ascii="微软雅黑" w:hAnsi="微软雅黑" w:eastAsia="微软雅黑" w:cs="微软雅黑"/>
                <w:i w:val="0"/>
                <w:iCs w:val="0"/>
                <w:caps w:val="0"/>
                <w:color w:val="444444"/>
                <w:spacing w:val="0"/>
                <w:sz w:val="19"/>
                <w:szCs w:val="19"/>
                <w:shd w:val="clear" w:fill="FFFFFF"/>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聘用的驾驶员应符合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相应</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条件</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企业应当建立驾驶人员安全行车档案，实行一人一档</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企业应当建立驾驶人员安全行车档案，实行一人一档</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未建立驾驶员行车安全档案的，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档案记录内容不齐全的，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驾驶员安全档案未实行一人一档的，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eastAsia="zh-CN" w:bidi="ar"/>
                <w14:textFill>
                  <w14:solidFill>
                    <w14:schemeClr w14:val="tx1"/>
                  </w14:solidFill>
                </w14:textFill>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 xml:space="preserve">9.3 运输 </w:t>
            </w:r>
            <w:r>
              <w:rPr>
                <w:rFonts w:hint="eastAsia" w:ascii="Times New Roman" w:hAnsi="Times New Roman" w:eastAsia="宋体" w:cs="Times New Roman"/>
                <w:color w:val="auto"/>
                <w:kern w:val="0"/>
                <w:sz w:val="22"/>
                <w:szCs w:val="22"/>
                <w:highlight w:val="none"/>
                <w:lang w:val="en-US" w:eastAsia="zh-CN" w:bidi="ar"/>
              </w:rPr>
              <w:t>（85</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运输车辆技术等级应当按《</w:t>
            </w:r>
            <w:r>
              <w:rPr>
                <w:rFonts w:hint="eastAsia" w:ascii="Times New Roman" w:hAnsi="Times New Roman" w:eastAsia="宋体" w:cs="Times New Roman"/>
                <w:color w:val="auto"/>
                <w:kern w:val="0"/>
                <w:sz w:val="22"/>
                <w:szCs w:val="22"/>
                <w:lang w:val="en-US" w:eastAsia="zh-CN" w:bidi="ar"/>
              </w:rPr>
              <w:t>机动车安全技术检验项目和方法</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GB 38900-2020</w:t>
            </w:r>
            <w:r>
              <w:rPr>
                <w:rFonts w:hint="default" w:ascii="Times New Roman" w:hAnsi="Times New Roman" w:eastAsia="宋体" w:cs="Times New Roman"/>
                <w:color w:val="auto"/>
                <w:kern w:val="0"/>
                <w:sz w:val="22"/>
                <w:szCs w:val="22"/>
                <w:lang w:val="en-US" w:eastAsia="zh-CN" w:bidi="ar"/>
              </w:rPr>
              <w:t>的要求</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GB 38900-2020 机动车安全技术检验项目和方法</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1.无车辆综合性能检测报告或技术等级评定报告，</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；2.车辆技术等级达不到</w:t>
            </w:r>
            <w:r>
              <w:rPr>
                <w:rFonts w:hint="eastAsia" w:ascii="Times New Roman" w:hAnsi="Times New Roman" w:eastAsia="宋体" w:cs="Times New Roman"/>
                <w:color w:val="auto"/>
                <w:kern w:val="0"/>
                <w:sz w:val="22"/>
                <w:szCs w:val="22"/>
                <w:lang w:val="en-US" w:eastAsia="zh-CN" w:bidi="ar"/>
              </w:rPr>
              <w:t>要求</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企业应设置相应的部门负责车辆技术管理工作，并按要求配备车辆技术管理人员</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《道路运输车辆技术管理规定》第十一条规定“鼓励道路运输经营者设置相应的部门负责车辆技术管理工作，并根据车辆数量和经营类别配备车辆技术管理人员，对车辆实施有效的技术管理”</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无车辆管理人员任职文件</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2.为未设置车辆管理部门或机构，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3.车辆技术管理人员不了解岗位职责及车辆技术状况，</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20" w:hRule="atLeast"/>
        </w:trPr>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应当建立车辆技术档案，实行一车一档。档案内容应当主要包括:车辆基本信息，车辆技术等级评定、客车类型等级评定或者年度类型等级评定复核、车辆维护和修理(含《机动车维修竣工出厂合格证》)、车辆主要零部件更换、车辆变更、行驶里程、对车辆造成损伤的交通事故等记录</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《道路运输车辆技术管理规定》</w:t>
            </w:r>
            <w:r>
              <w:rPr>
                <w:rFonts w:hint="default" w:ascii="Times New Roman" w:hAnsi="Times New Roman" w:eastAsia="宋体" w:cs="Times New Roman"/>
                <w:color w:val="auto"/>
                <w:kern w:val="0"/>
                <w:sz w:val="22"/>
                <w:szCs w:val="22"/>
                <w:lang w:val="en-US" w:eastAsia="zh-CN" w:bidi="ar"/>
              </w:rPr>
              <w:t>第十四条　道路运输经营者应当建立车辆技术档案制度，实行一车一档。档案内容应当主要包括：车辆基本信息，车辆技术等级评定、</w:t>
            </w:r>
            <w:r>
              <w:rPr>
                <w:rFonts w:hint="default" w:ascii="Times New Roman" w:hAnsi="Times New Roman" w:eastAsia="宋体" w:cs="Times New Roman"/>
                <w:color w:val="auto"/>
                <w:kern w:val="0"/>
                <w:sz w:val="22"/>
                <w:szCs w:val="22"/>
                <w:highlight w:val="none"/>
                <w:lang w:val="en-US" w:eastAsia="zh-CN" w:bidi="ar"/>
              </w:rPr>
              <w:t>客车类型</w:t>
            </w:r>
            <w:r>
              <w:rPr>
                <w:rFonts w:hint="default" w:ascii="Times New Roman" w:hAnsi="Times New Roman" w:eastAsia="宋体" w:cs="Times New Roman"/>
                <w:color w:val="auto"/>
                <w:kern w:val="0"/>
                <w:sz w:val="22"/>
                <w:szCs w:val="22"/>
                <w:lang w:val="en-US" w:eastAsia="zh-CN" w:bidi="ar"/>
              </w:rPr>
              <w:t>等级评定或者年度类型等级评定复核、车辆维护和修理（含《机动车维修竣工出厂合格证》）、车辆主要零部件更换、车辆变更、行驶里程、对车辆造成损伤的交通事故等记录。档案内容应当准确、详实</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无车辆技术档案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2.车辆技术档案未实现一车一档，</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3.车辆技术档案内容不符合要求的，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highlight w:val="none"/>
                <w:lang w:val="en-US" w:eastAsia="zh-CN" w:bidi="ar"/>
              </w:rPr>
              <w:t>企业运输货物应符合车辆核定范围和要求.不得超限、超载运输.</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所称“超载”是指违反有关规定，超过核定的载重量进行运输。所称“超限”是指装载货物违反规定的货物体积要求。运输车辆超限、超载是造成道路交通事故的重要原因，因此严格按核定载荷范围运输可以降低安全事故的发生保护人民生命财产安全。货物运输企业应按照《道路货物运输及站场管理规定》规定，运输货物做到符合货运车辆核定的载质量，载物的长、宽、高不违反装载要求。</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val="en-US" w:eastAsia="zh-CN"/>
              </w:rPr>
            </w:pPr>
            <w:r>
              <w:rPr>
                <w:rFonts w:hint="eastAsia" w:ascii="Times New Roman" w:hAnsi="Times New Roman" w:eastAsia="宋体" w:cs="Times New Roman"/>
                <w:color w:val="auto"/>
                <w:kern w:val="0"/>
                <w:sz w:val="22"/>
                <w:szCs w:val="22"/>
                <w:highlight w:val="none"/>
                <w:lang w:val="en-US" w:eastAsia="zh-CN" w:bidi="ar"/>
              </w:rPr>
              <w:t>车辆应严格按核定载荷范围内运行.无违反规定超限、超载运输，考评前一年内，一辆扣5分</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 5 \* GB3 \* MERGEFORMAT </w:instrText>
            </w:r>
            <w:r>
              <w:rPr>
                <w:rFonts w:hint="eastAsia"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eastAsia"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驾驶人员应当做好出车前、行车中及收车后的车辆检查工作</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驾驶人员应当做好出车前、行车中及收车后的车辆检查工作，发现故障及隐患，及时排除，</w:t>
            </w:r>
            <w:r>
              <w:rPr>
                <w:rFonts w:hint="eastAsia" w:ascii="Times New Roman" w:hAnsi="Times New Roman" w:eastAsia="宋体" w:cs="Times New Roman"/>
                <w:color w:val="auto"/>
                <w:kern w:val="0"/>
                <w:sz w:val="22"/>
                <w:szCs w:val="22"/>
                <w:highlight w:val="none"/>
                <w:lang w:val="en-US" w:eastAsia="zh-CN" w:bidi="ar"/>
              </w:rPr>
              <w:t>填写检查记录</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eastAsia="zh-CN"/>
              </w:rPr>
            </w:pPr>
            <w:r>
              <w:rPr>
                <w:rFonts w:hint="eastAsia" w:ascii="Times New Roman" w:hAnsi="Times New Roman" w:eastAsia="宋体" w:cs="Times New Roman"/>
                <w:color w:val="auto"/>
                <w:sz w:val="22"/>
                <w:szCs w:val="22"/>
                <w:highlight w:val="none"/>
                <w:lang w:val="en-US" w:eastAsia="zh-CN"/>
              </w:rPr>
              <w:t>未填写检查记录，不符合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val="en-US" w:eastAsia="zh-CN"/>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消防管理</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企业主要负责人是本单位的消防安全责任人，对本单位的消防安全工作全面负责</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《中华人民共和国消防法》第十六条规定：单位的主要负责人是本单位的消防安全责任人。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消防安全责任人是对单位的消防安全工作全面负责的人。一般法人单位的法定代表人或非法人单位的主要负责人是单位的消防安全责任人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无消防安全责任制文件，</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企业应制定消防设施及器材管理制度，消防器材及设施应有专人负责，定期组织检验、维修，保存检验、维修记录，确保所有消防器材及设施可靠、有效，随时可用</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消防器材及设施应有专人负责管理，包括对器材设施的日常维护，定期检验维修等，并应做好相应记录，保证所有消防器材可靠、有效，随时可用</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无管理制度</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明确负责人</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无消防设施及器材检修记录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4.消防器材及设施无效，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企业应保障安全出口、疏散通道及消防车通道的畅通，消防通道应有明显的指示标志</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企业办公场所</w:t>
            </w:r>
            <w:r>
              <w:rPr>
                <w:rFonts w:hint="default" w:ascii="Times New Roman" w:hAnsi="Times New Roman" w:eastAsia="宋体" w:cs="Times New Roman"/>
                <w:color w:val="auto"/>
                <w:kern w:val="0"/>
                <w:sz w:val="22"/>
                <w:szCs w:val="22"/>
                <w:lang w:val="en-US" w:eastAsia="zh-CN" w:bidi="ar"/>
              </w:rPr>
              <w:t>应该按照《建筑设计防火规范》（GB 50016—2014）</w:t>
            </w:r>
            <w:r>
              <w:rPr>
                <w:rFonts w:hint="eastAsia" w:ascii="Times New Roman" w:hAnsi="Times New Roman" w:eastAsia="宋体" w:cs="Times New Roman"/>
                <w:color w:val="auto"/>
                <w:kern w:val="0"/>
                <w:sz w:val="22"/>
                <w:szCs w:val="22"/>
                <w:lang w:val="en-US" w:eastAsia="zh-CN" w:bidi="ar"/>
              </w:rPr>
              <w:t>2018版</w:t>
            </w:r>
            <w:r>
              <w:rPr>
                <w:rFonts w:hint="default" w:ascii="Times New Roman" w:hAnsi="Times New Roman" w:eastAsia="宋体" w:cs="Times New Roman"/>
                <w:color w:val="auto"/>
                <w:kern w:val="0"/>
                <w:sz w:val="22"/>
                <w:szCs w:val="22"/>
                <w:lang w:val="en-US" w:eastAsia="zh-CN" w:bidi="ar"/>
              </w:rPr>
              <w:t>，合理设计、管理本单位安全出口、疏散通道及消防车通道。安全出口、疏散通道及消防车通道不得被侵占或挪作它用，并应有明显的指示标志</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消防通道不畅通的，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w:t>
            </w:r>
            <w:r>
              <w:rPr>
                <w:rFonts w:hint="default" w:ascii="Times New Roman" w:hAnsi="Times New Roman" w:eastAsia="宋体" w:cs="Times New Roman"/>
                <w:color w:val="auto"/>
                <w:kern w:val="0"/>
                <w:sz w:val="22"/>
                <w:szCs w:val="22"/>
                <w:lang w:val="en-US" w:eastAsia="zh-CN" w:bidi="ar"/>
              </w:rPr>
              <w:t xml:space="preserve"> 风险管理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10.1 一般要求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企业应依法依规建立健全安全生产风险管理制度，选定合适的风险评估方法，明确风险评估规则</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第四条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企业应编制风险评价规则，规则应根据不同岗位、过程和场所辨识风险，从发生危险的可能性和严重程度等方面对风险因素进行分析，选择采用合适的风险评估方法。</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未制定发布企业安全生产风险管理工作制度</w:t>
            </w:r>
            <w:r>
              <w:rPr>
                <w:rFonts w:hint="eastAsia" w:ascii="Times New Roman" w:hAnsi="Times New Roman" w:eastAsia="宋体" w:cs="Times New Roman"/>
                <w:color w:val="auto"/>
                <w:kern w:val="0"/>
                <w:sz w:val="22"/>
                <w:szCs w:val="22"/>
                <w:lang w:val="en-US" w:eastAsia="zh-CN" w:bidi="ar"/>
              </w:rPr>
              <w:t>，辨识、评价方法和准则不明确的，不符合</w:t>
            </w:r>
            <w:r>
              <w:rPr>
                <w:rFonts w:hint="default" w:ascii="Times New Roman" w:hAnsi="Times New Roman" w:eastAsia="宋体" w:cs="Times New Roman"/>
                <w:color w:val="auto"/>
                <w:kern w:val="0"/>
                <w:sz w:val="22"/>
                <w:szCs w:val="22"/>
                <w:lang w:val="en-US" w:eastAsia="zh-CN"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（30分）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企业应从发生危险的可能性和严重程度等方面对风险因素进行分析，开展本单位管理范围内的风险辨识、评估、管控等工作</w:t>
            </w:r>
            <w:r>
              <w:rPr>
                <w:rFonts w:hint="eastAsia" w:ascii="Times New Roman" w:hAnsi="Times New Roman" w:eastAsia="宋体" w:cs="Times New Roman"/>
                <w:color w:val="auto"/>
                <w:kern w:val="0"/>
                <w:sz w:val="22"/>
                <w:szCs w:val="22"/>
                <w:lang w:val="en-US" w:eastAsia="zh-CN" w:bidi="ar"/>
              </w:rPr>
              <w:t>。</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rPr>
            </w:pPr>
            <w:r>
              <w:rPr>
                <w:rFonts w:hint="eastAsia" w:ascii="宋体" w:hAnsi="宋体"/>
                <w:sz w:val="22"/>
                <w:szCs w:val="22"/>
              </w:rPr>
              <w:t>依据</w:t>
            </w:r>
            <w:r>
              <w:rPr>
                <w:rFonts w:ascii="宋体" w:hAnsi="宋体"/>
                <w:sz w:val="22"/>
                <w:szCs w:val="22"/>
              </w:rPr>
              <w:t>《</w:t>
            </w:r>
            <w:r>
              <w:rPr>
                <w:rFonts w:hint="eastAsia" w:ascii="宋体" w:hAnsi="宋体"/>
                <w:sz w:val="22"/>
                <w:szCs w:val="22"/>
              </w:rPr>
              <w:t>公路水路行业</w:t>
            </w:r>
            <w:r>
              <w:rPr>
                <w:rFonts w:ascii="宋体" w:hAnsi="宋体"/>
                <w:sz w:val="22"/>
                <w:szCs w:val="22"/>
              </w:rPr>
              <w:t>安全生产风险管理</w:t>
            </w:r>
            <w:r>
              <w:rPr>
                <w:rFonts w:hint="eastAsia" w:ascii="宋体" w:hAnsi="宋体"/>
                <w:sz w:val="22"/>
                <w:szCs w:val="22"/>
              </w:rPr>
              <w:t>暂行办法</w:t>
            </w:r>
            <w:r>
              <w:rPr>
                <w:rFonts w:ascii="宋体" w:hAnsi="宋体"/>
                <w:sz w:val="22"/>
                <w:szCs w:val="22"/>
              </w:rPr>
              <w:t>》</w:t>
            </w:r>
            <w:r>
              <w:rPr>
                <w:rFonts w:hint="eastAsia" w:ascii="宋体" w:hAnsi="宋体"/>
                <w:sz w:val="22"/>
                <w:szCs w:val="22"/>
              </w:rPr>
              <w:t>第十一条明确要求：生产经营单位应针对本单位生产经营活动范围及其生产经营环节，按照相关法规标准要求，编制风险辨识手册，明确风险辨识范围、方式和程序。</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风险辨识是运用各种方法对尚未发生的潜在风险以及客观存在的各种风险进行系统归类和全面识别。</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辨识范围：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（一）从业人员安全意识、安全与应急技能、安全行为或状态；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（二）生产经营场所、运输车辆、停车场、道路运输等设施设备的安全可靠性以及运行风险；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（三）影响安全生产外部要素的环境；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（四）安全生产的管理机构、工作机制及安全生产管理制度合规和完备性</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无风险辨识、评估等工作的记录，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.辨识评估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不全面或缺失，</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风险清单无风险等级，</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50" w:hRule="atLeast"/>
        </w:trPr>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宋体" w:hAnsi="宋体"/>
                <w:sz w:val="22"/>
                <w:szCs w:val="22"/>
                <w:lang w:val="en-US" w:eastAsia="zh-CN"/>
              </w:rPr>
              <w:fldChar w:fldCharType="begin"/>
            </w:r>
            <w:r>
              <w:rPr>
                <w:rFonts w:hint="default" w:ascii="宋体" w:hAnsi="宋体"/>
                <w:sz w:val="22"/>
                <w:szCs w:val="22"/>
                <w:lang w:val="en-US" w:eastAsia="zh-CN"/>
              </w:rPr>
              <w:instrText xml:space="preserve"> = 2 \* GB3 \* MERGEFORMAT </w:instrText>
            </w:r>
            <w:r>
              <w:rPr>
                <w:rFonts w:hint="default" w:ascii="宋体" w:hAnsi="宋体"/>
                <w:sz w:val="22"/>
                <w:szCs w:val="22"/>
                <w:lang w:val="en-US" w:eastAsia="zh-CN"/>
              </w:rPr>
              <w:fldChar w:fldCharType="separate"/>
            </w:r>
            <w:r>
              <w:rPr>
                <w:rFonts w:hint="eastAsia" w:ascii="宋体" w:hAnsi="宋体"/>
                <w:sz w:val="22"/>
                <w:szCs w:val="22"/>
                <w:lang w:val="en-US" w:eastAsia="zh-CN"/>
              </w:rPr>
              <w:t>②</w:t>
            </w:r>
            <w:r>
              <w:rPr>
                <w:rFonts w:hint="default" w:ascii="宋体" w:hAnsi="宋体"/>
                <w:sz w:val="22"/>
                <w:szCs w:val="22"/>
                <w:lang w:val="en-US" w:eastAsia="zh-CN"/>
              </w:rPr>
              <w:fldChar w:fldCharType="end"/>
            </w:r>
            <w:r>
              <w:rPr>
                <w:rFonts w:hint="eastAsia" w:ascii="宋体" w:hAnsi="宋体"/>
                <w:sz w:val="22"/>
                <w:szCs w:val="22"/>
                <w:lang w:val="en-US" w:eastAsia="zh-CN"/>
              </w:rPr>
              <w:t>运输企业风险点辨识至少要包含：普通货物风险、车辆（技术状况、主动装置、被动安全装置）、行驶路线（急转弯、连续下坡、山区道路、隧道、桥梁、冰雪路面、涉水路面、城乡结合部路段等）、驾驶人员不安全行为（疲劳、酒后、接打电话、注意力不集中、带病驾驶、心里状态等）、恶劣天气（雨雪、大雾、高温、沙尘等）、自然灾害（地震、冰雹等）。</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240FEB"/>
                <w:kern w:val="0"/>
                <w:sz w:val="22"/>
                <w:szCs w:val="22"/>
                <w:highlight w:val="none"/>
                <w:lang w:val="en-US" w:eastAsia="zh-CN" w:bidi="ar"/>
              </w:rPr>
            </w:pP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10.3</w:t>
            </w:r>
            <w:r>
              <w:rPr>
                <w:rFonts w:hint="default" w:ascii="Times New Roman" w:hAnsi="Times New Roman" w:eastAsia="宋体" w:cs="Times New Roman"/>
                <w:color w:val="auto"/>
                <w:kern w:val="0"/>
                <w:sz w:val="22"/>
                <w:szCs w:val="22"/>
                <w:lang w:val="en-US" w:eastAsia="zh-CN" w:bidi="ar"/>
              </w:rPr>
              <w:t>风险控制</w:t>
            </w:r>
            <w:r>
              <w:rPr>
                <w:rFonts w:hint="eastAsia" w:ascii="Times New Roman" w:hAnsi="Times New Roman" w:eastAsia="宋体" w:cs="Times New Roman"/>
                <w:color w:val="auto"/>
                <w:kern w:val="0"/>
                <w:sz w:val="22"/>
                <w:szCs w:val="22"/>
                <w:lang w:val="en-US" w:eastAsia="zh-CN" w:bidi="ar"/>
              </w:rPr>
              <w:t>（20分）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建立风险管控清单，</w:t>
            </w:r>
            <w:r>
              <w:rPr>
                <w:rFonts w:hint="default" w:ascii="Times New Roman" w:hAnsi="Times New Roman" w:eastAsia="宋体" w:cs="Times New Roman"/>
                <w:color w:val="auto"/>
                <w:kern w:val="0"/>
                <w:sz w:val="22"/>
                <w:szCs w:val="22"/>
                <w:lang w:val="en-US" w:eastAsia="zh-CN" w:bidi="ar"/>
              </w:rPr>
              <w:t>企业应根据风险评估结果及经营运行情况等，按以下顺序确定控制措施： a）消除； b）替代；</w:t>
            </w:r>
            <w:r>
              <w:rPr>
                <w:rFonts w:hint="default" w:ascii="Times New Roman" w:hAnsi="Times New Roman" w:eastAsia="宋体" w:cs="Times New Roman"/>
                <w:color w:val="auto"/>
                <w:kern w:val="0"/>
                <w:sz w:val="22"/>
                <w:szCs w:val="22"/>
                <w:highlight w:val="none"/>
                <w:lang w:val="en-US" w:eastAsia="zh-CN" w:bidi="ar"/>
              </w:rPr>
              <w:t xml:space="preserve"> c）</w:t>
            </w:r>
            <w:r>
              <w:rPr>
                <w:rFonts w:hint="default" w:ascii="Times New Roman" w:hAnsi="Times New Roman" w:eastAsia="宋体" w:cs="Times New Roman"/>
                <w:color w:val="auto"/>
                <w:kern w:val="0"/>
                <w:sz w:val="22"/>
                <w:szCs w:val="22"/>
                <w:lang w:val="en-US" w:eastAsia="zh-CN" w:bidi="ar"/>
              </w:rPr>
              <w:t>设置标志警告和（或）管理控制措施； e）个体防护装备等</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企业应根据风险评价的结果及经营运行情况等，确定不可接受的风险，制定并落实控制措施，将风险尤其是重大风险控制在可以接受的程度；风险控制措施符合相关标准要求。企业在选择风险控制措施时：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1、应考虑：⑴可行性；⑵安全性；⑶可靠性。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2、应包括：⑴工程技术措施；⑵管理措施；⑶培训教育措施；⑷个体防护措施</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1.未建立风险管控清单；不符合。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.重大风险未登记或报备，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3.未开展主要风险控制措施培训的，不符合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highlight w:val="none"/>
                <w:lang w:val="en-US" w:eastAsia="zh-CN" w:bidi="ar"/>
              </w:rPr>
              <w:t>10.</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重大风险管控 </w:t>
            </w:r>
            <w:r>
              <w:rPr>
                <w:rFonts w:hint="eastAsia" w:ascii="Times New Roman" w:hAnsi="Times New Roman" w:eastAsia="宋体" w:cs="Times New Roman"/>
                <w:color w:val="auto"/>
                <w:kern w:val="0"/>
                <w:sz w:val="22"/>
                <w:szCs w:val="22"/>
                <w:lang w:val="en-US" w:eastAsia="zh-CN" w:bidi="ar"/>
              </w:rPr>
              <w:t>（20分）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企业对重大风险进行登记建档，设置重大风险监控系统，制定动态监测计划，并单独编制专项应急措施</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公路水路行业安全生产风险管理暂行办法》第二十四条规定：生产经营单位应如实记录风险辨识、评估、监测、管控等工作，并规范管理档案。重大风险应单独建立清单和专项档案。第二十六条规定：（一）：对重大风险制定动态监测计划，定期更新监测数据或状态，每月不少于1次，并单独建档；（二）重大风险应单独编制专项应急措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企业对确定认的重大风险都应按照规定登记建档。重大风险档案主要内容包括基本信息、管控信息、预警信息和事故信息等</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企业未建立重大风险登记档案，</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无针对重大风险的专项应急措施。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.重大风险的专项应急措施不正确或不全面</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862" w:hRule="atLeast"/>
        </w:trPr>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十一、</w:t>
            </w:r>
            <w:r>
              <w:rPr>
                <w:rFonts w:hint="default" w:ascii="Times New Roman" w:hAnsi="Times New Roman" w:eastAsia="宋体" w:cs="Times New Roman"/>
                <w:color w:val="auto"/>
                <w:kern w:val="0"/>
                <w:sz w:val="22"/>
                <w:szCs w:val="22"/>
                <w:lang w:val="en-US" w:eastAsia="zh-CN" w:bidi="ar"/>
              </w:rPr>
              <w:t xml:space="preserve"> 隐患排查与治理 </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11.1 隐患排查</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企业应落实隐患排查治理和防控责任制，组织事故隐患排查治理工作，实行从隐患排查、记录、监控、治理、销账到报告的闭环管理</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一条规定：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企业应制定隐患排查治理和防控制度；</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企业应明确隐患排查治理的责任部门和人员；</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制度应明确安全隐患排查、记录、监控、治理、销账和报告等闭环要求</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lang w:val="en-US" w:eastAsia="zh-CN"/>
              </w:rPr>
              <w:fldChar w:fldCharType="begin"/>
            </w:r>
            <w:r>
              <w:rPr>
                <w:rFonts w:hint="default"/>
                <w:lang w:val="en-US" w:eastAsia="zh-CN"/>
              </w:rPr>
              <w:instrText xml:space="preserve"> = 2 \* GB3 \* MERGEFORMAT </w:instrText>
            </w:r>
            <w:r>
              <w:rPr>
                <w:rFonts w:hint="default"/>
                <w:lang w:val="en-US" w:eastAsia="zh-CN"/>
              </w:rPr>
              <w:fldChar w:fldCharType="separate"/>
            </w:r>
            <w:r>
              <w:rPr>
                <w:rFonts w:hint="default"/>
                <w:lang w:val="en-US" w:eastAsia="zh-CN"/>
              </w:rPr>
              <w:t>②</w:t>
            </w:r>
            <w:r>
              <w:rPr>
                <w:rFonts w:hint="default"/>
                <w:lang w:val="en-US" w:eastAsia="zh-CN"/>
              </w:rPr>
              <w:fldChar w:fldCharType="end"/>
            </w:r>
            <w:r>
              <w:rPr>
                <w:rFonts w:hint="default"/>
                <w:lang w:val="en-US" w:eastAsia="zh-CN"/>
              </w:rPr>
              <w:t>企业应依据有关法律法规、标准规范等，组织制定各部门、岗位、场所、设备设施的隐患排查治理标准或排查清单，明确隐患排查的时限、范围、内容和要求，并组织 开展相应的培训。隐患排查的范围应包括所有与生产经营相关的场所、</w:t>
            </w:r>
            <w:r>
              <w:rPr>
                <w:rFonts w:hint="default" w:ascii="Times New Roman" w:hAnsi="Times New Roman" w:eastAsia="宋体" w:cs="Times New Roman"/>
                <w:color w:val="auto"/>
                <w:kern w:val="0"/>
                <w:sz w:val="22"/>
                <w:szCs w:val="22"/>
                <w:lang w:val="en-US" w:eastAsia="zh-CN" w:bidi="ar"/>
              </w:rPr>
              <w:t>人员、</w:t>
            </w:r>
            <w:r>
              <w:rPr>
                <w:rFonts w:hint="eastAsia" w:ascii="Times New Roman" w:hAnsi="Times New Roman" w:eastAsia="宋体" w:cs="Times New Roman"/>
                <w:color w:val="auto"/>
                <w:kern w:val="0"/>
                <w:sz w:val="22"/>
                <w:szCs w:val="22"/>
                <w:lang w:val="en-US" w:eastAsia="zh-CN" w:bidi="ar"/>
              </w:rPr>
              <w:t>车辆、停车场、作业</w:t>
            </w:r>
            <w:r>
              <w:rPr>
                <w:rFonts w:hint="default" w:ascii="Times New Roman" w:hAnsi="Times New Roman" w:eastAsia="宋体" w:cs="Times New Roman"/>
                <w:color w:val="auto"/>
                <w:kern w:val="0"/>
                <w:sz w:val="22"/>
                <w:szCs w:val="22"/>
                <w:lang w:val="en-US" w:eastAsia="zh-CN" w:bidi="ar"/>
              </w:rPr>
              <w:t>活动</w:t>
            </w:r>
            <w:r>
              <w:rPr>
                <w:rFonts w:hint="eastAsia" w:ascii="Times New Roman" w:hAnsi="Times New Roman" w:eastAsia="宋体" w:cs="Times New Roman"/>
                <w:color w:val="auto"/>
                <w:kern w:val="0"/>
                <w:sz w:val="22"/>
                <w:szCs w:val="22"/>
                <w:lang w:val="en-US" w:eastAsia="zh-CN" w:bidi="ar"/>
              </w:rPr>
              <w:t>和安全管理</w:t>
            </w:r>
            <w:r>
              <w:rPr>
                <w:rFonts w:hint="default" w:ascii="Times New Roman" w:hAnsi="Times New Roman" w:eastAsia="宋体" w:cs="Times New Roman"/>
                <w:color w:val="auto"/>
                <w:kern w:val="0"/>
                <w:sz w:val="22"/>
                <w:szCs w:val="22"/>
                <w:lang w:val="en-US" w:eastAsia="zh-CN" w:bidi="ar"/>
              </w:rPr>
              <w:t>，包括承包商和供应商等相关服务范围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仿宋_GB2312"/>
                <w:lang w:val="en-US" w:eastAsia="zh-CN"/>
              </w:rPr>
            </w:pPr>
            <w:r>
              <w:rPr>
                <w:rFonts w:hint="eastAsia" w:ascii="Times New Roman" w:hAnsi="Times New Roman" w:eastAsia="宋体" w:cs="Times New Roman"/>
                <w:color w:val="auto"/>
                <w:kern w:val="0"/>
                <w:sz w:val="22"/>
                <w:szCs w:val="22"/>
                <w:lang w:val="en-US" w:eastAsia="zh-CN" w:bidi="ar"/>
              </w:rPr>
              <w:t>隐患排查点：人的不安全行为（）、车的安全状态（）、环境因素（）、</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依据《安全生产事故隐患排查治理暂行规定》(国家安全生产监督管理总局令第16号)</w:t>
            </w:r>
            <w:r>
              <w:rPr>
                <w:rFonts w:hint="eastAsia" w:ascii="Times New Roman" w:hAnsi="Times New Roman" w:eastAsia="宋体" w:cs="Times New Roman"/>
                <w:color w:val="auto"/>
                <w:kern w:val="0"/>
                <w:sz w:val="22"/>
                <w:szCs w:val="22"/>
                <w:lang w:val="en-US" w:eastAsia="zh-Hans" w:bidi="ar"/>
              </w:rPr>
              <w:t>要求</w:t>
            </w:r>
            <w:r>
              <w:rPr>
                <w:rFonts w:hint="eastAsia" w:ascii="Times New Roman" w:hAnsi="Times New Roman" w:eastAsia="宋体" w:cs="Times New Roman"/>
                <w:color w:val="auto"/>
                <w:kern w:val="0"/>
                <w:sz w:val="22"/>
                <w:szCs w:val="22"/>
                <w:lang w:val="en-US" w:eastAsia="zh-CN" w:bidi="ar"/>
              </w:rPr>
              <w:t>，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隐患排查的时限、范围、内容和要求</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隐患排查的范围未包括所有与生产经营相关的</w:t>
            </w:r>
            <w:r>
              <w:rPr>
                <w:rFonts w:hint="default" w:ascii="Times New Roman" w:hAnsi="Times New Roman" w:eastAsia="宋体" w:cs="Times New Roman"/>
                <w:color w:val="auto"/>
                <w:kern w:val="0"/>
                <w:sz w:val="22"/>
                <w:szCs w:val="22"/>
                <w:highlight w:val="none"/>
                <w:lang w:val="en-US" w:eastAsia="zh-CN" w:bidi="ar"/>
              </w:rPr>
              <w:t>场所、</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、人员、设备设施</w:t>
            </w:r>
            <w:r>
              <w:rPr>
                <w:rFonts w:hint="default" w:ascii="Times New Roman" w:hAnsi="Times New Roman" w:eastAsia="宋体" w:cs="Times New Roman"/>
                <w:color w:val="auto"/>
                <w:kern w:val="0"/>
                <w:sz w:val="22"/>
                <w:szCs w:val="22"/>
                <w:lang w:val="en-US" w:eastAsia="zh-CN" w:bidi="ar"/>
              </w:rPr>
              <w:t>和活动，</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生产经营单位应当建立事故隐患</w:t>
            </w:r>
            <w:r>
              <w:rPr>
                <w:rFonts w:hint="default" w:ascii="Times New Roman" w:hAnsi="Times New Roman" w:eastAsia="宋体" w:cs="Times New Roman"/>
                <w:color w:val="240FEB"/>
                <w:kern w:val="0"/>
                <w:sz w:val="22"/>
                <w:szCs w:val="22"/>
                <w:lang w:val="en-US" w:eastAsia="zh-CN" w:bidi="ar"/>
              </w:rPr>
              <w:t>日排查、</w:t>
            </w:r>
            <w:r>
              <w:rPr>
                <w:rFonts w:hint="eastAsia" w:ascii="Times New Roman" w:hAnsi="Times New Roman" w:eastAsia="宋体" w:cs="Times New Roman"/>
                <w:color w:val="240FEB"/>
                <w:kern w:val="0"/>
                <w:sz w:val="22"/>
                <w:szCs w:val="22"/>
                <w:lang w:val="en-US" w:eastAsia="zh-CN" w:bidi="ar"/>
              </w:rPr>
              <w:t>周</w:t>
            </w:r>
            <w:r>
              <w:rPr>
                <w:rFonts w:hint="default" w:ascii="Times New Roman" w:hAnsi="Times New Roman" w:eastAsia="宋体" w:cs="Times New Roman"/>
                <w:color w:val="240FEB"/>
                <w:kern w:val="0"/>
                <w:sz w:val="22"/>
                <w:szCs w:val="22"/>
                <w:lang w:val="en-US" w:eastAsia="zh-CN" w:bidi="ar"/>
              </w:rPr>
              <w:t>排查和</w:t>
            </w:r>
            <w:r>
              <w:rPr>
                <w:rFonts w:hint="eastAsia" w:ascii="Times New Roman" w:hAnsi="Times New Roman" w:eastAsia="宋体" w:cs="Times New Roman"/>
                <w:color w:val="240FEB"/>
                <w:kern w:val="0"/>
                <w:sz w:val="22"/>
                <w:szCs w:val="22"/>
                <w:lang w:val="en-US" w:eastAsia="zh-CN" w:bidi="ar"/>
              </w:rPr>
              <w:t>月度排查，</w:t>
            </w:r>
            <w:r>
              <w:rPr>
                <w:rFonts w:hint="default" w:ascii="Times New Roman" w:hAnsi="Times New Roman" w:eastAsia="宋体" w:cs="Times New Roman"/>
                <w:color w:val="auto"/>
                <w:kern w:val="0"/>
                <w:sz w:val="22"/>
                <w:szCs w:val="22"/>
                <w:lang w:val="en-US" w:eastAsia="zh-CN" w:bidi="ar"/>
              </w:rPr>
              <w:t>并根据政府及有关管理部门安全工作的专项部署、季节性变化或安全生产条件变化情况进行</w:t>
            </w:r>
            <w:r>
              <w:rPr>
                <w:rFonts w:hint="default" w:ascii="Times New Roman" w:hAnsi="Times New Roman" w:eastAsia="宋体" w:cs="Times New Roman"/>
                <w:color w:val="240FEB"/>
                <w:kern w:val="0"/>
                <w:sz w:val="22"/>
                <w:szCs w:val="22"/>
                <w:lang w:val="en-US" w:eastAsia="zh-CN" w:bidi="ar"/>
              </w:rPr>
              <w:t>专项排查</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按照</w:t>
            </w:r>
            <w:r>
              <w:rPr>
                <w:rFonts w:hint="default" w:ascii="Times New Roman" w:hAnsi="Times New Roman" w:eastAsia="宋体" w:cs="Times New Roman"/>
                <w:color w:val="auto"/>
                <w:kern w:val="0"/>
                <w:sz w:val="22"/>
                <w:szCs w:val="22"/>
                <w:lang w:val="en-US" w:eastAsia="zh-CN" w:bidi="ar"/>
              </w:rPr>
              <w:t>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开展事故隐患日排查、</w:t>
            </w:r>
            <w:r>
              <w:rPr>
                <w:rFonts w:hint="eastAsia" w:ascii="Times New Roman" w:hAnsi="Times New Roman" w:eastAsia="宋体" w:cs="Times New Roman"/>
                <w:color w:val="auto"/>
                <w:kern w:val="0"/>
                <w:sz w:val="22"/>
                <w:szCs w:val="22"/>
                <w:lang w:val="en-US" w:eastAsia="zh-CN" w:bidi="ar"/>
              </w:rPr>
              <w:t>周</w:t>
            </w:r>
            <w:r>
              <w:rPr>
                <w:rFonts w:hint="default" w:ascii="Times New Roman" w:hAnsi="Times New Roman" w:eastAsia="宋体" w:cs="Times New Roman"/>
                <w:color w:val="auto"/>
                <w:kern w:val="0"/>
                <w:sz w:val="22"/>
                <w:szCs w:val="22"/>
                <w:lang w:val="en-US" w:eastAsia="zh-CN" w:bidi="ar"/>
              </w:rPr>
              <w:t>排查和</w:t>
            </w:r>
            <w:r>
              <w:rPr>
                <w:rFonts w:hint="eastAsia" w:ascii="Times New Roman" w:hAnsi="Times New Roman" w:eastAsia="宋体" w:cs="Times New Roman"/>
                <w:color w:val="auto"/>
                <w:kern w:val="0"/>
                <w:sz w:val="22"/>
                <w:szCs w:val="22"/>
                <w:lang w:val="en-US" w:eastAsia="zh-CN" w:bidi="ar"/>
              </w:rPr>
              <w:t>月度排查；不符合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未根据政府及有关管理部门安全工作的专项部署、季节性变化或安全生产条件变化情况进行专项排查的记录，</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《安全生产法》第三十八条 生产经营单位应当建立健全生产安全事故隐患排查治理制度，采取技术、管理措施，及时发现并消除事故隐患</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FF0000"/>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未确定事故隐患等级并进行 登记，形成事故隐患清单，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未明确隐患等级的，不符合。</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default" w:ascii="Times New Roman" w:hAnsi="Times New Roman" w:eastAsia="宋体" w:cs="Times New Roman"/>
                <w:color w:val="auto"/>
                <w:kern w:val="0"/>
                <w:sz w:val="22"/>
                <w:szCs w:val="22"/>
                <w:highlight w:val="none"/>
                <w:lang w:val="en-US" w:eastAsia="zh-CN" w:bidi="ar"/>
              </w:rPr>
              <w:t>无重大事故隐患向属地负有安全生产监督管理职责的交通运输管理部门备案记录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11.2 隐患治理</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对于一般事故隐患，企业应按照职责分工立即组织整改，确保及时治理</w:t>
            </w:r>
            <w:r>
              <w:rPr>
                <w:rFonts w:hint="eastAsia" w:ascii="Times New Roman" w:hAnsi="Times New Roman" w:eastAsia="宋体" w:cs="Times New Roman"/>
                <w:color w:val="auto"/>
                <w:kern w:val="0"/>
                <w:sz w:val="22"/>
                <w:szCs w:val="22"/>
                <w:lang w:val="en-US" w:eastAsia="zh-CN" w:bidi="ar"/>
              </w:rPr>
              <w:t>，并验收合格。</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企业未保留相关文件资料及活动记录，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未及时组织隐患治理或整改不到位，</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对于重大事故隐患，企业主要负责人组织制定专项隐患治理整改方案，并确保整改措施、责任、资金、时限和预案“五到位”。整改方案应包括： a.整改的目标和任务； b.整改方案和整改期的安全保障措施； c.经费和物资保障措施； d.整改责任部门和人员； e.整改时限及节点要求； f.应急处置措施； g.跟踪督办及验收部门和人员</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事故隐患排查治理暂行规定》(国家安全生产监督管理总局令第16号)企业应当按照国家有关规定将本单位重大危险源及有关安全措施、应急措施，报负有安全生产监督管理的部门和有关部门备案，落实“五到位”：落实整改措施、责任、资金、时限和预案</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未组织制定</w:t>
            </w:r>
            <w:r>
              <w:rPr>
                <w:rFonts w:hint="eastAsia" w:ascii="Times New Roman" w:hAnsi="Times New Roman" w:eastAsia="宋体" w:cs="Times New Roman"/>
                <w:color w:val="auto"/>
                <w:kern w:val="0"/>
                <w:sz w:val="22"/>
                <w:szCs w:val="22"/>
                <w:lang w:val="en-US" w:eastAsia="zh-CN" w:bidi="ar"/>
              </w:rPr>
              <w:t>重大隐患</w:t>
            </w:r>
            <w:r>
              <w:rPr>
                <w:rFonts w:hint="default" w:ascii="Times New Roman" w:hAnsi="Times New Roman" w:eastAsia="宋体" w:cs="Times New Roman"/>
                <w:color w:val="auto"/>
                <w:kern w:val="0"/>
                <w:sz w:val="22"/>
                <w:szCs w:val="22"/>
                <w:lang w:val="en-US" w:eastAsia="zh-CN" w:bidi="ar"/>
              </w:rPr>
              <w:t>专项治理方案，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整改专项方案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未按相关</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编制的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无“五到位”的记录和证据</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w:t>
            </w:r>
            <w:bookmarkStart w:id="0" w:name="_GoBack"/>
            <w:bookmarkEnd w:id="0"/>
            <w:r>
              <w:rPr>
                <w:rFonts w:hint="default" w:ascii="Times New Roman" w:hAnsi="Times New Roman" w:eastAsia="宋体" w:cs="Times New Roman"/>
                <w:color w:val="auto"/>
                <w:kern w:val="0"/>
                <w:sz w:val="22"/>
                <w:szCs w:val="22"/>
                <w:lang w:val="en-US" w:eastAsia="zh-CN" w:bidi="ar"/>
              </w:rPr>
              <w:t>第三十八条生产经营单位应当建立健全生产安全事故隐患排查治理制度，采取技术、管理措施，及时发现并消除事故隐患</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不满足一下要求的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该项结论为“不符合”</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一般隐患整改完成后，生产经营单位应组织验收；</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应有整改验收结论记录；</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验收主要负责人应签字确认；</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重大事故隐患整改验收通过的，企业应将验收结论向属地负有安全生产监督管理职责的交通运输管理部门报备资料；</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应有销号申请记录；</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报备申请材料应包括：重大隐患基本情况及整改方案；重大隐患整改过程；验收机构或验收组基本情况；验收报告及结论</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十二、</w:t>
            </w:r>
            <w:r>
              <w:rPr>
                <w:rFonts w:hint="default" w:ascii="Times New Roman" w:hAnsi="Times New Roman" w:eastAsia="宋体" w:cs="Times New Roman"/>
                <w:color w:val="auto"/>
                <w:kern w:val="0"/>
                <w:sz w:val="22"/>
                <w:szCs w:val="22"/>
                <w:lang w:val="en-US" w:eastAsia="zh-CN" w:bidi="ar"/>
              </w:rPr>
              <w:t xml:space="preserve"> 职业健康</w:t>
            </w:r>
            <w:r>
              <w:rPr>
                <w:rFonts w:hint="eastAsia" w:ascii="Times New Roman" w:hAnsi="Times New Roman" w:eastAsia="宋体" w:cs="Times New Roman"/>
                <w:color w:val="auto"/>
                <w:kern w:val="0"/>
                <w:sz w:val="22"/>
                <w:szCs w:val="22"/>
                <w:lang w:val="en-US" w:eastAsia="zh-CN" w:bidi="ar"/>
              </w:rPr>
              <w:t>35</w:t>
            </w:r>
            <w:r>
              <w:rPr>
                <w:rFonts w:hint="default" w:ascii="Times New Roman" w:hAnsi="Times New Roman" w:eastAsia="宋体" w:cs="Times New Roman"/>
                <w:color w:val="auto"/>
                <w:kern w:val="0"/>
                <w:sz w:val="22"/>
                <w:szCs w:val="22"/>
                <w:lang w:val="en-US" w:eastAsia="zh-CN" w:bidi="ar"/>
              </w:rPr>
              <w:t>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12.1 职业健康管理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heme="minorEastAsia" w:hAnsiTheme="minorEastAsia" w:cstheme="minorEastAsia"/>
                <w:sz w:val="22"/>
                <w:szCs w:val="22"/>
                <w:shd w:val="clear" w:color="auto" w:fill="FFFFFF"/>
                <w:lang w:val="en-US" w:eastAsia="zh-CN"/>
              </w:rPr>
              <w:t>企业应</w:t>
            </w:r>
            <w:r>
              <w:rPr>
                <w:rFonts w:hint="eastAsia" w:asciiTheme="minorEastAsia" w:hAnsiTheme="minorEastAsia" w:eastAsiaTheme="minorEastAsia" w:cstheme="minorEastAsia"/>
                <w:sz w:val="22"/>
                <w:szCs w:val="22"/>
                <w:shd w:val="clear" w:color="auto" w:fill="FFFFFF"/>
              </w:rPr>
              <w:t>组织上岗前、在岗期间和离岗时的职业健康检查，并将检查结果书面告知劳动者。</w:t>
            </w:r>
            <w:r>
              <w:rPr>
                <w:rFonts w:hint="eastAsia" w:asciiTheme="minorEastAsia" w:hAnsiTheme="minorEastAsia" w:eastAsiaTheme="minorEastAsia" w:cstheme="minorEastAsia"/>
                <w:sz w:val="22"/>
                <w:szCs w:val="22"/>
              </w:rPr>
              <w:t>建立、健全企业职业卫生档案和从业人员健康监护档案</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2"/>
                <w:sz w:val="22"/>
                <w:szCs w:val="22"/>
                <w:lang w:val="en-US" w:eastAsia="zh-CN" w:bidi="ar-SA"/>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70C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eastAsia" w:asciiTheme="minorEastAsia" w:hAnsiTheme="minorEastAsia" w:cstheme="minorEastAsia"/>
                <w:sz w:val="22"/>
                <w:szCs w:val="22"/>
                <w:lang w:val="en-US" w:eastAsia="zh-CN"/>
              </w:rPr>
            </w:pPr>
            <w:r>
              <w:rPr>
                <w:rFonts w:hint="eastAsia" w:asciiTheme="minorEastAsia" w:hAnsiTheme="minorEastAsia" w:eastAsiaTheme="minorEastAsia" w:cstheme="minorEastAsia"/>
                <w:sz w:val="22"/>
                <w:szCs w:val="22"/>
              </w:rPr>
              <w:t>未经岗前职业健康检查人员上岗</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cs="Times New Roman" w:eastAsiaTheme="minorEastAsia"/>
                <w:color w:val="auto"/>
                <w:kern w:val="2"/>
                <w:sz w:val="22"/>
                <w:szCs w:val="22"/>
                <w:lang w:val="en-US" w:eastAsia="zh-CN" w:bidi="ar-SA"/>
              </w:rPr>
            </w:pPr>
            <w:r>
              <w:rPr>
                <w:rFonts w:hint="eastAsia" w:asciiTheme="minorEastAsia" w:hAnsiTheme="minorEastAsia" w:eastAsiaTheme="minorEastAsia" w:cstheme="minorEastAsia"/>
                <w:sz w:val="22"/>
                <w:szCs w:val="22"/>
              </w:rPr>
              <w:t>存在职业病危害的岗位，未建立从业人员健康监护档案的</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不得安排有职业禁忌的从业人员从事禁忌作业</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有职业禁忌的从业人员从事禁忌作业，</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12.2 工伤保险</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企业应当在生产经营所在地依法参加工伤保险，为本单位从业人员缴纳工伤保险费</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工伤保险是社会保险制度中的重要组成部分。是指国家和社会为在生产、工作中遭受事故伤害和患职业性疾病的劳动及亲属提供医疗救治、生活保障、经济补偿、医疗和职业康复等物质帮助的一种社会保障制度。《中华人民共和国职业病防治法》第七条规定：用人单位必须依法参加工伤保险</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0070C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对</w:t>
            </w:r>
            <w:r>
              <w:rPr>
                <w:rFonts w:hint="default" w:ascii="Times New Roman" w:hAnsi="Times New Roman" w:eastAsia="宋体" w:cs="Times New Roman"/>
                <w:color w:val="auto"/>
                <w:kern w:val="0"/>
                <w:sz w:val="22"/>
                <w:szCs w:val="22"/>
                <w:lang w:val="en-US" w:eastAsia="zh-CN" w:bidi="ar"/>
              </w:rPr>
              <w:t>从业人员缴纳工伤保险的，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 xml:space="preserve">12.3 职业危害告知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企业与从业人员订立劳动合同时，应将工作过程中可能产生的职业危害及其后果和防护措施等如实告知从业人员，并在劳动合同中写明。针对长期从事运输行业的司机和装卸作业人员加强职业健康病的防治工作</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四条规定：用人单位与劳动者订立劳动合同(含聘用合同，下同)时，应当将工作过程中可能产生的职业病危害及其后果、职业病防护措施和待遇等如实告知劳动者，并在劳动合同中写明，不得隐瞒或者欺骗。劳动者在已订立劳动合同期间因工作岗位或者工作内容变更，从事与所订立劳动合同中未告知的存在职业病危害的作业时，用人单位应当依照前款规定，向劳动者履行如实告知的义务，并协商变更原劳动合同相关条款。用人单位违反前两款规定的，劳动者有权拒绝从事存在职业病危害的作业，用人单位不得因此解除与劳动者所订立的劳动合同</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firstLine="220" w:firstLineChars="10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firstLine="220" w:firstLineChars="10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存在职业病危害的岗位人员劳动合同中无职业危害告知记录的，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未对从业人员和相关方告知工作场所和岗位存在的职业危害、防护措施和应急措施的，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十三、</w:t>
            </w:r>
            <w:r>
              <w:rPr>
                <w:rFonts w:hint="default" w:ascii="Times New Roman" w:hAnsi="Times New Roman" w:eastAsia="宋体" w:cs="Times New Roman"/>
                <w:color w:val="auto"/>
                <w:kern w:val="0"/>
                <w:sz w:val="22"/>
                <w:szCs w:val="22"/>
                <w:lang w:val="en-US" w:eastAsia="zh-CN" w:bidi="ar"/>
              </w:rPr>
              <w:t xml:space="preserve">安全文化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13.1 安全环境</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设立安全文化廊、安全角、黑板报、宣传栏等员工安全文化阵地</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所称“安全文化” 是指被企业组织的员工群体所共享的安全价值观、态度、道德和行为规范组成的统一体。加强安全教育基地建设，充分利用电视、互联网、报纸、广播等多种形式和手段普及安全常识，增强全社会科学发展、安全发展的思想意识是每一个企业责任和义务。企业按照《企业安全文化建设导则》（AQ/T 9004-2008）要求，从思想上、心态上去宣传、教育、引导,不断向员工灌输“以人为本，安全第一”、“安全就是效益、安全创造效益”、“行为源于认识，预防胜于处罚，责任重于泰山”、“安全不是为了别人，而是为了你自己””安全价值观，形成人人重视安全，人人为安全尽责的良好氛围。每月至少更换一次内容的考核要求，从制度上保证企业安全文化宣传频率，主要是为了促使企业自觉主动开展安全文化创建活动</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70C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安全文化宣传1年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未达到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12次的，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2.无安全文化宣传资料档案的，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公开安全生产举报电话号码、通信地址或者电子邮件信箱。对接到的安全生产举报和投诉及时予以调查和处理，并公开处理结果</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加强安全生产违法法规行为监督管理对于减少和促进安全生产“三违”行为在有着十分重要意义。企业要充分发挥工会、共青团、妇联组织的作用，依法维护和落实企业职工对安全生产的参与权与监督权，鼓励职工监督举报各类安全隐患，对举报者予以奖励</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无安全生产奖励举报制度的，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2.没有公开安全生产举报电话的，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3.对接到的安全生产举报和投诉未及时调查和处理或处理结果未公开的，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13.2 安全行为</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企业应建立包括安全价值观、安全愿景、安全使命和安全目标等在内的安全承诺</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本条所称“安全承诺”是指由企业公开做出的、代表了全体员工在关注安全和追求安全绩效方面所具有的稳定意愿及实践行动的明确表示。作为企业应该就遵守安全生产法律法规、执行安全生产规章制度、保证安全生产投入、持续具备安全生产条件等与安全生产各岗位签订安全生产承诺书，向企业员工及社会作出公开承诺，自觉接受监督。同时，员工就履行岗位安全责任向企业作出承诺</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企业未开展安全承诺活动，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未签订安全承诺书，</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企业应组织开展安全生产月活动、安全生产班组竞赛活动，有方案、有总结</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开展安全文化宣传活动有利于促进企业员工更好认知企业安全文化，增强安全意识，企业根据自身条件和特点，结合生产实际，开展形式多样的安全宣传和安全生产竞赛活动，引导全体从业人员的安全态度和安全行为，逐步形成为全体员工所认同、共同遵守、带有本单位特点的安全价值观，实现法律和政府监管要求之上的安全自我约束，保障企业安全生产水平持续提高</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未开展安全生产活动的，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安全生产活动档案资料不齐全，</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十四、</w:t>
            </w:r>
            <w:r>
              <w:rPr>
                <w:rFonts w:hint="default" w:ascii="Times New Roman" w:hAnsi="Times New Roman" w:eastAsia="宋体" w:cs="Times New Roman"/>
                <w:color w:val="auto"/>
                <w:kern w:val="0"/>
                <w:sz w:val="22"/>
                <w:szCs w:val="22"/>
                <w:lang w:val="en-US" w:eastAsia="zh-CN" w:bidi="ar"/>
              </w:rPr>
              <w:t xml:space="preserve">应急管理 </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14.1 预案制定</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企业应在开展安全风险评估和应急资源调查的基础上，建立生产安全事故应急预案体系，制定符合GB/T 29639规定的生产安全事故应急预案，针对安全风险较大的重点场所（设施）制定现场处置方案，并编制重点岗位、人员应急处置卡</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《生产安全事故应急预案管理办法》第十条规定：编制应急预案前，编制单位应当进行事故风险辨识、评估和应急资源调查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应急资源调查，是指全面调查本地区、本单位第一时间可以调用的应急资源状况和合作区域内可以请求援助的应急资源状况，并结合事故风险辨识评估结论制定应急措施的过程。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《生产安全事故应急预案管理办法》第十九条规定：生产经营单位应当在编制应急预案的基础上，针对工作场所、岗位的特点，编制简明、实用、有效的应急处置卡</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未编制安全风险评估和应急资源调查报告，</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生产安全事故应急预案体系不全，</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现场处置方案不全</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val="en-US" w:eastAsia="zh-CN"/>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color w:val="000000" w:themeColor="text1"/>
                <w:sz w:val="22"/>
                <w:szCs w:val="22"/>
                <w:lang w:val="en-US" w:eastAsia="zh-CN"/>
                <w14:textFill>
                  <w14:solidFill>
                    <w14:schemeClr w14:val="tx1"/>
                  </w14:solidFill>
                </w14:textFill>
              </w:rPr>
              <w:t>4.</w:t>
            </w:r>
            <w:r>
              <w:rPr>
                <w:rFonts w:hint="default"/>
                <w:color w:val="000000" w:themeColor="text1"/>
                <w:sz w:val="22"/>
                <w:szCs w:val="22"/>
                <w:lang w:val="en-US" w:eastAsia="zh-CN"/>
                <w14:textFill>
                  <w14:solidFill>
                    <w14:schemeClr w14:val="tx1"/>
                  </w14:solidFill>
                </w14:textFill>
              </w:rPr>
              <w:t>重点岗位、人员应急处置卡不全，或处置卡信息不完整</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eastAsia="zh-Hans"/>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应急预案应与当地政府、行业管理部门预案保持衔接，报当地有关部门备案，通报有关协作单位</w:t>
            </w:r>
          </w:p>
        </w:tc>
        <w:tc>
          <w:tcPr>
            <w:tcW w:w="3982" w:type="dxa"/>
            <w:tcBorders>
              <w:tl2br w:val="nil"/>
              <w:tr2bl w:val="nil"/>
            </w:tcBorders>
            <w:shd w:val="clear" w:color="auto" w:fill="auto"/>
            <w:tcMar>
              <w:top w:w="75" w:type="dxa"/>
              <w:left w:w="90" w:type="dxa"/>
              <w:bottom w:w="75" w:type="dxa"/>
              <w:right w:w="90" w:type="dxa"/>
            </w:tcMar>
            <w:vAlign w:val="center"/>
          </w:tcPr>
          <w:p>
            <w:pPr>
              <w:pStyle w:val="10"/>
              <w:keepNext w:val="0"/>
              <w:keepLines w:val="0"/>
              <w:widowControl/>
              <w:suppressLineNumbers w:val="0"/>
              <w:spacing w:line="336" w:lineRule="atLeas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《安全生产法》第二十六条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未明确如何将企业突发事件应急预案与行业主管部门、政府预案保持衔接，</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2.突发事件应急预案未报备属地行业主管部门和当地政府安全监督管理等部门</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企业应组织开展应急预案评审或论证，并定期进行评估和修订</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sz w:val="22"/>
                <w:szCs w:val="22"/>
              </w:rPr>
              <w:t>根据《企业安全生产标准化基本规范》和《生产安全事故应急预案管理办法》，应急预案应定期评审，并根据评审结果或实际情况的变化进行修订和完善，至少每三年修订一次,预案修订情况应有记录并归档</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0070C0"/>
                <w:kern w:val="0"/>
                <w:sz w:val="22"/>
                <w:szCs w:val="22"/>
                <w:highlight w:val="none"/>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未将应急预案执行情况纳入企业安全生产标准化定期评审制度，</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未按规定对应急预案进行定期评审，</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未根据评审情况对预案进行修改完善，</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4</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应急预案修订未向事先报备或通报的单位或部门报告，</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14.2 预案实施</w:t>
            </w:r>
            <w:r>
              <w:rPr>
                <w:rFonts w:hint="eastAsia" w:ascii="Times New Roman" w:hAnsi="Times New Roman" w:eastAsia="宋体" w:cs="Times New Roman"/>
                <w:color w:val="auto"/>
                <w:kern w:val="0"/>
                <w:sz w:val="22"/>
                <w:szCs w:val="22"/>
                <w:lang w:val="en-US" w:eastAsia="zh-CN" w:bidi="ar"/>
              </w:rPr>
              <w:t>(10分)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开展应急预案的宣传教育培训，使有关人员了解应急预案内容，熟悉应急职责、应急程序和现场处置方案，并普及生产安全事故预防、避险、自救和互救知识</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生产安全事故应急预案管理办法》第三十一条规定：生生产经营单位应当组织开展本单位的应急预案、应急知识、自救互救和避险逃生技能的培训活动，使有关人员了解应急预案内容，熟悉应急职责、应急处置程序和措施。应急培训的时间、地点、内容、师资、参加人员和考核结果等情况应当如实记入本单位的安全生产教育和培训档案</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未开展应急预案培训的，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14.4 应急物资</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企业应根据可能发生的事故种类特点，按照有关规定设置应急设施，配备应急装备，储备应急物资</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《生产安全事故应急预案管理办法》规定，生产经营单位应当按照应急预案的要求配备相应的应急物资及装备，建立使用状况档案，定期检测和维护，使其处于良好状态</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未配备足够的应急救援设备、器材、物资和相应品种、数量的急救药品的，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企业应建立管理台账，安排专人管理，并定期检查、维护、保养，确保其完好、可靠</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应急装备是指用于应急管理与应急救援的工具、器材、服装、技术力量等。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《企业安全生产标准化基本规范》规定，企业应按规定建立应急设施，配备应急装备</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应急救援器材、设施未定期检查维护的，</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应急救援器材、设施完整性不符合要求的，</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14.5 应急演练</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9007《生产安全事故应急演练指南》的规定定期组织开展生产安全事故应急演练，做到一线从业人员参与应急演练全覆盖</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《生产安全事故应急条例》</w:t>
            </w:r>
            <w:r>
              <w:rPr>
                <w:rFonts w:hint="default" w:ascii="Times New Roman" w:hAnsi="Times New Roman" w:eastAsia="宋体" w:cs="Times New Roman"/>
                <w:color w:val="auto"/>
                <w:kern w:val="0"/>
                <w:sz w:val="22"/>
                <w:szCs w:val="22"/>
                <w:highlight w:val="none"/>
                <w:lang w:val="en-US" w:eastAsia="zh-CN" w:bidi="ar"/>
              </w:rPr>
              <w:t>易燃易爆物品、危险化学品等危险物品的生产、经营、储存、</w:t>
            </w:r>
            <w:r>
              <w:rPr>
                <w:rFonts w:hint="default" w:ascii="Times New Roman" w:hAnsi="Times New Roman" w:eastAsia="宋体" w:cs="Times New Roman"/>
                <w:b/>
                <w:bCs/>
                <w:color w:val="auto"/>
                <w:kern w:val="0"/>
                <w:sz w:val="22"/>
                <w:szCs w:val="22"/>
                <w:highlight w:val="none"/>
                <w:lang w:val="en-US" w:eastAsia="zh-CN" w:bidi="ar"/>
              </w:rPr>
              <w:t>运输单位</w:t>
            </w:r>
            <w:r>
              <w:rPr>
                <w:rFonts w:hint="default" w:ascii="Times New Roman" w:hAnsi="Times New Roman" w:eastAsia="宋体" w:cs="Times New Roman"/>
                <w:color w:val="auto"/>
                <w:kern w:val="0"/>
                <w:sz w:val="22"/>
                <w:szCs w:val="22"/>
                <w:highlight w:val="none"/>
                <w:lang w:val="en-US" w:eastAsia="zh-CN" w:bidi="ar"/>
              </w:rPr>
              <w:t>，矿山、金属冶炼、城市轨道交通运营、建筑施工单位，以及宾馆、商场、娱乐场所、旅游景区等人员密集场所经营单位，应当至少每半年组织一次生产安全事故应急预案演练，并将演练情况报送所在地县级以上地方人民政府</w:t>
            </w:r>
            <w:r>
              <w:rPr>
                <w:rFonts w:hint="default" w:ascii="Times New Roman" w:hAnsi="Times New Roman" w:eastAsia="宋体" w:cs="Times New Roman"/>
                <w:color w:val="auto"/>
                <w:kern w:val="0"/>
                <w:sz w:val="22"/>
                <w:szCs w:val="22"/>
                <w:lang w:val="en-US" w:eastAsia="zh-CN" w:bidi="ar"/>
              </w:rPr>
              <w:t>负有安全生产监督管理职责的部门</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w:t>
            </w:r>
            <w:r>
              <w:rPr>
                <w:rFonts w:hint="default" w:ascii="Times New Roman" w:hAnsi="Times New Roman" w:eastAsia="宋体" w:cs="Times New Roman"/>
                <w:color w:val="auto"/>
                <w:kern w:val="0"/>
                <w:sz w:val="22"/>
                <w:szCs w:val="22"/>
                <w:lang w:val="en-US" w:eastAsia="zh-CN" w:bidi="ar"/>
              </w:rPr>
              <w:t>按照规定制定应急预案演练划，并印发</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kern w:val="0"/>
                <w:sz w:val="22"/>
                <w:szCs w:val="22"/>
                <w:lang w:val="en-US" w:eastAsia="zh-CN" w:bidi="ar"/>
              </w:rPr>
              <w:t>2.未</w:t>
            </w:r>
            <w:r>
              <w:rPr>
                <w:rFonts w:hint="default" w:ascii="Times New Roman" w:hAnsi="Times New Roman" w:eastAsia="宋体" w:cs="Times New Roman"/>
                <w:color w:val="auto"/>
                <w:kern w:val="0"/>
                <w:sz w:val="22"/>
                <w:szCs w:val="22"/>
                <w:lang w:val="en-US" w:eastAsia="zh-CN" w:bidi="ar"/>
              </w:rPr>
              <w:t>按计划开展应急演练，并保留应急演练记录；应急演练记录应完整、齐全、详细</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9009《生产安全事故应急演练评估规范》的规定对演练进行总结和评估，根据评估结论和演练发现的问题，修订、完善应急预案，改进应急准备工作</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w:t>
            </w:r>
            <w:r>
              <w:rPr>
                <w:rFonts w:hint="default" w:ascii="Times New Roman" w:hAnsi="Times New Roman" w:eastAsia="宋体" w:cs="Times New Roman"/>
                <w:color w:val="auto"/>
                <w:kern w:val="0"/>
                <w:sz w:val="22"/>
                <w:szCs w:val="22"/>
                <w:lang w:val="en-US" w:eastAsia="zh-CN" w:bidi="ar"/>
              </w:rPr>
              <w:t>第三十四条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应急预案演练结束后，应急预案演练组织单位应当对应急预案演练效果进行评估，撰写应急预案演练评估报告，分析存在的问题，并对应急预案提出修订意见。</w:t>
            </w:r>
            <w:r>
              <w:rPr>
                <w:rFonts w:hint="eastAsia" w:ascii="Times New Roman" w:hAnsi="Times New Roman" w:eastAsia="宋体" w:cs="Times New Roman"/>
                <w:color w:val="auto"/>
                <w:kern w:val="0"/>
                <w:sz w:val="22"/>
                <w:szCs w:val="22"/>
                <w:lang w:val="en-US" w:eastAsia="zh-CN" w:bidi="ar"/>
              </w:rPr>
              <w:t>”</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演练后未对应急预案演练</w:t>
            </w:r>
            <w:r>
              <w:rPr>
                <w:rFonts w:hint="eastAsia" w:ascii="Times New Roman" w:hAnsi="Times New Roman" w:eastAsia="宋体" w:cs="Times New Roman"/>
                <w:color w:val="auto"/>
                <w:kern w:val="0"/>
                <w:sz w:val="22"/>
                <w:szCs w:val="22"/>
                <w:lang w:val="en-US" w:eastAsia="zh-CN" w:bidi="ar"/>
              </w:rPr>
              <w:t>总结</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14.6应急处置（10分）</w:t>
            </w:r>
          </w:p>
        </w:tc>
        <w:tc>
          <w:tcPr>
            <w:tcW w:w="3209" w:type="dxa"/>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完成险情或事故应急处置后，企业应主动配合有关组织开展应急处置评估</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完成事故应急处置后，企业未配合有组织开展应急处置评估，</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2.完成事故应急处置后，企业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组织开展应急处置评估，</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十五、</w:t>
            </w:r>
            <w:r>
              <w:rPr>
                <w:rFonts w:hint="default" w:ascii="Times New Roman" w:hAnsi="Times New Roman" w:eastAsia="宋体" w:cs="Times New Roman"/>
                <w:color w:val="auto"/>
                <w:kern w:val="0"/>
                <w:sz w:val="22"/>
                <w:szCs w:val="22"/>
                <w:lang w:val="en-US" w:eastAsia="zh-CN" w:bidi="ar"/>
              </w:rPr>
              <w:t xml:space="preserve">事故报告及统计 </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15.1 事故报告</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20</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企业应建立事故报告程序，明确事故内外部报告的责任人、时限、内容等，并教育、指导从业人员严格按照有关规定的程序报告发生的生产安全事故</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照《生产安全事故报告和调查处理条例》规定，事故发生后，事故现场有关人员应当立即向本单位负责人报告；单位负责人接到报告后，应当于1小时内向事故发生地县级以上人民政府安全生产监督管理部门和负有安全生产监督管理职责的有关部门报告</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事故报告程序规定的内容不够充分、完整，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未按事故报告程序的规定，发生事故后，按要求进行内外部报告，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3.事故报告过程的资料保留不全，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发生事故，企业应及时进行事故现场处置，按相关规定及时、如实向有关部门报告，没有瞒报、谎报、迟报情况</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企业必须在及时妥善应对处置事故同时，严格按照规定上报事故情况。</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“迟报”是指报告事故的时间超过规定时限；</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“漏报”是指因过失对应当上报的事故或者事故发生的时间、地点、类别、伤亡人数、直接经济损失等内容遗漏未报；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“谎报”是指故意不如实报告事故发生的时间、地点、类别、伤亡人数、直接经济损失等有关内容；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“瞒报”是指故意隐瞒已经发生的事故，并经有关部门查证属实</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制定安全生产事故报告的规定，应责任明确、内容完善、满足规定要求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事故发生后，</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企业未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迅速采取有效措施，组织抢救，防止事故扩大，减少人员伤亡和财产损失；及时、准确、如实向有关部门报告，没有瞒报、谎报、迟报情况；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包括下列内容：事故发生概况；事故发生时间、地点以及事故 现场情况；事故简要经过；事故已造成或者可能造成的伤亡人数（包括失踪的人数）、水域环境污染情况下、初步估计的直接经济损失；已经采取的措施等</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企业应跟踪事故发展情况，及时续报事故信息</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未及时续报事故信息要求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，续报事故信息未保留记录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15.2 事故调查处理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企业应建立内部事故调查和处理制度，按照有关规定、行业标准和国际通行做法，将造成人员伤亡（轻伤、重伤、死亡等人身伤害和急性中毒）和财产损失的事故纳入事故调查和处理范畴</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企业应按“四不放过”原则严肃查处事故</w:t>
            </w:r>
            <w:r>
              <w:rPr>
                <w:rFonts w:hint="eastAsia" w:ascii="Times New Roman" w:hAnsi="Times New Roman" w:eastAsia="宋体" w:cs="Times New Roman"/>
                <w:color w:val="auto"/>
                <w:kern w:val="0"/>
                <w:sz w:val="22"/>
                <w:szCs w:val="22"/>
                <w:lang w:val="en-US" w:eastAsia="zh-CN" w:bidi="ar"/>
              </w:rPr>
              <w:t>，</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按照有关规定、行业标准和国际通行做法，将造成人员伤亡（轻伤、重伤、死亡等人身伤害和急性中毒）和财产损失的事故纳入事故调查和处理范畴</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合理</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完善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符合相关要求的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.未按规定将造成人员伤亡（轻伤、重伤、死亡等人身伤害和急性中毒）和财产损失的事故进行调查和处理的，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.事故调查和处理资料不全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企业应按时提交事故调查报告，分析事故原因，落实整改措施</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发生事故后，企业有义务按照“四不放过”原则对事故发生的原因进行分析，分析事故的直接、间接原因和事故责任，提出整改措施和处理建议。《生产安全事故报告和调查处理条例》事故报告后出现新情况的，应当及时补报</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事故报告调查规定的内容</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企业未及时上报事故调查报告，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3.未进行事故原因分析，落实整改措施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15.3 事故档案管理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企业应建立事故档案和管理台账</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《交通运输企业安全生产标准化建设基本规范》中规定企业应建立事故档案和管理台账</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未建立事故档案和管理台账</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十六、</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自评与</w:t>
            </w:r>
            <w:r>
              <w:rPr>
                <w:rFonts w:hint="default" w:ascii="Times New Roman" w:hAnsi="Times New Roman" w:eastAsia="宋体" w:cs="Times New Roman"/>
                <w:color w:val="auto"/>
                <w:kern w:val="0"/>
                <w:sz w:val="22"/>
                <w:szCs w:val="22"/>
                <w:lang w:val="en-US" w:eastAsia="zh-CN" w:bidi="ar"/>
              </w:rPr>
              <w:t xml:space="preserve">持续改进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65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16.1 </w:t>
            </w:r>
            <w:r>
              <w:rPr>
                <w:rFonts w:hint="eastAsia" w:ascii="Times New Roman" w:hAnsi="Times New Roman" w:eastAsia="宋体" w:cs="Times New Roman"/>
                <w:color w:val="auto"/>
                <w:kern w:val="0"/>
                <w:sz w:val="22"/>
                <w:szCs w:val="22"/>
                <w:lang w:val="en-US" w:eastAsia="zh-CN" w:bidi="ar"/>
              </w:rPr>
              <w:t>自评</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企业应每年至少一次对本单位安全生产标准化的运行情况进行自评，验证各项安全生产制度措施的适宜性、充分性和有效性</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要求每年至少一次全面、系统地与本标准逐条、逐项进行判断和对比、打分、综合分析对本单位安全生产标准化的实施情况进行评定，验证各项安全生产制度措施的适宜性、充分性和有效性，总结安全生产工作现状，查找问题，持续改进</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每年开展安全生产标准化</w:t>
            </w:r>
            <w:r>
              <w:rPr>
                <w:rFonts w:hint="default" w:ascii="Times New Roman" w:hAnsi="Times New Roman" w:eastAsia="宋体" w:cs="Times New Roman"/>
                <w:color w:val="auto"/>
                <w:kern w:val="0"/>
                <w:sz w:val="22"/>
                <w:szCs w:val="22"/>
                <w:lang w:val="en-US" w:eastAsia="zh-CN" w:bidi="ar"/>
              </w:rPr>
              <w:t>自评活</w:t>
            </w:r>
            <w:r>
              <w:rPr>
                <w:rFonts w:hint="eastAsia" w:ascii="Times New Roman" w:hAnsi="Times New Roman" w:eastAsia="宋体" w:cs="Times New Roman"/>
                <w:color w:val="auto"/>
                <w:kern w:val="0"/>
                <w:sz w:val="22"/>
                <w:szCs w:val="22"/>
                <w:lang w:val="en-US" w:eastAsia="zh-CN" w:bidi="ar"/>
              </w:rPr>
              <w:t>，未编制自评报告</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企业主要负责人应全面负责自评工作。自评应形成正式文件，将结果向所有部门、所属单位和从业人员通报，</w:t>
            </w:r>
            <w:r>
              <w:rPr>
                <w:rFonts w:hint="eastAsia" w:ascii="Times New Roman" w:hAnsi="Times New Roman" w:eastAsia="宋体" w:cs="Times New Roman"/>
                <w:color w:val="auto"/>
                <w:kern w:val="0"/>
                <w:sz w:val="22"/>
                <w:szCs w:val="22"/>
                <w:lang w:val="en-US" w:eastAsia="zh-CN" w:bidi="ar"/>
              </w:rPr>
              <w:t>并上报至交通信息平台。</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安全生产标准化自评工作应由企业主要负责人组织实施，自评结果要经主要负责人确认后向所有部门、所属单位和从业人员通报，并将结果作为年度评价的重要依据</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未提供主要负责人组织实施自评工作的证明材料，</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自评报告内容或自评范围不完整的，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自评报告</w:t>
            </w:r>
            <w:r>
              <w:rPr>
                <w:rFonts w:hint="eastAsia" w:ascii="Times New Roman" w:hAnsi="Times New Roman" w:eastAsia="宋体" w:cs="Times New Roman"/>
                <w:color w:val="auto"/>
                <w:kern w:val="0"/>
                <w:sz w:val="22"/>
                <w:szCs w:val="22"/>
                <w:lang w:val="en-US" w:eastAsia="zh-CN" w:bidi="ar"/>
              </w:rPr>
              <w:t>未上报至交通信息平台，不符合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88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65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16.2持续改进（10分）</w:t>
            </w:r>
            <w:r>
              <w:rPr>
                <w:rFonts w:hint="default" w:ascii="Times New Roman" w:hAnsi="Times New Roman" w:eastAsia="宋体" w:cs="Times New Roman"/>
                <w:color w:val="auto"/>
                <w:kern w:val="0"/>
                <w:sz w:val="22"/>
                <w:szCs w:val="22"/>
                <w:lang w:val="en-US" w:eastAsia="zh-CN" w:bidi="ar"/>
              </w:rPr>
              <w:t xml:space="preserve"> </w:t>
            </w:r>
          </w:p>
        </w:tc>
        <w:tc>
          <w:tcPr>
            <w:tcW w:w="32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根据企业安全管理现状，</w:t>
            </w:r>
            <w:r>
              <w:rPr>
                <w:rFonts w:hint="default" w:ascii="Times New Roman" w:hAnsi="Times New Roman" w:eastAsia="宋体" w:cs="Times New Roman"/>
                <w:color w:val="auto"/>
                <w:kern w:val="0"/>
                <w:sz w:val="22"/>
                <w:szCs w:val="22"/>
                <w:lang w:val="en-US" w:eastAsia="zh-CN" w:bidi="ar"/>
              </w:rPr>
              <w:t>客观分析安全生产标准化管理体系的运行质量，及时调整完善安全生产目标、指标、规章制度、操作规程等相关管理文件和过程管控，持续改进</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不断提高安全生产绩效</w:t>
            </w:r>
          </w:p>
        </w:tc>
        <w:tc>
          <w:tcPr>
            <w:tcW w:w="398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安全生产标准化管理综合评价与改进工作，一般安排在年度自评以后，对考评情况进行综合分析评定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在每年安全生产标准化管理综合评价与改进后，全面综合分析企业安全生产标准化管理工作，着眼长效，运用系统化和标准化管理的原理，完善各项安全生产目标指标、管理制度、操作规程等文件和控制过程，形成企业安全生产管理体系，以持续改进，不断提高安全生产绩效。</w:t>
            </w:r>
          </w:p>
        </w:tc>
        <w:tc>
          <w:tcPr>
            <w:tcW w:w="12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1956"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未对</w:t>
            </w:r>
            <w:r>
              <w:rPr>
                <w:rFonts w:hint="eastAsia" w:ascii="Times New Roman" w:hAnsi="Times New Roman" w:eastAsia="宋体" w:cs="Times New Roman"/>
                <w:color w:val="auto"/>
                <w:kern w:val="0"/>
                <w:sz w:val="22"/>
                <w:szCs w:val="22"/>
                <w:lang w:val="en-US" w:eastAsia="zh-CN" w:bidi="ar"/>
              </w:rPr>
              <w:t>自评提</w:t>
            </w:r>
            <w:r>
              <w:rPr>
                <w:rFonts w:hint="default" w:ascii="Times New Roman" w:hAnsi="Times New Roman" w:eastAsia="宋体" w:cs="Times New Roman"/>
                <w:color w:val="auto"/>
                <w:kern w:val="0"/>
                <w:sz w:val="22"/>
                <w:szCs w:val="22"/>
                <w:lang w:val="en-US" w:eastAsia="zh-CN" w:bidi="ar"/>
              </w:rPr>
              <w:t>出的问题</w:t>
            </w:r>
            <w:r>
              <w:rPr>
                <w:rFonts w:hint="eastAsia" w:ascii="Times New Roman" w:hAnsi="Times New Roman" w:eastAsia="宋体" w:cs="Times New Roman"/>
                <w:color w:val="auto"/>
                <w:kern w:val="0"/>
                <w:sz w:val="22"/>
                <w:szCs w:val="22"/>
                <w:lang w:val="en-US" w:eastAsia="zh-CN" w:bidi="ar"/>
              </w:rPr>
              <w:t>制定</w:t>
            </w:r>
            <w:r>
              <w:rPr>
                <w:rFonts w:hint="default" w:ascii="Times New Roman" w:hAnsi="Times New Roman" w:eastAsia="宋体" w:cs="Times New Roman"/>
                <w:color w:val="auto"/>
                <w:kern w:val="0"/>
                <w:sz w:val="22"/>
                <w:szCs w:val="22"/>
                <w:lang w:val="en-US" w:eastAsia="zh-CN" w:bidi="ar"/>
              </w:rPr>
              <w:t>整改措施并</w:t>
            </w:r>
            <w:r>
              <w:rPr>
                <w:rFonts w:hint="eastAsia" w:ascii="Times New Roman" w:hAnsi="Times New Roman" w:eastAsia="宋体" w:cs="Times New Roman"/>
                <w:color w:val="auto"/>
                <w:kern w:val="0"/>
                <w:sz w:val="22"/>
                <w:szCs w:val="22"/>
                <w:lang w:val="en-US" w:eastAsia="zh-CN" w:bidi="ar"/>
              </w:rPr>
              <w:t>落实整改</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并持续改进，不符合。</w:t>
            </w:r>
          </w:p>
        </w:tc>
        <w:tc>
          <w:tcPr>
            <w:tcW w:w="115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78"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7A849"/>
    <w:multiLevelType w:val="singleLevel"/>
    <w:tmpl w:val="8527A849"/>
    <w:lvl w:ilvl="0" w:tentative="0">
      <w:start w:val="1"/>
      <w:numFmt w:val="decimal"/>
      <w:lvlText w:val="%1."/>
      <w:lvlJc w:val="left"/>
      <w:pPr>
        <w:tabs>
          <w:tab w:val="left" w:pos="312"/>
        </w:tabs>
      </w:pPr>
    </w:lvl>
  </w:abstractNum>
  <w:abstractNum w:abstractNumId="1">
    <w:nsid w:val="8ECE7C1A"/>
    <w:multiLevelType w:val="singleLevel"/>
    <w:tmpl w:val="8ECE7C1A"/>
    <w:lvl w:ilvl="0" w:tentative="0">
      <w:start w:val="1"/>
      <w:numFmt w:val="decimal"/>
      <w:lvlText w:val="%1."/>
      <w:lvlJc w:val="left"/>
      <w:pPr>
        <w:tabs>
          <w:tab w:val="left" w:pos="312"/>
        </w:tabs>
      </w:pPr>
    </w:lvl>
  </w:abstractNum>
  <w:abstractNum w:abstractNumId="2">
    <w:nsid w:val="8FF697A8"/>
    <w:multiLevelType w:val="singleLevel"/>
    <w:tmpl w:val="8FF697A8"/>
    <w:lvl w:ilvl="0" w:tentative="0">
      <w:start w:val="1"/>
      <w:numFmt w:val="decimal"/>
      <w:lvlText w:val="%1."/>
      <w:lvlJc w:val="left"/>
      <w:pPr>
        <w:tabs>
          <w:tab w:val="left" w:pos="312"/>
        </w:tabs>
      </w:pPr>
    </w:lvl>
  </w:abstractNum>
  <w:abstractNum w:abstractNumId="3">
    <w:nsid w:val="91E260E6"/>
    <w:multiLevelType w:val="singleLevel"/>
    <w:tmpl w:val="91E260E6"/>
    <w:lvl w:ilvl="0" w:tentative="0">
      <w:start w:val="1"/>
      <w:numFmt w:val="decimal"/>
      <w:lvlText w:val="%1."/>
      <w:lvlJc w:val="left"/>
      <w:pPr>
        <w:tabs>
          <w:tab w:val="left" w:pos="312"/>
        </w:tabs>
      </w:pPr>
    </w:lvl>
  </w:abstractNum>
  <w:abstractNum w:abstractNumId="4">
    <w:nsid w:val="9DFF12CF"/>
    <w:multiLevelType w:val="singleLevel"/>
    <w:tmpl w:val="9DFF12CF"/>
    <w:lvl w:ilvl="0" w:tentative="0">
      <w:start w:val="1"/>
      <w:numFmt w:val="decimal"/>
      <w:lvlText w:val="%1."/>
      <w:lvlJc w:val="left"/>
      <w:pPr>
        <w:tabs>
          <w:tab w:val="left" w:pos="312"/>
        </w:tabs>
      </w:pPr>
    </w:lvl>
  </w:abstractNum>
  <w:abstractNum w:abstractNumId="5">
    <w:nsid w:val="9F59CCEA"/>
    <w:multiLevelType w:val="singleLevel"/>
    <w:tmpl w:val="9F59CCEA"/>
    <w:lvl w:ilvl="0" w:tentative="0">
      <w:start w:val="1"/>
      <w:numFmt w:val="decimal"/>
      <w:lvlText w:val="%1."/>
      <w:lvlJc w:val="left"/>
      <w:pPr>
        <w:tabs>
          <w:tab w:val="left" w:pos="312"/>
        </w:tabs>
      </w:pPr>
    </w:lvl>
  </w:abstractNum>
  <w:abstractNum w:abstractNumId="6">
    <w:nsid w:val="A38E7836"/>
    <w:multiLevelType w:val="singleLevel"/>
    <w:tmpl w:val="A38E7836"/>
    <w:lvl w:ilvl="0" w:tentative="0">
      <w:start w:val="1"/>
      <w:numFmt w:val="decimal"/>
      <w:lvlText w:val="%1."/>
      <w:lvlJc w:val="left"/>
      <w:pPr>
        <w:tabs>
          <w:tab w:val="left" w:pos="312"/>
        </w:tabs>
      </w:pPr>
    </w:lvl>
  </w:abstractNum>
  <w:abstractNum w:abstractNumId="7">
    <w:nsid w:val="A439D675"/>
    <w:multiLevelType w:val="singleLevel"/>
    <w:tmpl w:val="A439D675"/>
    <w:lvl w:ilvl="0" w:tentative="0">
      <w:start w:val="1"/>
      <w:numFmt w:val="decimal"/>
      <w:lvlText w:val="%1."/>
      <w:lvlJc w:val="left"/>
      <w:pPr>
        <w:tabs>
          <w:tab w:val="left" w:pos="312"/>
        </w:tabs>
      </w:pPr>
    </w:lvl>
  </w:abstractNum>
  <w:abstractNum w:abstractNumId="8">
    <w:nsid w:val="B198C083"/>
    <w:multiLevelType w:val="singleLevel"/>
    <w:tmpl w:val="B198C083"/>
    <w:lvl w:ilvl="0" w:tentative="0">
      <w:start w:val="1"/>
      <w:numFmt w:val="decimal"/>
      <w:lvlText w:val="%1."/>
      <w:lvlJc w:val="left"/>
      <w:pPr>
        <w:tabs>
          <w:tab w:val="left" w:pos="312"/>
        </w:tabs>
      </w:pPr>
    </w:lvl>
  </w:abstractNum>
  <w:abstractNum w:abstractNumId="9">
    <w:nsid w:val="BCFF3AB2"/>
    <w:multiLevelType w:val="singleLevel"/>
    <w:tmpl w:val="BCFF3AB2"/>
    <w:lvl w:ilvl="0" w:tentative="0">
      <w:start w:val="1"/>
      <w:numFmt w:val="decimal"/>
      <w:lvlText w:val="%1."/>
      <w:lvlJc w:val="left"/>
      <w:pPr>
        <w:tabs>
          <w:tab w:val="left" w:pos="312"/>
        </w:tabs>
      </w:pPr>
    </w:lvl>
  </w:abstractNum>
  <w:abstractNum w:abstractNumId="10">
    <w:nsid w:val="BF9D1549"/>
    <w:multiLevelType w:val="singleLevel"/>
    <w:tmpl w:val="BF9D1549"/>
    <w:lvl w:ilvl="0" w:tentative="0">
      <w:start w:val="1"/>
      <w:numFmt w:val="decimal"/>
      <w:lvlText w:val="%1."/>
      <w:lvlJc w:val="left"/>
      <w:pPr>
        <w:tabs>
          <w:tab w:val="left" w:pos="312"/>
        </w:tabs>
      </w:pPr>
    </w:lvl>
  </w:abstractNum>
  <w:abstractNum w:abstractNumId="11">
    <w:nsid w:val="BFFBF972"/>
    <w:multiLevelType w:val="singleLevel"/>
    <w:tmpl w:val="BFFBF972"/>
    <w:lvl w:ilvl="0" w:tentative="0">
      <w:start w:val="1"/>
      <w:numFmt w:val="decimal"/>
      <w:lvlText w:val="%1."/>
      <w:lvlJc w:val="left"/>
      <w:pPr>
        <w:tabs>
          <w:tab w:val="left" w:pos="312"/>
        </w:tabs>
      </w:pPr>
    </w:lvl>
  </w:abstractNum>
  <w:abstractNum w:abstractNumId="12">
    <w:nsid w:val="C9D47727"/>
    <w:multiLevelType w:val="singleLevel"/>
    <w:tmpl w:val="C9D47727"/>
    <w:lvl w:ilvl="0" w:tentative="0">
      <w:start w:val="1"/>
      <w:numFmt w:val="decimal"/>
      <w:lvlText w:val="%1."/>
      <w:lvlJc w:val="left"/>
      <w:pPr>
        <w:tabs>
          <w:tab w:val="left" w:pos="312"/>
        </w:tabs>
      </w:pPr>
    </w:lvl>
  </w:abstractNum>
  <w:abstractNum w:abstractNumId="13">
    <w:nsid w:val="D0E08EE3"/>
    <w:multiLevelType w:val="singleLevel"/>
    <w:tmpl w:val="D0E08EE3"/>
    <w:lvl w:ilvl="0" w:tentative="0">
      <w:start w:val="1"/>
      <w:numFmt w:val="decimal"/>
      <w:lvlText w:val="%1."/>
      <w:lvlJc w:val="left"/>
      <w:pPr>
        <w:tabs>
          <w:tab w:val="left" w:pos="312"/>
        </w:tabs>
      </w:pPr>
    </w:lvl>
  </w:abstractNum>
  <w:abstractNum w:abstractNumId="14">
    <w:nsid w:val="DB655F93"/>
    <w:multiLevelType w:val="singleLevel"/>
    <w:tmpl w:val="DB655F93"/>
    <w:lvl w:ilvl="0" w:tentative="0">
      <w:start w:val="1"/>
      <w:numFmt w:val="decimal"/>
      <w:lvlText w:val="%1."/>
      <w:lvlJc w:val="left"/>
      <w:pPr>
        <w:tabs>
          <w:tab w:val="left" w:pos="312"/>
        </w:tabs>
      </w:pPr>
    </w:lvl>
  </w:abstractNum>
  <w:abstractNum w:abstractNumId="15">
    <w:nsid w:val="DEFF6203"/>
    <w:multiLevelType w:val="singleLevel"/>
    <w:tmpl w:val="DEFF6203"/>
    <w:lvl w:ilvl="0" w:tentative="0">
      <w:start w:val="1"/>
      <w:numFmt w:val="decimal"/>
      <w:lvlText w:val="%1."/>
      <w:lvlJc w:val="left"/>
      <w:pPr>
        <w:tabs>
          <w:tab w:val="left" w:pos="312"/>
        </w:tabs>
      </w:pPr>
    </w:lvl>
  </w:abstractNum>
  <w:abstractNum w:abstractNumId="16">
    <w:nsid w:val="DFBA6FC9"/>
    <w:multiLevelType w:val="singleLevel"/>
    <w:tmpl w:val="DFBA6FC9"/>
    <w:lvl w:ilvl="0" w:tentative="0">
      <w:start w:val="1"/>
      <w:numFmt w:val="decimal"/>
      <w:suff w:val="space"/>
      <w:lvlText w:val="%1."/>
      <w:lvlJc w:val="left"/>
    </w:lvl>
  </w:abstractNum>
  <w:abstractNum w:abstractNumId="17">
    <w:nsid w:val="E3045E17"/>
    <w:multiLevelType w:val="singleLevel"/>
    <w:tmpl w:val="E3045E17"/>
    <w:lvl w:ilvl="0" w:tentative="0">
      <w:start w:val="1"/>
      <w:numFmt w:val="decimal"/>
      <w:lvlText w:val="%1."/>
      <w:lvlJc w:val="left"/>
      <w:pPr>
        <w:tabs>
          <w:tab w:val="left" w:pos="312"/>
        </w:tabs>
      </w:pPr>
    </w:lvl>
  </w:abstractNum>
  <w:abstractNum w:abstractNumId="18">
    <w:nsid w:val="E382A513"/>
    <w:multiLevelType w:val="singleLevel"/>
    <w:tmpl w:val="E382A513"/>
    <w:lvl w:ilvl="0" w:tentative="0">
      <w:start w:val="1"/>
      <w:numFmt w:val="decimal"/>
      <w:lvlText w:val="%1."/>
      <w:lvlJc w:val="left"/>
      <w:pPr>
        <w:tabs>
          <w:tab w:val="left" w:pos="312"/>
        </w:tabs>
      </w:pPr>
    </w:lvl>
  </w:abstractNum>
  <w:abstractNum w:abstractNumId="19">
    <w:nsid w:val="EB9A9218"/>
    <w:multiLevelType w:val="singleLevel"/>
    <w:tmpl w:val="EB9A9218"/>
    <w:lvl w:ilvl="0" w:tentative="0">
      <w:start w:val="1"/>
      <w:numFmt w:val="decimal"/>
      <w:lvlText w:val="%1."/>
      <w:lvlJc w:val="left"/>
      <w:pPr>
        <w:tabs>
          <w:tab w:val="left" w:pos="312"/>
        </w:tabs>
      </w:pPr>
    </w:lvl>
  </w:abstractNum>
  <w:abstractNum w:abstractNumId="20">
    <w:nsid w:val="ED14F942"/>
    <w:multiLevelType w:val="singleLevel"/>
    <w:tmpl w:val="ED14F942"/>
    <w:lvl w:ilvl="0" w:tentative="0">
      <w:start w:val="1"/>
      <w:numFmt w:val="decimal"/>
      <w:lvlText w:val="%1."/>
      <w:lvlJc w:val="left"/>
      <w:pPr>
        <w:tabs>
          <w:tab w:val="left" w:pos="312"/>
        </w:tabs>
      </w:pPr>
    </w:lvl>
  </w:abstractNum>
  <w:abstractNum w:abstractNumId="21">
    <w:nsid w:val="EF397A1F"/>
    <w:multiLevelType w:val="singleLevel"/>
    <w:tmpl w:val="EF397A1F"/>
    <w:lvl w:ilvl="0" w:tentative="0">
      <w:start w:val="1"/>
      <w:numFmt w:val="decimal"/>
      <w:lvlText w:val="%1."/>
      <w:lvlJc w:val="left"/>
      <w:pPr>
        <w:tabs>
          <w:tab w:val="left" w:pos="312"/>
        </w:tabs>
      </w:pPr>
    </w:lvl>
  </w:abstractNum>
  <w:abstractNum w:abstractNumId="22">
    <w:nsid w:val="F8EB97FE"/>
    <w:multiLevelType w:val="singleLevel"/>
    <w:tmpl w:val="F8EB97FE"/>
    <w:lvl w:ilvl="0" w:tentative="0">
      <w:start w:val="1"/>
      <w:numFmt w:val="decimal"/>
      <w:lvlText w:val="%1."/>
      <w:lvlJc w:val="left"/>
      <w:pPr>
        <w:tabs>
          <w:tab w:val="left" w:pos="312"/>
        </w:tabs>
      </w:pPr>
    </w:lvl>
  </w:abstractNum>
  <w:abstractNum w:abstractNumId="23">
    <w:nsid w:val="FD3ED148"/>
    <w:multiLevelType w:val="singleLevel"/>
    <w:tmpl w:val="FD3ED148"/>
    <w:lvl w:ilvl="0" w:tentative="0">
      <w:start w:val="1"/>
      <w:numFmt w:val="decimal"/>
      <w:lvlText w:val="%1."/>
      <w:lvlJc w:val="left"/>
      <w:pPr>
        <w:tabs>
          <w:tab w:val="left" w:pos="312"/>
        </w:tabs>
      </w:pPr>
    </w:lvl>
  </w:abstractNum>
  <w:abstractNum w:abstractNumId="24">
    <w:nsid w:val="FE3A8CB6"/>
    <w:multiLevelType w:val="singleLevel"/>
    <w:tmpl w:val="FE3A8CB6"/>
    <w:lvl w:ilvl="0" w:tentative="0">
      <w:start w:val="1"/>
      <w:numFmt w:val="decimal"/>
      <w:lvlText w:val="%1."/>
      <w:lvlJc w:val="left"/>
      <w:pPr>
        <w:tabs>
          <w:tab w:val="left" w:pos="312"/>
        </w:tabs>
      </w:pPr>
    </w:lvl>
  </w:abstractNum>
  <w:abstractNum w:abstractNumId="25">
    <w:nsid w:val="FF569A60"/>
    <w:multiLevelType w:val="singleLevel"/>
    <w:tmpl w:val="FF569A60"/>
    <w:lvl w:ilvl="0" w:tentative="0">
      <w:start w:val="1"/>
      <w:numFmt w:val="decimal"/>
      <w:lvlText w:val="%1."/>
      <w:lvlJc w:val="left"/>
      <w:pPr>
        <w:tabs>
          <w:tab w:val="left" w:pos="312"/>
        </w:tabs>
      </w:pPr>
    </w:lvl>
  </w:abstractNum>
  <w:abstractNum w:abstractNumId="26">
    <w:nsid w:val="FFBF94DC"/>
    <w:multiLevelType w:val="singleLevel"/>
    <w:tmpl w:val="FFBF94DC"/>
    <w:lvl w:ilvl="0" w:tentative="0">
      <w:start w:val="1"/>
      <w:numFmt w:val="decimal"/>
      <w:lvlText w:val="%1."/>
      <w:lvlJc w:val="left"/>
      <w:pPr>
        <w:tabs>
          <w:tab w:val="left" w:pos="312"/>
        </w:tabs>
      </w:pPr>
    </w:lvl>
  </w:abstractNum>
  <w:abstractNum w:abstractNumId="27">
    <w:nsid w:val="0E7D35D8"/>
    <w:multiLevelType w:val="singleLevel"/>
    <w:tmpl w:val="0E7D35D8"/>
    <w:lvl w:ilvl="0" w:tentative="0">
      <w:start w:val="1"/>
      <w:numFmt w:val="decimal"/>
      <w:lvlText w:val="%1."/>
      <w:lvlJc w:val="left"/>
      <w:pPr>
        <w:tabs>
          <w:tab w:val="left" w:pos="312"/>
        </w:tabs>
      </w:pPr>
    </w:lvl>
  </w:abstractNum>
  <w:abstractNum w:abstractNumId="28">
    <w:nsid w:val="0F80145F"/>
    <w:multiLevelType w:val="singleLevel"/>
    <w:tmpl w:val="0F80145F"/>
    <w:lvl w:ilvl="0" w:tentative="0">
      <w:start w:val="1"/>
      <w:numFmt w:val="decimal"/>
      <w:lvlText w:val="%1."/>
      <w:lvlJc w:val="left"/>
      <w:pPr>
        <w:tabs>
          <w:tab w:val="left" w:pos="312"/>
        </w:tabs>
      </w:pPr>
    </w:lvl>
  </w:abstractNum>
  <w:abstractNum w:abstractNumId="29">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3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5"/>
      <w:suff w:val="nothing"/>
      <w:lvlText w:val="%1.%2.%3　"/>
      <w:lvlJc w:val="left"/>
      <w:pPr>
        <w:ind w:left="426"/>
      </w:pPr>
      <w:rPr>
        <w:rFonts w:hint="eastAsia" w:ascii="黑体" w:hAnsi="Times New Roman" w:eastAsia="黑体" w:cs="Times New Roman"/>
        <w:b w:val="0"/>
        <w:i w:val="0"/>
        <w:sz w:val="21"/>
      </w:rPr>
    </w:lvl>
    <w:lvl w:ilvl="3" w:tentative="0">
      <w:start w:val="1"/>
      <w:numFmt w:val="decimal"/>
      <w:pStyle w:val="34"/>
      <w:suff w:val="nothing"/>
      <w:lvlText w:val="%1.%2.%3.%4　"/>
      <w:lvlJc w:val="left"/>
      <w:pPr>
        <w:ind w:left="709"/>
      </w:pPr>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0">
    <w:nsid w:val="37A747B0"/>
    <w:multiLevelType w:val="singleLevel"/>
    <w:tmpl w:val="37A747B0"/>
    <w:lvl w:ilvl="0" w:tentative="0">
      <w:start w:val="1"/>
      <w:numFmt w:val="lowerLetter"/>
      <w:lvlText w:val="%1."/>
      <w:lvlJc w:val="left"/>
      <w:pPr>
        <w:ind w:left="425" w:hanging="425"/>
      </w:pPr>
      <w:rPr>
        <w:rFonts w:hint="default"/>
      </w:rPr>
    </w:lvl>
  </w:abstractNum>
  <w:abstractNum w:abstractNumId="31">
    <w:nsid w:val="3A168214"/>
    <w:multiLevelType w:val="singleLevel"/>
    <w:tmpl w:val="3A168214"/>
    <w:lvl w:ilvl="0" w:tentative="0">
      <w:start w:val="1"/>
      <w:numFmt w:val="decimal"/>
      <w:lvlText w:val="%1."/>
      <w:lvlJc w:val="left"/>
      <w:pPr>
        <w:tabs>
          <w:tab w:val="left" w:pos="312"/>
        </w:tabs>
      </w:pPr>
    </w:lvl>
  </w:abstractNum>
  <w:abstractNum w:abstractNumId="32">
    <w:nsid w:val="3CFE3E3E"/>
    <w:multiLevelType w:val="singleLevel"/>
    <w:tmpl w:val="3CFE3E3E"/>
    <w:lvl w:ilvl="0" w:tentative="0">
      <w:start w:val="1"/>
      <w:numFmt w:val="decimal"/>
      <w:suff w:val="space"/>
      <w:lvlText w:val="%1."/>
      <w:lvlJc w:val="left"/>
    </w:lvl>
  </w:abstractNum>
  <w:abstractNum w:abstractNumId="33">
    <w:nsid w:val="46066ED7"/>
    <w:multiLevelType w:val="singleLevel"/>
    <w:tmpl w:val="46066ED7"/>
    <w:lvl w:ilvl="0" w:tentative="0">
      <w:start w:val="1"/>
      <w:numFmt w:val="decimal"/>
      <w:lvlText w:val="%1."/>
      <w:lvlJc w:val="left"/>
      <w:pPr>
        <w:tabs>
          <w:tab w:val="left" w:pos="312"/>
        </w:tabs>
      </w:pPr>
    </w:lvl>
  </w:abstractNum>
  <w:abstractNum w:abstractNumId="34">
    <w:nsid w:val="4EC1815A"/>
    <w:multiLevelType w:val="singleLevel"/>
    <w:tmpl w:val="4EC1815A"/>
    <w:lvl w:ilvl="0" w:tentative="0">
      <w:start w:val="1"/>
      <w:numFmt w:val="decimal"/>
      <w:lvlText w:val="%1."/>
      <w:lvlJc w:val="left"/>
      <w:pPr>
        <w:tabs>
          <w:tab w:val="left" w:pos="312"/>
        </w:tabs>
      </w:pPr>
    </w:lvl>
  </w:abstractNum>
  <w:abstractNum w:abstractNumId="35">
    <w:nsid w:val="59C162A7"/>
    <w:multiLevelType w:val="singleLevel"/>
    <w:tmpl w:val="59C162A7"/>
    <w:lvl w:ilvl="0" w:tentative="0">
      <w:start w:val="1"/>
      <w:numFmt w:val="decimal"/>
      <w:lvlText w:val="%1."/>
      <w:lvlJc w:val="left"/>
      <w:pPr>
        <w:tabs>
          <w:tab w:val="left" w:pos="312"/>
        </w:tabs>
      </w:pPr>
    </w:lvl>
  </w:abstractNum>
  <w:abstractNum w:abstractNumId="36">
    <w:nsid w:val="5DC8B81C"/>
    <w:multiLevelType w:val="singleLevel"/>
    <w:tmpl w:val="5DC8B81C"/>
    <w:lvl w:ilvl="0" w:tentative="0">
      <w:start w:val="1"/>
      <w:numFmt w:val="decimal"/>
      <w:lvlText w:val="%1."/>
      <w:lvlJc w:val="left"/>
      <w:pPr>
        <w:tabs>
          <w:tab w:val="left" w:pos="312"/>
        </w:tabs>
      </w:pPr>
    </w:lvl>
  </w:abstractNum>
  <w:abstractNum w:abstractNumId="37">
    <w:nsid w:val="6CEA2025"/>
    <w:multiLevelType w:val="multilevel"/>
    <w:tmpl w:val="6CEA2025"/>
    <w:lvl w:ilvl="0" w:tentative="0">
      <w:start w:val="1"/>
      <w:numFmt w:val="none"/>
      <w:pStyle w:val="3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15" w:firstLine="0"/>
      </w:pPr>
      <w:rPr>
        <w:rFonts w:hint="eastAsia" w:ascii="黑体" w:hAnsi="Times New Roman" w:eastAsia="黑体"/>
        <w:b w:val="0"/>
        <w:i w:val="0"/>
        <w:sz w:val="21"/>
      </w:rPr>
    </w:lvl>
    <w:lvl w:ilvl="2" w:tentative="0">
      <w:start w:val="1"/>
      <w:numFmt w:val="decimal"/>
      <w:suff w:val="nothing"/>
      <w:lvlText w:val="%1%2.%3　"/>
      <w:lvlJc w:val="left"/>
      <w:pPr>
        <w:ind w:left="630" w:firstLine="0"/>
      </w:pPr>
      <w:rPr>
        <w:rFonts w:hint="eastAsia" w:ascii="黑体" w:hAnsi="Times New Roman" w:eastAsia="黑体"/>
        <w:b w:val="0"/>
        <w:i w:val="0"/>
        <w:color w:val="auto"/>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8">
    <w:nsid w:val="75DBC556"/>
    <w:multiLevelType w:val="singleLevel"/>
    <w:tmpl w:val="75DBC556"/>
    <w:lvl w:ilvl="0" w:tentative="0">
      <w:start w:val="1"/>
      <w:numFmt w:val="decimal"/>
      <w:lvlText w:val="%1."/>
      <w:lvlJc w:val="left"/>
      <w:pPr>
        <w:tabs>
          <w:tab w:val="left" w:pos="312"/>
        </w:tabs>
      </w:pPr>
    </w:lvl>
  </w:abstractNum>
  <w:abstractNum w:abstractNumId="39">
    <w:nsid w:val="78A744FB"/>
    <w:multiLevelType w:val="singleLevel"/>
    <w:tmpl w:val="78A744FB"/>
    <w:lvl w:ilvl="0" w:tentative="0">
      <w:start w:val="1"/>
      <w:numFmt w:val="decimal"/>
      <w:lvlText w:val="%1."/>
      <w:lvlJc w:val="left"/>
      <w:pPr>
        <w:tabs>
          <w:tab w:val="left" w:pos="312"/>
        </w:tabs>
      </w:pPr>
    </w:lvl>
  </w:abstractNum>
  <w:abstractNum w:abstractNumId="40">
    <w:nsid w:val="7D4BC680"/>
    <w:multiLevelType w:val="singleLevel"/>
    <w:tmpl w:val="7D4BC680"/>
    <w:lvl w:ilvl="0" w:tentative="0">
      <w:start w:val="1"/>
      <w:numFmt w:val="decimal"/>
      <w:lvlText w:val="%1."/>
      <w:lvlJc w:val="left"/>
      <w:pPr>
        <w:tabs>
          <w:tab w:val="left" w:pos="312"/>
        </w:tabs>
      </w:pPr>
    </w:lvl>
  </w:abstractNum>
  <w:num w:numId="1">
    <w:abstractNumId w:val="29"/>
  </w:num>
  <w:num w:numId="2">
    <w:abstractNumId w:val="37"/>
  </w:num>
  <w:num w:numId="3">
    <w:abstractNumId w:val="13"/>
  </w:num>
  <w:num w:numId="4">
    <w:abstractNumId w:val="19"/>
  </w:num>
  <w:num w:numId="5">
    <w:abstractNumId w:val="39"/>
  </w:num>
  <w:num w:numId="6">
    <w:abstractNumId w:val="16"/>
  </w:num>
  <w:num w:numId="7">
    <w:abstractNumId w:val="33"/>
  </w:num>
  <w:num w:numId="8">
    <w:abstractNumId w:val="40"/>
  </w:num>
  <w:num w:numId="9">
    <w:abstractNumId w:val="30"/>
  </w:num>
  <w:num w:numId="10">
    <w:abstractNumId w:val="31"/>
  </w:num>
  <w:num w:numId="11">
    <w:abstractNumId w:val="12"/>
  </w:num>
  <w:num w:numId="12">
    <w:abstractNumId w:val="28"/>
  </w:num>
  <w:num w:numId="13">
    <w:abstractNumId w:val="36"/>
  </w:num>
  <w:num w:numId="14">
    <w:abstractNumId w:val="14"/>
  </w:num>
  <w:num w:numId="15">
    <w:abstractNumId w:val="21"/>
  </w:num>
  <w:num w:numId="16">
    <w:abstractNumId w:val="23"/>
  </w:num>
  <w:num w:numId="17">
    <w:abstractNumId w:val="35"/>
  </w:num>
  <w:num w:numId="18">
    <w:abstractNumId w:val="34"/>
  </w:num>
  <w:num w:numId="19">
    <w:abstractNumId w:val="9"/>
  </w:num>
  <w:num w:numId="20">
    <w:abstractNumId w:val="5"/>
  </w:num>
  <w:num w:numId="21">
    <w:abstractNumId w:val="27"/>
  </w:num>
  <w:num w:numId="22">
    <w:abstractNumId w:val="10"/>
  </w:num>
  <w:num w:numId="23">
    <w:abstractNumId w:val="22"/>
  </w:num>
  <w:num w:numId="24">
    <w:abstractNumId w:val="8"/>
  </w:num>
  <w:num w:numId="25">
    <w:abstractNumId w:val="0"/>
  </w:num>
  <w:num w:numId="26">
    <w:abstractNumId w:val="32"/>
  </w:num>
  <w:num w:numId="27">
    <w:abstractNumId w:val="20"/>
  </w:num>
  <w:num w:numId="28">
    <w:abstractNumId w:val="7"/>
  </w:num>
  <w:num w:numId="29">
    <w:abstractNumId w:val="38"/>
  </w:num>
  <w:num w:numId="30">
    <w:abstractNumId w:val="6"/>
  </w:num>
  <w:num w:numId="31">
    <w:abstractNumId w:val="17"/>
  </w:num>
  <w:num w:numId="32">
    <w:abstractNumId w:val="25"/>
  </w:num>
  <w:num w:numId="33">
    <w:abstractNumId w:val="4"/>
  </w:num>
  <w:num w:numId="34">
    <w:abstractNumId w:val="24"/>
  </w:num>
  <w:num w:numId="35">
    <w:abstractNumId w:val="1"/>
  </w:num>
  <w:num w:numId="36">
    <w:abstractNumId w:val="11"/>
  </w:num>
  <w:num w:numId="37">
    <w:abstractNumId w:val="26"/>
  </w:num>
  <w:num w:numId="38">
    <w:abstractNumId w:val="15"/>
  </w:num>
  <w:num w:numId="39">
    <w:abstractNumId w:val="3"/>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26990BE6"/>
    <w:rsid w:val="003577A2"/>
    <w:rsid w:val="01150B21"/>
    <w:rsid w:val="01172A03"/>
    <w:rsid w:val="012531F6"/>
    <w:rsid w:val="01361677"/>
    <w:rsid w:val="01A324E9"/>
    <w:rsid w:val="02080F1A"/>
    <w:rsid w:val="02160F0D"/>
    <w:rsid w:val="021F6013"/>
    <w:rsid w:val="021F6FC3"/>
    <w:rsid w:val="022634AB"/>
    <w:rsid w:val="02361677"/>
    <w:rsid w:val="023A7CBD"/>
    <w:rsid w:val="024261A6"/>
    <w:rsid w:val="02760CA4"/>
    <w:rsid w:val="027E09D4"/>
    <w:rsid w:val="02C46BBB"/>
    <w:rsid w:val="02EE59E6"/>
    <w:rsid w:val="037405E1"/>
    <w:rsid w:val="03910EAA"/>
    <w:rsid w:val="03CC21CB"/>
    <w:rsid w:val="03F434D0"/>
    <w:rsid w:val="040D7A92"/>
    <w:rsid w:val="0415771B"/>
    <w:rsid w:val="049F343C"/>
    <w:rsid w:val="04A42800"/>
    <w:rsid w:val="04E4640D"/>
    <w:rsid w:val="04F27A0F"/>
    <w:rsid w:val="05096B07"/>
    <w:rsid w:val="05482261"/>
    <w:rsid w:val="05BE041F"/>
    <w:rsid w:val="069246D4"/>
    <w:rsid w:val="06952D48"/>
    <w:rsid w:val="06B932D6"/>
    <w:rsid w:val="07B436A2"/>
    <w:rsid w:val="07CA0D41"/>
    <w:rsid w:val="07D478A0"/>
    <w:rsid w:val="07DE427B"/>
    <w:rsid w:val="08145EEF"/>
    <w:rsid w:val="08346563"/>
    <w:rsid w:val="088E5CA1"/>
    <w:rsid w:val="08F04266"/>
    <w:rsid w:val="09102B5A"/>
    <w:rsid w:val="09402CE6"/>
    <w:rsid w:val="09532A47"/>
    <w:rsid w:val="097B5A0D"/>
    <w:rsid w:val="09AD2157"/>
    <w:rsid w:val="09E27152"/>
    <w:rsid w:val="09F616C1"/>
    <w:rsid w:val="0A254D41"/>
    <w:rsid w:val="0A342878"/>
    <w:rsid w:val="0A374116"/>
    <w:rsid w:val="0A560A40"/>
    <w:rsid w:val="0A59772B"/>
    <w:rsid w:val="0A611922"/>
    <w:rsid w:val="0A887803"/>
    <w:rsid w:val="0A8C6F70"/>
    <w:rsid w:val="0AA03B4A"/>
    <w:rsid w:val="0AF06C66"/>
    <w:rsid w:val="0AF618DB"/>
    <w:rsid w:val="0BE45BD8"/>
    <w:rsid w:val="0C536A10"/>
    <w:rsid w:val="0C9223E1"/>
    <w:rsid w:val="0C9C5FF3"/>
    <w:rsid w:val="0CEA36C2"/>
    <w:rsid w:val="0CEC11E8"/>
    <w:rsid w:val="0CF167FE"/>
    <w:rsid w:val="0D4E2F37"/>
    <w:rsid w:val="0D837D9E"/>
    <w:rsid w:val="0DA54FE7"/>
    <w:rsid w:val="0DB50EA8"/>
    <w:rsid w:val="0DBE2B84"/>
    <w:rsid w:val="0DFA594D"/>
    <w:rsid w:val="0E2055ED"/>
    <w:rsid w:val="0ED87C76"/>
    <w:rsid w:val="0F31382A"/>
    <w:rsid w:val="0F3A5CFC"/>
    <w:rsid w:val="0F73174D"/>
    <w:rsid w:val="0F9D2C6D"/>
    <w:rsid w:val="0FE53E96"/>
    <w:rsid w:val="100C57E1"/>
    <w:rsid w:val="10AF2C58"/>
    <w:rsid w:val="117369BF"/>
    <w:rsid w:val="11AE1162"/>
    <w:rsid w:val="11FC5E34"/>
    <w:rsid w:val="123C051C"/>
    <w:rsid w:val="12C549B5"/>
    <w:rsid w:val="130970C4"/>
    <w:rsid w:val="135F0966"/>
    <w:rsid w:val="13897791"/>
    <w:rsid w:val="13C108A5"/>
    <w:rsid w:val="13CC2813"/>
    <w:rsid w:val="13D23A42"/>
    <w:rsid w:val="13D911EC"/>
    <w:rsid w:val="13E972C9"/>
    <w:rsid w:val="140F7FC9"/>
    <w:rsid w:val="141C0DCF"/>
    <w:rsid w:val="147541B9"/>
    <w:rsid w:val="14AE3227"/>
    <w:rsid w:val="15003A82"/>
    <w:rsid w:val="152C71B6"/>
    <w:rsid w:val="15DB629E"/>
    <w:rsid w:val="15E6324E"/>
    <w:rsid w:val="16341CDF"/>
    <w:rsid w:val="16AF07B0"/>
    <w:rsid w:val="16ED6288"/>
    <w:rsid w:val="16F45869"/>
    <w:rsid w:val="17285513"/>
    <w:rsid w:val="174165D4"/>
    <w:rsid w:val="176F4EEF"/>
    <w:rsid w:val="17942BA8"/>
    <w:rsid w:val="17C52D61"/>
    <w:rsid w:val="17DB33A7"/>
    <w:rsid w:val="1886020F"/>
    <w:rsid w:val="188A5FFF"/>
    <w:rsid w:val="188D2AE3"/>
    <w:rsid w:val="18D4322E"/>
    <w:rsid w:val="18E15979"/>
    <w:rsid w:val="18FF22A3"/>
    <w:rsid w:val="193B3162"/>
    <w:rsid w:val="19850175"/>
    <w:rsid w:val="199724DC"/>
    <w:rsid w:val="1A2B77F4"/>
    <w:rsid w:val="1A2D5A2A"/>
    <w:rsid w:val="1A40430B"/>
    <w:rsid w:val="1A526059"/>
    <w:rsid w:val="1A6FF496"/>
    <w:rsid w:val="1A8213DE"/>
    <w:rsid w:val="1A8D322C"/>
    <w:rsid w:val="1AE71241"/>
    <w:rsid w:val="1AF8344E"/>
    <w:rsid w:val="1B414DF5"/>
    <w:rsid w:val="1B8C2514"/>
    <w:rsid w:val="1BE96AFB"/>
    <w:rsid w:val="1C326979"/>
    <w:rsid w:val="1C4701E9"/>
    <w:rsid w:val="1C777CB6"/>
    <w:rsid w:val="1CDF6673"/>
    <w:rsid w:val="1D2D2709"/>
    <w:rsid w:val="1DC6338F"/>
    <w:rsid w:val="1DDA1BEE"/>
    <w:rsid w:val="1E2A6014"/>
    <w:rsid w:val="1E3A434A"/>
    <w:rsid w:val="1E414D3D"/>
    <w:rsid w:val="1E5427C8"/>
    <w:rsid w:val="1E6058EF"/>
    <w:rsid w:val="1E6A6411"/>
    <w:rsid w:val="1EA35913"/>
    <w:rsid w:val="1ED66624"/>
    <w:rsid w:val="1F0966CF"/>
    <w:rsid w:val="1F234F3D"/>
    <w:rsid w:val="1F520E6A"/>
    <w:rsid w:val="1F66307C"/>
    <w:rsid w:val="1F8A4FBC"/>
    <w:rsid w:val="1FBE07C2"/>
    <w:rsid w:val="1FCA53B9"/>
    <w:rsid w:val="1FF57F5C"/>
    <w:rsid w:val="20AA0721"/>
    <w:rsid w:val="20B83463"/>
    <w:rsid w:val="2116462E"/>
    <w:rsid w:val="217B3448"/>
    <w:rsid w:val="21871088"/>
    <w:rsid w:val="21A83773"/>
    <w:rsid w:val="226D75CB"/>
    <w:rsid w:val="227A63D2"/>
    <w:rsid w:val="22853819"/>
    <w:rsid w:val="228C104B"/>
    <w:rsid w:val="22B37179"/>
    <w:rsid w:val="22C04851"/>
    <w:rsid w:val="22C5441E"/>
    <w:rsid w:val="23163E7E"/>
    <w:rsid w:val="23315DDC"/>
    <w:rsid w:val="23566F63"/>
    <w:rsid w:val="23D42CAA"/>
    <w:rsid w:val="243F3E9B"/>
    <w:rsid w:val="245722C1"/>
    <w:rsid w:val="24665464"/>
    <w:rsid w:val="246B4C91"/>
    <w:rsid w:val="248F097F"/>
    <w:rsid w:val="24C06D8A"/>
    <w:rsid w:val="25506360"/>
    <w:rsid w:val="25BA1A2C"/>
    <w:rsid w:val="25D86356"/>
    <w:rsid w:val="25E77139"/>
    <w:rsid w:val="25EA5925"/>
    <w:rsid w:val="25FC0BA2"/>
    <w:rsid w:val="26013AFE"/>
    <w:rsid w:val="26076A33"/>
    <w:rsid w:val="26432D7B"/>
    <w:rsid w:val="26435B6E"/>
    <w:rsid w:val="264506CE"/>
    <w:rsid w:val="265C2AE3"/>
    <w:rsid w:val="266B541C"/>
    <w:rsid w:val="26826FA0"/>
    <w:rsid w:val="26990BE6"/>
    <w:rsid w:val="26C32B62"/>
    <w:rsid w:val="270E2A3A"/>
    <w:rsid w:val="27C923FA"/>
    <w:rsid w:val="27E23E17"/>
    <w:rsid w:val="28110526"/>
    <w:rsid w:val="281573ED"/>
    <w:rsid w:val="28292E99"/>
    <w:rsid w:val="285C1CF2"/>
    <w:rsid w:val="28846321"/>
    <w:rsid w:val="28B704A4"/>
    <w:rsid w:val="28D9041B"/>
    <w:rsid w:val="28DE61E0"/>
    <w:rsid w:val="28F42C09"/>
    <w:rsid w:val="292E0F9E"/>
    <w:rsid w:val="29470A2F"/>
    <w:rsid w:val="294E4079"/>
    <w:rsid w:val="29804D3A"/>
    <w:rsid w:val="299F54DA"/>
    <w:rsid w:val="29A22F02"/>
    <w:rsid w:val="29C01243"/>
    <w:rsid w:val="29C54E43"/>
    <w:rsid w:val="29CC08B5"/>
    <w:rsid w:val="29D60DFE"/>
    <w:rsid w:val="29FF21BF"/>
    <w:rsid w:val="2AA37AE9"/>
    <w:rsid w:val="2ADB59A9"/>
    <w:rsid w:val="2B200583"/>
    <w:rsid w:val="2B2220B7"/>
    <w:rsid w:val="2B234681"/>
    <w:rsid w:val="2B355689"/>
    <w:rsid w:val="2B512E32"/>
    <w:rsid w:val="2B662F45"/>
    <w:rsid w:val="2B920D55"/>
    <w:rsid w:val="2BAF7B59"/>
    <w:rsid w:val="2BB92785"/>
    <w:rsid w:val="2BBC6656"/>
    <w:rsid w:val="2BD46F7D"/>
    <w:rsid w:val="2BF10171"/>
    <w:rsid w:val="2C183950"/>
    <w:rsid w:val="2D4C278A"/>
    <w:rsid w:val="2D7D7F0E"/>
    <w:rsid w:val="2E5909DA"/>
    <w:rsid w:val="2E8B7050"/>
    <w:rsid w:val="2E9D1EEA"/>
    <w:rsid w:val="2F582574"/>
    <w:rsid w:val="2F6D5D61"/>
    <w:rsid w:val="2F776BDF"/>
    <w:rsid w:val="2F9C510D"/>
    <w:rsid w:val="30085A89"/>
    <w:rsid w:val="30234671"/>
    <w:rsid w:val="30330D58"/>
    <w:rsid w:val="30352A6B"/>
    <w:rsid w:val="3140197F"/>
    <w:rsid w:val="31762116"/>
    <w:rsid w:val="317E4255"/>
    <w:rsid w:val="31F2254D"/>
    <w:rsid w:val="32D7038C"/>
    <w:rsid w:val="332F60A6"/>
    <w:rsid w:val="33A65CE5"/>
    <w:rsid w:val="34032639"/>
    <w:rsid w:val="341C3168"/>
    <w:rsid w:val="342235BE"/>
    <w:rsid w:val="348E47AF"/>
    <w:rsid w:val="34D523DE"/>
    <w:rsid w:val="35010862"/>
    <w:rsid w:val="35134CB4"/>
    <w:rsid w:val="351A4295"/>
    <w:rsid w:val="352944D8"/>
    <w:rsid w:val="35441312"/>
    <w:rsid w:val="358E07DF"/>
    <w:rsid w:val="359C73A0"/>
    <w:rsid w:val="35DE52C2"/>
    <w:rsid w:val="362A3A8B"/>
    <w:rsid w:val="3663062D"/>
    <w:rsid w:val="369B1405"/>
    <w:rsid w:val="3775506E"/>
    <w:rsid w:val="37A40570"/>
    <w:rsid w:val="37D72911"/>
    <w:rsid w:val="37FF2CDF"/>
    <w:rsid w:val="383E029A"/>
    <w:rsid w:val="38C70704"/>
    <w:rsid w:val="38D62BC9"/>
    <w:rsid w:val="38D96215"/>
    <w:rsid w:val="38EA0422"/>
    <w:rsid w:val="3925145A"/>
    <w:rsid w:val="393F251C"/>
    <w:rsid w:val="3971469F"/>
    <w:rsid w:val="39B2192F"/>
    <w:rsid w:val="39FF3A59"/>
    <w:rsid w:val="3A241712"/>
    <w:rsid w:val="3A2D4A6A"/>
    <w:rsid w:val="3A5C3E46"/>
    <w:rsid w:val="3A5E5885"/>
    <w:rsid w:val="3A83468A"/>
    <w:rsid w:val="3AAC1E33"/>
    <w:rsid w:val="3AAC2AB2"/>
    <w:rsid w:val="3AE56469"/>
    <w:rsid w:val="3AF21A1E"/>
    <w:rsid w:val="3AF905C0"/>
    <w:rsid w:val="3B442853"/>
    <w:rsid w:val="3B4C2CCE"/>
    <w:rsid w:val="3B9F3746"/>
    <w:rsid w:val="3BF66F2E"/>
    <w:rsid w:val="3C3A521C"/>
    <w:rsid w:val="3C6877D4"/>
    <w:rsid w:val="3C695FAF"/>
    <w:rsid w:val="3CE277AA"/>
    <w:rsid w:val="3D1D0DC6"/>
    <w:rsid w:val="3D3954D4"/>
    <w:rsid w:val="3D5C1AA3"/>
    <w:rsid w:val="3D8C5F4C"/>
    <w:rsid w:val="3D9902F3"/>
    <w:rsid w:val="3DEA29AB"/>
    <w:rsid w:val="3E104487"/>
    <w:rsid w:val="3E3D0FF4"/>
    <w:rsid w:val="3E47624E"/>
    <w:rsid w:val="3E5A603B"/>
    <w:rsid w:val="3E636CAD"/>
    <w:rsid w:val="3E817133"/>
    <w:rsid w:val="3EA90437"/>
    <w:rsid w:val="3EB2553E"/>
    <w:rsid w:val="3EDD0668"/>
    <w:rsid w:val="3F2C52F0"/>
    <w:rsid w:val="3F686BBC"/>
    <w:rsid w:val="3F6B48A4"/>
    <w:rsid w:val="3FDB0AC5"/>
    <w:rsid w:val="3FED7B60"/>
    <w:rsid w:val="4000052B"/>
    <w:rsid w:val="404A20B4"/>
    <w:rsid w:val="405014B2"/>
    <w:rsid w:val="4091073C"/>
    <w:rsid w:val="40923879"/>
    <w:rsid w:val="40D45C40"/>
    <w:rsid w:val="40E35E83"/>
    <w:rsid w:val="40ED4F53"/>
    <w:rsid w:val="40EE65D6"/>
    <w:rsid w:val="411405EC"/>
    <w:rsid w:val="41C55588"/>
    <w:rsid w:val="42417305"/>
    <w:rsid w:val="425443A8"/>
    <w:rsid w:val="42785D1A"/>
    <w:rsid w:val="42C45840"/>
    <w:rsid w:val="42D77C69"/>
    <w:rsid w:val="42F04887"/>
    <w:rsid w:val="42F8373B"/>
    <w:rsid w:val="43192030"/>
    <w:rsid w:val="431A1904"/>
    <w:rsid w:val="43211E2D"/>
    <w:rsid w:val="434B36F4"/>
    <w:rsid w:val="438657FD"/>
    <w:rsid w:val="439F30B0"/>
    <w:rsid w:val="443D58AA"/>
    <w:rsid w:val="44427364"/>
    <w:rsid w:val="447A08AC"/>
    <w:rsid w:val="44967C16"/>
    <w:rsid w:val="44D2454B"/>
    <w:rsid w:val="45154A79"/>
    <w:rsid w:val="453C3DB3"/>
    <w:rsid w:val="4541644A"/>
    <w:rsid w:val="45886FF9"/>
    <w:rsid w:val="459E6B91"/>
    <w:rsid w:val="45A914DC"/>
    <w:rsid w:val="45AC718B"/>
    <w:rsid w:val="46004DE1"/>
    <w:rsid w:val="460846A2"/>
    <w:rsid w:val="468210E2"/>
    <w:rsid w:val="469A6FE4"/>
    <w:rsid w:val="469A7712"/>
    <w:rsid w:val="470703F1"/>
    <w:rsid w:val="473F33F0"/>
    <w:rsid w:val="475D2918"/>
    <w:rsid w:val="476F19B6"/>
    <w:rsid w:val="47A64587"/>
    <w:rsid w:val="4824427F"/>
    <w:rsid w:val="48496F13"/>
    <w:rsid w:val="48693111"/>
    <w:rsid w:val="4871646A"/>
    <w:rsid w:val="487815A6"/>
    <w:rsid w:val="49975A5C"/>
    <w:rsid w:val="4A054AA4"/>
    <w:rsid w:val="4A0F5F3A"/>
    <w:rsid w:val="4A2D016F"/>
    <w:rsid w:val="4A68007C"/>
    <w:rsid w:val="4A897A9B"/>
    <w:rsid w:val="4AE71713"/>
    <w:rsid w:val="4B0949E0"/>
    <w:rsid w:val="4B0F6F0C"/>
    <w:rsid w:val="4B2E0642"/>
    <w:rsid w:val="4B4C5516"/>
    <w:rsid w:val="4B6D0F55"/>
    <w:rsid w:val="4BAB6DCF"/>
    <w:rsid w:val="4BF61160"/>
    <w:rsid w:val="4C2428A3"/>
    <w:rsid w:val="4C2B6930"/>
    <w:rsid w:val="4C520360"/>
    <w:rsid w:val="4C8B6016"/>
    <w:rsid w:val="4D0C49B3"/>
    <w:rsid w:val="4D16138E"/>
    <w:rsid w:val="4D193597"/>
    <w:rsid w:val="4D225F85"/>
    <w:rsid w:val="4DA90454"/>
    <w:rsid w:val="4DDE60C6"/>
    <w:rsid w:val="4E720846"/>
    <w:rsid w:val="4E843A53"/>
    <w:rsid w:val="4EC93451"/>
    <w:rsid w:val="4ECF3EEA"/>
    <w:rsid w:val="4F256F26"/>
    <w:rsid w:val="4F75488C"/>
    <w:rsid w:val="4F8847C5"/>
    <w:rsid w:val="4FB57705"/>
    <w:rsid w:val="4FD86DCF"/>
    <w:rsid w:val="500D0670"/>
    <w:rsid w:val="501E5109"/>
    <w:rsid w:val="502D2C76"/>
    <w:rsid w:val="50485D02"/>
    <w:rsid w:val="50C01B7C"/>
    <w:rsid w:val="50D94BAC"/>
    <w:rsid w:val="510F4A72"/>
    <w:rsid w:val="51823496"/>
    <w:rsid w:val="51E56853"/>
    <w:rsid w:val="522400A9"/>
    <w:rsid w:val="525F10E1"/>
    <w:rsid w:val="52691F60"/>
    <w:rsid w:val="526C43DD"/>
    <w:rsid w:val="52872CB4"/>
    <w:rsid w:val="528A1650"/>
    <w:rsid w:val="52AC6928"/>
    <w:rsid w:val="533C7AC9"/>
    <w:rsid w:val="5362532D"/>
    <w:rsid w:val="537D3F15"/>
    <w:rsid w:val="5452125E"/>
    <w:rsid w:val="54596730"/>
    <w:rsid w:val="54A37489"/>
    <w:rsid w:val="55592760"/>
    <w:rsid w:val="557E2768"/>
    <w:rsid w:val="558C043F"/>
    <w:rsid w:val="55D2615F"/>
    <w:rsid w:val="55ED79D3"/>
    <w:rsid w:val="56072502"/>
    <w:rsid w:val="56554380"/>
    <w:rsid w:val="56554CD5"/>
    <w:rsid w:val="567F3A81"/>
    <w:rsid w:val="56AD75FB"/>
    <w:rsid w:val="56DF417F"/>
    <w:rsid w:val="56F7654C"/>
    <w:rsid w:val="570D0833"/>
    <w:rsid w:val="57727B09"/>
    <w:rsid w:val="577E025B"/>
    <w:rsid w:val="57832F0A"/>
    <w:rsid w:val="5787516D"/>
    <w:rsid w:val="57AF32E4"/>
    <w:rsid w:val="57B7680D"/>
    <w:rsid w:val="57F64296"/>
    <w:rsid w:val="582C415B"/>
    <w:rsid w:val="58492617"/>
    <w:rsid w:val="589F0489"/>
    <w:rsid w:val="58D00F8B"/>
    <w:rsid w:val="58D8399B"/>
    <w:rsid w:val="58FA484A"/>
    <w:rsid w:val="58FF717A"/>
    <w:rsid w:val="591C1ADA"/>
    <w:rsid w:val="59587EEF"/>
    <w:rsid w:val="595B4CF8"/>
    <w:rsid w:val="59EE16C8"/>
    <w:rsid w:val="5A0E3B19"/>
    <w:rsid w:val="5A1924BD"/>
    <w:rsid w:val="5A1B6236"/>
    <w:rsid w:val="5A6000EC"/>
    <w:rsid w:val="5A72647D"/>
    <w:rsid w:val="5AC643F3"/>
    <w:rsid w:val="5AE83694"/>
    <w:rsid w:val="5B394BC5"/>
    <w:rsid w:val="5B400EA9"/>
    <w:rsid w:val="5B6F3FE4"/>
    <w:rsid w:val="5B724974"/>
    <w:rsid w:val="5BAD110F"/>
    <w:rsid w:val="5BCB0D3D"/>
    <w:rsid w:val="5BEEFEA3"/>
    <w:rsid w:val="5C0C4088"/>
    <w:rsid w:val="5C4C1E77"/>
    <w:rsid w:val="5C675762"/>
    <w:rsid w:val="5C9B365E"/>
    <w:rsid w:val="5C9D73D6"/>
    <w:rsid w:val="5CE46DB3"/>
    <w:rsid w:val="5D086F45"/>
    <w:rsid w:val="5D2638CB"/>
    <w:rsid w:val="5D6E48CE"/>
    <w:rsid w:val="5D7E7207"/>
    <w:rsid w:val="5D8635A6"/>
    <w:rsid w:val="5E1377F0"/>
    <w:rsid w:val="5E2B24BF"/>
    <w:rsid w:val="5E6261E1"/>
    <w:rsid w:val="5E7457CA"/>
    <w:rsid w:val="5E926D8C"/>
    <w:rsid w:val="5F2841DA"/>
    <w:rsid w:val="5F3758C0"/>
    <w:rsid w:val="5F5E1B86"/>
    <w:rsid w:val="5FD64C3D"/>
    <w:rsid w:val="5FDB26EF"/>
    <w:rsid w:val="605129B1"/>
    <w:rsid w:val="605204D7"/>
    <w:rsid w:val="60787F3E"/>
    <w:rsid w:val="618F19E3"/>
    <w:rsid w:val="61FE26C5"/>
    <w:rsid w:val="62373E29"/>
    <w:rsid w:val="623936FD"/>
    <w:rsid w:val="62E278F0"/>
    <w:rsid w:val="62E47B0C"/>
    <w:rsid w:val="62E573E1"/>
    <w:rsid w:val="63141A74"/>
    <w:rsid w:val="6320666B"/>
    <w:rsid w:val="63220635"/>
    <w:rsid w:val="634C56B2"/>
    <w:rsid w:val="639130C5"/>
    <w:rsid w:val="63D33EAB"/>
    <w:rsid w:val="64243F39"/>
    <w:rsid w:val="6435469C"/>
    <w:rsid w:val="64371EBE"/>
    <w:rsid w:val="64740A1C"/>
    <w:rsid w:val="64773317"/>
    <w:rsid w:val="64E85052"/>
    <w:rsid w:val="65000502"/>
    <w:rsid w:val="65404DA2"/>
    <w:rsid w:val="65593B74"/>
    <w:rsid w:val="662A7F2C"/>
    <w:rsid w:val="66886A01"/>
    <w:rsid w:val="669E7FD2"/>
    <w:rsid w:val="66AF3F8D"/>
    <w:rsid w:val="66E73B59"/>
    <w:rsid w:val="6758395D"/>
    <w:rsid w:val="677E3975"/>
    <w:rsid w:val="67927055"/>
    <w:rsid w:val="67B57CC9"/>
    <w:rsid w:val="67DC68BE"/>
    <w:rsid w:val="687D430B"/>
    <w:rsid w:val="688E1D41"/>
    <w:rsid w:val="697F11AD"/>
    <w:rsid w:val="69DC0762"/>
    <w:rsid w:val="6A0D5D76"/>
    <w:rsid w:val="6A567096"/>
    <w:rsid w:val="6A6B0B13"/>
    <w:rsid w:val="6AB37DC4"/>
    <w:rsid w:val="6AED1528"/>
    <w:rsid w:val="6AF65F76"/>
    <w:rsid w:val="6AFC176B"/>
    <w:rsid w:val="6B3B6738"/>
    <w:rsid w:val="6B43460A"/>
    <w:rsid w:val="6B491630"/>
    <w:rsid w:val="6B72383C"/>
    <w:rsid w:val="6C4C6AF0"/>
    <w:rsid w:val="6C522CF8"/>
    <w:rsid w:val="6C8D1EA8"/>
    <w:rsid w:val="6CC30793"/>
    <w:rsid w:val="6CC8224D"/>
    <w:rsid w:val="6CE95D1F"/>
    <w:rsid w:val="6CED29CE"/>
    <w:rsid w:val="6CF272CA"/>
    <w:rsid w:val="6D3279D3"/>
    <w:rsid w:val="6D742477"/>
    <w:rsid w:val="6DC742B3"/>
    <w:rsid w:val="6DEE5CE3"/>
    <w:rsid w:val="6E1C7B05"/>
    <w:rsid w:val="6E7004A6"/>
    <w:rsid w:val="6EA74844"/>
    <w:rsid w:val="6EE41C7E"/>
    <w:rsid w:val="6F054B5F"/>
    <w:rsid w:val="6F0D03EB"/>
    <w:rsid w:val="6F6163B5"/>
    <w:rsid w:val="6F9E42AF"/>
    <w:rsid w:val="6FD35191"/>
    <w:rsid w:val="6FFE5F86"/>
    <w:rsid w:val="70A628A5"/>
    <w:rsid w:val="70EE4EC4"/>
    <w:rsid w:val="70F73101"/>
    <w:rsid w:val="71094BE2"/>
    <w:rsid w:val="71241A1C"/>
    <w:rsid w:val="712D267F"/>
    <w:rsid w:val="71333A0D"/>
    <w:rsid w:val="715D09E7"/>
    <w:rsid w:val="716B5189"/>
    <w:rsid w:val="71724502"/>
    <w:rsid w:val="72534367"/>
    <w:rsid w:val="726C367A"/>
    <w:rsid w:val="727F059A"/>
    <w:rsid w:val="728413A6"/>
    <w:rsid w:val="729A3D44"/>
    <w:rsid w:val="72D1172F"/>
    <w:rsid w:val="738B17CA"/>
    <w:rsid w:val="73D16B38"/>
    <w:rsid w:val="73E84F83"/>
    <w:rsid w:val="745253E2"/>
    <w:rsid w:val="74AE3AD6"/>
    <w:rsid w:val="754E7067"/>
    <w:rsid w:val="760503EB"/>
    <w:rsid w:val="7629074B"/>
    <w:rsid w:val="763A6438"/>
    <w:rsid w:val="76D0185E"/>
    <w:rsid w:val="76F310A1"/>
    <w:rsid w:val="77304C77"/>
    <w:rsid w:val="7731418C"/>
    <w:rsid w:val="774D3A7A"/>
    <w:rsid w:val="77A04190"/>
    <w:rsid w:val="77BB0FB7"/>
    <w:rsid w:val="77ED067C"/>
    <w:rsid w:val="783764D9"/>
    <w:rsid w:val="78641C43"/>
    <w:rsid w:val="78C7160B"/>
    <w:rsid w:val="78CC4E73"/>
    <w:rsid w:val="78D308AD"/>
    <w:rsid w:val="78E63D5F"/>
    <w:rsid w:val="7981553E"/>
    <w:rsid w:val="79EB058C"/>
    <w:rsid w:val="79F35DE6"/>
    <w:rsid w:val="7A106FE1"/>
    <w:rsid w:val="7A1A39BC"/>
    <w:rsid w:val="7A304838"/>
    <w:rsid w:val="7A4D1FE3"/>
    <w:rsid w:val="7A513882"/>
    <w:rsid w:val="7A684727"/>
    <w:rsid w:val="7A7A445B"/>
    <w:rsid w:val="7A94450E"/>
    <w:rsid w:val="7AA00365"/>
    <w:rsid w:val="7B0A3A31"/>
    <w:rsid w:val="7B1A0118"/>
    <w:rsid w:val="7B6E1B84"/>
    <w:rsid w:val="7BF32717"/>
    <w:rsid w:val="7BFD3595"/>
    <w:rsid w:val="7C190034"/>
    <w:rsid w:val="7C65016F"/>
    <w:rsid w:val="7CBB5779"/>
    <w:rsid w:val="7D6F7F49"/>
    <w:rsid w:val="7E1907B6"/>
    <w:rsid w:val="7E3F60E7"/>
    <w:rsid w:val="7E4B4A8C"/>
    <w:rsid w:val="7E6D0329"/>
    <w:rsid w:val="7E8D6433"/>
    <w:rsid w:val="7ECC6DC5"/>
    <w:rsid w:val="7EE12CFA"/>
    <w:rsid w:val="7EE84089"/>
    <w:rsid w:val="7EF02F3D"/>
    <w:rsid w:val="7F1B620C"/>
    <w:rsid w:val="7F565CF2"/>
    <w:rsid w:val="7F6B5BF7"/>
    <w:rsid w:val="7F855D7C"/>
    <w:rsid w:val="7FBA6FEC"/>
    <w:rsid w:val="7FFB2B17"/>
    <w:rsid w:val="9D0FA8C1"/>
    <w:rsid w:val="DFFF3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168" w:beforeAutospacing="0" w:after="63" w:afterAutospacing="0"/>
      <w:ind w:left="0" w:right="0"/>
      <w:jc w:val="left"/>
    </w:pPr>
    <w:rPr>
      <w:rFonts w:ascii="微软雅黑" w:hAnsi="微软雅黑" w:eastAsia="微软雅黑" w:cs="微软雅黑"/>
      <w:b/>
      <w:color w:val="006DBA"/>
      <w:kern w:val="0"/>
      <w:sz w:val="22"/>
      <w:szCs w:val="22"/>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cs="Times New Roman"/>
      <w:szCs w:val="24"/>
    </w:rPr>
  </w:style>
  <w:style w:type="paragraph" w:styleId="9">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8"/>
    <w:qFormat/>
    <w:uiPriority w:val="0"/>
    <w:pPr>
      <w:ind w:firstLine="420" w:firstLineChars="100"/>
    </w:pPr>
    <w:rPr>
      <w:kern w:val="0"/>
      <w:sz w:val="24"/>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0"/>
    <w:rPr>
      <w:b/>
    </w:rPr>
  </w:style>
  <w:style w:type="character" w:styleId="16">
    <w:name w:val="FollowedHyperlink"/>
    <w:basedOn w:val="14"/>
    <w:qFormat/>
    <w:uiPriority w:val="0"/>
    <w:rPr>
      <w:color w:val="800080"/>
      <w:u w:val="none"/>
    </w:rPr>
  </w:style>
  <w:style w:type="character" w:styleId="17">
    <w:name w:val="Hyperlink"/>
    <w:basedOn w:val="14"/>
    <w:qFormat/>
    <w:uiPriority w:val="0"/>
    <w:rPr>
      <w:color w:val="0000FF"/>
      <w:u w:val="none"/>
    </w:rPr>
  </w:style>
  <w:style w:type="character" w:customStyle="1" w:styleId="18">
    <w:name w:val="l-btn-left"/>
    <w:basedOn w:val="14"/>
    <w:qFormat/>
    <w:uiPriority w:val="0"/>
  </w:style>
  <w:style w:type="character" w:customStyle="1" w:styleId="19">
    <w:name w:val="l-btn-left1"/>
    <w:basedOn w:val="14"/>
    <w:qFormat/>
    <w:uiPriority w:val="0"/>
  </w:style>
  <w:style w:type="character" w:customStyle="1" w:styleId="20">
    <w:name w:val="l-btn-left2"/>
    <w:basedOn w:val="14"/>
    <w:qFormat/>
    <w:uiPriority w:val="0"/>
  </w:style>
  <w:style w:type="character" w:customStyle="1" w:styleId="21">
    <w:name w:val="l-btn-left3"/>
    <w:basedOn w:val="14"/>
    <w:qFormat/>
    <w:uiPriority w:val="0"/>
  </w:style>
  <w:style w:type="character" w:customStyle="1" w:styleId="22">
    <w:name w:val="l-btn-text"/>
    <w:basedOn w:val="14"/>
    <w:qFormat/>
    <w:uiPriority w:val="0"/>
  </w:style>
  <w:style w:type="character" w:customStyle="1" w:styleId="23">
    <w:name w:val="l-btn-empty"/>
    <w:basedOn w:val="14"/>
    <w:qFormat/>
    <w:uiPriority w:val="0"/>
  </w:style>
  <w:style w:type="character" w:customStyle="1" w:styleId="24">
    <w:name w:val="filename"/>
    <w:basedOn w:val="14"/>
    <w:qFormat/>
    <w:uiPriority w:val="0"/>
    <w:rPr>
      <w:color w:val="777777"/>
      <w:sz w:val="16"/>
      <w:szCs w:val="16"/>
    </w:rPr>
  </w:style>
  <w:style w:type="character" w:customStyle="1" w:styleId="25">
    <w:name w:val="action"/>
    <w:basedOn w:val="14"/>
    <w:qFormat/>
    <w:uiPriority w:val="0"/>
    <w:rPr>
      <w:b/>
      <w:sz w:val="16"/>
      <w:szCs w:val="16"/>
      <w:shd w:val="clear" w:fill="FFFFFF"/>
    </w:rPr>
  </w:style>
  <w:style w:type="character" w:customStyle="1" w:styleId="26">
    <w:name w:val="checked"/>
    <w:basedOn w:val="14"/>
    <w:qFormat/>
    <w:uiPriority w:val="0"/>
  </w:style>
  <w:style w:type="character" w:customStyle="1" w:styleId="27">
    <w:name w:val="checked1"/>
    <w:basedOn w:val="14"/>
    <w:qFormat/>
    <w:uiPriority w:val="0"/>
  </w:style>
  <w:style w:type="paragraph" w:customStyle="1" w:styleId="28">
    <w:name w:val="_Style 17"/>
    <w:basedOn w:val="1"/>
    <w:next w:val="1"/>
    <w:qFormat/>
    <w:uiPriority w:val="0"/>
    <w:pPr>
      <w:pBdr>
        <w:bottom w:val="single" w:color="auto" w:sz="6" w:space="1"/>
      </w:pBdr>
      <w:jc w:val="center"/>
    </w:pPr>
    <w:rPr>
      <w:rFonts w:ascii="Arial" w:eastAsia="宋体"/>
      <w:vanish/>
      <w:sz w:val="16"/>
    </w:rPr>
  </w:style>
  <w:style w:type="paragraph" w:customStyle="1" w:styleId="29">
    <w:name w:val="_Style 18"/>
    <w:basedOn w:val="1"/>
    <w:next w:val="1"/>
    <w:qFormat/>
    <w:uiPriority w:val="0"/>
    <w:pPr>
      <w:pBdr>
        <w:top w:val="single" w:color="auto" w:sz="6" w:space="1"/>
      </w:pBdr>
      <w:jc w:val="center"/>
    </w:pPr>
    <w:rPr>
      <w:rFonts w:ascii="Arial" w:eastAsia="宋体"/>
      <w:vanish/>
      <w:sz w:val="16"/>
    </w:rPr>
  </w:style>
  <w:style w:type="character" w:customStyle="1" w:styleId="30">
    <w:name w:val="l-btn-left4"/>
    <w:basedOn w:val="14"/>
    <w:qFormat/>
    <w:uiPriority w:val="0"/>
  </w:style>
  <w:style w:type="character" w:customStyle="1" w:styleId="31">
    <w:name w:val="l-btn-left5"/>
    <w:basedOn w:val="14"/>
    <w:qFormat/>
    <w:uiPriority w:val="0"/>
  </w:style>
  <w:style w:type="paragraph" w:customStyle="1" w:styleId="32">
    <w:name w:val="列出段落"/>
    <w:basedOn w:val="1"/>
    <w:qFormat/>
    <w:uiPriority w:val="0"/>
    <w:pPr>
      <w:ind w:firstLine="420" w:firstLineChars="200"/>
    </w:pPr>
    <w:rPr>
      <w:rFonts w:ascii="Times New Roman" w:hAnsi="Times New Roman"/>
      <w:szCs w:val="21"/>
    </w:rPr>
  </w:style>
  <w:style w:type="paragraph" w:customStyle="1" w:styleId="33">
    <w:name w:val="三级无"/>
    <w:basedOn w:val="34"/>
    <w:qFormat/>
    <w:uiPriority w:val="0"/>
    <w:pPr>
      <w:spacing w:beforeLines="0" w:afterLines="0"/>
      <w:ind w:left="993"/>
    </w:pPr>
    <w:rPr>
      <w:rFonts w:ascii="宋体" w:eastAsia="宋体"/>
    </w:rPr>
  </w:style>
  <w:style w:type="paragraph" w:customStyle="1" w:styleId="34">
    <w:name w:val="三级条标题"/>
    <w:basedOn w:val="35"/>
    <w:next w:val="38"/>
    <w:qFormat/>
    <w:uiPriority w:val="0"/>
    <w:pPr>
      <w:numPr>
        <w:ilvl w:val="3"/>
      </w:numPr>
      <w:ind w:left="142"/>
      <w:outlineLvl w:val="4"/>
    </w:pPr>
  </w:style>
  <w:style w:type="paragraph" w:customStyle="1" w:styleId="35">
    <w:name w:val="二级条标题"/>
    <w:basedOn w:val="36"/>
    <w:next w:val="38"/>
    <w:qFormat/>
    <w:uiPriority w:val="99"/>
    <w:pPr>
      <w:numPr>
        <w:ilvl w:val="2"/>
      </w:numPr>
      <w:spacing w:before="50" w:after="50"/>
      <w:outlineLvl w:val="3"/>
    </w:pPr>
  </w:style>
  <w:style w:type="paragraph" w:customStyle="1" w:styleId="36">
    <w:name w:val="一级条标题"/>
    <w:basedOn w:val="37"/>
    <w:next w:val="38"/>
    <w:qFormat/>
    <w:uiPriority w:val="99"/>
    <w:pPr>
      <w:numPr>
        <w:ilvl w:val="1"/>
        <w:numId w:val="1"/>
      </w:numPr>
      <w:outlineLvl w:val="2"/>
    </w:pPr>
    <w:rPr>
      <w:szCs w:val="21"/>
    </w:rPr>
  </w:style>
  <w:style w:type="paragraph" w:customStyle="1" w:styleId="37">
    <w:name w:val="章标题"/>
    <w:next w:val="38"/>
    <w:qFormat/>
    <w:uiPriority w:val="0"/>
    <w:pPr>
      <w:numPr>
        <w:ilvl w:val="0"/>
        <w:numId w:val="2"/>
      </w:numPr>
      <w:spacing w:before="156" w:beforeLines="50" w:after="156" w:afterLines="50"/>
      <w:ind w:left="315"/>
      <w:jc w:val="both"/>
      <w:outlineLvl w:val="1"/>
    </w:pPr>
    <w:rPr>
      <w:rFonts w:ascii="黑体" w:hAnsi="Times New Roman" w:eastAsia="黑体" w:cs="Times New Roman"/>
      <w:sz w:val="21"/>
      <w:lang w:val="en-US" w:eastAsia="zh-CN" w:bidi="ar-SA"/>
    </w:rPr>
  </w:style>
  <w:style w:type="paragraph" w:customStyle="1" w:styleId="3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21725</Words>
  <Characters>22278</Characters>
  <Lines>0</Lines>
  <Paragraphs>0</Paragraphs>
  <TotalTime>2</TotalTime>
  <ScaleCrop>false</ScaleCrop>
  <LinksUpToDate>false</LinksUpToDate>
  <CharactersWithSpaces>22419</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2020-10-29T18:36:00Z</dcterms:created>
  <dc:creator>杨霞</dc:creator>
  <cp:lastModifiedBy>admin</cp:lastModifiedBy>
  <dcterms:modified xsi:type="dcterms:W3CDTF">2026-06-04T17:29:01Z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EBB9DB7E6AA141CAB8C808EE14171717</vt:lpwstr>
  </property>
</Properties>
</file>